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6DFED" w14:textId="35198109" w:rsidR="00A5236F" w:rsidRPr="0078472B" w:rsidRDefault="007D082E" w:rsidP="00A540E5">
      <w:pPr>
        <w:spacing w:after="0" w:line="480" w:lineRule="auto"/>
        <w:rPr>
          <w:rFonts w:ascii="Times New Roman" w:hAnsi="Times New Roman" w:cs="Times New Roman"/>
          <w:b/>
          <w:color w:val="000000" w:themeColor="text1"/>
          <w:sz w:val="28"/>
          <w:szCs w:val="28"/>
        </w:rPr>
      </w:pPr>
      <w:bookmarkStart w:id="0" w:name="_GoBack"/>
      <w:bookmarkEnd w:id="0"/>
      <w:r w:rsidRPr="0078472B">
        <w:rPr>
          <w:rFonts w:ascii="Times New Roman" w:hAnsi="Times New Roman" w:cs="Times New Roman"/>
          <w:b/>
          <w:color w:val="000000" w:themeColor="text1"/>
          <w:sz w:val="28"/>
          <w:szCs w:val="28"/>
        </w:rPr>
        <w:t xml:space="preserve">Does </w:t>
      </w:r>
      <w:r w:rsidR="00A5236F" w:rsidRPr="0078472B">
        <w:rPr>
          <w:rFonts w:ascii="Times New Roman" w:hAnsi="Times New Roman" w:cs="Times New Roman"/>
          <w:b/>
          <w:color w:val="000000" w:themeColor="text1"/>
          <w:sz w:val="28"/>
          <w:szCs w:val="28"/>
        </w:rPr>
        <w:t xml:space="preserve">the </w:t>
      </w:r>
      <w:r w:rsidRPr="0078472B">
        <w:rPr>
          <w:rFonts w:ascii="Times New Roman" w:hAnsi="Times New Roman" w:cs="Times New Roman"/>
          <w:b/>
          <w:color w:val="000000" w:themeColor="text1"/>
          <w:sz w:val="28"/>
          <w:szCs w:val="28"/>
        </w:rPr>
        <w:t xml:space="preserve">offline environment matter in online </w:t>
      </w:r>
      <w:r w:rsidR="00A5236F" w:rsidRPr="0078472B">
        <w:rPr>
          <w:rFonts w:ascii="Times New Roman" w:hAnsi="Times New Roman" w:cs="Times New Roman"/>
          <w:b/>
          <w:color w:val="000000" w:themeColor="text1"/>
          <w:sz w:val="28"/>
          <w:szCs w:val="28"/>
        </w:rPr>
        <w:t>horse race betting</w:t>
      </w:r>
      <w:r w:rsidRPr="0078472B">
        <w:rPr>
          <w:rFonts w:ascii="Times New Roman" w:hAnsi="Times New Roman" w:cs="Times New Roman"/>
          <w:b/>
          <w:color w:val="000000" w:themeColor="text1"/>
          <w:sz w:val="28"/>
          <w:szCs w:val="28"/>
        </w:rPr>
        <w:t xml:space="preserve"> </w:t>
      </w:r>
      <w:r w:rsidR="002F3FCF" w:rsidRPr="0078472B">
        <w:rPr>
          <w:rFonts w:ascii="Times New Roman" w:hAnsi="Times New Roman" w:cs="Times New Roman"/>
          <w:b/>
          <w:color w:val="000000" w:themeColor="text1"/>
          <w:sz w:val="28"/>
          <w:szCs w:val="28"/>
        </w:rPr>
        <w:t>engagement</w:t>
      </w:r>
      <w:r w:rsidRPr="0078472B">
        <w:rPr>
          <w:rFonts w:ascii="Times New Roman" w:hAnsi="Times New Roman" w:cs="Times New Roman"/>
          <w:b/>
          <w:color w:val="000000" w:themeColor="text1"/>
          <w:sz w:val="28"/>
          <w:szCs w:val="28"/>
        </w:rPr>
        <w:t xml:space="preserve">?  </w:t>
      </w:r>
    </w:p>
    <w:p w14:paraId="0E9F52B5" w14:textId="77777777" w:rsidR="00D73750" w:rsidRPr="006F2661" w:rsidRDefault="00D73750" w:rsidP="00D73750">
      <w:pPr>
        <w:spacing w:after="0" w:line="480" w:lineRule="auto"/>
        <w:rPr>
          <w:rFonts w:ascii="Times New Roman" w:hAnsi="Times New Roman" w:cs="Times New Roman"/>
          <w:bCs/>
          <w:sz w:val="24"/>
          <w:szCs w:val="24"/>
          <w:vertAlign w:val="superscript"/>
          <w:lang w:val="fi-FI"/>
        </w:rPr>
      </w:pPr>
      <w:r w:rsidRPr="006F2661">
        <w:rPr>
          <w:rFonts w:ascii="Times New Roman" w:hAnsi="Times New Roman" w:cs="Times New Roman"/>
          <w:bCs/>
          <w:sz w:val="24"/>
          <w:szCs w:val="24"/>
          <w:lang w:val="fi-FI"/>
        </w:rPr>
        <w:t>Jani Saastamoinen</w:t>
      </w:r>
      <w:r w:rsidRPr="006F2661">
        <w:rPr>
          <w:rFonts w:ascii="Times New Roman" w:hAnsi="Times New Roman" w:cs="Times New Roman"/>
          <w:bCs/>
          <w:sz w:val="24"/>
          <w:szCs w:val="24"/>
          <w:vertAlign w:val="superscript"/>
          <w:lang w:val="fi-FI"/>
        </w:rPr>
        <w:t>1</w:t>
      </w:r>
      <w:r>
        <w:rPr>
          <w:rFonts w:ascii="Times New Roman" w:hAnsi="Times New Roman" w:cs="Times New Roman"/>
          <w:bCs/>
          <w:sz w:val="24"/>
          <w:szCs w:val="24"/>
          <w:vertAlign w:val="superscript"/>
          <w:lang w:val="fi-FI"/>
        </w:rPr>
        <w:t>*</w:t>
      </w:r>
      <w:r w:rsidRPr="006F2661">
        <w:rPr>
          <w:rFonts w:ascii="Times New Roman" w:hAnsi="Times New Roman" w:cs="Times New Roman"/>
          <w:bCs/>
          <w:sz w:val="24"/>
          <w:szCs w:val="24"/>
          <w:lang w:val="fi-FI"/>
        </w:rPr>
        <w:t>, Niko Suhonen</w:t>
      </w:r>
      <w:r w:rsidRPr="006F2661">
        <w:rPr>
          <w:rFonts w:ascii="Times New Roman" w:hAnsi="Times New Roman" w:cs="Times New Roman"/>
          <w:bCs/>
          <w:sz w:val="24"/>
          <w:szCs w:val="24"/>
          <w:vertAlign w:val="superscript"/>
          <w:lang w:val="fi-FI"/>
        </w:rPr>
        <w:t>1</w:t>
      </w:r>
      <w:r w:rsidRPr="006F2661">
        <w:rPr>
          <w:rFonts w:ascii="Times New Roman" w:hAnsi="Times New Roman" w:cs="Times New Roman"/>
          <w:bCs/>
          <w:sz w:val="24"/>
          <w:szCs w:val="24"/>
          <w:lang w:val="fi-FI"/>
        </w:rPr>
        <w:t>, Tuomo Kainulainen</w:t>
      </w:r>
      <w:r w:rsidRPr="006F2661">
        <w:rPr>
          <w:rFonts w:ascii="Times New Roman" w:hAnsi="Times New Roman" w:cs="Times New Roman"/>
          <w:bCs/>
          <w:sz w:val="24"/>
          <w:szCs w:val="24"/>
          <w:vertAlign w:val="superscript"/>
          <w:lang w:val="fi-FI"/>
        </w:rPr>
        <w:t>1</w:t>
      </w:r>
      <w:r w:rsidRPr="006F2661">
        <w:rPr>
          <w:rFonts w:ascii="Times New Roman" w:hAnsi="Times New Roman" w:cs="Times New Roman"/>
          <w:bCs/>
          <w:sz w:val="24"/>
          <w:szCs w:val="24"/>
          <w:lang w:val="fi-FI"/>
        </w:rPr>
        <w:t xml:space="preserve"> and David Forrest</w:t>
      </w:r>
      <w:r w:rsidRPr="006F2661">
        <w:rPr>
          <w:rFonts w:ascii="Times New Roman" w:hAnsi="Times New Roman" w:cs="Times New Roman"/>
          <w:bCs/>
          <w:sz w:val="24"/>
          <w:szCs w:val="24"/>
          <w:vertAlign w:val="superscript"/>
          <w:lang w:val="fi-FI"/>
        </w:rPr>
        <w:t>2</w:t>
      </w:r>
    </w:p>
    <w:p w14:paraId="11349D75" w14:textId="77777777" w:rsidR="00D73750" w:rsidRPr="006F2661" w:rsidRDefault="00D73750" w:rsidP="00D73750">
      <w:pPr>
        <w:spacing w:after="0" w:line="480" w:lineRule="auto"/>
        <w:rPr>
          <w:rFonts w:ascii="Times New Roman" w:hAnsi="Times New Roman" w:cs="Times New Roman"/>
          <w:bCs/>
          <w:sz w:val="24"/>
          <w:szCs w:val="24"/>
          <w:lang w:val="en-US"/>
        </w:rPr>
      </w:pPr>
      <w:r w:rsidRPr="006F2661">
        <w:rPr>
          <w:rFonts w:ascii="Times New Roman" w:hAnsi="Times New Roman" w:cs="Times New Roman"/>
          <w:bCs/>
          <w:sz w:val="24"/>
          <w:szCs w:val="24"/>
          <w:vertAlign w:val="superscript"/>
          <w:lang w:val="en-US"/>
        </w:rPr>
        <w:t>1</w:t>
      </w:r>
      <w:r w:rsidRPr="006F2661">
        <w:rPr>
          <w:rFonts w:ascii="Times New Roman" w:hAnsi="Times New Roman" w:cs="Times New Roman"/>
          <w:bCs/>
          <w:sz w:val="24"/>
          <w:szCs w:val="24"/>
          <w:lang w:val="en-US"/>
        </w:rPr>
        <w:t>University of Eastern Finland Business School</w:t>
      </w:r>
    </w:p>
    <w:p w14:paraId="2A8951B8" w14:textId="77777777" w:rsidR="00D73750" w:rsidRDefault="00D73750" w:rsidP="00D73750">
      <w:pPr>
        <w:spacing w:after="0" w:line="480" w:lineRule="auto"/>
        <w:rPr>
          <w:rFonts w:ascii="Times New Roman" w:hAnsi="Times New Roman" w:cs="Times New Roman"/>
          <w:bCs/>
          <w:sz w:val="24"/>
          <w:szCs w:val="24"/>
          <w:lang w:val="en-US"/>
        </w:rPr>
      </w:pPr>
      <w:r w:rsidRPr="006F2661">
        <w:rPr>
          <w:rFonts w:ascii="Times New Roman" w:hAnsi="Times New Roman" w:cs="Times New Roman"/>
          <w:bCs/>
          <w:sz w:val="24"/>
          <w:szCs w:val="24"/>
          <w:vertAlign w:val="superscript"/>
          <w:lang w:val="en-US"/>
        </w:rPr>
        <w:t>2</w:t>
      </w:r>
      <w:r w:rsidRPr="006F2661">
        <w:rPr>
          <w:rFonts w:ascii="Times New Roman" w:hAnsi="Times New Roman" w:cs="Times New Roman"/>
          <w:bCs/>
          <w:sz w:val="24"/>
          <w:szCs w:val="24"/>
          <w:lang w:val="en-US"/>
        </w:rPr>
        <w:t>University of Liverpool Management School</w:t>
      </w:r>
    </w:p>
    <w:p w14:paraId="7110CCDE" w14:textId="77777777" w:rsidR="00D73750" w:rsidRPr="006F2661" w:rsidRDefault="00D73750" w:rsidP="00D73750">
      <w:pPr>
        <w:spacing w:after="0" w:line="480" w:lineRule="auto"/>
        <w:rPr>
          <w:rFonts w:ascii="Times New Roman" w:hAnsi="Times New Roman" w:cs="Times New Roman"/>
          <w:bCs/>
          <w:sz w:val="24"/>
          <w:szCs w:val="24"/>
          <w:lang w:val="en-US"/>
        </w:rPr>
      </w:pPr>
      <w:r w:rsidRPr="006F2661">
        <w:rPr>
          <w:rFonts w:ascii="Times New Roman" w:hAnsi="Times New Roman" w:cs="Times New Roman"/>
          <w:bCs/>
          <w:sz w:val="24"/>
          <w:szCs w:val="24"/>
          <w:vertAlign w:val="superscript"/>
          <w:lang w:val="en-US"/>
        </w:rPr>
        <w:t>*</w:t>
      </w:r>
      <w:r>
        <w:rPr>
          <w:rFonts w:ascii="Times New Roman" w:hAnsi="Times New Roman" w:cs="Times New Roman"/>
          <w:bCs/>
          <w:sz w:val="24"/>
          <w:szCs w:val="24"/>
          <w:lang w:val="en-US"/>
        </w:rPr>
        <w:t>Corresponding author</w:t>
      </w:r>
    </w:p>
    <w:p w14:paraId="2C90565D" w14:textId="77777777" w:rsidR="00D73750" w:rsidRDefault="00D73750" w:rsidP="00D73750">
      <w:pPr>
        <w:rPr>
          <w:rFonts w:ascii="Times New Roman" w:eastAsia="Calibri" w:hAnsi="Times New Roman" w:cs="Times New Roman"/>
          <w:color w:val="000000"/>
          <w:sz w:val="24"/>
          <w:szCs w:val="24"/>
        </w:rPr>
      </w:pPr>
      <w:r w:rsidRPr="006F2661">
        <w:rPr>
          <w:rFonts w:ascii="Times New Roman" w:eastAsia="Calibri" w:hAnsi="Times New Roman" w:cs="Times New Roman"/>
          <w:color w:val="000000"/>
          <w:sz w:val="24"/>
          <w:szCs w:val="24"/>
        </w:rPr>
        <w:t>Jani Saastamoinen is an associate professor at the University of Eastern Finland Business School. His research interests include financial decision making and the economics of gambling markets.</w:t>
      </w:r>
      <w:r>
        <w:rPr>
          <w:rFonts w:ascii="Times New Roman" w:eastAsia="Calibri" w:hAnsi="Times New Roman" w:cs="Times New Roman"/>
          <w:color w:val="000000"/>
          <w:sz w:val="24"/>
          <w:szCs w:val="24"/>
        </w:rPr>
        <w:t xml:space="preserve"> </w:t>
      </w:r>
    </w:p>
    <w:p w14:paraId="384DEF0C" w14:textId="77777777" w:rsidR="00D73750" w:rsidRPr="006F2661" w:rsidRDefault="00D73750" w:rsidP="00D737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Contact details: University of Eastern Finland, P.O. Box 111, FI-81101 Joensuu, Finland; e-mail: </w:t>
      </w:r>
      <w:hyperlink r:id="rId8" w:history="1">
        <w:r w:rsidRPr="003066C3">
          <w:rPr>
            <w:rStyle w:val="Hyperlink"/>
            <w:rFonts w:ascii="Times New Roman" w:eastAsia="Calibri" w:hAnsi="Times New Roman"/>
            <w:sz w:val="24"/>
            <w:szCs w:val="24"/>
          </w:rPr>
          <w:t>jani.saastamoinen@uef.fi</w:t>
        </w:r>
      </w:hyperlink>
      <w:r>
        <w:rPr>
          <w:rFonts w:ascii="Times New Roman" w:eastAsia="Calibri" w:hAnsi="Times New Roman" w:cs="Times New Roman"/>
          <w:color w:val="000000"/>
          <w:sz w:val="24"/>
          <w:szCs w:val="24"/>
        </w:rPr>
        <w:t xml:space="preserve"> </w:t>
      </w:r>
    </w:p>
    <w:p w14:paraId="20D88138" w14:textId="77777777" w:rsidR="00D73750" w:rsidRDefault="00D73750" w:rsidP="00D73750">
      <w:pPr>
        <w:rPr>
          <w:rFonts w:ascii="Times New Roman" w:eastAsia="Calibri" w:hAnsi="Times New Roman" w:cs="Times New Roman"/>
          <w:color w:val="000000"/>
          <w:sz w:val="24"/>
          <w:szCs w:val="24"/>
        </w:rPr>
      </w:pPr>
      <w:bookmarkStart w:id="1" w:name="_Hlk47273365"/>
      <w:r w:rsidRPr="006F2661">
        <w:rPr>
          <w:rFonts w:ascii="Times New Roman" w:eastAsia="Calibri" w:hAnsi="Times New Roman" w:cs="Times New Roman"/>
          <w:color w:val="000000"/>
          <w:sz w:val="24"/>
          <w:szCs w:val="24"/>
        </w:rPr>
        <w:t>Niko Suhonen is a university lecturer at the University of Eastern Finland Business School. His research interests include behavioural economics, gambling markets and risk-taking.</w:t>
      </w:r>
    </w:p>
    <w:p w14:paraId="2CE1FD5D" w14:textId="77777777" w:rsidR="00D73750" w:rsidRPr="006F2661" w:rsidRDefault="00D73750" w:rsidP="00D737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Contact details: University of Eastern Finland, P.O. Box 111, FI-81101 Joensuu, Finland; e-mail: </w:t>
      </w:r>
      <w:hyperlink r:id="rId9" w:history="1">
        <w:r w:rsidRPr="003066C3">
          <w:rPr>
            <w:rStyle w:val="Hyperlink"/>
            <w:rFonts w:ascii="Times New Roman" w:eastAsia="Calibri" w:hAnsi="Times New Roman"/>
            <w:sz w:val="24"/>
            <w:szCs w:val="24"/>
          </w:rPr>
          <w:t>niko.suhonen@uef.fi</w:t>
        </w:r>
      </w:hyperlink>
      <w:r>
        <w:rPr>
          <w:rFonts w:ascii="Times New Roman" w:eastAsia="Calibri" w:hAnsi="Times New Roman" w:cs="Times New Roman"/>
          <w:color w:val="000000"/>
          <w:sz w:val="24"/>
          <w:szCs w:val="24"/>
        </w:rPr>
        <w:t xml:space="preserve"> </w:t>
      </w:r>
    </w:p>
    <w:bookmarkEnd w:id="1"/>
    <w:p w14:paraId="74C19F37" w14:textId="77777777" w:rsidR="00D73750" w:rsidRDefault="00D73750" w:rsidP="00D73750">
      <w:pPr>
        <w:rPr>
          <w:rFonts w:ascii="Times New Roman" w:eastAsia="Calibri" w:hAnsi="Times New Roman" w:cs="Times New Roman"/>
          <w:sz w:val="24"/>
          <w:szCs w:val="24"/>
          <w:lang w:val="en-US"/>
        </w:rPr>
      </w:pPr>
      <w:r w:rsidRPr="006F2661">
        <w:rPr>
          <w:rFonts w:ascii="Times New Roman" w:eastAsia="Calibri" w:hAnsi="Times New Roman" w:cs="Times New Roman"/>
          <w:sz w:val="24"/>
          <w:szCs w:val="24"/>
          <w:lang w:val="en-US"/>
        </w:rPr>
        <w:t>Tuomo Kainulainen is a Ph.D. student at the University of Eastern Finland Business School. His research interests include empirical measurement of betting and gambling problems.</w:t>
      </w:r>
    </w:p>
    <w:p w14:paraId="4305F74B" w14:textId="77777777" w:rsidR="00D73750" w:rsidRPr="006F2661" w:rsidRDefault="00D73750" w:rsidP="00D737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Contact details: University of Eastern Finland, P.O. Box 111, FI-81101 Joensuu, Finland; e-mail: </w:t>
      </w:r>
      <w:hyperlink r:id="rId10" w:history="1">
        <w:r w:rsidRPr="003066C3">
          <w:rPr>
            <w:rStyle w:val="Hyperlink"/>
            <w:rFonts w:ascii="Times New Roman" w:eastAsia="Calibri" w:hAnsi="Times New Roman"/>
            <w:sz w:val="24"/>
            <w:szCs w:val="24"/>
          </w:rPr>
          <w:t>tuomo.kainulainen@uef.fi</w:t>
        </w:r>
      </w:hyperlink>
      <w:r>
        <w:rPr>
          <w:rFonts w:ascii="Times New Roman" w:eastAsia="Calibri" w:hAnsi="Times New Roman" w:cs="Times New Roman"/>
          <w:color w:val="000000"/>
          <w:sz w:val="24"/>
          <w:szCs w:val="24"/>
        </w:rPr>
        <w:t xml:space="preserve"> </w:t>
      </w:r>
    </w:p>
    <w:p w14:paraId="56ECCAE4" w14:textId="77777777" w:rsidR="00D73750" w:rsidRDefault="00D73750" w:rsidP="00D73750">
      <w:pPr>
        <w:rPr>
          <w:rFonts w:ascii="Times New Roman" w:eastAsia="Calibri" w:hAnsi="Times New Roman" w:cs="Times New Roman"/>
          <w:color w:val="000000"/>
          <w:sz w:val="24"/>
          <w:szCs w:val="24"/>
          <w:lang w:val="en-US"/>
        </w:rPr>
      </w:pPr>
      <w:r w:rsidRPr="006F2661">
        <w:rPr>
          <w:rFonts w:ascii="Times New Roman" w:eastAsia="Calibri" w:hAnsi="Times New Roman" w:cs="Times New Roman"/>
          <w:color w:val="000000"/>
          <w:sz w:val="24"/>
          <w:szCs w:val="24"/>
          <w:lang w:val="en-US"/>
        </w:rPr>
        <w:t>David Forrest is Professor of Economics in the University of Liverpool Management School and a member of its Centre for Sports Business. His principal research interests are in sports economics and in the economics of gambling.</w:t>
      </w:r>
      <w:r>
        <w:rPr>
          <w:rFonts w:ascii="Times New Roman" w:eastAsia="Calibri" w:hAnsi="Times New Roman" w:cs="Times New Roman"/>
          <w:color w:val="000000"/>
          <w:sz w:val="24"/>
          <w:szCs w:val="24"/>
          <w:lang w:val="en-US"/>
        </w:rPr>
        <w:t xml:space="preserve"> </w:t>
      </w:r>
    </w:p>
    <w:p w14:paraId="55307414" w14:textId="77777777" w:rsidR="00D73750" w:rsidRPr="006F2661" w:rsidRDefault="00D73750" w:rsidP="00D737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Contact details: University of Liverpool, </w:t>
      </w:r>
      <w:r w:rsidRPr="006F2661">
        <w:rPr>
          <w:rFonts w:ascii="Times New Roman" w:eastAsia="Calibri" w:hAnsi="Times New Roman" w:cs="Times New Roman"/>
          <w:color w:val="000000"/>
          <w:sz w:val="24"/>
          <w:szCs w:val="24"/>
        </w:rPr>
        <w:t>Liverpool L69 3BX, United Kingdom</w:t>
      </w:r>
      <w:r>
        <w:rPr>
          <w:rFonts w:ascii="Times New Roman" w:eastAsia="Calibri" w:hAnsi="Times New Roman" w:cs="Times New Roman"/>
          <w:color w:val="000000"/>
          <w:sz w:val="24"/>
          <w:szCs w:val="24"/>
        </w:rPr>
        <w:t xml:space="preserve">; e-mail: </w:t>
      </w:r>
      <w:hyperlink r:id="rId11" w:history="1">
        <w:r w:rsidRPr="003066C3">
          <w:rPr>
            <w:rStyle w:val="Hyperlink"/>
            <w:rFonts w:ascii="Times New Roman" w:eastAsia="Calibri" w:hAnsi="Times New Roman"/>
            <w:sz w:val="24"/>
            <w:szCs w:val="24"/>
          </w:rPr>
          <w:t>David.Forrest@liverpool.ac.uk</w:t>
        </w:r>
      </w:hyperlink>
      <w:r>
        <w:rPr>
          <w:rFonts w:ascii="Times New Roman" w:eastAsia="Calibri" w:hAnsi="Times New Roman" w:cs="Times New Roman"/>
          <w:color w:val="000000"/>
          <w:sz w:val="24"/>
          <w:szCs w:val="24"/>
        </w:rPr>
        <w:t xml:space="preserve"> </w:t>
      </w:r>
    </w:p>
    <w:p w14:paraId="3EE208A5" w14:textId="77777777" w:rsidR="00D73750" w:rsidRPr="006F2661" w:rsidRDefault="00D73750" w:rsidP="00D73750">
      <w:pPr>
        <w:spacing w:after="0" w:line="240" w:lineRule="auto"/>
        <w:rPr>
          <w:rFonts w:ascii="Times New Roman" w:eastAsia="Calibri" w:hAnsi="Times New Roman" w:cs="Times New Roman"/>
          <w:color w:val="000000"/>
          <w:sz w:val="24"/>
          <w:szCs w:val="24"/>
        </w:rPr>
      </w:pPr>
    </w:p>
    <w:p w14:paraId="511ADD0E" w14:textId="7B7D845A" w:rsidR="00D73750" w:rsidRDefault="00D73750" w:rsidP="00A540E5">
      <w:pPr>
        <w:spacing w:after="0" w:line="480" w:lineRule="auto"/>
        <w:jc w:val="center"/>
        <w:rPr>
          <w:rFonts w:ascii="Times New Roman" w:hAnsi="Times New Roman" w:cs="Times New Roman"/>
          <w:b/>
          <w:color w:val="000000" w:themeColor="text1"/>
          <w:sz w:val="24"/>
          <w:szCs w:val="24"/>
        </w:rPr>
      </w:pPr>
    </w:p>
    <w:p w14:paraId="194B6908" w14:textId="77777777" w:rsidR="00D73750" w:rsidRDefault="00D73750" w:rsidP="00A540E5">
      <w:pPr>
        <w:spacing w:after="0" w:line="480" w:lineRule="auto"/>
        <w:jc w:val="center"/>
        <w:rPr>
          <w:rFonts w:ascii="Times New Roman" w:hAnsi="Times New Roman" w:cs="Times New Roman"/>
          <w:b/>
          <w:color w:val="000000" w:themeColor="text1"/>
          <w:sz w:val="24"/>
          <w:szCs w:val="24"/>
        </w:rPr>
      </w:pPr>
    </w:p>
    <w:p w14:paraId="3B5D7469" w14:textId="3730402D" w:rsidR="00712423" w:rsidRPr="0078472B" w:rsidRDefault="002B0C9F" w:rsidP="00A540E5">
      <w:pPr>
        <w:spacing w:after="0" w:line="480" w:lineRule="auto"/>
        <w:jc w:val="center"/>
        <w:rPr>
          <w:rFonts w:ascii="Times New Roman" w:hAnsi="Times New Roman" w:cs="Times New Roman"/>
          <w:b/>
          <w:color w:val="000000" w:themeColor="text1"/>
          <w:sz w:val="24"/>
          <w:szCs w:val="24"/>
        </w:rPr>
      </w:pPr>
      <w:r w:rsidRPr="0078472B">
        <w:rPr>
          <w:rFonts w:ascii="Times New Roman" w:hAnsi="Times New Roman" w:cs="Times New Roman"/>
          <w:b/>
          <w:color w:val="000000" w:themeColor="text1"/>
          <w:sz w:val="24"/>
          <w:szCs w:val="24"/>
        </w:rPr>
        <w:lastRenderedPageBreak/>
        <w:t>ABSTRACT</w:t>
      </w:r>
    </w:p>
    <w:p w14:paraId="0B47A768" w14:textId="744042F7" w:rsidR="00712423" w:rsidRPr="0078472B" w:rsidRDefault="00A540E5"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While the viability of many racing industries depends crucially on the sport attracting online bettors</w:t>
      </w:r>
      <w:r w:rsidR="00712423" w:rsidRPr="0078472B">
        <w:rPr>
          <w:rFonts w:ascii="Times New Roman" w:hAnsi="Times New Roman" w:cs="Times New Roman"/>
          <w:color w:val="000000" w:themeColor="text1"/>
          <w:sz w:val="24"/>
          <w:szCs w:val="24"/>
        </w:rPr>
        <w:t>, relatively little is known about the role the local offline environment</w:t>
      </w:r>
      <w:r w:rsidRPr="0078472B">
        <w:rPr>
          <w:rFonts w:ascii="Times New Roman" w:hAnsi="Times New Roman" w:cs="Times New Roman"/>
          <w:color w:val="000000" w:themeColor="text1"/>
          <w:sz w:val="24"/>
          <w:szCs w:val="24"/>
        </w:rPr>
        <w:t xml:space="preserve"> and fan interest</w:t>
      </w:r>
      <w:r w:rsidR="00712423" w:rsidRPr="0078472B">
        <w:rPr>
          <w:rFonts w:ascii="Times New Roman" w:hAnsi="Times New Roman" w:cs="Times New Roman"/>
          <w:color w:val="000000" w:themeColor="text1"/>
          <w:sz w:val="24"/>
          <w:szCs w:val="24"/>
        </w:rPr>
        <w:t xml:space="preserve"> plays in consumers’ online gambling.</w:t>
      </w:r>
      <w:r w:rsidRPr="0078472B">
        <w:rPr>
          <w:rFonts w:ascii="Times New Roman" w:hAnsi="Times New Roman" w:cs="Times New Roman"/>
          <w:color w:val="000000" w:themeColor="text1"/>
          <w:sz w:val="24"/>
          <w:szCs w:val="24"/>
        </w:rPr>
        <w:t xml:space="preserve"> </w:t>
      </w:r>
      <w:r w:rsidR="00712423" w:rsidRPr="0078472B">
        <w:rPr>
          <w:rFonts w:ascii="Times New Roman" w:hAnsi="Times New Roman" w:cs="Times New Roman"/>
          <w:color w:val="000000" w:themeColor="text1"/>
          <w:sz w:val="24"/>
          <w:szCs w:val="24"/>
        </w:rPr>
        <w:t xml:space="preserve">Using Finland as a data source, this paper investigates how off-track betting opportunities and the level of interest in horses in a local environment are associated with online horse race betting engagement. Whilst previous research has usually relied on self-reported surveys, </w:t>
      </w:r>
      <w:r w:rsidR="00FC202C" w:rsidRPr="0078472B">
        <w:rPr>
          <w:rFonts w:ascii="Times New Roman" w:hAnsi="Times New Roman" w:cs="Times New Roman"/>
          <w:color w:val="000000" w:themeColor="text1"/>
          <w:sz w:val="24"/>
          <w:szCs w:val="24"/>
        </w:rPr>
        <w:t>we</w:t>
      </w:r>
      <w:r w:rsidR="00712423" w:rsidRPr="0078472B">
        <w:rPr>
          <w:rFonts w:ascii="Times New Roman" w:hAnsi="Times New Roman" w:cs="Times New Roman"/>
          <w:color w:val="000000" w:themeColor="text1"/>
          <w:sz w:val="24"/>
          <w:szCs w:val="24"/>
        </w:rPr>
        <w:t xml:space="preserve"> use</w:t>
      </w:r>
      <w:r w:rsidR="00FC202C" w:rsidRPr="0078472B">
        <w:rPr>
          <w:rFonts w:ascii="Times New Roman" w:hAnsi="Times New Roman" w:cs="Times New Roman"/>
          <w:color w:val="000000" w:themeColor="text1"/>
          <w:sz w:val="24"/>
          <w:szCs w:val="24"/>
        </w:rPr>
        <w:t xml:space="preserve"> objective data </w:t>
      </w:r>
      <w:r w:rsidR="00712423" w:rsidRPr="0078472B">
        <w:rPr>
          <w:rFonts w:ascii="Times New Roman" w:hAnsi="Times New Roman" w:cs="Times New Roman"/>
          <w:color w:val="000000" w:themeColor="text1"/>
          <w:sz w:val="24"/>
          <w:szCs w:val="24"/>
        </w:rPr>
        <w:t xml:space="preserve">extracted from consumers’ online horse race betting accounts and data sources covering the horse race betting environment, equine statistics and socio-demographic statistics of Finnish municipalities. Our findings suggest that the off-track betting environment and the level of interest in horses in a municipality appear to be predictors of online horse race betting </w:t>
      </w:r>
      <w:r w:rsidR="002F3FCF" w:rsidRPr="0078472B">
        <w:rPr>
          <w:rFonts w:ascii="Times New Roman" w:hAnsi="Times New Roman" w:cs="Times New Roman"/>
          <w:color w:val="000000" w:themeColor="text1"/>
          <w:sz w:val="24"/>
          <w:szCs w:val="24"/>
        </w:rPr>
        <w:t>engagement</w:t>
      </w:r>
      <w:r w:rsidR="00FC202C" w:rsidRPr="0078472B">
        <w:rPr>
          <w:rFonts w:ascii="Times New Roman" w:hAnsi="Times New Roman" w:cs="Times New Roman"/>
          <w:color w:val="000000" w:themeColor="text1"/>
          <w:sz w:val="24"/>
          <w:szCs w:val="24"/>
        </w:rPr>
        <w:t xml:space="preserve"> as measured by betting volume and the number of bettors</w:t>
      </w:r>
      <w:r w:rsidR="00712423" w:rsidRPr="0078472B">
        <w:rPr>
          <w:rFonts w:ascii="Times New Roman" w:hAnsi="Times New Roman" w:cs="Times New Roman"/>
          <w:color w:val="000000" w:themeColor="text1"/>
          <w:sz w:val="24"/>
          <w:szCs w:val="24"/>
        </w:rPr>
        <w:t>.</w:t>
      </w:r>
      <w:r w:rsidR="001E6CB5" w:rsidRPr="0078472B">
        <w:rPr>
          <w:rFonts w:ascii="Times New Roman" w:hAnsi="Times New Roman" w:cs="Times New Roman"/>
          <w:color w:val="000000" w:themeColor="text1"/>
          <w:sz w:val="24"/>
          <w:szCs w:val="24"/>
        </w:rPr>
        <w:t xml:space="preserve"> </w:t>
      </w:r>
    </w:p>
    <w:p w14:paraId="7AD8F802" w14:textId="77777777" w:rsidR="007B3E13" w:rsidRPr="0078472B" w:rsidRDefault="007B3E13" w:rsidP="00A540E5">
      <w:pPr>
        <w:spacing w:after="0" w:line="480" w:lineRule="auto"/>
        <w:jc w:val="both"/>
        <w:rPr>
          <w:rFonts w:ascii="Times New Roman" w:hAnsi="Times New Roman" w:cs="Times New Roman"/>
          <w:color w:val="000000" w:themeColor="text1"/>
          <w:sz w:val="24"/>
          <w:szCs w:val="24"/>
        </w:rPr>
      </w:pPr>
    </w:p>
    <w:p w14:paraId="22198819" w14:textId="3A7A7D5F" w:rsidR="00712423" w:rsidRPr="0078472B" w:rsidRDefault="00712423" w:rsidP="00A540E5">
      <w:pPr>
        <w:spacing w:after="0" w:line="480" w:lineRule="auto"/>
        <w:rPr>
          <w:rFonts w:ascii="Times New Roman" w:hAnsi="Times New Roman" w:cs="Times New Roman"/>
          <w:color w:val="000000" w:themeColor="text1"/>
          <w:sz w:val="24"/>
          <w:szCs w:val="24"/>
        </w:rPr>
      </w:pPr>
      <w:r w:rsidRPr="0078472B">
        <w:rPr>
          <w:rFonts w:ascii="Times New Roman" w:hAnsi="Times New Roman" w:cs="Times New Roman"/>
          <w:b/>
          <w:color w:val="000000" w:themeColor="text1"/>
          <w:sz w:val="24"/>
          <w:szCs w:val="24"/>
        </w:rPr>
        <w:t>Keywords</w:t>
      </w:r>
      <w:r w:rsidRPr="0078472B">
        <w:rPr>
          <w:rFonts w:ascii="Times New Roman" w:hAnsi="Times New Roman" w:cs="Times New Roman"/>
          <w:color w:val="000000" w:themeColor="text1"/>
          <w:sz w:val="24"/>
          <w:szCs w:val="24"/>
        </w:rPr>
        <w:t>: Internet gambling, environmental effects, betting, horse racing, gambling consumption</w:t>
      </w:r>
    </w:p>
    <w:p w14:paraId="0828826D" w14:textId="4BEA59AB" w:rsidR="00412734" w:rsidRPr="0078472B" w:rsidRDefault="00412734" w:rsidP="00A540E5">
      <w:pPr>
        <w:spacing w:after="0" w:line="480" w:lineRule="auto"/>
        <w:rPr>
          <w:rFonts w:ascii="Times New Roman" w:hAnsi="Times New Roman" w:cs="Times New Roman"/>
          <w:color w:val="000000" w:themeColor="text1"/>
          <w:sz w:val="24"/>
          <w:szCs w:val="24"/>
        </w:rPr>
      </w:pPr>
      <w:r w:rsidRPr="0078472B">
        <w:rPr>
          <w:rFonts w:ascii="Times New Roman" w:hAnsi="Times New Roman" w:cs="Times New Roman"/>
          <w:b/>
          <w:bCs/>
          <w:color w:val="000000" w:themeColor="text1"/>
          <w:sz w:val="24"/>
          <w:szCs w:val="24"/>
        </w:rPr>
        <w:t>JEL Codes</w:t>
      </w:r>
      <w:r w:rsidRPr="0078472B">
        <w:rPr>
          <w:rFonts w:ascii="Times New Roman" w:hAnsi="Times New Roman" w:cs="Times New Roman"/>
          <w:color w:val="000000" w:themeColor="text1"/>
          <w:sz w:val="24"/>
          <w:szCs w:val="24"/>
        </w:rPr>
        <w:t>: L83, Z21</w:t>
      </w:r>
    </w:p>
    <w:p w14:paraId="530C053D" w14:textId="7D0926F4" w:rsidR="00922D33" w:rsidRDefault="00922D33" w:rsidP="00A540E5">
      <w:pPr>
        <w:spacing w:after="0" w:line="480" w:lineRule="auto"/>
        <w:rPr>
          <w:rFonts w:ascii="Times New Roman" w:hAnsi="Times New Roman" w:cs="Times New Roman"/>
          <w:color w:val="000000" w:themeColor="text1"/>
          <w:sz w:val="24"/>
          <w:szCs w:val="24"/>
        </w:rPr>
      </w:pPr>
    </w:p>
    <w:p w14:paraId="632850AE" w14:textId="1CAC0EBC" w:rsidR="00D73750" w:rsidRDefault="00D73750" w:rsidP="00A540E5">
      <w:pPr>
        <w:spacing w:after="0" w:line="480" w:lineRule="auto"/>
        <w:rPr>
          <w:rFonts w:ascii="Times New Roman" w:hAnsi="Times New Roman" w:cs="Times New Roman"/>
          <w:color w:val="000000" w:themeColor="text1"/>
          <w:sz w:val="24"/>
          <w:szCs w:val="24"/>
        </w:rPr>
      </w:pPr>
    </w:p>
    <w:p w14:paraId="0FBE0EE0" w14:textId="094D7348" w:rsidR="00D73750" w:rsidRDefault="00D73750" w:rsidP="00A540E5">
      <w:pPr>
        <w:spacing w:after="0" w:line="480" w:lineRule="auto"/>
        <w:rPr>
          <w:rFonts w:ascii="Times New Roman" w:hAnsi="Times New Roman" w:cs="Times New Roman"/>
          <w:color w:val="000000" w:themeColor="text1"/>
          <w:sz w:val="24"/>
          <w:szCs w:val="24"/>
        </w:rPr>
      </w:pPr>
    </w:p>
    <w:p w14:paraId="7B4C44B4" w14:textId="77777777" w:rsidR="00D73750" w:rsidRPr="0078472B" w:rsidRDefault="00D73750" w:rsidP="00A540E5">
      <w:pPr>
        <w:spacing w:after="0" w:line="480" w:lineRule="auto"/>
        <w:rPr>
          <w:rFonts w:ascii="Times New Roman" w:hAnsi="Times New Roman" w:cs="Times New Roman"/>
          <w:color w:val="000000" w:themeColor="text1"/>
          <w:sz w:val="24"/>
          <w:szCs w:val="24"/>
        </w:rPr>
      </w:pPr>
    </w:p>
    <w:p w14:paraId="1380043A" w14:textId="3A4EC5C0" w:rsidR="00922D33" w:rsidRPr="0078472B" w:rsidRDefault="00922D33" w:rsidP="00A540E5">
      <w:pPr>
        <w:spacing w:after="0" w:line="480" w:lineRule="auto"/>
        <w:rPr>
          <w:rFonts w:ascii="Times New Roman" w:hAnsi="Times New Roman" w:cs="Times New Roman"/>
          <w:color w:val="000000" w:themeColor="text1"/>
          <w:sz w:val="24"/>
          <w:szCs w:val="24"/>
        </w:rPr>
      </w:pPr>
    </w:p>
    <w:p w14:paraId="208F2508" w14:textId="5A59500F" w:rsidR="00283F83" w:rsidRPr="0078472B" w:rsidRDefault="00C74E6B" w:rsidP="00C74E6B">
      <w:pPr>
        <w:spacing w:after="0" w:line="480" w:lineRule="auto"/>
        <w:jc w:val="center"/>
        <w:rPr>
          <w:rFonts w:ascii="Times New Roman" w:hAnsi="Times New Roman" w:cs="Times New Roman"/>
          <w:b/>
          <w:color w:val="000000" w:themeColor="text1"/>
          <w:sz w:val="24"/>
          <w:szCs w:val="24"/>
        </w:rPr>
      </w:pPr>
      <w:r w:rsidRPr="0078472B">
        <w:rPr>
          <w:rFonts w:ascii="Times New Roman" w:hAnsi="Times New Roman" w:cs="Times New Roman"/>
          <w:b/>
          <w:color w:val="000000" w:themeColor="text1"/>
          <w:sz w:val="24"/>
          <w:szCs w:val="24"/>
        </w:rPr>
        <w:lastRenderedPageBreak/>
        <w:t>INTRODUCTION</w:t>
      </w:r>
    </w:p>
    <w:p w14:paraId="74D776D1" w14:textId="750A5579" w:rsidR="003C07AE" w:rsidRPr="0078472B" w:rsidRDefault="00BA7E1F"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 xml:space="preserve">Nearly all racing industries are dependent on revenue claimed from betting activity </w:t>
      </w:r>
      <w:r w:rsidR="003C07AE" w:rsidRPr="0078472B">
        <w:rPr>
          <w:rFonts w:ascii="Times New Roman" w:hAnsi="Times New Roman" w:cs="Times New Roman"/>
          <w:color w:val="000000" w:themeColor="text1"/>
          <w:sz w:val="24"/>
          <w:szCs w:val="24"/>
        </w:rPr>
        <w:t xml:space="preserve">(Forrest </w:t>
      </w:r>
      <w:r w:rsidR="007B3E13" w:rsidRPr="0078472B">
        <w:rPr>
          <w:rFonts w:ascii="Times New Roman" w:hAnsi="Times New Roman" w:cs="Times New Roman"/>
          <w:color w:val="000000" w:themeColor="text1"/>
          <w:sz w:val="24"/>
          <w:szCs w:val="24"/>
        </w:rPr>
        <w:t xml:space="preserve">&amp; </w:t>
      </w:r>
      <w:r w:rsidR="003C07AE" w:rsidRPr="0078472B">
        <w:rPr>
          <w:rFonts w:ascii="Times New Roman" w:hAnsi="Times New Roman" w:cs="Times New Roman"/>
          <w:color w:val="000000" w:themeColor="text1"/>
          <w:sz w:val="24"/>
          <w:szCs w:val="24"/>
        </w:rPr>
        <w:t>Simmons, 2003)</w:t>
      </w:r>
      <w:r w:rsidRPr="0078472B">
        <w:rPr>
          <w:rFonts w:ascii="Times New Roman" w:hAnsi="Times New Roman" w:cs="Times New Roman"/>
          <w:color w:val="000000" w:themeColor="text1"/>
          <w:sz w:val="24"/>
          <w:szCs w:val="24"/>
        </w:rPr>
        <w:t>.</w:t>
      </w:r>
      <w:r w:rsidR="003C07AE" w:rsidRPr="0078472B">
        <w:rPr>
          <w:rFonts w:ascii="Times New Roman" w:hAnsi="Times New Roman" w:cs="Times New Roman"/>
          <w:color w:val="000000" w:themeColor="text1"/>
          <w:sz w:val="24"/>
          <w:szCs w:val="24"/>
        </w:rPr>
        <w:t xml:space="preserve"> Increasingly, this activity is online</w:t>
      </w:r>
      <w:r w:rsidRPr="0078472B">
        <w:rPr>
          <w:rFonts w:ascii="Times New Roman" w:hAnsi="Times New Roman" w:cs="Times New Roman"/>
          <w:color w:val="000000" w:themeColor="text1"/>
          <w:sz w:val="24"/>
          <w:szCs w:val="24"/>
        </w:rPr>
        <w:t xml:space="preserve"> </w:t>
      </w:r>
      <w:r w:rsidR="003C07AE" w:rsidRPr="0078472B">
        <w:rPr>
          <w:rFonts w:ascii="Times New Roman" w:hAnsi="Times New Roman" w:cs="Times New Roman"/>
          <w:color w:val="000000" w:themeColor="text1"/>
          <w:sz w:val="24"/>
          <w:szCs w:val="24"/>
        </w:rPr>
        <w:t>making t</w:t>
      </w:r>
      <w:r w:rsidRPr="0078472B">
        <w:rPr>
          <w:rFonts w:ascii="Times New Roman" w:hAnsi="Times New Roman" w:cs="Times New Roman"/>
          <w:color w:val="000000" w:themeColor="text1"/>
          <w:sz w:val="24"/>
          <w:szCs w:val="24"/>
        </w:rPr>
        <w:t xml:space="preserve">he viability of existing </w:t>
      </w:r>
      <w:r w:rsidR="003C07AE" w:rsidRPr="0078472B">
        <w:rPr>
          <w:rFonts w:ascii="Times New Roman" w:hAnsi="Times New Roman" w:cs="Times New Roman"/>
          <w:color w:val="000000" w:themeColor="text1"/>
          <w:sz w:val="24"/>
          <w:szCs w:val="24"/>
        </w:rPr>
        <w:t>racing industries depend</w:t>
      </w:r>
      <w:r w:rsidRPr="0078472B">
        <w:rPr>
          <w:rFonts w:ascii="Times New Roman" w:hAnsi="Times New Roman" w:cs="Times New Roman"/>
          <w:color w:val="000000" w:themeColor="text1"/>
          <w:sz w:val="24"/>
          <w:szCs w:val="24"/>
        </w:rPr>
        <w:t xml:space="preserve"> crucially on the sport attracting online bettors. </w:t>
      </w:r>
      <w:r w:rsidR="003C07AE" w:rsidRPr="0078472B">
        <w:rPr>
          <w:rFonts w:ascii="Times New Roman" w:hAnsi="Times New Roman" w:cs="Times New Roman"/>
          <w:color w:val="000000" w:themeColor="text1"/>
          <w:sz w:val="24"/>
          <w:szCs w:val="24"/>
        </w:rPr>
        <w:t xml:space="preserve">The purpose of this paper is to investigate how the offline gambling environment and interest in horses (‘equine interest’), as a special case of ‘sports interest’ (see Nelson et al. 2007), are associated with online betting activity. Compared to other betting activities, such as sports betting, a connection between betting and the institutional attributes of the horse race industry is, perhaps, stronger for two reasons. First, the prizes of horse races are at least in part paid from the betting revenues. Second, trainers, drivers, breeders and bettors are tightly networked with each another in the trot racing industry (Binde, 2011; Kruse, 2016). It is therefore worthwhile to examine who bets online and whether the revenue tapped is from existing horse enthusiasts or from a different audience. </w:t>
      </w:r>
    </w:p>
    <w:p w14:paraId="2FAE1D60" w14:textId="77777777" w:rsidR="003C07AE" w:rsidRPr="0078472B" w:rsidRDefault="003C07AE" w:rsidP="00A540E5">
      <w:pPr>
        <w:spacing w:after="0" w:line="480" w:lineRule="auto"/>
        <w:jc w:val="both"/>
        <w:rPr>
          <w:rFonts w:ascii="Times New Roman" w:hAnsi="Times New Roman" w:cs="Times New Roman"/>
          <w:color w:val="000000" w:themeColor="text1"/>
          <w:sz w:val="24"/>
          <w:szCs w:val="24"/>
        </w:rPr>
      </w:pPr>
    </w:p>
    <w:p w14:paraId="3B7E17F0" w14:textId="4C027C0F" w:rsidR="003C07AE" w:rsidRPr="0078472B" w:rsidRDefault="00BA7E1F"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W</w:t>
      </w:r>
      <w:r w:rsidR="009C5968" w:rsidRPr="0078472B">
        <w:rPr>
          <w:rFonts w:ascii="Times New Roman" w:hAnsi="Times New Roman" w:cs="Times New Roman"/>
          <w:color w:val="000000" w:themeColor="text1"/>
          <w:sz w:val="24"/>
          <w:szCs w:val="24"/>
        </w:rPr>
        <w:t>hile previous studies have</w:t>
      </w:r>
      <w:r w:rsidR="003C1F5B" w:rsidRPr="0078472B">
        <w:rPr>
          <w:rFonts w:ascii="Times New Roman" w:hAnsi="Times New Roman" w:cs="Times New Roman"/>
          <w:color w:val="000000" w:themeColor="text1"/>
          <w:sz w:val="24"/>
          <w:szCs w:val="24"/>
        </w:rPr>
        <w:t xml:space="preserve"> established motives and personal traits which are associated with</w:t>
      </w:r>
      <w:r w:rsidR="00A9496E" w:rsidRPr="0078472B">
        <w:rPr>
          <w:rFonts w:ascii="Times New Roman" w:hAnsi="Times New Roman" w:cs="Times New Roman"/>
          <w:color w:val="000000" w:themeColor="text1"/>
          <w:sz w:val="24"/>
          <w:szCs w:val="24"/>
        </w:rPr>
        <w:t xml:space="preserve"> the</w:t>
      </w:r>
      <w:r w:rsidR="003C1F5B" w:rsidRPr="0078472B">
        <w:rPr>
          <w:rFonts w:ascii="Times New Roman" w:hAnsi="Times New Roman" w:cs="Times New Roman"/>
          <w:color w:val="000000" w:themeColor="text1"/>
          <w:sz w:val="24"/>
          <w:szCs w:val="24"/>
        </w:rPr>
        <w:t xml:space="preserve"> gambling habits </w:t>
      </w:r>
      <w:r w:rsidR="00A9496E" w:rsidRPr="0078472B">
        <w:rPr>
          <w:rFonts w:ascii="Times New Roman" w:hAnsi="Times New Roman" w:cs="Times New Roman"/>
          <w:color w:val="000000" w:themeColor="text1"/>
          <w:sz w:val="24"/>
          <w:szCs w:val="24"/>
        </w:rPr>
        <w:t xml:space="preserve">of land-based gamblers </w:t>
      </w:r>
      <w:r w:rsidR="003C1F5B" w:rsidRPr="0078472B">
        <w:rPr>
          <w:rFonts w:ascii="Times New Roman" w:hAnsi="Times New Roman" w:cs="Times New Roman"/>
          <w:color w:val="000000" w:themeColor="text1"/>
          <w:sz w:val="24"/>
          <w:szCs w:val="24"/>
        </w:rPr>
        <w:t>(e.g.</w:t>
      </w:r>
      <w:r w:rsidR="00631EBA">
        <w:rPr>
          <w:rFonts w:ascii="Times New Roman" w:hAnsi="Times New Roman" w:cs="Times New Roman"/>
          <w:color w:val="000000" w:themeColor="text1"/>
          <w:sz w:val="24"/>
          <w:szCs w:val="24"/>
        </w:rPr>
        <w:t>,</w:t>
      </w:r>
      <w:r w:rsidR="003C1F5B" w:rsidRPr="0078472B">
        <w:rPr>
          <w:rFonts w:ascii="Times New Roman" w:hAnsi="Times New Roman" w:cs="Times New Roman"/>
          <w:color w:val="000000" w:themeColor="text1"/>
          <w:sz w:val="24"/>
          <w:szCs w:val="24"/>
        </w:rPr>
        <w:t xml:space="preserve"> </w:t>
      </w:r>
      <w:r w:rsidR="00A9496E" w:rsidRPr="0078472B">
        <w:rPr>
          <w:rFonts w:ascii="Times New Roman" w:hAnsi="Times New Roman" w:cs="Times New Roman"/>
          <w:color w:val="000000" w:themeColor="text1"/>
          <w:sz w:val="24"/>
          <w:szCs w:val="24"/>
        </w:rPr>
        <w:t>Welte et al.</w:t>
      </w:r>
      <w:r w:rsidR="00BE39FC" w:rsidRPr="0078472B">
        <w:rPr>
          <w:rFonts w:ascii="Times New Roman" w:hAnsi="Times New Roman" w:cs="Times New Roman"/>
          <w:color w:val="000000" w:themeColor="text1"/>
          <w:sz w:val="24"/>
          <w:szCs w:val="24"/>
        </w:rPr>
        <w:t>,</w:t>
      </w:r>
      <w:r w:rsidR="00A9496E" w:rsidRPr="0078472B">
        <w:rPr>
          <w:rFonts w:ascii="Times New Roman" w:hAnsi="Times New Roman" w:cs="Times New Roman"/>
          <w:color w:val="000000" w:themeColor="text1"/>
          <w:sz w:val="24"/>
          <w:szCs w:val="24"/>
        </w:rPr>
        <w:t xml:space="preserve"> 2004; </w:t>
      </w:r>
      <w:r w:rsidR="003C1F5B" w:rsidRPr="0078472B">
        <w:rPr>
          <w:rFonts w:ascii="Times New Roman" w:hAnsi="Times New Roman" w:cs="Times New Roman"/>
          <w:color w:val="000000" w:themeColor="text1"/>
          <w:sz w:val="24"/>
          <w:szCs w:val="24"/>
        </w:rPr>
        <w:t>Lam</w:t>
      </w:r>
      <w:r w:rsidR="00BE39FC" w:rsidRPr="0078472B">
        <w:rPr>
          <w:rFonts w:ascii="Times New Roman" w:hAnsi="Times New Roman" w:cs="Times New Roman"/>
          <w:color w:val="000000" w:themeColor="text1"/>
          <w:sz w:val="24"/>
          <w:szCs w:val="24"/>
        </w:rPr>
        <w:t>,</w:t>
      </w:r>
      <w:r w:rsidR="003C1F5B" w:rsidRPr="0078472B">
        <w:rPr>
          <w:rFonts w:ascii="Times New Roman" w:hAnsi="Times New Roman" w:cs="Times New Roman"/>
          <w:color w:val="000000" w:themeColor="text1"/>
          <w:sz w:val="24"/>
          <w:szCs w:val="24"/>
        </w:rPr>
        <w:t xml:space="preserve"> 2007</w:t>
      </w:r>
      <w:r w:rsidR="00A9496E" w:rsidRPr="0078472B">
        <w:rPr>
          <w:rFonts w:ascii="Times New Roman" w:hAnsi="Times New Roman" w:cs="Times New Roman"/>
          <w:color w:val="000000" w:themeColor="text1"/>
          <w:sz w:val="24"/>
          <w:szCs w:val="24"/>
        </w:rPr>
        <w:t>;</w:t>
      </w:r>
      <w:r w:rsidR="003C1F5B" w:rsidRPr="0078472B">
        <w:rPr>
          <w:rFonts w:ascii="Times New Roman" w:hAnsi="Times New Roman" w:cs="Times New Roman"/>
          <w:color w:val="000000" w:themeColor="text1"/>
          <w:sz w:val="24"/>
          <w:szCs w:val="24"/>
        </w:rPr>
        <w:t xml:space="preserve"> Fang </w:t>
      </w:r>
      <w:r w:rsidR="007B3E13" w:rsidRPr="0078472B">
        <w:rPr>
          <w:rFonts w:ascii="Times New Roman" w:hAnsi="Times New Roman" w:cs="Times New Roman"/>
          <w:color w:val="000000" w:themeColor="text1"/>
          <w:sz w:val="24"/>
          <w:szCs w:val="24"/>
        </w:rPr>
        <w:t>&amp;</w:t>
      </w:r>
      <w:r w:rsidR="003C1F5B" w:rsidRPr="0078472B">
        <w:rPr>
          <w:rFonts w:ascii="Times New Roman" w:hAnsi="Times New Roman" w:cs="Times New Roman"/>
          <w:color w:val="000000" w:themeColor="text1"/>
          <w:sz w:val="24"/>
          <w:szCs w:val="24"/>
        </w:rPr>
        <w:t xml:space="preserve"> Mowen</w:t>
      </w:r>
      <w:r w:rsidR="00BE39FC" w:rsidRPr="0078472B">
        <w:rPr>
          <w:rFonts w:ascii="Times New Roman" w:hAnsi="Times New Roman" w:cs="Times New Roman"/>
          <w:color w:val="000000" w:themeColor="text1"/>
          <w:sz w:val="24"/>
          <w:szCs w:val="24"/>
        </w:rPr>
        <w:t>,</w:t>
      </w:r>
      <w:r w:rsidR="003C1F5B" w:rsidRPr="0078472B">
        <w:rPr>
          <w:rFonts w:ascii="Times New Roman" w:hAnsi="Times New Roman" w:cs="Times New Roman"/>
          <w:color w:val="000000" w:themeColor="text1"/>
          <w:sz w:val="24"/>
          <w:szCs w:val="24"/>
        </w:rPr>
        <w:t xml:space="preserve"> 2009</w:t>
      </w:r>
      <w:r w:rsidR="00A9496E" w:rsidRPr="0078472B">
        <w:rPr>
          <w:rFonts w:ascii="Times New Roman" w:hAnsi="Times New Roman" w:cs="Times New Roman"/>
          <w:color w:val="000000" w:themeColor="text1"/>
          <w:sz w:val="24"/>
          <w:szCs w:val="24"/>
        </w:rPr>
        <w:t>;</w:t>
      </w:r>
      <w:r w:rsidR="003C1F5B" w:rsidRPr="0078472B">
        <w:rPr>
          <w:rFonts w:ascii="Times New Roman" w:hAnsi="Times New Roman" w:cs="Times New Roman"/>
          <w:color w:val="000000" w:themeColor="text1"/>
          <w:sz w:val="24"/>
          <w:szCs w:val="24"/>
        </w:rPr>
        <w:t xml:space="preserve"> Lloyd et al.</w:t>
      </w:r>
      <w:r w:rsidR="00BE39FC" w:rsidRPr="0078472B">
        <w:rPr>
          <w:rFonts w:ascii="Times New Roman" w:hAnsi="Times New Roman" w:cs="Times New Roman"/>
          <w:color w:val="000000" w:themeColor="text1"/>
          <w:sz w:val="24"/>
          <w:szCs w:val="24"/>
        </w:rPr>
        <w:t>,</w:t>
      </w:r>
      <w:r w:rsidR="003C1F5B" w:rsidRPr="0078472B">
        <w:rPr>
          <w:rFonts w:ascii="Times New Roman" w:hAnsi="Times New Roman" w:cs="Times New Roman"/>
          <w:color w:val="000000" w:themeColor="text1"/>
          <w:sz w:val="24"/>
          <w:szCs w:val="24"/>
        </w:rPr>
        <w:t xml:space="preserve"> 2010</w:t>
      </w:r>
      <w:r w:rsidR="00A9496E" w:rsidRPr="0078472B">
        <w:rPr>
          <w:rFonts w:ascii="Times New Roman" w:hAnsi="Times New Roman" w:cs="Times New Roman"/>
          <w:color w:val="000000" w:themeColor="text1"/>
          <w:sz w:val="24"/>
          <w:szCs w:val="24"/>
        </w:rPr>
        <w:t>)</w:t>
      </w:r>
      <w:r w:rsidR="009C5968" w:rsidRPr="0078472B">
        <w:rPr>
          <w:rFonts w:ascii="Times New Roman" w:hAnsi="Times New Roman" w:cs="Times New Roman"/>
          <w:color w:val="000000" w:themeColor="text1"/>
          <w:sz w:val="24"/>
          <w:szCs w:val="24"/>
        </w:rPr>
        <w:t>,</w:t>
      </w:r>
      <w:r w:rsidR="00A9496E" w:rsidRPr="0078472B">
        <w:rPr>
          <w:rFonts w:ascii="Times New Roman" w:hAnsi="Times New Roman" w:cs="Times New Roman"/>
          <w:color w:val="000000" w:themeColor="text1"/>
          <w:sz w:val="24"/>
          <w:szCs w:val="24"/>
        </w:rPr>
        <w:t xml:space="preserve"> r</w:t>
      </w:r>
      <w:r w:rsidR="00D2318B" w:rsidRPr="0078472B">
        <w:rPr>
          <w:rFonts w:ascii="Times New Roman" w:hAnsi="Times New Roman" w:cs="Times New Roman"/>
          <w:color w:val="000000" w:themeColor="text1"/>
          <w:sz w:val="24"/>
          <w:szCs w:val="24"/>
        </w:rPr>
        <w:t>ecent accounts</w:t>
      </w:r>
      <w:r w:rsidR="00C55959" w:rsidRPr="0078472B">
        <w:rPr>
          <w:rFonts w:ascii="Times New Roman" w:hAnsi="Times New Roman" w:cs="Times New Roman"/>
          <w:color w:val="000000" w:themeColor="text1"/>
          <w:sz w:val="24"/>
          <w:szCs w:val="24"/>
        </w:rPr>
        <w:t xml:space="preserve"> have</w:t>
      </w:r>
      <w:r w:rsidR="00D2318B" w:rsidRPr="0078472B">
        <w:rPr>
          <w:rFonts w:ascii="Times New Roman" w:hAnsi="Times New Roman" w:cs="Times New Roman"/>
          <w:color w:val="000000" w:themeColor="text1"/>
          <w:sz w:val="24"/>
          <w:szCs w:val="24"/>
        </w:rPr>
        <w:t xml:space="preserve"> </w:t>
      </w:r>
      <w:r w:rsidR="00796318" w:rsidRPr="0078472B">
        <w:rPr>
          <w:rFonts w:ascii="Times New Roman" w:hAnsi="Times New Roman" w:cs="Times New Roman"/>
          <w:color w:val="000000" w:themeColor="text1"/>
          <w:sz w:val="24"/>
          <w:szCs w:val="24"/>
        </w:rPr>
        <w:t>examin</w:t>
      </w:r>
      <w:r w:rsidR="00C55959" w:rsidRPr="0078472B">
        <w:rPr>
          <w:rFonts w:ascii="Times New Roman" w:hAnsi="Times New Roman" w:cs="Times New Roman"/>
          <w:color w:val="000000" w:themeColor="text1"/>
          <w:sz w:val="24"/>
          <w:szCs w:val="24"/>
        </w:rPr>
        <w:t xml:space="preserve">ed </w:t>
      </w:r>
      <w:r w:rsidR="0047339B" w:rsidRPr="0078472B">
        <w:rPr>
          <w:rFonts w:ascii="Times New Roman" w:hAnsi="Times New Roman" w:cs="Times New Roman"/>
          <w:color w:val="000000" w:themeColor="text1"/>
          <w:sz w:val="24"/>
          <w:szCs w:val="24"/>
        </w:rPr>
        <w:t>the</w:t>
      </w:r>
      <w:r w:rsidR="00D2318B" w:rsidRPr="0078472B">
        <w:rPr>
          <w:rFonts w:ascii="Times New Roman" w:hAnsi="Times New Roman" w:cs="Times New Roman"/>
          <w:color w:val="000000" w:themeColor="text1"/>
          <w:sz w:val="24"/>
          <w:szCs w:val="24"/>
        </w:rPr>
        <w:t xml:space="preserve"> </w:t>
      </w:r>
      <w:r w:rsidR="00FD4DA6" w:rsidRPr="0078472B">
        <w:rPr>
          <w:rFonts w:ascii="Times New Roman" w:hAnsi="Times New Roman" w:cs="Times New Roman"/>
          <w:color w:val="000000" w:themeColor="text1"/>
          <w:sz w:val="24"/>
          <w:szCs w:val="24"/>
        </w:rPr>
        <w:t>socio-demographic composition</w:t>
      </w:r>
      <w:r w:rsidR="00A9496E" w:rsidRPr="0078472B">
        <w:rPr>
          <w:rFonts w:ascii="Times New Roman" w:hAnsi="Times New Roman" w:cs="Times New Roman"/>
          <w:color w:val="000000" w:themeColor="text1"/>
          <w:sz w:val="24"/>
          <w:szCs w:val="24"/>
        </w:rPr>
        <w:t xml:space="preserve"> of online gamblers</w:t>
      </w:r>
      <w:r w:rsidR="00AD7350" w:rsidRPr="0078472B">
        <w:rPr>
          <w:rFonts w:ascii="Times New Roman" w:hAnsi="Times New Roman" w:cs="Times New Roman"/>
          <w:color w:val="000000" w:themeColor="text1"/>
          <w:sz w:val="24"/>
          <w:szCs w:val="24"/>
        </w:rPr>
        <w:t xml:space="preserve"> (e.g.</w:t>
      </w:r>
      <w:r w:rsidR="00631EBA">
        <w:rPr>
          <w:rFonts w:ascii="Times New Roman" w:hAnsi="Times New Roman" w:cs="Times New Roman"/>
          <w:color w:val="000000" w:themeColor="text1"/>
          <w:sz w:val="24"/>
          <w:szCs w:val="24"/>
        </w:rPr>
        <w:t>,</w:t>
      </w:r>
      <w:r w:rsidR="00AD7350" w:rsidRPr="0078472B">
        <w:rPr>
          <w:rFonts w:ascii="Times New Roman" w:hAnsi="Times New Roman" w:cs="Times New Roman"/>
          <w:color w:val="000000" w:themeColor="text1"/>
          <w:sz w:val="24"/>
          <w:szCs w:val="24"/>
        </w:rPr>
        <w:t xml:space="preserve"> </w:t>
      </w:r>
      <w:r w:rsidR="0044341F" w:rsidRPr="0078472B">
        <w:rPr>
          <w:rFonts w:ascii="Times New Roman" w:hAnsi="Times New Roman" w:cs="Times New Roman"/>
          <w:color w:val="000000" w:themeColor="text1"/>
          <w:sz w:val="24"/>
          <w:szCs w:val="24"/>
        </w:rPr>
        <w:t xml:space="preserve">Wood </w:t>
      </w:r>
      <w:r w:rsidR="007B3E13" w:rsidRPr="0078472B">
        <w:rPr>
          <w:rFonts w:ascii="Times New Roman" w:hAnsi="Times New Roman" w:cs="Times New Roman"/>
          <w:color w:val="000000" w:themeColor="text1"/>
          <w:sz w:val="24"/>
          <w:szCs w:val="24"/>
        </w:rPr>
        <w:t>&amp;</w:t>
      </w:r>
      <w:r w:rsidR="0044341F" w:rsidRPr="0078472B">
        <w:rPr>
          <w:rFonts w:ascii="Times New Roman" w:hAnsi="Times New Roman" w:cs="Times New Roman"/>
          <w:color w:val="000000" w:themeColor="text1"/>
          <w:sz w:val="24"/>
          <w:szCs w:val="24"/>
        </w:rPr>
        <w:t xml:space="preserve"> Williams, 2007; </w:t>
      </w:r>
      <w:r w:rsidR="00AD7350" w:rsidRPr="0078472B">
        <w:rPr>
          <w:rFonts w:ascii="Times New Roman" w:hAnsi="Times New Roman" w:cs="Times New Roman"/>
          <w:color w:val="000000" w:themeColor="text1"/>
          <w:sz w:val="24"/>
          <w:szCs w:val="24"/>
        </w:rPr>
        <w:t xml:space="preserve">Humphreys </w:t>
      </w:r>
      <w:r w:rsidR="007B3E13" w:rsidRPr="0078472B">
        <w:rPr>
          <w:rFonts w:ascii="Times New Roman" w:hAnsi="Times New Roman" w:cs="Times New Roman"/>
          <w:color w:val="000000" w:themeColor="text1"/>
          <w:sz w:val="24"/>
          <w:szCs w:val="24"/>
        </w:rPr>
        <w:t>&amp;</w:t>
      </w:r>
      <w:r w:rsidR="00AD7350" w:rsidRPr="0078472B">
        <w:rPr>
          <w:rFonts w:ascii="Times New Roman" w:hAnsi="Times New Roman" w:cs="Times New Roman"/>
          <w:color w:val="000000" w:themeColor="text1"/>
          <w:sz w:val="24"/>
          <w:szCs w:val="24"/>
        </w:rPr>
        <w:t xml:space="preserve"> Perez</w:t>
      </w:r>
      <w:r w:rsidR="00BE39FC" w:rsidRPr="0078472B">
        <w:rPr>
          <w:rFonts w:ascii="Times New Roman" w:hAnsi="Times New Roman" w:cs="Times New Roman"/>
          <w:color w:val="000000" w:themeColor="text1"/>
          <w:sz w:val="24"/>
          <w:szCs w:val="24"/>
        </w:rPr>
        <w:t>,</w:t>
      </w:r>
      <w:r w:rsidR="00AD7350" w:rsidRPr="0078472B">
        <w:rPr>
          <w:rFonts w:ascii="Times New Roman" w:hAnsi="Times New Roman" w:cs="Times New Roman"/>
          <w:color w:val="000000" w:themeColor="text1"/>
          <w:sz w:val="24"/>
          <w:szCs w:val="24"/>
        </w:rPr>
        <w:t xml:space="preserve"> 2012)</w:t>
      </w:r>
      <w:r w:rsidR="00FD4DA6" w:rsidRPr="0078472B">
        <w:rPr>
          <w:rFonts w:ascii="Times New Roman" w:hAnsi="Times New Roman" w:cs="Times New Roman"/>
          <w:color w:val="000000" w:themeColor="text1"/>
          <w:sz w:val="24"/>
          <w:szCs w:val="24"/>
        </w:rPr>
        <w:t>.</w:t>
      </w:r>
      <w:r w:rsidR="00EF1F38" w:rsidRPr="0078472B">
        <w:rPr>
          <w:rFonts w:ascii="Times New Roman" w:hAnsi="Times New Roman" w:cs="Times New Roman"/>
          <w:color w:val="000000" w:themeColor="text1"/>
          <w:sz w:val="24"/>
          <w:szCs w:val="24"/>
        </w:rPr>
        <w:t xml:space="preserve"> </w:t>
      </w:r>
      <w:r w:rsidR="00364F3F" w:rsidRPr="0078472B">
        <w:rPr>
          <w:rFonts w:ascii="Times New Roman" w:hAnsi="Times New Roman" w:cs="Times New Roman"/>
          <w:color w:val="000000" w:themeColor="text1"/>
          <w:sz w:val="24"/>
          <w:szCs w:val="24"/>
        </w:rPr>
        <w:t>O</w:t>
      </w:r>
      <w:r w:rsidR="00EF1F38" w:rsidRPr="0078472B">
        <w:rPr>
          <w:rFonts w:ascii="Times New Roman" w:hAnsi="Times New Roman" w:cs="Times New Roman"/>
          <w:color w:val="000000" w:themeColor="text1"/>
          <w:sz w:val="24"/>
          <w:szCs w:val="24"/>
        </w:rPr>
        <w:t xml:space="preserve">nline gamblers </w:t>
      </w:r>
      <w:r w:rsidR="004640F8" w:rsidRPr="0078472B">
        <w:rPr>
          <w:rFonts w:ascii="Times New Roman" w:hAnsi="Times New Roman" w:cs="Times New Roman"/>
          <w:color w:val="000000" w:themeColor="text1"/>
          <w:sz w:val="24"/>
          <w:szCs w:val="24"/>
        </w:rPr>
        <w:t>tend</w:t>
      </w:r>
      <w:r w:rsidR="00EF1F38" w:rsidRPr="0078472B">
        <w:rPr>
          <w:rFonts w:ascii="Times New Roman" w:hAnsi="Times New Roman" w:cs="Times New Roman"/>
          <w:color w:val="000000" w:themeColor="text1"/>
          <w:sz w:val="24"/>
          <w:szCs w:val="24"/>
        </w:rPr>
        <w:t xml:space="preserve"> </w:t>
      </w:r>
      <w:r w:rsidR="001413D9" w:rsidRPr="0078472B">
        <w:rPr>
          <w:rFonts w:ascii="Times New Roman" w:hAnsi="Times New Roman" w:cs="Times New Roman"/>
          <w:color w:val="000000" w:themeColor="text1"/>
          <w:sz w:val="24"/>
          <w:szCs w:val="24"/>
        </w:rPr>
        <w:t xml:space="preserve">to participate </w:t>
      </w:r>
      <w:r w:rsidR="00EF1F38" w:rsidRPr="0078472B">
        <w:rPr>
          <w:rFonts w:ascii="Times New Roman" w:hAnsi="Times New Roman" w:cs="Times New Roman"/>
          <w:color w:val="000000" w:themeColor="text1"/>
          <w:sz w:val="24"/>
          <w:szCs w:val="24"/>
        </w:rPr>
        <w:t xml:space="preserve">in </w:t>
      </w:r>
      <w:r w:rsidR="001413D9" w:rsidRPr="0078472B">
        <w:rPr>
          <w:rFonts w:ascii="Times New Roman" w:hAnsi="Times New Roman" w:cs="Times New Roman"/>
          <w:color w:val="000000" w:themeColor="text1"/>
          <w:sz w:val="24"/>
          <w:szCs w:val="24"/>
        </w:rPr>
        <w:t xml:space="preserve">multiple </w:t>
      </w:r>
      <w:r w:rsidR="00EF1F38" w:rsidRPr="0078472B">
        <w:rPr>
          <w:rFonts w:ascii="Times New Roman" w:hAnsi="Times New Roman" w:cs="Times New Roman"/>
          <w:color w:val="000000" w:themeColor="text1"/>
          <w:sz w:val="24"/>
          <w:szCs w:val="24"/>
        </w:rPr>
        <w:t>gambling</w:t>
      </w:r>
      <w:r w:rsidR="001413D9" w:rsidRPr="0078472B">
        <w:rPr>
          <w:rFonts w:ascii="Times New Roman" w:hAnsi="Times New Roman" w:cs="Times New Roman"/>
          <w:color w:val="000000" w:themeColor="text1"/>
          <w:sz w:val="24"/>
          <w:szCs w:val="24"/>
        </w:rPr>
        <w:t xml:space="preserve"> activities</w:t>
      </w:r>
      <w:r w:rsidR="00EF1F38" w:rsidRPr="0078472B">
        <w:rPr>
          <w:rFonts w:ascii="Times New Roman" w:hAnsi="Times New Roman" w:cs="Times New Roman"/>
          <w:color w:val="000000" w:themeColor="text1"/>
          <w:sz w:val="24"/>
          <w:szCs w:val="24"/>
        </w:rPr>
        <w:t>,</w:t>
      </w:r>
      <w:r w:rsidR="00364F3F" w:rsidRPr="0078472B">
        <w:rPr>
          <w:rFonts w:ascii="Times New Roman" w:hAnsi="Times New Roman" w:cs="Times New Roman"/>
          <w:color w:val="000000" w:themeColor="text1"/>
          <w:sz w:val="24"/>
          <w:szCs w:val="24"/>
        </w:rPr>
        <w:t xml:space="preserve"> such as</w:t>
      </w:r>
      <w:r w:rsidR="00EF1F38" w:rsidRPr="0078472B">
        <w:rPr>
          <w:rFonts w:ascii="Times New Roman" w:hAnsi="Times New Roman" w:cs="Times New Roman"/>
          <w:color w:val="000000" w:themeColor="text1"/>
          <w:sz w:val="24"/>
          <w:szCs w:val="24"/>
        </w:rPr>
        <w:t xml:space="preserve"> horse race betting</w:t>
      </w:r>
      <w:r w:rsidR="001413D9" w:rsidRPr="0078472B">
        <w:rPr>
          <w:rFonts w:ascii="Times New Roman" w:hAnsi="Times New Roman" w:cs="Times New Roman"/>
          <w:color w:val="000000" w:themeColor="text1"/>
          <w:sz w:val="24"/>
          <w:szCs w:val="24"/>
        </w:rPr>
        <w:t xml:space="preserve"> and </w:t>
      </w:r>
      <w:r w:rsidR="00EF1F38" w:rsidRPr="0078472B">
        <w:rPr>
          <w:rFonts w:ascii="Times New Roman" w:hAnsi="Times New Roman" w:cs="Times New Roman"/>
          <w:color w:val="000000" w:themeColor="text1"/>
          <w:sz w:val="24"/>
          <w:szCs w:val="24"/>
        </w:rPr>
        <w:t>poker and casino games (Gainsbury et al.</w:t>
      </w:r>
      <w:r w:rsidR="00283412" w:rsidRPr="0078472B">
        <w:rPr>
          <w:rFonts w:ascii="Times New Roman" w:hAnsi="Times New Roman" w:cs="Times New Roman"/>
          <w:color w:val="000000" w:themeColor="text1"/>
          <w:sz w:val="24"/>
          <w:szCs w:val="24"/>
        </w:rPr>
        <w:t>,</w:t>
      </w:r>
      <w:r w:rsidR="00EF1F38" w:rsidRPr="0078472B">
        <w:rPr>
          <w:rFonts w:ascii="Times New Roman" w:hAnsi="Times New Roman" w:cs="Times New Roman"/>
          <w:color w:val="000000" w:themeColor="text1"/>
          <w:sz w:val="24"/>
          <w:szCs w:val="24"/>
        </w:rPr>
        <w:t xml:space="preserve"> 2015</w:t>
      </w:r>
      <w:r w:rsidR="009D182E" w:rsidRPr="0078472B">
        <w:rPr>
          <w:rFonts w:ascii="Times New Roman" w:hAnsi="Times New Roman" w:cs="Times New Roman"/>
          <w:color w:val="000000" w:themeColor="text1"/>
          <w:sz w:val="24"/>
          <w:szCs w:val="24"/>
        </w:rPr>
        <w:t>a</w:t>
      </w:r>
      <w:r w:rsidR="00EF1F38" w:rsidRPr="0078472B">
        <w:rPr>
          <w:rFonts w:ascii="Times New Roman" w:hAnsi="Times New Roman" w:cs="Times New Roman"/>
          <w:color w:val="000000" w:themeColor="text1"/>
          <w:sz w:val="24"/>
          <w:szCs w:val="24"/>
        </w:rPr>
        <w:t xml:space="preserve">). </w:t>
      </w:r>
      <w:r w:rsidR="00024371" w:rsidRPr="0078472B">
        <w:rPr>
          <w:rFonts w:ascii="Times New Roman" w:hAnsi="Times New Roman" w:cs="Times New Roman"/>
          <w:color w:val="000000" w:themeColor="text1"/>
          <w:sz w:val="24"/>
          <w:szCs w:val="24"/>
        </w:rPr>
        <w:t xml:space="preserve">Further, </w:t>
      </w:r>
      <w:r w:rsidR="00364F3F" w:rsidRPr="0078472B">
        <w:rPr>
          <w:rFonts w:ascii="Times New Roman" w:hAnsi="Times New Roman" w:cs="Times New Roman"/>
          <w:color w:val="000000" w:themeColor="text1"/>
          <w:sz w:val="24"/>
          <w:szCs w:val="24"/>
        </w:rPr>
        <w:t xml:space="preserve">they </w:t>
      </w:r>
      <w:r w:rsidR="004640F8" w:rsidRPr="0078472B">
        <w:rPr>
          <w:rFonts w:ascii="Times New Roman" w:hAnsi="Times New Roman" w:cs="Times New Roman"/>
          <w:color w:val="000000" w:themeColor="text1"/>
          <w:sz w:val="24"/>
          <w:szCs w:val="24"/>
        </w:rPr>
        <w:t>appear</w:t>
      </w:r>
      <w:r w:rsidR="00D2318B" w:rsidRPr="0078472B">
        <w:rPr>
          <w:rFonts w:ascii="Times New Roman" w:hAnsi="Times New Roman" w:cs="Times New Roman"/>
          <w:color w:val="000000" w:themeColor="text1"/>
          <w:sz w:val="24"/>
          <w:szCs w:val="24"/>
        </w:rPr>
        <w:t xml:space="preserve"> to be</w:t>
      </w:r>
      <w:r w:rsidR="00491F7B" w:rsidRPr="0078472B">
        <w:rPr>
          <w:rFonts w:ascii="Times New Roman" w:hAnsi="Times New Roman" w:cs="Times New Roman"/>
          <w:color w:val="000000" w:themeColor="text1"/>
          <w:sz w:val="24"/>
          <w:szCs w:val="24"/>
        </w:rPr>
        <w:t xml:space="preserve"> </w:t>
      </w:r>
      <w:r w:rsidR="001413D9" w:rsidRPr="0078472B">
        <w:rPr>
          <w:rFonts w:ascii="Times New Roman" w:hAnsi="Times New Roman" w:cs="Times New Roman"/>
          <w:color w:val="000000" w:themeColor="text1"/>
          <w:sz w:val="24"/>
          <w:szCs w:val="24"/>
        </w:rPr>
        <w:lastRenderedPageBreak/>
        <w:t xml:space="preserve">disproportionately </w:t>
      </w:r>
      <w:r w:rsidR="00D2318B" w:rsidRPr="0078472B">
        <w:rPr>
          <w:rFonts w:ascii="Times New Roman" w:hAnsi="Times New Roman" w:cs="Times New Roman"/>
          <w:color w:val="000000" w:themeColor="text1"/>
          <w:sz w:val="24"/>
          <w:szCs w:val="24"/>
        </w:rPr>
        <w:t>male,</w:t>
      </w:r>
      <w:r w:rsidR="001413D9" w:rsidRPr="0078472B">
        <w:rPr>
          <w:rFonts w:ascii="Times New Roman" w:hAnsi="Times New Roman" w:cs="Times New Roman"/>
          <w:color w:val="000000" w:themeColor="text1"/>
          <w:sz w:val="24"/>
          <w:szCs w:val="24"/>
        </w:rPr>
        <w:t xml:space="preserve"> unmarried, and </w:t>
      </w:r>
      <w:r w:rsidR="00491F7B" w:rsidRPr="0078472B">
        <w:rPr>
          <w:rFonts w:ascii="Times New Roman" w:hAnsi="Times New Roman" w:cs="Times New Roman"/>
          <w:color w:val="000000" w:themeColor="text1"/>
          <w:sz w:val="24"/>
          <w:szCs w:val="24"/>
        </w:rPr>
        <w:t>better educated</w:t>
      </w:r>
      <w:r w:rsidR="001413D9" w:rsidRPr="0078472B">
        <w:rPr>
          <w:rFonts w:ascii="Times New Roman" w:hAnsi="Times New Roman" w:cs="Times New Roman"/>
          <w:color w:val="000000" w:themeColor="text1"/>
          <w:sz w:val="24"/>
          <w:szCs w:val="24"/>
        </w:rPr>
        <w:t xml:space="preserve"> with </w:t>
      </w:r>
      <w:r w:rsidR="00491F7B" w:rsidRPr="0078472B">
        <w:rPr>
          <w:rFonts w:ascii="Times New Roman" w:hAnsi="Times New Roman" w:cs="Times New Roman"/>
          <w:color w:val="000000" w:themeColor="text1"/>
          <w:sz w:val="24"/>
          <w:szCs w:val="24"/>
        </w:rPr>
        <w:t>higher incomes</w:t>
      </w:r>
      <w:r w:rsidR="00024371" w:rsidRPr="0078472B">
        <w:rPr>
          <w:rFonts w:ascii="Times New Roman" w:hAnsi="Times New Roman" w:cs="Times New Roman"/>
          <w:color w:val="000000" w:themeColor="text1"/>
          <w:sz w:val="24"/>
          <w:szCs w:val="24"/>
        </w:rPr>
        <w:t xml:space="preserve"> </w:t>
      </w:r>
      <w:r w:rsidR="00D2318B" w:rsidRPr="0078472B">
        <w:rPr>
          <w:rFonts w:ascii="Times New Roman" w:hAnsi="Times New Roman" w:cs="Times New Roman"/>
          <w:color w:val="000000" w:themeColor="text1"/>
          <w:sz w:val="24"/>
          <w:szCs w:val="24"/>
        </w:rPr>
        <w:t>(</w:t>
      </w:r>
      <w:r w:rsidR="00491F7B" w:rsidRPr="0078472B">
        <w:rPr>
          <w:rFonts w:ascii="Times New Roman" w:hAnsi="Times New Roman" w:cs="Times New Roman"/>
          <w:color w:val="000000" w:themeColor="text1"/>
          <w:sz w:val="24"/>
          <w:szCs w:val="24"/>
        </w:rPr>
        <w:t xml:space="preserve">Wood </w:t>
      </w:r>
      <w:r w:rsidR="007B3E13" w:rsidRPr="0078472B">
        <w:rPr>
          <w:rFonts w:ascii="Times New Roman" w:hAnsi="Times New Roman" w:cs="Times New Roman"/>
          <w:color w:val="000000" w:themeColor="text1"/>
          <w:sz w:val="24"/>
          <w:szCs w:val="24"/>
        </w:rPr>
        <w:t>&amp;</w:t>
      </w:r>
      <w:r w:rsidR="00491F7B" w:rsidRPr="0078472B">
        <w:rPr>
          <w:rFonts w:ascii="Times New Roman" w:hAnsi="Times New Roman" w:cs="Times New Roman"/>
          <w:color w:val="000000" w:themeColor="text1"/>
          <w:sz w:val="24"/>
          <w:szCs w:val="24"/>
        </w:rPr>
        <w:t xml:space="preserve"> Williams</w:t>
      </w:r>
      <w:r w:rsidR="00283412" w:rsidRPr="0078472B">
        <w:rPr>
          <w:rFonts w:ascii="Times New Roman" w:hAnsi="Times New Roman" w:cs="Times New Roman"/>
          <w:color w:val="000000" w:themeColor="text1"/>
          <w:sz w:val="24"/>
          <w:szCs w:val="24"/>
        </w:rPr>
        <w:t>,</w:t>
      </w:r>
      <w:r w:rsidR="00491F7B" w:rsidRPr="0078472B">
        <w:rPr>
          <w:rFonts w:ascii="Times New Roman" w:hAnsi="Times New Roman" w:cs="Times New Roman"/>
          <w:color w:val="000000" w:themeColor="text1"/>
          <w:sz w:val="24"/>
          <w:szCs w:val="24"/>
        </w:rPr>
        <w:t xml:space="preserve"> 2011; Gainsbury et al.</w:t>
      </w:r>
      <w:r w:rsidR="00283412" w:rsidRPr="0078472B">
        <w:rPr>
          <w:rFonts w:ascii="Times New Roman" w:hAnsi="Times New Roman" w:cs="Times New Roman"/>
          <w:color w:val="000000" w:themeColor="text1"/>
          <w:sz w:val="24"/>
          <w:szCs w:val="24"/>
        </w:rPr>
        <w:t>,</w:t>
      </w:r>
      <w:r w:rsidR="00491F7B" w:rsidRPr="0078472B">
        <w:rPr>
          <w:rFonts w:ascii="Times New Roman" w:hAnsi="Times New Roman" w:cs="Times New Roman"/>
          <w:color w:val="000000" w:themeColor="text1"/>
          <w:sz w:val="24"/>
          <w:szCs w:val="24"/>
        </w:rPr>
        <w:t xml:space="preserve"> 2012)</w:t>
      </w:r>
      <w:r w:rsidR="00977BB3" w:rsidRPr="0078472B">
        <w:rPr>
          <w:rFonts w:ascii="Times New Roman" w:hAnsi="Times New Roman" w:cs="Times New Roman"/>
          <w:color w:val="000000" w:themeColor="text1"/>
          <w:sz w:val="24"/>
          <w:szCs w:val="24"/>
        </w:rPr>
        <w:t xml:space="preserve">. </w:t>
      </w:r>
      <w:r w:rsidR="00053038" w:rsidRPr="0078472B">
        <w:rPr>
          <w:rFonts w:ascii="Times New Roman" w:hAnsi="Times New Roman" w:cs="Times New Roman"/>
          <w:color w:val="000000" w:themeColor="text1"/>
          <w:sz w:val="24"/>
          <w:szCs w:val="24"/>
        </w:rPr>
        <w:t>However</w:t>
      </w:r>
      <w:r w:rsidR="0043011C" w:rsidRPr="0078472B">
        <w:rPr>
          <w:rFonts w:ascii="Times New Roman" w:hAnsi="Times New Roman" w:cs="Times New Roman"/>
          <w:color w:val="000000" w:themeColor="text1"/>
          <w:sz w:val="24"/>
          <w:szCs w:val="24"/>
        </w:rPr>
        <w:t xml:space="preserve">, other </w:t>
      </w:r>
      <w:r w:rsidR="00714ABB" w:rsidRPr="0078472B">
        <w:rPr>
          <w:rFonts w:ascii="Times New Roman" w:hAnsi="Times New Roman" w:cs="Times New Roman"/>
          <w:color w:val="000000" w:themeColor="text1"/>
          <w:sz w:val="24"/>
          <w:szCs w:val="24"/>
        </w:rPr>
        <w:t xml:space="preserve">attributes </w:t>
      </w:r>
      <w:r w:rsidR="00053038" w:rsidRPr="0078472B">
        <w:rPr>
          <w:rFonts w:ascii="Times New Roman" w:hAnsi="Times New Roman" w:cs="Times New Roman"/>
          <w:color w:val="000000" w:themeColor="text1"/>
          <w:sz w:val="24"/>
          <w:szCs w:val="24"/>
        </w:rPr>
        <w:t>may</w:t>
      </w:r>
      <w:r w:rsidR="00F36340" w:rsidRPr="0078472B">
        <w:rPr>
          <w:rFonts w:ascii="Times New Roman" w:hAnsi="Times New Roman" w:cs="Times New Roman"/>
          <w:color w:val="000000" w:themeColor="text1"/>
          <w:sz w:val="24"/>
          <w:szCs w:val="24"/>
        </w:rPr>
        <w:t xml:space="preserve"> also</w:t>
      </w:r>
      <w:r w:rsidR="00021FF5" w:rsidRPr="0078472B">
        <w:rPr>
          <w:rFonts w:ascii="Times New Roman" w:hAnsi="Times New Roman" w:cs="Times New Roman"/>
          <w:color w:val="000000" w:themeColor="text1"/>
          <w:sz w:val="24"/>
          <w:szCs w:val="24"/>
        </w:rPr>
        <w:t xml:space="preserve"> </w:t>
      </w:r>
      <w:r w:rsidR="00714ABB" w:rsidRPr="0078472B">
        <w:rPr>
          <w:rFonts w:ascii="Times New Roman" w:hAnsi="Times New Roman" w:cs="Times New Roman"/>
          <w:color w:val="000000" w:themeColor="text1"/>
          <w:sz w:val="24"/>
          <w:szCs w:val="24"/>
        </w:rPr>
        <w:t>influence</w:t>
      </w:r>
      <w:r w:rsidR="0043011C" w:rsidRPr="0078472B">
        <w:rPr>
          <w:rFonts w:ascii="Times New Roman" w:hAnsi="Times New Roman" w:cs="Times New Roman"/>
          <w:color w:val="000000" w:themeColor="text1"/>
          <w:sz w:val="24"/>
          <w:szCs w:val="24"/>
        </w:rPr>
        <w:t xml:space="preserve"> gambling </w:t>
      </w:r>
      <w:r w:rsidR="004D381E" w:rsidRPr="0078472B">
        <w:rPr>
          <w:rFonts w:ascii="Times New Roman" w:hAnsi="Times New Roman" w:cs="Times New Roman"/>
          <w:color w:val="000000" w:themeColor="text1"/>
          <w:sz w:val="24"/>
          <w:szCs w:val="24"/>
        </w:rPr>
        <w:t>engagement</w:t>
      </w:r>
      <w:r w:rsidR="00796318" w:rsidRPr="0078472B">
        <w:rPr>
          <w:rFonts w:ascii="Times New Roman" w:hAnsi="Times New Roman" w:cs="Times New Roman"/>
          <w:color w:val="000000" w:themeColor="text1"/>
          <w:sz w:val="24"/>
          <w:szCs w:val="24"/>
        </w:rPr>
        <w:t xml:space="preserve"> and expenditure on gambling</w:t>
      </w:r>
      <w:r w:rsidR="00FC5F17" w:rsidRPr="0078472B">
        <w:rPr>
          <w:rFonts w:ascii="Times New Roman" w:hAnsi="Times New Roman" w:cs="Times New Roman"/>
          <w:color w:val="000000" w:themeColor="text1"/>
          <w:sz w:val="24"/>
          <w:szCs w:val="24"/>
        </w:rPr>
        <w:t>. In particular, how a local environment (Nelson et al.</w:t>
      </w:r>
      <w:r w:rsidR="00283412" w:rsidRPr="0078472B">
        <w:rPr>
          <w:rFonts w:ascii="Times New Roman" w:hAnsi="Times New Roman" w:cs="Times New Roman"/>
          <w:color w:val="000000" w:themeColor="text1"/>
          <w:sz w:val="24"/>
          <w:szCs w:val="24"/>
        </w:rPr>
        <w:t>,</w:t>
      </w:r>
      <w:r w:rsidR="00FC5F17" w:rsidRPr="0078472B">
        <w:rPr>
          <w:rFonts w:ascii="Times New Roman" w:hAnsi="Times New Roman" w:cs="Times New Roman"/>
          <w:color w:val="000000" w:themeColor="text1"/>
          <w:sz w:val="24"/>
          <w:szCs w:val="24"/>
        </w:rPr>
        <w:t xml:space="preserve"> 2007</w:t>
      </w:r>
      <w:r w:rsidR="000C320C" w:rsidRPr="0078472B">
        <w:rPr>
          <w:rFonts w:ascii="Times New Roman" w:hAnsi="Times New Roman" w:cs="Times New Roman"/>
          <w:color w:val="000000" w:themeColor="text1"/>
          <w:sz w:val="24"/>
          <w:szCs w:val="24"/>
        </w:rPr>
        <w:t>;</w:t>
      </w:r>
      <w:r w:rsidR="00FC5F17" w:rsidRPr="0078472B">
        <w:rPr>
          <w:rFonts w:ascii="Times New Roman" w:hAnsi="Times New Roman" w:cs="Times New Roman"/>
          <w:color w:val="000000" w:themeColor="text1"/>
          <w:sz w:val="24"/>
          <w:szCs w:val="24"/>
        </w:rPr>
        <w:t xml:space="preserve"> Marshall</w:t>
      </w:r>
      <w:r w:rsidR="00283412" w:rsidRPr="0078472B">
        <w:rPr>
          <w:rFonts w:ascii="Times New Roman" w:hAnsi="Times New Roman" w:cs="Times New Roman"/>
          <w:color w:val="000000" w:themeColor="text1"/>
          <w:sz w:val="24"/>
          <w:szCs w:val="24"/>
        </w:rPr>
        <w:t>,</w:t>
      </w:r>
      <w:r w:rsidR="00FC5F17" w:rsidRPr="0078472B">
        <w:rPr>
          <w:rFonts w:ascii="Times New Roman" w:hAnsi="Times New Roman" w:cs="Times New Roman"/>
          <w:color w:val="000000" w:themeColor="text1"/>
          <w:sz w:val="24"/>
          <w:szCs w:val="24"/>
        </w:rPr>
        <w:t xml:space="preserve"> 2009) and personal interests (Nelson et al.</w:t>
      </w:r>
      <w:r w:rsidR="00283412" w:rsidRPr="0078472B">
        <w:rPr>
          <w:rFonts w:ascii="Times New Roman" w:hAnsi="Times New Roman" w:cs="Times New Roman"/>
          <w:color w:val="000000" w:themeColor="text1"/>
          <w:sz w:val="24"/>
          <w:szCs w:val="24"/>
        </w:rPr>
        <w:t>,</w:t>
      </w:r>
      <w:r w:rsidR="00FC5F17" w:rsidRPr="0078472B">
        <w:rPr>
          <w:rFonts w:ascii="Times New Roman" w:hAnsi="Times New Roman" w:cs="Times New Roman"/>
          <w:color w:val="000000" w:themeColor="text1"/>
          <w:sz w:val="24"/>
          <w:szCs w:val="24"/>
        </w:rPr>
        <w:t xml:space="preserve"> 2007) are associated with online gambling is a</w:t>
      </w:r>
      <w:r w:rsidR="007C4523" w:rsidRPr="0078472B">
        <w:rPr>
          <w:rFonts w:ascii="Times New Roman" w:hAnsi="Times New Roman" w:cs="Times New Roman"/>
          <w:color w:val="000000" w:themeColor="text1"/>
          <w:sz w:val="24"/>
          <w:szCs w:val="24"/>
        </w:rPr>
        <w:t xml:space="preserve"> relatively</w:t>
      </w:r>
      <w:r w:rsidR="00FC5F17" w:rsidRPr="0078472B">
        <w:rPr>
          <w:rFonts w:ascii="Times New Roman" w:hAnsi="Times New Roman" w:cs="Times New Roman"/>
          <w:color w:val="000000" w:themeColor="text1"/>
          <w:sz w:val="24"/>
          <w:szCs w:val="24"/>
        </w:rPr>
        <w:t xml:space="preserve"> unexplored subject </w:t>
      </w:r>
      <w:r w:rsidR="00053038" w:rsidRPr="0078472B">
        <w:rPr>
          <w:rFonts w:ascii="Times New Roman" w:hAnsi="Times New Roman" w:cs="Times New Roman"/>
          <w:color w:val="000000" w:themeColor="text1"/>
          <w:sz w:val="24"/>
          <w:szCs w:val="24"/>
        </w:rPr>
        <w:t>in the literature</w:t>
      </w:r>
      <w:r w:rsidR="0043011C" w:rsidRPr="0078472B">
        <w:rPr>
          <w:rFonts w:ascii="Times New Roman" w:hAnsi="Times New Roman" w:cs="Times New Roman"/>
          <w:color w:val="000000" w:themeColor="text1"/>
          <w:sz w:val="24"/>
          <w:szCs w:val="24"/>
        </w:rPr>
        <w:t>.</w:t>
      </w:r>
      <w:r w:rsidR="000F1597" w:rsidRPr="0078472B">
        <w:rPr>
          <w:rFonts w:ascii="Times New Roman" w:hAnsi="Times New Roman" w:cs="Times New Roman"/>
          <w:color w:val="000000" w:themeColor="text1"/>
          <w:sz w:val="24"/>
          <w:szCs w:val="24"/>
        </w:rPr>
        <w:t xml:space="preserve"> Gambling can be regarded as a compl</w:t>
      </w:r>
      <w:r w:rsidR="00E37B30" w:rsidRPr="0078472B">
        <w:rPr>
          <w:rFonts w:ascii="Times New Roman" w:hAnsi="Times New Roman" w:cs="Times New Roman"/>
          <w:color w:val="000000" w:themeColor="text1"/>
          <w:sz w:val="24"/>
          <w:szCs w:val="24"/>
        </w:rPr>
        <w:t>e</w:t>
      </w:r>
      <w:r w:rsidR="000F1597" w:rsidRPr="0078472B">
        <w:rPr>
          <w:rFonts w:ascii="Times New Roman" w:hAnsi="Times New Roman" w:cs="Times New Roman"/>
          <w:color w:val="000000" w:themeColor="text1"/>
          <w:sz w:val="24"/>
          <w:szCs w:val="24"/>
        </w:rPr>
        <w:t xml:space="preserve">mentary good to sport </w:t>
      </w:r>
      <w:r w:rsidR="00524DF1" w:rsidRPr="0078472B">
        <w:rPr>
          <w:rFonts w:ascii="Times New Roman" w:hAnsi="Times New Roman" w:cs="Times New Roman"/>
          <w:color w:val="000000" w:themeColor="text1"/>
          <w:sz w:val="24"/>
          <w:szCs w:val="24"/>
        </w:rPr>
        <w:t xml:space="preserve">with indirect and direct monetary benefits accruing to the organizer of a sports event </w:t>
      </w:r>
      <w:r w:rsidR="000F1597" w:rsidRPr="0078472B">
        <w:rPr>
          <w:rFonts w:ascii="Times New Roman" w:hAnsi="Times New Roman" w:cs="Times New Roman"/>
          <w:color w:val="000000" w:themeColor="text1"/>
          <w:sz w:val="24"/>
          <w:szCs w:val="24"/>
        </w:rPr>
        <w:t xml:space="preserve">(Forrest </w:t>
      </w:r>
      <w:r w:rsidR="007B3E13" w:rsidRPr="0078472B">
        <w:rPr>
          <w:rFonts w:ascii="Times New Roman" w:hAnsi="Times New Roman" w:cs="Times New Roman"/>
          <w:color w:val="000000" w:themeColor="text1"/>
          <w:sz w:val="24"/>
          <w:szCs w:val="24"/>
        </w:rPr>
        <w:t>&amp;</w:t>
      </w:r>
      <w:r w:rsidR="000F1597" w:rsidRPr="0078472B">
        <w:rPr>
          <w:rFonts w:ascii="Times New Roman" w:hAnsi="Times New Roman" w:cs="Times New Roman"/>
          <w:color w:val="000000" w:themeColor="text1"/>
          <w:sz w:val="24"/>
          <w:szCs w:val="24"/>
        </w:rPr>
        <w:t xml:space="preserve"> Simmons, 2003).</w:t>
      </w:r>
      <w:r w:rsidR="0043011C" w:rsidRPr="0078472B">
        <w:rPr>
          <w:rFonts w:ascii="Times New Roman" w:hAnsi="Times New Roman" w:cs="Times New Roman"/>
          <w:color w:val="000000" w:themeColor="text1"/>
          <w:sz w:val="24"/>
          <w:szCs w:val="24"/>
        </w:rPr>
        <w:t xml:space="preserve"> </w:t>
      </w:r>
      <w:r w:rsidR="009B73B2" w:rsidRPr="0078472B">
        <w:rPr>
          <w:rFonts w:ascii="Times New Roman" w:hAnsi="Times New Roman" w:cs="Times New Roman"/>
          <w:color w:val="000000" w:themeColor="text1"/>
          <w:sz w:val="24"/>
          <w:szCs w:val="24"/>
        </w:rPr>
        <w:t xml:space="preserve">For </w:t>
      </w:r>
      <w:r w:rsidR="0089748E" w:rsidRPr="0078472B">
        <w:rPr>
          <w:rFonts w:ascii="Times New Roman" w:hAnsi="Times New Roman" w:cs="Times New Roman"/>
          <w:color w:val="000000" w:themeColor="text1"/>
          <w:sz w:val="24"/>
          <w:szCs w:val="24"/>
        </w:rPr>
        <w:t>instance</w:t>
      </w:r>
      <w:r w:rsidR="009B73B2" w:rsidRPr="0078472B">
        <w:rPr>
          <w:rFonts w:ascii="Times New Roman" w:hAnsi="Times New Roman" w:cs="Times New Roman"/>
          <w:color w:val="000000" w:themeColor="text1"/>
          <w:sz w:val="24"/>
          <w:szCs w:val="24"/>
        </w:rPr>
        <w:t xml:space="preserve">, individuals who are interested in sports or </w:t>
      </w:r>
      <w:r w:rsidR="00E37B30" w:rsidRPr="0078472B">
        <w:rPr>
          <w:rFonts w:ascii="Times New Roman" w:hAnsi="Times New Roman" w:cs="Times New Roman"/>
          <w:color w:val="000000" w:themeColor="text1"/>
          <w:sz w:val="24"/>
          <w:szCs w:val="24"/>
        </w:rPr>
        <w:t>participate in</w:t>
      </w:r>
      <w:r w:rsidR="00FC5F17" w:rsidRPr="0078472B">
        <w:rPr>
          <w:rFonts w:ascii="Times New Roman" w:hAnsi="Times New Roman" w:cs="Times New Roman"/>
          <w:color w:val="000000" w:themeColor="text1"/>
          <w:sz w:val="24"/>
          <w:szCs w:val="24"/>
        </w:rPr>
        <w:t xml:space="preserve"> </w:t>
      </w:r>
      <w:r w:rsidR="009B73B2" w:rsidRPr="0078472B">
        <w:rPr>
          <w:rFonts w:ascii="Times New Roman" w:hAnsi="Times New Roman" w:cs="Times New Roman"/>
          <w:color w:val="000000" w:themeColor="text1"/>
          <w:sz w:val="24"/>
          <w:szCs w:val="24"/>
        </w:rPr>
        <w:t>physical activities regularly appear to be more willing to engage in sports betting (e.g.</w:t>
      </w:r>
      <w:r w:rsidR="00631EBA">
        <w:rPr>
          <w:rFonts w:ascii="Times New Roman" w:hAnsi="Times New Roman" w:cs="Times New Roman"/>
          <w:color w:val="000000" w:themeColor="text1"/>
          <w:sz w:val="24"/>
          <w:szCs w:val="24"/>
        </w:rPr>
        <w:t>,</w:t>
      </w:r>
      <w:r w:rsidR="009B73B2" w:rsidRPr="0078472B">
        <w:rPr>
          <w:rFonts w:ascii="Times New Roman" w:hAnsi="Times New Roman" w:cs="Times New Roman"/>
          <w:color w:val="000000" w:themeColor="text1"/>
          <w:sz w:val="24"/>
          <w:szCs w:val="24"/>
        </w:rPr>
        <w:t xml:space="preserve"> LaBrie et al.</w:t>
      </w:r>
      <w:r w:rsidR="000C320C" w:rsidRPr="0078472B">
        <w:rPr>
          <w:rFonts w:ascii="Times New Roman" w:hAnsi="Times New Roman" w:cs="Times New Roman"/>
          <w:color w:val="000000" w:themeColor="text1"/>
          <w:sz w:val="24"/>
          <w:szCs w:val="24"/>
        </w:rPr>
        <w:t>,</w:t>
      </w:r>
      <w:r w:rsidR="009B73B2" w:rsidRPr="0078472B">
        <w:rPr>
          <w:rFonts w:ascii="Times New Roman" w:hAnsi="Times New Roman" w:cs="Times New Roman"/>
          <w:color w:val="000000" w:themeColor="text1"/>
          <w:sz w:val="24"/>
          <w:szCs w:val="24"/>
        </w:rPr>
        <w:t xml:space="preserve"> 2003</w:t>
      </w:r>
      <w:r w:rsidR="000C320C" w:rsidRPr="0078472B">
        <w:rPr>
          <w:rFonts w:ascii="Times New Roman" w:hAnsi="Times New Roman" w:cs="Times New Roman"/>
          <w:color w:val="000000" w:themeColor="text1"/>
          <w:sz w:val="24"/>
          <w:szCs w:val="24"/>
        </w:rPr>
        <w:t>;</w:t>
      </w:r>
      <w:r w:rsidR="009B73B2" w:rsidRPr="0078472B">
        <w:rPr>
          <w:rFonts w:ascii="Times New Roman" w:hAnsi="Times New Roman" w:cs="Times New Roman"/>
          <w:color w:val="000000" w:themeColor="text1"/>
          <w:sz w:val="24"/>
          <w:szCs w:val="24"/>
        </w:rPr>
        <w:t xml:space="preserve"> Nelson et al.</w:t>
      </w:r>
      <w:r w:rsidR="00283412" w:rsidRPr="0078472B">
        <w:rPr>
          <w:rFonts w:ascii="Times New Roman" w:hAnsi="Times New Roman" w:cs="Times New Roman"/>
          <w:color w:val="000000" w:themeColor="text1"/>
          <w:sz w:val="24"/>
          <w:szCs w:val="24"/>
        </w:rPr>
        <w:t>,</w:t>
      </w:r>
      <w:r w:rsidR="009B73B2" w:rsidRPr="0078472B">
        <w:rPr>
          <w:rFonts w:ascii="Times New Roman" w:hAnsi="Times New Roman" w:cs="Times New Roman"/>
          <w:color w:val="000000" w:themeColor="text1"/>
          <w:sz w:val="24"/>
          <w:szCs w:val="24"/>
        </w:rPr>
        <w:t xml:space="preserve"> 2007</w:t>
      </w:r>
      <w:r w:rsidR="000C320C" w:rsidRPr="0078472B">
        <w:rPr>
          <w:rFonts w:ascii="Times New Roman" w:hAnsi="Times New Roman" w:cs="Times New Roman"/>
          <w:color w:val="000000" w:themeColor="text1"/>
          <w:sz w:val="24"/>
          <w:szCs w:val="24"/>
        </w:rPr>
        <w:t>;</w:t>
      </w:r>
      <w:r w:rsidR="009B73B2" w:rsidRPr="0078472B">
        <w:rPr>
          <w:rFonts w:ascii="Times New Roman" w:hAnsi="Times New Roman" w:cs="Times New Roman"/>
          <w:color w:val="000000" w:themeColor="text1"/>
          <w:sz w:val="24"/>
          <w:szCs w:val="24"/>
        </w:rPr>
        <w:t xml:space="preserve"> Wann et al.</w:t>
      </w:r>
      <w:r w:rsidR="00283412" w:rsidRPr="0078472B">
        <w:rPr>
          <w:rFonts w:ascii="Times New Roman" w:hAnsi="Times New Roman" w:cs="Times New Roman"/>
          <w:color w:val="000000" w:themeColor="text1"/>
          <w:sz w:val="24"/>
          <w:szCs w:val="24"/>
        </w:rPr>
        <w:t>,</w:t>
      </w:r>
      <w:r w:rsidR="009B73B2" w:rsidRPr="0078472B">
        <w:rPr>
          <w:rFonts w:ascii="Times New Roman" w:hAnsi="Times New Roman" w:cs="Times New Roman"/>
          <w:color w:val="000000" w:themeColor="text1"/>
          <w:sz w:val="24"/>
          <w:szCs w:val="24"/>
        </w:rPr>
        <w:t xml:space="preserve"> 2015</w:t>
      </w:r>
      <w:r w:rsidR="00745F9A" w:rsidRPr="0078472B">
        <w:rPr>
          <w:rFonts w:ascii="Times New Roman" w:hAnsi="Times New Roman" w:cs="Times New Roman"/>
          <w:color w:val="000000" w:themeColor="text1"/>
          <w:sz w:val="24"/>
          <w:szCs w:val="24"/>
        </w:rPr>
        <w:t>; Gassman et al., 2017</w:t>
      </w:r>
      <w:r w:rsidR="009B73B2" w:rsidRPr="0078472B">
        <w:rPr>
          <w:rFonts w:ascii="Times New Roman" w:hAnsi="Times New Roman" w:cs="Times New Roman"/>
          <w:color w:val="000000" w:themeColor="text1"/>
          <w:sz w:val="24"/>
          <w:szCs w:val="24"/>
        </w:rPr>
        <w:t xml:space="preserve">). In </w:t>
      </w:r>
      <w:r w:rsidR="00021FF5" w:rsidRPr="0078472B">
        <w:rPr>
          <w:rFonts w:ascii="Times New Roman" w:hAnsi="Times New Roman" w:cs="Times New Roman"/>
          <w:color w:val="000000" w:themeColor="text1"/>
          <w:sz w:val="24"/>
          <w:szCs w:val="24"/>
        </w:rPr>
        <w:t>a</w:t>
      </w:r>
      <w:r w:rsidR="009B73B2" w:rsidRPr="0078472B">
        <w:rPr>
          <w:rFonts w:ascii="Times New Roman" w:hAnsi="Times New Roman" w:cs="Times New Roman"/>
          <w:color w:val="000000" w:themeColor="text1"/>
          <w:sz w:val="24"/>
          <w:szCs w:val="24"/>
        </w:rPr>
        <w:t xml:space="preserve"> study of gambling participation among college students, </w:t>
      </w:r>
      <w:r w:rsidR="0043011C" w:rsidRPr="0078472B">
        <w:rPr>
          <w:rFonts w:ascii="Times New Roman" w:hAnsi="Times New Roman" w:cs="Times New Roman"/>
          <w:color w:val="000000" w:themeColor="text1"/>
          <w:sz w:val="24"/>
          <w:szCs w:val="24"/>
        </w:rPr>
        <w:t xml:space="preserve">Nelson et al (2007) </w:t>
      </w:r>
      <w:r w:rsidR="003A147E" w:rsidRPr="0078472B">
        <w:rPr>
          <w:rFonts w:ascii="Times New Roman" w:hAnsi="Times New Roman" w:cs="Times New Roman"/>
          <w:color w:val="000000" w:themeColor="text1"/>
          <w:sz w:val="24"/>
          <w:szCs w:val="24"/>
        </w:rPr>
        <w:t>found that a</w:t>
      </w:r>
      <w:r w:rsidR="00EE6E7B" w:rsidRPr="0078472B">
        <w:rPr>
          <w:rFonts w:ascii="Times New Roman" w:hAnsi="Times New Roman" w:cs="Times New Roman"/>
          <w:color w:val="000000" w:themeColor="text1"/>
          <w:sz w:val="24"/>
          <w:szCs w:val="24"/>
        </w:rPr>
        <w:t xml:space="preserve">thletes and fans reported more </w:t>
      </w:r>
      <w:r w:rsidR="00021FF5" w:rsidRPr="0078472B">
        <w:rPr>
          <w:rFonts w:ascii="Times New Roman" w:hAnsi="Times New Roman" w:cs="Times New Roman"/>
          <w:color w:val="000000" w:themeColor="text1"/>
          <w:sz w:val="24"/>
          <w:szCs w:val="24"/>
        </w:rPr>
        <w:t>sports-</w:t>
      </w:r>
      <w:r w:rsidR="003A147E" w:rsidRPr="0078472B">
        <w:rPr>
          <w:rFonts w:ascii="Times New Roman" w:hAnsi="Times New Roman" w:cs="Times New Roman"/>
          <w:color w:val="000000" w:themeColor="text1"/>
          <w:sz w:val="24"/>
          <w:szCs w:val="24"/>
        </w:rPr>
        <w:t>related gambling</w:t>
      </w:r>
      <w:r w:rsidR="00EE6E7B" w:rsidRPr="0078472B">
        <w:rPr>
          <w:rFonts w:ascii="Times New Roman" w:hAnsi="Times New Roman" w:cs="Times New Roman"/>
          <w:color w:val="000000" w:themeColor="text1"/>
          <w:sz w:val="24"/>
          <w:szCs w:val="24"/>
        </w:rPr>
        <w:t xml:space="preserve"> </w:t>
      </w:r>
      <w:r w:rsidR="00021FF5" w:rsidRPr="0078472B">
        <w:rPr>
          <w:rFonts w:ascii="Times New Roman" w:hAnsi="Times New Roman" w:cs="Times New Roman"/>
          <w:color w:val="000000" w:themeColor="text1"/>
          <w:sz w:val="24"/>
          <w:szCs w:val="24"/>
        </w:rPr>
        <w:t>than</w:t>
      </w:r>
      <w:r w:rsidR="003A147E" w:rsidRPr="0078472B">
        <w:rPr>
          <w:rFonts w:ascii="Times New Roman" w:hAnsi="Times New Roman" w:cs="Times New Roman"/>
          <w:color w:val="000000" w:themeColor="text1"/>
          <w:sz w:val="24"/>
          <w:szCs w:val="24"/>
        </w:rPr>
        <w:t xml:space="preserve"> other students</w:t>
      </w:r>
      <w:r w:rsidR="00EE6E7B" w:rsidRPr="0078472B">
        <w:rPr>
          <w:rFonts w:ascii="Times New Roman" w:hAnsi="Times New Roman" w:cs="Times New Roman"/>
          <w:color w:val="000000" w:themeColor="text1"/>
          <w:sz w:val="24"/>
          <w:szCs w:val="24"/>
        </w:rPr>
        <w:t xml:space="preserve">. In addition, they </w:t>
      </w:r>
      <w:r w:rsidR="002D78A3" w:rsidRPr="0078472B">
        <w:rPr>
          <w:rFonts w:ascii="Times New Roman" w:hAnsi="Times New Roman" w:cs="Times New Roman"/>
          <w:color w:val="000000" w:themeColor="text1"/>
          <w:sz w:val="24"/>
          <w:szCs w:val="24"/>
        </w:rPr>
        <w:t>found that</w:t>
      </w:r>
      <w:r w:rsidR="00641907" w:rsidRPr="0078472B">
        <w:rPr>
          <w:rFonts w:ascii="Times New Roman" w:hAnsi="Times New Roman" w:cs="Times New Roman"/>
          <w:color w:val="000000" w:themeColor="text1"/>
          <w:sz w:val="24"/>
          <w:szCs w:val="24"/>
        </w:rPr>
        <w:t xml:space="preserve"> </w:t>
      </w:r>
      <w:r w:rsidR="002D78A3" w:rsidRPr="0078472B">
        <w:rPr>
          <w:rFonts w:ascii="Times New Roman" w:hAnsi="Times New Roman" w:cs="Times New Roman"/>
          <w:color w:val="000000" w:themeColor="text1"/>
          <w:sz w:val="24"/>
          <w:szCs w:val="24"/>
        </w:rPr>
        <w:t xml:space="preserve">students </w:t>
      </w:r>
      <w:r w:rsidR="00FC5F17" w:rsidRPr="0078472B">
        <w:rPr>
          <w:rFonts w:ascii="Times New Roman" w:hAnsi="Times New Roman" w:cs="Times New Roman"/>
          <w:color w:val="000000" w:themeColor="text1"/>
          <w:sz w:val="24"/>
          <w:szCs w:val="24"/>
        </w:rPr>
        <w:t>in</w:t>
      </w:r>
      <w:r w:rsidR="002D78A3" w:rsidRPr="0078472B">
        <w:rPr>
          <w:rFonts w:ascii="Times New Roman" w:hAnsi="Times New Roman" w:cs="Times New Roman"/>
          <w:color w:val="000000" w:themeColor="text1"/>
          <w:sz w:val="24"/>
          <w:szCs w:val="24"/>
        </w:rPr>
        <w:t xml:space="preserve"> schools with a higher share of </w:t>
      </w:r>
      <w:r w:rsidR="00EE6E7B" w:rsidRPr="0078472B">
        <w:rPr>
          <w:rFonts w:ascii="Times New Roman" w:hAnsi="Times New Roman" w:cs="Times New Roman"/>
          <w:color w:val="000000" w:themeColor="text1"/>
          <w:sz w:val="24"/>
          <w:szCs w:val="24"/>
        </w:rPr>
        <w:t xml:space="preserve">sports fans </w:t>
      </w:r>
      <w:r w:rsidR="002D78A3" w:rsidRPr="0078472B">
        <w:rPr>
          <w:rFonts w:ascii="Times New Roman" w:hAnsi="Times New Roman" w:cs="Times New Roman"/>
          <w:color w:val="000000" w:themeColor="text1"/>
          <w:sz w:val="24"/>
          <w:szCs w:val="24"/>
        </w:rPr>
        <w:t>were more likely to gamble</w:t>
      </w:r>
      <w:r w:rsidR="009B73B2" w:rsidRPr="0078472B">
        <w:rPr>
          <w:rFonts w:ascii="Times New Roman" w:hAnsi="Times New Roman" w:cs="Times New Roman"/>
          <w:color w:val="000000" w:themeColor="text1"/>
          <w:sz w:val="24"/>
          <w:szCs w:val="24"/>
        </w:rPr>
        <w:t>.</w:t>
      </w:r>
      <w:r w:rsidR="002D78A3" w:rsidRPr="0078472B">
        <w:rPr>
          <w:rFonts w:ascii="Times New Roman" w:hAnsi="Times New Roman" w:cs="Times New Roman"/>
          <w:color w:val="000000" w:themeColor="text1"/>
          <w:sz w:val="24"/>
          <w:szCs w:val="24"/>
        </w:rPr>
        <w:t xml:space="preserve"> </w:t>
      </w:r>
      <w:r w:rsidR="00D74400" w:rsidRPr="0078472B">
        <w:rPr>
          <w:rFonts w:ascii="Times New Roman" w:hAnsi="Times New Roman" w:cs="Times New Roman"/>
          <w:color w:val="000000" w:themeColor="text1"/>
          <w:sz w:val="24"/>
          <w:szCs w:val="24"/>
        </w:rPr>
        <w:t>Further, Paul and Weinbach (2010) find that fan behaviour rather than investment behaviour appears to predict consumption o</w:t>
      </w:r>
      <w:r w:rsidR="00E37B30" w:rsidRPr="0078472B">
        <w:rPr>
          <w:rFonts w:ascii="Times New Roman" w:hAnsi="Times New Roman" w:cs="Times New Roman"/>
          <w:color w:val="000000" w:themeColor="text1"/>
          <w:sz w:val="24"/>
          <w:szCs w:val="24"/>
        </w:rPr>
        <w:t>f</w:t>
      </w:r>
      <w:r w:rsidR="00D74400" w:rsidRPr="0078472B">
        <w:rPr>
          <w:rFonts w:ascii="Times New Roman" w:hAnsi="Times New Roman" w:cs="Times New Roman"/>
          <w:color w:val="000000" w:themeColor="text1"/>
          <w:sz w:val="24"/>
          <w:szCs w:val="24"/>
        </w:rPr>
        <w:t xml:space="preserve"> sports betting. </w:t>
      </w:r>
      <w:r w:rsidR="002D78A3" w:rsidRPr="0078472B">
        <w:rPr>
          <w:rFonts w:ascii="Times New Roman" w:hAnsi="Times New Roman" w:cs="Times New Roman"/>
          <w:color w:val="000000" w:themeColor="text1"/>
          <w:sz w:val="24"/>
          <w:szCs w:val="24"/>
        </w:rPr>
        <w:t xml:space="preserve">These </w:t>
      </w:r>
      <w:r w:rsidR="00ED75C2" w:rsidRPr="0078472B">
        <w:rPr>
          <w:rFonts w:ascii="Times New Roman" w:hAnsi="Times New Roman" w:cs="Times New Roman"/>
          <w:color w:val="000000" w:themeColor="text1"/>
          <w:sz w:val="24"/>
          <w:szCs w:val="24"/>
        </w:rPr>
        <w:t>findings</w:t>
      </w:r>
      <w:r w:rsidR="002D78A3" w:rsidRPr="0078472B">
        <w:rPr>
          <w:rFonts w:ascii="Times New Roman" w:hAnsi="Times New Roman" w:cs="Times New Roman"/>
          <w:color w:val="000000" w:themeColor="text1"/>
          <w:sz w:val="24"/>
          <w:szCs w:val="24"/>
        </w:rPr>
        <w:t xml:space="preserve"> suggest that personal interests and the surrounding environment could </w:t>
      </w:r>
      <w:r w:rsidR="00F36340" w:rsidRPr="0078472B">
        <w:rPr>
          <w:rFonts w:ascii="Times New Roman" w:hAnsi="Times New Roman" w:cs="Times New Roman"/>
          <w:color w:val="000000" w:themeColor="text1"/>
          <w:sz w:val="24"/>
          <w:szCs w:val="24"/>
        </w:rPr>
        <w:t>affect</w:t>
      </w:r>
      <w:r w:rsidR="00ED75C2" w:rsidRPr="0078472B">
        <w:rPr>
          <w:rFonts w:ascii="Times New Roman" w:hAnsi="Times New Roman" w:cs="Times New Roman"/>
          <w:color w:val="000000" w:themeColor="text1"/>
          <w:sz w:val="24"/>
          <w:szCs w:val="24"/>
        </w:rPr>
        <w:t xml:space="preserve"> consumer</w:t>
      </w:r>
      <w:r w:rsidR="002D78A3" w:rsidRPr="0078472B">
        <w:rPr>
          <w:rFonts w:ascii="Times New Roman" w:hAnsi="Times New Roman" w:cs="Times New Roman"/>
          <w:color w:val="000000" w:themeColor="text1"/>
          <w:sz w:val="24"/>
          <w:szCs w:val="24"/>
        </w:rPr>
        <w:t>s</w:t>
      </w:r>
      <w:r w:rsidR="00E37B30" w:rsidRPr="0078472B">
        <w:rPr>
          <w:rFonts w:ascii="Times New Roman" w:hAnsi="Times New Roman" w:cs="Times New Roman"/>
          <w:color w:val="000000" w:themeColor="text1"/>
          <w:sz w:val="24"/>
          <w:szCs w:val="24"/>
        </w:rPr>
        <w:t>’</w:t>
      </w:r>
      <w:r w:rsidR="002D78A3" w:rsidRPr="0078472B">
        <w:rPr>
          <w:rFonts w:ascii="Times New Roman" w:hAnsi="Times New Roman" w:cs="Times New Roman"/>
          <w:color w:val="000000" w:themeColor="text1"/>
          <w:sz w:val="24"/>
          <w:szCs w:val="24"/>
        </w:rPr>
        <w:t xml:space="preserve"> gambling decisions</w:t>
      </w:r>
      <w:r w:rsidR="00BA5D52" w:rsidRPr="0078472B">
        <w:rPr>
          <w:rFonts w:ascii="Times New Roman" w:hAnsi="Times New Roman" w:cs="Times New Roman"/>
          <w:color w:val="000000" w:themeColor="text1"/>
          <w:sz w:val="24"/>
          <w:szCs w:val="24"/>
        </w:rPr>
        <w:t xml:space="preserve"> and expenditures on gambling</w:t>
      </w:r>
      <w:r w:rsidR="002D78A3" w:rsidRPr="0078472B">
        <w:rPr>
          <w:rFonts w:ascii="Times New Roman" w:hAnsi="Times New Roman" w:cs="Times New Roman"/>
          <w:color w:val="000000" w:themeColor="text1"/>
          <w:sz w:val="24"/>
          <w:szCs w:val="24"/>
        </w:rPr>
        <w:t>.</w:t>
      </w:r>
      <w:r w:rsidR="00EE6E7B" w:rsidRPr="0078472B">
        <w:rPr>
          <w:rFonts w:ascii="Times New Roman" w:hAnsi="Times New Roman" w:cs="Times New Roman"/>
          <w:color w:val="000000" w:themeColor="text1"/>
          <w:sz w:val="24"/>
          <w:szCs w:val="24"/>
        </w:rPr>
        <w:t xml:space="preserve"> </w:t>
      </w:r>
    </w:p>
    <w:p w14:paraId="23023758" w14:textId="443E5AEB" w:rsidR="00784D78" w:rsidRPr="0078472B" w:rsidRDefault="00784D78" w:rsidP="00A540E5">
      <w:pPr>
        <w:spacing w:after="0" w:line="480" w:lineRule="auto"/>
        <w:jc w:val="both"/>
        <w:rPr>
          <w:rFonts w:ascii="Times New Roman" w:hAnsi="Times New Roman" w:cs="Times New Roman"/>
          <w:color w:val="000000" w:themeColor="text1"/>
          <w:sz w:val="24"/>
          <w:szCs w:val="24"/>
        </w:rPr>
      </w:pPr>
    </w:p>
    <w:p w14:paraId="63EDEF5F" w14:textId="165E284A" w:rsidR="00264E61" w:rsidRPr="0078472B" w:rsidRDefault="003C07AE"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In this paper, we examine empirical relations between online betting activity and bettors’ offline attributes using a</w:t>
      </w:r>
      <w:r w:rsidR="00BE32AD" w:rsidRPr="0078472B">
        <w:rPr>
          <w:rFonts w:ascii="Times New Roman" w:hAnsi="Times New Roman" w:cs="Times New Roman"/>
          <w:color w:val="000000" w:themeColor="text1"/>
          <w:sz w:val="24"/>
          <w:szCs w:val="24"/>
        </w:rPr>
        <w:t xml:space="preserve"> </w:t>
      </w:r>
      <w:r w:rsidR="009A2798" w:rsidRPr="0078472B">
        <w:rPr>
          <w:rFonts w:ascii="Times New Roman" w:hAnsi="Times New Roman" w:cs="Times New Roman"/>
          <w:color w:val="000000" w:themeColor="text1"/>
          <w:sz w:val="24"/>
          <w:szCs w:val="24"/>
        </w:rPr>
        <w:t>data</w:t>
      </w:r>
      <w:r w:rsidRPr="0078472B">
        <w:rPr>
          <w:rFonts w:ascii="Times New Roman" w:hAnsi="Times New Roman" w:cs="Times New Roman"/>
          <w:color w:val="000000" w:themeColor="text1"/>
          <w:sz w:val="24"/>
          <w:szCs w:val="24"/>
        </w:rPr>
        <w:t xml:space="preserve"> set</w:t>
      </w:r>
      <w:r w:rsidR="00BE32AD" w:rsidRPr="0078472B">
        <w:rPr>
          <w:rFonts w:ascii="Times New Roman" w:hAnsi="Times New Roman" w:cs="Times New Roman"/>
          <w:color w:val="000000" w:themeColor="text1"/>
          <w:sz w:val="24"/>
          <w:szCs w:val="24"/>
        </w:rPr>
        <w:t xml:space="preserve"> </w:t>
      </w:r>
      <w:r w:rsidR="000C67E3" w:rsidRPr="0078472B">
        <w:rPr>
          <w:rFonts w:ascii="Times New Roman" w:hAnsi="Times New Roman" w:cs="Times New Roman"/>
          <w:color w:val="000000" w:themeColor="text1"/>
          <w:sz w:val="24"/>
          <w:szCs w:val="24"/>
        </w:rPr>
        <w:t>from Finland. O</w:t>
      </w:r>
      <w:r w:rsidR="002963F7" w:rsidRPr="0078472B">
        <w:rPr>
          <w:rFonts w:ascii="Times New Roman" w:hAnsi="Times New Roman" w:cs="Times New Roman"/>
          <w:color w:val="000000" w:themeColor="text1"/>
          <w:sz w:val="24"/>
          <w:szCs w:val="24"/>
        </w:rPr>
        <w:t xml:space="preserve">ne element of </w:t>
      </w:r>
      <w:r w:rsidR="000C67E3" w:rsidRPr="0078472B">
        <w:rPr>
          <w:rFonts w:ascii="Times New Roman" w:hAnsi="Times New Roman" w:cs="Times New Roman"/>
          <w:color w:val="000000" w:themeColor="text1"/>
          <w:sz w:val="24"/>
          <w:szCs w:val="24"/>
        </w:rPr>
        <w:t>data</w:t>
      </w:r>
      <w:r w:rsidR="00BE32AD" w:rsidRPr="0078472B">
        <w:rPr>
          <w:rFonts w:ascii="Times New Roman" w:hAnsi="Times New Roman" w:cs="Times New Roman"/>
          <w:color w:val="000000" w:themeColor="text1"/>
          <w:sz w:val="24"/>
          <w:szCs w:val="24"/>
        </w:rPr>
        <w:t xml:space="preserve"> was extracted from</w:t>
      </w:r>
      <w:r w:rsidR="009A2798" w:rsidRPr="0078472B">
        <w:rPr>
          <w:rFonts w:ascii="Times New Roman" w:hAnsi="Times New Roman" w:cs="Times New Roman"/>
          <w:color w:val="000000" w:themeColor="text1"/>
          <w:sz w:val="24"/>
          <w:szCs w:val="24"/>
        </w:rPr>
        <w:t xml:space="preserve"> the Finnish horse race betting monopoly’s online betting </w:t>
      </w:r>
      <w:r w:rsidR="009A2798" w:rsidRPr="0078472B">
        <w:rPr>
          <w:rFonts w:ascii="Times New Roman" w:hAnsi="Times New Roman" w:cs="Times New Roman"/>
          <w:color w:val="000000" w:themeColor="text1"/>
          <w:sz w:val="24"/>
          <w:szCs w:val="24"/>
        </w:rPr>
        <w:lastRenderedPageBreak/>
        <w:t>accounts</w:t>
      </w:r>
      <w:r w:rsidR="000C67E3" w:rsidRPr="0078472B">
        <w:rPr>
          <w:rFonts w:ascii="Times New Roman" w:hAnsi="Times New Roman" w:cs="Times New Roman"/>
          <w:color w:val="000000" w:themeColor="text1"/>
          <w:sz w:val="24"/>
          <w:szCs w:val="24"/>
        </w:rPr>
        <w:t>.</w:t>
      </w:r>
      <w:r w:rsidR="009A2798" w:rsidRPr="0078472B">
        <w:rPr>
          <w:rFonts w:ascii="Times New Roman" w:hAnsi="Times New Roman" w:cs="Times New Roman"/>
          <w:color w:val="000000" w:themeColor="text1"/>
          <w:sz w:val="24"/>
          <w:szCs w:val="24"/>
        </w:rPr>
        <w:t xml:space="preserve"> </w:t>
      </w:r>
      <w:r w:rsidR="000C67E3" w:rsidRPr="0078472B">
        <w:rPr>
          <w:rFonts w:ascii="Times New Roman" w:hAnsi="Times New Roman" w:cs="Times New Roman"/>
          <w:color w:val="000000" w:themeColor="text1"/>
          <w:sz w:val="24"/>
          <w:szCs w:val="24"/>
        </w:rPr>
        <w:t>O</w:t>
      </w:r>
      <w:r w:rsidR="009A2798" w:rsidRPr="0078472B">
        <w:rPr>
          <w:rFonts w:ascii="Times New Roman" w:hAnsi="Times New Roman" w:cs="Times New Roman"/>
          <w:color w:val="000000" w:themeColor="text1"/>
          <w:sz w:val="24"/>
          <w:szCs w:val="24"/>
        </w:rPr>
        <w:t xml:space="preserve">ther data </w:t>
      </w:r>
      <w:r w:rsidR="000C67E3" w:rsidRPr="0078472B">
        <w:rPr>
          <w:rFonts w:ascii="Times New Roman" w:hAnsi="Times New Roman" w:cs="Times New Roman"/>
          <w:color w:val="000000" w:themeColor="text1"/>
          <w:sz w:val="24"/>
          <w:szCs w:val="24"/>
        </w:rPr>
        <w:t xml:space="preserve">are </w:t>
      </w:r>
      <w:r w:rsidR="009A2798" w:rsidRPr="0078472B">
        <w:rPr>
          <w:rFonts w:ascii="Times New Roman" w:hAnsi="Times New Roman" w:cs="Times New Roman"/>
          <w:color w:val="000000" w:themeColor="text1"/>
          <w:sz w:val="24"/>
          <w:szCs w:val="24"/>
        </w:rPr>
        <w:t xml:space="preserve">related to the </w:t>
      </w:r>
      <w:r w:rsidR="007B453D" w:rsidRPr="0078472B">
        <w:rPr>
          <w:rFonts w:ascii="Times New Roman" w:hAnsi="Times New Roman" w:cs="Times New Roman"/>
          <w:color w:val="000000" w:themeColor="text1"/>
          <w:sz w:val="24"/>
          <w:szCs w:val="24"/>
        </w:rPr>
        <w:t xml:space="preserve">offline </w:t>
      </w:r>
      <w:r w:rsidR="009A2798" w:rsidRPr="0078472B">
        <w:rPr>
          <w:rFonts w:ascii="Times New Roman" w:hAnsi="Times New Roman" w:cs="Times New Roman"/>
          <w:color w:val="000000" w:themeColor="text1"/>
          <w:sz w:val="24"/>
          <w:szCs w:val="24"/>
        </w:rPr>
        <w:t>betting environment</w:t>
      </w:r>
      <w:r w:rsidR="000D612E" w:rsidRPr="0078472B">
        <w:rPr>
          <w:rFonts w:ascii="Times New Roman" w:hAnsi="Times New Roman" w:cs="Times New Roman"/>
          <w:color w:val="000000" w:themeColor="text1"/>
          <w:sz w:val="24"/>
          <w:szCs w:val="24"/>
        </w:rPr>
        <w:t>, socio-economic</w:t>
      </w:r>
      <w:r w:rsidR="00E37B30" w:rsidRPr="0078472B">
        <w:rPr>
          <w:rFonts w:ascii="Times New Roman" w:hAnsi="Times New Roman" w:cs="Times New Roman"/>
          <w:color w:val="000000" w:themeColor="text1"/>
          <w:sz w:val="24"/>
          <w:szCs w:val="24"/>
        </w:rPr>
        <w:t>,</w:t>
      </w:r>
      <w:r w:rsidR="000D612E" w:rsidRPr="0078472B">
        <w:rPr>
          <w:rFonts w:ascii="Times New Roman" w:hAnsi="Times New Roman" w:cs="Times New Roman"/>
          <w:color w:val="000000" w:themeColor="text1"/>
          <w:sz w:val="24"/>
          <w:szCs w:val="24"/>
        </w:rPr>
        <w:t xml:space="preserve"> </w:t>
      </w:r>
      <w:r w:rsidR="00865142" w:rsidRPr="0078472B">
        <w:rPr>
          <w:rFonts w:ascii="Times New Roman" w:hAnsi="Times New Roman" w:cs="Times New Roman"/>
          <w:color w:val="000000" w:themeColor="text1"/>
          <w:sz w:val="24"/>
          <w:szCs w:val="24"/>
        </w:rPr>
        <w:t xml:space="preserve">demographic </w:t>
      </w:r>
      <w:r w:rsidR="009A2798" w:rsidRPr="0078472B">
        <w:rPr>
          <w:rFonts w:ascii="Times New Roman" w:hAnsi="Times New Roman" w:cs="Times New Roman"/>
          <w:color w:val="000000" w:themeColor="text1"/>
          <w:sz w:val="24"/>
          <w:szCs w:val="24"/>
        </w:rPr>
        <w:t xml:space="preserve">and equine </w:t>
      </w:r>
      <w:r w:rsidR="00865142" w:rsidRPr="0078472B">
        <w:rPr>
          <w:rFonts w:ascii="Times New Roman" w:hAnsi="Times New Roman" w:cs="Times New Roman"/>
          <w:color w:val="000000" w:themeColor="text1"/>
          <w:sz w:val="24"/>
          <w:szCs w:val="24"/>
        </w:rPr>
        <w:t>statistics</w:t>
      </w:r>
      <w:r w:rsidR="002963F7" w:rsidRPr="0078472B">
        <w:rPr>
          <w:rFonts w:ascii="Times New Roman" w:hAnsi="Times New Roman" w:cs="Times New Roman"/>
          <w:color w:val="000000" w:themeColor="text1"/>
          <w:sz w:val="24"/>
          <w:szCs w:val="24"/>
        </w:rPr>
        <w:t xml:space="preserve">. </w:t>
      </w:r>
      <w:r w:rsidR="003268A5" w:rsidRPr="0078472B">
        <w:rPr>
          <w:rFonts w:ascii="Times New Roman" w:hAnsi="Times New Roman" w:cs="Times New Roman"/>
          <w:color w:val="000000" w:themeColor="text1"/>
          <w:sz w:val="24"/>
          <w:szCs w:val="24"/>
        </w:rPr>
        <w:t xml:space="preserve">Our data set has some advantages compared to those used in previous studies. </w:t>
      </w:r>
      <w:r w:rsidR="0033410B" w:rsidRPr="0078472B">
        <w:rPr>
          <w:rFonts w:ascii="Times New Roman" w:hAnsi="Times New Roman" w:cs="Times New Roman"/>
          <w:color w:val="000000" w:themeColor="text1"/>
          <w:sz w:val="24"/>
          <w:szCs w:val="24"/>
        </w:rPr>
        <w:t>Most studies in this domain of gambling research are based on consumer surveys</w:t>
      </w:r>
      <w:r w:rsidR="00435A01" w:rsidRPr="0078472B">
        <w:rPr>
          <w:rFonts w:ascii="Times New Roman" w:hAnsi="Times New Roman" w:cs="Times New Roman"/>
          <w:color w:val="000000" w:themeColor="text1"/>
          <w:sz w:val="24"/>
          <w:szCs w:val="24"/>
        </w:rPr>
        <w:t xml:space="preserve"> (e.g</w:t>
      </w:r>
      <w:r w:rsidR="00631EBA">
        <w:rPr>
          <w:rFonts w:ascii="Times New Roman" w:hAnsi="Times New Roman" w:cs="Times New Roman"/>
          <w:color w:val="000000" w:themeColor="text1"/>
          <w:sz w:val="24"/>
          <w:szCs w:val="24"/>
        </w:rPr>
        <w:t>,</w:t>
      </w:r>
      <w:r w:rsidR="00435A01" w:rsidRPr="0078472B">
        <w:rPr>
          <w:rFonts w:ascii="Times New Roman" w:hAnsi="Times New Roman" w:cs="Times New Roman"/>
          <w:color w:val="000000" w:themeColor="text1"/>
          <w:sz w:val="24"/>
          <w:szCs w:val="24"/>
        </w:rPr>
        <w:t xml:space="preserve">. </w:t>
      </w:r>
      <w:r w:rsidR="00435A01" w:rsidRPr="0078472B">
        <w:rPr>
          <w:rFonts w:ascii="Times New Roman" w:hAnsi="Times New Roman" w:cs="Times New Roman"/>
          <w:color w:val="000000" w:themeColor="text1"/>
          <w:sz w:val="24"/>
          <w:szCs w:val="24"/>
          <w:lang w:val="en-US"/>
        </w:rPr>
        <w:t>Castrén et al., 2018</w:t>
      </w:r>
      <w:r w:rsidR="00435A01" w:rsidRPr="0078472B">
        <w:rPr>
          <w:rFonts w:ascii="Times New Roman" w:hAnsi="Times New Roman" w:cs="Times New Roman"/>
          <w:color w:val="000000" w:themeColor="text1"/>
          <w:sz w:val="24"/>
          <w:szCs w:val="24"/>
        </w:rPr>
        <w:t>)</w:t>
      </w:r>
      <w:r w:rsidR="0033410B" w:rsidRPr="0078472B">
        <w:rPr>
          <w:rFonts w:ascii="Times New Roman" w:hAnsi="Times New Roman" w:cs="Times New Roman"/>
          <w:color w:val="000000" w:themeColor="text1"/>
          <w:sz w:val="24"/>
          <w:szCs w:val="24"/>
        </w:rPr>
        <w:t>, which are prone to biases induced by self-selection, self-reporting and small scale</w:t>
      </w:r>
      <w:r w:rsidR="00E37B30" w:rsidRPr="0078472B">
        <w:rPr>
          <w:rFonts w:ascii="Times New Roman" w:hAnsi="Times New Roman" w:cs="Times New Roman"/>
          <w:color w:val="000000" w:themeColor="text1"/>
          <w:sz w:val="24"/>
          <w:szCs w:val="24"/>
        </w:rPr>
        <w:t>,</w:t>
      </w:r>
      <w:r w:rsidR="0033410B" w:rsidRPr="0078472B">
        <w:rPr>
          <w:rFonts w:ascii="Times New Roman" w:hAnsi="Times New Roman" w:cs="Times New Roman"/>
          <w:color w:val="000000" w:themeColor="text1"/>
          <w:sz w:val="24"/>
          <w:szCs w:val="24"/>
        </w:rPr>
        <w:t xml:space="preserve"> limiting the validity of </w:t>
      </w:r>
      <w:r w:rsidR="000059D0" w:rsidRPr="0078472B">
        <w:rPr>
          <w:rFonts w:ascii="Times New Roman" w:hAnsi="Times New Roman" w:cs="Times New Roman"/>
          <w:color w:val="000000" w:themeColor="text1"/>
          <w:sz w:val="24"/>
          <w:szCs w:val="24"/>
        </w:rPr>
        <w:t xml:space="preserve">their </w:t>
      </w:r>
      <w:r w:rsidR="0033410B" w:rsidRPr="0078472B">
        <w:rPr>
          <w:rFonts w:ascii="Times New Roman" w:hAnsi="Times New Roman" w:cs="Times New Roman"/>
          <w:color w:val="000000" w:themeColor="text1"/>
          <w:sz w:val="24"/>
          <w:szCs w:val="24"/>
        </w:rPr>
        <w:t xml:space="preserve">results (Gainsbury et al. 2012; Gainsbury et al., 2015b). </w:t>
      </w:r>
      <w:r w:rsidR="003268A5" w:rsidRPr="0078472B">
        <w:rPr>
          <w:rFonts w:ascii="Times New Roman" w:hAnsi="Times New Roman" w:cs="Times New Roman"/>
          <w:color w:val="000000" w:themeColor="text1"/>
          <w:sz w:val="24"/>
          <w:szCs w:val="24"/>
        </w:rPr>
        <w:t>By contrast</w:t>
      </w:r>
      <w:r w:rsidR="0033410B" w:rsidRPr="0078472B">
        <w:rPr>
          <w:rFonts w:ascii="Times New Roman" w:hAnsi="Times New Roman" w:cs="Times New Roman"/>
          <w:color w:val="000000" w:themeColor="text1"/>
          <w:sz w:val="24"/>
          <w:szCs w:val="24"/>
        </w:rPr>
        <w:t>, o</w:t>
      </w:r>
      <w:r w:rsidR="00EB791F" w:rsidRPr="0078472B">
        <w:rPr>
          <w:rFonts w:ascii="Times New Roman" w:hAnsi="Times New Roman" w:cs="Times New Roman"/>
          <w:color w:val="000000" w:themeColor="text1"/>
          <w:sz w:val="24"/>
          <w:szCs w:val="24"/>
        </w:rPr>
        <w:t>ur sample covers the whole country though t</w:t>
      </w:r>
      <w:r w:rsidR="009A2798" w:rsidRPr="0078472B">
        <w:rPr>
          <w:rFonts w:ascii="Times New Roman" w:hAnsi="Times New Roman" w:cs="Times New Roman"/>
          <w:color w:val="000000" w:themeColor="text1"/>
          <w:sz w:val="24"/>
          <w:szCs w:val="24"/>
        </w:rPr>
        <w:t>he data are aggregated to the level of a municipality in statistical analyses.</w:t>
      </w:r>
      <w:r w:rsidR="00B677AD" w:rsidRPr="0078472B">
        <w:rPr>
          <w:rFonts w:ascii="Times New Roman" w:hAnsi="Times New Roman" w:cs="Times New Roman"/>
          <w:color w:val="000000" w:themeColor="text1"/>
          <w:sz w:val="24"/>
          <w:szCs w:val="24"/>
        </w:rPr>
        <w:t xml:space="preserve"> </w:t>
      </w:r>
      <w:r w:rsidR="003268A5" w:rsidRPr="0078472B">
        <w:rPr>
          <w:rFonts w:ascii="Times New Roman" w:hAnsi="Times New Roman" w:cs="Times New Roman"/>
          <w:color w:val="000000" w:themeColor="text1"/>
          <w:sz w:val="24"/>
          <w:szCs w:val="24"/>
        </w:rPr>
        <w:t>Further</w:t>
      </w:r>
      <w:r w:rsidR="000059D0" w:rsidRPr="0078472B">
        <w:rPr>
          <w:rFonts w:ascii="Times New Roman" w:hAnsi="Times New Roman" w:cs="Times New Roman"/>
          <w:color w:val="000000" w:themeColor="text1"/>
          <w:sz w:val="24"/>
          <w:szCs w:val="24"/>
        </w:rPr>
        <w:t>,</w:t>
      </w:r>
      <w:r w:rsidR="0033410B" w:rsidRPr="0078472B">
        <w:rPr>
          <w:rFonts w:ascii="Times New Roman" w:hAnsi="Times New Roman" w:cs="Times New Roman"/>
          <w:color w:val="000000" w:themeColor="text1"/>
          <w:sz w:val="24"/>
          <w:szCs w:val="24"/>
        </w:rPr>
        <w:t xml:space="preserve"> c</w:t>
      </w:r>
      <w:r w:rsidR="00BE32AD" w:rsidRPr="0078472B">
        <w:rPr>
          <w:rFonts w:ascii="Times New Roman" w:hAnsi="Times New Roman" w:cs="Times New Roman"/>
          <w:color w:val="000000" w:themeColor="text1"/>
          <w:sz w:val="24"/>
          <w:szCs w:val="24"/>
        </w:rPr>
        <w:t>ompared</w:t>
      </w:r>
      <w:r w:rsidR="00264E61" w:rsidRPr="0078472B">
        <w:rPr>
          <w:rFonts w:ascii="Times New Roman" w:hAnsi="Times New Roman" w:cs="Times New Roman"/>
          <w:color w:val="000000" w:themeColor="text1"/>
          <w:sz w:val="24"/>
          <w:szCs w:val="24"/>
        </w:rPr>
        <w:t xml:space="preserve"> to survey-based studies, our data </w:t>
      </w:r>
      <w:r w:rsidR="002963F7" w:rsidRPr="0078472B">
        <w:rPr>
          <w:rFonts w:ascii="Times New Roman" w:hAnsi="Times New Roman" w:cs="Times New Roman"/>
          <w:color w:val="000000" w:themeColor="text1"/>
          <w:sz w:val="24"/>
          <w:szCs w:val="24"/>
        </w:rPr>
        <w:t>are</w:t>
      </w:r>
      <w:r w:rsidR="00264E61" w:rsidRPr="0078472B">
        <w:rPr>
          <w:rFonts w:ascii="Times New Roman" w:hAnsi="Times New Roman" w:cs="Times New Roman"/>
          <w:color w:val="000000" w:themeColor="text1"/>
          <w:sz w:val="24"/>
          <w:szCs w:val="24"/>
        </w:rPr>
        <w:t xml:space="preserve"> based on </w:t>
      </w:r>
      <w:r w:rsidR="00BE32AD" w:rsidRPr="0078472B">
        <w:rPr>
          <w:rFonts w:ascii="Times New Roman" w:hAnsi="Times New Roman" w:cs="Times New Roman"/>
          <w:color w:val="000000" w:themeColor="text1"/>
          <w:sz w:val="24"/>
          <w:szCs w:val="24"/>
        </w:rPr>
        <w:t>objective measurements</w:t>
      </w:r>
      <w:r w:rsidR="003268A5" w:rsidRPr="0078472B">
        <w:rPr>
          <w:rFonts w:ascii="Times New Roman" w:hAnsi="Times New Roman" w:cs="Times New Roman"/>
          <w:color w:val="000000" w:themeColor="text1"/>
          <w:sz w:val="24"/>
          <w:szCs w:val="24"/>
        </w:rPr>
        <w:t xml:space="preserve">. </w:t>
      </w:r>
      <w:r w:rsidR="000059D0" w:rsidRPr="0078472B">
        <w:rPr>
          <w:rFonts w:ascii="Times New Roman" w:hAnsi="Times New Roman" w:cs="Times New Roman"/>
          <w:color w:val="000000" w:themeColor="text1"/>
          <w:sz w:val="24"/>
          <w:szCs w:val="24"/>
        </w:rPr>
        <w:t>In reg</w:t>
      </w:r>
      <w:r w:rsidR="00435A01" w:rsidRPr="0078472B">
        <w:rPr>
          <w:rFonts w:ascii="Times New Roman" w:hAnsi="Times New Roman" w:cs="Times New Roman"/>
          <w:color w:val="000000" w:themeColor="text1"/>
          <w:sz w:val="24"/>
          <w:szCs w:val="24"/>
        </w:rPr>
        <w:t>a</w:t>
      </w:r>
      <w:r w:rsidR="000059D0" w:rsidRPr="0078472B">
        <w:rPr>
          <w:rFonts w:ascii="Times New Roman" w:hAnsi="Times New Roman" w:cs="Times New Roman"/>
          <w:color w:val="000000" w:themeColor="text1"/>
          <w:sz w:val="24"/>
          <w:szCs w:val="24"/>
        </w:rPr>
        <w:t>rd</w:t>
      </w:r>
      <w:r w:rsidR="003268A5" w:rsidRPr="0078472B">
        <w:rPr>
          <w:rFonts w:ascii="Times New Roman" w:hAnsi="Times New Roman" w:cs="Times New Roman"/>
          <w:color w:val="000000" w:themeColor="text1"/>
          <w:sz w:val="24"/>
          <w:szCs w:val="24"/>
        </w:rPr>
        <w:t xml:space="preserve"> to recent studies which use </w:t>
      </w:r>
      <w:r w:rsidR="00435A01" w:rsidRPr="0078472B">
        <w:rPr>
          <w:rFonts w:ascii="Times New Roman" w:hAnsi="Times New Roman" w:cs="Times New Roman"/>
          <w:color w:val="000000" w:themeColor="text1"/>
          <w:sz w:val="24"/>
          <w:szCs w:val="24"/>
        </w:rPr>
        <w:t>information on actual bets extracted from online gambling accounts</w:t>
      </w:r>
      <w:r w:rsidR="003268A5" w:rsidRPr="0078472B">
        <w:rPr>
          <w:rFonts w:ascii="Times New Roman" w:hAnsi="Times New Roman" w:cs="Times New Roman"/>
          <w:color w:val="000000" w:themeColor="text1"/>
          <w:sz w:val="24"/>
          <w:szCs w:val="24"/>
        </w:rPr>
        <w:t xml:space="preserve"> but have limited or missing information on bettors (e.g.</w:t>
      </w:r>
      <w:r w:rsidR="00631EBA">
        <w:rPr>
          <w:rFonts w:ascii="Times New Roman" w:hAnsi="Times New Roman" w:cs="Times New Roman"/>
          <w:color w:val="000000" w:themeColor="text1"/>
          <w:sz w:val="24"/>
          <w:szCs w:val="24"/>
        </w:rPr>
        <w:t>,</w:t>
      </w:r>
      <w:r w:rsidR="003268A5" w:rsidRPr="0078472B">
        <w:rPr>
          <w:rFonts w:ascii="Times New Roman" w:hAnsi="Times New Roman" w:cs="Times New Roman"/>
          <w:color w:val="000000" w:themeColor="text1"/>
          <w:sz w:val="24"/>
          <w:szCs w:val="24"/>
        </w:rPr>
        <w:t xml:space="preserve"> Kainulainen 201</w:t>
      </w:r>
      <w:r w:rsidR="009C45CA" w:rsidRPr="0078472B">
        <w:rPr>
          <w:rFonts w:ascii="Times New Roman" w:hAnsi="Times New Roman" w:cs="Times New Roman"/>
          <w:color w:val="000000" w:themeColor="text1"/>
          <w:sz w:val="24"/>
          <w:szCs w:val="24"/>
        </w:rPr>
        <w:t>9</w:t>
      </w:r>
      <w:r w:rsidR="003268A5" w:rsidRPr="0078472B">
        <w:rPr>
          <w:rFonts w:ascii="Times New Roman" w:hAnsi="Times New Roman" w:cs="Times New Roman"/>
          <w:color w:val="000000" w:themeColor="text1"/>
          <w:sz w:val="24"/>
          <w:szCs w:val="24"/>
        </w:rPr>
        <w:t xml:space="preserve">; Suhonen et al. 2018; Suhonen </w:t>
      </w:r>
      <w:r w:rsidR="007B3E13" w:rsidRPr="0078472B">
        <w:rPr>
          <w:rFonts w:ascii="Times New Roman" w:hAnsi="Times New Roman" w:cs="Times New Roman"/>
          <w:color w:val="000000" w:themeColor="text1"/>
          <w:sz w:val="24"/>
          <w:szCs w:val="24"/>
        </w:rPr>
        <w:t>&amp;</w:t>
      </w:r>
      <w:r w:rsidR="003268A5" w:rsidRPr="0078472B">
        <w:rPr>
          <w:rFonts w:ascii="Times New Roman" w:hAnsi="Times New Roman" w:cs="Times New Roman"/>
          <w:color w:val="000000" w:themeColor="text1"/>
          <w:sz w:val="24"/>
          <w:szCs w:val="24"/>
        </w:rPr>
        <w:t xml:space="preserve"> Saastamoinen 2018), </w:t>
      </w:r>
      <w:r w:rsidR="007B453D" w:rsidRPr="0078472B">
        <w:rPr>
          <w:rFonts w:ascii="Times New Roman" w:hAnsi="Times New Roman" w:cs="Times New Roman"/>
          <w:color w:val="000000" w:themeColor="text1"/>
          <w:sz w:val="24"/>
          <w:szCs w:val="24"/>
        </w:rPr>
        <w:t>our data provide a rich set of background variables, which can be used as controls in statistical analyses.</w:t>
      </w:r>
      <w:r w:rsidR="003268A5" w:rsidRPr="0078472B">
        <w:rPr>
          <w:rFonts w:ascii="Times New Roman" w:hAnsi="Times New Roman" w:cs="Times New Roman"/>
          <w:color w:val="000000" w:themeColor="text1"/>
          <w:sz w:val="24"/>
          <w:szCs w:val="24"/>
        </w:rPr>
        <w:t xml:space="preserve"> </w:t>
      </w:r>
      <w:r w:rsidR="000059D0" w:rsidRPr="0078472B">
        <w:rPr>
          <w:rFonts w:ascii="Times New Roman" w:hAnsi="Times New Roman" w:cs="Times New Roman"/>
          <w:color w:val="000000" w:themeColor="text1"/>
          <w:sz w:val="24"/>
          <w:szCs w:val="24"/>
        </w:rPr>
        <w:t>T</w:t>
      </w:r>
      <w:r w:rsidR="00BE32AD" w:rsidRPr="0078472B">
        <w:rPr>
          <w:rFonts w:ascii="Times New Roman" w:hAnsi="Times New Roman" w:cs="Times New Roman"/>
          <w:color w:val="000000" w:themeColor="text1"/>
          <w:sz w:val="24"/>
          <w:szCs w:val="24"/>
        </w:rPr>
        <w:t xml:space="preserve">he </w:t>
      </w:r>
      <w:r w:rsidR="007B453D" w:rsidRPr="0078472B">
        <w:rPr>
          <w:rFonts w:ascii="Times New Roman" w:hAnsi="Times New Roman" w:cs="Times New Roman"/>
          <w:color w:val="000000" w:themeColor="text1"/>
          <w:sz w:val="24"/>
          <w:szCs w:val="24"/>
        </w:rPr>
        <w:t xml:space="preserve">main </w:t>
      </w:r>
      <w:r w:rsidR="00BE32AD" w:rsidRPr="0078472B">
        <w:rPr>
          <w:rFonts w:ascii="Times New Roman" w:hAnsi="Times New Roman" w:cs="Times New Roman"/>
          <w:color w:val="000000" w:themeColor="text1"/>
          <w:sz w:val="24"/>
          <w:szCs w:val="24"/>
        </w:rPr>
        <w:t>disadvantage of our data is that</w:t>
      </w:r>
      <w:r w:rsidR="00264E61" w:rsidRPr="0078472B">
        <w:rPr>
          <w:rFonts w:ascii="Times New Roman" w:hAnsi="Times New Roman" w:cs="Times New Roman"/>
          <w:color w:val="000000" w:themeColor="text1"/>
          <w:sz w:val="24"/>
          <w:szCs w:val="24"/>
        </w:rPr>
        <w:t xml:space="preserve"> </w:t>
      </w:r>
      <w:r w:rsidR="00AB6287" w:rsidRPr="0078472B">
        <w:rPr>
          <w:rFonts w:ascii="Times New Roman" w:hAnsi="Times New Roman" w:cs="Times New Roman"/>
          <w:color w:val="000000" w:themeColor="text1"/>
          <w:sz w:val="24"/>
          <w:szCs w:val="24"/>
        </w:rPr>
        <w:t>the</w:t>
      </w:r>
      <w:r w:rsidR="00BE32AD" w:rsidRPr="0078472B">
        <w:rPr>
          <w:rFonts w:ascii="Times New Roman" w:hAnsi="Times New Roman" w:cs="Times New Roman"/>
          <w:color w:val="000000" w:themeColor="text1"/>
          <w:sz w:val="24"/>
          <w:szCs w:val="24"/>
        </w:rPr>
        <w:t xml:space="preserve"> unit of measurement is the level of a municipality</w:t>
      </w:r>
      <w:r w:rsidR="007B3E13" w:rsidRPr="0078472B">
        <w:rPr>
          <w:rFonts w:ascii="Times New Roman" w:hAnsi="Times New Roman" w:cs="Times New Roman"/>
          <w:color w:val="000000" w:themeColor="text1"/>
          <w:sz w:val="24"/>
          <w:szCs w:val="24"/>
        </w:rPr>
        <w:t>.</w:t>
      </w:r>
      <w:r w:rsidR="00BE32AD" w:rsidRPr="0078472B">
        <w:rPr>
          <w:rFonts w:ascii="Times New Roman" w:hAnsi="Times New Roman" w:cs="Times New Roman"/>
          <w:color w:val="000000" w:themeColor="text1"/>
          <w:sz w:val="24"/>
          <w:szCs w:val="24"/>
        </w:rPr>
        <w:t xml:space="preserve"> </w:t>
      </w:r>
      <w:r w:rsidR="007B3E13" w:rsidRPr="0078472B">
        <w:rPr>
          <w:rFonts w:ascii="Times New Roman" w:hAnsi="Times New Roman" w:cs="Times New Roman"/>
          <w:color w:val="000000" w:themeColor="text1"/>
          <w:sz w:val="24"/>
          <w:szCs w:val="24"/>
        </w:rPr>
        <w:t>Thus,</w:t>
      </w:r>
      <w:r w:rsidR="00264E61" w:rsidRPr="0078472B">
        <w:rPr>
          <w:rFonts w:ascii="Times New Roman" w:hAnsi="Times New Roman" w:cs="Times New Roman"/>
          <w:color w:val="000000" w:themeColor="text1"/>
          <w:sz w:val="24"/>
          <w:szCs w:val="24"/>
        </w:rPr>
        <w:t xml:space="preserve"> strong conclusions</w:t>
      </w:r>
      <w:r w:rsidR="00BE32AD" w:rsidRPr="0078472B">
        <w:rPr>
          <w:rFonts w:ascii="Times New Roman" w:hAnsi="Times New Roman" w:cs="Times New Roman"/>
          <w:color w:val="000000" w:themeColor="text1"/>
          <w:sz w:val="24"/>
          <w:szCs w:val="24"/>
        </w:rPr>
        <w:t xml:space="preserve"> cannot be </w:t>
      </w:r>
      <w:r w:rsidR="00AB6287" w:rsidRPr="0078472B">
        <w:rPr>
          <w:rFonts w:ascii="Times New Roman" w:hAnsi="Times New Roman" w:cs="Times New Roman"/>
          <w:color w:val="000000" w:themeColor="text1"/>
          <w:sz w:val="24"/>
          <w:szCs w:val="24"/>
        </w:rPr>
        <w:t xml:space="preserve">drawn </w:t>
      </w:r>
      <w:r w:rsidR="00B14C98" w:rsidRPr="0078472B">
        <w:rPr>
          <w:rFonts w:ascii="Times New Roman" w:hAnsi="Times New Roman" w:cs="Times New Roman"/>
          <w:color w:val="000000" w:themeColor="text1"/>
          <w:sz w:val="24"/>
          <w:szCs w:val="24"/>
        </w:rPr>
        <w:t>regarding</w:t>
      </w:r>
      <w:r w:rsidR="00AB6287" w:rsidRPr="0078472B">
        <w:rPr>
          <w:rFonts w:ascii="Times New Roman" w:hAnsi="Times New Roman" w:cs="Times New Roman"/>
          <w:color w:val="000000" w:themeColor="text1"/>
          <w:sz w:val="24"/>
          <w:szCs w:val="24"/>
        </w:rPr>
        <w:t xml:space="preserve"> </w:t>
      </w:r>
      <w:r w:rsidR="00BE32AD" w:rsidRPr="0078472B">
        <w:rPr>
          <w:rFonts w:ascii="Times New Roman" w:hAnsi="Times New Roman" w:cs="Times New Roman"/>
          <w:color w:val="000000" w:themeColor="text1"/>
          <w:sz w:val="24"/>
          <w:szCs w:val="24"/>
        </w:rPr>
        <w:t>betting behavio</w:t>
      </w:r>
      <w:r w:rsidR="00B00524" w:rsidRPr="0078472B">
        <w:rPr>
          <w:rFonts w:ascii="Times New Roman" w:hAnsi="Times New Roman" w:cs="Times New Roman"/>
          <w:color w:val="000000" w:themeColor="text1"/>
          <w:sz w:val="24"/>
          <w:szCs w:val="24"/>
        </w:rPr>
        <w:t>u</w:t>
      </w:r>
      <w:r w:rsidR="00BE32AD" w:rsidRPr="0078472B">
        <w:rPr>
          <w:rFonts w:ascii="Times New Roman" w:hAnsi="Times New Roman" w:cs="Times New Roman"/>
          <w:color w:val="000000" w:themeColor="text1"/>
          <w:sz w:val="24"/>
          <w:szCs w:val="24"/>
        </w:rPr>
        <w:t>r</w:t>
      </w:r>
      <w:r w:rsidR="00AB6287" w:rsidRPr="0078472B">
        <w:rPr>
          <w:rFonts w:ascii="Times New Roman" w:hAnsi="Times New Roman" w:cs="Times New Roman"/>
          <w:color w:val="000000" w:themeColor="text1"/>
          <w:sz w:val="24"/>
          <w:szCs w:val="24"/>
        </w:rPr>
        <w:t xml:space="preserve"> at the </w:t>
      </w:r>
      <w:r w:rsidR="002963F7" w:rsidRPr="0078472B">
        <w:rPr>
          <w:rFonts w:ascii="Times New Roman" w:hAnsi="Times New Roman" w:cs="Times New Roman"/>
          <w:color w:val="000000" w:themeColor="text1"/>
          <w:sz w:val="24"/>
          <w:szCs w:val="24"/>
        </w:rPr>
        <w:t xml:space="preserve">individual </w:t>
      </w:r>
      <w:r w:rsidR="00AB6287" w:rsidRPr="0078472B">
        <w:rPr>
          <w:rFonts w:ascii="Times New Roman" w:hAnsi="Times New Roman" w:cs="Times New Roman"/>
          <w:color w:val="000000" w:themeColor="text1"/>
          <w:sz w:val="24"/>
          <w:szCs w:val="24"/>
        </w:rPr>
        <w:t>level</w:t>
      </w:r>
      <w:r w:rsidR="00264E61" w:rsidRPr="0078472B">
        <w:rPr>
          <w:rFonts w:ascii="Times New Roman" w:hAnsi="Times New Roman" w:cs="Times New Roman"/>
          <w:color w:val="000000" w:themeColor="text1"/>
          <w:sz w:val="24"/>
          <w:szCs w:val="24"/>
        </w:rPr>
        <w:t xml:space="preserve">. </w:t>
      </w:r>
    </w:p>
    <w:p w14:paraId="34CF5778" w14:textId="368F4F1C" w:rsidR="00EE6E7B" w:rsidRPr="0078472B" w:rsidRDefault="00EE6E7B" w:rsidP="00A540E5">
      <w:pPr>
        <w:spacing w:after="0" w:line="480" w:lineRule="auto"/>
        <w:jc w:val="both"/>
        <w:rPr>
          <w:rFonts w:ascii="Times New Roman" w:hAnsi="Times New Roman" w:cs="Times New Roman"/>
          <w:color w:val="000000" w:themeColor="text1"/>
          <w:sz w:val="24"/>
          <w:szCs w:val="24"/>
        </w:rPr>
      </w:pPr>
    </w:p>
    <w:p w14:paraId="4AA95230" w14:textId="0C086BD4" w:rsidR="00BD7140" w:rsidRPr="0078472B" w:rsidRDefault="003C1F5B"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 xml:space="preserve">This study contributes to the literature in various ways. </w:t>
      </w:r>
      <w:r w:rsidR="00FC5F17" w:rsidRPr="0078472B">
        <w:rPr>
          <w:rFonts w:ascii="Times New Roman" w:hAnsi="Times New Roman" w:cs="Times New Roman"/>
          <w:color w:val="000000" w:themeColor="text1"/>
          <w:sz w:val="24"/>
          <w:szCs w:val="24"/>
        </w:rPr>
        <w:t>First</w:t>
      </w:r>
      <w:r w:rsidRPr="0078472B">
        <w:rPr>
          <w:rFonts w:ascii="Times New Roman" w:hAnsi="Times New Roman" w:cs="Times New Roman"/>
          <w:color w:val="000000" w:themeColor="text1"/>
          <w:sz w:val="24"/>
          <w:szCs w:val="24"/>
        </w:rPr>
        <w:t>, our paper s</w:t>
      </w:r>
      <w:r w:rsidR="000C67E3" w:rsidRPr="0078472B">
        <w:rPr>
          <w:rFonts w:ascii="Times New Roman" w:hAnsi="Times New Roman" w:cs="Times New Roman"/>
          <w:color w:val="000000" w:themeColor="text1"/>
          <w:sz w:val="24"/>
          <w:szCs w:val="24"/>
        </w:rPr>
        <w:t>uggest</w:t>
      </w:r>
      <w:r w:rsidRPr="0078472B">
        <w:rPr>
          <w:rFonts w:ascii="Times New Roman" w:hAnsi="Times New Roman" w:cs="Times New Roman"/>
          <w:color w:val="000000" w:themeColor="text1"/>
          <w:sz w:val="24"/>
          <w:szCs w:val="24"/>
        </w:rPr>
        <w:t>s that</w:t>
      </w:r>
      <w:r w:rsidR="00841F05"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despite </w:t>
      </w:r>
      <w:r w:rsidR="00EF2FE4" w:rsidRPr="0078472B">
        <w:rPr>
          <w:rFonts w:ascii="Times New Roman" w:hAnsi="Times New Roman" w:cs="Times New Roman"/>
          <w:color w:val="000000" w:themeColor="text1"/>
          <w:sz w:val="24"/>
          <w:szCs w:val="24"/>
        </w:rPr>
        <w:t>the</w:t>
      </w:r>
      <w:r w:rsidRPr="0078472B">
        <w:rPr>
          <w:rFonts w:ascii="Times New Roman" w:hAnsi="Times New Roman" w:cs="Times New Roman"/>
          <w:color w:val="000000" w:themeColor="text1"/>
          <w:sz w:val="24"/>
          <w:szCs w:val="24"/>
        </w:rPr>
        <w:t xml:space="preserve"> wealth of gambling opportunities provided by the online gambling environment, </w:t>
      </w:r>
      <w:r w:rsidR="00841F05" w:rsidRPr="0078472B">
        <w:rPr>
          <w:rFonts w:ascii="Times New Roman" w:hAnsi="Times New Roman" w:cs="Times New Roman"/>
          <w:color w:val="000000" w:themeColor="text1"/>
          <w:sz w:val="24"/>
          <w:szCs w:val="24"/>
        </w:rPr>
        <w:t xml:space="preserve">the </w:t>
      </w:r>
      <w:r w:rsidRPr="0078472B">
        <w:rPr>
          <w:rFonts w:ascii="Times New Roman" w:hAnsi="Times New Roman" w:cs="Times New Roman"/>
          <w:color w:val="000000" w:themeColor="text1"/>
          <w:sz w:val="24"/>
          <w:szCs w:val="24"/>
        </w:rPr>
        <w:t>local offline gambling environment still play</w:t>
      </w:r>
      <w:r w:rsidR="00341E76" w:rsidRPr="0078472B">
        <w:rPr>
          <w:rFonts w:ascii="Times New Roman" w:hAnsi="Times New Roman" w:cs="Times New Roman"/>
          <w:color w:val="000000" w:themeColor="text1"/>
          <w:sz w:val="24"/>
          <w:szCs w:val="24"/>
        </w:rPr>
        <w:t>s</w:t>
      </w:r>
      <w:r w:rsidRPr="0078472B">
        <w:rPr>
          <w:rFonts w:ascii="Times New Roman" w:hAnsi="Times New Roman" w:cs="Times New Roman"/>
          <w:color w:val="000000" w:themeColor="text1"/>
          <w:sz w:val="24"/>
          <w:szCs w:val="24"/>
        </w:rPr>
        <w:t xml:space="preserve"> a role in gambling decisions. </w:t>
      </w:r>
      <w:r w:rsidR="0036680F" w:rsidRPr="0078472B">
        <w:rPr>
          <w:rFonts w:ascii="Times New Roman" w:hAnsi="Times New Roman" w:cs="Times New Roman"/>
          <w:color w:val="000000" w:themeColor="text1"/>
          <w:sz w:val="24"/>
          <w:szCs w:val="24"/>
        </w:rPr>
        <w:t xml:space="preserve">Second, </w:t>
      </w:r>
      <w:r w:rsidR="00841F05" w:rsidRPr="0078472B">
        <w:rPr>
          <w:rFonts w:ascii="Times New Roman" w:hAnsi="Times New Roman" w:cs="Times New Roman"/>
          <w:color w:val="000000" w:themeColor="text1"/>
          <w:sz w:val="24"/>
          <w:szCs w:val="24"/>
        </w:rPr>
        <w:t>so far as we know</w:t>
      </w:r>
      <w:r w:rsidR="0036680F" w:rsidRPr="0078472B">
        <w:rPr>
          <w:rFonts w:ascii="Times New Roman" w:hAnsi="Times New Roman" w:cs="Times New Roman"/>
          <w:color w:val="000000" w:themeColor="text1"/>
          <w:sz w:val="24"/>
          <w:szCs w:val="24"/>
        </w:rPr>
        <w:t xml:space="preserve">, this is the first study to report an association between a general interest in horses and online horse race betting </w:t>
      </w:r>
      <w:r w:rsidR="0036680F" w:rsidRPr="0078472B">
        <w:rPr>
          <w:rFonts w:ascii="Times New Roman" w:hAnsi="Times New Roman" w:cs="Times New Roman"/>
          <w:color w:val="000000" w:themeColor="text1"/>
          <w:sz w:val="24"/>
          <w:szCs w:val="24"/>
        </w:rPr>
        <w:lastRenderedPageBreak/>
        <w:t>activity.</w:t>
      </w:r>
      <w:r w:rsidR="004D5663" w:rsidRPr="0078472B">
        <w:rPr>
          <w:rFonts w:ascii="Times New Roman" w:hAnsi="Times New Roman" w:cs="Times New Roman"/>
          <w:color w:val="000000" w:themeColor="text1"/>
          <w:sz w:val="24"/>
          <w:szCs w:val="24"/>
        </w:rPr>
        <w:t xml:space="preserve"> </w:t>
      </w:r>
      <w:r w:rsidR="001E6CB5" w:rsidRPr="0078472B">
        <w:rPr>
          <w:rFonts w:ascii="Times New Roman" w:hAnsi="Times New Roman" w:cs="Times New Roman"/>
          <w:color w:val="000000" w:themeColor="text1"/>
          <w:sz w:val="24"/>
          <w:szCs w:val="24"/>
        </w:rPr>
        <w:t>Similar findings have been reported before in other forms of sports betting (e.g.</w:t>
      </w:r>
      <w:r w:rsidR="00631EBA">
        <w:rPr>
          <w:rFonts w:ascii="Times New Roman" w:hAnsi="Times New Roman" w:cs="Times New Roman"/>
          <w:color w:val="000000" w:themeColor="text1"/>
          <w:sz w:val="24"/>
          <w:szCs w:val="24"/>
        </w:rPr>
        <w:t>,</w:t>
      </w:r>
      <w:r w:rsidR="001E6CB5" w:rsidRPr="0078472B">
        <w:rPr>
          <w:rFonts w:ascii="Times New Roman" w:hAnsi="Times New Roman" w:cs="Times New Roman"/>
          <w:color w:val="000000" w:themeColor="text1"/>
          <w:sz w:val="24"/>
          <w:szCs w:val="24"/>
        </w:rPr>
        <w:t xml:space="preserve"> Paul </w:t>
      </w:r>
      <w:r w:rsidR="009B67E1" w:rsidRPr="0078472B">
        <w:rPr>
          <w:rFonts w:ascii="Times New Roman" w:hAnsi="Times New Roman" w:cs="Times New Roman"/>
          <w:color w:val="000000" w:themeColor="text1"/>
          <w:sz w:val="24"/>
          <w:szCs w:val="24"/>
        </w:rPr>
        <w:t>&amp;</w:t>
      </w:r>
      <w:r w:rsidR="001E6CB5" w:rsidRPr="0078472B">
        <w:rPr>
          <w:rFonts w:ascii="Times New Roman" w:hAnsi="Times New Roman" w:cs="Times New Roman"/>
          <w:color w:val="000000" w:themeColor="text1"/>
          <w:sz w:val="24"/>
          <w:szCs w:val="24"/>
        </w:rPr>
        <w:t xml:space="preserve"> We</w:t>
      </w:r>
      <w:r w:rsidR="0083126E" w:rsidRPr="0078472B">
        <w:rPr>
          <w:rFonts w:ascii="Times New Roman" w:hAnsi="Times New Roman" w:cs="Times New Roman"/>
          <w:color w:val="000000" w:themeColor="text1"/>
          <w:sz w:val="24"/>
          <w:szCs w:val="24"/>
        </w:rPr>
        <w:t>in</w:t>
      </w:r>
      <w:r w:rsidR="001E6CB5" w:rsidRPr="0078472B">
        <w:rPr>
          <w:rFonts w:ascii="Times New Roman" w:hAnsi="Times New Roman" w:cs="Times New Roman"/>
          <w:color w:val="000000" w:themeColor="text1"/>
          <w:sz w:val="24"/>
          <w:szCs w:val="24"/>
        </w:rPr>
        <w:t>bach</w:t>
      </w:r>
      <w:r w:rsidR="00E5036A" w:rsidRPr="0078472B">
        <w:rPr>
          <w:rFonts w:ascii="Times New Roman" w:hAnsi="Times New Roman" w:cs="Times New Roman"/>
          <w:color w:val="000000" w:themeColor="text1"/>
          <w:sz w:val="24"/>
          <w:szCs w:val="24"/>
        </w:rPr>
        <w:t>,</w:t>
      </w:r>
      <w:r w:rsidR="001E6CB5" w:rsidRPr="0078472B">
        <w:rPr>
          <w:rFonts w:ascii="Times New Roman" w:hAnsi="Times New Roman" w:cs="Times New Roman"/>
          <w:color w:val="000000" w:themeColor="text1"/>
          <w:sz w:val="24"/>
          <w:szCs w:val="24"/>
        </w:rPr>
        <w:t xml:space="preserve"> 2010). Thus, our paper also contributes to the nascent literature which links sports interest with sports betting. </w:t>
      </w:r>
      <w:r w:rsidR="00524DF1" w:rsidRPr="0078472B">
        <w:rPr>
          <w:rFonts w:ascii="Times New Roman" w:hAnsi="Times New Roman" w:cs="Times New Roman"/>
          <w:color w:val="000000" w:themeColor="text1"/>
          <w:sz w:val="24"/>
          <w:szCs w:val="24"/>
        </w:rPr>
        <w:t xml:space="preserve">This is important because revenues of racing industries are particularly dependent on betting interest (Forrest </w:t>
      </w:r>
      <w:r w:rsidR="009B67E1" w:rsidRPr="0078472B">
        <w:rPr>
          <w:rFonts w:ascii="Times New Roman" w:hAnsi="Times New Roman" w:cs="Times New Roman"/>
          <w:color w:val="000000" w:themeColor="text1"/>
          <w:sz w:val="24"/>
          <w:szCs w:val="24"/>
        </w:rPr>
        <w:t>&amp;</w:t>
      </w:r>
      <w:r w:rsidR="00524DF1" w:rsidRPr="0078472B">
        <w:rPr>
          <w:rFonts w:ascii="Times New Roman" w:hAnsi="Times New Roman" w:cs="Times New Roman"/>
          <w:color w:val="000000" w:themeColor="text1"/>
          <w:sz w:val="24"/>
          <w:szCs w:val="24"/>
        </w:rPr>
        <w:t xml:space="preserve"> Simmons, 2003). </w:t>
      </w:r>
      <w:r w:rsidR="00DE3CC6" w:rsidRPr="0078472B">
        <w:rPr>
          <w:rFonts w:ascii="Times New Roman" w:hAnsi="Times New Roman" w:cs="Times New Roman"/>
          <w:color w:val="000000" w:themeColor="text1"/>
          <w:sz w:val="24"/>
          <w:szCs w:val="24"/>
        </w:rPr>
        <w:t>As betting activity is increasi</w:t>
      </w:r>
      <w:r w:rsidR="001E6CB5" w:rsidRPr="0078472B">
        <w:rPr>
          <w:rFonts w:ascii="Times New Roman" w:hAnsi="Times New Roman" w:cs="Times New Roman"/>
          <w:color w:val="000000" w:themeColor="text1"/>
          <w:sz w:val="24"/>
          <w:szCs w:val="24"/>
        </w:rPr>
        <w:t>n</w:t>
      </w:r>
      <w:r w:rsidR="00DE3CC6" w:rsidRPr="0078472B">
        <w:rPr>
          <w:rFonts w:ascii="Times New Roman" w:hAnsi="Times New Roman" w:cs="Times New Roman"/>
          <w:color w:val="000000" w:themeColor="text1"/>
          <w:sz w:val="24"/>
          <w:szCs w:val="24"/>
        </w:rPr>
        <w:t>g</w:t>
      </w:r>
      <w:r w:rsidR="001E6CB5" w:rsidRPr="0078472B">
        <w:rPr>
          <w:rFonts w:ascii="Times New Roman" w:hAnsi="Times New Roman" w:cs="Times New Roman"/>
          <w:color w:val="000000" w:themeColor="text1"/>
          <w:sz w:val="24"/>
          <w:szCs w:val="24"/>
        </w:rPr>
        <w:t>l</w:t>
      </w:r>
      <w:r w:rsidR="00DE3CC6" w:rsidRPr="0078472B">
        <w:rPr>
          <w:rFonts w:ascii="Times New Roman" w:hAnsi="Times New Roman" w:cs="Times New Roman"/>
          <w:color w:val="000000" w:themeColor="text1"/>
          <w:sz w:val="24"/>
          <w:szCs w:val="24"/>
        </w:rPr>
        <w:t>y</w:t>
      </w:r>
      <w:r w:rsidR="001E6CB5" w:rsidRPr="0078472B">
        <w:rPr>
          <w:rFonts w:ascii="Times New Roman" w:hAnsi="Times New Roman" w:cs="Times New Roman"/>
          <w:color w:val="000000" w:themeColor="text1"/>
          <w:sz w:val="24"/>
          <w:szCs w:val="24"/>
        </w:rPr>
        <w:t xml:space="preserve"> online,</w:t>
      </w:r>
      <w:r w:rsidR="00DE3CC6" w:rsidRPr="0078472B">
        <w:rPr>
          <w:rFonts w:ascii="Times New Roman" w:hAnsi="Times New Roman" w:cs="Times New Roman"/>
          <w:color w:val="000000" w:themeColor="text1"/>
          <w:sz w:val="24"/>
          <w:szCs w:val="24"/>
        </w:rPr>
        <w:t xml:space="preserve"> </w:t>
      </w:r>
      <w:r w:rsidR="001E6CB5" w:rsidRPr="0078472B">
        <w:rPr>
          <w:rFonts w:ascii="Times New Roman" w:hAnsi="Times New Roman" w:cs="Times New Roman"/>
          <w:color w:val="000000" w:themeColor="text1"/>
          <w:sz w:val="24"/>
          <w:szCs w:val="24"/>
        </w:rPr>
        <w:t>t</w:t>
      </w:r>
      <w:r w:rsidR="00DE3CC6" w:rsidRPr="0078472B">
        <w:rPr>
          <w:rFonts w:ascii="Times New Roman" w:hAnsi="Times New Roman" w:cs="Times New Roman"/>
          <w:color w:val="000000" w:themeColor="text1"/>
          <w:sz w:val="24"/>
          <w:szCs w:val="24"/>
        </w:rPr>
        <w:t>he viability of existing horserace industries depends crucially on the sport attracting online bettors.</w:t>
      </w:r>
      <w:r w:rsidR="00DE3CC6" w:rsidRPr="0078472B">
        <w:rPr>
          <w:rFonts w:ascii="Times New Roman" w:hAnsi="Times New Roman" w:cs="Times New Roman"/>
          <w:color w:val="000000" w:themeColor="text1"/>
        </w:rPr>
        <w:t xml:space="preserve"> </w:t>
      </w:r>
      <w:r w:rsidR="0036680F" w:rsidRPr="0078472B">
        <w:rPr>
          <w:rFonts w:ascii="Times New Roman" w:hAnsi="Times New Roman" w:cs="Times New Roman"/>
          <w:color w:val="000000" w:themeColor="text1"/>
          <w:sz w:val="24"/>
          <w:szCs w:val="24"/>
        </w:rPr>
        <w:t>Finally</w:t>
      </w:r>
      <w:r w:rsidR="00FC5F17" w:rsidRPr="0078472B">
        <w:rPr>
          <w:rFonts w:ascii="Times New Roman" w:hAnsi="Times New Roman" w:cs="Times New Roman"/>
          <w:color w:val="000000" w:themeColor="text1"/>
          <w:sz w:val="24"/>
          <w:szCs w:val="24"/>
        </w:rPr>
        <w:t>, this paper uses archival demographic data and actual betting data from all residents in a country. Thus, the validity of the results obtained from consumer surveys can be assessed against our findings</w:t>
      </w:r>
      <w:r w:rsidR="0036680F" w:rsidRPr="0078472B">
        <w:rPr>
          <w:rFonts w:ascii="Times New Roman" w:hAnsi="Times New Roman" w:cs="Times New Roman"/>
          <w:color w:val="000000" w:themeColor="text1"/>
          <w:sz w:val="24"/>
          <w:szCs w:val="24"/>
        </w:rPr>
        <w:t>,</w:t>
      </w:r>
      <w:r w:rsidR="00FC5F17" w:rsidRPr="0078472B">
        <w:rPr>
          <w:rFonts w:ascii="Times New Roman" w:hAnsi="Times New Roman" w:cs="Times New Roman"/>
          <w:color w:val="000000" w:themeColor="text1"/>
          <w:sz w:val="24"/>
          <w:szCs w:val="24"/>
        </w:rPr>
        <w:t xml:space="preserve"> which are based on objective measures</w:t>
      </w:r>
      <w:r w:rsidR="0036680F" w:rsidRPr="0078472B">
        <w:rPr>
          <w:rFonts w:ascii="Times New Roman" w:hAnsi="Times New Roman" w:cs="Times New Roman"/>
          <w:color w:val="000000" w:themeColor="text1"/>
          <w:sz w:val="24"/>
          <w:szCs w:val="24"/>
        </w:rPr>
        <w:t>,</w:t>
      </w:r>
      <w:r w:rsidR="00FC5F17" w:rsidRPr="0078472B">
        <w:rPr>
          <w:rFonts w:ascii="Times New Roman" w:hAnsi="Times New Roman" w:cs="Times New Roman"/>
          <w:color w:val="000000" w:themeColor="text1"/>
          <w:sz w:val="24"/>
          <w:szCs w:val="24"/>
        </w:rPr>
        <w:t xml:space="preserve"> albeit</w:t>
      </w:r>
      <w:r w:rsidR="0036680F" w:rsidRPr="0078472B">
        <w:rPr>
          <w:rFonts w:ascii="Times New Roman" w:hAnsi="Times New Roman" w:cs="Times New Roman"/>
          <w:color w:val="000000" w:themeColor="text1"/>
          <w:sz w:val="24"/>
          <w:szCs w:val="24"/>
        </w:rPr>
        <w:t xml:space="preserve"> </w:t>
      </w:r>
      <w:r w:rsidR="00435098" w:rsidRPr="0078472B">
        <w:rPr>
          <w:rFonts w:ascii="Times New Roman" w:hAnsi="Times New Roman" w:cs="Times New Roman"/>
          <w:color w:val="000000" w:themeColor="text1"/>
          <w:sz w:val="24"/>
          <w:szCs w:val="24"/>
        </w:rPr>
        <w:t xml:space="preserve">the </w:t>
      </w:r>
      <w:r w:rsidR="0036680F" w:rsidRPr="0078472B">
        <w:rPr>
          <w:rFonts w:ascii="Times New Roman" w:hAnsi="Times New Roman" w:cs="Times New Roman"/>
          <w:color w:val="000000" w:themeColor="text1"/>
          <w:sz w:val="24"/>
          <w:szCs w:val="24"/>
        </w:rPr>
        <w:t>measures used in this study are taken at the level of a municipality.</w:t>
      </w:r>
      <w:r w:rsidR="00FC5F17" w:rsidRPr="0078472B">
        <w:rPr>
          <w:rFonts w:ascii="Times New Roman" w:hAnsi="Times New Roman" w:cs="Times New Roman"/>
          <w:color w:val="000000" w:themeColor="text1"/>
          <w:sz w:val="24"/>
          <w:szCs w:val="24"/>
        </w:rPr>
        <w:t xml:space="preserve"> </w:t>
      </w:r>
    </w:p>
    <w:p w14:paraId="0F47E17E" w14:textId="77777777" w:rsidR="00A6007E" w:rsidRPr="0078472B" w:rsidRDefault="00A6007E" w:rsidP="00A540E5">
      <w:pPr>
        <w:tabs>
          <w:tab w:val="left" w:pos="360"/>
          <w:tab w:val="left" w:pos="1260"/>
        </w:tabs>
        <w:spacing w:after="0" w:line="480" w:lineRule="auto"/>
        <w:jc w:val="both"/>
        <w:rPr>
          <w:rFonts w:ascii="Times New Roman" w:hAnsi="Times New Roman" w:cs="Times New Roman"/>
          <w:color w:val="000000" w:themeColor="text1"/>
          <w:sz w:val="24"/>
          <w:szCs w:val="24"/>
        </w:rPr>
      </w:pPr>
    </w:p>
    <w:p w14:paraId="2A4AF423" w14:textId="242E46C3" w:rsidR="00283F83" w:rsidRPr="0078472B" w:rsidRDefault="00283F83" w:rsidP="00A540E5">
      <w:pPr>
        <w:tabs>
          <w:tab w:val="left" w:pos="360"/>
          <w:tab w:val="left" w:pos="1260"/>
        </w:tabs>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This paper is organized as follows.</w:t>
      </w:r>
      <w:r w:rsidR="00AC10AB" w:rsidRPr="0078472B">
        <w:rPr>
          <w:rFonts w:ascii="Times New Roman" w:hAnsi="Times New Roman" w:cs="Times New Roman"/>
          <w:color w:val="000000" w:themeColor="text1"/>
          <w:sz w:val="24"/>
          <w:szCs w:val="24"/>
        </w:rPr>
        <w:t xml:space="preserve"> In Section 2</w:t>
      </w:r>
      <w:r w:rsidR="008778BB" w:rsidRPr="0078472B">
        <w:rPr>
          <w:rFonts w:ascii="Times New Roman" w:hAnsi="Times New Roman" w:cs="Times New Roman"/>
          <w:color w:val="000000" w:themeColor="text1"/>
          <w:sz w:val="24"/>
          <w:szCs w:val="24"/>
        </w:rPr>
        <w:t>,</w:t>
      </w:r>
      <w:r w:rsidR="00AC10AB" w:rsidRPr="0078472B">
        <w:rPr>
          <w:rFonts w:ascii="Times New Roman" w:hAnsi="Times New Roman" w:cs="Times New Roman"/>
          <w:color w:val="000000" w:themeColor="text1"/>
          <w:sz w:val="24"/>
          <w:szCs w:val="24"/>
        </w:rPr>
        <w:t xml:space="preserve"> we introduce </w:t>
      </w:r>
      <w:r w:rsidR="008778BB" w:rsidRPr="0078472B">
        <w:rPr>
          <w:rFonts w:ascii="Times New Roman" w:hAnsi="Times New Roman" w:cs="Times New Roman"/>
          <w:color w:val="000000" w:themeColor="text1"/>
          <w:sz w:val="24"/>
          <w:szCs w:val="24"/>
        </w:rPr>
        <w:t xml:space="preserve">the horse race betting environment </w:t>
      </w:r>
      <w:r w:rsidR="00AC10AB" w:rsidRPr="0078472B">
        <w:rPr>
          <w:rFonts w:ascii="Times New Roman" w:hAnsi="Times New Roman" w:cs="Times New Roman"/>
          <w:color w:val="000000" w:themeColor="text1"/>
          <w:sz w:val="24"/>
          <w:szCs w:val="24"/>
        </w:rPr>
        <w:t>in Finland. Section 3</w:t>
      </w:r>
      <w:r w:rsidRPr="0078472B">
        <w:rPr>
          <w:rFonts w:ascii="Times New Roman" w:hAnsi="Times New Roman" w:cs="Times New Roman"/>
          <w:color w:val="000000" w:themeColor="text1"/>
          <w:sz w:val="24"/>
          <w:szCs w:val="24"/>
        </w:rPr>
        <w:t xml:space="preserve"> describes the data and the measures </w:t>
      </w:r>
      <w:r w:rsidR="008778BB" w:rsidRPr="0078472B">
        <w:rPr>
          <w:rFonts w:ascii="Times New Roman" w:hAnsi="Times New Roman" w:cs="Times New Roman"/>
          <w:color w:val="000000" w:themeColor="text1"/>
          <w:sz w:val="24"/>
          <w:szCs w:val="24"/>
        </w:rPr>
        <w:t>used in statistical analyse</w:t>
      </w:r>
      <w:r w:rsidRPr="0078472B">
        <w:rPr>
          <w:rFonts w:ascii="Times New Roman" w:hAnsi="Times New Roman" w:cs="Times New Roman"/>
          <w:color w:val="000000" w:themeColor="text1"/>
          <w:sz w:val="24"/>
          <w:szCs w:val="24"/>
        </w:rPr>
        <w:t xml:space="preserve">s. </w:t>
      </w:r>
      <w:r w:rsidR="00841F05" w:rsidRPr="0078472B">
        <w:rPr>
          <w:rFonts w:ascii="Times New Roman" w:hAnsi="Times New Roman" w:cs="Times New Roman"/>
          <w:color w:val="000000" w:themeColor="text1"/>
          <w:sz w:val="24"/>
          <w:szCs w:val="24"/>
        </w:rPr>
        <w:t>R</w:t>
      </w:r>
      <w:r w:rsidR="00A6007E" w:rsidRPr="0078472B">
        <w:rPr>
          <w:rFonts w:ascii="Times New Roman" w:hAnsi="Times New Roman" w:cs="Times New Roman"/>
          <w:color w:val="000000" w:themeColor="text1"/>
          <w:sz w:val="24"/>
          <w:szCs w:val="24"/>
        </w:rPr>
        <w:t xml:space="preserve">esults are </w:t>
      </w:r>
      <w:r w:rsidR="008778BB" w:rsidRPr="0078472B">
        <w:rPr>
          <w:rFonts w:ascii="Times New Roman" w:hAnsi="Times New Roman" w:cs="Times New Roman"/>
          <w:color w:val="000000" w:themeColor="text1"/>
          <w:sz w:val="24"/>
          <w:szCs w:val="24"/>
        </w:rPr>
        <w:t>presented</w:t>
      </w:r>
      <w:r w:rsidR="00AA5053" w:rsidRPr="0078472B">
        <w:rPr>
          <w:rFonts w:ascii="Times New Roman" w:hAnsi="Times New Roman" w:cs="Times New Roman"/>
          <w:color w:val="000000" w:themeColor="text1"/>
          <w:sz w:val="24"/>
          <w:szCs w:val="24"/>
        </w:rPr>
        <w:t xml:space="preserve"> in Section 4</w:t>
      </w:r>
      <w:r w:rsidR="008778BB" w:rsidRPr="0078472B">
        <w:rPr>
          <w:rFonts w:ascii="Times New Roman" w:hAnsi="Times New Roman" w:cs="Times New Roman"/>
          <w:color w:val="000000" w:themeColor="text1"/>
          <w:sz w:val="24"/>
          <w:szCs w:val="24"/>
        </w:rPr>
        <w:t>.</w:t>
      </w:r>
      <w:r w:rsidR="00AA5053" w:rsidRPr="0078472B">
        <w:rPr>
          <w:rFonts w:ascii="Times New Roman" w:hAnsi="Times New Roman" w:cs="Times New Roman"/>
          <w:color w:val="000000" w:themeColor="text1"/>
          <w:sz w:val="24"/>
          <w:szCs w:val="24"/>
        </w:rPr>
        <w:t xml:space="preserve"> S</w:t>
      </w:r>
      <w:r w:rsidR="008778BB" w:rsidRPr="0078472B">
        <w:rPr>
          <w:rFonts w:ascii="Times New Roman" w:hAnsi="Times New Roman" w:cs="Times New Roman"/>
          <w:color w:val="000000" w:themeColor="text1"/>
          <w:sz w:val="24"/>
          <w:szCs w:val="24"/>
        </w:rPr>
        <w:t>ection 5</w:t>
      </w:r>
      <w:r w:rsidRPr="0078472B">
        <w:rPr>
          <w:rFonts w:ascii="Times New Roman" w:hAnsi="Times New Roman" w:cs="Times New Roman"/>
          <w:color w:val="000000" w:themeColor="text1"/>
          <w:sz w:val="24"/>
          <w:szCs w:val="24"/>
        </w:rPr>
        <w:t xml:space="preserve"> </w:t>
      </w:r>
      <w:r w:rsidR="008778BB" w:rsidRPr="0078472B">
        <w:rPr>
          <w:rFonts w:ascii="Times New Roman" w:hAnsi="Times New Roman" w:cs="Times New Roman"/>
          <w:color w:val="000000" w:themeColor="text1"/>
          <w:sz w:val="24"/>
          <w:szCs w:val="24"/>
        </w:rPr>
        <w:t>discusses</w:t>
      </w:r>
      <w:r w:rsidR="00AC10AB" w:rsidRPr="0078472B">
        <w:rPr>
          <w:rFonts w:ascii="Times New Roman" w:hAnsi="Times New Roman" w:cs="Times New Roman"/>
          <w:color w:val="000000" w:themeColor="text1"/>
          <w:sz w:val="24"/>
          <w:szCs w:val="24"/>
        </w:rPr>
        <w:t xml:space="preserve"> </w:t>
      </w:r>
      <w:r w:rsidR="008778BB" w:rsidRPr="0078472B">
        <w:rPr>
          <w:rFonts w:ascii="Times New Roman" w:hAnsi="Times New Roman" w:cs="Times New Roman"/>
          <w:color w:val="000000" w:themeColor="text1"/>
          <w:sz w:val="24"/>
          <w:szCs w:val="24"/>
        </w:rPr>
        <w:t xml:space="preserve">the </w:t>
      </w:r>
      <w:r w:rsidR="00AC10AB" w:rsidRPr="0078472B">
        <w:rPr>
          <w:rFonts w:ascii="Times New Roman" w:hAnsi="Times New Roman" w:cs="Times New Roman"/>
          <w:color w:val="000000" w:themeColor="text1"/>
          <w:sz w:val="24"/>
          <w:szCs w:val="24"/>
        </w:rPr>
        <w:t>results</w:t>
      </w:r>
      <w:r w:rsidR="008778BB" w:rsidRPr="0078472B">
        <w:rPr>
          <w:rFonts w:ascii="Times New Roman" w:hAnsi="Times New Roman" w:cs="Times New Roman"/>
          <w:color w:val="000000" w:themeColor="text1"/>
          <w:sz w:val="24"/>
          <w:szCs w:val="24"/>
        </w:rPr>
        <w:t>, and Section 6</w:t>
      </w:r>
      <w:r w:rsidR="00AC10AB" w:rsidRPr="0078472B">
        <w:rPr>
          <w:rFonts w:ascii="Times New Roman" w:hAnsi="Times New Roman" w:cs="Times New Roman"/>
          <w:color w:val="000000" w:themeColor="text1"/>
          <w:sz w:val="24"/>
          <w:szCs w:val="24"/>
        </w:rPr>
        <w:t xml:space="preserve"> concludes the paper. </w:t>
      </w:r>
      <w:r w:rsidRPr="0078472B">
        <w:rPr>
          <w:rFonts w:ascii="Times New Roman" w:hAnsi="Times New Roman" w:cs="Times New Roman"/>
          <w:color w:val="000000" w:themeColor="text1"/>
          <w:sz w:val="24"/>
          <w:szCs w:val="24"/>
        </w:rPr>
        <w:t xml:space="preserve"> </w:t>
      </w:r>
    </w:p>
    <w:p w14:paraId="33CD7978" w14:textId="77777777" w:rsidR="007F68A5" w:rsidRPr="0078472B" w:rsidRDefault="007F68A5" w:rsidP="00A540E5">
      <w:pPr>
        <w:tabs>
          <w:tab w:val="left" w:pos="360"/>
          <w:tab w:val="left" w:pos="1260"/>
        </w:tabs>
        <w:spacing w:after="0" w:line="480" w:lineRule="auto"/>
        <w:jc w:val="both"/>
        <w:rPr>
          <w:rFonts w:ascii="Times New Roman" w:hAnsi="Times New Roman" w:cs="Times New Roman"/>
          <w:color w:val="000000" w:themeColor="text1"/>
          <w:sz w:val="24"/>
          <w:szCs w:val="24"/>
        </w:rPr>
      </w:pPr>
    </w:p>
    <w:p w14:paraId="3C351D78" w14:textId="714AB6F2" w:rsidR="00003ED9" w:rsidRPr="0078472B" w:rsidRDefault="00C74E6B" w:rsidP="00C74E6B">
      <w:pPr>
        <w:spacing w:after="0" w:line="480" w:lineRule="auto"/>
        <w:jc w:val="center"/>
        <w:rPr>
          <w:rFonts w:ascii="Times New Roman" w:hAnsi="Times New Roman" w:cs="Times New Roman"/>
          <w:b/>
          <w:color w:val="000000" w:themeColor="text1"/>
          <w:sz w:val="24"/>
          <w:szCs w:val="24"/>
        </w:rPr>
      </w:pPr>
      <w:r w:rsidRPr="0078472B">
        <w:rPr>
          <w:rFonts w:ascii="Times New Roman" w:hAnsi="Times New Roman" w:cs="Times New Roman"/>
          <w:b/>
          <w:color w:val="000000" w:themeColor="text1"/>
          <w:sz w:val="24"/>
          <w:szCs w:val="24"/>
        </w:rPr>
        <w:t>THE HORSE RACE BETTING ENVIRONMENT IN FINLAND</w:t>
      </w:r>
    </w:p>
    <w:p w14:paraId="4F3404A0" w14:textId="38CDF048" w:rsidR="002C55B6" w:rsidRPr="0078472B" w:rsidRDefault="002C55B6"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 xml:space="preserve">By European standards, Finland is a medium-sized trotting country </w:t>
      </w:r>
      <w:r w:rsidR="00841F05" w:rsidRPr="0078472B">
        <w:rPr>
          <w:rFonts w:ascii="Times New Roman" w:hAnsi="Times New Roman" w:cs="Times New Roman"/>
          <w:color w:val="000000" w:themeColor="text1"/>
          <w:sz w:val="24"/>
          <w:szCs w:val="24"/>
        </w:rPr>
        <w:t>behind</w:t>
      </w:r>
      <w:r w:rsidRPr="0078472B">
        <w:rPr>
          <w:rFonts w:ascii="Times New Roman" w:hAnsi="Times New Roman" w:cs="Times New Roman"/>
          <w:color w:val="000000" w:themeColor="text1"/>
          <w:sz w:val="24"/>
          <w:szCs w:val="24"/>
        </w:rPr>
        <w:t xml:space="preserve"> the leading trotting countries </w:t>
      </w:r>
      <w:r w:rsidR="00841F05" w:rsidRPr="0078472B">
        <w:rPr>
          <w:rFonts w:ascii="Times New Roman" w:hAnsi="Times New Roman" w:cs="Times New Roman"/>
          <w:color w:val="000000" w:themeColor="text1"/>
          <w:sz w:val="24"/>
          <w:szCs w:val="24"/>
        </w:rPr>
        <w:t xml:space="preserve">of </w:t>
      </w:r>
      <w:r w:rsidRPr="0078472B">
        <w:rPr>
          <w:rFonts w:ascii="Times New Roman" w:hAnsi="Times New Roman" w:cs="Times New Roman"/>
          <w:color w:val="000000" w:themeColor="text1"/>
          <w:sz w:val="24"/>
          <w:szCs w:val="24"/>
        </w:rPr>
        <w:t xml:space="preserve">France, Sweden and Italy (Raento </w:t>
      </w:r>
      <w:r w:rsidR="009B67E1" w:rsidRPr="0078472B">
        <w:rPr>
          <w:rFonts w:ascii="Times New Roman" w:hAnsi="Times New Roman" w:cs="Times New Roman"/>
          <w:color w:val="000000" w:themeColor="text1"/>
          <w:sz w:val="24"/>
          <w:szCs w:val="24"/>
        </w:rPr>
        <w:t>&amp;</w:t>
      </w:r>
      <w:r w:rsidRPr="0078472B">
        <w:rPr>
          <w:rFonts w:ascii="Times New Roman" w:hAnsi="Times New Roman" w:cs="Times New Roman"/>
          <w:color w:val="000000" w:themeColor="text1"/>
          <w:sz w:val="24"/>
          <w:szCs w:val="24"/>
        </w:rPr>
        <w:t xml:space="preserve"> Härmälä</w:t>
      </w:r>
      <w:r w:rsidR="000C320C"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2014). </w:t>
      </w:r>
      <w:r w:rsidR="00841F05" w:rsidRPr="0078472B">
        <w:rPr>
          <w:rFonts w:ascii="Times New Roman" w:hAnsi="Times New Roman" w:cs="Times New Roman"/>
          <w:color w:val="000000" w:themeColor="text1"/>
          <w:sz w:val="24"/>
          <w:szCs w:val="24"/>
        </w:rPr>
        <w:t>S</w:t>
      </w:r>
      <w:r w:rsidRPr="0078472B">
        <w:rPr>
          <w:rFonts w:ascii="Times New Roman" w:hAnsi="Times New Roman" w:cs="Times New Roman"/>
          <w:color w:val="000000" w:themeColor="text1"/>
          <w:sz w:val="24"/>
          <w:szCs w:val="24"/>
        </w:rPr>
        <w:t xml:space="preserve">pecial </w:t>
      </w:r>
      <w:r w:rsidR="00841F05" w:rsidRPr="0078472B">
        <w:rPr>
          <w:rFonts w:ascii="Times New Roman" w:hAnsi="Times New Roman" w:cs="Times New Roman"/>
          <w:color w:val="000000" w:themeColor="text1"/>
          <w:sz w:val="24"/>
          <w:szCs w:val="24"/>
        </w:rPr>
        <w:t xml:space="preserve">distinguishing </w:t>
      </w:r>
      <w:r w:rsidRPr="0078472B">
        <w:rPr>
          <w:rFonts w:ascii="Times New Roman" w:hAnsi="Times New Roman" w:cs="Times New Roman"/>
          <w:color w:val="000000" w:themeColor="text1"/>
          <w:sz w:val="24"/>
          <w:szCs w:val="24"/>
        </w:rPr>
        <w:t>feature</w:t>
      </w:r>
      <w:r w:rsidR="00841F05" w:rsidRPr="0078472B">
        <w:rPr>
          <w:rFonts w:ascii="Times New Roman" w:hAnsi="Times New Roman" w:cs="Times New Roman"/>
          <w:color w:val="000000" w:themeColor="text1"/>
          <w:sz w:val="24"/>
          <w:szCs w:val="24"/>
        </w:rPr>
        <w:t>s</w:t>
      </w:r>
      <w:r w:rsidRPr="0078472B">
        <w:rPr>
          <w:rFonts w:ascii="Times New Roman" w:hAnsi="Times New Roman" w:cs="Times New Roman"/>
          <w:color w:val="000000" w:themeColor="text1"/>
          <w:sz w:val="24"/>
          <w:szCs w:val="24"/>
        </w:rPr>
        <w:t xml:space="preserve"> of Finnish (harness) horse racing </w:t>
      </w:r>
      <w:r w:rsidR="00841F05" w:rsidRPr="0078472B">
        <w:rPr>
          <w:rFonts w:ascii="Times New Roman" w:hAnsi="Times New Roman" w:cs="Times New Roman"/>
          <w:color w:val="000000" w:themeColor="text1"/>
          <w:sz w:val="24"/>
          <w:szCs w:val="24"/>
        </w:rPr>
        <w:t>are the</w:t>
      </w:r>
      <w:r w:rsidRPr="0078472B">
        <w:rPr>
          <w:rFonts w:ascii="Times New Roman" w:hAnsi="Times New Roman" w:cs="Times New Roman"/>
          <w:color w:val="000000" w:themeColor="text1"/>
          <w:sz w:val="24"/>
          <w:szCs w:val="24"/>
        </w:rPr>
        <w:t xml:space="preserve"> high number of racetracks and </w:t>
      </w:r>
      <w:r w:rsidR="00841F05" w:rsidRPr="0078472B">
        <w:rPr>
          <w:rFonts w:ascii="Times New Roman" w:hAnsi="Times New Roman" w:cs="Times New Roman"/>
          <w:color w:val="000000" w:themeColor="text1"/>
          <w:sz w:val="24"/>
          <w:szCs w:val="24"/>
        </w:rPr>
        <w:t>the</w:t>
      </w:r>
      <w:r w:rsidRPr="0078472B">
        <w:rPr>
          <w:rFonts w:ascii="Times New Roman" w:hAnsi="Times New Roman" w:cs="Times New Roman"/>
          <w:color w:val="000000" w:themeColor="text1"/>
          <w:sz w:val="24"/>
          <w:szCs w:val="24"/>
        </w:rPr>
        <w:t xml:space="preserve"> substantial share of amateur-licensed and owner</w:t>
      </w:r>
      <w:r w:rsidR="00DD73E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licensed drivers in horse races. In relative terms, the number of </w:t>
      </w:r>
      <w:r w:rsidRPr="0078472B">
        <w:rPr>
          <w:rFonts w:ascii="Times New Roman" w:hAnsi="Times New Roman" w:cs="Times New Roman"/>
          <w:color w:val="000000" w:themeColor="text1"/>
          <w:sz w:val="24"/>
          <w:szCs w:val="24"/>
        </w:rPr>
        <w:lastRenderedPageBreak/>
        <w:t>racetracks is the second highest in Europe, while the numbers of amateur-licensed and owner-licensed drivers are the highest and second highest, respectively (UET Annual Report</w:t>
      </w:r>
      <w:r w:rsidR="000C320C"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201</w:t>
      </w:r>
      <w:r w:rsidR="00EB1149" w:rsidRPr="0078472B">
        <w:rPr>
          <w:rFonts w:ascii="Times New Roman" w:hAnsi="Times New Roman" w:cs="Times New Roman"/>
          <w:color w:val="000000" w:themeColor="text1"/>
          <w:sz w:val="24"/>
          <w:szCs w:val="24"/>
        </w:rPr>
        <w:t>7</w:t>
      </w:r>
      <w:r w:rsidRPr="0078472B">
        <w:rPr>
          <w:rFonts w:ascii="Times New Roman" w:hAnsi="Times New Roman" w:cs="Times New Roman"/>
          <w:color w:val="000000" w:themeColor="text1"/>
          <w:sz w:val="24"/>
          <w:szCs w:val="24"/>
        </w:rPr>
        <w:t>). In comparable European countries, both the numbers of professional drivers and professional trainers are higher (UET Annual Report</w:t>
      </w:r>
      <w:r w:rsidR="000C320C"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201</w:t>
      </w:r>
      <w:r w:rsidR="00EB1149" w:rsidRPr="0078472B">
        <w:rPr>
          <w:rFonts w:ascii="Times New Roman" w:hAnsi="Times New Roman" w:cs="Times New Roman"/>
          <w:color w:val="000000" w:themeColor="text1"/>
          <w:sz w:val="24"/>
          <w:szCs w:val="24"/>
        </w:rPr>
        <w:t>7</w:t>
      </w:r>
      <w:r w:rsidRPr="0078472B">
        <w:rPr>
          <w:rFonts w:ascii="Times New Roman" w:hAnsi="Times New Roman" w:cs="Times New Roman"/>
          <w:color w:val="000000" w:themeColor="text1"/>
          <w:sz w:val="24"/>
          <w:szCs w:val="24"/>
        </w:rPr>
        <w:t xml:space="preserve">). </w:t>
      </w:r>
      <w:r w:rsidR="00605BBA" w:rsidRPr="0078472B">
        <w:rPr>
          <w:rFonts w:ascii="Times New Roman" w:hAnsi="Times New Roman" w:cs="Times New Roman"/>
          <w:color w:val="000000" w:themeColor="text1"/>
          <w:sz w:val="24"/>
          <w:szCs w:val="24"/>
        </w:rPr>
        <w:t>Consequently</w:t>
      </w:r>
      <w:r w:rsidRPr="0078472B">
        <w:rPr>
          <w:rFonts w:ascii="Times New Roman" w:hAnsi="Times New Roman" w:cs="Times New Roman"/>
          <w:color w:val="000000" w:themeColor="text1"/>
          <w:sz w:val="24"/>
          <w:szCs w:val="24"/>
        </w:rPr>
        <w:t xml:space="preserve">, horse racing in Finland appears to be driven by equine enthusiasts who train and race their own horses. Further, an extensive network of racetracks provides ample opportunities to participate in race meetings. </w:t>
      </w:r>
    </w:p>
    <w:p w14:paraId="34C62282" w14:textId="77777777" w:rsidR="0036680F" w:rsidRPr="0078472B" w:rsidRDefault="0036680F" w:rsidP="00A540E5">
      <w:pPr>
        <w:spacing w:after="0" w:line="480" w:lineRule="auto"/>
        <w:jc w:val="both"/>
        <w:rPr>
          <w:rFonts w:ascii="Times New Roman" w:hAnsi="Times New Roman" w:cs="Times New Roman"/>
          <w:color w:val="000000" w:themeColor="text1"/>
          <w:sz w:val="24"/>
          <w:szCs w:val="24"/>
        </w:rPr>
      </w:pPr>
    </w:p>
    <w:p w14:paraId="7FE3B517" w14:textId="2F15FC6F" w:rsidR="002C55B6" w:rsidRPr="0078472B" w:rsidRDefault="002C55B6"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 xml:space="preserve">The Finnish horse race betting market is dominated by </w:t>
      </w:r>
      <w:r w:rsidR="00500581" w:rsidRPr="0078472B">
        <w:rPr>
          <w:rFonts w:ascii="Times New Roman" w:hAnsi="Times New Roman" w:cs="Times New Roman"/>
          <w:color w:val="000000" w:themeColor="text1"/>
          <w:sz w:val="24"/>
          <w:szCs w:val="24"/>
        </w:rPr>
        <w:t xml:space="preserve">the government-owned gambling monopoly operator </w:t>
      </w:r>
      <w:r w:rsidR="00A50AF6" w:rsidRPr="0078472B">
        <w:rPr>
          <w:rFonts w:ascii="Times New Roman" w:hAnsi="Times New Roman" w:cs="Times New Roman"/>
          <w:color w:val="000000" w:themeColor="text1"/>
          <w:sz w:val="24"/>
          <w:szCs w:val="24"/>
        </w:rPr>
        <w:t>Veikkaus</w:t>
      </w:r>
      <w:r w:rsidR="006D72E2" w:rsidRPr="0078472B">
        <w:rPr>
          <w:rFonts w:ascii="Times New Roman" w:hAnsi="Times New Roman" w:cs="Times New Roman"/>
          <w:color w:val="000000" w:themeColor="text1"/>
          <w:sz w:val="24"/>
          <w:szCs w:val="24"/>
        </w:rPr>
        <w:t xml:space="preserve"> (formerly Fintoto Ltd which had a monopoly on horse race betting)</w:t>
      </w:r>
      <w:r w:rsidR="00DE6453" w:rsidRPr="0078472B">
        <w:rPr>
          <w:rFonts w:ascii="Times New Roman" w:hAnsi="Times New Roman"/>
          <w:color w:val="000000" w:themeColor="text1"/>
          <w:sz w:val="24"/>
          <w:szCs w:val="24"/>
        </w:rPr>
        <w:t>.</w:t>
      </w:r>
      <w:r w:rsidR="00705F05"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 xml:space="preserve">The revenues of the horse race betting monopoly are used for </w:t>
      </w:r>
      <w:r w:rsidR="00C90EDD"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the public good</w:t>
      </w:r>
      <w:r w:rsidR="00C90EDD" w:rsidRPr="0078472B">
        <w:rPr>
          <w:rFonts w:ascii="Times New Roman" w:hAnsi="Times New Roman" w:cs="Times New Roman"/>
          <w:color w:val="000000" w:themeColor="text1"/>
          <w:sz w:val="24"/>
          <w:szCs w:val="24"/>
        </w:rPr>
        <w:t>’</w:t>
      </w:r>
      <w:r w:rsidR="006D72E2"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the main recipient of the gross </w:t>
      </w:r>
      <w:r w:rsidR="00C90EDD" w:rsidRPr="0078472B">
        <w:rPr>
          <w:rFonts w:ascii="Times New Roman" w:hAnsi="Times New Roman" w:cs="Times New Roman"/>
          <w:color w:val="000000" w:themeColor="text1"/>
          <w:sz w:val="24"/>
          <w:szCs w:val="24"/>
        </w:rPr>
        <w:t xml:space="preserve">gaming </w:t>
      </w:r>
      <w:r w:rsidRPr="0078472B">
        <w:rPr>
          <w:rFonts w:ascii="Times New Roman" w:hAnsi="Times New Roman" w:cs="Times New Roman"/>
          <w:color w:val="000000" w:themeColor="text1"/>
          <w:sz w:val="24"/>
          <w:szCs w:val="24"/>
        </w:rPr>
        <w:t xml:space="preserve">revenue </w:t>
      </w:r>
      <w:r w:rsidR="00C90EDD" w:rsidRPr="0078472B">
        <w:rPr>
          <w:rFonts w:ascii="Times New Roman" w:hAnsi="Times New Roman" w:cs="Times New Roman"/>
          <w:color w:val="000000" w:themeColor="text1"/>
          <w:sz w:val="24"/>
          <w:szCs w:val="24"/>
        </w:rPr>
        <w:t xml:space="preserve">(i.e. player losses) </w:t>
      </w:r>
      <w:r w:rsidRPr="0078472B">
        <w:rPr>
          <w:rFonts w:ascii="Times New Roman" w:hAnsi="Times New Roman" w:cs="Times New Roman"/>
          <w:color w:val="000000" w:themeColor="text1"/>
          <w:sz w:val="24"/>
          <w:szCs w:val="24"/>
        </w:rPr>
        <w:t>from horse race betting is “horse breeding and equestrian sports”. In 201</w:t>
      </w:r>
      <w:r w:rsidR="00EB1149" w:rsidRPr="0078472B">
        <w:rPr>
          <w:rFonts w:ascii="Times New Roman" w:hAnsi="Times New Roman" w:cs="Times New Roman"/>
          <w:color w:val="000000" w:themeColor="text1"/>
          <w:sz w:val="24"/>
          <w:szCs w:val="24"/>
        </w:rPr>
        <w:t>6</w:t>
      </w:r>
      <w:r w:rsidRPr="0078472B">
        <w:rPr>
          <w:rFonts w:ascii="Times New Roman" w:hAnsi="Times New Roman" w:cs="Times New Roman"/>
          <w:color w:val="000000" w:themeColor="text1"/>
          <w:sz w:val="24"/>
          <w:szCs w:val="24"/>
        </w:rPr>
        <w:t xml:space="preserve">, for instance, </w:t>
      </w:r>
      <w:r w:rsidR="00EB1149" w:rsidRPr="0078472B">
        <w:rPr>
          <w:rFonts w:ascii="Times New Roman" w:hAnsi="Times New Roman" w:cs="Times New Roman"/>
          <w:color w:val="000000" w:themeColor="text1"/>
          <w:sz w:val="24"/>
          <w:szCs w:val="24"/>
        </w:rPr>
        <w:t>33</w:t>
      </w:r>
      <w:r w:rsidRPr="0078472B">
        <w:rPr>
          <w:rFonts w:ascii="Times New Roman" w:hAnsi="Times New Roman" w:cs="Times New Roman"/>
          <w:color w:val="000000" w:themeColor="text1"/>
          <w:sz w:val="24"/>
          <w:szCs w:val="24"/>
        </w:rPr>
        <w:t xml:space="preserve"> million euros </w:t>
      </w:r>
      <w:r w:rsidR="00E05C62" w:rsidRPr="0078472B">
        <w:rPr>
          <w:rFonts w:ascii="Times New Roman" w:hAnsi="Times New Roman" w:cs="Times New Roman"/>
          <w:color w:val="000000" w:themeColor="text1"/>
          <w:sz w:val="24"/>
          <w:szCs w:val="24"/>
        </w:rPr>
        <w:t xml:space="preserve">were raised </w:t>
      </w:r>
      <w:r w:rsidRPr="0078472B">
        <w:rPr>
          <w:rFonts w:ascii="Times New Roman" w:hAnsi="Times New Roman" w:cs="Times New Roman"/>
          <w:color w:val="000000" w:themeColor="text1"/>
          <w:sz w:val="24"/>
          <w:szCs w:val="24"/>
        </w:rPr>
        <w:t>for th</w:t>
      </w:r>
      <w:r w:rsidR="007B3E13" w:rsidRPr="0078472B">
        <w:rPr>
          <w:rFonts w:ascii="Times New Roman" w:hAnsi="Times New Roman" w:cs="Times New Roman"/>
          <w:color w:val="000000" w:themeColor="text1"/>
          <w:sz w:val="24"/>
          <w:szCs w:val="24"/>
        </w:rPr>
        <w:t>e</w:t>
      </w:r>
      <w:r w:rsidRPr="0078472B">
        <w:rPr>
          <w:rFonts w:ascii="Times New Roman" w:hAnsi="Times New Roman" w:cs="Times New Roman"/>
          <w:color w:val="000000" w:themeColor="text1"/>
          <w:sz w:val="24"/>
          <w:szCs w:val="24"/>
        </w:rPr>
        <w:t xml:space="preserve"> purpose correspond</w:t>
      </w:r>
      <w:r w:rsidR="007B3E13" w:rsidRPr="0078472B">
        <w:rPr>
          <w:rFonts w:ascii="Times New Roman" w:hAnsi="Times New Roman" w:cs="Times New Roman"/>
          <w:color w:val="000000" w:themeColor="text1"/>
          <w:sz w:val="24"/>
          <w:szCs w:val="24"/>
        </w:rPr>
        <w:t>ing</w:t>
      </w:r>
      <w:r w:rsidRPr="0078472B">
        <w:rPr>
          <w:rFonts w:ascii="Times New Roman" w:hAnsi="Times New Roman" w:cs="Times New Roman"/>
          <w:color w:val="000000" w:themeColor="text1"/>
          <w:sz w:val="24"/>
          <w:szCs w:val="24"/>
        </w:rPr>
        <w:t xml:space="preserve"> to </w:t>
      </w:r>
      <w:r w:rsidR="00EB1149" w:rsidRPr="0078472B">
        <w:rPr>
          <w:rFonts w:ascii="Times New Roman" w:hAnsi="Times New Roman" w:cs="Times New Roman"/>
          <w:color w:val="000000" w:themeColor="text1"/>
          <w:sz w:val="24"/>
          <w:szCs w:val="24"/>
        </w:rPr>
        <w:t>51</w:t>
      </w:r>
      <w:r w:rsidRPr="0078472B">
        <w:rPr>
          <w:rFonts w:ascii="Times New Roman" w:hAnsi="Times New Roman" w:cs="Times New Roman"/>
          <w:color w:val="000000" w:themeColor="text1"/>
          <w:sz w:val="24"/>
          <w:szCs w:val="24"/>
        </w:rPr>
        <w:t>.</w:t>
      </w:r>
      <w:r w:rsidR="00EB1149" w:rsidRPr="0078472B">
        <w:rPr>
          <w:rFonts w:ascii="Times New Roman" w:hAnsi="Times New Roman" w:cs="Times New Roman"/>
          <w:color w:val="000000" w:themeColor="text1"/>
          <w:sz w:val="24"/>
          <w:szCs w:val="24"/>
        </w:rPr>
        <w:t>5</w:t>
      </w:r>
      <w:r w:rsidRPr="0078472B">
        <w:rPr>
          <w:rFonts w:ascii="Times New Roman" w:hAnsi="Times New Roman" w:cs="Times New Roman"/>
          <w:color w:val="000000" w:themeColor="text1"/>
          <w:sz w:val="24"/>
          <w:szCs w:val="24"/>
        </w:rPr>
        <w:t xml:space="preserve">% of </w:t>
      </w:r>
      <w:r w:rsidR="00E05C62" w:rsidRPr="0078472B">
        <w:rPr>
          <w:rFonts w:ascii="Times New Roman" w:hAnsi="Times New Roman" w:cs="Times New Roman"/>
          <w:color w:val="000000" w:themeColor="text1"/>
          <w:sz w:val="24"/>
          <w:szCs w:val="24"/>
        </w:rPr>
        <w:t>the</w:t>
      </w:r>
      <w:r w:rsidRPr="0078472B">
        <w:rPr>
          <w:rFonts w:ascii="Times New Roman" w:hAnsi="Times New Roman" w:cs="Times New Roman"/>
          <w:color w:val="000000" w:themeColor="text1"/>
          <w:sz w:val="24"/>
          <w:szCs w:val="24"/>
        </w:rPr>
        <w:t xml:space="preserve"> annual gross </w:t>
      </w:r>
      <w:r w:rsidR="00C90EDD" w:rsidRPr="0078472B">
        <w:rPr>
          <w:rFonts w:ascii="Times New Roman" w:hAnsi="Times New Roman" w:cs="Times New Roman"/>
          <w:color w:val="000000" w:themeColor="text1"/>
          <w:sz w:val="24"/>
          <w:szCs w:val="24"/>
        </w:rPr>
        <w:t xml:space="preserve">gaming </w:t>
      </w:r>
      <w:r w:rsidRPr="0078472B">
        <w:rPr>
          <w:rFonts w:ascii="Times New Roman" w:hAnsi="Times New Roman" w:cs="Times New Roman"/>
          <w:color w:val="000000" w:themeColor="text1"/>
          <w:sz w:val="24"/>
          <w:szCs w:val="24"/>
        </w:rPr>
        <w:t>revenue</w:t>
      </w:r>
      <w:r w:rsidR="00E37B30" w:rsidRPr="0078472B">
        <w:rPr>
          <w:rFonts w:ascii="Times New Roman" w:hAnsi="Times New Roman" w:cs="Times New Roman"/>
          <w:color w:val="000000" w:themeColor="text1"/>
          <w:sz w:val="24"/>
          <w:szCs w:val="24"/>
        </w:rPr>
        <w:t>, which is equal to total stakes less winnings paid back to bettors</w:t>
      </w:r>
      <w:r w:rsidRPr="0078472B">
        <w:rPr>
          <w:rFonts w:ascii="Times New Roman" w:hAnsi="Times New Roman" w:cs="Times New Roman"/>
          <w:color w:val="000000" w:themeColor="text1"/>
          <w:sz w:val="24"/>
          <w:szCs w:val="24"/>
        </w:rPr>
        <w:t xml:space="preserve"> (</w:t>
      </w:r>
      <w:r w:rsidRPr="0078472B">
        <w:rPr>
          <w:rFonts w:ascii="Times New Roman" w:eastAsia="Times New Roman" w:hAnsi="Times New Roman" w:cs="Times New Roman"/>
          <w:color w:val="000000" w:themeColor="text1"/>
          <w:sz w:val="24"/>
          <w:szCs w:val="24"/>
        </w:rPr>
        <w:t>Suomen Hippos</w:t>
      </w:r>
      <w:r w:rsidR="000C320C" w:rsidRPr="0078472B">
        <w:rPr>
          <w:rFonts w:ascii="Times New Roman" w:eastAsia="Times New Roman" w:hAnsi="Times New Roman" w:cs="Times New Roman"/>
          <w:color w:val="000000" w:themeColor="text1"/>
          <w:sz w:val="24"/>
          <w:szCs w:val="24"/>
        </w:rPr>
        <w:t>,</w:t>
      </w:r>
      <w:r w:rsidRPr="0078472B">
        <w:rPr>
          <w:rFonts w:ascii="Times New Roman" w:eastAsia="Times New Roman" w:hAnsi="Times New Roman" w:cs="Times New Roman"/>
          <w:color w:val="000000" w:themeColor="text1"/>
          <w:sz w:val="24"/>
          <w:szCs w:val="24"/>
        </w:rPr>
        <w:t xml:space="preserve"> 201</w:t>
      </w:r>
      <w:r w:rsidR="00EB1149" w:rsidRPr="0078472B">
        <w:rPr>
          <w:rFonts w:ascii="Times New Roman" w:eastAsia="Times New Roman" w:hAnsi="Times New Roman" w:cs="Times New Roman"/>
          <w:color w:val="000000" w:themeColor="text1"/>
          <w:sz w:val="24"/>
          <w:szCs w:val="24"/>
        </w:rPr>
        <w:t>7</w:t>
      </w:r>
      <w:r w:rsidRPr="0078472B">
        <w:rPr>
          <w:rFonts w:ascii="Times New Roman" w:eastAsia="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00EB1149" w:rsidRPr="0078472B">
        <w:rPr>
          <w:rFonts w:ascii="Times New Roman" w:hAnsi="Times New Roman" w:cs="Times New Roman"/>
          <w:color w:val="000000" w:themeColor="text1"/>
          <w:sz w:val="24"/>
          <w:szCs w:val="24"/>
        </w:rPr>
        <w:t>90</w:t>
      </w:r>
      <w:r w:rsidRPr="0078472B">
        <w:rPr>
          <w:rFonts w:ascii="Times New Roman" w:hAnsi="Times New Roman" w:cs="Times New Roman"/>
          <w:color w:val="000000" w:themeColor="text1"/>
          <w:sz w:val="24"/>
          <w:szCs w:val="24"/>
        </w:rPr>
        <w:t>% of these funds were allocated to racetracks to subsidize race meetings and prizes paid at the racetracks (</w:t>
      </w:r>
      <w:r w:rsidRPr="0078472B">
        <w:rPr>
          <w:rFonts w:ascii="Times New Roman" w:eastAsia="Times New Roman" w:hAnsi="Times New Roman" w:cs="Times New Roman"/>
          <w:color w:val="000000" w:themeColor="text1"/>
          <w:sz w:val="24"/>
          <w:szCs w:val="24"/>
        </w:rPr>
        <w:t>Suomen Hippos</w:t>
      </w:r>
      <w:r w:rsidR="000C320C" w:rsidRPr="0078472B">
        <w:rPr>
          <w:rFonts w:ascii="Times New Roman" w:eastAsia="Times New Roman" w:hAnsi="Times New Roman" w:cs="Times New Roman"/>
          <w:color w:val="000000" w:themeColor="text1"/>
          <w:sz w:val="24"/>
          <w:szCs w:val="24"/>
        </w:rPr>
        <w:t>,</w:t>
      </w:r>
      <w:r w:rsidRPr="0078472B">
        <w:rPr>
          <w:rFonts w:ascii="Times New Roman" w:eastAsia="Times New Roman" w:hAnsi="Times New Roman" w:cs="Times New Roman"/>
          <w:color w:val="000000" w:themeColor="text1"/>
          <w:sz w:val="24"/>
          <w:szCs w:val="24"/>
        </w:rPr>
        <w:t xml:space="preserve"> 201</w:t>
      </w:r>
      <w:r w:rsidR="00EB1149" w:rsidRPr="0078472B">
        <w:rPr>
          <w:rFonts w:ascii="Times New Roman" w:eastAsia="Times New Roman" w:hAnsi="Times New Roman" w:cs="Times New Roman"/>
          <w:color w:val="000000" w:themeColor="text1"/>
          <w:sz w:val="24"/>
          <w:szCs w:val="24"/>
        </w:rPr>
        <w:t>7</w:t>
      </w:r>
      <w:r w:rsidRPr="0078472B">
        <w:rPr>
          <w:rFonts w:ascii="Times New Roman" w:eastAsia="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p>
    <w:p w14:paraId="740642B0" w14:textId="77777777" w:rsidR="00E05C62" w:rsidRPr="0078472B" w:rsidRDefault="00E05C62" w:rsidP="00A540E5">
      <w:pPr>
        <w:spacing w:after="0" w:line="480" w:lineRule="auto"/>
        <w:jc w:val="both"/>
        <w:rPr>
          <w:rFonts w:ascii="Times New Roman" w:eastAsia="Times New Roman" w:hAnsi="Times New Roman" w:cs="Times New Roman"/>
          <w:color w:val="000000" w:themeColor="text1"/>
          <w:sz w:val="24"/>
          <w:szCs w:val="24"/>
        </w:rPr>
      </w:pPr>
    </w:p>
    <w:p w14:paraId="6C7ECAF3" w14:textId="05377E23" w:rsidR="00E40D84" w:rsidRPr="0078472B" w:rsidRDefault="00A642A4" w:rsidP="00A540E5">
      <w:pPr>
        <w:spacing w:after="0" w:line="480" w:lineRule="auto"/>
        <w:jc w:val="both"/>
        <w:rPr>
          <w:rFonts w:ascii="Times New Roman" w:hAnsi="Times New Roman" w:cs="Times New Roman"/>
          <w:color w:val="000000" w:themeColor="text1"/>
          <w:sz w:val="24"/>
          <w:szCs w:val="24"/>
        </w:rPr>
      </w:pPr>
      <w:r w:rsidRPr="0078472B">
        <w:rPr>
          <w:rFonts w:ascii="Times New Roman" w:eastAsia="Times New Roman" w:hAnsi="Times New Roman" w:cs="Times New Roman"/>
          <w:color w:val="000000" w:themeColor="text1"/>
          <w:sz w:val="24"/>
          <w:szCs w:val="24"/>
        </w:rPr>
        <w:t>Although t</w:t>
      </w:r>
      <w:r w:rsidR="00E40D84" w:rsidRPr="0078472B">
        <w:rPr>
          <w:rFonts w:ascii="Times New Roman" w:eastAsia="Times New Roman" w:hAnsi="Times New Roman" w:cs="Times New Roman"/>
          <w:color w:val="000000" w:themeColor="text1"/>
          <w:sz w:val="24"/>
          <w:szCs w:val="24"/>
        </w:rPr>
        <w:t>rot racing is one of t</w:t>
      </w:r>
      <w:r w:rsidR="0034050D" w:rsidRPr="0078472B">
        <w:rPr>
          <w:rFonts w:ascii="Times New Roman" w:eastAsia="Times New Roman" w:hAnsi="Times New Roman" w:cs="Times New Roman"/>
          <w:color w:val="000000" w:themeColor="text1"/>
          <w:sz w:val="24"/>
          <w:szCs w:val="24"/>
        </w:rPr>
        <w:t>he most popular spectator sports</w:t>
      </w:r>
      <w:r w:rsidR="00E40D84" w:rsidRPr="0078472B">
        <w:rPr>
          <w:rFonts w:ascii="Times New Roman" w:eastAsia="Times New Roman" w:hAnsi="Times New Roman" w:cs="Times New Roman"/>
          <w:color w:val="000000" w:themeColor="text1"/>
          <w:sz w:val="24"/>
          <w:szCs w:val="24"/>
        </w:rPr>
        <w:t xml:space="preserve"> in Finland</w:t>
      </w:r>
      <w:r w:rsidRPr="0078472B">
        <w:rPr>
          <w:rFonts w:ascii="Times New Roman" w:eastAsia="Times New Roman" w:hAnsi="Times New Roman" w:cs="Times New Roman"/>
          <w:color w:val="000000" w:themeColor="text1"/>
          <w:sz w:val="24"/>
          <w:szCs w:val="24"/>
        </w:rPr>
        <w:t>,</w:t>
      </w:r>
      <w:r w:rsidR="00E40D84" w:rsidRPr="0078472B">
        <w:rPr>
          <w:rFonts w:ascii="Times New Roman" w:eastAsia="Times New Roman" w:hAnsi="Times New Roman" w:cs="Times New Roman"/>
          <w:color w:val="000000" w:themeColor="text1"/>
          <w:sz w:val="24"/>
          <w:szCs w:val="24"/>
        </w:rPr>
        <w:t xml:space="preserve"> </w:t>
      </w:r>
      <w:r w:rsidR="00205784" w:rsidRPr="0078472B">
        <w:rPr>
          <w:rFonts w:ascii="Times New Roman" w:eastAsia="Times New Roman" w:hAnsi="Times New Roman" w:cs="Times New Roman"/>
          <w:color w:val="000000" w:themeColor="text1"/>
          <w:sz w:val="24"/>
          <w:szCs w:val="24"/>
        </w:rPr>
        <w:t>on-track attendance</w:t>
      </w:r>
      <w:r w:rsidR="00E40D84" w:rsidRPr="0078472B">
        <w:rPr>
          <w:rFonts w:ascii="Times New Roman" w:eastAsia="Times New Roman" w:hAnsi="Times New Roman" w:cs="Times New Roman"/>
          <w:color w:val="000000" w:themeColor="text1"/>
          <w:sz w:val="24"/>
          <w:szCs w:val="24"/>
        </w:rPr>
        <w:t xml:space="preserve"> has declin</w:t>
      </w:r>
      <w:r w:rsidR="00931CEF" w:rsidRPr="0078472B">
        <w:rPr>
          <w:rFonts w:ascii="Times New Roman" w:eastAsia="Times New Roman" w:hAnsi="Times New Roman" w:cs="Times New Roman"/>
          <w:color w:val="000000" w:themeColor="text1"/>
          <w:sz w:val="24"/>
          <w:szCs w:val="24"/>
        </w:rPr>
        <w:t>ed</w:t>
      </w:r>
      <w:r w:rsidR="00E40D84" w:rsidRPr="0078472B">
        <w:rPr>
          <w:rFonts w:ascii="Times New Roman" w:eastAsia="Times New Roman" w:hAnsi="Times New Roman" w:cs="Times New Roman"/>
          <w:color w:val="000000" w:themeColor="text1"/>
          <w:sz w:val="24"/>
          <w:szCs w:val="24"/>
        </w:rPr>
        <w:t xml:space="preserve"> </w:t>
      </w:r>
      <w:r w:rsidR="002A3719" w:rsidRPr="0078472B">
        <w:rPr>
          <w:rFonts w:ascii="Times New Roman" w:eastAsia="Times New Roman" w:hAnsi="Times New Roman" w:cs="Times New Roman"/>
          <w:color w:val="000000" w:themeColor="text1"/>
          <w:sz w:val="24"/>
          <w:szCs w:val="24"/>
        </w:rPr>
        <w:t>over</w:t>
      </w:r>
      <w:r w:rsidR="00931CEF" w:rsidRPr="0078472B">
        <w:rPr>
          <w:rFonts w:ascii="Times New Roman" w:eastAsia="Times New Roman" w:hAnsi="Times New Roman" w:cs="Times New Roman"/>
          <w:color w:val="000000" w:themeColor="text1"/>
          <w:sz w:val="24"/>
          <w:szCs w:val="24"/>
        </w:rPr>
        <w:t xml:space="preserve"> the </w:t>
      </w:r>
      <w:r w:rsidR="002A3719" w:rsidRPr="0078472B">
        <w:rPr>
          <w:rFonts w:ascii="Times New Roman" w:eastAsia="Times New Roman" w:hAnsi="Times New Roman" w:cs="Times New Roman"/>
          <w:color w:val="000000" w:themeColor="text1"/>
          <w:sz w:val="24"/>
          <w:szCs w:val="24"/>
        </w:rPr>
        <w:t>past decades</w:t>
      </w:r>
      <w:r w:rsidR="00013AD5" w:rsidRPr="0078472B">
        <w:rPr>
          <w:rFonts w:ascii="Times New Roman" w:eastAsia="Times New Roman" w:hAnsi="Times New Roman" w:cs="Times New Roman"/>
          <w:color w:val="000000" w:themeColor="text1"/>
          <w:sz w:val="24"/>
          <w:szCs w:val="24"/>
        </w:rPr>
        <w:t>.</w:t>
      </w:r>
      <w:r w:rsidR="00E40D84" w:rsidRPr="0078472B">
        <w:rPr>
          <w:rFonts w:ascii="Times New Roman" w:eastAsia="Times New Roman" w:hAnsi="Times New Roman" w:cs="Times New Roman"/>
          <w:color w:val="000000" w:themeColor="text1"/>
          <w:sz w:val="24"/>
          <w:szCs w:val="24"/>
        </w:rPr>
        <w:t xml:space="preserve"> </w:t>
      </w:r>
      <w:r w:rsidR="00013AD5" w:rsidRPr="0078472B">
        <w:rPr>
          <w:rFonts w:ascii="Times New Roman" w:eastAsia="Times New Roman" w:hAnsi="Times New Roman" w:cs="Times New Roman"/>
          <w:color w:val="000000" w:themeColor="text1"/>
          <w:sz w:val="24"/>
          <w:szCs w:val="24"/>
        </w:rPr>
        <w:t>In</w:t>
      </w:r>
      <w:r w:rsidR="00E40D84" w:rsidRPr="0078472B">
        <w:rPr>
          <w:rFonts w:ascii="Times New Roman" w:eastAsia="Times New Roman" w:hAnsi="Times New Roman" w:cs="Times New Roman"/>
          <w:color w:val="000000" w:themeColor="text1"/>
          <w:sz w:val="24"/>
          <w:szCs w:val="24"/>
        </w:rPr>
        <w:t xml:space="preserve"> 1990</w:t>
      </w:r>
      <w:r w:rsidR="002A3719" w:rsidRPr="0078472B">
        <w:rPr>
          <w:rFonts w:ascii="Times New Roman" w:eastAsia="Times New Roman" w:hAnsi="Times New Roman" w:cs="Times New Roman"/>
          <w:color w:val="000000" w:themeColor="text1"/>
          <w:sz w:val="24"/>
          <w:szCs w:val="24"/>
        </w:rPr>
        <w:t>,</w:t>
      </w:r>
      <w:r w:rsidR="00E40D84" w:rsidRPr="0078472B">
        <w:rPr>
          <w:rFonts w:ascii="Times New Roman" w:eastAsia="Times New Roman" w:hAnsi="Times New Roman" w:cs="Times New Roman"/>
          <w:color w:val="000000" w:themeColor="text1"/>
          <w:sz w:val="24"/>
          <w:szCs w:val="24"/>
        </w:rPr>
        <w:t xml:space="preserve"> nea</w:t>
      </w:r>
      <w:r w:rsidRPr="0078472B">
        <w:rPr>
          <w:rFonts w:ascii="Times New Roman" w:eastAsia="Times New Roman" w:hAnsi="Times New Roman" w:cs="Times New Roman"/>
          <w:color w:val="000000" w:themeColor="text1"/>
          <w:sz w:val="24"/>
          <w:szCs w:val="24"/>
        </w:rPr>
        <w:t>rly 1.5 million</w:t>
      </w:r>
      <w:r w:rsidR="00E40D84" w:rsidRPr="0078472B">
        <w:rPr>
          <w:rFonts w:ascii="Times New Roman" w:eastAsia="Times New Roman" w:hAnsi="Times New Roman" w:cs="Times New Roman"/>
          <w:color w:val="000000" w:themeColor="text1"/>
          <w:sz w:val="24"/>
          <w:szCs w:val="24"/>
        </w:rPr>
        <w:t xml:space="preserve"> </w:t>
      </w:r>
      <w:r w:rsidRPr="0078472B">
        <w:rPr>
          <w:rFonts w:ascii="Times New Roman" w:eastAsia="Times New Roman" w:hAnsi="Times New Roman" w:cs="Times New Roman"/>
          <w:color w:val="000000" w:themeColor="text1"/>
          <w:sz w:val="24"/>
          <w:szCs w:val="24"/>
        </w:rPr>
        <w:t xml:space="preserve">spectators </w:t>
      </w:r>
      <w:r w:rsidR="00E40D84" w:rsidRPr="0078472B">
        <w:rPr>
          <w:rFonts w:ascii="Times New Roman" w:eastAsia="Times New Roman" w:hAnsi="Times New Roman" w:cs="Times New Roman"/>
          <w:color w:val="000000" w:themeColor="text1"/>
          <w:sz w:val="24"/>
          <w:szCs w:val="24"/>
        </w:rPr>
        <w:t>visited racetracks (Mahlamäki</w:t>
      </w:r>
      <w:r w:rsidR="000C320C" w:rsidRPr="0078472B">
        <w:rPr>
          <w:rFonts w:ascii="Times New Roman" w:eastAsia="Times New Roman" w:hAnsi="Times New Roman" w:cs="Times New Roman"/>
          <w:color w:val="000000" w:themeColor="text1"/>
          <w:sz w:val="24"/>
          <w:szCs w:val="24"/>
        </w:rPr>
        <w:t>,</w:t>
      </w:r>
      <w:r w:rsidR="00E40D84" w:rsidRPr="0078472B">
        <w:rPr>
          <w:rFonts w:ascii="Times New Roman" w:eastAsia="Times New Roman" w:hAnsi="Times New Roman" w:cs="Times New Roman"/>
          <w:color w:val="000000" w:themeColor="text1"/>
          <w:sz w:val="24"/>
          <w:szCs w:val="24"/>
        </w:rPr>
        <w:t xml:space="preserve"> 2003)</w:t>
      </w:r>
      <w:r w:rsidRPr="0078472B">
        <w:rPr>
          <w:rFonts w:ascii="Times New Roman" w:eastAsia="Times New Roman" w:hAnsi="Times New Roman" w:cs="Times New Roman"/>
          <w:color w:val="000000" w:themeColor="text1"/>
          <w:sz w:val="24"/>
          <w:szCs w:val="24"/>
        </w:rPr>
        <w:t>.</w:t>
      </w:r>
      <w:r w:rsidR="00E40D84" w:rsidRPr="0078472B">
        <w:rPr>
          <w:rFonts w:ascii="Times New Roman" w:eastAsia="Times New Roman" w:hAnsi="Times New Roman" w:cs="Times New Roman"/>
          <w:color w:val="000000" w:themeColor="text1"/>
          <w:sz w:val="24"/>
          <w:szCs w:val="24"/>
        </w:rPr>
        <w:t xml:space="preserve"> </w:t>
      </w:r>
      <w:r w:rsidRPr="0078472B">
        <w:rPr>
          <w:rFonts w:ascii="Times New Roman" w:eastAsia="Times New Roman" w:hAnsi="Times New Roman" w:cs="Times New Roman"/>
          <w:color w:val="000000" w:themeColor="text1"/>
          <w:sz w:val="24"/>
          <w:szCs w:val="24"/>
        </w:rPr>
        <w:t>B</w:t>
      </w:r>
      <w:r w:rsidR="00931CEF" w:rsidRPr="0078472B">
        <w:rPr>
          <w:rFonts w:ascii="Times New Roman" w:eastAsia="Times New Roman" w:hAnsi="Times New Roman" w:cs="Times New Roman"/>
          <w:color w:val="000000" w:themeColor="text1"/>
          <w:sz w:val="24"/>
          <w:szCs w:val="24"/>
        </w:rPr>
        <w:t>y 1996,</w:t>
      </w:r>
      <w:r w:rsidRPr="0078472B">
        <w:rPr>
          <w:rFonts w:ascii="Times New Roman" w:eastAsia="Times New Roman" w:hAnsi="Times New Roman" w:cs="Times New Roman"/>
          <w:color w:val="000000" w:themeColor="text1"/>
          <w:sz w:val="24"/>
          <w:szCs w:val="24"/>
        </w:rPr>
        <w:t xml:space="preserve"> however,</w:t>
      </w:r>
      <w:r w:rsidR="00931CEF" w:rsidRPr="0078472B">
        <w:rPr>
          <w:rFonts w:ascii="Times New Roman" w:eastAsia="Times New Roman" w:hAnsi="Times New Roman" w:cs="Times New Roman"/>
          <w:color w:val="000000" w:themeColor="text1"/>
          <w:sz w:val="24"/>
          <w:szCs w:val="24"/>
        </w:rPr>
        <w:t xml:space="preserve"> the</w:t>
      </w:r>
      <w:r w:rsidR="00205784" w:rsidRPr="0078472B">
        <w:rPr>
          <w:rFonts w:ascii="Times New Roman" w:eastAsia="Times New Roman" w:hAnsi="Times New Roman" w:cs="Times New Roman"/>
          <w:color w:val="000000" w:themeColor="text1"/>
          <w:sz w:val="24"/>
          <w:szCs w:val="24"/>
        </w:rPr>
        <w:t xml:space="preserve">se </w:t>
      </w:r>
      <w:r w:rsidR="00205784" w:rsidRPr="0078472B">
        <w:rPr>
          <w:rFonts w:ascii="Times New Roman" w:eastAsia="Times New Roman" w:hAnsi="Times New Roman" w:cs="Times New Roman"/>
          <w:color w:val="000000" w:themeColor="text1"/>
          <w:sz w:val="24"/>
          <w:szCs w:val="24"/>
        </w:rPr>
        <w:lastRenderedPageBreak/>
        <w:t>numbers</w:t>
      </w:r>
      <w:r w:rsidR="00931CEF" w:rsidRPr="0078472B">
        <w:rPr>
          <w:rFonts w:ascii="Times New Roman" w:eastAsia="Times New Roman" w:hAnsi="Times New Roman" w:cs="Times New Roman"/>
          <w:color w:val="000000" w:themeColor="text1"/>
          <w:sz w:val="24"/>
          <w:szCs w:val="24"/>
        </w:rPr>
        <w:t xml:space="preserve"> nearly halved to 800</w:t>
      </w:r>
      <w:r w:rsidR="00645349" w:rsidRPr="0078472B">
        <w:rPr>
          <w:rFonts w:ascii="Times New Roman" w:eastAsia="Times New Roman" w:hAnsi="Times New Roman" w:cs="Times New Roman"/>
          <w:color w:val="000000" w:themeColor="text1"/>
          <w:sz w:val="24"/>
          <w:szCs w:val="24"/>
        </w:rPr>
        <w:t>,</w:t>
      </w:r>
      <w:r w:rsidR="00931CEF" w:rsidRPr="0078472B">
        <w:rPr>
          <w:rFonts w:ascii="Times New Roman" w:eastAsia="Times New Roman" w:hAnsi="Times New Roman" w:cs="Times New Roman"/>
          <w:color w:val="000000" w:themeColor="text1"/>
          <w:sz w:val="24"/>
          <w:szCs w:val="24"/>
        </w:rPr>
        <w:t>000 (Suomen Hippos</w:t>
      </w:r>
      <w:r w:rsidR="000C320C" w:rsidRPr="0078472B">
        <w:rPr>
          <w:rFonts w:ascii="Times New Roman" w:eastAsia="Times New Roman" w:hAnsi="Times New Roman" w:cs="Times New Roman"/>
          <w:color w:val="000000" w:themeColor="text1"/>
          <w:sz w:val="24"/>
          <w:szCs w:val="24"/>
        </w:rPr>
        <w:t>,</w:t>
      </w:r>
      <w:r w:rsidR="00931CEF" w:rsidRPr="0078472B">
        <w:rPr>
          <w:rFonts w:ascii="Times New Roman" w:eastAsia="Times New Roman" w:hAnsi="Times New Roman" w:cs="Times New Roman"/>
          <w:color w:val="000000" w:themeColor="text1"/>
          <w:sz w:val="24"/>
          <w:szCs w:val="24"/>
        </w:rPr>
        <w:t xml:space="preserve"> 201</w:t>
      </w:r>
      <w:r w:rsidR="00144B00" w:rsidRPr="0078472B">
        <w:rPr>
          <w:rFonts w:ascii="Times New Roman" w:eastAsia="Times New Roman" w:hAnsi="Times New Roman" w:cs="Times New Roman"/>
          <w:color w:val="000000" w:themeColor="text1"/>
          <w:sz w:val="24"/>
          <w:szCs w:val="24"/>
        </w:rPr>
        <w:t>0</w:t>
      </w:r>
      <w:r w:rsidR="00931CEF" w:rsidRPr="0078472B">
        <w:rPr>
          <w:rFonts w:ascii="Times New Roman" w:eastAsia="Times New Roman" w:hAnsi="Times New Roman" w:cs="Times New Roman"/>
          <w:color w:val="000000" w:themeColor="text1"/>
          <w:sz w:val="24"/>
          <w:szCs w:val="24"/>
        </w:rPr>
        <w:t xml:space="preserve">). </w:t>
      </w:r>
      <w:r w:rsidR="002B3A83" w:rsidRPr="0078472B">
        <w:rPr>
          <w:rFonts w:ascii="Times New Roman" w:eastAsia="Times New Roman" w:hAnsi="Times New Roman" w:cs="Times New Roman"/>
          <w:color w:val="000000" w:themeColor="text1"/>
          <w:sz w:val="24"/>
          <w:szCs w:val="24"/>
        </w:rPr>
        <w:t>Nowa</w:t>
      </w:r>
      <w:r w:rsidR="002B3845" w:rsidRPr="0078472B">
        <w:rPr>
          <w:rFonts w:ascii="Times New Roman" w:eastAsia="Times New Roman" w:hAnsi="Times New Roman" w:cs="Times New Roman"/>
          <w:color w:val="000000" w:themeColor="text1"/>
          <w:sz w:val="24"/>
          <w:szCs w:val="24"/>
        </w:rPr>
        <w:t>days</w:t>
      </w:r>
      <w:r w:rsidR="00931CEF" w:rsidRPr="0078472B">
        <w:rPr>
          <w:rFonts w:ascii="Times New Roman" w:eastAsia="Times New Roman" w:hAnsi="Times New Roman" w:cs="Times New Roman"/>
          <w:color w:val="000000" w:themeColor="text1"/>
          <w:sz w:val="24"/>
          <w:szCs w:val="24"/>
        </w:rPr>
        <w:t xml:space="preserve"> </w:t>
      </w:r>
      <w:r w:rsidR="00E40D84" w:rsidRPr="0078472B">
        <w:rPr>
          <w:rFonts w:ascii="Times New Roman" w:eastAsia="Times New Roman" w:hAnsi="Times New Roman" w:cs="Times New Roman"/>
          <w:color w:val="000000" w:themeColor="text1"/>
          <w:sz w:val="24"/>
          <w:szCs w:val="24"/>
        </w:rPr>
        <w:t xml:space="preserve">racetracks still attract almost </w:t>
      </w:r>
      <w:r w:rsidR="007D49E7" w:rsidRPr="0078472B">
        <w:rPr>
          <w:rFonts w:ascii="Times New Roman" w:eastAsia="Times New Roman" w:hAnsi="Times New Roman" w:cs="Times New Roman"/>
          <w:color w:val="000000" w:themeColor="text1"/>
          <w:sz w:val="24"/>
          <w:szCs w:val="24"/>
        </w:rPr>
        <w:t>635</w:t>
      </w:r>
      <w:r w:rsidR="00645349" w:rsidRPr="0078472B">
        <w:rPr>
          <w:rFonts w:ascii="Times New Roman" w:eastAsia="Times New Roman" w:hAnsi="Times New Roman" w:cs="Times New Roman"/>
          <w:color w:val="000000" w:themeColor="text1"/>
          <w:sz w:val="24"/>
          <w:szCs w:val="24"/>
        </w:rPr>
        <w:t>,</w:t>
      </w:r>
      <w:r w:rsidR="00E40D84" w:rsidRPr="0078472B">
        <w:rPr>
          <w:rFonts w:ascii="Times New Roman" w:eastAsia="Times New Roman" w:hAnsi="Times New Roman" w:cs="Times New Roman"/>
          <w:color w:val="000000" w:themeColor="text1"/>
          <w:sz w:val="24"/>
          <w:szCs w:val="24"/>
        </w:rPr>
        <w:t xml:space="preserve">000 </w:t>
      </w:r>
      <w:r w:rsidRPr="0078472B">
        <w:rPr>
          <w:rFonts w:ascii="Times New Roman" w:eastAsia="Times New Roman" w:hAnsi="Times New Roman" w:cs="Times New Roman"/>
          <w:color w:val="000000" w:themeColor="text1"/>
          <w:sz w:val="24"/>
          <w:szCs w:val="24"/>
        </w:rPr>
        <w:t>spectators annually</w:t>
      </w:r>
      <w:r w:rsidR="00E40D84" w:rsidRPr="0078472B">
        <w:rPr>
          <w:rFonts w:ascii="Times New Roman" w:eastAsia="Times New Roman" w:hAnsi="Times New Roman" w:cs="Times New Roman"/>
          <w:color w:val="000000" w:themeColor="text1"/>
          <w:sz w:val="24"/>
          <w:szCs w:val="24"/>
        </w:rPr>
        <w:t xml:space="preserve"> (Suomen Hippos</w:t>
      </w:r>
      <w:r w:rsidR="000C320C" w:rsidRPr="0078472B">
        <w:rPr>
          <w:rFonts w:ascii="Times New Roman" w:eastAsia="Times New Roman" w:hAnsi="Times New Roman" w:cs="Times New Roman"/>
          <w:color w:val="000000" w:themeColor="text1"/>
          <w:sz w:val="24"/>
          <w:szCs w:val="24"/>
        </w:rPr>
        <w:t>,</w:t>
      </w:r>
      <w:r w:rsidR="00E40D84" w:rsidRPr="0078472B">
        <w:rPr>
          <w:rFonts w:ascii="Times New Roman" w:eastAsia="Times New Roman" w:hAnsi="Times New Roman" w:cs="Times New Roman"/>
          <w:color w:val="000000" w:themeColor="text1"/>
          <w:sz w:val="24"/>
          <w:szCs w:val="24"/>
        </w:rPr>
        <w:t xml:space="preserve"> 201</w:t>
      </w:r>
      <w:r w:rsidR="007D49E7" w:rsidRPr="0078472B">
        <w:rPr>
          <w:rFonts w:ascii="Times New Roman" w:eastAsia="Times New Roman" w:hAnsi="Times New Roman" w:cs="Times New Roman"/>
          <w:color w:val="000000" w:themeColor="text1"/>
          <w:sz w:val="24"/>
          <w:szCs w:val="24"/>
        </w:rPr>
        <w:t>7</w:t>
      </w:r>
      <w:r w:rsidR="00E40D84" w:rsidRPr="0078472B">
        <w:rPr>
          <w:rFonts w:ascii="Times New Roman" w:eastAsia="Times New Roman" w:hAnsi="Times New Roman" w:cs="Times New Roman"/>
          <w:color w:val="000000" w:themeColor="text1"/>
          <w:sz w:val="24"/>
          <w:szCs w:val="24"/>
        </w:rPr>
        <w:t>). One reason for this development is the evol</w:t>
      </w:r>
      <w:r w:rsidR="00705F05" w:rsidRPr="0078472B">
        <w:rPr>
          <w:rFonts w:ascii="Times New Roman" w:eastAsia="Times New Roman" w:hAnsi="Times New Roman" w:cs="Times New Roman"/>
          <w:color w:val="000000" w:themeColor="text1"/>
          <w:sz w:val="24"/>
          <w:szCs w:val="24"/>
        </w:rPr>
        <w:t>ution of</w:t>
      </w:r>
      <w:r w:rsidR="00931CEF" w:rsidRPr="0078472B">
        <w:rPr>
          <w:rFonts w:ascii="Times New Roman" w:eastAsia="Times New Roman" w:hAnsi="Times New Roman" w:cs="Times New Roman"/>
          <w:color w:val="000000" w:themeColor="text1"/>
          <w:sz w:val="24"/>
          <w:szCs w:val="24"/>
        </w:rPr>
        <w:t xml:space="preserve"> </w:t>
      </w:r>
      <w:r w:rsidR="00E40D84" w:rsidRPr="0078472B">
        <w:rPr>
          <w:rFonts w:ascii="Times New Roman" w:eastAsia="Times New Roman" w:hAnsi="Times New Roman" w:cs="Times New Roman"/>
          <w:color w:val="000000" w:themeColor="text1"/>
          <w:sz w:val="24"/>
          <w:szCs w:val="24"/>
        </w:rPr>
        <w:t>gambling services</w:t>
      </w:r>
      <w:r w:rsidR="00705F05" w:rsidRPr="0078472B">
        <w:rPr>
          <w:rFonts w:ascii="Times New Roman" w:eastAsia="Times New Roman" w:hAnsi="Times New Roman" w:cs="Times New Roman"/>
          <w:color w:val="000000" w:themeColor="text1"/>
          <w:sz w:val="24"/>
          <w:szCs w:val="24"/>
        </w:rPr>
        <w:t xml:space="preserve"> with the introduction of</w:t>
      </w:r>
      <w:r w:rsidR="00931CEF" w:rsidRPr="0078472B">
        <w:rPr>
          <w:rFonts w:ascii="Times New Roman" w:eastAsia="Times New Roman" w:hAnsi="Times New Roman" w:cs="Times New Roman"/>
          <w:color w:val="000000" w:themeColor="text1"/>
          <w:sz w:val="24"/>
          <w:szCs w:val="24"/>
        </w:rPr>
        <w:t xml:space="preserve"> </w:t>
      </w:r>
      <w:r w:rsidR="00E40D84" w:rsidRPr="0078472B">
        <w:rPr>
          <w:rFonts w:ascii="Times New Roman" w:eastAsia="Times New Roman" w:hAnsi="Times New Roman" w:cs="Times New Roman"/>
          <w:color w:val="000000" w:themeColor="text1"/>
          <w:sz w:val="24"/>
          <w:szCs w:val="24"/>
        </w:rPr>
        <w:t xml:space="preserve">track-to-track </w:t>
      </w:r>
      <w:r w:rsidR="00931CEF" w:rsidRPr="0078472B">
        <w:rPr>
          <w:rFonts w:ascii="Times New Roman" w:eastAsia="Times New Roman" w:hAnsi="Times New Roman" w:cs="Times New Roman"/>
          <w:color w:val="000000" w:themeColor="text1"/>
          <w:sz w:val="24"/>
          <w:szCs w:val="24"/>
        </w:rPr>
        <w:t xml:space="preserve">betting </w:t>
      </w:r>
      <w:r w:rsidR="00E40D84" w:rsidRPr="0078472B">
        <w:rPr>
          <w:rFonts w:ascii="Times New Roman" w:eastAsia="Times New Roman" w:hAnsi="Times New Roman" w:cs="Times New Roman"/>
          <w:color w:val="000000" w:themeColor="text1"/>
          <w:sz w:val="24"/>
          <w:szCs w:val="24"/>
        </w:rPr>
        <w:t xml:space="preserve">in 1992, off-track </w:t>
      </w:r>
      <w:r w:rsidR="00931CEF" w:rsidRPr="0078472B">
        <w:rPr>
          <w:rFonts w:ascii="Times New Roman" w:eastAsia="Times New Roman" w:hAnsi="Times New Roman" w:cs="Times New Roman"/>
          <w:color w:val="000000" w:themeColor="text1"/>
          <w:sz w:val="24"/>
          <w:szCs w:val="24"/>
        </w:rPr>
        <w:t xml:space="preserve">betting in establishments such as </w:t>
      </w:r>
      <w:r w:rsidR="00E40D84" w:rsidRPr="0078472B">
        <w:rPr>
          <w:rFonts w:ascii="Times New Roman" w:eastAsia="Times New Roman" w:hAnsi="Times New Roman" w:cs="Times New Roman"/>
          <w:color w:val="000000" w:themeColor="text1"/>
          <w:sz w:val="24"/>
          <w:szCs w:val="24"/>
        </w:rPr>
        <w:t>restaurants</w:t>
      </w:r>
      <w:r w:rsidR="00931CEF" w:rsidRPr="0078472B">
        <w:rPr>
          <w:rFonts w:ascii="Times New Roman" w:eastAsia="Times New Roman" w:hAnsi="Times New Roman" w:cs="Times New Roman"/>
          <w:color w:val="000000" w:themeColor="text1"/>
          <w:sz w:val="24"/>
          <w:szCs w:val="24"/>
        </w:rPr>
        <w:t xml:space="preserve"> and caf</w:t>
      </w:r>
      <w:r w:rsidR="00907529" w:rsidRPr="0078472B">
        <w:rPr>
          <w:rFonts w:ascii="Times New Roman" w:hAnsi="Times New Roman"/>
          <w:color w:val="000000" w:themeColor="text1"/>
        </w:rPr>
        <w:t>é</w:t>
      </w:r>
      <w:r w:rsidR="00931CEF" w:rsidRPr="0078472B">
        <w:rPr>
          <w:rFonts w:ascii="Times New Roman" w:eastAsia="Times New Roman" w:hAnsi="Times New Roman" w:cs="Times New Roman"/>
          <w:color w:val="000000" w:themeColor="text1"/>
          <w:sz w:val="24"/>
          <w:szCs w:val="24"/>
        </w:rPr>
        <w:t xml:space="preserve">s </w:t>
      </w:r>
      <w:r w:rsidR="00E40D84" w:rsidRPr="0078472B">
        <w:rPr>
          <w:rFonts w:ascii="Times New Roman" w:eastAsia="Times New Roman" w:hAnsi="Times New Roman" w:cs="Times New Roman"/>
          <w:color w:val="000000" w:themeColor="text1"/>
          <w:sz w:val="24"/>
          <w:szCs w:val="24"/>
        </w:rPr>
        <w:t xml:space="preserve">in 1995 </w:t>
      </w:r>
      <w:r w:rsidR="00931CEF" w:rsidRPr="0078472B">
        <w:rPr>
          <w:rFonts w:ascii="Times New Roman" w:eastAsia="Times New Roman" w:hAnsi="Times New Roman" w:cs="Times New Roman"/>
          <w:color w:val="000000" w:themeColor="text1"/>
          <w:sz w:val="24"/>
          <w:szCs w:val="24"/>
        </w:rPr>
        <w:t>and Internet</w:t>
      </w:r>
      <w:r w:rsidR="00E40D84" w:rsidRPr="0078472B">
        <w:rPr>
          <w:rFonts w:ascii="Times New Roman" w:eastAsia="Times New Roman" w:hAnsi="Times New Roman" w:cs="Times New Roman"/>
          <w:color w:val="000000" w:themeColor="text1"/>
          <w:sz w:val="24"/>
          <w:szCs w:val="24"/>
        </w:rPr>
        <w:t xml:space="preserve"> gambling in 2002 (Raento</w:t>
      </w:r>
      <w:r w:rsidR="000C320C" w:rsidRPr="0078472B">
        <w:rPr>
          <w:rFonts w:ascii="Times New Roman" w:eastAsia="Times New Roman" w:hAnsi="Times New Roman" w:cs="Times New Roman"/>
          <w:color w:val="000000" w:themeColor="text1"/>
          <w:sz w:val="24"/>
          <w:szCs w:val="24"/>
        </w:rPr>
        <w:t>,</w:t>
      </w:r>
      <w:r w:rsidR="00E40D84" w:rsidRPr="0078472B">
        <w:rPr>
          <w:rFonts w:ascii="Times New Roman" w:eastAsia="Times New Roman" w:hAnsi="Times New Roman" w:cs="Times New Roman"/>
          <w:color w:val="000000" w:themeColor="text1"/>
          <w:sz w:val="24"/>
          <w:szCs w:val="24"/>
        </w:rPr>
        <w:t xml:space="preserve"> 2014). </w:t>
      </w:r>
      <w:r w:rsidR="00931CEF" w:rsidRPr="0078472B">
        <w:rPr>
          <w:rFonts w:ascii="Times New Roman" w:eastAsia="Times New Roman" w:hAnsi="Times New Roman" w:cs="Times New Roman"/>
          <w:color w:val="000000" w:themeColor="text1"/>
          <w:sz w:val="24"/>
          <w:szCs w:val="24"/>
        </w:rPr>
        <w:t xml:space="preserve">It appears that these innovations have had an impact on </w:t>
      </w:r>
      <w:r w:rsidR="00E40D84" w:rsidRPr="0078472B">
        <w:rPr>
          <w:rFonts w:ascii="Times New Roman" w:eastAsia="Times New Roman" w:hAnsi="Times New Roman" w:cs="Times New Roman"/>
          <w:color w:val="000000" w:themeColor="text1"/>
          <w:sz w:val="24"/>
          <w:szCs w:val="24"/>
        </w:rPr>
        <w:t>the number of spectato</w:t>
      </w:r>
      <w:r w:rsidR="00931CEF" w:rsidRPr="0078472B">
        <w:rPr>
          <w:rFonts w:ascii="Times New Roman" w:eastAsia="Times New Roman" w:hAnsi="Times New Roman" w:cs="Times New Roman"/>
          <w:color w:val="000000" w:themeColor="text1"/>
          <w:sz w:val="24"/>
          <w:szCs w:val="24"/>
        </w:rPr>
        <w:t>rs</w:t>
      </w:r>
      <w:r w:rsidR="00E40D84" w:rsidRPr="0078472B">
        <w:rPr>
          <w:rFonts w:ascii="Times New Roman" w:eastAsia="Times New Roman" w:hAnsi="Times New Roman" w:cs="Times New Roman"/>
          <w:color w:val="000000" w:themeColor="text1"/>
          <w:sz w:val="24"/>
          <w:szCs w:val="24"/>
        </w:rPr>
        <w:t xml:space="preserve"> because the total</w:t>
      </w:r>
      <w:r w:rsidR="00931CEF" w:rsidRPr="0078472B">
        <w:rPr>
          <w:rFonts w:ascii="Times New Roman" w:eastAsia="Times New Roman" w:hAnsi="Times New Roman" w:cs="Times New Roman"/>
          <w:color w:val="000000" w:themeColor="text1"/>
          <w:sz w:val="24"/>
          <w:szCs w:val="24"/>
        </w:rPr>
        <w:t xml:space="preserve"> turnover from horse race betting</w:t>
      </w:r>
      <w:r w:rsidR="00E40D84" w:rsidRPr="0078472B">
        <w:rPr>
          <w:rFonts w:ascii="Times New Roman" w:eastAsia="Times New Roman" w:hAnsi="Times New Roman" w:cs="Times New Roman"/>
          <w:color w:val="000000" w:themeColor="text1"/>
          <w:sz w:val="24"/>
          <w:szCs w:val="24"/>
        </w:rPr>
        <w:t xml:space="preserve"> steadily increased from</w:t>
      </w:r>
      <w:r w:rsidR="00931CEF" w:rsidRPr="0078472B">
        <w:rPr>
          <w:rFonts w:ascii="Times New Roman" w:eastAsia="Times New Roman" w:hAnsi="Times New Roman" w:cs="Times New Roman"/>
          <w:color w:val="000000" w:themeColor="text1"/>
          <w:sz w:val="24"/>
          <w:szCs w:val="24"/>
        </w:rPr>
        <w:t xml:space="preserve"> 124 million</w:t>
      </w:r>
      <w:r w:rsidR="00E37B30" w:rsidRPr="0078472B">
        <w:rPr>
          <w:rFonts w:ascii="Times New Roman" w:eastAsia="Times New Roman" w:hAnsi="Times New Roman" w:cs="Times New Roman"/>
          <w:color w:val="000000" w:themeColor="text1"/>
          <w:sz w:val="24"/>
          <w:szCs w:val="24"/>
        </w:rPr>
        <w:t xml:space="preserve">  euros</w:t>
      </w:r>
      <w:r w:rsidR="00931CEF" w:rsidRPr="0078472B">
        <w:rPr>
          <w:rFonts w:ascii="Times New Roman" w:eastAsia="Times New Roman" w:hAnsi="Times New Roman" w:cs="Times New Roman"/>
          <w:color w:val="000000" w:themeColor="text1"/>
          <w:sz w:val="24"/>
          <w:szCs w:val="24"/>
        </w:rPr>
        <w:t xml:space="preserve"> in the mid-</w:t>
      </w:r>
      <w:r w:rsidR="00E40D84" w:rsidRPr="0078472B">
        <w:rPr>
          <w:rFonts w:ascii="Times New Roman" w:eastAsia="Times New Roman" w:hAnsi="Times New Roman" w:cs="Times New Roman"/>
          <w:color w:val="000000" w:themeColor="text1"/>
          <w:sz w:val="24"/>
          <w:szCs w:val="24"/>
        </w:rPr>
        <w:t>1990’s (Suomen Hippos</w:t>
      </w:r>
      <w:r w:rsidR="000C320C" w:rsidRPr="0078472B">
        <w:rPr>
          <w:rFonts w:ascii="Times New Roman" w:eastAsia="Times New Roman" w:hAnsi="Times New Roman" w:cs="Times New Roman"/>
          <w:color w:val="000000" w:themeColor="text1"/>
          <w:sz w:val="24"/>
          <w:szCs w:val="24"/>
        </w:rPr>
        <w:t>,</w:t>
      </w:r>
      <w:r w:rsidR="00931CEF" w:rsidRPr="0078472B">
        <w:rPr>
          <w:rFonts w:ascii="Times New Roman" w:eastAsia="Times New Roman" w:hAnsi="Times New Roman" w:cs="Times New Roman"/>
          <w:color w:val="000000" w:themeColor="text1"/>
          <w:sz w:val="24"/>
          <w:szCs w:val="24"/>
        </w:rPr>
        <w:t xml:space="preserve"> 2015) to 256 million </w:t>
      </w:r>
      <w:r w:rsidR="00E37B30" w:rsidRPr="0078472B">
        <w:rPr>
          <w:rFonts w:ascii="Times New Roman" w:eastAsia="Times New Roman" w:hAnsi="Times New Roman" w:cs="Times New Roman"/>
          <w:color w:val="000000" w:themeColor="text1"/>
          <w:sz w:val="24"/>
          <w:szCs w:val="24"/>
        </w:rPr>
        <w:t xml:space="preserve">euros </w:t>
      </w:r>
      <w:r w:rsidR="00931CEF" w:rsidRPr="0078472B">
        <w:rPr>
          <w:rFonts w:ascii="Times New Roman" w:eastAsia="Times New Roman" w:hAnsi="Times New Roman" w:cs="Times New Roman"/>
          <w:color w:val="000000" w:themeColor="text1"/>
          <w:sz w:val="24"/>
          <w:szCs w:val="24"/>
        </w:rPr>
        <w:t>in</w:t>
      </w:r>
      <w:r w:rsidR="00E40D84" w:rsidRPr="0078472B">
        <w:rPr>
          <w:rFonts w:ascii="Times New Roman" w:eastAsia="Times New Roman" w:hAnsi="Times New Roman" w:cs="Times New Roman"/>
          <w:color w:val="000000" w:themeColor="text1"/>
          <w:sz w:val="24"/>
          <w:szCs w:val="24"/>
        </w:rPr>
        <w:t xml:space="preserve"> 2009, </w:t>
      </w:r>
      <w:r w:rsidR="00C90EDD" w:rsidRPr="0078472B">
        <w:rPr>
          <w:rFonts w:ascii="Times New Roman" w:eastAsia="Times New Roman" w:hAnsi="Times New Roman" w:cs="Times New Roman"/>
          <w:color w:val="000000" w:themeColor="text1"/>
          <w:sz w:val="24"/>
          <w:szCs w:val="24"/>
        </w:rPr>
        <w:t xml:space="preserve">since when </w:t>
      </w:r>
      <w:r w:rsidR="00E40D84" w:rsidRPr="0078472B">
        <w:rPr>
          <w:rFonts w:ascii="Times New Roman" w:eastAsia="Times New Roman" w:hAnsi="Times New Roman" w:cs="Times New Roman"/>
          <w:color w:val="000000" w:themeColor="text1"/>
          <w:sz w:val="24"/>
          <w:szCs w:val="24"/>
        </w:rPr>
        <w:t xml:space="preserve">the betting volume has </w:t>
      </w:r>
      <w:r w:rsidR="00DB08A2" w:rsidRPr="0078472B">
        <w:rPr>
          <w:rFonts w:ascii="Times New Roman" w:eastAsia="Times New Roman" w:hAnsi="Times New Roman" w:cs="Times New Roman"/>
          <w:color w:val="000000" w:themeColor="text1"/>
          <w:sz w:val="24"/>
          <w:szCs w:val="24"/>
        </w:rPr>
        <w:t>declined slightly to 231 million</w:t>
      </w:r>
      <w:r w:rsidR="00E37B30" w:rsidRPr="0078472B">
        <w:rPr>
          <w:rFonts w:ascii="Times New Roman" w:eastAsia="Times New Roman" w:hAnsi="Times New Roman" w:cs="Times New Roman"/>
          <w:color w:val="000000" w:themeColor="text1"/>
          <w:sz w:val="24"/>
          <w:szCs w:val="24"/>
        </w:rPr>
        <w:t xml:space="preserve"> euros</w:t>
      </w:r>
      <w:r w:rsidR="00DB08A2" w:rsidRPr="0078472B">
        <w:rPr>
          <w:rFonts w:ascii="Times New Roman" w:eastAsia="Times New Roman" w:hAnsi="Times New Roman" w:cs="Times New Roman"/>
          <w:color w:val="000000" w:themeColor="text1"/>
          <w:sz w:val="24"/>
          <w:szCs w:val="24"/>
        </w:rPr>
        <w:t xml:space="preserve"> in 2015 (Suomen Hippos</w:t>
      </w:r>
      <w:r w:rsidR="000C320C" w:rsidRPr="0078472B">
        <w:rPr>
          <w:rFonts w:ascii="Times New Roman" w:eastAsia="Times New Roman" w:hAnsi="Times New Roman" w:cs="Times New Roman"/>
          <w:color w:val="000000" w:themeColor="text1"/>
          <w:sz w:val="24"/>
          <w:szCs w:val="24"/>
        </w:rPr>
        <w:t>,</w:t>
      </w:r>
      <w:r w:rsidR="00DB08A2" w:rsidRPr="0078472B">
        <w:rPr>
          <w:rFonts w:ascii="Times New Roman" w:eastAsia="Times New Roman" w:hAnsi="Times New Roman" w:cs="Times New Roman"/>
          <w:color w:val="000000" w:themeColor="text1"/>
          <w:sz w:val="24"/>
          <w:szCs w:val="24"/>
        </w:rPr>
        <w:t xml:space="preserve"> 201</w:t>
      </w:r>
      <w:r w:rsidR="00F0031F" w:rsidRPr="0078472B">
        <w:rPr>
          <w:rFonts w:ascii="Times New Roman" w:eastAsia="Times New Roman" w:hAnsi="Times New Roman" w:cs="Times New Roman"/>
          <w:color w:val="000000" w:themeColor="text1"/>
          <w:sz w:val="24"/>
          <w:szCs w:val="24"/>
        </w:rPr>
        <w:t>7</w:t>
      </w:r>
      <w:r w:rsidR="00DB08A2" w:rsidRPr="0078472B">
        <w:rPr>
          <w:rFonts w:ascii="Times New Roman" w:eastAsia="Times New Roman" w:hAnsi="Times New Roman" w:cs="Times New Roman"/>
          <w:color w:val="000000" w:themeColor="text1"/>
          <w:sz w:val="24"/>
          <w:szCs w:val="24"/>
        </w:rPr>
        <w:t>)</w:t>
      </w:r>
      <w:r w:rsidR="00E40D84" w:rsidRPr="0078472B">
        <w:rPr>
          <w:rFonts w:ascii="Times New Roman" w:eastAsia="Times New Roman" w:hAnsi="Times New Roman" w:cs="Times New Roman"/>
          <w:color w:val="000000" w:themeColor="text1"/>
          <w:sz w:val="24"/>
          <w:szCs w:val="24"/>
        </w:rPr>
        <w:t xml:space="preserve">. </w:t>
      </w:r>
      <w:r w:rsidR="00DB08A2" w:rsidRPr="0078472B">
        <w:rPr>
          <w:rFonts w:ascii="Times New Roman" w:eastAsia="Times New Roman" w:hAnsi="Times New Roman" w:cs="Times New Roman"/>
          <w:color w:val="000000" w:themeColor="text1"/>
          <w:sz w:val="24"/>
          <w:szCs w:val="24"/>
        </w:rPr>
        <w:t>T</w:t>
      </w:r>
      <w:r w:rsidR="00E40D84" w:rsidRPr="0078472B">
        <w:rPr>
          <w:rFonts w:ascii="Times New Roman" w:eastAsia="Times New Roman" w:hAnsi="Times New Roman" w:cs="Times New Roman"/>
          <w:color w:val="000000" w:themeColor="text1"/>
          <w:sz w:val="24"/>
          <w:szCs w:val="24"/>
        </w:rPr>
        <w:t>oday</w:t>
      </w:r>
      <w:r w:rsidR="00DB08A2" w:rsidRPr="0078472B">
        <w:rPr>
          <w:rFonts w:ascii="Times New Roman" w:eastAsia="Times New Roman" w:hAnsi="Times New Roman" w:cs="Times New Roman"/>
          <w:color w:val="000000" w:themeColor="text1"/>
          <w:sz w:val="24"/>
          <w:szCs w:val="24"/>
        </w:rPr>
        <w:t>,</w:t>
      </w:r>
      <w:r w:rsidR="00E40D84" w:rsidRPr="0078472B">
        <w:rPr>
          <w:rFonts w:ascii="Times New Roman" w:eastAsia="Times New Roman" w:hAnsi="Times New Roman" w:cs="Times New Roman"/>
          <w:color w:val="000000" w:themeColor="text1"/>
          <w:sz w:val="24"/>
          <w:szCs w:val="24"/>
        </w:rPr>
        <w:t xml:space="preserve"> </w:t>
      </w:r>
      <w:r w:rsidR="00DB08A2" w:rsidRPr="0078472B">
        <w:rPr>
          <w:rFonts w:ascii="Times New Roman" w:eastAsia="Times New Roman" w:hAnsi="Times New Roman" w:cs="Times New Roman"/>
          <w:color w:val="000000" w:themeColor="text1"/>
          <w:sz w:val="24"/>
          <w:szCs w:val="24"/>
        </w:rPr>
        <w:t xml:space="preserve">online bets account for </w:t>
      </w:r>
      <w:r w:rsidR="00E40D84" w:rsidRPr="0078472B">
        <w:rPr>
          <w:rFonts w:ascii="Times New Roman" w:hAnsi="Times New Roman" w:cs="Times New Roman"/>
          <w:color w:val="000000" w:themeColor="text1"/>
          <w:sz w:val="24"/>
          <w:szCs w:val="24"/>
        </w:rPr>
        <w:t>almost</w:t>
      </w:r>
      <w:r w:rsidR="00DB08A2" w:rsidRPr="0078472B">
        <w:rPr>
          <w:rFonts w:ascii="Times New Roman" w:hAnsi="Times New Roman" w:cs="Times New Roman"/>
          <w:color w:val="000000" w:themeColor="text1"/>
          <w:sz w:val="24"/>
          <w:szCs w:val="24"/>
        </w:rPr>
        <w:t xml:space="preserve"> </w:t>
      </w:r>
      <w:r w:rsidR="00F0031F" w:rsidRPr="0078472B">
        <w:rPr>
          <w:rFonts w:ascii="Times New Roman" w:hAnsi="Times New Roman" w:cs="Times New Roman"/>
          <w:color w:val="000000" w:themeColor="text1"/>
          <w:sz w:val="24"/>
          <w:szCs w:val="24"/>
        </w:rPr>
        <w:t>60 %</w:t>
      </w:r>
      <w:r w:rsidR="00E40D84" w:rsidRPr="0078472B">
        <w:rPr>
          <w:rFonts w:ascii="Times New Roman" w:hAnsi="Times New Roman" w:cs="Times New Roman"/>
          <w:color w:val="000000" w:themeColor="text1"/>
          <w:sz w:val="24"/>
          <w:szCs w:val="24"/>
        </w:rPr>
        <w:t xml:space="preserve"> of total revenue (</w:t>
      </w:r>
      <w:r w:rsidR="00F0031F" w:rsidRPr="0078472B">
        <w:rPr>
          <w:rFonts w:ascii="Times New Roman" w:eastAsia="Times New Roman" w:hAnsi="Times New Roman" w:cs="Times New Roman"/>
          <w:color w:val="000000" w:themeColor="text1"/>
          <w:sz w:val="24"/>
          <w:szCs w:val="24"/>
        </w:rPr>
        <w:t>Suomen Hippos</w:t>
      </w:r>
      <w:r w:rsidR="000C320C" w:rsidRPr="0078472B">
        <w:rPr>
          <w:rFonts w:ascii="Times New Roman" w:eastAsia="Times New Roman" w:hAnsi="Times New Roman" w:cs="Times New Roman"/>
          <w:color w:val="000000" w:themeColor="text1"/>
          <w:sz w:val="24"/>
          <w:szCs w:val="24"/>
        </w:rPr>
        <w:t>,</w:t>
      </w:r>
      <w:r w:rsidR="00F0031F" w:rsidRPr="0078472B">
        <w:rPr>
          <w:rFonts w:ascii="Times New Roman" w:eastAsia="Times New Roman" w:hAnsi="Times New Roman" w:cs="Times New Roman"/>
          <w:color w:val="000000" w:themeColor="text1"/>
          <w:sz w:val="24"/>
          <w:szCs w:val="24"/>
        </w:rPr>
        <w:t xml:space="preserve"> 2017</w:t>
      </w:r>
      <w:r w:rsidR="00E40D84" w:rsidRPr="0078472B">
        <w:rPr>
          <w:rFonts w:ascii="Times New Roman" w:hAnsi="Times New Roman" w:cs="Times New Roman"/>
          <w:color w:val="000000" w:themeColor="text1"/>
          <w:sz w:val="24"/>
          <w:szCs w:val="24"/>
        </w:rPr>
        <w:t>).</w:t>
      </w:r>
    </w:p>
    <w:p w14:paraId="783A5870" w14:textId="77777777" w:rsidR="00A75F63" w:rsidRPr="0078472B" w:rsidRDefault="00A75F63" w:rsidP="00A540E5">
      <w:pPr>
        <w:spacing w:after="0" w:line="480" w:lineRule="auto"/>
        <w:jc w:val="both"/>
        <w:rPr>
          <w:rFonts w:ascii="Times New Roman" w:hAnsi="Times New Roman" w:cs="Times New Roman"/>
          <w:color w:val="000000" w:themeColor="text1"/>
          <w:sz w:val="24"/>
          <w:szCs w:val="24"/>
        </w:rPr>
      </w:pPr>
    </w:p>
    <w:p w14:paraId="448F4CD6" w14:textId="7CCBFF64" w:rsidR="00F14902" w:rsidRPr="0078472B" w:rsidRDefault="00C74E6B" w:rsidP="00C74E6B">
      <w:pPr>
        <w:spacing w:after="0" w:line="480" w:lineRule="auto"/>
        <w:jc w:val="center"/>
        <w:rPr>
          <w:rFonts w:ascii="Times New Roman" w:hAnsi="Times New Roman" w:cs="Times New Roman"/>
          <w:b/>
          <w:color w:val="000000" w:themeColor="text1"/>
          <w:sz w:val="24"/>
          <w:szCs w:val="24"/>
        </w:rPr>
      </w:pPr>
      <w:r w:rsidRPr="0078472B">
        <w:rPr>
          <w:rFonts w:ascii="Times New Roman" w:hAnsi="Times New Roman" w:cs="Times New Roman"/>
          <w:b/>
          <w:color w:val="000000" w:themeColor="text1"/>
          <w:sz w:val="24"/>
          <w:szCs w:val="24"/>
        </w:rPr>
        <w:t>DATA AND METHODS</w:t>
      </w:r>
    </w:p>
    <w:p w14:paraId="250C6BEE" w14:textId="39118C93" w:rsidR="00F14902" w:rsidRPr="0078472B" w:rsidRDefault="00F14902" w:rsidP="00A540E5">
      <w:pPr>
        <w:spacing w:after="0" w:line="480" w:lineRule="auto"/>
        <w:rPr>
          <w:rFonts w:ascii="Times New Roman" w:hAnsi="Times New Roman" w:cs="Times New Roman"/>
          <w:b/>
          <w:color w:val="000000" w:themeColor="text1"/>
          <w:sz w:val="24"/>
          <w:szCs w:val="24"/>
        </w:rPr>
      </w:pPr>
      <w:r w:rsidRPr="0078472B">
        <w:rPr>
          <w:rFonts w:ascii="Times New Roman" w:hAnsi="Times New Roman" w:cs="Times New Roman"/>
          <w:b/>
          <w:color w:val="000000" w:themeColor="text1"/>
          <w:sz w:val="24"/>
          <w:szCs w:val="24"/>
        </w:rPr>
        <w:t>Sample</w:t>
      </w:r>
    </w:p>
    <w:p w14:paraId="59913760" w14:textId="460502CE" w:rsidR="00646B98" w:rsidRPr="0078472B" w:rsidRDefault="00EF1844"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 xml:space="preserve">This study </w:t>
      </w:r>
      <w:r w:rsidR="00436A87" w:rsidRPr="0078472B">
        <w:rPr>
          <w:rFonts w:ascii="Times New Roman" w:hAnsi="Times New Roman" w:cs="Times New Roman"/>
          <w:color w:val="000000" w:themeColor="text1"/>
          <w:sz w:val="24"/>
          <w:szCs w:val="24"/>
        </w:rPr>
        <w:t>combines</w:t>
      </w:r>
      <w:r w:rsidR="00F14902" w:rsidRPr="0078472B">
        <w:rPr>
          <w:rFonts w:ascii="Times New Roman" w:hAnsi="Times New Roman" w:cs="Times New Roman"/>
          <w:color w:val="000000" w:themeColor="text1"/>
          <w:sz w:val="24"/>
          <w:szCs w:val="24"/>
        </w:rPr>
        <w:t xml:space="preserve"> </w:t>
      </w:r>
      <w:r w:rsidR="0012516B" w:rsidRPr="0078472B">
        <w:rPr>
          <w:rFonts w:ascii="Times New Roman" w:hAnsi="Times New Roman" w:cs="Times New Roman"/>
          <w:color w:val="000000" w:themeColor="text1"/>
          <w:sz w:val="24"/>
          <w:szCs w:val="24"/>
        </w:rPr>
        <w:t xml:space="preserve">archival </w:t>
      </w:r>
      <w:r w:rsidR="00F14902" w:rsidRPr="0078472B">
        <w:rPr>
          <w:rFonts w:ascii="Times New Roman" w:hAnsi="Times New Roman" w:cs="Times New Roman"/>
          <w:color w:val="000000" w:themeColor="text1"/>
          <w:sz w:val="24"/>
          <w:szCs w:val="24"/>
        </w:rPr>
        <w:t>data</w:t>
      </w:r>
      <w:r w:rsidR="0012516B" w:rsidRPr="0078472B">
        <w:rPr>
          <w:rFonts w:ascii="Times New Roman" w:hAnsi="Times New Roman" w:cs="Times New Roman"/>
          <w:color w:val="000000" w:themeColor="text1"/>
          <w:sz w:val="24"/>
          <w:szCs w:val="24"/>
        </w:rPr>
        <w:t xml:space="preserve"> </w:t>
      </w:r>
      <w:r w:rsidR="00C305DF" w:rsidRPr="0078472B">
        <w:rPr>
          <w:rFonts w:ascii="Times New Roman" w:hAnsi="Times New Roman" w:cs="Times New Roman"/>
          <w:color w:val="000000" w:themeColor="text1"/>
          <w:sz w:val="24"/>
          <w:szCs w:val="24"/>
        </w:rPr>
        <w:t xml:space="preserve">extracted </w:t>
      </w:r>
      <w:r w:rsidR="00635301" w:rsidRPr="0078472B">
        <w:rPr>
          <w:rFonts w:ascii="Times New Roman" w:hAnsi="Times New Roman" w:cs="Times New Roman"/>
          <w:color w:val="000000" w:themeColor="text1"/>
          <w:sz w:val="24"/>
          <w:szCs w:val="24"/>
        </w:rPr>
        <w:t xml:space="preserve">from </w:t>
      </w:r>
      <w:r w:rsidR="00DC0CC4" w:rsidRPr="0078472B">
        <w:rPr>
          <w:rFonts w:ascii="Times New Roman" w:hAnsi="Times New Roman" w:cs="Times New Roman"/>
          <w:color w:val="000000" w:themeColor="text1"/>
          <w:sz w:val="24"/>
          <w:szCs w:val="24"/>
        </w:rPr>
        <w:t xml:space="preserve">online horse race betting accounts, </w:t>
      </w:r>
      <w:r w:rsidR="00436A87" w:rsidRPr="0078472B">
        <w:rPr>
          <w:rFonts w:ascii="Times New Roman" w:hAnsi="Times New Roman" w:cs="Times New Roman"/>
          <w:color w:val="000000" w:themeColor="text1"/>
          <w:sz w:val="24"/>
          <w:szCs w:val="24"/>
        </w:rPr>
        <w:t>socio-</w:t>
      </w:r>
      <w:r w:rsidR="00DC0CC4" w:rsidRPr="0078472B">
        <w:rPr>
          <w:rFonts w:ascii="Times New Roman" w:hAnsi="Times New Roman" w:cs="Times New Roman"/>
          <w:color w:val="000000" w:themeColor="text1"/>
          <w:sz w:val="24"/>
          <w:szCs w:val="24"/>
        </w:rPr>
        <w:t>demographic statistics</w:t>
      </w:r>
      <w:r w:rsidR="00436A87" w:rsidRPr="0078472B">
        <w:rPr>
          <w:rFonts w:ascii="Times New Roman" w:hAnsi="Times New Roman" w:cs="Times New Roman"/>
          <w:color w:val="000000" w:themeColor="text1"/>
          <w:sz w:val="24"/>
          <w:szCs w:val="24"/>
        </w:rPr>
        <w:t>,</w:t>
      </w:r>
      <w:r w:rsidR="00DC0CC4" w:rsidRPr="0078472B">
        <w:rPr>
          <w:rFonts w:ascii="Times New Roman" w:hAnsi="Times New Roman" w:cs="Times New Roman"/>
          <w:color w:val="000000" w:themeColor="text1"/>
          <w:sz w:val="24"/>
          <w:szCs w:val="24"/>
        </w:rPr>
        <w:t xml:space="preserve"> equine statistics</w:t>
      </w:r>
      <w:r w:rsidR="00436A87" w:rsidRPr="0078472B">
        <w:rPr>
          <w:rFonts w:ascii="Times New Roman" w:hAnsi="Times New Roman" w:cs="Times New Roman"/>
          <w:color w:val="000000" w:themeColor="text1"/>
          <w:sz w:val="24"/>
          <w:szCs w:val="24"/>
        </w:rPr>
        <w:t xml:space="preserve"> and</w:t>
      </w:r>
      <w:r w:rsidR="00DC0CC4" w:rsidRPr="0078472B">
        <w:rPr>
          <w:rFonts w:ascii="Times New Roman" w:hAnsi="Times New Roman" w:cs="Times New Roman"/>
          <w:color w:val="000000" w:themeColor="text1"/>
          <w:sz w:val="24"/>
          <w:szCs w:val="24"/>
        </w:rPr>
        <w:t xml:space="preserve"> </w:t>
      </w:r>
      <w:r w:rsidR="00436A87" w:rsidRPr="0078472B">
        <w:rPr>
          <w:rFonts w:ascii="Times New Roman" w:hAnsi="Times New Roman" w:cs="Times New Roman"/>
          <w:color w:val="000000" w:themeColor="text1"/>
          <w:sz w:val="24"/>
          <w:szCs w:val="24"/>
        </w:rPr>
        <w:t>data on</w:t>
      </w:r>
      <w:r w:rsidR="00DC0CC4" w:rsidRPr="0078472B">
        <w:rPr>
          <w:rFonts w:ascii="Times New Roman" w:hAnsi="Times New Roman" w:cs="Times New Roman"/>
          <w:color w:val="000000" w:themeColor="text1"/>
          <w:sz w:val="24"/>
          <w:szCs w:val="24"/>
        </w:rPr>
        <w:t xml:space="preserve"> </w:t>
      </w:r>
      <w:r w:rsidR="0023596D" w:rsidRPr="0078472B">
        <w:rPr>
          <w:rFonts w:ascii="Times New Roman" w:hAnsi="Times New Roman" w:cs="Times New Roman"/>
          <w:color w:val="000000" w:themeColor="text1"/>
          <w:sz w:val="24"/>
          <w:szCs w:val="24"/>
        </w:rPr>
        <w:t xml:space="preserve">the </w:t>
      </w:r>
      <w:r w:rsidR="00DC0CC4" w:rsidRPr="0078472B">
        <w:rPr>
          <w:rFonts w:ascii="Times New Roman" w:hAnsi="Times New Roman" w:cs="Times New Roman"/>
          <w:color w:val="000000" w:themeColor="text1"/>
          <w:sz w:val="24"/>
          <w:szCs w:val="24"/>
        </w:rPr>
        <w:t>off-line</w:t>
      </w:r>
      <w:r w:rsidR="008E0F8B" w:rsidRPr="0078472B">
        <w:rPr>
          <w:rFonts w:ascii="Times New Roman" w:hAnsi="Times New Roman" w:cs="Times New Roman"/>
          <w:color w:val="000000" w:themeColor="text1"/>
          <w:sz w:val="24"/>
          <w:szCs w:val="24"/>
        </w:rPr>
        <w:t xml:space="preserve"> </w:t>
      </w:r>
      <w:r w:rsidR="00646B98" w:rsidRPr="0078472B">
        <w:rPr>
          <w:rFonts w:ascii="Times New Roman" w:hAnsi="Times New Roman" w:cs="Times New Roman"/>
          <w:color w:val="000000" w:themeColor="text1"/>
          <w:sz w:val="24"/>
          <w:szCs w:val="24"/>
        </w:rPr>
        <w:t>horse race betting environment.</w:t>
      </w:r>
      <w:r w:rsidR="00436A87" w:rsidRPr="0078472B">
        <w:rPr>
          <w:rFonts w:ascii="Times New Roman" w:hAnsi="Times New Roman" w:cs="Times New Roman"/>
          <w:color w:val="000000" w:themeColor="text1"/>
          <w:sz w:val="24"/>
          <w:szCs w:val="24"/>
        </w:rPr>
        <w:t xml:space="preserve"> </w:t>
      </w:r>
    </w:p>
    <w:p w14:paraId="09596AAF" w14:textId="77777777" w:rsidR="00C2235D" w:rsidRPr="0078472B" w:rsidRDefault="00C2235D" w:rsidP="00A540E5">
      <w:pPr>
        <w:spacing w:after="0" w:line="480" w:lineRule="auto"/>
        <w:jc w:val="both"/>
        <w:rPr>
          <w:rFonts w:ascii="Times New Roman" w:hAnsi="Times New Roman" w:cs="Times New Roman"/>
          <w:color w:val="000000" w:themeColor="text1"/>
          <w:sz w:val="24"/>
          <w:szCs w:val="24"/>
        </w:rPr>
      </w:pPr>
    </w:p>
    <w:p w14:paraId="301F366E" w14:textId="487581EC" w:rsidR="003B422F" w:rsidRPr="0078472B" w:rsidRDefault="00646B98"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i/>
          <w:color w:val="000000" w:themeColor="text1"/>
          <w:sz w:val="24"/>
          <w:szCs w:val="24"/>
        </w:rPr>
        <w:t>Online horse race bet</w:t>
      </w:r>
      <w:r w:rsidR="00A5254A" w:rsidRPr="0078472B">
        <w:rPr>
          <w:rFonts w:ascii="Times New Roman" w:hAnsi="Times New Roman" w:cs="Times New Roman"/>
          <w:i/>
          <w:color w:val="000000" w:themeColor="text1"/>
          <w:sz w:val="24"/>
          <w:szCs w:val="24"/>
        </w:rPr>
        <w:t>ting account data</w:t>
      </w:r>
      <w:r w:rsidRPr="0078472B">
        <w:rPr>
          <w:rFonts w:ascii="Times New Roman" w:hAnsi="Times New Roman" w:cs="Times New Roman"/>
          <w:i/>
          <w:color w:val="000000" w:themeColor="text1"/>
          <w:sz w:val="24"/>
          <w:szCs w:val="24"/>
        </w:rPr>
        <w:t xml:space="preserve">. </w:t>
      </w:r>
      <w:r w:rsidR="003028BF" w:rsidRPr="0078472B">
        <w:rPr>
          <w:rFonts w:ascii="Times New Roman" w:hAnsi="Times New Roman" w:cs="Times New Roman"/>
          <w:color w:val="000000" w:themeColor="text1"/>
          <w:sz w:val="24"/>
          <w:szCs w:val="24"/>
        </w:rPr>
        <w:t>Individual-level</w:t>
      </w:r>
      <w:r w:rsidR="006F07E8" w:rsidRPr="0078472B">
        <w:rPr>
          <w:rFonts w:ascii="Times New Roman" w:hAnsi="Times New Roman" w:cs="Times New Roman"/>
          <w:color w:val="000000" w:themeColor="text1"/>
          <w:sz w:val="24"/>
          <w:szCs w:val="24"/>
        </w:rPr>
        <w:t xml:space="preserve"> online betting account data </w:t>
      </w:r>
      <w:r w:rsidR="003028BF" w:rsidRPr="0078472B">
        <w:rPr>
          <w:rFonts w:ascii="Times New Roman" w:hAnsi="Times New Roman" w:cs="Times New Roman"/>
          <w:color w:val="000000" w:themeColor="text1"/>
          <w:sz w:val="24"/>
          <w:szCs w:val="24"/>
        </w:rPr>
        <w:t>provided by Fintoto</w:t>
      </w:r>
      <w:r w:rsidR="00635301" w:rsidRPr="0078472B">
        <w:rPr>
          <w:rFonts w:ascii="Times New Roman" w:hAnsi="Times New Roman" w:cs="Times New Roman"/>
          <w:color w:val="000000" w:themeColor="text1"/>
          <w:sz w:val="24"/>
          <w:szCs w:val="24"/>
        </w:rPr>
        <w:t xml:space="preserve"> include</w:t>
      </w:r>
      <w:r w:rsidR="00CB6D23" w:rsidRPr="0078472B">
        <w:rPr>
          <w:rFonts w:ascii="Times New Roman" w:hAnsi="Times New Roman" w:cs="Times New Roman"/>
          <w:color w:val="000000" w:themeColor="text1"/>
          <w:sz w:val="24"/>
          <w:szCs w:val="24"/>
        </w:rPr>
        <w:t xml:space="preserve"> 18</w:t>
      </w:r>
      <w:r w:rsidR="003028BF" w:rsidRPr="0078472B">
        <w:rPr>
          <w:rFonts w:ascii="Times New Roman" w:hAnsi="Times New Roman" w:cs="Times New Roman"/>
          <w:color w:val="000000" w:themeColor="text1"/>
          <w:sz w:val="24"/>
          <w:szCs w:val="24"/>
        </w:rPr>
        <w:t>,</w:t>
      </w:r>
      <w:r w:rsidR="00CB6D23" w:rsidRPr="0078472B">
        <w:rPr>
          <w:rFonts w:ascii="Times New Roman" w:hAnsi="Times New Roman" w:cs="Times New Roman"/>
          <w:color w:val="000000" w:themeColor="text1"/>
          <w:sz w:val="24"/>
          <w:szCs w:val="24"/>
        </w:rPr>
        <w:t xml:space="preserve">641 bettors and </w:t>
      </w:r>
      <w:r w:rsidR="00635301" w:rsidRPr="0078472B">
        <w:rPr>
          <w:rFonts w:ascii="Times New Roman" w:hAnsi="Times New Roman" w:cs="Times New Roman"/>
          <w:color w:val="000000" w:themeColor="text1"/>
          <w:sz w:val="24"/>
          <w:szCs w:val="24"/>
        </w:rPr>
        <w:t>all</w:t>
      </w:r>
      <w:r w:rsidR="006F07E8" w:rsidRPr="0078472B">
        <w:rPr>
          <w:rFonts w:ascii="Times New Roman" w:hAnsi="Times New Roman" w:cs="Times New Roman"/>
          <w:color w:val="000000" w:themeColor="text1"/>
          <w:sz w:val="24"/>
          <w:szCs w:val="24"/>
        </w:rPr>
        <w:t xml:space="preserve"> their</w:t>
      </w:r>
      <w:r w:rsidR="00635301" w:rsidRPr="0078472B">
        <w:rPr>
          <w:rFonts w:ascii="Times New Roman" w:hAnsi="Times New Roman" w:cs="Times New Roman"/>
          <w:color w:val="000000" w:themeColor="text1"/>
          <w:sz w:val="24"/>
          <w:szCs w:val="24"/>
        </w:rPr>
        <w:t xml:space="preserve"> race-level bets made </w:t>
      </w:r>
      <w:r w:rsidR="006F07E8" w:rsidRPr="0078472B">
        <w:rPr>
          <w:rFonts w:ascii="Times New Roman" w:hAnsi="Times New Roman" w:cs="Times New Roman"/>
          <w:color w:val="000000" w:themeColor="text1"/>
          <w:sz w:val="24"/>
          <w:szCs w:val="24"/>
        </w:rPr>
        <w:t xml:space="preserve">at </w:t>
      </w:r>
      <w:r w:rsidR="002A3719" w:rsidRPr="0078472B">
        <w:rPr>
          <w:rFonts w:ascii="Times New Roman" w:hAnsi="Times New Roman" w:cs="Times New Roman"/>
          <w:color w:val="000000" w:themeColor="text1"/>
          <w:sz w:val="24"/>
          <w:szCs w:val="24"/>
        </w:rPr>
        <w:t>the company</w:t>
      </w:r>
      <w:r w:rsidR="006F07E8" w:rsidRPr="0078472B">
        <w:rPr>
          <w:rFonts w:ascii="Times New Roman" w:hAnsi="Times New Roman" w:cs="Times New Roman"/>
          <w:color w:val="000000" w:themeColor="text1"/>
          <w:sz w:val="24"/>
          <w:szCs w:val="24"/>
        </w:rPr>
        <w:t>’s online betting platform between August 1</w:t>
      </w:r>
      <w:r w:rsidR="006F07E8" w:rsidRPr="0078472B">
        <w:rPr>
          <w:rFonts w:ascii="Times New Roman" w:hAnsi="Times New Roman" w:cs="Times New Roman"/>
          <w:color w:val="000000" w:themeColor="text1"/>
          <w:sz w:val="24"/>
          <w:szCs w:val="24"/>
          <w:vertAlign w:val="superscript"/>
        </w:rPr>
        <w:t>st</w:t>
      </w:r>
      <w:r w:rsidR="006F07E8" w:rsidRPr="0078472B">
        <w:rPr>
          <w:rFonts w:ascii="Times New Roman" w:hAnsi="Times New Roman" w:cs="Times New Roman"/>
          <w:color w:val="000000" w:themeColor="text1"/>
          <w:sz w:val="24"/>
          <w:szCs w:val="24"/>
        </w:rPr>
        <w:t xml:space="preserve"> and August 30</w:t>
      </w:r>
      <w:r w:rsidR="006F07E8" w:rsidRPr="0078472B">
        <w:rPr>
          <w:rFonts w:ascii="Times New Roman" w:hAnsi="Times New Roman" w:cs="Times New Roman"/>
          <w:color w:val="000000" w:themeColor="text1"/>
          <w:sz w:val="24"/>
          <w:szCs w:val="24"/>
          <w:vertAlign w:val="superscript"/>
        </w:rPr>
        <w:t>th</w:t>
      </w:r>
      <w:r w:rsidR="006F07E8" w:rsidRPr="0078472B">
        <w:rPr>
          <w:rFonts w:ascii="Times New Roman" w:hAnsi="Times New Roman" w:cs="Times New Roman"/>
          <w:color w:val="000000" w:themeColor="text1"/>
          <w:sz w:val="24"/>
          <w:szCs w:val="24"/>
        </w:rPr>
        <w:t>, 2012</w:t>
      </w:r>
      <w:r w:rsidR="00635301" w:rsidRPr="0078472B">
        <w:rPr>
          <w:rFonts w:ascii="Times New Roman" w:hAnsi="Times New Roman" w:cs="Times New Roman"/>
          <w:color w:val="000000" w:themeColor="text1"/>
          <w:sz w:val="24"/>
          <w:szCs w:val="24"/>
        </w:rPr>
        <w:t>.</w:t>
      </w:r>
      <w:r w:rsidR="006F07E8" w:rsidRPr="0078472B">
        <w:rPr>
          <w:rFonts w:ascii="Times New Roman" w:hAnsi="Times New Roman" w:cs="Times New Roman"/>
          <w:color w:val="000000" w:themeColor="text1"/>
          <w:sz w:val="24"/>
          <w:szCs w:val="24"/>
        </w:rPr>
        <w:t xml:space="preserve"> The bet types include </w:t>
      </w:r>
      <w:r w:rsidR="006F07E8" w:rsidRPr="0078472B">
        <w:rPr>
          <w:rFonts w:ascii="Times New Roman" w:hAnsi="Times New Roman"/>
          <w:color w:val="000000" w:themeColor="text1"/>
          <w:sz w:val="24"/>
          <w:szCs w:val="24"/>
        </w:rPr>
        <w:t>Quinella (</w:t>
      </w:r>
      <w:r w:rsidR="0023596D" w:rsidRPr="0078472B">
        <w:rPr>
          <w:rFonts w:ascii="Times New Roman" w:hAnsi="Times New Roman"/>
          <w:color w:val="000000" w:themeColor="text1"/>
          <w:sz w:val="24"/>
          <w:szCs w:val="24"/>
        </w:rPr>
        <w:t xml:space="preserve">the </w:t>
      </w:r>
      <w:r w:rsidR="006F07E8" w:rsidRPr="0078472B">
        <w:rPr>
          <w:rFonts w:ascii="Times New Roman" w:hAnsi="Times New Roman"/>
          <w:color w:val="000000" w:themeColor="text1"/>
          <w:sz w:val="24"/>
          <w:szCs w:val="24"/>
        </w:rPr>
        <w:t xml:space="preserve">first two </w:t>
      </w:r>
      <w:r w:rsidR="0023596D" w:rsidRPr="0078472B">
        <w:rPr>
          <w:rFonts w:ascii="Times New Roman" w:hAnsi="Times New Roman"/>
          <w:color w:val="000000" w:themeColor="text1"/>
          <w:sz w:val="24"/>
          <w:szCs w:val="24"/>
        </w:rPr>
        <w:t xml:space="preserve">horses </w:t>
      </w:r>
      <w:r w:rsidR="006F07E8" w:rsidRPr="0078472B">
        <w:rPr>
          <w:rFonts w:ascii="Times New Roman" w:hAnsi="Times New Roman"/>
          <w:color w:val="000000" w:themeColor="text1"/>
          <w:sz w:val="24"/>
          <w:szCs w:val="24"/>
        </w:rPr>
        <w:t>in either order), Trifecta (</w:t>
      </w:r>
      <w:r w:rsidR="0023596D" w:rsidRPr="0078472B">
        <w:rPr>
          <w:rFonts w:ascii="Times New Roman" w:hAnsi="Times New Roman"/>
          <w:color w:val="000000" w:themeColor="text1"/>
          <w:sz w:val="24"/>
          <w:szCs w:val="24"/>
        </w:rPr>
        <w:t xml:space="preserve">the </w:t>
      </w:r>
      <w:r w:rsidR="006F07E8" w:rsidRPr="0078472B">
        <w:rPr>
          <w:rFonts w:ascii="Times New Roman" w:hAnsi="Times New Roman"/>
          <w:color w:val="000000" w:themeColor="text1"/>
          <w:sz w:val="24"/>
          <w:szCs w:val="24"/>
        </w:rPr>
        <w:t xml:space="preserve">first three horses in the correct order), Win Bet (the winner of a </w:t>
      </w:r>
      <w:r w:rsidR="006F07E8" w:rsidRPr="0078472B">
        <w:rPr>
          <w:rFonts w:ascii="Times New Roman" w:hAnsi="Times New Roman"/>
          <w:color w:val="000000" w:themeColor="text1"/>
          <w:sz w:val="24"/>
          <w:szCs w:val="24"/>
        </w:rPr>
        <w:lastRenderedPageBreak/>
        <w:t>race), Quinella (the two horses that finish first irrespective of their order) and Place (the chosen horse finishes first, second or third).</w:t>
      </w:r>
      <w:r w:rsidR="00635301" w:rsidRPr="0078472B">
        <w:rPr>
          <w:rFonts w:ascii="Times New Roman" w:hAnsi="Times New Roman" w:cs="Times New Roman"/>
          <w:color w:val="000000" w:themeColor="text1"/>
          <w:sz w:val="24"/>
          <w:szCs w:val="24"/>
        </w:rPr>
        <w:t xml:space="preserve"> </w:t>
      </w:r>
      <w:r w:rsidR="003B422F" w:rsidRPr="0078472B">
        <w:rPr>
          <w:rFonts w:ascii="Times New Roman" w:hAnsi="Times New Roman" w:cs="Times New Roman"/>
          <w:color w:val="000000" w:themeColor="text1"/>
          <w:sz w:val="24"/>
          <w:szCs w:val="24"/>
        </w:rPr>
        <w:t>Information on multiple</w:t>
      </w:r>
      <w:r w:rsidR="006F07E8" w:rsidRPr="0078472B">
        <w:rPr>
          <w:rFonts w:ascii="Times New Roman" w:hAnsi="Times New Roman" w:cs="Times New Roman"/>
          <w:color w:val="000000" w:themeColor="text1"/>
          <w:sz w:val="24"/>
          <w:szCs w:val="24"/>
        </w:rPr>
        <w:t xml:space="preserve"> </w:t>
      </w:r>
      <w:r w:rsidR="003B422F" w:rsidRPr="0078472B">
        <w:rPr>
          <w:rFonts w:ascii="Times New Roman" w:hAnsi="Times New Roman" w:cs="Times New Roman"/>
          <w:color w:val="000000" w:themeColor="text1"/>
          <w:sz w:val="24"/>
          <w:szCs w:val="24"/>
        </w:rPr>
        <w:t xml:space="preserve">race </w:t>
      </w:r>
      <w:r w:rsidR="006F07E8" w:rsidRPr="0078472B">
        <w:rPr>
          <w:rFonts w:ascii="Times New Roman" w:hAnsi="Times New Roman" w:cs="Times New Roman"/>
          <w:color w:val="000000" w:themeColor="text1"/>
          <w:sz w:val="24"/>
          <w:szCs w:val="24"/>
        </w:rPr>
        <w:t>bet types</w:t>
      </w:r>
      <w:r w:rsidR="003B422F" w:rsidRPr="0078472B">
        <w:rPr>
          <w:rFonts w:ascii="Times New Roman" w:hAnsi="Times New Roman" w:cs="Times New Roman"/>
          <w:color w:val="000000" w:themeColor="text1"/>
          <w:sz w:val="24"/>
          <w:szCs w:val="24"/>
        </w:rPr>
        <w:t xml:space="preserve">, </w:t>
      </w:r>
      <w:r w:rsidR="006F07E8" w:rsidRPr="0078472B">
        <w:rPr>
          <w:rFonts w:ascii="Times New Roman" w:hAnsi="Times New Roman" w:cs="Times New Roman"/>
          <w:color w:val="000000" w:themeColor="text1"/>
          <w:sz w:val="24"/>
          <w:szCs w:val="24"/>
        </w:rPr>
        <w:t>such as</w:t>
      </w:r>
      <w:r w:rsidR="003B422F" w:rsidRPr="0078472B">
        <w:rPr>
          <w:rFonts w:ascii="Times New Roman" w:hAnsi="Times New Roman" w:cs="Times New Roman"/>
          <w:color w:val="000000" w:themeColor="text1"/>
          <w:sz w:val="24"/>
          <w:szCs w:val="24"/>
        </w:rPr>
        <w:t xml:space="preserve"> Double (the winners of two consecutive races)</w:t>
      </w:r>
      <w:r w:rsidR="006F07E8" w:rsidRPr="0078472B">
        <w:rPr>
          <w:rFonts w:ascii="Times New Roman" w:hAnsi="Times New Roman" w:cs="Times New Roman"/>
          <w:color w:val="000000" w:themeColor="text1"/>
          <w:sz w:val="24"/>
          <w:szCs w:val="24"/>
        </w:rPr>
        <w:t>,</w:t>
      </w:r>
      <w:r w:rsidR="003B422F" w:rsidRPr="0078472B">
        <w:rPr>
          <w:rFonts w:ascii="Times New Roman" w:hAnsi="Times New Roman" w:cs="Times New Roman"/>
          <w:color w:val="000000" w:themeColor="text1"/>
          <w:sz w:val="24"/>
          <w:szCs w:val="24"/>
        </w:rPr>
        <w:t xml:space="preserve"> was not available for analysis. </w:t>
      </w:r>
      <w:r w:rsidR="00500581" w:rsidRPr="0078472B">
        <w:rPr>
          <w:rFonts w:ascii="Times New Roman" w:hAnsi="Times New Roman" w:cs="Times New Roman"/>
          <w:color w:val="000000" w:themeColor="text1"/>
          <w:sz w:val="24"/>
          <w:szCs w:val="24"/>
        </w:rPr>
        <w:t>T</w:t>
      </w:r>
      <w:r w:rsidR="006F07E8" w:rsidRPr="0078472B">
        <w:rPr>
          <w:rFonts w:ascii="Times New Roman" w:hAnsi="Times New Roman" w:cs="Times New Roman"/>
          <w:color w:val="000000" w:themeColor="text1"/>
          <w:sz w:val="24"/>
          <w:szCs w:val="24"/>
        </w:rPr>
        <w:t xml:space="preserve">he </w:t>
      </w:r>
      <w:r w:rsidR="003B422F" w:rsidRPr="0078472B">
        <w:rPr>
          <w:rFonts w:ascii="Times New Roman" w:hAnsi="Times New Roman" w:cs="Times New Roman"/>
          <w:color w:val="000000" w:themeColor="text1"/>
          <w:sz w:val="24"/>
          <w:szCs w:val="24"/>
        </w:rPr>
        <w:t>information o</w:t>
      </w:r>
      <w:r w:rsidR="006F07E8" w:rsidRPr="0078472B">
        <w:rPr>
          <w:rFonts w:ascii="Times New Roman" w:hAnsi="Times New Roman" w:cs="Times New Roman"/>
          <w:color w:val="000000" w:themeColor="text1"/>
          <w:sz w:val="24"/>
          <w:szCs w:val="24"/>
        </w:rPr>
        <w:t xml:space="preserve">n players is limited to a bettor’s age, gender and </w:t>
      </w:r>
      <w:r w:rsidR="0007739D" w:rsidRPr="0078472B">
        <w:rPr>
          <w:rFonts w:ascii="Times New Roman" w:hAnsi="Times New Roman" w:cs="Times New Roman"/>
          <w:color w:val="000000" w:themeColor="text1"/>
          <w:sz w:val="24"/>
          <w:szCs w:val="24"/>
        </w:rPr>
        <w:t>postal</w:t>
      </w:r>
      <w:r w:rsidR="003B422F" w:rsidRPr="0078472B">
        <w:rPr>
          <w:rFonts w:ascii="Times New Roman" w:hAnsi="Times New Roman" w:cs="Times New Roman"/>
          <w:color w:val="000000" w:themeColor="text1"/>
          <w:sz w:val="24"/>
          <w:szCs w:val="24"/>
        </w:rPr>
        <w:t xml:space="preserve"> code</w:t>
      </w:r>
      <w:r w:rsidR="006F07E8" w:rsidRPr="0078472B">
        <w:rPr>
          <w:rFonts w:ascii="Times New Roman" w:hAnsi="Times New Roman" w:cs="Times New Roman"/>
          <w:color w:val="000000" w:themeColor="text1"/>
          <w:sz w:val="24"/>
          <w:szCs w:val="24"/>
        </w:rPr>
        <w:t xml:space="preserve"> of residence</w:t>
      </w:r>
      <w:r w:rsidR="003B422F" w:rsidRPr="0078472B">
        <w:rPr>
          <w:rFonts w:ascii="Times New Roman" w:hAnsi="Times New Roman" w:cs="Times New Roman"/>
          <w:color w:val="000000" w:themeColor="text1"/>
          <w:sz w:val="24"/>
          <w:szCs w:val="24"/>
        </w:rPr>
        <w:t xml:space="preserve">. However, the </w:t>
      </w:r>
      <w:r w:rsidR="0007739D" w:rsidRPr="0078472B">
        <w:rPr>
          <w:rFonts w:ascii="Times New Roman" w:hAnsi="Times New Roman" w:cs="Times New Roman"/>
          <w:color w:val="000000" w:themeColor="text1"/>
          <w:sz w:val="24"/>
          <w:szCs w:val="24"/>
        </w:rPr>
        <w:t>postal</w:t>
      </w:r>
      <w:r w:rsidR="003B422F" w:rsidRPr="0078472B">
        <w:rPr>
          <w:rFonts w:ascii="Times New Roman" w:hAnsi="Times New Roman" w:cs="Times New Roman"/>
          <w:color w:val="000000" w:themeColor="text1"/>
          <w:sz w:val="24"/>
          <w:szCs w:val="24"/>
        </w:rPr>
        <w:t xml:space="preserve"> code </w:t>
      </w:r>
      <w:r w:rsidR="006F07E8" w:rsidRPr="0078472B">
        <w:rPr>
          <w:rFonts w:ascii="Times New Roman" w:hAnsi="Times New Roman" w:cs="Times New Roman"/>
          <w:color w:val="000000" w:themeColor="text1"/>
          <w:sz w:val="24"/>
          <w:szCs w:val="24"/>
        </w:rPr>
        <w:t>provides</w:t>
      </w:r>
      <w:r w:rsidR="003B422F" w:rsidRPr="0078472B">
        <w:rPr>
          <w:rFonts w:ascii="Times New Roman" w:hAnsi="Times New Roman" w:cs="Times New Roman"/>
          <w:color w:val="000000" w:themeColor="text1"/>
          <w:sz w:val="24"/>
          <w:szCs w:val="24"/>
        </w:rPr>
        <w:t xml:space="preserve"> a</w:t>
      </w:r>
      <w:r w:rsidR="006F07E8" w:rsidRPr="0078472B">
        <w:rPr>
          <w:rFonts w:ascii="Times New Roman" w:hAnsi="Times New Roman" w:cs="Times New Roman"/>
          <w:color w:val="000000" w:themeColor="text1"/>
          <w:sz w:val="24"/>
          <w:szCs w:val="24"/>
        </w:rPr>
        <w:t xml:space="preserve">ccess to </w:t>
      </w:r>
      <w:r w:rsidR="008B593C" w:rsidRPr="0078472B">
        <w:rPr>
          <w:rFonts w:ascii="Times New Roman" w:hAnsi="Times New Roman" w:cs="Times New Roman"/>
          <w:color w:val="000000" w:themeColor="text1"/>
          <w:sz w:val="24"/>
          <w:szCs w:val="24"/>
        </w:rPr>
        <w:t>socio-</w:t>
      </w:r>
      <w:r w:rsidR="006F07E8" w:rsidRPr="0078472B">
        <w:rPr>
          <w:rFonts w:ascii="Times New Roman" w:hAnsi="Times New Roman" w:cs="Times New Roman"/>
          <w:color w:val="000000" w:themeColor="text1"/>
          <w:sz w:val="24"/>
          <w:szCs w:val="24"/>
        </w:rPr>
        <w:t>demographic characteristics</w:t>
      </w:r>
      <w:r w:rsidR="003B422F" w:rsidRPr="0078472B">
        <w:rPr>
          <w:rFonts w:ascii="Times New Roman" w:hAnsi="Times New Roman" w:cs="Times New Roman"/>
          <w:color w:val="000000" w:themeColor="text1"/>
          <w:sz w:val="24"/>
          <w:szCs w:val="24"/>
        </w:rPr>
        <w:t xml:space="preserve"> of </w:t>
      </w:r>
      <w:r w:rsidR="006F07E8" w:rsidRPr="0078472B">
        <w:rPr>
          <w:rFonts w:ascii="Times New Roman" w:hAnsi="Times New Roman" w:cs="Times New Roman"/>
          <w:color w:val="000000" w:themeColor="text1"/>
          <w:sz w:val="24"/>
          <w:szCs w:val="24"/>
        </w:rPr>
        <w:t xml:space="preserve">a </w:t>
      </w:r>
      <w:r w:rsidR="003B422F" w:rsidRPr="0078472B">
        <w:rPr>
          <w:rFonts w:ascii="Times New Roman" w:hAnsi="Times New Roman" w:cs="Times New Roman"/>
          <w:color w:val="000000" w:themeColor="text1"/>
          <w:sz w:val="24"/>
          <w:szCs w:val="24"/>
        </w:rPr>
        <w:t>bettor</w:t>
      </w:r>
      <w:r w:rsidR="006F07E8" w:rsidRPr="0078472B">
        <w:rPr>
          <w:rFonts w:ascii="Times New Roman" w:hAnsi="Times New Roman" w:cs="Times New Roman"/>
          <w:color w:val="000000" w:themeColor="text1"/>
          <w:sz w:val="24"/>
          <w:szCs w:val="24"/>
        </w:rPr>
        <w:t>’</w:t>
      </w:r>
      <w:r w:rsidR="003B422F" w:rsidRPr="0078472B">
        <w:rPr>
          <w:rFonts w:ascii="Times New Roman" w:hAnsi="Times New Roman" w:cs="Times New Roman"/>
          <w:color w:val="000000" w:themeColor="text1"/>
          <w:sz w:val="24"/>
          <w:szCs w:val="24"/>
        </w:rPr>
        <w:t xml:space="preserve">s </w:t>
      </w:r>
      <w:r w:rsidR="008B593C" w:rsidRPr="0078472B">
        <w:rPr>
          <w:rFonts w:ascii="Times New Roman" w:hAnsi="Times New Roman" w:cs="Times New Roman"/>
          <w:color w:val="000000" w:themeColor="text1"/>
          <w:sz w:val="24"/>
          <w:szCs w:val="24"/>
        </w:rPr>
        <w:t>place of residence</w:t>
      </w:r>
      <w:r w:rsidR="003B422F" w:rsidRPr="0078472B">
        <w:rPr>
          <w:rFonts w:ascii="Times New Roman" w:hAnsi="Times New Roman" w:cs="Times New Roman"/>
          <w:color w:val="000000" w:themeColor="text1"/>
          <w:sz w:val="24"/>
          <w:szCs w:val="24"/>
        </w:rPr>
        <w:t>. Consequently, we collapsed the gam</w:t>
      </w:r>
      <w:r w:rsidR="00741756" w:rsidRPr="0078472B">
        <w:rPr>
          <w:rFonts w:ascii="Times New Roman" w:hAnsi="Times New Roman" w:cs="Times New Roman"/>
          <w:color w:val="000000" w:themeColor="text1"/>
          <w:sz w:val="24"/>
          <w:szCs w:val="24"/>
        </w:rPr>
        <w:t>bl</w:t>
      </w:r>
      <w:r w:rsidR="003B422F" w:rsidRPr="0078472B">
        <w:rPr>
          <w:rFonts w:ascii="Times New Roman" w:hAnsi="Times New Roman" w:cs="Times New Roman"/>
          <w:color w:val="000000" w:themeColor="text1"/>
          <w:sz w:val="24"/>
          <w:szCs w:val="24"/>
        </w:rPr>
        <w:t xml:space="preserve">ing data </w:t>
      </w:r>
      <w:r w:rsidR="008B593C" w:rsidRPr="0078472B">
        <w:rPr>
          <w:rFonts w:ascii="Times New Roman" w:hAnsi="Times New Roman" w:cs="Times New Roman"/>
          <w:color w:val="000000" w:themeColor="text1"/>
          <w:sz w:val="24"/>
          <w:szCs w:val="24"/>
        </w:rPr>
        <w:t>to</w:t>
      </w:r>
      <w:r w:rsidR="003B422F" w:rsidRPr="0078472B">
        <w:rPr>
          <w:rFonts w:ascii="Times New Roman" w:hAnsi="Times New Roman" w:cs="Times New Roman"/>
          <w:color w:val="000000" w:themeColor="text1"/>
          <w:sz w:val="24"/>
          <w:szCs w:val="24"/>
        </w:rPr>
        <w:t xml:space="preserve"> </w:t>
      </w:r>
      <w:r w:rsidR="008B593C" w:rsidRPr="0078472B">
        <w:rPr>
          <w:rFonts w:ascii="Times New Roman" w:hAnsi="Times New Roman" w:cs="Times New Roman"/>
          <w:color w:val="000000" w:themeColor="text1"/>
          <w:sz w:val="24"/>
          <w:szCs w:val="24"/>
        </w:rPr>
        <w:t xml:space="preserve">the level of a municipality </w:t>
      </w:r>
      <w:r w:rsidR="003B422F" w:rsidRPr="0078472B">
        <w:rPr>
          <w:rFonts w:ascii="Times New Roman" w:hAnsi="Times New Roman" w:cs="Times New Roman"/>
          <w:color w:val="000000" w:themeColor="text1"/>
          <w:sz w:val="24"/>
          <w:szCs w:val="24"/>
        </w:rPr>
        <w:t xml:space="preserve">by aggregating the number of players and </w:t>
      </w:r>
      <w:r w:rsidR="00741756" w:rsidRPr="0078472B">
        <w:rPr>
          <w:rFonts w:ascii="Times New Roman" w:hAnsi="Times New Roman" w:cs="Times New Roman"/>
          <w:color w:val="000000" w:themeColor="text1"/>
          <w:sz w:val="24"/>
          <w:szCs w:val="24"/>
        </w:rPr>
        <w:t xml:space="preserve">other </w:t>
      </w:r>
      <w:r w:rsidR="003B422F" w:rsidRPr="0078472B">
        <w:rPr>
          <w:rFonts w:ascii="Times New Roman" w:hAnsi="Times New Roman" w:cs="Times New Roman"/>
          <w:color w:val="000000" w:themeColor="text1"/>
          <w:sz w:val="24"/>
          <w:szCs w:val="24"/>
        </w:rPr>
        <w:t>betting</w:t>
      </w:r>
      <w:r w:rsidR="008B593C" w:rsidRPr="0078472B">
        <w:rPr>
          <w:rFonts w:ascii="Times New Roman" w:hAnsi="Times New Roman" w:cs="Times New Roman"/>
          <w:color w:val="000000" w:themeColor="text1"/>
          <w:sz w:val="24"/>
          <w:szCs w:val="24"/>
        </w:rPr>
        <w:t>-related</w:t>
      </w:r>
      <w:r w:rsidR="003B422F" w:rsidRPr="0078472B">
        <w:rPr>
          <w:rFonts w:ascii="Times New Roman" w:hAnsi="Times New Roman" w:cs="Times New Roman"/>
          <w:color w:val="000000" w:themeColor="text1"/>
          <w:sz w:val="24"/>
          <w:szCs w:val="24"/>
        </w:rPr>
        <w:t xml:space="preserve"> </w:t>
      </w:r>
      <w:r w:rsidR="00741756" w:rsidRPr="0078472B">
        <w:rPr>
          <w:rFonts w:ascii="Times New Roman" w:hAnsi="Times New Roman" w:cs="Times New Roman"/>
          <w:color w:val="000000" w:themeColor="text1"/>
          <w:sz w:val="24"/>
          <w:szCs w:val="24"/>
        </w:rPr>
        <w:t>variables</w:t>
      </w:r>
      <w:r w:rsidR="003B422F" w:rsidRPr="0078472B">
        <w:rPr>
          <w:rFonts w:ascii="Times New Roman" w:hAnsi="Times New Roman" w:cs="Times New Roman"/>
          <w:color w:val="000000" w:themeColor="text1"/>
          <w:sz w:val="24"/>
          <w:szCs w:val="24"/>
        </w:rPr>
        <w:t xml:space="preserve"> for each municipality.</w:t>
      </w:r>
    </w:p>
    <w:p w14:paraId="22EDB359" w14:textId="77777777" w:rsidR="00635301" w:rsidRPr="0078472B" w:rsidRDefault="00635301" w:rsidP="00A540E5">
      <w:pPr>
        <w:spacing w:after="0" w:line="480" w:lineRule="auto"/>
        <w:jc w:val="both"/>
        <w:rPr>
          <w:rFonts w:ascii="Times New Roman" w:hAnsi="Times New Roman" w:cs="Times New Roman"/>
          <w:color w:val="000000" w:themeColor="text1"/>
          <w:sz w:val="24"/>
          <w:szCs w:val="24"/>
        </w:rPr>
      </w:pPr>
    </w:p>
    <w:p w14:paraId="1FB93EA0" w14:textId="51DFEBE0" w:rsidR="003B422F" w:rsidRPr="0078472B" w:rsidRDefault="00B06CF9"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i/>
          <w:color w:val="000000" w:themeColor="text1"/>
          <w:sz w:val="24"/>
          <w:szCs w:val="24"/>
        </w:rPr>
        <w:t>Socio-d</w:t>
      </w:r>
      <w:r w:rsidR="00646B98" w:rsidRPr="0078472B">
        <w:rPr>
          <w:rFonts w:ascii="Times New Roman" w:hAnsi="Times New Roman" w:cs="Times New Roman"/>
          <w:i/>
          <w:color w:val="000000" w:themeColor="text1"/>
          <w:sz w:val="24"/>
          <w:szCs w:val="24"/>
        </w:rPr>
        <w:t>emographic</w:t>
      </w:r>
      <w:r w:rsidRPr="0078472B">
        <w:rPr>
          <w:rFonts w:ascii="Times New Roman" w:hAnsi="Times New Roman" w:cs="Times New Roman"/>
          <w:i/>
          <w:color w:val="000000" w:themeColor="text1"/>
          <w:sz w:val="24"/>
          <w:szCs w:val="24"/>
        </w:rPr>
        <w:t xml:space="preserve"> data</w:t>
      </w:r>
      <w:r w:rsidR="00646B98" w:rsidRPr="0078472B">
        <w:rPr>
          <w:rFonts w:ascii="Times New Roman" w:hAnsi="Times New Roman" w:cs="Times New Roman"/>
          <w:color w:val="000000" w:themeColor="text1"/>
          <w:sz w:val="24"/>
          <w:szCs w:val="24"/>
        </w:rPr>
        <w:t>.</w:t>
      </w:r>
      <w:r w:rsidR="005119BC"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 xml:space="preserve">Data on </w:t>
      </w:r>
      <w:r w:rsidR="0023596D" w:rsidRPr="0078472B">
        <w:rPr>
          <w:rFonts w:ascii="Times New Roman" w:hAnsi="Times New Roman" w:cs="Times New Roman"/>
          <w:color w:val="000000" w:themeColor="text1"/>
          <w:sz w:val="24"/>
          <w:szCs w:val="24"/>
        </w:rPr>
        <w:t xml:space="preserve">the </w:t>
      </w:r>
      <w:r w:rsidRPr="0078472B">
        <w:rPr>
          <w:rFonts w:ascii="Times New Roman" w:hAnsi="Times New Roman" w:cs="Times New Roman"/>
          <w:color w:val="000000" w:themeColor="text1"/>
          <w:sz w:val="24"/>
          <w:szCs w:val="24"/>
        </w:rPr>
        <w:t>socio-demographic characteristics of Finnish municipalities w</w:t>
      </w:r>
      <w:r w:rsidR="00E37B30" w:rsidRPr="0078472B">
        <w:rPr>
          <w:rFonts w:ascii="Times New Roman" w:hAnsi="Times New Roman" w:cs="Times New Roman"/>
          <w:color w:val="000000" w:themeColor="text1"/>
          <w:sz w:val="24"/>
          <w:szCs w:val="24"/>
        </w:rPr>
        <w:t>ere</w:t>
      </w:r>
      <w:r w:rsidRPr="0078472B">
        <w:rPr>
          <w:rFonts w:ascii="Times New Roman" w:hAnsi="Times New Roman" w:cs="Times New Roman"/>
          <w:color w:val="000000" w:themeColor="text1"/>
          <w:sz w:val="24"/>
          <w:szCs w:val="24"/>
        </w:rPr>
        <w:t xml:space="preserve"> extracted from Statistics Finland’s official StatFin database. </w:t>
      </w:r>
      <w:r w:rsidR="00AC0EF2" w:rsidRPr="0078472B">
        <w:rPr>
          <w:rFonts w:ascii="Times New Roman" w:hAnsi="Times New Roman" w:cs="Times New Roman"/>
          <w:color w:val="000000" w:themeColor="text1"/>
          <w:sz w:val="24"/>
          <w:szCs w:val="24"/>
        </w:rPr>
        <w:t>It provides comprehensive statistical information on municipalities</w:t>
      </w:r>
      <w:r w:rsidR="00953D9C" w:rsidRPr="0078472B">
        <w:rPr>
          <w:rFonts w:ascii="Times New Roman" w:hAnsi="Times New Roman" w:cs="Times New Roman"/>
          <w:color w:val="000000" w:themeColor="text1"/>
          <w:sz w:val="24"/>
          <w:szCs w:val="24"/>
        </w:rPr>
        <w:t xml:space="preserve"> and their </w:t>
      </w:r>
      <w:r w:rsidR="002A3719" w:rsidRPr="0078472B">
        <w:rPr>
          <w:rFonts w:ascii="Times New Roman" w:hAnsi="Times New Roman" w:cs="Times New Roman"/>
          <w:color w:val="000000" w:themeColor="text1"/>
          <w:sz w:val="24"/>
          <w:szCs w:val="24"/>
        </w:rPr>
        <w:t>resident</w:t>
      </w:r>
      <w:r w:rsidR="00953D9C" w:rsidRPr="0078472B">
        <w:rPr>
          <w:rFonts w:ascii="Times New Roman" w:hAnsi="Times New Roman" w:cs="Times New Roman"/>
          <w:color w:val="000000" w:themeColor="text1"/>
          <w:sz w:val="24"/>
          <w:szCs w:val="24"/>
        </w:rPr>
        <w:t>s</w:t>
      </w:r>
      <w:r w:rsidR="00AC0EF2" w:rsidRPr="0078472B">
        <w:rPr>
          <w:rFonts w:ascii="Times New Roman" w:hAnsi="Times New Roman" w:cs="Times New Roman"/>
          <w:color w:val="000000" w:themeColor="text1"/>
          <w:sz w:val="24"/>
          <w:szCs w:val="24"/>
        </w:rPr>
        <w:t xml:space="preserve">, </w:t>
      </w:r>
      <w:r w:rsidR="00953D9C" w:rsidRPr="0078472B">
        <w:rPr>
          <w:rFonts w:ascii="Times New Roman" w:hAnsi="Times New Roman" w:cs="Times New Roman"/>
          <w:color w:val="000000" w:themeColor="text1"/>
          <w:sz w:val="24"/>
          <w:szCs w:val="24"/>
        </w:rPr>
        <w:t>such as education levels, income</w:t>
      </w:r>
      <w:r w:rsidR="00AC0EF2" w:rsidRPr="0078472B">
        <w:rPr>
          <w:rFonts w:ascii="Times New Roman" w:hAnsi="Times New Roman" w:cs="Times New Roman"/>
          <w:color w:val="000000" w:themeColor="text1"/>
          <w:sz w:val="24"/>
          <w:szCs w:val="24"/>
        </w:rPr>
        <w:t xml:space="preserve"> </w:t>
      </w:r>
      <w:r w:rsidR="00953D9C" w:rsidRPr="0078472B">
        <w:rPr>
          <w:rFonts w:ascii="Times New Roman" w:hAnsi="Times New Roman" w:cs="Times New Roman"/>
          <w:color w:val="000000" w:themeColor="text1"/>
          <w:sz w:val="24"/>
          <w:szCs w:val="24"/>
        </w:rPr>
        <w:t xml:space="preserve">levels </w:t>
      </w:r>
      <w:r w:rsidR="00AC0EF2" w:rsidRPr="0078472B">
        <w:rPr>
          <w:rFonts w:ascii="Times New Roman" w:hAnsi="Times New Roman" w:cs="Times New Roman"/>
          <w:color w:val="000000" w:themeColor="text1"/>
          <w:sz w:val="24"/>
          <w:szCs w:val="24"/>
        </w:rPr>
        <w:t>and unemployment rate</w:t>
      </w:r>
      <w:r w:rsidR="00953D9C" w:rsidRPr="0078472B">
        <w:rPr>
          <w:rFonts w:ascii="Times New Roman" w:hAnsi="Times New Roman" w:cs="Times New Roman"/>
          <w:color w:val="000000" w:themeColor="text1"/>
          <w:sz w:val="24"/>
          <w:szCs w:val="24"/>
        </w:rPr>
        <w:t>s</w:t>
      </w:r>
      <w:r w:rsidR="00E37B30" w:rsidRPr="0078472B">
        <w:rPr>
          <w:rFonts w:ascii="Times New Roman" w:hAnsi="Times New Roman" w:cs="Times New Roman"/>
          <w:color w:val="000000" w:themeColor="text1"/>
          <w:sz w:val="24"/>
          <w:szCs w:val="24"/>
        </w:rPr>
        <w:t xml:space="preserve"> by age-group.</w:t>
      </w:r>
      <w:r w:rsidR="00953D9C" w:rsidRPr="0078472B">
        <w:rPr>
          <w:rFonts w:ascii="Times New Roman" w:hAnsi="Times New Roman" w:cs="Times New Roman"/>
          <w:color w:val="000000" w:themeColor="text1"/>
          <w:sz w:val="24"/>
          <w:szCs w:val="24"/>
        </w:rPr>
        <w:t xml:space="preserve"> </w:t>
      </w:r>
    </w:p>
    <w:p w14:paraId="7BEB7878" w14:textId="77777777" w:rsidR="007E263B" w:rsidRPr="0078472B" w:rsidRDefault="007E263B" w:rsidP="00A540E5">
      <w:pPr>
        <w:spacing w:after="0" w:line="480" w:lineRule="auto"/>
        <w:jc w:val="both"/>
        <w:rPr>
          <w:rFonts w:ascii="Times New Roman" w:hAnsi="Times New Roman" w:cs="Times New Roman"/>
          <w:i/>
          <w:color w:val="000000" w:themeColor="text1"/>
          <w:sz w:val="24"/>
          <w:szCs w:val="24"/>
        </w:rPr>
      </w:pPr>
    </w:p>
    <w:p w14:paraId="16137CCE" w14:textId="537E470B" w:rsidR="007E263B" w:rsidRPr="0078472B" w:rsidRDefault="007E263B"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i/>
          <w:color w:val="000000" w:themeColor="text1"/>
          <w:sz w:val="24"/>
          <w:szCs w:val="24"/>
        </w:rPr>
        <w:t>Offline betting environment.</w:t>
      </w:r>
      <w:r w:rsidRPr="0078472B">
        <w:rPr>
          <w:rFonts w:ascii="Times New Roman" w:hAnsi="Times New Roman" w:cs="Times New Roman"/>
          <w:color w:val="000000" w:themeColor="text1"/>
          <w:sz w:val="24"/>
          <w:szCs w:val="24"/>
        </w:rPr>
        <w:t xml:space="preserve"> </w:t>
      </w:r>
      <w:r w:rsidR="00C20F85" w:rsidRPr="0078472B">
        <w:rPr>
          <w:rFonts w:ascii="Times New Roman" w:hAnsi="Times New Roman" w:cs="Times New Roman"/>
          <w:color w:val="000000" w:themeColor="text1"/>
          <w:sz w:val="24"/>
          <w:szCs w:val="24"/>
        </w:rPr>
        <w:t>Data</w:t>
      </w:r>
      <w:r w:rsidRPr="0078472B">
        <w:rPr>
          <w:rFonts w:ascii="Times New Roman" w:hAnsi="Times New Roman" w:cs="Times New Roman"/>
          <w:color w:val="000000" w:themeColor="text1"/>
          <w:sz w:val="24"/>
          <w:szCs w:val="24"/>
        </w:rPr>
        <w:t xml:space="preserve"> on the </w:t>
      </w:r>
      <w:r w:rsidR="00C20F85" w:rsidRPr="0078472B">
        <w:rPr>
          <w:rFonts w:ascii="Times New Roman" w:hAnsi="Times New Roman" w:cs="Times New Roman"/>
          <w:color w:val="000000" w:themeColor="text1"/>
          <w:sz w:val="24"/>
          <w:szCs w:val="24"/>
        </w:rPr>
        <w:t xml:space="preserve">location of </w:t>
      </w:r>
      <w:r w:rsidRPr="0078472B">
        <w:rPr>
          <w:rFonts w:ascii="Times New Roman" w:hAnsi="Times New Roman" w:cs="Times New Roman"/>
          <w:color w:val="000000" w:themeColor="text1"/>
          <w:sz w:val="24"/>
          <w:szCs w:val="24"/>
        </w:rPr>
        <w:t>race track</w:t>
      </w:r>
      <w:r w:rsidR="00C20F85" w:rsidRPr="0078472B">
        <w:rPr>
          <w:rFonts w:ascii="Times New Roman" w:hAnsi="Times New Roman" w:cs="Times New Roman"/>
          <w:color w:val="000000" w:themeColor="text1"/>
          <w:sz w:val="24"/>
          <w:szCs w:val="24"/>
        </w:rPr>
        <w:t>s</w:t>
      </w:r>
      <w:r w:rsidRPr="0078472B">
        <w:rPr>
          <w:rFonts w:ascii="Times New Roman" w:hAnsi="Times New Roman" w:cs="Times New Roman"/>
          <w:color w:val="000000" w:themeColor="text1"/>
          <w:sz w:val="24"/>
          <w:szCs w:val="24"/>
        </w:rPr>
        <w:t>, the number of off-track betting venues</w:t>
      </w:r>
      <w:r w:rsidR="00C20F85" w:rsidRPr="0078472B">
        <w:rPr>
          <w:rFonts w:ascii="Times New Roman" w:hAnsi="Times New Roman" w:cs="Times New Roman"/>
          <w:color w:val="000000" w:themeColor="text1"/>
          <w:sz w:val="24"/>
          <w:szCs w:val="24"/>
        </w:rPr>
        <w:t xml:space="preserve"> in a municipality and the number of horse race meeting</w:t>
      </w:r>
      <w:r w:rsidRPr="0078472B">
        <w:rPr>
          <w:rFonts w:ascii="Times New Roman" w:hAnsi="Times New Roman" w:cs="Times New Roman"/>
          <w:color w:val="000000" w:themeColor="text1"/>
          <w:sz w:val="24"/>
          <w:szCs w:val="24"/>
        </w:rPr>
        <w:t>s</w:t>
      </w:r>
      <w:r w:rsidR="00C20F85" w:rsidRPr="0078472B">
        <w:rPr>
          <w:rFonts w:ascii="Times New Roman" w:hAnsi="Times New Roman" w:cs="Times New Roman"/>
          <w:color w:val="000000" w:themeColor="text1"/>
          <w:sz w:val="24"/>
          <w:szCs w:val="24"/>
        </w:rPr>
        <w:t xml:space="preserve"> in each municipality</w:t>
      </w:r>
      <w:r w:rsidRPr="0078472B">
        <w:rPr>
          <w:rFonts w:ascii="Times New Roman" w:hAnsi="Times New Roman" w:cs="Times New Roman"/>
          <w:color w:val="000000" w:themeColor="text1"/>
          <w:sz w:val="24"/>
          <w:szCs w:val="24"/>
        </w:rPr>
        <w:t xml:space="preserve"> </w:t>
      </w:r>
      <w:r w:rsidR="00C20F85" w:rsidRPr="0078472B">
        <w:rPr>
          <w:rFonts w:ascii="Times New Roman" w:hAnsi="Times New Roman" w:cs="Times New Roman"/>
          <w:color w:val="000000" w:themeColor="text1"/>
          <w:sz w:val="24"/>
          <w:szCs w:val="24"/>
        </w:rPr>
        <w:t>in August 2012 was extracted from</w:t>
      </w:r>
      <w:r w:rsidR="00907529" w:rsidRPr="0078472B">
        <w:rPr>
          <w:rFonts w:ascii="Times New Roman" w:hAnsi="Times New Roman" w:cs="Times New Roman"/>
          <w:color w:val="000000" w:themeColor="text1"/>
          <w:sz w:val="24"/>
          <w:szCs w:val="24"/>
        </w:rPr>
        <w:t xml:space="preserve"> the websites of</w:t>
      </w:r>
      <w:r w:rsidR="00944D13" w:rsidRPr="0078472B">
        <w:rPr>
          <w:rFonts w:ascii="Times New Roman" w:hAnsi="Times New Roman" w:cs="Times New Roman"/>
          <w:color w:val="000000" w:themeColor="text1"/>
          <w:sz w:val="24"/>
          <w:szCs w:val="24"/>
        </w:rPr>
        <w:t xml:space="preserve"> Veikkaus</w:t>
      </w:r>
      <w:r w:rsidR="00907529" w:rsidRPr="0078472B">
        <w:rPr>
          <w:rFonts w:ascii="Times New Roman" w:hAnsi="Times New Roman" w:cs="Times New Roman"/>
          <w:color w:val="000000" w:themeColor="text1"/>
          <w:sz w:val="24"/>
          <w:szCs w:val="24"/>
        </w:rPr>
        <w:t xml:space="preserve"> and Suomen Hippos</w:t>
      </w:r>
      <w:r w:rsidR="00070883" w:rsidRPr="0078472B">
        <w:rPr>
          <w:rFonts w:ascii="Times New Roman" w:hAnsi="Times New Roman" w:cs="Times New Roman"/>
          <w:color w:val="000000" w:themeColor="text1"/>
          <w:sz w:val="24"/>
          <w:szCs w:val="24"/>
        </w:rPr>
        <w:t xml:space="preserve"> (The Finnish Trotting and Breeding Association)</w:t>
      </w:r>
      <w:r w:rsidRPr="0078472B">
        <w:rPr>
          <w:rFonts w:ascii="Times New Roman" w:hAnsi="Times New Roman" w:cs="Times New Roman"/>
          <w:color w:val="000000" w:themeColor="text1"/>
          <w:sz w:val="24"/>
          <w:szCs w:val="24"/>
        </w:rPr>
        <w:t xml:space="preserve">. </w:t>
      </w:r>
    </w:p>
    <w:p w14:paraId="3BA4E564" w14:textId="77777777" w:rsidR="003B422F" w:rsidRPr="0078472B" w:rsidRDefault="003B422F" w:rsidP="00A540E5">
      <w:pPr>
        <w:spacing w:after="0" w:line="480" w:lineRule="auto"/>
        <w:jc w:val="both"/>
        <w:rPr>
          <w:rFonts w:ascii="Times New Roman" w:hAnsi="Times New Roman" w:cs="Times New Roman"/>
          <w:color w:val="000000" w:themeColor="text1"/>
          <w:sz w:val="24"/>
          <w:szCs w:val="24"/>
        </w:rPr>
      </w:pPr>
    </w:p>
    <w:p w14:paraId="3AD31A70" w14:textId="4FCC9A05" w:rsidR="00646B98" w:rsidRPr="0078472B" w:rsidRDefault="00646B98"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i/>
          <w:color w:val="000000" w:themeColor="text1"/>
          <w:sz w:val="24"/>
          <w:szCs w:val="24"/>
        </w:rPr>
        <w:lastRenderedPageBreak/>
        <w:t>Equine environment.</w:t>
      </w:r>
      <w:r w:rsidRPr="0078472B">
        <w:rPr>
          <w:rFonts w:ascii="Times New Roman" w:hAnsi="Times New Roman" w:cs="Times New Roman"/>
          <w:color w:val="000000" w:themeColor="text1"/>
          <w:sz w:val="24"/>
          <w:szCs w:val="24"/>
        </w:rPr>
        <w:t xml:space="preserve"> </w:t>
      </w:r>
      <w:r w:rsidR="00070883" w:rsidRPr="0078472B">
        <w:rPr>
          <w:rFonts w:ascii="Times New Roman" w:hAnsi="Times New Roman" w:cs="Times New Roman"/>
          <w:color w:val="000000" w:themeColor="text1"/>
          <w:sz w:val="24"/>
          <w:szCs w:val="24"/>
        </w:rPr>
        <w:t xml:space="preserve">Suomen Hippos </w:t>
      </w:r>
      <w:r w:rsidR="00C20F85" w:rsidRPr="0078472B">
        <w:rPr>
          <w:rFonts w:ascii="Times New Roman" w:hAnsi="Times New Roman" w:cs="Times New Roman"/>
          <w:color w:val="000000" w:themeColor="text1"/>
          <w:sz w:val="24"/>
          <w:szCs w:val="24"/>
        </w:rPr>
        <w:t>has</w:t>
      </w:r>
      <w:r w:rsidR="00AB608C" w:rsidRPr="0078472B">
        <w:rPr>
          <w:rFonts w:ascii="Times New Roman" w:hAnsi="Times New Roman" w:cs="Times New Roman"/>
          <w:color w:val="000000" w:themeColor="text1"/>
          <w:sz w:val="24"/>
          <w:szCs w:val="24"/>
        </w:rPr>
        <w:t xml:space="preserve"> data </w:t>
      </w:r>
      <w:r w:rsidR="00907529" w:rsidRPr="0078472B">
        <w:rPr>
          <w:rFonts w:ascii="Times New Roman" w:hAnsi="Times New Roman" w:cs="Times New Roman"/>
          <w:color w:val="000000" w:themeColor="text1"/>
          <w:sz w:val="24"/>
          <w:szCs w:val="24"/>
        </w:rPr>
        <w:t>on registered</w:t>
      </w:r>
      <w:r w:rsidR="00467FC3" w:rsidRPr="0078472B">
        <w:rPr>
          <w:rFonts w:ascii="Times New Roman" w:hAnsi="Times New Roman" w:cs="Times New Roman"/>
          <w:color w:val="000000" w:themeColor="text1"/>
          <w:sz w:val="24"/>
          <w:szCs w:val="24"/>
        </w:rPr>
        <w:t xml:space="preserve"> </w:t>
      </w:r>
      <w:r w:rsidR="00C20F85" w:rsidRPr="0078472B">
        <w:rPr>
          <w:rFonts w:ascii="Times New Roman" w:hAnsi="Times New Roman" w:cs="Times New Roman"/>
          <w:color w:val="000000" w:themeColor="text1"/>
          <w:sz w:val="24"/>
          <w:szCs w:val="24"/>
        </w:rPr>
        <w:t>horses</w:t>
      </w:r>
      <w:r w:rsidR="00CD3C77" w:rsidRPr="0078472B">
        <w:rPr>
          <w:rFonts w:ascii="Times New Roman" w:hAnsi="Times New Roman" w:cs="Times New Roman"/>
          <w:color w:val="000000" w:themeColor="text1"/>
          <w:sz w:val="24"/>
          <w:szCs w:val="24"/>
        </w:rPr>
        <w:t>.</w:t>
      </w:r>
      <w:r w:rsidR="00D15DE8" w:rsidRPr="0078472B">
        <w:rPr>
          <w:rFonts w:ascii="Times New Roman" w:hAnsi="Times New Roman" w:cs="Times New Roman"/>
          <w:color w:val="000000" w:themeColor="text1"/>
          <w:sz w:val="24"/>
          <w:szCs w:val="24"/>
        </w:rPr>
        <w:t xml:space="preserve"> </w:t>
      </w:r>
      <w:r w:rsidR="00907529" w:rsidRPr="0078472B">
        <w:rPr>
          <w:rFonts w:ascii="Times New Roman" w:hAnsi="Times New Roman" w:cs="Times New Roman"/>
          <w:color w:val="000000" w:themeColor="text1"/>
          <w:sz w:val="24"/>
          <w:szCs w:val="24"/>
        </w:rPr>
        <w:t xml:space="preserve">Data </w:t>
      </w:r>
      <w:r w:rsidR="0023596D" w:rsidRPr="0078472B">
        <w:rPr>
          <w:rFonts w:ascii="Times New Roman" w:hAnsi="Times New Roman" w:cs="Times New Roman"/>
          <w:color w:val="000000" w:themeColor="text1"/>
          <w:sz w:val="24"/>
          <w:szCs w:val="24"/>
        </w:rPr>
        <w:t xml:space="preserve">for </w:t>
      </w:r>
      <w:r w:rsidR="00D15DE8" w:rsidRPr="0078472B">
        <w:rPr>
          <w:rFonts w:ascii="Times New Roman" w:hAnsi="Times New Roman" w:cs="Times New Roman"/>
          <w:color w:val="000000" w:themeColor="text1"/>
          <w:sz w:val="24"/>
          <w:szCs w:val="24"/>
        </w:rPr>
        <w:t>2013</w:t>
      </w:r>
      <w:r w:rsidR="00907529" w:rsidRPr="0078472B">
        <w:rPr>
          <w:rFonts w:ascii="Times New Roman" w:hAnsi="Times New Roman" w:cs="Times New Roman"/>
          <w:color w:val="000000" w:themeColor="text1"/>
          <w:sz w:val="24"/>
          <w:szCs w:val="24"/>
        </w:rPr>
        <w:t xml:space="preserve"> w</w:t>
      </w:r>
      <w:r w:rsidR="0023596D" w:rsidRPr="0078472B">
        <w:rPr>
          <w:rFonts w:ascii="Times New Roman" w:hAnsi="Times New Roman" w:cs="Times New Roman"/>
          <w:color w:val="000000" w:themeColor="text1"/>
          <w:sz w:val="24"/>
          <w:szCs w:val="24"/>
        </w:rPr>
        <w:t>ere</w:t>
      </w:r>
      <w:r w:rsidR="00907529" w:rsidRPr="0078472B">
        <w:rPr>
          <w:rFonts w:ascii="Times New Roman" w:hAnsi="Times New Roman" w:cs="Times New Roman"/>
          <w:color w:val="000000" w:themeColor="text1"/>
          <w:sz w:val="24"/>
          <w:szCs w:val="24"/>
        </w:rPr>
        <w:t xml:space="preserve"> used because year</w:t>
      </w:r>
      <w:r w:rsidR="00D15DE8" w:rsidRPr="0078472B">
        <w:rPr>
          <w:rFonts w:ascii="Times New Roman" w:hAnsi="Times New Roman" w:cs="Times New Roman"/>
          <w:color w:val="000000" w:themeColor="text1"/>
          <w:sz w:val="24"/>
          <w:szCs w:val="24"/>
        </w:rPr>
        <w:t xml:space="preserve"> 2012 was not available.</w:t>
      </w:r>
      <w:r w:rsidR="00AB608C" w:rsidRPr="0078472B">
        <w:rPr>
          <w:rFonts w:ascii="Times New Roman" w:hAnsi="Times New Roman" w:cs="Times New Roman"/>
          <w:color w:val="000000" w:themeColor="text1"/>
          <w:sz w:val="24"/>
          <w:szCs w:val="24"/>
        </w:rPr>
        <w:t xml:space="preserve"> </w:t>
      </w:r>
      <w:r w:rsidR="00645349" w:rsidRPr="0078472B">
        <w:rPr>
          <w:rFonts w:ascii="Times New Roman" w:hAnsi="Times New Roman" w:cs="Times New Roman"/>
          <w:color w:val="000000" w:themeColor="text1"/>
          <w:sz w:val="24"/>
          <w:szCs w:val="24"/>
        </w:rPr>
        <w:t xml:space="preserve">However, we do not believe that using the horse statistics from 2013 as a proxy for 2012 is a cause </w:t>
      </w:r>
      <w:r w:rsidR="00E37B30" w:rsidRPr="0078472B">
        <w:rPr>
          <w:rFonts w:ascii="Times New Roman" w:hAnsi="Times New Roman" w:cs="Times New Roman"/>
          <w:color w:val="000000" w:themeColor="text1"/>
          <w:sz w:val="24"/>
          <w:szCs w:val="24"/>
        </w:rPr>
        <w:t xml:space="preserve">for </w:t>
      </w:r>
      <w:r w:rsidR="00645349" w:rsidRPr="0078472B">
        <w:rPr>
          <w:rFonts w:ascii="Times New Roman" w:hAnsi="Times New Roman" w:cs="Times New Roman"/>
          <w:color w:val="000000" w:themeColor="text1"/>
          <w:sz w:val="24"/>
          <w:szCs w:val="24"/>
        </w:rPr>
        <w:t>concern</w:t>
      </w:r>
      <w:r w:rsidR="00B670DE" w:rsidRPr="0078472B">
        <w:rPr>
          <w:rFonts w:ascii="Times New Roman" w:hAnsi="Times New Roman" w:cs="Times New Roman"/>
          <w:color w:val="000000" w:themeColor="text1"/>
          <w:sz w:val="24"/>
          <w:szCs w:val="24"/>
        </w:rPr>
        <w:t>:</w:t>
      </w:r>
      <w:r w:rsidR="00645349" w:rsidRPr="0078472B">
        <w:rPr>
          <w:rFonts w:ascii="Times New Roman" w:hAnsi="Times New Roman" w:cs="Times New Roman"/>
          <w:color w:val="000000" w:themeColor="text1"/>
          <w:sz w:val="24"/>
          <w:szCs w:val="24"/>
        </w:rPr>
        <w:t xml:space="preserve"> </w:t>
      </w:r>
      <w:r w:rsidR="00B670DE" w:rsidRPr="0078472B">
        <w:rPr>
          <w:rFonts w:ascii="Times New Roman" w:hAnsi="Times New Roman" w:cs="Times New Roman"/>
          <w:color w:val="000000" w:themeColor="text1"/>
          <w:sz w:val="24"/>
          <w:szCs w:val="24"/>
        </w:rPr>
        <w:t>aggregate statistics suggest that</w:t>
      </w:r>
      <w:r w:rsidR="00645349" w:rsidRPr="0078472B">
        <w:rPr>
          <w:rFonts w:ascii="Times New Roman" w:hAnsi="Times New Roman" w:cs="Times New Roman"/>
          <w:color w:val="000000" w:themeColor="text1"/>
          <w:sz w:val="24"/>
          <w:szCs w:val="24"/>
        </w:rPr>
        <w:t xml:space="preserve"> the level of horse ownership and the number of horses remain relatively stable over time (</w:t>
      </w:r>
      <w:r w:rsidR="000B2919" w:rsidRPr="0078472B">
        <w:rPr>
          <w:rFonts w:ascii="Times New Roman" w:hAnsi="Times New Roman" w:cs="Times New Roman"/>
          <w:color w:val="000000" w:themeColor="text1"/>
          <w:sz w:val="24"/>
          <w:szCs w:val="24"/>
        </w:rPr>
        <w:t>see Hevostalous lukuina</w:t>
      </w:r>
      <w:r w:rsidR="008523C0" w:rsidRPr="0078472B">
        <w:rPr>
          <w:rFonts w:ascii="Times New Roman" w:hAnsi="Times New Roman" w:cs="Times New Roman"/>
          <w:color w:val="000000" w:themeColor="text1"/>
          <w:sz w:val="24"/>
          <w:szCs w:val="24"/>
        </w:rPr>
        <w:t xml:space="preserve"> “horse industry in figures”</w:t>
      </w:r>
      <w:r w:rsidR="000B2919" w:rsidRPr="0078472B">
        <w:rPr>
          <w:rFonts w:ascii="Times New Roman" w:hAnsi="Times New Roman" w:cs="Times New Roman"/>
          <w:color w:val="000000" w:themeColor="text1"/>
          <w:sz w:val="24"/>
          <w:szCs w:val="24"/>
        </w:rPr>
        <w:t xml:space="preserve"> 2014</w:t>
      </w:r>
      <w:r w:rsidR="00CA6D29" w:rsidRPr="0078472B">
        <w:rPr>
          <w:rFonts w:ascii="Times New Roman" w:hAnsi="Times New Roman" w:cs="Times New Roman"/>
          <w:color w:val="000000" w:themeColor="text1"/>
          <w:sz w:val="24"/>
          <w:szCs w:val="24"/>
        </w:rPr>
        <w:t xml:space="preserve"> (2015)</w:t>
      </w:r>
      <w:r w:rsidR="000B2919" w:rsidRPr="0078472B">
        <w:rPr>
          <w:rFonts w:ascii="Times New Roman" w:hAnsi="Times New Roman" w:cs="Times New Roman"/>
          <w:color w:val="000000" w:themeColor="text1"/>
          <w:sz w:val="24"/>
          <w:szCs w:val="24"/>
        </w:rPr>
        <w:t xml:space="preserve">; </w:t>
      </w:r>
      <w:r w:rsidR="00CA6D29" w:rsidRPr="0078472B">
        <w:rPr>
          <w:rFonts w:ascii="Times New Roman" w:hAnsi="Times New Roman" w:cs="Times New Roman"/>
          <w:color w:val="000000" w:themeColor="text1"/>
          <w:sz w:val="24"/>
          <w:szCs w:val="24"/>
        </w:rPr>
        <w:t xml:space="preserve">Hevostalous lukuina </w:t>
      </w:r>
      <w:r w:rsidR="000B2919" w:rsidRPr="0078472B">
        <w:rPr>
          <w:rFonts w:ascii="Times New Roman" w:hAnsi="Times New Roman" w:cs="Times New Roman"/>
          <w:color w:val="000000" w:themeColor="text1"/>
          <w:sz w:val="24"/>
          <w:szCs w:val="24"/>
        </w:rPr>
        <w:t>2015</w:t>
      </w:r>
      <w:r w:rsidR="00CA6D29" w:rsidRPr="0078472B">
        <w:rPr>
          <w:rFonts w:ascii="Times New Roman" w:hAnsi="Times New Roman" w:cs="Times New Roman"/>
          <w:color w:val="000000" w:themeColor="text1"/>
          <w:sz w:val="24"/>
          <w:szCs w:val="24"/>
        </w:rPr>
        <w:t xml:space="preserve"> (2016)</w:t>
      </w:r>
      <w:r w:rsidR="00645349" w:rsidRPr="0078472B">
        <w:rPr>
          <w:rFonts w:ascii="Times New Roman" w:hAnsi="Times New Roman" w:cs="Times New Roman"/>
          <w:color w:val="000000" w:themeColor="text1"/>
          <w:sz w:val="24"/>
          <w:szCs w:val="24"/>
        </w:rPr>
        <w:t xml:space="preserve">). Moreover, the figures </w:t>
      </w:r>
      <w:r w:rsidR="007F77F2" w:rsidRPr="0078472B">
        <w:rPr>
          <w:rFonts w:ascii="Times New Roman" w:hAnsi="Times New Roman" w:cs="Times New Roman"/>
          <w:color w:val="000000" w:themeColor="text1"/>
          <w:sz w:val="24"/>
          <w:szCs w:val="24"/>
        </w:rPr>
        <w:t xml:space="preserve">for </w:t>
      </w:r>
      <w:r w:rsidR="00645349" w:rsidRPr="0078472B">
        <w:rPr>
          <w:rFonts w:ascii="Times New Roman" w:hAnsi="Times New Roman" w:cs="Times New Roman"/>
          <w:color w:val="000000" w:themeColor="text1"/>
          <w:sz w:val="24"/>
          <w:szCs w:val="24"/>
        </w:rPr>
        <w:t xml:space="preserve">2013 were recorded in </w:t>
      </w:r>
      <w:r w:rsidR="00A3340D" w:rsidRPr="0078472B">
        <w:rPr>
          <w:rFonts w:ascii="Times New Roman" w:hAnsi="Times New Roman" w:cs="Times New Roman"/>
          <w:color w:val="000000" w:themeColor="text1"/>
          <w:sz w:val="24"/>
          <w:szCs w:val="24"/>
        </w:rPr>
        <w:t xml:space="preserve">June </w:t>
      </w:r>
      <w:r w:rsidR="00645349" w:rsidRPr="0078472B">
        <w:rPr>
          <w:rFonts w:ascii="Times New Roman" w:hAnsi="Times New Roman" w:cs="Times New Roman"/>
          <w:color w:val="000000" w:themeColor="text1"/>
          <w:sz w:val="24"/>
          <w:szCs w:val="24"/>
        </w:rPr>
        <w:t xml:space="preserve">2013, which results in </w:t>
      </w:r>
      <w:r w:rsidR="00CF1FB7" w:rsidRPr="0078472B">
        <w:rPr>
          <w:rFonts w:ascii="Times New Roman" w:hAnsi="Times New Roman" w:cs="Times New Roman"/>
          <w:color w:val="000000" w:themeColor="text1"/>
          <w:sz w:val="24"/>
          <w:szCs w:val="24"/>
        </w:rPr>
        <w:t>a</w:t>
      </w:r>
      <w:r w:rsidR="00645349" w:rsidRPr="0078472B">
        <w:rPr>
          <w:rFonts w:ascii="Times New Roman" w:hAnsi="Times New Roman" w:cs="Times New Roman"/>
          <w:color w:val="000000" w:themeColor="text1"/>
          <w:sz w:val="24"/>
          <w:szCs w:val="24"/>
        </w:rPr>
        <w:t xml:space="preserve"> gap</w:t>
      </w:r>
      <w:r w:rsidR="00CF1FB7" w:rsidRPr="0078472B">
        <w:rPr>
          <w:rFonts w:ascii="Times New Roman" w:hAnsi="Times New Roman" w:cs="Times New Roman"/>
          <w:color w:val="000000" w:themeColor="text1"/>
          <w:sz w:val="24"/>
          <w:szCs w:val="24"/>
        </w:rPr>
        <w:t xml:space="preserve"> of less than a year</w:t>
      </w:r>
      <w:r w:rsidR="00645349" w:rsidRPr="0078472B">
        <w:rPr>
          <w:rFonts w:ascii="Times New Roman" w:hAnsi="Times New Roman" w:cs="Times New Roman"/>
          <w:color w:val="000000" w:themeColor="text1"/>
          <w:sz w:val="24"/>
          <w:szCs w:val="24"/>
        </w:rPr>
        <w:t xml:space="preserve"> between the equine statistics and </w:t>
      </w:r>
      <w:r w:rsidR="007F77F2" w:rsidRPr="0078472B">
        <w:rPr>
          <w:rFonts w:ascii="Times New Roman" w:hAnsi="Times New Roman" w:cs="Times New Roman"/>
          <w:color w:val="000000" w:themeColor="text1"/>
          <w:sz w:val="24"/>
          <w:szCs w:val="24"/>
        </w:rPr>
        <w:t>our observation period of betting data</w:t>
      </w:r>
      <w:r w:rsidR="00645349" w:rsidRPr="0078472B">
        <w:rPr>
          <w:rFonts w:ascii="Times New Roman" w:hAnsi="Times New Roman" w:cs="Times New Roman"/>
          <w:color w:val="000000" w:themeColor="text1"/>
          <w:sz w:val="24"/>
          <w:szCs w:val="24"/>
        </w:rPr>
        <w:t>.</w:t>
      </w:r>
    </w:p>
    <w:p w14:paraId="393274C1" w14:textId="77777777" w:rsidR="00B670DE" w:rsidRPr="0078472B" w:rsidRDefault="00B670DE" w:rsidP="00A540E5">
      <w:pPr>
        <w:spacing w:after="0" w:line="480" w:lineRule="auto"/>
        <w:jc w:val="both"/>
        <w:rPr>
          <w:rFonts w:ascii="Times New Roman" w:hAnsi="Times New Roman" w:cs="Times New Roman"/>
          <w:color w:val="000000" w:themeColor="text1"/>
          <w:sz w:val="24"/>
          <w:szCs w:val="24"/>
        </w:rPr>
      </w:pPr>
    </w:p>
    <w:p w14:paraId="30BA19BC" w14:textId="53910079" w:rsidR="00A429CE" w:rsidRPr="0078472B" w:rsidRDefault="00C95B29" w:rsidP="00A540E5">
      <w:pPr>
        <w:spacing w:after="0" w:line="480" w:lineRule="auto"/>
        <w:jc w:val="both"/>
        <w:rPr>
          <w:rFonts w:ascii="Times New Roman" w:hAnsi="Times New Roman" w:cs="Times New Roman"/>
          <w:b/>
          <w:color w:val="000000" w:themeColor="text1"/>
          <w:sz w:val="24"/>
          <w:szCs w:val="24"/>
        </w:rPr>
      </w:pPr>
      <w:r w:rsidRPr="0078472B">
        <w:rPr>
          <w:rFonts w:ascii="Times New Roman" w:hAnsi="Times New Roman" w:cs="Times New Roman"/>
          <w:b/>
          <w:color w:val="000000" w:themeColor="text1"/>
          <w:sz w:val="24"/>
          <w:szCs w:val="24"/>
        </w:rPr>
        <w:t>Variables</w:t>
      </w:r>
    </w:p>
    <w:p w14:paraId="2C3515DE" w14:textId="59FA9877" w:rsidR="00CB078F" w:rsidRPr="0078472B" w:rsidRDefault="003763A4"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i/>
          <w:color w:val="000000" w:themeColor="text1"/>
          <w:sz w:val="24"/>
          <w:szCs w:val="24"/>
        </w:rPr>
        <w:t xml:space="preserve">Betting </w:t>
      </w:r>
      <w:r w:rsidR="004D381E" w:rsidRPr="0078472B">
        <w:rPr>
          <w:rFonts w:ascii="Times New Roman" w:hAnsi="Times New Roman" w:cs="Times New Roman"/>
          <w:i/>
          <w:color w:val="000000" w:themeColor="text1"/>
          <w:sz w:val="24"/>
          <w:szCs w:val="24"/>
        </w:rPr>
        <w:t>engagement</w:t>
      </w:r>
      <w:r w:rsidR="00A975B1" w:rsidRPr="0078472B">
        <w:rPr>
          <w:rFonts w:ascii="Times New Roman" w:hAnsi="Times New Roman" w:cs="Times New Roman"/>
          <w:i/>
          <w:color w:val="000000" w:themeColor="text1"/>
          <w:sz w:val="24"/>
          <w:szCs w:val="24"/>
        </w:rPr>
        <w:t xml:space="preserve">. </w:t>
      </w:r>
      <w:r w:rsidR="00821566" w:rsidRPr="0078472B">
        <w:rPr>
          <w:rFonts w:ascii="Times New Roman" w:hAnsi="Times New Roman" w:cs="Times New Roman"/>
          <w:color w:val="000000" w:themeColor="text1"/>
          <w:sz w:val="24"/>
          <w:szCs w:val="24"/>
        </w:rPr>
        <w:t>T</w:t>
      </w:r>
      <w:r w:rsidR="00822544" w:rsidRPr="0078472B">
        <w:rPr>
          <w:rFonts w:ascii="Times New Roman" w:hAnsi="Times New Roman" w:cs="Times New Roman"/>
          <w:color w:val="000000" w:themeColor="text1"/>
          <w:sz w:val="24"/>
          <w:szCs w:val="24"/>
        </w:rPr>
        <w:t xml:space="preserve">wo </w:t>
      </w:r>
      <w:r w:rsidR="001916A4" w:rsidRPr="0078472B">
        <w:rPr>
          <w:rFonts w:ascii="Times New Roman" w:hAnsi="Times New Roman" w:cs="Times New Roman"/>
          <w:color w:val="000000" w:themeColor="text1"/>
          <w:sz w:val="24"/>
          <w:szCs w:val="24"/>
        </w:rPr>
        <w:t>variabl</w:t>
      </w:r>
      <w:r w:rsidR="00822544" w:rsidRPr="0078472B">
        <w:rPr>
          <w:rFonts w:ascii="Times New Roman" w:hAnsi="Times New Roman" w:cs="Times New Roman"/>
          <w:color w:val="000000" w:themeColor="text1"/>
          <w:sz w:val="24"/>
          <w:szCs w:val="24"/>
        </w:rPr>
        <w:t>e</w:t>
      </w:r>
      <w:r w:rsidR="00201E61" w:rsidRPr="0078472B">
        <w:rPr>
          <w:rFonts w:ascii="Times New Roman" w:hAnsi="Times New Roman" w:cs="Times New Roman"/>
          <w:color w:val="000000" w:themeColor="text1"/>
          <w:sz w:val="24"/>
          <w:szCs w:val="24"/>
        </w:rPr>
        <w:t>s</w:t>
      </w:r>
      <w:r w:rsidR="00821566" w:rsidRPr="0078472B">
        <w:rPr>
          <w:rFonts w:ascii="Times New Roman" w:hAnsi="Times New Roman" w:cs="Times New Roman"/>
          <w:color w:val="000000" w:themeColor="text1"/>
          <w:sz w:val="24"/>
          <w:szCs w:val="24"/>
        </w:rPr>
        <w:t xml:space="preserve"> were used </w:t>
      </w:r>
      <w:r w:rsidR="00DB5489" w:rsidRPr="0078472B">
        <w:rPr>
          <w:rFonts w:ascii="Times New Roman" w:hAnsi="Times New Roman" w:cs="Times New Roman"/>
          <w:color w:val="000000" w:themeColor="text1"/>
          <w:sz w:val="24"/>
          <w:szCs w:val="24"/>
        </w:rPr>
        <w:t xml:space="preserve">to measure different aspects of betting </w:t>
      </w:r>
      <w:r w:rsidR="004D381E" w:rsidRPr="0078472B">
        <w:rPr>
          <w:rFonts w:ascii="Times New Roman" w:hAnsi="Times New Roman" w:cs="Times New Roman"/>
          <w:color w:val="000000" w:themeColor="text1"/>
          <w:sz w:val="24"/>
          <w:szCs w:val="24"/>
        </w:rPr>
        <w:t>engagement</w:t>
      </w:r>
      <w:r w:rsidR="00822544" w:rsidRPr="0078472B">
        <w:rPr>
          <w:rFonts w:ascii="Times New Roman" w:hAnsi="Times New Roman" w:cs="Times New Roman"/>
          <w:color w:val="000000" w:themeColor="text1"/>
          <w:sz w:val="24"/>
          <w:szCs w:val="24"/>
        </w:rPr>
        <w:t>. T</w:t>
      </w:r>
      <w:r w:rsidR="00201E61" w:rsidRPr="0078472B">
        <w:rPr>
          <w:rFonts w:ascii="Times New Roman" w:hAnsi="Times New Roman" w:cs="Times New Roman"/>
          <w:color w:val="000000" w:themeColor="text1"/>
          <w:sz w:val="24"/>
          <w:szCs w:val="24"/>
        </w:rPr>
        <w:t xml:space="preserve">he total </w:t>
      </w:r>
      <w:r w:rsidR="00A975B1" w:rsidRPr="0078472B">
        <w:rPr>
          <w:rFonts w:ascii="Times New Roman" w:hAnsi="Times New Roman" w:cs="Times New Roman"/>
          <w:color w:val="000000" w:themeColor="text1"/>
          <w:sz w:val="24"/>
          <w:szCs w:val="24"/>
        </w:rPr>
        <w:t>number of bettors</w:t>
      </w:r>
      <w:r w:rsidRPr="0078472B">
        <w:rPr>
          <w:rFonts w:ascii="Times New Roman" w:hAnsi="Times New Roman" w:cs="Times New Roman"/>
          <w:color w:val="000000" w:themeColor="text1"/>
          <w:sz w:val="24"/>
          <w:szCs w:val="24"/>
        </w:rPr>
        <w:t xml:space="preserve"> </w:t>
      </w:r>
      <w:r w:rsidR="00A975B1" w:rsidRPr="0078472B">
        <w:rPr>
          <w:rFonts w:ascii="Times New Roman" w:hAnsi="Times New Roman" w:cs="Times New Roman"/>
          <w:color w:val="000000" w:themeColor="text1"/>
          <w:sz w:val="24"/>
          <w:szCs w:val="24"/>
        </w:rPr>
        <w:t xml:space="preserve">in each municipality </w:t>
      </w:r>
      <w:r w:rsidR="00822544" w:rsidRPr="0078472B">
        <w:rPr>
          <w:rFonts w:ascii="Times New Roman" w:hAnsi="Times New Roman" w:cs="Times New Roman"/>
          <w:color w:val="000000" w:themeColor="text1"/>
          <w:sz w:val="24"/>
          <w:szCs w:val="24"/>
        </w:rPr>
        <w:t>i</w:t>
      </w:r>
      <w:r w:rsidR="00A975B1" w:rsidRPr="0078472B">
        <w:rPr>
          <w:rFonts w:ascii="Times New Roman" w:hAnsi="Times New Roman" w:cs="Times New Roman"/>
          <w:color w:val="000000" w:themeColor="text1"/>
          <w:sz w:val="24"/>
          <w:szCs w:val="24"/>
        </w:rPr>
        <w:t>s</w:t>
      </w:r>
      <w:r w:rsidR="00822544" w:rsidRPr="0078472B">
        <w:rPr>
          <w:rFonts w:ascii="Times New Roman" w:hAnsi="Times New Roman" w:cs="Times New Roman"/>
          <w:color w:val="000000" w:themeColor="text1"/>
          <w:sz w:val="24"/>
          <w:szCs w:val="24"/>
        </w:rPr>
        <w:t xml:space="preserve"> an indicator of</w:t>
      </w:r>
      <w:r w:rsidR="00A975B1" w:rsidRPr="0078472B">
        <w:rPr>
          <w:rFonts w:ascii="Times New Roman" w:hAnsi="Times New Roman" w:cs="Times New Roman"/>
          <w:color w:val="000000" w:themeColor="text1"/>
          <w:sz w:val="24"/>
          <w:szCs w:val="24"/>
        </w:rPr>
        <w:t xml:space="preserve"> participation</w:t>
      </w:r>
      <w:r w:rsidR="00E15F5B" w:rsidRPr="0078472B">
        <w:rPr>
          <w:rFonts w:ascii="Times New Roman" w:hAnsi="Times New Roman" w:cs="Times New Roman"/>
          <w:color w:val="000000" w:themeColor="text1"/>
          <w:sz w:val="24"/>
          <w:szCs w:val="24"/>
        </w:rPr>
        <w:t xml:space="preserve"> </w:t>
      </w:r>
      <w:r w:rsidR="00822544" w:rsidRPr="0078472B">
        <w:rPr>
          <w:rFonts w:ascii="Times New Roman" w:hAnsi="Times New Roman" w:cs="Times New Roman"/>
          <w:color w:val="000000" w:themeColor="text1"/>
          <w:sz w:val="24"/>
          <w:szCs w:val="24"/>
        </w:rPr>
        <w:t>i</w:t>
      </w:r>
      <w:r w:rsidR="00A975B1" w:rsidRPr="0078472B">
        <w:rPr>
          <w:rFonts w:ascii="Times New Roman" w:hAnsi="Times New Roman" w:cs="Times New Roman"/>
          <w:color w:val="000000" w:themeColor="text1"/>
          <w:sz w:val="24"/>
          <w:szCs w:val="24"/>
        </w:rPr>
        <w:t>n horse race betting</w:t>
      </w:r>
      <w:r w:rsidR="00822544" w:rsidRPr="0078472B">
        <w:rPr>
          <w:rFonts w:ascii="Times New Roman" w:hAnsi="Times New Roman" w:cs="Times New Roman"/>
          <w:color w:val="000000" w:themeColor="text1"/>
          <w:sz w:val="24"/>
          <w:szCs w:val="24"/>
        </w:rPr>
        <w:t>.</w:t>
      </w:r>
      <w:r w:rsidR="00201E61" w:rsidRPr="0078472B">
        <w:rPr>
          <w:rFonts w:ascii="Times New Roman" w:hAnsi="Times New Roman" w:cs="Times New Roman"/>
          <w:color w:val="000000" w:themeColor="text1"/>
          <w:sz w:val="24"/>
          <w:szCs w:val="24"/>
        </w:rPr>
        <w:t xml:space="preserve"> </w:t>
      </w:r>
      <w:r w:rsidR="00822544" w:rsidRPr="0078472B">
        <w:rPr>
          <w:rFonts w:ascii="Times New Roman" w:hAnsi="Times New Roman" w:cs="Times New Roman"/>
          <w:color w:val="000000" w:themeColor="text1"/>
          <w:sz w:val="24"/>
          <w:szCs w:val="24"/>
        </w:rPr>
        <w:t>T</w:t>
      </w:r>
      <w:r w:rsidR="00416C7C" w:rsidRPr="0078472B">
        <w:rPr>
          <w:rFonts w:ascii="Times New Roman" w:hAnsi="Times New Roman" w:cs="Times New Roman"/>
          <w:color w:val="000000" w:themeColor="text1"/>
          <w:sz w:val="24"/>
          <w:szCs w:val="24"/>
        </w:rPr>
        <w:t xml:space="preserve">he total </w:t>
      </w:r>
      <w:r w:rsidR="00700236" w:rsidRPr="0078472B">
        <w:rPr>
          <w:rFonts w:ascii="Times New Roman" w:hAnsi="Times New Roman" w:cs="Times New Roman"/>
          <w:color w:val="000000" w:themeColor="text1"/>
          <w:sz w:val="24"/>
          <w:szCs w:val="24"/>
        </w:rPr>
        <w:t xml:space="preserve">bet </w:t>
      </w:r>
      <w:r w:rsidR="00416C7C" w:rsidRPr="0078472B">
        <w:rPr>
          <w:rFonts w:ascii="Times New Roman" w:hAnsi="Times New Roman" w:cs="Times New Roman"/>
          <w:color w:val="000000" w:themeColor="text1"/>
          <w:sz w:val="24"/>
          <w:szCs w:val="24"/>
        </w:rPr>
        <w:t>amount</w:t>
      </w:r>
      <w:r w:rsidRPr="0078472B">
        <w:rPr>
          <w:rFonts w:ascii="Times New Roman" w:hAnsi="Times New Roman" w:cs="Times New Roman"/>
          <w:color w:val="000000" w:themeColor="text1"/>
          <w:sz w:val="24"/>
          <w:szCs w:val="24"/>
        </w:rPr>
        <w:t xml:space="preserve"> </w:t>
      </w:r>
      <w:r w:rsidR="00700236" w:rsidRPr="0078472B">
        <w:rPr>
          <w:rFonts w:ascii="Times New Roman" w:hAnsi="Times New Roman" w:cs="Times New Roman"/>
          <w:color w:val="000000" w:themeColor="text1"/>
          <w:sz w:val="24"/>
          <w:szCs w:val="24"/>
        </w:rPr>
        <w:t>in</w:t>
      </w:r>
      <w:r w:rsidR="00416C7C" w:rsidRPr="0078472B">
        <w:rPr>
          <w:rFonts w:ascii="Times New Roman" w:hAnsi="Times New Roman" w:cs="Times New Roman"/>
          <w:color w:val="000000" w:themeColor="text1"/>
          <w:sz w:val="24"/>
          <w:szCs w:val="24"/>
        </w:rPr>
        <w:t xml:space="preserve"> each</w:t>
      </w:r>
      <w:r w:rsidR="00822544" w:rsidRPr="0078472B">
        <w:rPr>
          <w:rFonts w:ascii="Times New Roman" w:hAnsi="Times New Roman" w:cs="Times New Roman"/>
          <w:color w:val="000000" w:themeColor="text1"/>
          <w:sz w:val="24"/>
          <w:szCs w:val="24"/>
        </w:rPr>
        <w:t xml:space="preserve"> municipality measures</w:t>
      </w:r>
      <w:r w:rsidR="00700236" w:rsidRPr="0078472B">
        <w:rPr>
          <w:rFonts w:ascii="Times New Roman" w:hAnsi="Times New Roman" w:cs="Times New Roman"/>
          <w:color w:val="000000" w:themeColor="text1"/>
          <w:sz w:val="24"/>
          <w:szCs w:val="24"/>
        </w:rPr>
        <w:t xml:space="preserve"> betting volumes</w:t>
      </w:r>
      <w:r w:rsidR="00586A9B" w:rsidRPr="0078472B">
        <w:rPr>
          <w:rFonts w:ascii="Times New Roman" w:hAnsi="Times New Roman" w:cs="Times New Roman"/>
          <w:color w:val="000000" w:themeColor="text1"/>
          <w:sz w:val="24"/>
          <w:szCs w:val="24"/>
        </w:rPr>
        <w:t xml:space="preserve"> in euros</w:t>
      </w:r>
      <w:r w:rsidR="00700236" w:rsidRPr="0078472B">
        <w:rPr>
          <w:rFonts w:ascii="Times New Roman" w:hAnsi="Times New Roman" w:cs="Times New Roman"/>
          <w:color w:val="000000" w:themeColor="text1"/>
          <w:sz w:val="24"/>
          <w:szCs w:val="24"/>
        </w:rPr>
        <w:t xml:space="preserve"> on horse race betting.</w:t>
      </w:r>
      <w:r w:rsidR="00DB5489" w:rsidRPr="0078472B">
        <w:rPr>
          <w:rFonts w:ascii="Times New Roman" w:hAnsi="Times New Roman" w:cs="Times New Roman"/>
          <w:color w:val="000000" w:themeColor="text1"/>
          <w:sz w:val="24"/>
          <w:szCs w:val="24"/>
        </w:rPr>
        <w:t xml:space="preserve"> These variables are dependent variables in the regression analyses applied in this study. They are deflated by the population residing in a municipality and transformed into the number of bettors per 1,000 inhabitants and the betting volume in euros per 1,000 inhabitants.</w:t>
      </w:r>
    </w:p>
    <w:p w14:paraId="5BD23113" w14:textId="77777777" w:rsidR="000C320C" w:rsidRPr="0078472B" w:rsidRDefault="000C320C" w:rsidP="00A540E5">
      <w:pPr>
        <w:spacing w:after="0" w:line="480" w:lineRule="auto"/>
        <w:jc w:val="both"/>
        <w:rPr>
          <w:rFonts w:ascii="Times New Roman" w:hAnsi="Times New Roman" w:cs="Times New Roman"/>
          <w:color w:val="000000" w:themeColor="text1"/>
          <w:sz w:val="24"/>
          <w:szCs w:val="24"/>
        </w:rPr>
      </w:pPr>
    </w:p>
    <w:p w14:paraId="48FFC5F8" w14:textId="190D8117" w:rsidR="007E263B" w:rsidRPr="0078472B" w:rsidRDefault="007E263B"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i/>
          <w:color w:val="000000" w:themeColor="text1"/>
          <w:sz w:val="24"/>
          <w:szCs w:val="24"/>
        </w:rPr>
        <w:t>Betting environment variables</w:t>
      </w:r>
      <w:r w:rsidRPr="0078472B">
        <w:rPr>
          <w:rFonts w:ascii="Times New Roman" w:hAnsi="Times New Roman" w:cs="Times New Roman"/>
          <w:color w:val="000000" w:themeColor="text1"/>
          <w:sz w:val="24"/>
          <w:szCs w:val="24"/>
        </w:rPr>
        <w:t xml:space="preserve">. We are interested </w:t>
      </w:r>
      <w:r w:rsidR="000C5C9D" w:rsidRPr="0078472B">
        <w:rPr>
          <w:rFonts w:ascii="Times New Roman" w:hAnsi="Times New Roman" w:cs="Times New Roman"/>
          <w:color w:val="000000" w:themeColor="text1"/>
          <w:sz w:val="24"/>
          <w:szCs w:val="24"/>
        </w:rPr>
        <w:t xml:space="preserve">in how </w:t>
      </w:r>
      <w:r w:rsidR="0023596D" w:rsidRPr="0078472B">
        <w:rPr>
          <w:rFonts w:ascii="Times New Roman" w:hAnsi="Times New Roman" w:cs="Times New Roman"/>
          <w:color w:val="000000" w:themeColor="text1"/>
          <w:sz w:val="24"/>
          <w:szCs w:val="24"/>
        </w:rPr>
        <w:t xml:space="preserve">online horse race betting activity is related to </w:t>
      </w:r>
      <w:r w:rsidR="000C5C9D" w:rsidRPr="0078472B">
        <w:rPr>
          <w:rFonts w:ascii="Times New Roman" w:hAnsi="Times New Roman" w:cs="Times New Roman"/>
          <w:color w:val="000000" w:themeColor="text1"/>
          <w:sz w:val="24"/>
          <w:szCs w:val="24"/>
        </w:rPr>
        <w:t>the</w:t>
      </w:r>
      <w:r w:rsidRPr="0078472B">
        <w:rPr>
          <w:rFonts w:ascii="Times New Roman" w:hAnsi="Times New Roman" w:cs="Times New Roman"/>
          <w:color w:val="000000" w:themeColor="text1"/>
          <w:sz w:val="24"/>
          <w:szCs w:val="24"/>
        </w:rPr>
        <w:t xml:space="preserve"> land-based betting environment in </w:t>
      </w:r>
      <w:r w:rsidR="000C5C9D" w:rsidRPr="0078472B">
        <w:rPr>
          <w:rFonts w:ascii="Times New Roman" w:hAnsi="Times New Roman" w:cs="Times New Roman"/>
          <w:color w:val="000000" w:themeColor="text1"/>
          <w:sz w:val="24"/>
          <w:szCs w:val="24"/>
        </w:rPr>
        <w:t>a</w:t>
      </w:r>
      <w:r w:rsidRPr="0078472B">
        <w:rPr>
          <w:rFonts w:ascii="Times New Roman" w:hAnsi="Times New Roman" w:cs="Times New Roman"/>
          <w:color w:val="000000" w:themeColor="text1"/>
          <w:sz w:val="24"/>
          <w:szCs w:val="24"/>
        </w:rPr>
        <w:t xml:space="preserve"> municipality.</w:t>
      </w:r>
      <w:r w:rsidR="000C5C9D" w:rsidRPr="0078472B">
        <w:rPr>
          <w:rFonts w:ascii="Times New Roman" w:hAnsi="Times New Roman" w:cs="Times New Roman"/>
          <w:color w:val="000000" w:themeColor="text1"/>
          <w:sz w:val="24"/>
          <w:szCs w:val="24"/>
        </w:rPr>
        <w:t xml:space="preserve"> </w:t>
      </w:r>
      <w:r w:rsidR="00157B2D" w:rsidRPr="0078472B">
        <w:rPr>
          <w:rFonts w:ascii="Times New Roman" w:hAnsi="Times New Roman" w:cs="Times New Roman"/>
          <w:color w:val="000000" w:themeColor="text1"/>
          <w:sz w:val="24"/>
          <w:szCs w:val="24"/>
        </w:rPr>
        <w:t xml:space="preserve">A variable which records the number of horse race meetings in a </w:t>
      </w:r>
      <w:r w:rsidR="00157B2D" w:rsidRPr="0078472B">
        <w:rPr>
          <w:rFonts w:ascii="Times New Roman" w:hAnsi="Times New Roman" w:cs="Times New Roman"/>
          <w:color w:val="000000" w:themeColor="text1"/>
          <w:sz w:val="24"/>
          <w:szCs w:val="24"/>
        </w:rPr>
        <w:lastRenderedPageBreak/>
        <w:t>municipality with a racetrack during the observation period, is a measure for the access to local horse racing events. Moreover</w:t>
      </w:r>
      <w:r w:rsidR="007D70F7" w:rsidRPr="0078472B">
        <w:rPr>
          <w:rFonts w:ascii="Times New Roman" w:hAnsi="Times New Roman" w:cs="Times New Roman"/>
          <w:color w:val="000000" w:themeColor="text1"/>
          <w:sz w:val="24"/>
          <w:szCs w:val="24"/>
        </w:rPr>
        <w:t xml:space="preserve">, Ali </w:t>
      </w:r>
      <w:r w:rsidR="00B051E2" w:rsidRPr="0078472B">
        <w:rPr>
          <w:rFonts w:ascii="Times New Roman" w:hAnsi="Times New Roman" w:cs="Times New Roman"/>
          <w:color w:val="000000" w:themeColor="text1"/>
          <w:sz w:val="24"/>
          <w:szCs w:val="24"/>
        </w:rPr>
        <w:t>and</w:t>
      </w:r>
      <w:r w:rsidR="007D70F7" w:rsidRPr="0078472B">
        <w:rPr>
          <w:rFonts w:ascii="Times New Roman" w:hAnsi="Times New Roman" w:cs="Times New Roman"/>
          <w:color w:val="000000" w:themeColor="text1"/>
          <w:sz w:val="24"/>
          <w:szCs w:val="24"/>
        </w:rPr>
        <w:t xml:space="preserve"> Thalheimer (1997) find that the demand for horse wagering</w:t>
      </w:r>
      <w:r w:rsidR="0023596D" w:rsidRPr="0078472B">
        <w:rPr>
          <w:rFonts w:ascii="Times New Roman" w:hAnsi="Times New Roman" w:cs="Times New Roman"/>
          <w:color w:val="000000" w:themeColor="text1"/>
          <w:sz w:val="24"/>
          <w:szCs w:val="24"/>
        </w:rPr>
        <w:t xml:space="preserve"> has an inverse relationship with distance to the closest racetrack. W</w:t>
      </w:r>
      <w:r w:rsidR="00822781" w:rsidRPr="0078472B">
        <w:rPr>
          <w:rFonts w:ascii="Times New Roman" w:hAnsi="Times New Roman" w:cs="Times New Roman"/>
          <w:color w:val="000000" w:themeColor="text1"/>
          <w:sz w:val="24"/>
          <w:szCs w:val="24"/>
        </w:rPr>
        <w:t xml:space="preserve">e control for the proximity of a racetrack by assigning a dummy variable </w:t>
      </w:r>
      <w:r w:rsidR="00A73F21" w:rsidRPr="0078472B">
        <w:rPr>
          <w:rFonts w:ascii="Times New Roman" w:hAnsi="Times New Roman" w:cs="Times New Roman"/>
          <w:color w:val="000000" w:themeColor="text1"/>
          <w:sz w:val="24"/>
          <w:szCs w:val="24"/>
        </w:rPr>
        <w:t>to</w:t>
      </w:r>
      <w:r w:rsidR="00822781" w:rsidRPr="0078472B">
        <w:rPr>
          <w:rFonts w:ascii="Times New Roman" w:hAnsi="Times New Roman" w:cs="Times New Roman"/>
          <w:color w:val="000000" w:themeColor="text1"/>
          <w:sz w:val="24"/>
          <w:szCs w:val="24"/>
        </w:rPr>
        <w:t xml:space="preserve"> municipalities </w:t>
      </w:r>
      <w:r w:rsidR="00104467" w:rsidRPr="0078472B">
        <w:rPr>
          <w:rFonts w:ascii="Times New Roman" w:hAnsi="Times New Roman" w:cs="Times New Roman"/>
          <w:color w:val="000000" w:themeColor="text1"/>
          <w:sz w:val="24"/>
          <w:szCs w:val="24"/>
        </w:rPr>
        <w:t>with</w:t>
      </w:r>
      <w:r w:rsidR="00822781" w:rsidRPr="0078472B">
        <w:rPr>
          <w:rFonts w:ascii="Times New Roman" w:hAnsi="Times New Roman" w:cs="Times New Roman"/>
          <w:color w:val="000000" w:themeColor="text1"/>
          <w:sz w:val="24"/>
          <w:szCs w:val="24"/>
        </w:rPr>
        <w:t xml:space="preserve"> a racetrack and </w:t>
      </w:r>
      <w:r w:rsidR="0023596D" w:rsidRPr="0078472B">
        <w:rPr>
          <w:rFonts w:ascii="Times New Roman" w:hAnsi="Times New Roman" w:cs="Times New Roman"/>
          <w:color w:val="000000" w:themeColor="text1"/>
          <w:sz w:val="24"/>
          <w:szCs w:val="24"/>
        </w:rPr>
        <w:t xml:space="preserve">a separate dummy variable </w:t>
      </w:r>
      <w:r w:rsidR="00822781" w:rsidRPr="0078472B">
        <w:rPr>
          <w:rFonts w:ascii="Times New Roman" w:hAnsi="Times New Roman" w:cs="Times New Roman"/>
          <w:color w:val="000000" w:themeColor="text1"/>
          <w:sz w:val="24"/>
          <w:szCs w:val="24"/>
        </w:rPr>
        <w:t xml:space="preserve">to municipalities which are adjacent to </w:t>
      </w:r>
      <w:r w:rsidR="0023596D" w:rsidRPr="0078472B">
        <w:rPr>
          <w:rFonts w:ascii="Times New Roman" w:hAnsi="Times New Roman" w:cs="Times New Roman"/>
          <w:color w:val="000000" w:themeColor="text1"/>
          <w:sz w:val="24"/>
          <w:szCs w:val="24"/>
        </w:rPr>
        <w:t>a</w:t>
      </w:r>
      <w:r w:rsidR="00822781" w:rsidRPr="0078472B">
        <w:rPr>
          <w:rFonts w:ascii="Times New Roman" w:hAnsi="Times New Roman" w:cs="Times New Roman"/>
          <w:color w:val="000000" w:themeColor="text1"/>
          <w:sz w:val="24"/>
          <w:szCs w:val="24"/>
        </w:rPr>
        <w:t xml:space="preserve"> municipality with a racetrack. In addition, the betting company is likely to be aware of how much local demand there is for off-track horse race betting venues, and this is likely to vary between municipalities. We </w:t>
      </w:r>
      <w:r w:rsidR="00E7578C" w:rsidRPr="0078472B">
        <w:rPr>
          <w:rFonts w:ascii="Times New Roman" w:hAnsi="Times New Roman" w:cs="Times New Roman"/>
          <w:color w:val="000000" w:themeColor="text1"/>
          <w:sz w:val="24"/>
          <w:szCs w:val="24"/>
        </w:rPr>
        <w:t>model</w:t>
      </w:r>
      <w:r w:rsidR="00822781" w:rsidRPr="0078472B">
        <w:rPr>
          <w:rFonts w:ascii="Times New Roman" w:hAnsi="Times New Roman" w:cs="Times New Roman"/>
          <w:color w:val="000000" w:themeColor="text1"/>
          <w:sz w:val="24"/>
          <w:szCs w:val="24"/>
        </w:rPr>
        <w:t xml:space="preserve"> this effect by including a</w:t>
      </w:r>
      <w:r w:rsidR="00D45AF4" w:rsidRPr="0078472B">
        <w:rPr>
          <w:rFonts w:ascii="Times New Roman" w:hAnsi="Times New Roman" w:cs="Times New Roman"/>
          <w:color w:val="000000" w:themeColor="text1"/>
          <w:sz w:val="24"/>
          <w:szCs w:val="24"/>
        </w:rPr>
        <w:t xml:space="preserve"> variable which measures the number of off-track betting venues in a municipality. </w:t>
      </w:r>
    </w:p>
    <w:p w14:paraId="5EDD7663" w14:textId="77777777" w:rsidR="002256C6" w:rsidRPr="0078472B" w:rsidRDefault="002256C6" w:rsidP="00A540E5">
      <w:pPr>
        <w:spacing w:after="0" w:line="480" w:lineRule="auto"/>
        <w:jc w:val="both"/>
        <w:rPr>
          <w:rFonts w:ascii="Times New Roman" w:hAnsi="Times New Roman" w:cs="Times New Roman"/>
          <w:color w:val="000000" w:themeColor="text1"/>
          <w:sz w:val="24"/>
          <w:szCs w:val="24"/>
        </w:rPr>
      </w:pPr>
    </w:p>
    <w:p w14:paraId="4F8B2B45" w14:textId="6BE8A5A9" w:rsidR="00624A21" w:rsidRPr="0078472B" w:rsidRDefault="00C2235D"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i/>
          <w:color w:val="000000" w:themeColor="text1"/>
          <w:sz w:val="24"/>
          <w:szCs w:val="24"/>
        </w:rPr>
        <w:t>Equine variables.</w:t>
      </w:r>
      <w:r w:rsidR="003B60A4" w:rsidRPr="0078472B">
        <w:rPr>
          <w:rFonts w:ascii="Times New Roman" w:hAnsi="Times New Roman" w:cs="Times New Roman"/>
          <w:color w:val="000000" w:themeColor="text1"/>
          <w:sz w:val="24"/>
          <w:szCs w:val="24"/>
        </w:rPr>
        <w:t xml:space="preserve"> </w:t>
      </w:r>
      <w:r w:rsidR="00D937FB" w:rsidRPr="0078472B">
        <w:rPr>
          <w:rFonts w:ascii="Times New Roman" w:hAnsi="Times New Roman" w:cs="Times New Roman"/>
          <w:color w:val="000000" w:themeColor="text1"/>
          <w:sz w:val="24"/>
          <w:szCs w:val="24"/>
        </w:rPr>
        <w:t>R</w:t>
      </w:r>
      <w:r w:rsidR="00F24288" w:rsidRPr="0078472B">
        <w:rPr>
          <w:rFonts w:ascii="Times New Roman" w:hAnsi="Times New Roman" w:cs="Times New Roman"/>
          <w:color w:val="000000" w:themeColor="text1"/>
          <w:sz w:val="24"/>
          <w:szCs w:val="24"/>
        </w:rPr>
        <w:t>esearch into sports betting</w:t>
      </w:r>
      <w:r w:rsidR="00D937FB" w:rsidRPr="0078472B">
        <w:rPr>
          <w:rFonts w:ascii="Times New Roman" w:hAnsi="Times New Roman" w:cs="Times New Roman"/>
          <w:color w:val="000000" w:themeColor="text1"/>
          <w:sz w:val="24"/>
          <w:szCs w:val="24"/>
        </w:rPr>
        <w:t xml:space="preserve"> </w:t>
      </w:r>
      <w:r w:rsidR="00C22403" w:rsidRPr="0078472B">
        <w:rPr>
          <w:rFonts w:ascii="Times New Roman" w:hAnsi="Times New Roman" w:cs="Times New Roman"/>
          <w:color w:val="000000" w:themeColor="text1"/>
          <w:sz w:val="24"/>
          <w:szCs w:val="24"/>
        </w:rPr>
        <w:t>suggest</w:t>
      </w:r>
      <w:r w:rsidR="00D937FB" w:rsidRPr="0078472B">
        <w:rPr>
          <w:rFonts w:ascii="Times New Roman" w:hAnsi="Times New Roman" w:cs="Times New Roman"/>
          <w:color w:val="000000" w:themeColor="text1"/>
          <w:sz w:val="24"/>
          <w:szCs w:val="24"/>
        </w:rPr>
        <w:t xml:space="preserve"> that </w:t>
      </w:r>
      <w:r w:rsidR="00C22403" w:rsidRPr="0078472B">
        <w:rPr>
          <w:rFonts w:ascii="Times New Roman" w:hAnsi="Times New Roman" w:cs="Times New Roman"/>
          <w:color w:val="000000" w:themeColor="text1"/>
          <w:sz w:val="24"/>
          <w:szCs w:val="24"/>
        </w:rPr>
        <w:t>sports interest</w:t>
      </w:r>
      <w:r w:rsidR="00D937FB" w:rsidRPr="0078472B">
        <w:rPr>
          <w:rFonts w:ascii="Times New Roman" w:hAnsi="Times New Roman" w:cs="Times New Roman"/>
          <w:color w:val="000000" w:themeColor="text1"/>
          <w:sz w:val="24"/>
          <w:szCs w:val="24"/>
        </w:rPr>
        <w:t xml:space="preserve"> </w:t>
      </w:r>
      <w:r w:rsidR="00C22403" w:rsidRPr="0078472B">
        <w:rPr>
          <w:rFonts w:ascii="Times New Roman" w:hAnsi="Times New Roman" w:cs="Times New Roman"/>
          <w:color w:val="000000" w:themeColor="text1"/>
          <w:sz w:val="24"/>
          <w:szCs w:val="24"/>
        </w:rPr>
        <w:t xml:space="preserve">predicts engagement in </w:t>
      </w:r>
      <w:r w:rsidR="00D937FB" w:rsidRPr="0078472B">
        <w:rPr>
          <w:rFonts w:ascii="Times New Roman" w:hAnsi="Times New Roman" w:cs="Times New Roman"/>
          <w:color w:val="000000" w:themeColor="text1"/>
          <w:sz w:val="24"/>
          <w:szCs w:val="24"/>
        </w:rPr>
        <w:t>sports betting (LaBrie et al.</w:t>
      </w:r>
      <w:r w:rsidR="000C320C" w:rsidRPr="0078472B">
        <w:rPr>
          <w:rFonts w:ascii="Times New Roman" w:hAnsi="Times New Roman" w:cs="Times New Roman"/>
          <w:color w:val="000000" w:themeColor="text1"/>
          <w:sz w:val="24"/>
          <w:szCs w:val="24"/>
        </w:rPr>
        <w:t>,</w:t>
      </w:r>
      <w:r w:rsidR="00D937FB" w:rsidRPr="0078472B">
        <w:rPr>
          <w:rFonts w:ascii="Times New Roman" w:hAnsi="Times New Roman" w:cs="Times New Roman"/>
          <w:color w:val="000000" w:themeColor="text1"/>
          <w:sz w:val="24"/>
          <w:szCs w:val="24"/>
        </w:rPr>
        <w:t xml:space="preserve"> 2003).</w:t>
      </w:r>
      <w:r w:rsidR="00F24288" w:rsidRPr="0078472B">
        <w:rPr>
          <w:rFonts w:ascii="Times New Roman" w:hAnsi="Times New Roman" w:cs="Times New Roman"/>
          <w:color w:val="000000" w:themeColor="text1"/>
          <w:sz w:val="24"/>
          <w:szCs w:val="24"/>
        </w:rPr>
        <w:t xml:space="preserve"> </w:t>
      </w:r>
      <w:r w:rsidR="00C92B2A" w:rsidRPr="0078472B">
        <w:rPr>
          <w:rFonts w:ascii="Times New Roman" w:hAnsi="Times New Roman" w:cs="Times New Roman"/>
          <w:color w:val="000000" w:themeColor="text1"/>
          <w:sz w:val="24"/>
          <w:szCs w:val="24"/>
        </w:rPr>
        <w:t>T</w:t>
      </w:r>
      <w:r w:rsidR="00D937FB" w:rsidRPr="0078472B">
        <w:rPr>
          <w:rFonts w:ascii="Times New Roman" w:hAnsi="Times New Roman" w:cs="Times New Roman"/>
          <w:color w:val="000000" w:themeColor="text1"/>
          <w:sz w:val="24"/>
          <w:szCs w:val="24"/>
        </w:rPr>
        <w:t xml:space="preserve">his </w:t>
      </w:r>
      <w:r w:rsidR="005D3D90" w:rsidRPr="0078472B">
        <w:rPr>
          <w:rFonts w:ascii="Times New Roman" w:hAnsi="Times New Roman" w:cs="Times New Roman"/>
          <w:color w:val="000000" w:themeColor="text1"/>
          <w:sz w:val="24"/>
          <w:szCs w:val="24"/>
        </w:rPr>
        <w:t xml:space="preserve">finding </w:t>
      </w:r>
      <w:r w:rsidR="00D937FB" w:rsidRPr="0078472B">
        <w:rPr>
          <w:rFonts w:ascii="Times New Roman" w:hAnsi="Times New Roman" w:cs="Times New Roman"/>
          <w:color w:val="000000" w:themeColor="text1"/>
          <w:sz w:val="24"/>
          <w:szCs w:val="24"/>
        </w:rPr>
        <w:t>m</w:t>
      </w:r>
      <w:r w:rsidR="005D3D90" w:rsidRPr="0078472B">
        <w:rPr>
          <w:rFonts w:ascii="Times New Roman" w:hAnsi="Times New Roman" w:cs="Times New Roman"/>
          <w:color w:val="000000" w:themeColor="text1"/>
          <w:sz w:val="24"/>
          <w:szCs w:val="24"/>
        </w:rPr>
        <w:t>ay extend</w:t>
      </w:r>
      <w:r w:rsidR="00D937FB" w:rsidRPr="0078472B">
        <w:rPr>
          <w:rFonts w:ascii="Times New Roman" w:hAnsi="Times New Roman" w:cs="Times New Roman"/>
          <w:color w:val="000000" w:themeColor="text1"/>
          <w:sz w:val="24"/>
          <w:szCs w:val="24"/>
        </w:rPr>
        <w:t xml:space="preserve"> to </w:t>
      </w:r>
      <w:r w:rsidR="0023596D" w:rsidRPr="0078472B">
        <w:rPr>
          <w:rFonts w:ascii="Times New Roman" w:hAnsi="Times New Roman" w:cs="Times New Roman"/>
          <w:color w:val="000000" w:themeColor="text1"/>
          <w:sz w:val="24"/>
          <w:szCs w:val="24"/>
        </w:rPr>
        <w:t>horse betting</w:t>
      </w:r>
      <w:r w:rsidR="00C92B2A" w:rsidRPr="0078472B">
        <w:rPr>
          <w:rFonts w:ascii="Times New Roman" w:hAnsi="Times New Roman" w:cs="Times New Roman"/>
          <w:color w:val="000000" w:themeColor="text1"/>
          <w:sz w:val="24"/>
          <w:szCs w:val="24"/>
        </w:rPr>
        <w:t>. Consequently,</w:t>
      </w:r>
      <w:r w:rsidR="00562003" w:rsidRPr="0078472B">
        <w:rPr>
          <w:rFonts w:ascii="Times New Roman" w:hAnsi="Times New Roman" w:cs="Times New Roman"/>
          <w:color w:val="000000" w:themeColor="text1"/>
          <w:sz w:val="24"/>
          <w:szCs w:val="24"/>
        </w:rPr>
        <w:t xml:space="preserve"> </w:t>
      </w:r>
      <w:r w:rsidR="00C92B2A" w:rsidRPr="0078472B">
        <w:rPr>
          <w:rFonts w:ascii="Times New Roman" w:hAnsi="Times New Roman" w:cs="Times New Roman"/>
          <w:color w:val="000000" w:themeColor="text1"/>
          <w:sz w:val="24"/>
          <w:szCs w:val="24"/>
        </w:rPr>
        <w:t>we</w:t>
      </w:r>
      <w:r w:rsidR="005D3D90" w:rsidRPr="0078472B">
        <w:rPr>
          <w:rFonts w:ascii="Times New Roman" w:hAnsi="Times New Roman" w:cs="Times New Roman"/>
          <w:color w:val="000000" w:themeColor="text1"/>
          <w:sz w:val="24"/>
          <w:szCs w:val="24"/>
        </w:rPr>
        <w:t xml:space="preserve"> introduce three variables </w:t>
      </w:r>
      <w:r w:rsidR="00C92B2A" w:rsidRPr="0078472B">
        <w:rPr>
          <w:rFonts w:ascii="Times New Roman" w:hAnsi="Times New Roman" w:cs="Times New Roman"/>
          <w:color w:val="000000" w:themeColor="text1"/>
          <w:sz w:val="24"/>
          <w:szCs w:val="24"/>
        </w:rPr>
        <w:t>as</w:t>
      </w:r>
      <w:r w:rsidR="000F447E" w:rsidRPr="0078472B">
        <w:rPr>
          <w:rFonts w:ascii="Times New Roman" w:hAnsi="Times New Roman" w:cs="Times New Roman"/>
          <w:color w:val="000000" w:themeColor="text1"/>
          <w:sz w:val="24"/>
          <w:szCs w:val="24"/>
        </w:rPr>
        <w:t xml:space="preserve"> proxies for equine interest</w:t>
      </w:r>
      <w:r w:rsidR="005D3D90" w:rsidRPr="0078472B">
        <w:rPr>
          <w:rFonts w:ascii="Times New Roman" w:hAnsi="Times New Roman" w:cs="Times New Roman"/>
          <w:color w:val="000000" w:themeColor="text1"/>
          <w:sz w:val="24"/>
          <w:szCs w:val="24"/>
        </w:rPr>
        <w:t xml:space="preserve">. </w:t>
      </w:r>
      <w:r w:rsidR="007708F6" w:rsidRPr="0078472B">
        <w:rPr>
          <w:rFonts w:ascii="Times New Roman" w:hAnsi="Times New Roman" w:cs="Times New Roman"/>
          <w:color w:val="000000" w:themeColor="text1"/>
          <w:sz w:val="24"/>
          <w:szCs w:val="24"/>
        </w:rPr>
        <w:t>T</w:t>
      </w:r>
      <w:r w:rsidR="00CF4775" w:rsidRPr="0078472B">
        <w:rPr>
          <w:rFonts w:ascii="Times New Roman" w:hAnsi="Times New Roman" w:cs="Times New Roman"/>
          <w:color w:val="000000" w:themeColor="text1"/>
          <w:sz w:val="24"/>
          <w:szCs w:val="24"/>
        </w:rPr>
        <w:t>he number of horse owners</w:t>
      </w:r>
      <w:r w:rsidR="005D3D90" w:rsidRPr="0078472B">
        <w:rPr>
          <w:rFonts w:ascii="Times New Roman" w:hAnsi="Times New Roman" w:cs="Times New Roman"/>
          <w:color w:val="000000" w:themeColor="text1"/>
          <w:sz w:val="24"/>
          <w:szCs w:val="24"/>
        </w:rPr>
        <w:t xml:space="preserve"> </w:t>
      </w:r>
      <w:r w:rsidR="006D22FE" w:rsidRPr="0078472B">
        <w:rPr>
          <w:rFonts w:ascii="Times New Roman" w:hAnsi="Times New Roman" w:cs="Times New Roman"/>
          <w:color w:val="000000" w:themeColor="text1"/>
          <w:sz w:val="24"/>
          <w:szCs w:val="24"/>
        </w:rPr>
        <w:t xml:space="preserve">per 1,000 inhabitants </w:t>
      </w:r>
      <w:r w:rsidR="005D3D90" w:rsidRPr="0078472B">
        <w:rPr>
          <w:rFonts w:ascii="Times New Roman" w:hAnsi="Times New Roman" w:cs="Times New Roman"/>
          <w:color w:val="000000" w:themeColor="text1"/>
          <w:sz w:val="24"/>
          <w:szCs w:val="24"/>
        </w:rPr>
        <w:t xml:space="preserve">in a municipality is </w:t>
      </w:r>
      <w:r w:rsidR="00E37B30" w:rsidRPr="0078472B">
        <w:rPr>
          <w:rFonts w:ascii="Times New Roman" w:hAnsi="Times New Roman" w:cs="Times New Roman"/>
          <w:color w:val="000000" w:themeColor="text1"/>
          <w:sz w:val="24"/>
          <w:szCs w:val="24"/>
        </w:rPr>
        <w:t>an</w:t>
      </w:r>
      <w:r w:rsidR="005D3D90" w:rsidRPr="0078472B">
        <w:rPr>
          <w:rFonts w:ascii="Times New Roman" w:hAnsi="Times New Roman" w:cs="Times New Roman"/>
          <w:color w:val="000000" w:themeColor="text1"/>
          <w:sz w:val="24"/>
          <w:szCs w:val="24"/>
        </w:rPr>
        <w:t xml:space="preserve"> </w:t>
      </w:r>
      <w:r w:rsidR="00C92B2A" w:rsidRPr="0078472B">
        <w:rPr>
          <w:rFonts w:ascii="Times New Roman" w:hAnsi="Times New Roman" w:cs="Times New Roman"/>
          <w:color w:val="000000" w:themeColor="text1"/>
          <w:sz w:val="24"/>
          <w:szCs w:val="24"/>
        </w:rPr>
        <w:t>indicator</w:t>
      </w:r>
      <w:r w:rsidR="005D3D90" w:rsidRPr="0078472B">
        <w:rPr>
          <w:rFonts w:ascii="Times New Roman" w:hAnsi="Times New Roman" w:cs="Times New Roman"/>
          <w:color w:val="000000" w:themeColor="text1"/>
          <w:sz w:val="24"/>
          <w:szCs w:val="24"/>
        </w:rPr>
        <w:t xml:space="preserve"> for the general </w:t>
      </w:r>
      <w:r w:rsidR="00E37B30" w:rsidRPr="0078472B">
        <w:rPr>
          <w:rFonts w:ascii="Times New Roman" w:hAnsi="Times New Roman" w:cs="Times New Roman"/>
          <w:color w:val="000000" w:themeColor="text1"/>
          <w:sz w:val="24"/>
          <w:szCs w:val="24"/>
        </w:rPr>
        <w:t xml:space="preserve">level of </w:t>
      </w:r>
      <w:r w:rsidR="009A440A" w:rsidRPr="0078472B">
        <w:rPr>
          <w:rFonts w:ascii="Times New Roman" w:hAnsi="Times New Roman" w:cs="Times New Roman"/>
          <w:color w:val="000000" w:themeColor="text1"/>
          <w:sz w:val="24"/>
          <w:szCs w:val="24"/>
        </w:rPr>
        <w:t>interest</w:t>
      </w:r>
      <w:r w:rsidR="005D3D90" w:rsidRPr="0078472B">
        <w:rPr>
          <w:rFonts w:ascii="Times New Roman" w:hAnsi="Times New Roman" w:cs="Times New Roman"/>
          <w:color w:val="000000" w:themeColor="text1"/>
          <w:sz w:val="24"/>
          <w:szCs w:val="24"/>
        </w:rPr>
        <w:t xml:space="preserve"> in horses</w:t>
      </w:r>
      <w:r w:rsidR="00CF4775" w:rsidRPr="0078472B">
        <w:rPr>
          <w:rFonts w:ascii="Times New Roman" w:hAnsi="Times New Roman" w:cs="Times New Roman"/>
          <w:color w:val="000000" w:themeColor="text1"/>
          <w:sz w:val="24"/>
          <w:szCs w:val="24"/>
        </w:rPr>
        <w:t xml:space="preserve">. </w:t>
      </w:r>
      <w:r w:rsidR="00C92B2A" w:rsidRPr="0078472B">
        <w:rPr>
          <w:rFonts w:ascii="Times New Roman" w:hAnsi="Times New Roman" w:cs="Times New Roman"/>
          <w:color w:val="000000" w:themeColor="text1"/>
          <w:sz w:val="24"/>
          <w:szCs w:val="24"/>
        </w:rPr>
        <w:t>Since t</w:t>
      </w:r>
      <w:r w:rsidR="00624A21" w:rsidRPr="0078472B">
        <w:rPr>
          <w:rFonts w:ascii="Times New Roman" w:hAnsi="Times New Roman" w:cs="Times New Roman"/>
          <w:color w:val="000000" w:themeColor="text1"/>
          <w:sz w:val="24"/>
          <w:szCs w:val="24"/>
        </w:rPr>
        <w:t>he equine data</w:t>
      </w:r>
      <w:r w:rsidR="007708F6" w:rsidRPr="0078472B">
        <w:rPr>
          <w:rFonts w:ascii="Times New Roman" w:hAnsi="Times New Roman" w:cs="Times New Roman"/>
          <w:color w:val="000000" w:themeColor="text1"/>
          <w:sz w:val="24"/>
          <w:szCs w:val="24"/>
        </w:rPr>
        <w:t xml:space="preserve"> set also</w:t>
      </w:r>
      <w:r w:rsidR="00624A21" w:rsidRPr="0078472B">
        <w:rPr>
          <w:rFonts w:ascii="Times New Roman" w:hAnsi="Times New Roman" w:cs="Times New Roman"/>
          <w:color w:val="000000" w:themeColor="text1"/>
          <w:sz w:val="24"/>
          <w:szCs w:val="24"/>
        </w:rPr>
        <w:t xml:space="preserve"> contains information on</w:t>
      </w:r>
      <w:r w:rsidR="007708F6" w:rsidRPr="0078472B">
        <w:rPr>
          <w:rFonts w:ascii="Times New Roman" w:hAnsi="Times New Roman" w:cs="Times New Roman"/>
          <w:color w:val="000000" w:themeColor="text1"/>
          <w:sz w:val="24"/>
          <w:szCs w:val="24"/>
        </w:rPr>
        <w:t xml:space="preserve"> specific horse types</w:t>
      </w:r>
      <w:r w:rsidR="00C92B2A" w:rsidRPr="0078472B">
        <w:rPr>
          <w:rFonts w:ascii="Times New Roman" w:hAnsi="Times New Roman" w:cs="Times New Roman"/>
          <w:color w:val="000000" w:themeColor="text1"/>
          <w:sz w:val="24"/>
          <w:szCs w:val="24"/>
        </w:rPr>
        <w:t>,</w:t>
      </w:r>
      <w:r w:rsidR="00FA6258" w:rsidRPr="0078472B">
        <w:rPr>
          <w:rFonts w:ascii="Times New Roman" w:hAnsi="Times New Roman" w:cs="Times New Roman"/>
          <w:color w:val="000000" w:themeColor="text1"/>
          <w:sz w:val="24"/>
          <w:szCs w:val="24"/>
        </w:rPr>
        <w:t xml:space="preserve"> </w:t>
      </w:r>
      <w:r w:rsidR="00C92B2A" w:rsidRPr="0078472B">
        <w:rPr>
          <w:rFonts w:ascii="Times New Roman" w:hAnsi="Times New Roman" w:cs="Times New Roman"/>
          <w:color w:val="000000" w:themeColor="text1"/>
          <w:sz w:val="24"/>
          <w:szCs w:val="24"/>
        </w:rPr>
        <w:t>w</w:t>
      </w:r>
      <w:r w:rsidR="00FA6258" w:rsidRPr="0078472B">
        <w:rPr>
          <w:rFonts w:ascii="Times New Roman" w:hAnsi="Times New Roman" w:cs="Times New Roman"/>
          <w:color w:val="000000" w:themeColor="text1"/>
          <w:sz w:val="24"/>
          <w:szCs w:val="24"/>
        </w:rPr>
        <w:t>e use two variables for different horse types.</w:t>
      </w:r>
      <w:r w:rsidR="007708F6" w:rsidRPr="0078472B">
        <w:rPr>
          <w:rFonts w:ascii="Times New Roman" w:hAnsi="Times New Roman" w:cs="Times New Roman"/>
          <w:color w:val="000000" w:themeColor="text1"/>
          <w:sz w:val="24"/>
          <w:szCs w:val="24"/>
        </w:rPr>
        <w:t xml:space="preserve"> </w:t>
      </w:r>
      <w:r w:rsidR="00FA6258" w:rsidRPr="0078472B">
        <w:rPr>
          <w:rFonts w:ascii="Times New Roman" w:hAnsi="Times New Roman" w:cs="Times New Roman"/>
          <w:color w:val="000000" w:themeColor="text1"/>
          <w:sz w:val="24"/>
          <w:szCs w:val="24"/>
        </w:rPr>
        <w:t>T</w:t>
      </w:r>
      <w:r w:rsidR="00624A21" w:rsidRPr="0078472B">
        <w:rPr>
          <w:rFonts w:ascii="Times New Roman" w:hAnsi="Times New Roman" w:cs="Times New Roman"/>
          <w:color w:val="000000" w:themeColor="text1"/>
          <w:sz w:val="24"/>
          <w:szCs w:val="24"/>
        </w:rPr>
        <w:t>he number of warmblood horses</w:t>
      </w:r>
      <w:r w:rsidR="006D22FE" w:rsidRPr="0078472B">
        <w:rPr>
          <w:rFonts w:ascii="Times New Roman" w:hAnsi="Times New Roman" w:cs="Times New Roman"/>
          <w:color w:val="000000" w:themeColor="text1"/>
          <w:sz w:val="24"/>
          <w:szCs w:val="24"/>
        </w:rPr>
        <w:t xml:space="preserve"> per 1,000 inhabitants</w:t>
      </w:r>
      <w:r w:rsidR="003F164C" w:rsidRPr="0078472B">
        <w:rPr>
          <w:rFonts w:ascii="Times New Roman" w:hAnsi="Times New Roman" w:cs="Times New Roman"/>
          <w:color w:val="000000" w:themeColor="text1"/>
          <w:sz w:val="24"/>
          <w:szCs w:val="24"/>
        </w:rPr>
        <w:t xml:space="preserve">, which are typically trotting horses, </w:t>
      </w:r>
      <w:r w:rsidR="00FA6258" w:rsidRPr="0078472B">
        <w:rPr>
          <w:rFonts w:ascii="Times New Roman" w:hAnsi="Times New Roman" w:cs="Times New Roman"/>
          <w:color w:val="000000" w:themeColor="text1"/>
          <w:sz w:val="24"/>
          <w:szCs w:val="24"/>
        </w:rPr>
        <w:t xml:space="preserve">is </w:t>
      </w:r>
      <w:r w:rsidR="00A00A80" w:rsidRPr="0078472B">
        <w:rPr>
          <w:rFonts w:ascii="Times New Roman" w:hAnsi="Times New Roman" w:cs="Times New Roman"/>
          <w:color w:val="000000" w:themeColor="text1"/>
          <w:sz w:val="24"/>
          <w:szCs w:val="24"/>
        </w:rPr>
        <w:t xml:space="preserve">a proxy for </w:t>
      </w:r>
      <w:r w:rsidR="007708F6" w:rsidRPr="0078472B">
        <w:rPr>
          <w:rFonts w:ascii="Times New Roman" w:hAnsi="Times New Roman" w:cs="Times New Roman"/>
          <w:color w:val="000000" w:themeColor="text1"/>
          <w:sz w:val="24"/>
          <w:szCs w:val="24"/>
        </w:rPr>
        <w:t xml:space="preserve">an </w:t>
      </w:r>
      <w:r w:rsidR="00A00A80" w:rsidRPr="0078472B">
        <w:rPr>
          <w:rFonts w:ascii="Times New Roman" w:hAnsi="Times New Roman" w:cs="Times New Roman"/>
          <w:color w:val="000000" w:themeColor="text1"/>
          <w:sz w:val="24"/>
          <w:szCs w:val="24"/>
        </w:rPr>
        <w:t>interest in</w:t>
      </w:r>
      <w:r w:rsidR="007708F6" w:rsidRPr="0078472B">
        <w:rPr>
          <w:rFonts w:ascii="Times New Roman" w:hAnsi="Times New Roman" w:cs="Times New Roman"/>
          <w:color w:val="000000" w:themeColor="text1"/>
          <w:sz w:val="24"/>
          <w:szCs w:val="24"/>
        </w:rPr>
        <w:t xml:space="preserve"> horse racing in a</w:t>
      </w:r>
      <w:r w:rsidR="00A00A80" w:rsidRPr="0078472B">
        <w:rPr>
          <w:rFonts w:ascii="Times New Roman" w:hAnsi="Times New Roman" w:cs="Times New Roman"/>
          <w:color w:val="000000" w:themeColor="text1"/>
          <w:sz w:val="24"/>
          <w:szCs w:val="24"/>
        </w:rPr>
        <w:t xml:space="preserve"> municipality</w:t>
      </w:r>
      <w:r w:rsidR="00536B67" w:rsidRPr="0078472B">
        <w:rPr>
          <w:rFonts w:ascii="Times New Roman" w:hAnsi="Times New Roman" w:cs="Times New Roman"/>
          <w:color w:val="000000" w:themeColor="text1"/>
          <w:sz w:val="24"/>
          <w:szCs w:val="24"/>
        </w:rPr>
        <w:t>.</w:t>
      </w:r>
      <w:r w:rsidR="003F164C" w:rsidRPr="0078472B">
        <w:rPr>
          <w:rFonts w:ascii="Times New Roman" w:hAnsi="Times New Roman" w:cs="Times New Roman"/>
          <w:color w:val="000000" w:themeColor="text1"/>
          <w:sz w:val="24"/>
          <w:szCs w:val="24"/>
        </w:rPr>
        <w:t xml:space="preserve"> </w:t>
      </w:r>
      <w:r w:rsidR="00FA6258" w:rsidRPr="0078472B">
        <w:rPr>
          <w:rFonts w:ascii="Times New Roman" w:hAnsi="Times New Roman" w:cs="Times New Roman"/>
          <w:color w:val="000000" w:themeColor="text1"/>
          <w:sz w:val="24"/>
          <w:szCs w:val="24"/>
        </w:rPr>
        <w:t>R</w:t>
      </w:r>
      <w:r w:rsidR="0016297E" w:rsidRPr="0078472B">
        <w:rPr>
          <w:rFonts w:ascii="Times New Roman" w:hAnsi="Times New Roman" w:cs="Times New Roman"/>
          <w:color w:val="000000" w:themeColor="text1"/>
          <w:sz w:val="24"/>
          <w:szCs w:val="24"/>
        </w:rPr>
        <w:t>iding horses</w:t>
      </w:r>
      <w:r w:rsidR="00FA6258" w:rsidRPr="0078472B">
        <w:rPr>
          <w:rFonts w:ascii="Times New Roman" w:hAnsi="Times New Roman" w:cs="Times New Roman"/>
          <w:color w:val="000000" w:themeColor="text1"/>
          <w:sz w:val="24"/>
          <w:szCs w:val="24"/>
        </w:rPr>
        <w:t>, on the other hand, are not generally used for horse racing</w:t>
      </w:r>
      <w:r w:rsidR="000F447E" w:rsidRPr="0078472B">
        <w:rPr>
          <w:rFonts w:ascii="Times New Roman" w:hAnsi="Times New Roman" w:cs="Times New Roman"/>
          <w:color w:val="000000" w:themeColor="text1"/>
          <w:sz w:val="24"/>
          <w:szCs w:val="24"/>
        </w:rPr>
        <w:t>.</w:t>
      </w:r>
      <w:r w:rsidR="00FA6258" w:rsidRPr="0078472B">
        <w:rPr>
          <w:rFonts w:ascii="Times New Roman" w:hAnsi="Times New Roman" w:cs="Times New Roman"/>
          <w:color w:val="000000" w:themeColor="text1"/>
          <w:sz w:val="24"/>
          <w:szCs w:val="24"/>
        </w:rPr>
        <w:t xml:space="preserve"> </w:t>
      </w:r>
      <w:r w:rsidR="000F447E" w:rsidRPr="0078472B">
        <w:rPr>
          <w:rFonts w:ascii="Times New Roman" w:hAnsi="Times New Roman" w:cs="Times New Roman"/>
          <w:color w:val="000000" w:themeColor="text1"/>
          <w:sz w:val="24"/>
          <w:szCs w:val="24"/>
        </w:rPr>
        <w:t>F</w:t>
      </w:r>
      <w:r w:rsidR="00FA6258" w:rsidRPr="0078472B">
        <w:rPr>
          <w:rFonts w:ascii="Times New Roman" w:hAnsi="Times New Roman" w:cs="Times New Roman"/>
          <w:color w:val="000000" w:themeColor="text1"/>
          <w:sz w:val="24"/>
          <w:szCs w:val="24"/>
        </w:rPr>
        <w:t>or this reason, we use their number</w:t>
      </w:r>
      <w:r w:rsidR="006D22FE" w:rsidRPr="0078472B">
        <w:rPr>
          <w:rFonts w:ascii="Times New Roman" w:hAnsi="Times New Roman" w:cs="Times New Roman"/>
          <w:color w:val="000000" w:themeColor="text1"/>
          <w:sz w:val="24"/>
          <w:szCs w:val="24"/>
        </w:rPr>
        <w:t xml:space="preserve"> per 1,000 inhabitants</w:t>
      </w:r>
      <w:r w:rsidR="00FA6258" w:rsidRPr="0078472B">
        <w:rPr>
          <w:rFonts w:ascii="Times New Roman" w:hAnsi="Times New Roman" w:cs="Times New Roman"/>
          <w:color w:val="000000" w:themeColor="text1"/>
          <w:sz w:val="24"/>
          <w:szCs w:val="24"/>
        </w:rPr>
        <w:t xml:space="preserve"> in a municipality as a proxy for another kind of </w:t>
      </w:r>
      <w:r w:rsidR="009A440A" w:rsidRPr="0078472B">
        <w:rPr>
          <w:rFonts w:ascii="Times New Roman" w:hAnsi="Times New Roman" w:cs="Times New Roman"/>
          <w:color w:val="000000" w:themeColor="text1"/>
          <w:sz w:val="24"/>
          <w:szCs w:val="24"/>
        </w:rPr>
        <w:t>interest</w:t>
      </w:r>
      <w:r w:rsidR="00FA6258" w:rsidRPr="0078472B">
        <w:rPr>
          <w:rFonts w:ascii="Times New Roman" w:hAnsi="Times New Roman" w:cs="Times New Roman"/>
          <w:color w:val="000000" w:themeColor="text1"/>
          <w:sz w:val="24"/>
          <w:szCs w:val="24"/>
        </w:rPr>
        <w:t xml:space="preserve"> in horses, which may </w:t>
      </w:r>
      <w:r w:rsidR="000F447E" w:rsidRPr="0078472B">
        <w:rPr>
          <w:rFonts w:ascii="Times New Roman" w:hAnsi="Times New Roman" w:cs="Times New Roman"/>
          <w:color w:val="000000" w:themeColor="text1"/>
          <w:sz w:val="24"/>
          <w:szCs w:val="24"/>
        </w:rPr>
        <w:t xml:space="preserve">also </w:t>
      </w:r>
      <w:r w:rsidR="00FA6258" w:rsidRPr="0078472B">
        <w:rPr>
          <w:rFonts w:ascii="Times New Roman" w:hAnsi="Times New Roman" w:cs="Times New Roman"/>
          <w:color w:val="000000" w:themeColor="text1"/>
          <w:sz w:val="24"/>
          <w:szCs w:val="24"/>
        </w:rPr>
        <w:t xml:space="preserve">be </w:t>
      </w:r>
      <w:r w:rsidR="00562003" w:rsidRPr="0078472B">
        <w:rPr>
          <w:rFonts w:ascii="Times New Roman" w:hAnsi="Times New Roman" w:cs="Times New Roman"/>
          <w:color w:val="000000" w:themeColor="text1"/>
          <w:sz w:val="24"/>
          <w:szCs w:val="24"/>
        </w:rPr>
        <w:t>correla</w:t>
      </w:r>
      <w:r w:rsidR="00FA6258" w:rsidRPr="0078472B">
        <w:rPr>
          <w:rFonts w:ascii="Times New Roman" w:hAnsi="Times New Roman" w:cs="Times New Roman"/>
          <w:color w:val="000000" w:themeColor="text1"/>
          <w:sz w:val="24"/>
          <w:szCs w:val="24"/>
        </w:rPr>
        <w:t>ted with consumer preferences for horse race betting.</w:t>
      </w:r>
      <w:r w:rsidR="0016297E" w:rsidRPr="0078472B">
        <w:rPr>
          <w:rFonts w:ascii="Times New Roman" w:hAnsi="Times New Roman" w:cs="Times New Roman"/>
          <w:color w:val="000000" w:themeColor="text1"/>
          <w:sz w:val="24"/>
          <w:szCs w:val="24"/>
        </w:rPr>
        <w:t xml:space="preserve"> </w:t>
      </w:r>
    </w:p>
    <w:p w14:paraId="4DA1E56B" w14:textId="14C4C22E" w:rsidR="00C77CED" w:rsidRPr="0078472B" w:rsidRDefault="0069680D"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i/>
          <w:color w:val="000000" w:themeColor="text1"/>
          <w:sz w:val="24"/>
          <w:szCs w:val="24"/>
        </w:rPr>
        <w:lastRenderedPageBreak/>
        <w:t>Socio-demographic variables.</w:t>
      </w:r>
      <w:r w:rsidRPr="0078472B">
        <w:rPr>
          <w:rFonts w:ascii="Times New Roman" w:hAnsi="Times New Roman" w:cs="Times New Roman"/>
          <w:color w:val="000000" w:themeColor="text1"/>
          <w:sz w:val="24"/>
          <w:szCs w:val="24"/>
        </w:rPr>
        <w:t xml:space="preserve"> This study employs several socio-demographic variables </w:t>
      </w:r>
      <w:r w:rsidR="004B6654" w:rsidRPr="0078472B">
        <w:rPr>
          <w:rFonts w:ascii="Times New Roman" w:hAnsi="Times New Roman" w:cs="Times New Roman"/>
          <w:color w:val="000000" w:themeColor="text1"/>
          <w:sz w:val="24"/>
          <w:szCs w:val="24"/>
        </w:rPr>
        <w:t>suggested by</w:t>
      </w:r>
      <w:r w:rsidRPr="0078472B">
        <w:rPr>
          <w:rFonts w:ascii="Times New Roman" w:hAnsi="Times New Roman" w:cs="Times New Roman"/>
          <w:color w:val="000000" w:themeColor="text1"/>
          <w:sz w:val="24"/>
          <w:szCs w:val="24"/>
        </w:rPr>
        <w:t xml:space="preserve"> previous studies. First, online gamblers tend to be younger than land-based gamblers (Wood </w:t>
      </w:r>
      <w:r w:rsidR="006E71C7" w:rsidRPr="0078472B">
        <w:rPr>
          <w:rFonts w:ascii="Times New Roman" w:hAnsi="Times New Roman" w:cs="Times New Roman"/>
          <w:color w:val="000000" w:themeColor="text1"/>
          <w:sz w:val="24"/>
          <w:szCs w:val="24"/>
        </w:rPr>
        <w:t>&amp;</w:t>
      </w:r>
      <w:r w:rsidRPr="0078472B">
        <w:rPr>
          <w:rFonts w:ascii="Times New Roman" w:hAnsi="Times New Roman" w:cs="Times New Roman"/>
          <w:color w:val="000000" w:themeColor="text1"/>
          <w:sz w:val="24"/>
          <w:szCs w:val="24"/>
        </w:rPr>
        <w:t xml:space="preserve"> Williams</w:t>
      </w:r>
      <w:r w:rsidR="000C320C"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2011</w:t>
      </w:r>
      <w:r w:rsidR="004B6654"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Gainsbury et al.</w:t>
      </w:r>
      <w:r w:rsidR="000C320C"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2015</w:t>
      </w:r>
      <w:r w:rsidR="009D182E" w:rsidRPr="0078472B">
        <w:rPr>
          <w:rFonts w:ascii="Times New Roman" w:hAnsi="Times New Roman" w:cs="Times New Roman"/>
          <w:color w:val="000000" w:themeColor="text1"/>
          <w:sz w:val="24"/>
          <w:szCs w:val="24"/>
        </w:rPr>
        <w:t>a</w:t>
      </w:r>
      <w:r w:rsidRPr="0078472B">
        <w:rPr>
          <w:rFonts w:ascii="Times New Roman" w:hAnsi="Times New Roman" w:cs="Times New Roman"/>
          <w:color w:val="000000" w:themeColor="text1"/>
          <w:sz w:val="24"/>
          <w:szCs w:val="24"/>
        </w:rPr>
        <w:t>; Edgren et al.</w:t>
      </w:r>
      <w:r w:rsidR="000C320C"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2017). </w:t>
      </w:r>
      <w:r w:rsidR="004B6654" w:rsidRPr="0078472B">
        <w:rPr>
          <w:rFonts w:ascii="Times New Roman" w:hAnsi="Times New Roman" w:cs="Times New Roman"/>
          <w:color w:val="000000" w:themeColor="text1"/>
          <w:sz w:val="24"/>
          <w:szCs w:val="24"/>
        </w:rPr>
        <w:t>W</w:t>
      </w:r>
      <w:r w:rsidRPr="0078472B">
        <w:rPr>
          <w:rFonts w:ascii="Times New Roman" w:hAnsi="Times New Roman" w:cs="Times New Roman"/>
          <w:color w:val="000000" w:themeColor="text1"/>
          <w:sz w:val="24"/>
          <w:szCs w:val="24"/>
        </w:rPr>
        <w:t xml:space="preserve">e use the average age of the </w:t>
      </w:r>
      <w:r w:rsidR="00C92B2A" w:rsidRPr="0078472B">
        <w:rPr>
          <w:rFonts w:ascii="Times New Roman" w:hAnsi="Times New Roman" w:cs="Times New Roman"/>
          <w:color w:val="000000" w:themeColor="text1"/>
          <w:sz w:val="24"/>
          <w:szCs w:val="24"/>
        </w:rPr>
        <w:t>residents</w:t>
      </w:r>
      <w:r w:rsidRPr="0078472B">
        <w:rPr>
          <w:rFonts w:ascii="Times New Roman" w:hAnsi="Times New Roman" w:cs="Times New Roman"/>
          <w:color w:val="000000" w:themeColor="text1"/>
          <w:sz w:val="24"/>
          <w:szCs w:val="24"/>
        </w:rPr>
        <w:t xml:space="preserve"> living in a municipality as an </w:t>
      </w:r>
      <w:r w:rsidR="004B6654" w:rsidRPr="0078472B">
        <w:rPr>
          <w:rFonts w:ascii="Times New Roman" w:hAnsi="Times New Roman" w:cs="Times New Roman"/>
          <w:color w:val="000000" w:themeColor="text1"/>
          <w:sz w:val="24"/>
          <w:szCs w:val="24"/>
        </w:rPr>
        <w:t>explanatory variable influencing engagement in online horse betting</w:t>
      </w:r>
      <w:r w:rsidRPr="0078472B">
        <w:rPr>
          <w:rFonts w:ascii="Times New Roman" w:hAnsi="Times New Roman" w:cs="Times New Roman"/>
          <w:color w:val="000000" w:themeColor="text1"/>
          <w:sz w:val="24"/>
          <w:szCs w:val="24"/>
        </w:rPr>
        <w:t xml:space="preserve">. Second, </w:t>
      </w:r>
      <w:r w:rsidR="00C92B2A" w:rsidRPr="0078472B">
        <w:rPr>
          <w:rFonts w:ascii="Times New Roman" w:hAnsi="Times New Roman" w:cs="Times New Roman"/>
          <w:color w:val="000000" w:themeColor="text1"/>
          <w:sz w:val="24"/>
          <w:szCs w:val="24"/>
        </w:rPr>
        <w:t xml:space="preserve">gambling </w:t>
      </w:r>
      <w:r w:rsidRPr="0078472B">
        <w:rPr>
          <w:rFonts w:ascii="Times New Roman" w:hAnsi="Times New Roman" w:cs="Times New Roman"/>
          <w:color w:val="000000" w:themeColor="text1"/>
          <w:sz w:val="24"/>
          <w:szCs w:val="24"/>
        </w:rPr>
        <w:t xml:space="preserve">expenditures tend to increase with disposable income (Abdel-Ghany </w:t>
      </w:r>
      <w:r w:rsidR="006E71C7" w:rsidRPr="0078472B">
        <w:rPr>
          <w:rFonts w:ascii="Times New Roman" w:hAnsi="Times New Roman" w:cs="Times New Roman"/>
          <w:color w:val="000000" w:themeColor="text1"/>
          <w:sz w:val="24"/>
          <w:szCs w:val="24"/>
        </w:rPr>
        <w:t>&amp;</w:t>
      </w:r>
      <w:r w:rsidRPr="0078472B">
        <w:rPr>
          <w:rFonts w:ascii="Times New Roman" w:hAnsi="Times New Roman" w:cs="Times New Roman"/>
          <w:color w:val="000000" w:themeColor="text1"/>
          <w:sz w:val="24"/>
          <w:szCs w:val="24"/>
        </w:rPr>
        <w:t xml:space="preserve"> Sharpe</w:t>
      </w:r>
      <w:r w:rsidR="00A51437"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2001</w:t>
      </w:r>
      <w:r w:rsidR="00A51437"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Tan et al.</w:t>
      </w:r>
      <w:r w:rsidR="00A51437"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2010), and online gamblers tend to earn more than traditional gamblers (Gainsbury et al.</w:t>
      </w:r>
      <w:r w:rsidR="00A51437"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2012). </w:t>
      </w:r>
      <w:r w:rsidR="004B6654" w:rsidRPr="0078472B">
        <w:rPr>
          <w:rFonts w:ascii="Times New Roman" w:hAnsi="Times New Roman" w:cs="Times New Roman"/>
          <w:color w:val="000000" w:themeColor="text1"/>
          <w:sz w:val="24"/>
          <w:szCs w:val="24"/>
        </w:rPr>
        <w:t>W</w:t>
      </w:r>
      <w:r w:rsidRPr="0078472B">
        <w:rPr>
          <w:rFonts w:ascii="Times New Roman" w:hAnsi="Times New Roman" w:cs="Times New Roman"/>
          <w:color w:val="000000" w:themeColor="text1"/>
          <w:sz w:val="24"/>
          <w:szCs w:val="24"/>
        </w:rPr>
        <w:t>e use the average annual net income in a municipality as a</w:t>
      </w:r>
      <w:r w:rsidR="004D381E" w:rsidRPr="0078472B">
        <w:rPr>
          <w:rFonts w:ascii="Times New Roman" w:hAnsi="Times New Roman" w:cs="Times New Roman"/>
          <w:color w:val="000000" w:themeColor="text1"/>
          <w:sz w:val="24"/>
          <w:szCs w:val="24"/>
        </w:rPr>
        <w:t xml:space="preserve"> </w:t>
      </w:r>
      <w:r w:rsidR="004B6654" w:rsidRPr="0078472B">
        <w:rPr>
          <w:rFonts w:ascii="Times New Roman" w:hAnsi="Times New Roman" w:cs="Times New Roman"/>
          <w:color w:val="000000" w:themeColor="text1"/>
          <w:sz w:val="24"/>
          <w:szCs w:val="24"/>
        </w:rPr>
        <w:t>regressor</w:t>
      </w:r>
      <w:r w:rsidRPr="0078472B">
        <w:rPr>
          <w:rFonts w:ascii="Times New Roman" w:hAnsi="Times New Roman" w:cs="Times New Roman"/>
          <w:color w:val="000000" w:themeColor="text1"/>
          <w:sz w:val="24"/>
          <w:szCs w:val="24"/>
        </w:rPr>
        <w:t xml:space="preserve">. Third, although education has been associated with lower expenditures on gambling (Forrest </w:t>
      </w:r>
      <w:r w:rsidR="00F26E25" w:rsidRPr="0078472B">
        <w:rPr>
          <w:rFonts w:ascii="Times New Roman" w:hAnsi="Times New Roman" w:cs="Times New Roman"/>
          <w:color w:val="000000" w:themeColor="text1"/>
          <w:sz w:val="24"/>
          <w:szCs w:val="24"/>
        </w:rPr>
        <w:t>and</w:t>
      </w:r>
      <w:r w:rsidRPr="0078472B">
        <w:rPr>
          <w:rFonts w:ascii="Times New Roman" w:hAnsi="Times New Roman" w:cs="Times New Roman"/>
          <w:color w:val="000000" w:themeColor="text1"/>
          <w:sz w:val="24"/>
          <w:szCs w:val="24"/>
        </w:rPr>
        <w:t xml:space="preserve"> Gulley</w:t>
      </w:r>
      <w:r w:rsidR="00A51437"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2009), online gamblers appear to be better educated than their land-based counterparts (Wood </w:t>
      </w:r>
      <w:r w:rsidR="007B3E13" w:rsidRPr="0078472B">
        <w:rPr>
          <w:rFonts w:ascii="Times New Roman" w:hAnsi="Times New Roman" w:cs="Times New Roman"/>
          <w:color w:val="000000" w:themeColor="text1"/>
          <w:sz w:val="24"/>
          <w:szCs w:val="24"/>
        </w:rPr>
        <w:t>&amp;</w:t>
      </w:r>
      <w:r w:rsidRPr="0078472B">
        <w:rPr>
          <w:rFonts w:ascii="Times New Roman" w:hAnsi="Times New Roman" w:cs="Times New Roman"/>
          <w:color w:val="000000" w:themeColor="text1"/>
          <w:sz w:val="24"/>
          <w:szCs w:val="24"/>
        </w:rPr>
        <w:t xml:space="preserve"> Williams</w:t>
      </w:r>
      <w:r w:rsidR="00A51437"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2011</w:t>
      </w:r>
      <w:r w:rsidR="00A51437"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Gainsbury et al.</w:t>
      </w:r>
      <w:r w:rsidR="00A51437"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2012). </w:t>
      </w:r>
      <w:r w:rsidR="00ED3C15" w:rsidRPr="0078472B">
        <w:rPr>
          <w:rFonts w:ascii="Times New Roman" w:hAnsi="Times New Roman" w:cs="Times New Roman"/>
          <w:color w:val="000000" w:themeColor="text1"/>
          <w:sz w:val="24"/>
          <w:szCs w:val="24"/>
        </w:rPr>
        <w:t>Thus, w</w:t>
      </w:r>
      <w:r w:rsidR="004B6654" w:rsidRPr="0078472B">
        <w:rPr>
          <w:rFonts w:ascii="Times New Roman" w:hAnsi="Times New Roman" w:cs="Times New Roman"/>
          <w:color w:val="000000" w:themeColor="text1"/>
          <w:sz w:val="24"/>
          <w:szCs w:val="24"/>
        </w:rPr>
        <w:t xml:space="preserve">e employ an </w:t>
      </w:r>
      <w:r w:rsidRPr="0078472B">
        <w:rPr>
          <w:rFonts w:ascii="Times New Roman" w:hAnsi="Times New Roman" w:cs="Times New Roman"/>
          <w:color w:val="000000" w:themeColor="text1"/>
          <w:sz w:val="24"/>
          <w:szCs w:val="24"/>
        </w:rPr>
        <w:t xml:space="preserve">education index, which </w:t>
      </w:r>
      <w:r w:rsidRPr="0078472B">
        <w:rPr>
          <w:rFonts w:ascii="Times New Roman" w:hAnsi="Times New Roman"/>
          <w:color w:val="000000" w:themeColor="text1"/>
          <w:sz w:val="24"/>
        </w:rPr>
        <w:t xml:space="preserve">measures the </w:t>
      </w:r>
      <w:r w:rsidR="00D81EFC" w:rsidRPr="0078472B">
        <w:rPr>
          <w:rFonts w:ascii="Times New Roman" w:hAnsi="Times New Roman"/>
          <w:color w:val="000000" w:themeColor="text1"/>
          <w:sz w:val="24"/>
        </w:rPr>
        <w:t>number</w:t>
      </w:r>
      <w:r w:rsidRPr="0078472B">
        <w:rPr>
          <w:rFonts w:ascii="Times New Roman" w:hAnsi="Times New Roman"/>
          <w:color w:val="000000" w:themeColor="text1"/>
          <w:sz w:val="24"/>
        </w:rPr>
        <w:t xml:space="preserve"> of </w:t>
      </w:r>
      <w:r w:rsidR="00D81EFC" w:rsidRPr="0078472B">
        <w:rPr>
          <w:rFonts w:ascii="Times New Roman" w:hAnsi="Times New Roman"/>
          <w:color w:val="000000" w:themeColor="text1"/>
          <w:sz w:val="24"/>
        </w:rPr>
        <w:t xml:space="preserve">years of post-15 </w:t>
      </w:r>
      <w:r w:rsidRPr="0078472B">
        <w:rPr>
          <w:rFonts w:ascii="Times New Roman" w:hAnsi="Times New Roman"/>
          <w:color w:val="000000" w:themeColor="text1"/>
          <w:sz w:val="24"/>
        </w:rPr>
        <w:t xml:space="preserve">formal education </w:t>
      </w:r>
      <w:r w:rsidR="00D81EFC" w:rsidRPr="0078472B">
        <w:rPr>
          <w:rFonts w:ascii="Times New Roman" w:hAnsi="Times New Roman"/>
          <w:color w:val="000000" w:themeColor="text1"/>
          <w:sz w:val="24"/>
        </w:rPr>
        <w:t xml:space="preserve">in the municipality divided by population, </w:t>
      </w:r>
      <w:r w:rsidR="00ED3C15" w:rsidRPr="0078472B">
        <w:rPr>
          <w:rFonts w:ascii="Times New Roman" w:hAnsi="Times New Roman"/>
          <w:color w:val="000000" w:themeColor="text1"/>
          <w:sz w:val="24"/>
        </w:rPr>
        <w:t>as a</w:t>
      </w:r>
      <w:r w:rsidR="004B6654" w:rsidRPr="0078472B">
        <w:rPr>
          <w:rFonts w:ascii="Times New Roman" w:hAnsi="Times New Roman"/>
          <w:color w:val="000000" w:themeColor="text1"/>
          <w:sz w:val="24"/>
        </w:rPr>
        <w:t xml:space="preserve"> </w:t>
      </w:r>
      <w:r w:rsidRPr="0078472B">
        <w:rPr>
          <w:rFonts w:ascii="Times New Roman" w:hAnsi="Times New Roman"/>
          <w:color w:val="000000" w:themeColor="text1"/>
          <w:sz w:val="24"/>
        </w:rPr>
        <w:t xml:space="preserve">proxy for the average education level </w:t>
      </w:r>
      <w:r w:rsidR="004B6654" w:rsidRPr="0078472B">
        <w:rPr>
          <w:rFonts w:ascii="Times New Roman" w:hAnsi="Times New Roman"/>
          <w:color w:val="000000" w:themeColor="text1"/>
          <w:sz w:val="24"/>
        </w:rPr>
        <w:t xml:space="preserve">of </w:t>
      </w:r>
      <w:r w:rsidRPr="0078472B">
        <w:rPr>
          <w:rFonts w:ascii="Times New Roman" w:hAnsi="Times New Roman"/>
          <w:color w:val="000000" w:themeColor="text1"/>
          <w:sz w:val="24"/>
        </w:rPr>
        <w:t>residents aged 20 years and older in a municipality</w:t>
      </w:r>
      <w:r w:rsidRPr="0078472B">
        <w:rPr>
          <w:rFonts w:ascii="Times New Roman" w:hAnsi="Times New Roman" w:cs="Times New Roman"/>
          <w:color w:val="000000" w:themeColor="text1"/>
          <w:sz w:val="24"/>
          <w:szCs w:val="24"/>
        </w:rPr>
        <w:t>.</w:t>
      </w:r>
      <w:r w:rsidR="008644E0" w:rsidRPr="0078472B">
        <w:rPr>
          <w:rFonts w:ascii="Times New Roman" w:hAnsi="Times New Roman" w:cs="Times New Roman"/>
          <w:color w:val="000000" w:themeColor="text1"/>
          <w:sz w:val="24"/>
          <w:szCs w:val="24"/>
        </w:rPr>
        <w:t xml:space="preserve"> </w:t>
      </w:r>
      <w:r w:rsidR="00ED3C15" w:rsidRPr="0078472B">
        <w:rPr>
          <w:rFonts w:ascii="Times New Roman" w:hAnsi="Times New Roman"/>
          <w:color w:val="000000" w:themeColor="text1"/>
          <w:sz w:val="24"/>
          <w:szCs w:val="24"/>
        </w:rPr>
        <w:t xml:space="preserve">In the education index, one hundred points corresponds to an extra year of education beyond the elementary level. </w:t>
      </w:r>
      <w:r w:rsidRPr="0078472B">
        <w:rPr>
          <w:rFonts w:ascii="Times New Roman" w:hAnsi="Times New Roman" w:cs="Times New Roman"/>
          <w:color w:val="000000" w:themeColor="text1"/>
          <w:sz w:val="24"/>
          <w:szCs w:val="24"/>
        </w:rPr>
        <w:t>F</w:t>
      </w:r>
      <w:r w:rsidR="00C77CED" w:rsidRPr="0078472B">
        <w:rPr>
          <w:rFonts w:ascii="Times New Roman" w:hAnsi="Times New Roman" w:cs="Times New Roman"/>
          <w:color w:val="000000" w:themeColor="text1"/>
          <w:sz w:val="24"/>
          <w:szCs w:val="24"/>
        </w:rPr>
        <w:t>inally</w:t>
      </w:r>
      <w:r w:rsidRPr="0078472B">
        <w:rPr>
          <w:rFonts w:ascii="Times New Roman" w:hAnsi="Times New Roman" w:cs="Times New Roman"/>
          <w:color w:val="000000" w:themeColor="text1"/>
          <w:sz w:val="24"/>
          <w:szCs w:val="24"/>
        </w:rPr>
        <w:t xml:space="preserve">, </w:t>
      </w:r>
      <w:r w:rsidR="00455CEA" w:rsidRPr="0078472B">
        <w:rPr>
          <w:rFonts w:ascii="Times New Roman" w:hAnsi="Times New Roman" w:cs="Times New Roman"/>
          <w:color w:val="000000" w:themeColor="text1"/>
          <w:sz w:val="24"/>
          <w:szCs w:val="24"/>
        </w:rPr>
        <w:t xml:space="preserve">we control for the unemployment rate in a municipality because </w:t>
      </w:r>
      <w:r w:rsidRPr="0078472B">
        <w:rPr>
          <w:rFonts w:ascii="Times New Roman" w:hAnsi="Times New Roman" w:cs="Times New Roman"/>
          <w:color w:val="000000" w:themeColor="text1"/>
          <w:sz w:val="24"/>
          <w:szCs w:val="24"/>
        </w:rPr>
        <w:t xml:space="preserve">online gamblers tend </w:t>
      </w:r>
      <w:r w:rsidR="004B6654" w:rsidRPr="0078472B">
        <w:rPr>
          <w:rFonts w:ascii="Times New Roman" w:hAnsi="Times New Roman" w:cs="Times New Roman"/>
          <w:color w:val="000000" w:themeColor="text1"/>
          <w:sz w:val="24"/>
          <w:szCs w:val="24"/>
        </w:rPr>
        <w:t xml:space="preserve">more often </w:t>
      </w:r>
      <w:r w:rsidRPr="0078472B">
        <w:rPr>
          <w:rFonts w:ascii="Times New Roman" w:hAnsi="Times New Roman" w:cs="Times New Roman"/>
          <w:color w:val="000000" w:themeColor="text1"/>
          <w:sz w:val="24"/>
          <w:szCs w:val="24"/>
        </w:rPr>
        <w:t>to be employed than offline gamblers (Gainsbury et al.</w:t>
      </w:r>
      <w:r w:rsidR="00A51437"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2012).</w:t>
      </w:r>
      <w:r w:rsidR="000D7B64" w:rsidRPr="0078472B">
        <w:rPr>
          <w:rFonts w:ascii="Times New Roman" w:hAnsi="Times New Roman" w:cs="Times New Roman"/>
          <w:color w:val="000000" w:themeColor="text1"/>
          <w:sz w:val="24"/>
          <w:szCs w:val="24"/>
        </w:rPr>
        <w:t xml:space="preserve"> </w:t>
      </w:r>
    </w:p>
    <w:p w14:paraId="29D1372F" w14:textId="77777777" w:rsidR="008523C0" w:rsidRPr="0078472B" w:rsidRDefault="008523C0" w:rsidP="00A540E5">
      <w:pPr>
        <w:spacing w:after="0" w:line="480" w:lineRule="auto"/>
        <w:jc w:val="both"/>
        <w:rPr>
          <w:rFonts w:ascii="Times New Roman" w:hAnsi="Times New Roman" w:cs="Times New Roman"/>
          <w:color w:val="000000" w:themeColor="text1"/>
          <w:sz w:val="24"/>
          <w:szCs w:val="24"/>
        </w:rPr>
      </w:pPr>
    </w:p>
    <w:p w14:paraId="190860C0" w14:textId="0279A0D1" w:rsidR="0069680D" w:rsidRPr="0078472B" w:rsidRDefault="000D7B64"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 xml:space="preserve">In addition to the </w:t>
      </w:r>
      <w:r w:rsidR="00C77CED" w:rsidRPr="0078472B">
        <w:rPr>
          <w:rFonts w:ascii="Times New Roman" w:hAnsi="Times New Roman" w:cs="Times New Roman"/>
          <w:color w:val="000000" w:themeColor="text1"/>
          <w:sz w:val="24"/>
          <w:szCs w:val="24"/>
        </w:rPr>
        <w:t xml:space="preserve">socio-demographic characteristics highlighted in the literature, </w:t>
      </w:r>
      <w:r w:rsidR="0069680D" w:rsidRPr="0078472B">
        <w:rPr>
          <w:rFonts w:ascii="Times New Roman" w:hAnsi="Times New Roman" w:cs="Times New Roman"/>
          <w:color w:val="000000" w:themeColor="text1"/>
          <w:sz w:val="24"/>
          <w:szCs w:val="24"/>
        </w:rPr>
        <w:t>our study</w:t>
      </w:r>
      <w:r w:rsidR="00C77CED" w:rsidRPr="0078472B">
        <w:rPr>
          <w:rFonts w:ascii="Times New Roman" w:hAnsi="Times New Roman" w:cs="Times New Roman"/>
          <w:color w:val="000000" w:themeColor="text1"/>
          <w:sz w:val="24"/>
          <w:szCs w:val="24"/>
        </w:rPr>
        <w:t xml:space="preserve"> also</w:t>
      </w:r>
      <w:r w:rsidRPr="0078472B">
        <w:rPr>
          <w:rFonts w:ascii="Times New Roman" w:hAnsi="Times New Roman" w:cs="Times New Roman"/>
          <w:color w:val="000000" w:themeColor="text1"/>
          <w:sz w:val="24"/>
          <w:szCs w:val="24"/>
        </w:rPr>
        <w:t xml:space="preserve"> controls for three attributes which are more specific to the Finnish context.</w:t>
      </w:r>
      <w:r w:rsidR="0069680D"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First</w:t>
      </w:r>
      <w:r w:rsidR="0069680D" w:rsidRPr="0078472B">
        <w:rPr>
          <w:rFonts w:ascii="Times New Roman" w:hAnsi="Times New Roman" w:cs="Times New Roman"/>
          <w:color w:val="000000" w:themeColor="text1"/>
          <w:sz w:val="24"/>
          <w:szCs w:val="24"/>
        </w:rPr>
        <w:t xml:space="preserve">, Swedish-speakers </w:t>
      </w:r>
      <w:r w:rsidR="004B6654" w:rsidRPr="0078472B">
        <w:rPr>
          <w:rFonts w:ascii="Times New Roman" w:hAnsi="Times New Roman" w:cs="Times New Roman"/>
          <w:color w:val="000000" w:themeColor="text1"/>
          <w:sz w:val="24"/>
          <w:szCs w:val="24"/>
        </w:rPr>
        <w:t xml:space="preserve">constitute </w:t>
      </w:r>
      <w:r w:rsidR="0069680D" w:rsidRPr="0078472B">
        <w:rPr>
          <w:rFonts w:ascii="Times New Roman" w:hAnsi="Times New Roman" w:cs="Times New Roman"/>
          <w:color w:val="000000" w:themeColor="text1"/>
          <w:sz w:val="24"/>
          <w:szCs w:val="24"/>
        </w:rPr>
        <w:t xml:space="preserve">the largest minority group in </w:t>
      </w:r>
      <w:r w:rsidR="0069680D" w:rsidRPr="0078472B">
        <w:rPr>
          <w:rFonts w:ascii="Times New Roman" w:hAnsi="Times New Roman" w:cs="Times New Roman"/>
          <w:color w:val="000000" w:themeColor="text1"/>
          <w:sz w:val="24"/>
          <w:szCs w:val="24"/>
        </w:rPr>
        <w:lastRenderedPageBreak/>
        <w:t xml:space="preserve">Finland. While they do not differ from Finnish-speakers in a cultural sense, their socio-economic status tends to be somewhat higher than the rest of the population. For instance, </w:t>
      </w:r>
      <w:r w:rsidR="003C61A1" w:rsidRPr="0078472B">
        <w:rPr>
          <w:rFonts w:ascii="Times New Roman" w:hAnsi="Times New Roman" w:cs="Times New Roman"/>
          <w:color w:val="000000" w:themeColor="text1"/>
          <w:sz w:val="24"/>
          <w:szCs w:val="24"/>
        </w:rPr>
        <w:t>they</w:t>
      </w:r>
      <w:r w:rsidR="0069680D" w:rsidRPr="0078472B">
        <w:rPr>
          <w:rFonts w:ascii="Times New Roman" w:hAnsi="Times New Roman" w:cs="Times New Roman"/>
          <w:color w:val="000000" w:themeColor="text1"/>
          <w:sz w:val="24"/>
          <w:szCs w:val="24"/>
        </w:rPr>
        <w:t xml:space="preserve"> have a longer live expectancy (Hyyppä </w:t>
      </w:r>
      <w:r w:rsidR="006E71C7" w:rsidRPr="0078472B">
        <w:rPr>
          <w:rFonts w:ascii="Times New Roman" w:hAnsi="Times New Roman" w:cs="Times New Roman"/>
          <w:color w:val="000000" w:themeColor="text1"/>
          <w:sz w:val="24"/>
          <w:szCs w:val="24"/>
        </w:rPr>
        <w:t>&amp;</w:t>
      </w:r>
      <w:r w:rsidR="0069680D" w:rsidRPr="0078472B">
        <w:rPr>
          <w:rFonts w:ascii="Times New Roman" w:hAnsi="Times New Roman" w:cs="Times New Roman"/>
          <w:color w:val="000000" w:themeColor="text1"/>
          <w:sz w:val="24"/>
          <w:szCs w:val="24"/>
        </w:rPr>
        <w:t xml:space="preserve"> Mäki</w:t>
      </w:r>
      <w:r w:rsidR="00A51437" w:rsidRPr="0078472B">
        <w:rPr>
          <w:rFonts w:ascii="Times New Roman" w:hAnsi="Times New Roman" w:cs="Times New Roman"/>
          <w:color w:val="000000" w:themeColor="text1"/>
          <w:sz w:val="24"/>
          <w:szCs w:val="24"/>
        </w:rPr>
        <w:t>,</w:t>
      </w:r>
      <w:r w:rsidR="0069680D" w:rsidRPr="0078472B">
        <w:rPr>
          <w:rFonts w:ascii="Times New Roman" w:hAnsi="Times New Roman" w:cs="Times New Roman"/>
          <w:color w:val="000000" w:themeColor="text1"/>
          <w:sz w:val="24"/>
          <w:szCs w:val="24"/>
        </w:rPr>
        <w:t xml:space="preserve"> 2001), are in better (self-reported) health (Hyyppä </w:t>
      </w:r>
      <w:r w:rsidR="006E71C7" w:rsidRPr="0078472B">
        <w:rPr>
          <w:rFonts w:ascii="Times New Roman" w:hAnsi="Times New Roman" w:cs="Times New Roman"/>
          <w:color w:val="000000" w:themeColor="text1"/>
          <w:sz w:val="24"/>
          <w:szCs w:val="24"/>
        </w:rPr>
        <w:t>&amp;</w:t>
      </w:r>
      <w:r w:rsidR="0069680D" w:rsidRPr="0078472B">
        <w:rPr>
          <w:rFonts w:ascii="Times New Roman" w:hAnsi="Times New Roman" w:cs="Times New Roman"/>
          <w:color w:val="000000" w:themeColor="text1"/>
          <w:sz w:val="24"/>
          <w:szCs w:val="24"/>
        </w:rPr>
        <w:t xml:space="preserve"> Mäki</w:t>
      </w:r>
      <w:r w:rsidR="00A51437" w:rsidRPr="0078472B">
        <w:rPr>
          <w:rFonts w:ascii="Times New Roman" w:hAnsi="Times New Roman" w:cs="Times New Roman"/>
          <w:color w:val="000000" w:themeColor="text1"/>
          <w:sz w:val="24"/>
          <w:szCs w:val="24"/>
        </w:rPr>
        <w:t>,</w:t>
      </w:r>
      <w:r w:rsidR="0069680D" w:rsidRPr="0078472B">
        <w:rPr>
          <w:rFonts w:ascii="Times New Roman" w:hAnsi="Times New Roman" w:cs="Times New Roman"/>
          <w:color w:val="000000" w:themeColor="text1"/>
          <w:sz w:val="24"/>
          <w:szCs w:val="24"/>
        </w:rPr>
        <w:t xml:space="preserve"> 2002), are less likely to be unemployed (Saarela </w:t>
      </w:r>
      <w:r w:rsidR="006E71C7" w:rsidRPr="0078472B">
        <w:rPr>
          <w:rFonts w:ascii="Times New Roman" w:hAnsi="Times New Roman" w:cs="Times New Roman"/>
          <w:color w:val="000000" w:themeColor="text1"/>
          <w:sz w:val="24"/>
          <w:szCs w:val="24"/>
        </w:rPr>
        <w:t>&amp;</w:t>
      </w:r>
      <w:r w:rsidR="0069680D" w:rsidRPr="0078472B">
        <w:rPr>
          <w:rFonts w:ascii="Times New Roman" w:hAnsi="Times New Roman" w:cs="Times New Roman"/>
          <w:color w:val="000000" w:themeColor="text1"/>
          <w:sz w:val="24"/>
          <w:szCs w:val="24"/>
        </w:rPr>
        <w:t xml:space="preserve"> Finnäs</w:t>
      </w:r>
      <w:r w:rsidR="00A51437" w:rsidRPr="0078472B">
        <w:rPr>
          <w:rFonts w:ascii="Times New Roman" w:hAnsi="Times New Roman" w:cs="Times New Roman"/>
          <w:color w:val="000000" w:themeColor="text1"/>
          <w:sz w:val="24"/>
          <w:szCs w:val="24"/>
        </w:rPr>
        <w:t>,</w:t>
      </w:r>
      <w:r w:rsidR="0069680D" w:rsidRPr="0078472B">
        <w:rPr>
          <w:rFonts w:ascii="Times New Roman" w:hAnsi="Times New Roman" w:cs="Times New Roman"/>
          <w:color w:val="000000" w:themeColor="text1"/>
          <w:sz w:val="24"/>
          <w:szCs w:val="24"/>
        </w:rPr>
        <w:t xml:space="preserve"> 2003) and use less alcohol (Paljärvi et al.</w:t>
      </w:r>
      <w:r w:rsidR="00A51437" w:rsidRPr="0078472B">
        <w:rPr>
          <w:rFonts w:ascii="Times New Roman" w:hAnsi="Times New Roman" w:cs="Times New Roman"/>
          <w:color w:val="000000" w:themeColor="text1"/>
          <w:sz w:val="24"/>
          <w:szCs w:val="24"/>
        </w:rPr>
        <w:t>,</w:t>
      </w:r>
      <w:r w:rsidR="0069680D" w:rsidRPr="0078472B">
        <w:rPr>
          <w:rFonts w:ascii="Times New Roman" w:hAnsi="Times New Roman" w:cs="Times New Roman"/>
          <w:color w:val="000000" w:themeColor="text1"/>
          <w:sz w:val="24"/>
          <w:szCs w:val="24"/>
        </w:rPr>
        <w:t xml:space="preserve"> 2009). </w:t>
      </w:r>
      <w:r w:rsidR="000A54A4" w:rsidRPr="0078472B">
        <w:rPr>
          <w:rFonts w:ascii="Times New Roman" w:hAnsi="Times New Roman" w:cs="Times New Roman"/>
          <w:color w:val="000000" w:themeColor="text1"/>
          <w:sz w:val="24"/>
          <w:szCs w:val="24"/>
        </w:rPr>
        <w:t>T</w:t>
      </w:r>
      <w:r w:rsidR="0069680D" w:rsidRPr="0078472B">
        <w:rPr>
          <w:rFonts w:ascii="Times New Roman" w:hAnsi="Times New Roman" w:cs="Times New Roman"/>
          <w:color w:val="000000" w:themeColor="text1"/>
          <w:sz w:val="24"/>
          <w:szCs w:val="24"/>
        </w:rPr>
        <w:t xml:space="preserve">he share of the Swedish-speakers in a municipality is accounted for by their </w:t>
      </w:r>
      <w:r w:rsidR="000A54A4" w:rsidRPr="0078472B">
        <w:rPr>
          <w:rFonts w:ascii="Times New Roman" w:hAnsi="Times New Roman" w:cs="Times New Roman"/>
          <w:color w:val="000000" w:themeColor="text1"/>
          <w:sz w:val="24"/>
          <w:szCs w:val="24"/>
        </w:rPr>
        <w:t>percentage</w:t>
      </w:r>
      <w:r w:rsidR="0069680D" w:rsidRPr="0078472B">
        <w:rPr>
          <w:rFonts w:ascii="Times New Roman" w:hAnsi="Times New Roman" w:cs="Times New Roman"/>
          <w:color w:val="000000" w:themeColor="text1"/>
          <w:sz w:val="24"/>
          <w:szCs w:val="24"/>
        </w:rPr>
        <w:t xml:space="preserve"> share of the </w:t>
      </w:r>
      <w:r w:rsidRPr="0078472B">
        <w:rPr>
          <w:rFonts w:ascii="Times New Roman" w:hAnsi="Times New Roman" w:cs="Times New Roman"/>
          <w:color w:val="000000" w:themeColor="text1"/>
          <w:sz w:val="24"/>
          <w:szCs w:val="24"/>
        </w:rPr>
        <w:t>residents</w:t>
      </w:r>
      <w:r w:rsidR="0069680D" w:rsidRPr="0078472B">
        <w:rPr>
          <w:rFonts w:ascii="Times New Roman" w:hAnsi="Times New Roman" w:cs="Times New Roman"/>
          <w:color w:val="000000" w:themeColor="text1"/>
          <w:sz w:val="24"/>
          <w:szCs w:val="24"/>
        </w:rPr>
        <w:t xml:space="preserve"> in a municipality. S</w:t>
      </w:r>
      <w:r w:rsidRPr="0078472B">
        <w:rPr>
          <w:rFonts w:ascii="Times New Roman" w:hAnsi="Times New Roman" w:cs="Times New Roman"/>
          <w:color w:val="000000" w:themeColor="text1"/>
          <w:sz w:val="24"/>
          <w:szCs w:val="24"/>
        </w:rPr>
        <w:t>econd</w:t>
      </w:r>
      <w:r w:rsidR="0069680D" w:rsidRPr="0078472B">
        <w:rPr>
          <w:rFonts w:ascii="Times New Roman" w:hAnsi="Times New Roman" w:cs="Times New Roman"/>
          <w:color w:val="000000" w:themeColor="text1"/>
          <w:sz w:val="24"/>
          <w:szCs w:val="24"/>
        </w:rPr>
        <w:t xml:space="preserve">, a typical assumption is that </w:t>
      </w:r>
      <w:r w:rsidR="0030060F" w:rsidRPr="0078472B">
        <w:rPr>
          <w:rFonts w:ascii="Times New Roman" w:hAnsi="Times New Roman" w:cs="Times New Roman"/>
          <w:color w:val="000000" w:themeColor="text1"/>
          <w:sz w:val="24"/>
          <w:szCs w:val="24"/>
        </w:rPr>
        <w:t xml:space="preserve">horse race </w:t>
      </w:r>
      <w:r w:rsidR="0069680D" w:rsidRPr="0078472B">
        <w:rPr>
          <w:rFonts w:ascii="Times New Roman" w:hAnsi="Times New Roman" w:cs="Times New Roman"/>
          <w:color w:val="000000" w:themeColor="text1"/>
          <w:sz w:val="24"/>
          <w:szCs w:val="24"/>
        </w:rPr>
        <w:t xml:space="preserve">bettors </w:t>
      </w:r>
      <w:r w:rsidRPr="0078472B">
        <w:rPr>
          <w:rFonts w:ascii="Times New Roman" w:hAnsi="Times New Roman" w:cs="Times New Roman"/>
          <w:color w:val="000000" w:themeColor="text1"/>
          <w:sz w:val="24"/>
          <w:szCs w:val="24"/>
        </w:rPr>
        <w:t>are</w:t>
      </w:r>
      <w:r w:rsidR="0069680D" w:rsidRPr="0078472B">
        <w:rPr>
          <w:rFonts w:ascii="Times New Roman" w:hAnsi="Times New Roman" w:cs="Times New Roman"/>
          <w:color w:val="000000" w:themeColor="text1"/>
          <w:sz w:val="24"/>
          <w:szCs w:val="24"/>
        </w:rPr>
        <w:t xml:space="preserve"> </w:t>
      </w:r>
      <w:r w:rsidR="000A54A4" w:rsidRPr="0078472B">
        <w:rPr>
          <w:rFonts w:ascii="Times New Roman" w:hAnsi="Times New Roman" w:cs="Times New Roman"/>
          <w:color w:val="000000" w:themeColor="text1"/>
          <w:sz w:val="24"/>
          <w:szCs w:val="24"/>
        </w:rPr>
        <w:t xml:space="preserve">often </w:t>
      </w:r>
      <w:r w:rsidR="0069680D" w:rsidRPr="0078472B">
        <w:rPr>
          <w:rFonts w:ascii="Times New Roman" w:hAnsi="Times New Roman" w:cs="Times New Roman"/>
          <w:color w:val="000000" w:themeColor="text1"/>
          <w:sz w:val="24"/>
          <w:szCs w:val="24"/>
        </w:rPr>
        <w:t xml:space="preserve">from rural areas (Raento </w:t>
      </w:r>
      <w:r w:rsidR="006E71C7" w:rsidRPr="0078472B">
        <w:rPr>
          <w:rFonts w:ascii="Times New Roman" w:hAnsi="Times New Roman" w:cs="Times New Roman"/>
          <w:color w:val="000000" w:themeColor="text1"/>
          <w:sz w:val="24"/>
          <w:szCs w:val="24"/>
        </w:rPr>
        <w:t>&amp;</w:t>
      </w:r>
      <w:r w:rsidR="0069680D" w:rsidRPr="0078472B">
        <w:rPr>
          <w:rFonts w:ascii="Times New Roman" w:hAnsi="Times New Roman" w:cs="Times New Roman"/>
          <w:color w:val="000000" w:themeColor="text1"/>
          <w:sz w:val="24"/>
          <w:szCs w:val="24"/>
        </w:rPr>
        <w:t xml:space="preserve"> Härmälä</w:t>
      </w:r>
      <w:r w:rsidR="00A51437" w:rsidRPr="0078472B">
        <w:rPr>
          <w:rFonts w:ascii="Times New Roman" w:hAnsi="Times New Roman" w:cs="Times New Roman"/>
          <w:color w:val="000000" w:themeColor="text1"/>
          <w:sz w:val="24"/>
          <w:szCs w:val="24"/>
        </w:rPr>
        <w:t>,</w:t>
      </w:r>
      <w:r w:rsidR="0069680D" w:rsidRPr="0078472B">
        <w:rPr>
          <w:rFonts w:ascii="Times New Roman" w:hAnsi="Times New Roman" w:cs="Times New Roman"/>
          <w:color w:val="000000" w:themeColor="text1"/>
          <w:sz w:val="24"/>
          <w:szCs w:val="24"/>
        </w:rPr>
        <w:t xml:space="preserve"> 2014). For this reason, we use a dummy variable for a municipality classified as a city, which is a proxy for urban areas. Finally, there is a persistent trend of migration from rural to urban areas with a tendency </w:t>
      </w:r>
      <w:r w:rsidR="000A54A4" w:rsidRPr="0078472B">
        <w:rPr>
          <w:rFonts w:ascii="Times New Roman" w:hAnsi="Times New Roman" w:cs="Times New Roman"/>
          <w:color w:val="000000" w:themeColor="text1"/>
          <w:sz w:val="24"/>
          <w:szCs w:val="24"/>
        </w:rPr>
        <w:t>for</w:t>
      </w:r>
      <w:r w:rsidR="0069680D" w:rsidRPr="0078472B">
        <w:rPr>
          <w:rFonts w:ascii="Times New Roman" w:hAnsi="Times New Roman" w:cs="Times New Roman"/>
          <w:color w:val="000000" w:themeColor="text1"/>
          <w:sz w:val="24"/>
          <w:szCs w:val="24"/>
        </w:rPr>
        <w:t xml:space="preserve"> migrants </w:t>
      </w:r>
      <w:r w:rsidR="000A54A4" w:rsidRPr="0078472B">
        <w:rPr>
          <w:rFonts w:ascii="Times New Roman" w:hAnsi="Times New Roman" w:cs="Times New Roman"/>
          <w:color w:val="000000" w:themeColor="text1"/>
          <w:sz w:val="24"/>
          <w:szCs w:val="24"/>
        </w:rPr>
        <w:t xml:space="preserve">to </w:t>
      </w:r>
      <w:r w:rsidR="0069680D" w:rsidRPr="0078472B">
        <w:rPr>
          <w:rFonts w:ascii="Times New Roman" w:hAnsi="Times New Roman" w:cs="Times New Roman"/>
          <w:color w:val="000000" w:themeColor="text1"/>
          <w:sz w:val="24"/>
          <w:szCs w:val="24"/>
        </w:rPr>
        <w:t>be younger and better educated than those who stay</w:t>
      </w:r>
      <w:r w:rsidRPr="0078472B">
        <w:rPr>
          <w:rFonts w:ascii="Times New Roman" w:hAnsi="Times New Roman" w:cs="Times New Roman"/>
          <w:color w:val="000000" w:themeColor="text1"/>
          <w:sz w:val="24"/>
          <w:szCs w:val="24"/>
        </w:rPr>
        <w:t xml:space="preserve"> behind</w:t>
      </w:r>
      <w:r w:rsidR="0069680D" w:rsidRPr="0078472B">
        <w:rPr>
          <w:rFonts w:ascii="Times New Roman" w:hAnsi="Times New Roman" w:cs="Times New Roman"/>
          <w:color w:val="000000" w:themeColor="text1"/>
          <w:sz w:val="24"/>
          <w:szCs w:val="24"/>
        </w:rPr>
        <w:t xml:space="preserve"> (Pekkala</w:t>
      </w:r>
      <w:r w:rsidR="00A51437" w:rsidRPr="0078472B">
        <w:rPr>
          <w:rFonts w:ascii="Times New Roman" w:hAnsi="Times New Roman" w:cs="Times New Roman"/>
          <w:color w:val="000000" w:themeColor="text1"/>
          <w:sz w:val="24"/>
          <w:szCs w:val="24"/>
        </w:rPr>
        <w:t>,</w:t>
      </w:r>
      <w:r w:rsidR="0069680D" w:rsidRPr="0078472B">
        <w:rPr>
          <w:rFonts w:ascii="Times New Roman" w:hAnsi="Times New Roman" w:cs="Times New Roman"/>
          <w:color w:val="000000" w:themeColor="text1"/>
          <w:sz w:val="24"/>
          <w:szCs w:val="24"/>
        </w:rPr>
        <w:t xml:space="preserve"> 2003). Thus, we control for the potential effect </w:t>
      </w:r>
      <w:r w:rsidRPr="0078472B">
        <w:rPr>
          <w:rFonts w:ascii="Times New Roman" w:hAnsi="Times New Roman" w:cs="Times New Roman"/>
          <w:color w:val="000000" w:themeColor="text1"/>
          <w:sz w:val="24"/>
          <w:szCs w:val="24"/>
        </w:rPr>
        <w:t xml:space="preserve">inter-municipal </w:t>
      </w:r>
      <w:r w:rsidR="0069680D" w:rsidRPr="0078472B">
        <w:rPr>
          <w:rFonts w:ascii="Times New Roman" w:hAnsi="Times New Roman" w:cs="Times New Roman"/>
          <w:color w:val="000000" w:themeColor="text1"/>
          <w:sz w:val="24"/>
          <w:szCs w:val="24"/>
        </w:rPr>
        <w:t>migration exerts on</w:t>
      </w:r>
      <w:r w:rsidRPr="0078472B">
        <w:rPr>
          <w:rFonts w:ascii="Times New Roman" w:hAnsi="Times New Roman" w:cs="Times New Roman"/>
          <w:color w:val="000000" w:themeColor="text1"/>
          <w:sz w:val="24"/>
          <w:szCs w:val="24"/>
        </w:rPr>
        <w:t xml:space="preserve"> betting </w:t>
      </w:r>
      <w:r w:rsidR="004D381E" w:rsidRPr="0078472B">
        <w:rPr>
          <w:rFonts w:ascii="Times New Roman" w:hAnsi="Times New Roman" w:cs="Times New Roman"/>
          <w:color w:val="000000" w:themeColor="text1"/>
          <w:sz w:val="24"/>
          <w:szCs w:val="24"/>
        </w:rPr>
        <w:t>engagement</w:t>
      </w:r>
      <w:r w:rsidRPr="0078472B">
        <w:rPr>
          <w:rFonts w:ascii="Times New Roman" w:hAnsi="Times New Roman" w:cs="Times New Roman"/>
          <w:color w:val="000000" w:themeColor="text1"/>
          <w:sz w:val="24"/>
          <w:szCs w:val="24"/>
        </w:rPr>
        <w:t xml:space="preserve"> in</w:t>
      </w:r>
      <w:r w:rsidR="0069680D" w:rsidRPr="0078472B">
        <w:rPr>
          <w:rFonts w:ascii="Times New Roman" w:hAnsi="Times New Roman" w:cs="Times New Roman"/>
          <w:color w:val="000000" w:themeColor="text1"/>
          <w:sz w:val="24"/>
          <w:szCs w:val="24"/>
        </w:rPr>
        <w:t xml:space="preserve"> a municipality by including a </w:t>
      </w:r>
      <w:r w:rsidR="00F91F6D" w:rsidRPr="0078472B">
        <w:rPr>
          <w:rFonts w:ascii="Times New Roman" w:hAnsi="Times New Roman" w:cs="Times New Roman"/>
          <w:color w:val="000000" w:themeColor="text1"/>
          <w:sz w:val="24"/>
          <w:szCs w:val="24"/>
        </w:rPr>
        <w:t>variable</w:t>
      </w:r>
      <w:r w:rsidR="0069680D" w:rsidRPr="0078472B">
        <w:rPr>
          <w:rFonts w:ascii="Times New Roman" w:hAnsi="Times New Roman" w:cs="Times New Roman"/>
          <w:color w:val="000000" w:themeColor="text1"/>
          <w:sz w:val="24"/>
          <w:szCs w:val="24"/>
        </w:rPr>
        <w:t xml:space="preserve"> for net migration</w:t>
      </w:r>
      <w:r w:rsidR="00F64A09" w:rsidRPr="00F64A09">
        <w:rPr>
          <w:rFonts w:ascii="Times New Roman" w:hAnsi="Times New Roman"/>
        </w:rPr>
        <w:t xml:space="preserve"> </w:t>
      </w:r>
      <w:r w:rsidR="00F64A09" w:rsidRPr="00F64A09">
        <w:rPr>
          <w:rFonts w:ascii="Times New Roman" w:hAnsi="Times New Roman" w:cs="Times New Roman"/>
          <w:color w:val="000000" w:themeColor="text1"/>
          <w:sz w:val="24"/>
          <w:szCs w:val="24"/>
        </w:rPr>
        <w:t>computed as the difference between inward and outward migration.</w:t>
      </w:r>
      <w:r w:rsidR="0069680D" w:rsidRPr="0078472B">
        <w:rPr>
          <w:rFonts w:ascii="Times New Roman" w:hAnsi="Times New Roman" w:cs="Times New Roman"/>
          <w:color w:val="000000" w:themeColor="text1"/>
          <w:sz w:val="24"/>
          <w:szCs w:val="24"/>
        </w:rPr>
        <w:t xml:space="preserve">  </w:t>
      </w:r>
    </w:p>
    <w:p w14:paraId="5B9CA82A" w14:textId="0F1B1B24" w:rsidR="00EB4FD3" w:rsidRDefault="00EB4FD3" w:rsidP="00A540E5">
      <w:pPr>
        <w:spacing w:after="0" w:line="480" w:lineRule="auto"/>
        <w:jc w:val="both"/>
        <w:rPr>
          <w:rFonts w:ascii="Times New Roman" w:hAnsi="Times New Roman" w:cs="Times New Roman"/>
          <w:color w:val="000000" w:themeColor="text1"/>
          <w:sz w:val="24"/>
          <w:szCs w:val="24"/>
        </w:rPr>
      </w:pPr>
    </w:p>
    <w:p w14:paraId="0B808739" w14:textId="36ED959A" w:rsidR="00673F0F" w:rsidRPr="0078472B" w:rsidRDefault="00673F0F" w:rsidP="00A540E5">
      <w:pPr>
        <w:spacing w:after="0" w:line="480" w:lineRule="auto"/>
        <w:jc w:val="both"/>
        <w:rPr>
          <w:rFonts w:ascii="Times New Roman" w:hAnsi="Times New Roman" w:cs="Times New Roman"/>
          <w:b/>
          <w:color w:val="000000" w:themeColor="text1"/>
          <w:sz w:val="24"/>
          <w:szCs w:val="24"/>
        </w:rPr>
      </w:pPr>
      <w:r w:rsidRPr="0078472B">
        <w:rPr>
          <w:rFonts w:ascii="Times New Roman" w:hAnsi="Times New Roman" w:cs="Times New Roman"/>
          <w:b/>
          <w:color w:val="000000" w:themeColor="text1"/>
          <w:sz w:val="24"/>
          <w:szCs w:val="24"/>
        </w:rPr>
        <w:t>Methods</w:t>
      </w:r>
    </w:p>
    <w:p w14:paraId="4CDE4FD3" w14:textId="6013A5F3" w:rsidR="00673F0F" w:rsidRPr="0078472B" w:rsidRDefault="008D186A"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We use descriptive statistics and a geographical visualization to illustrate the data. A</w:t>
      </w:r>
      <w:r w:rsidR="00EA37D7" w:rsidRPr="0078472B">
        <w:rPr>
          <w:rFonts w:ascii="Times New Roman" w:hAnsi="Times New Roman" w:cs="Times New Roman"/>
          <w:color w:val="000000" w:themeColor="text1"/>
          <w:sz w:val="24"/>
          <w:szCs w:val="24"/>
        </w:rPr>
        <w:t xml:space="preserve">ssociations between </w:t>
      </w:r>
      <w:r w:rsidR="00DB5489" w:rsidRPr="0078472B">
        <w:rPr>
          <w:rFonts w:ascii="Times New Roman" w:hAnsi="Times New Roman" w:cs="Times New Roman"/>
          <w:color w:val="000000" w:themeColor="text1"/>
          <w:sz w:val="24"/>
          <w:szCs w:val="24"/>
        </w:rPr>
        <w:t xml:space="preserve">the </w:t>
      </w:r>
      <w:r w:rsidR="00EA37D7" w:rsidRPr="0078472B">
        <w:rPr>
          <w:rFonts w:ascii="Times New Roman" w:hAnsi="Times New Roman" w:cs="Times New Roman"/>
          <w:color w:val="000000" w:themeColor="text1"/>
          <w:sz w:val="24"/>
          <w:szCs w:val="24"/>
        </w:rPr>
        <w:t xml:space="preserve">dependent </w:t>
      </w:r>
      <w:r w:rsidR="00DB5489" w:rsidRPr="0078472B">
        <w:rPr>
          <w:rFonts w:ascii="Times New Roman" w:hAnsi="Times New Roman" w:cs="Times New Roman"/>
          <w:color w:val="000000" w:themeColor="text1"/>
          <w:sz w:val="24"/>
          <w:szCs w:val="24"/>
        </w:rPr>
        <w:t xml:space="preserve">and independent </w:t>
      </w:r>
      <w:r w:rsidR="00EA37D7" w:rsidRPr="0078472B">
        <w:rPr>
          <w:rFonts w:ascii="Times New Roman" w:hAnsi="Times New Roman" w:cs="Times New Roman"/>
          <w:color w:val="000000" w:themeColor="text1"/>
          <w:sz w:val="24"/>
          <w:szCs w:val="24"/>
        </w:rPr>
        <w:t>variables are analy</w:t>
      </w:r>
      <w:r w:rsidR="00B00524" w:rsidRPr="0078472B">
        <w:rPr>
          <w:rFonts w:ascii="Times New Roman" w:hAnsi="Times New Roman" w:cs="Times New Roman"/>
          <w:color w:val="000000" w:themeColor="text1"/>
          <w:sz w:val="24"/>
          <w:szCs w:val="24"/>
        </w:rPr>
        <w:t>s</w:t>
      </w:r>
      <w:r w:rsidR="00EA37D7" w:rsidRPr="0078472B">
        <w:rPr>
          <w:rFonts w:ascii="Times New Roman" w:hAnsi="Times New Roman" w:cs="Times New Roman"/>
          <w:color w:val="000000" w:themeColor="text1"/>
          <w:sz w:val="24"/>
          <w:szCs w:val="24"/>
        </w:rPr>
        <w:t>ed using</w:t>
      </w:r>
      <w:r w:rsidRPr="0078472B">
        <w:rPr>
          <w:rFonts w:ascii="Times New Roman" w:hAnsi="Times New Roman" w:cs="Times New Roman"/>
          <w:color w:val="000000" w:themeColor="text1"/>
          <w:sz w:val="24"/>
          <w:szCs w:val="24"/>
        </w:rPr>
        <w:t xml:space="preserve"> </w:t>
      </w:r>
      <w:r w:rsidR="00EA37D7" w:rsidRPr="0078472B">
        <w:rPr>
          <w:rFonts w:ascii="Times New Roman" w:hAnsi="Times New Roman" w:cs="Times New Roman"/>
          <w:color w:val="000000" w:themeColor="text1"/>
          <w:sz w:val="24"/>
          <w:szCs w:val="24"/>
        </w:rPr>
        <w:t>O</w:t>
      </w:r>
      <w:r w:rsidR="00657C96" w:rsidRPr="0078472B">
        <w:rPr>
          <w:rFonts w:ascii="Times New Roman" w:hAnsi="Times New Roman" w:cs="Times New Roman"/>
          <w:color w:val="000000" w:themeColor="text1"/>
          <w:sz w:val="24"/>
          <w:szCs w:val="24"/>
        </w:rPr>
        <w:t xml:space="preserve">rdinary </w:t>
      </w:r>
      <w:r w:rsidR="00EA37D7" w:rsidRPr="0078472B">
        <w:rPr>
          <w:rFonts w:ascii="Times New Roman" w:hAnsi="Times New Roman" w:cs="Times New Roman"/>
          <w:color w:val="000000" w:themeColor="text1"/>
          <w:sz w:val="24"/>
          <w:szCs w:val="24"/>
        </w:rPr>
        <w:t>L</w:t>
      </w:r>
      <w:r w:rsidR="00657C96" w:rsidRPr="0078472B">
        <w:rPr>
          <w:rFonts w:ascii="Times New Roman" w:hAnsi="Times New Roman" w:cs="Times New Roman"/>
          <w:color w:val="000000" w:themeColor="text1"/>
          <w:sz w:val="24"/>
          <w:szCs w:val="24"/>
        </w:rPr>
        <w:t xml:space="preserve">east </w:t>
      </w:r>
      <w:r w:rsidR="00EA37D7" w:rsidRPr="0078472B">
        <w:rPr>
          <w:rFonts w:ascii="Times New Roman" w:hAnsi="Times New Roman" w:cs="Times New Roman"/>
          <w:color w:val="000000" w:themeColor="text1"/>
          <w:sz w:val="24"/>
          <w:szCs w:val="24"/>
        </w:rPr>
        <w:t>S</w:t>
      </w:r>
      <w:r w:rsidR="00657C96" w:rsidRPr="0078472B">
        <w:rPr>
          <w:rFonts w:ascii="Times New Roman" w:hAnsi="Times New Roman" w:cs="Times New Roman"/>
          <w:color w:val="000000" w:themeColor="text1"/>
          <w:sz w:val="24"/>
          <w:szCs w:val="24"/>
        </w:rPr>
        <w:t>quares (OLS)</w:t>
      </w:r>
      <w:r w:rsidR="00EA37D7" w:rsidRPr="0078472B">
        <w:rPr>
          <w:rFonts w:ascii="Times New Roman" w:hAnsi="Times New Roman" w:cs="Times New Roman"/>
          <w:color w:val="000000" w:themeColor="text1"/>
          <w:sz w:val="24"/>
          <w:szCs w:val="24"/>
        </w:rPr>
        <w:t xml:space="preserve"> </w:t>
      </w:r>
      <w:r w:rsidR="00DB5489" w:rsidRPr="0078472B">
        <w:rPr>
          <w:rFonts w:ascii="Times New Roman" w:hAnsi="Times New Roman" w:cs="Times New Roman"/>
          <w:color w:val="000000" w:themeColor="text1"/>
          <w:sz w:val="24"/>
          <w:szCs w:val="24"/>
        </w:rPr>
        <w:t xml:space="preserve">regression </w:t>
      </w:r>
      <w:r w:rsidR="00EA37D7" w:rsidRPr="0078472B">
        <w:rPr>
          <w:rFonts w:ascii="Times New Roman" w:hAnsi="Times New Roman" w:cs="Times New Roman"/>
          <w:color w:val="000000" w:themeColor="text1"/>
          <w:sz w:val="24"/>
          <w:szCs w:val="24"/>
        </w:rPr>
        <w:t>analysis.</w:t>
      </w:r>
      <w:r w:rsidR="00DB5489" w:rsidRPr="0078472B">
        <w:rPr>
          <w:rFonts w:ascii="Times New Roman" w:hAnsi="Times New Roman" w:cs="Times New Roman"/>
          <w:color w:val="000000" w:themeColor="text1"/>
          <w:sz w:val="24"/>
          <w:szCs w:val="24"/>
        </w:rPr>
        <w:t xml:space="preserve"> </w:t>
      </w:r>
      <w:r w:rsidR="000A54A4" w:rsidRPr="0078472B">
        <w:rPr>
          <w:rFonts w:ascii="Times New Roman" w:hAnsi="Times New Roman" w:cs="Times New Roman"/>
          <w:color w:val="000000" w:themeColor="text1"/>
          <w:sz w:val="24"/>
          <w:szCs w:val="24"/>
        </w:rPr>
        <w:t>D</w:t>
      </w:r>
      <w:r w:rsidR="00EA37D7" w:rsidRPr="0078472B">
        <w:rPr>
          <w:rFonts w:ascii="Times New Roman" w:hAnsi="Times New Roman" w:cs="Times New Roman"/>
          <w:color w:val="000000" w:themeColor="text1"/>
          <w:sz w:val="24"/>
          <w:szCs w:val="24"/>
        </w:rPr>
        <w:t>ue to heteroscedasticity</w:t>
      </w:r>
      <w:r w:rsidR="00DB5489" w:rsidRPr="0078472B">
        <w:rPr>
          <w:rFonts w:ascii="Times New Roman" w:hAnsi="Times New Roman" w:cs="Times New Roman"/>
          <w:color w:val="000000" w:themeColor="text1"/>
          <w:sz w:val="24"/>
          <w:szCs w:val="24"/>
        </w:rPr>
        <w:t xml:space="preserve"> indicated by </w:t>
      </w:r>
      <w:r w:rsidR="00EA37D7" w:rsidRPr="0078472B">
        <w:rPr>
          <w:rFonts w:ascii="Times New Roman" w:hAnsi="Times New Roman" w:cs="Times New Roman"/>
          <w:color w:val="000000" w:themeColor="text1"/>
          <w:sz w:val="24"/>
          <w:szCs w:val="24"/>
        </w:rPr>
        <w:t xml:space="preserve">White’s test, we </w:t>
      </w:r>
      <w:r w:rsidR="000A54A4" w:rsidRPr="0078472B">
        <w:rPr>
          <w:rFonts w:ascii="Times New Roman" w:hAnsi="Times New Roman" w:cs="Times New Roman"/>
          <w:color w:val="000000" w:themeColor="text1"/>
          <w:sz w:val="24"/>
          <w:szCs w:val="24"/>
        </w:rPr>
        <w:t xml:space="preserve">report </w:t>
      </w:r>
      <w:r w:rsidR="00EA37D7" w:rsidRPr="0078472B">
        <w:rPr>
          <w:rFonts w:ascii="Times New Roman" w:hAnsi="Times New Roman" w:cs="Times New Roman"/>
          <w:color w:val="000000" w:themeColor="text1"/>
          <w:sz w:val="24"/>
          <w:szCs w:val="24"/>
        </w:rPr>
        <w:t xml:space="preserve">robust standard errors in </w:t>
      </w:r>
      <w:r w:rsidR="000A54A4" w:rsidRPr="0078472B">
        <w:rPr>
          <w:rFonts w:ascii="Times New Roman" w:hAnsi="Times New Roman" w:cs="Times New Roman"/>
          <w:color w:val="000000" w:themeColor="text1"/>
          <w:sz w:val="24"/>
          <w:szCs w:val="24"/>
        </w:rPr>
        <w:t xml:space="preserve">results from </w:t>
      </w:r>
      <w:r w:rsidR="00EA37D7" w:rsidRPr="0078472B">
        <w:rPr>
          <w:rFonts w:ascii="Times New Roman" w:hAnsi="Times New Roman" w:cs="Times New Roman"/>
          <w:color w:val="000000" w:themeColor="text1"/>
          <w:sz w:val="24"/>
          <w:szCs w:val="24"/>
        </w:rPr>
        <w:t xml:space="preserve">regression models. </w:t>
      </w:r>
    </w:p>
    <w:p w14:paraId="52636759" w14:textId="77777777" w:rsidR="008644E0" w:rsidRPr="0078472B" w:rsidRDefault="008644E0" w:rsidP="00A540E5">
      <w:pPr>
        <w:spacing w:after="0" w:line="480" w:lineRule="auto"/>
        <w:jc w:val="both"/>
        <w:rPr>
          <w:rFonts w:ascii="Times New Roman" w:hAnsi="Times New Roman" w:cs="Times New Roman"/>
          <w:color w:val="000000" w:themeColor="text1"/>
          <w:sz w:val="24"/>
          <w:szCs w:val="24"/>
        </w:rPr>
      </w:pPr>
    </w:p>
    <w:p w14:paraId="31D2CBDE" w14:textId="2C1EDC13" w:rsidR="00B455D6" w:rsidRPr="0078472B" w:rsidRDefault="00C74E6B" w:rsidP="00C74E6B">
      <w:pPr>
        <w:spacing w:after="0" w:line="480" w:lineRule="auto"/>
        <w:jc w:val="center"/>
        <w:rPr>
          <w:rFonts w:ascii="Times New Roman" w:hAnsi="Times New Roman" w:cs="Times New Roman"/>
          <w:b/>
          <w:color w:val="000000" w:themeColor="text1"/>
          <w:sz w:val="24"/>
          <w:szCs w:val="24"/>
        </w:rPr>
      </w:pPr>
      <w:r w:rsidRPr="0078472B">
        <w:rPr>
          <w:rFonts w:ascii="Times New Roman" w:hAnsi="Times New Roman" w:cs="Times New Roman"/>
          <w:b/>
          <w:color w:val="000000" w:themeColor="text1"/>
          <w:sz w:val="24"/>
          <w:szCs w:val="24"/>
        </w:rPr>
        <w:lastRenderedPageBreak/>
        <w:t>RESULTS</w:t>
      </w:r>
    </w:p>
    <w:p w14:paraId="3CB2BA2D" w14:textId="03C4B34A" w:rsidR="00B455D6" w:rsidRPr="0078472B" w:rsidRDefault="00B455D6" w:rsidP="00A540E5">
      <w:pPr>
        <w:spacing w:after="0" w:line="480" w:lineRule="auto"/>
        <w:rPr>
          <w:rFonts w:ascii="Times New Roman" w:hAnsi="Times New Roman" w:cs="Times New Roman"/>
          <w:b/>
          <w:color w:val="000000" w:themeColor="text1"/>
          <w:sz w:val="24"/>
          <w:szCs w:val="24"/>
        </w:rPr>
      </w:pPr>
      <w:r w:rsidRPr="0078472B">
        <w:rPr>
          <w:rFonts w:ascii="Times New Roman" w:hAnsi="Times New Roman" w:cs="Times New Roman"/>
          <w:b/>
          <w:color w:val="000000" w:themeColor="text1"/>
          <w:sz w:val="24"/>
          <w:szCs w:val="24"/>
        </w:rPr>
        <w:t>Descriptive statistics</w:t>
      </w:r>
    </w:p>
    <w:p w14:paraId="58972B20" w14:textId="020109DD" w:rsidR="00C543FE" w:rsidRPr="0078472B" w:rsidRDefault="007B7E80"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The descriptive statistics are reported in Table 1. The socio-demographic statistics show that the average age</w:t>
      </w:r>
      <w:r w:rsidR="008F43CB" w:rsidRPr="0078472B">
        <w:rPr>
          <w:rFonts w:ascii="Times New Roman" w:hAnsi="Times New Roman" w:cs="Times New Roman"/>
          <w:color w:val="000000" w:themeColor="text1"/>
          <w:sz w:val="24"/>
          <w:szCs w:val="24"/>
        </w:rPr>
        <w:t xml:space="preserve"> of the adult population</w:t>
      </w:r>
      <w:r w:rsidRPr="0078472B">
        <w:rPr>
          <w:rFonts w:ascii="Times New Roman" w:hAnsi="Times New Roman" w:cs="Times New Roman"/>
          <w:color w:val="000000" w:themeColor="text1"/>
          <w:sz w:val="24"/>
          <w:szCs w:val="24"/>
        </w:rPr>
        <w:t xml:space="preserve"> </w:t>
      </w:r>
      <w:r w:rsidR="000A54A4" w:rsidRPr="0078472B">
        <w:rPr>
          <w:rFonts w:ascii="Times New Roman" w:hAnsi="Times New Roman" w:cs="Times New Roman"/>
          <w:color w:val="000000" w:themeColor="text1"/>
          <w:sz w:val="24"/>
          <w:szCs w:val="24"/>
        </w:rPr>
        <w:t xml:space="preserve">in a municipality </w:t>
      </w:r>
      <w:r w:rsidR="00644039" w:rsidRPr="0078472B">
        <w:rPr>
          <w:rFonts w:ascii="Times New Roman" w:hAnsi="Times New Roman" w:cs="Times New Roman"/>
          <w:color w:val="000000" w:themeColor="text1"/>
          <w:sz w:val="24"/>
          <w:szCs w:val="24"/>
        </w:rPr>
        <w:t>wa</w:t>
      </w:r>
      <w:r w:rsidRPr="0078472B">
        <w:rPr>
          <w:rFonts w:ascii="Times New Roman" w:hAnsi="Times New Roman" w:cs="Times New Roman"/>
          <w:color w:val="000000" w:themeColor="text1"/>
          <w:sz w:val="24"/>
          <w:szCs w:val="24"/>
        </w:rPr>
        <w:t xml:space="preserve">s </w:t>
      </w:r>
      <w:r w:rsidR="0020170F" w:rsidRPr="0078472B">
        <w:rPr>
          <w:rFonts w:ascii="Times New Roman" w:hAnsi="Times New Roman" w:cs="Times New Roman"/>
          <w:color w:val="000000" w:themeColor="text1"/>
          <w:sz w:val="24"/>
          <w:szCs w:val="24"/>
        </w:rPr>
        <w:t>nearly 45</w:t>
      </w:r>
      <w:r w:rsidRPr="0078472B">
        <w:rPr>
          <w:rFonts w:ascii="Times New Roman" w:hAnsi="Times New Roman" w:cs="Times New Roman"/>
          <w:color w:val="000000" w:themeColor="text1"/>
          <w:sz w:val="24"/>
          <w:szCs w:val="24"/>
        </w:rPr>
        <w:t xml:space="preserve"> years.</w:t>
      </w:r>
      <w:r w:rsidR="008F43CB" w:rsidRPr="0078472B">
        <w:rPr>
          <w:rFonts w:ascii="Times New Roman" w:hAnsi="Times New Roman" w:cs="Times New Roman"/>
          <w:color w:val="000000" w:themeColor="text1"/>
          <w:sz w:val="24"/>
          <w:szCs w:val="24"/>
        </w:rPr>
        <w:t xml:space="preserve"> The average municipality ha</w:t>
      </w:r>
      <w:r w:rsidR="00644039" w:rsidRPr="0078472B">
        <w:rPr>
          <w:rFonts w:ascii="Times New Roman" w:hAnsi="Times New Roman" w:cs="Times New Roman"/>
          <w:color w:val="000000" w:themeColor="text1"/>
          <w:sz w:val="24"/>
          <w:szCs w:val="24"/>
        </w:rPr>
        <w:t>d</w:t>
      </w:r>
      <w:r w:rsidR="000F447E" w:rsidRPr="0078472B">
        <w:rPr>
          <w:rFonts w:ascii="Times New Roman" w:hAnsi="Times New Roman" w:cs="Times New Roman"/>
          <w:color w:val="000000" w:themeColor="text1"/>
          <w:sz w:val="24"/>
          <w:szCs w:val="24"/>
        </w:rPr>
        <w:t xml:space="preserve"> almost 14,</w:t>
      </w:r>
      <w:r w:rsidR="008F43CB" w:rsidRPr="0078472B">
        <w:rPr>
          <w:rFonts w:ascii="Times New Roman" w:hAnsi="Times New Roman" w:cs="Times New Roman"/>
          <w:color w:val="000000" w:themeColor="text1"/>
          <w:sz w:val="24"/>
          <w:szCs w:val="24"/>
        </w:rPr>
        <w:t>000 adult residents though size exhibits great variation</w:t>
      </w:r>
      <w:r w:rsidR="000A54A4" w:rsidRPr="0078472B">
        <w:rPr>
          <w:rFonts w:ascii="Times New Roman" w:hAnsi="Times New Roman" w:cs="Times New Roman"/>
          <w:color w:val="000000" w:themeColor="text1"/>
          <w:sz w:val="24"/>
          <w:szCs w:val="24"/>
        </w:rPr>
        <w:t>,</w:t>
      </w:r>
      <w:r w:rsidR="008F43CB" w:rsidRPr="0078472B">
        <w:rPr>
          <w:rFonts w:ascii="Times New Roman" w:hAnsi="Times New Roman" w:cs="Times New Roman"/>
          <w:color w:val="000000" w:themeColor="text1"/>
          <w:sz w:val="24"/>
          <w:szCs w:val="24"/>
        </w:rPr>
        <w:t xml:space="preserve"> from less than </w:t>
      </w:r>
      <w:r w:rsidR="00957461" w:rsidRPr="0078472B">
        <w:rPr>
          <w:rFonts w:ascii="Times New Roman" w:hAnsi="Times New Roman" w:cs="Times New Roman"/>
          <w:color w:val="000000" w:themeColor="text1"/>
          <w:sz w:val="24"/>
          <w:szCs w:val="24"/>
        </w:rPr>
        <w:t>one</w:t>
      </w:r>
      <w:r w:rsidR="008F43CB" w:rsidRPr="0078472B">
        <w:rPr>
          <w:rFonts w:ascii="Times New Roman" w:hAnsi="Times New Roman" w:cs="Times New Roman"/>
          <w:color w:val="000000" w:themeColor="text1"/>
          <w:sz w:val="24"/>
          <w:szCs w:val="24"/>
        </w:rPr>
        <w:t xml:space="preserve"> hundred to </w:t>
      </w:r>
      <w:r w:rsidR="00957461" w:rsidRPr="0078472B">
        <w:rPr>
          <w:rFonts w:ascii="Times New Roman" w:hAnsi="Times New Roman" w:cs="Times New Roman"/>
          <w:color w:val="000000" w:themeColor="text1"/>
          <w:sz w:val="24"/>
          <w:szCs w:val="24"/>
        </w:rPr>
        <w:t xml:space="preserve">more than </w:t>
      </w:r>
      <w:r w:rsidR="008F43CB" w:rsidRPr="0078472B">
        <w:rPr>
          <w:rFonts w:ascii="Times New Roman" w:hAnsi="Times New Roman" w:cs="Times New Roman"/>
          <w:color w:val="000000" w:themeColor="text1"/>
          <w:sz w:val="24"/>
          <w:szCs w:val="24"/>
        </w:rPr>
        <w:t xml:space="preserve">half </w:t>
      </w:r>
      <w:r w:rsidR="00957461" w:rsidRPr="0078472B">
        <w:rPr>
          <w:rFonts w:ascii="Times New Roman" w:hAnsi="Times New Roman" w:cs="Times New Roman"/>
          <w:color w:val="000000" w:themeColor="text1"/>
          <w:sz w:val="24"/>
          <w:szCs w:val="24"/>
        </w:rPr>
        <w:t xml:space="preserve">a </w:t>
      </w:r>
      <w:r w:rsidR="008F43CB" w:rsidRPr="0078472B">
        <w:rPr>
          <w:rFonts w:ascii="Times New Roman" w:hAnsi="Times New Roman" w:cs="Times New Roman"/>
          <w:color w:val="000000" w:themeColor="text1"/>
          <w:sz w:val="24"/>
          <w:szCs w:val="24"/>
        </w:rPr>
        <w:t>m</w:t>
      </w:r>
      <w:r w:rsidR="007E64AB" w:rsidRPr="0078472B">
        <w:rPr>
          <w:rFonts w:ascii="Times New Roman" w:hAnsi="Times New Roman" w:cs="Times New Roman"/>
          <w:color w:val="000000" w:themeColor="text1"/>
          <w:sz w:val="24"/>
          <w:szCs w:val="24"/>
        </w:rPr>
        <w:t xml:space="preserve">illion. The average education level corresponds to roughly 3 years of secondary and higher level education. The average </w:t>
      </w:r>
      <w:r w:rsidR="00957461" w:rsidRPr="0078472B">
        <w:rPr>
          <w:rFonts w:ascii="Times New Roman" w:hAnsi="Times New Roman" w:cs="Times New Roman"/>
          <w:color w:val="000000" w:themeColor="text1"/>
          <w:sz w:val="24"/>
          <w:szCs w:val="24"/>
        </w:rPr>
        <w:t xml:space="preserve">municipality </w:t>
      </w:r>
      <w:r w:rsidR="007E64AB" w:rsidRPr="0078472B">
        <w:rPr>
          <w:rFonts w:ascii="Times New Roman" w:hAnsi="Times New Roman" w:cs="Times New Roman"/>
          <w:color w:val="000000" w:themeColor="text1"/>
          <w:sz w:val="24"/>
          <w:szCs w:val="24"/>
        </w:rPr>
        <w:t xml:space="preserve">unemployment rate </w:t>
      </w:r>
      <w:r w:rsidR="00644039" w:rsidRPr="0078472B">
        <w:rPr>
          <w:rFonts w:ascii="Times New Roman" w:hAnsi="Times New Roman" w:cs="Times New Roman"/>
          <w:color w:val="000000" w:themeColor="text1"/>
          <w:sz w:val="24"/>
          <w:szCs w:val="24"/>
        </w:rPr>
        <w:t>wa</w:t>
      </w:r>
      <w:r w:rsidR="007E64AB" w:rsidRPr="0078472B">
        <w:rPr>
          <w:rFonts w:ascii="Times New Roman" w:hAnsi="Times New Roman" w:cs="Times New Roman"/>
          <w:color w:val="000000" w:themeColor="text1"/>
          <w:sz w:val="24"/>
          <w:szCs w:val="24"/>
        </w:rPr>
        <w:t xml:space="preserve">s approximately 9%. </w:t>
      </w:r>
      <w:r w:rsidR="0030060F" w:rsidRPr="0078472B">
        <w:rPr>
          <w:rFonts w:ascii="Times New Roman" w:hAnsi="Times New Roman" w:cs="Times New Roman"/>
          <w:color w:val="000000" w:themeColor="text1"/>
          <w:sz w:val="24"/>
          <w:szCs w:val="24"/>
        </w:rPr>
        <w:t>Although t</w:t>
      </w:r>
      <w:r w:rsidR="007E64AB" w:rsidRPr="0078472B">
        <w:rPr>
          <w:rFonts w:ascii="Times New Roman" w:hAnsi="Times New Roman" w:cs="Times New Roman"/>
          <w:color w:val="000000" w:themeColor="text1"/>
          <w:sz w:val="24"/>
          <w:szCs w:val="24"/>
        </w:rPr>
        <w:t xml:space="preserve">he inter-municipal net migration cancels out </w:t>
      </w:r>
      <w:r w:rsidR="00644039" w:rsidRPr="0078472B">
        <w:rPr>
          <w:rFonts w:ascii="Times New Roman" w:hAnsi="Times New Roman" w:cs="Times New Roman"/>
          <w:color w:val="000000" w:themeColor="text1"/>
          <w:sz w:val="24"/>
          <w:szCs w:val="24"/>
        </w:rPr>
        <w:t>on average</w:t>
      </w:r>
      <w:r w:rsidR="007E64AB" w:rsidRPr="0078472B">
        <w:rPr>
          <w:rFonts w:ascii="Times New Roman" w:hAnsi="Times New Roman" w:cs="Times New Roman"/>
          <w:color w:val="000000" w:themeColor="text1"/>
          <w:sz w:val="24"/>
          <w:szCs w:val="24"/>
        </w:rPr>
        <w:t>, there are municipalities</w:t>
      </w:r>
      <w:r w:rsidR="00C543FE" w:rsidRPr="0078472B">
        <w:rPr>
          <w:rFonts w:ascii="Times New Roman" w:hAnsi="Times New Roman" w:cs="Times New Roman"/>
          <w:color w:val="000000" w:themeColor="text1"/>
          <w:sz w:val="24"/>
          <w:szCs w:val="24"/>
        </w:rPr>
        <w:t xml:space="preserve"> which</w:t>
      </w:r>
      <w:r w:rsidR="007E64AB" w:rsidRPr="0078472B">
        <w:rPr>
          <w:rFonts w:ascii="Times New Roman" w:hAnsi="Times New Roman" w:cs="Times New Roman"/>
          <w:color w:val="000000" w:themeColor="text1"/>
          <w:sz w:val="24"/>
          <w:szCs w:val="24"/>
        </w:rPr>
        <w:t xml:space="preserve"> </w:t>
      </w:r>
      <w:r w:rsidR="00C543FE" w:rsidRPr="0078472B">
        <w:rPr>
          <w:rFonts w:ascii="Times New Roman" w:hAnsi="Times New Roman" w:cs="Times New Roman"/>
          <w:color w:val="000000" w:themeColor="text1"/>
          <w:sz w:val="24"/>
          <w:szCs w:val="24"/>
        </w:rPr>
        <w:t xml:space="preserve">attract population and those that lose residents. </w:t>
      </w:r>
      <w:r w:rsidR="0030060F" w:rsidRPr="0078472B">
        <w:rPr>
          <w:rFonts w:ascii="Times New Roman" w:hAnsi="Times New Roman" w:cs="Times New Roman"/>
          <w:color w:val="000000" w:themeColor="text1"/>
          <w:sz w:val="24"/>
          <w:szCs w:val="24"/>
        </w:rPr>
        <w:t>A</w:t>
      </w:r>
      <w:r w:rsidR="007E64AB" w:rsidRPr="0078472B">
        <w:rPr>
          <w:rFonts w:ascii="Times New Roman" w:hAnsi="Times New Roman" w:cs="Times New Roman"/>
          <w:color w:val="000000" w:themeColor="text1"/>
          <w:sz w:val="24"/>
          <w:szCs w:val="24"/>
        </w:rPr>
        <w:t xml:space="preserve"> third of </w:t>
      </w:r>
      <w:r w:rsidR="00C543FE" w:rsidRPr="0078472B">
        <w:rPr>
          <w:rFonts w:ascii="Times New Roman" w:hAnsi="Times New Roman" w:cs="Times New Roman"/>
          <w:color w:val="000000" w:themeColor="text1"/>
          <w:sz w:val="24"/>
          <w:szCs w:val="24"/>
        </w:rPr>
        <w:t xml:space="preserve">the </w:t>
      </w:r>
      <w:r w:rsidR="007E64AB" w:rsidRPr="0078472B">
        <w:rPr>
          <w:rFonts w:ascii="Times New Roman" w:hAnsi="Times New Roman" w:cs="Times New Roman"/>
          <w:color w:val="000000" w:themeColor="text1"/>
          <w:sz w:val="24"/>
          <w:szCs w:val="24"/>
        </w:rPr>
        <w:t xml:space="preserve">municipalities </w:t>
      </w:r>
      <w:r w:rsidR="00644039" w:rsidRPr="0078472B">
        <w:rPr>
          <w:rFonts w:ascii="Times New Roman" w:hAnsi="Times New Roman" w:cs="Times New Roman"/>
          <w:color w:val="000000" w:themeColor="text1"/>
          <w:sz w:val="24"/>
          <w:szCs w:val="24"/>
        </w:rPr>
        <w:t>w</w:t>
      </w:r>
      <w:r w:rsidR="00957461" w:rsidRPr="0078472B">
        <w:rPr>
          <w:rFonts w:ascii="Times New Roman" w:hAnsi="Times New Roman" w:cs="Times New Roman"/>
          <w:color w:val="000000" w:themeColor="text1"/>
          <w:sz w:val="24"/>
          <w:szCs w:val="24"/>
        </w:rPr>
        <w:t>ere</w:t>
      </w:r>
      <w:r w:rsidR="00C543FE" w:rsidRPr="0078472B">
        <w:rPr>
          <w:rFonts w:ascii="Times New Roman" w:hAnsi="Times New Roman" w:cs="Times New Roman"/>
          <w:color w:val="000000" w:themeColor="text1"/>
          <w:sz w:val="24"/>
          <w:szCs w:val="24"/>
        </w:rPr>
        <w:t xml:space="preserve"> classified</w:t>
      </w:r>
      <w:r w:rsidR="007E64AB" w:rsidRPr="0078472B">
        <w:rPr>
          <w:rFonts w:ascii="Times New Roman" w:hAnsi="Times New Roman" w:cs="Times New Roman"/>
          <w:color w:val="000000" w:themeColor="text1"/>
          <w:sz w:val="24"/>
          <w:szCs w:val="24"/>
        </w:rPr>
        <w:t xml:space="preserve"> as cit</w:t>
      </w:r>
      <w:r w:rsidR="00957461" w:rsidRPr="0078472B">
        <w:rPr>
          <w:rFonts w:ascii="Times New Roman" w:hAnsi="Times New Roman" w:cs="Times New Roman"/>
          <w:color w:val="000000" w:themeColor="text1"/>
          <w:sz w:val="24"/>
          <w:szCs w:val="24"/>
        </w:rPr>
        <w:t>ies</w:t>
      </w:r>
      <w:r w:rsidR="007E64AB" w:rsidRPr="0078472B">
        <w:rPr>
          <w:rFonts w:ascii="Times New Roman" w:hAnsi="Times New Roman" w:cs="Times New Roman"/>
          <w:color w:val="000000" w:themeColor="text1"/>
          <w:sz w:val="24"/>
          <w:szCs w:val="24"/>
        </w:rPr>
        <w:t xml:space="preserve">. </w:t>
      </w:r>
      <w:r w:rsidR="00957461" w:rsidRPr="0078472B">
        <w:rPr>
          <w:rFonts w:ascii="Times New Roman" w:hAnsi="Times New Roman" w:cs="Times New Roman"/>
          <w:color w:val="000000" w:themeColor="text1"/>
          <w:sz w:val="24"/>
          <w:szCs w:val="24"/>
        </w:rPr>
        <w:t>The proportion of r</w:t>
      </w:r>
      <w:r w:rsidR="00C543FE" w:rsidRPr="0078472B">
        <w:rPr>
          <w:rFonts w:ascii="Times New Roman" w:hAnsi="Times New Roman" w:cs="Times New Roman"/>
          <w:color w:val="000000" w:themeColor="text1"/>
          <w:sz w:val="24"/>
          <w:szCs w:val="24"/>
        </w:rPr>
        <w:t xml:space="preserve">esidents identifying themselves as Swedish-speaking </w:t>
      </w:r>
      <w:r w:rsidR="00957461" w:rsidRPr="0078472B">
        <w:rPr>
          <w:rFonts w:ascii="Times New Roman" w:hAnsi="Times New Roman" w:cs="Times New Roman"/>
          <w:color w:val="000000" w:themeColor="text1"/>
          <w:sz w:val="24"/>
          <w:szCs w:val="24"/>
        </w:rPr>
        <w:t xml:space="preserve">was </w:t>
      </w:r>
      <w:r w:rsidR="00765454" w:rsidRPr="0078472B">
        <w:rPr>
          <w:rFonts w:ascii="Times New Roman" w:hAnsi="Times New Roman" w:cs="Times New Roman"/>
          <w:color w:val="000000" w:themeColor="text1"/>
          <w:sz w:val="24"/>
          <w:szCs w:val="24"/>
        </w:rPr>
        <w:t xml:space="preserve">almost 10% </w:t>
      </w:r>
      <w:r w:rsidR="00957461" w:rsidRPr="0078472B">
        <w:rPr>
          <w:rFonts w:ascii="Times New Roman" w:hAnsi="Times New Roman" w:cs="Times New Roman"/>
          <w:color w:val="000000" w:themeColor="text1"/>
          <w:sz w:val="24"/>
          <w:szCs w:val="24"/>
        </w:rPr>
        <w:t>on average</w:t>
      </w:r>
      <w:r w:rsidR="00C543FE" w:rsidRPr="0078472B">
        <w:rPr>
          <w:rFonts w:ascii="Times New Roman" w:hAnsi="Times New Roman" w:cs="Times New Roman"/>
          <w:color w:val="000000" w:themeColor="text1"/>
          <w:sz w:val="24"/>
          <w:szCs w:val="24"/>
        </w:rPr>
        <w:t xml:space="preserve">, but the range </w:t>
      </w:r>
      <w:r w:rsidR="00957461" w:rsidRPr="0078472B">
        <w:rPr>
          <w:rFonts w:ascii="Times New Roman" w:hAnsi="Times New Roman" w:cs="Times New Roman"/>
          <w:color w:val="000000" w:themeColor="text1"/>
          <w:sz w:val="24"/>
          <w:szCs w:val="24"/>
        </w:rPr>
        <w:t>wa</w:t>
      </w:r>
      <w:r w:rsidR="00C543FE" w:rsidRPr="0078472B">
        <w:rPr>
          <w:rFonts w:ascii="Times New Roman" w:hAnsi="Times New Roman" w:cs="Times New Roman"/>
          <w:color w:val="000000" w:themeColor="text1"/>
          <w:sz w:val="24"/>
          <w:szCs w:val="24"/>
        </w:rPr>
        <w:t xml:space="preserve">s wide </w:t>
      </w:r>
      <w:r w:rsidR="00693D68" w:rsidRPr="0078472B">
        <w:rPr>
          <w:rFonts w:ascii="Times New Roman" w:hAnsi="Times New Roman" w:cs="Times New Roman"/>
          <w:color w:val="000000" w:themeColor="text1"/>
          <w:sz w:val="24"/>
          <w:szCs w:val="24"/>
        </w:rPr>
        <w:t>from zero</w:t>
      </w:r>
      <w:r w:rsidR="00C543FE" w:rsidRPr="0078472B">
        <w:rPr>
          <w:rFonts w:ascii="Times New Roman" w:hAnsi="Times New Roman" w:cs="Times New Roman"/>
          <w:color w:val="000000" w:themeColor="text1"/>
          <w:sz w:val="24"/>
          <w:szCs w:val="24"/>
        </w:rPr>
        <w:t xml:space="preserve"> to almost exclusively Swedish-speaking municipalities.</w:t>
      </w:r>
    </w:p>
    <w:p w14:paraId="492A2E1F" w14:textId="77777777" w:rsidR="00A51437" w:rsidRPr="0078472B" w:rsidRDefault="00A51437" w:rsidP="00A540E5">
      <w:pPr>
        <w:spacing w:after="0" w:line="480" w:lineRule="auto"/>
        <w:jc w:val="both"/>
        <w:rPr>
          <w:rFonts w:ascii="Times New Roman" w:hAnsi="Times New Roman" w:cs="Times New Roman"/>
          <w:color w:val="000000" w:themeColor="text1"/>
          <w:sz w:val="24"/>
          <w:szCs w:val="24"/>
        </w:rPr>
      </w:pPr>
    </w:p>
    <w:p w14:paraId="2371C57D" w14:textId="3CCC0CB8" w:rsidR="00C36A9A" w:rsidRPr="0078472B" w:rsidRDefault="00A51437"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Regarding the offline betting environment variables, there were 42 racetracks in the country</w:t>
      </w:r>
      <w:r w:rsidR="00657C96"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13% of municipalities had a racetrack, of which 28 hosted a horse race meeting in August 2012.</w:t>
      </w:r>
      <w:r w:rsidR="00657C96"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 xml:space="preserve">Further, </w:t>
      </w:r>
      <w:r w:rsidR="0020170F" w:rsidRPr="0078472B">
        <w:rPr>
          <w:rFonts w:ascii="Times New Roman" w:hAnsi="Times New Roman" w:cs="Times New Roman"/>
          <w:color w:val="000000" w:themeColor="text1"/>
          <w:sz w:val="24"/>
          <w:szCs w:val="24"/>
        </w:rPr>
        <w:t>43</w:t>
      </w:r>
      <w:r w:rsidRPr="0078472B">
        <w:rPr>
          <w:rFonts w:ascii="Times New Roman" w:hAnsi="Times New Roman" w:cs="Times New Roman"/>
          <w:color w:val="000000" w:themeColor="text1"/>
          <w:sz w:val="24"/>
          <w:szCs w:val="24"/>
        </w:rPr>
        <w:t xml:space="preserve">% of municipalities were adjacent to a municipality with a racetrack. The frequency of horse race meetings at a racetrack ranged between 0 and 4, corresponding to an average of 0.17 meetings per racetrack during the observation period. As for off-track betting, there were 0.20 off-track betting venues per 1,000 inhabitants. However, there were no such venues in 96 municipalities. </w:t>
      </w:r>
    </w:p>
    <w:p w14:paraId="72383A0B" w14:textId="62054349" w:rsidR="00A51437" w:rsidRPr="0078472B" w:rsidRDefault="00A51437"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lastRenderedPageBreak/>
        <w:t xml:space="preserve">The equine variables were intended to capture interest in horses. On average, there were </w:t>
      </w:r>
      <w:r w:rsidR="00A7189C" w:rsidRPr="0078472B">
        <w:rPr>
          <w:rFonts w:ascii="Times New Roman" w:hAnsi="Times New Roman" w:cs="Times New Roman"/>
          <w:color w:val="000000" w:themeColor="text1"/>
          <w:sz w:val="24"/>
          <w:szCs w:val="24"/>
        </w:rPr>
        <w:t>18</w:t>
      </w:r>
      <w:r w:rsidRPr="0078472B">
        <w:rPr>
          <w:rFonts w:ascii="Times New Roman" w:hAnsi="Times New Roman" w:cs="Times New Roman"/>
          <w:color w:val="000000" w:themeColor="text1"/>
          <w:sz w:val="24"/>
          <w:szCs w:val="24"/>
        </w:rPr>
        <w:t xml:space="preserve"> horse owners</w:t>
      </w:r>
      <w:r w:rsidR="00A7189C" w:rsidRPr="0078472B">
        <w:rPr>
          <w:rFonts w:ascii="Times New Roman" w:hAnsi="Times New Roman" w:cs="Times New Roman"/>
          <w:color w:val="000000" w:themeColor="text1"/>
          <w:sz w:val="24"/>
          <w:szCs w:val="24"/>
        </w:rPr>
        <w:t xml:space="preserve"> per 1,000 inhabitants</w:t>
      </w:r>
      <w:r w:rsidRPr="0078472B">
        <w:rPr>
          <w:rFonts w:ascii="Times New Roman" w:hAnsi="Times New Roman" w:cs="Times New Roman"/>
          <w:color w:val="000000" w:themeColor="text1"/>
          <w:sz w:val="24"/>
          <w:szCs w:val="24"/>
        </w:rPr>
        <w:t xml:space="preserve"> in a municipality</w:t>
      </w:r>
      <w:r w:rsidR="00F64A09">
        <w:rPr>
          <w:rFonts w:ascii="Times New Roman" w:hAnsi="Times New Roman" w:cs="Times New Roman"/>
          <w:color w:val="000000" w:themeColor="text1"/>
          <w:sz w:val="24"/>
          <w:szCs w:val="24"/>
        </w:rPr>
        <w:t xml:space="preserve"> </w:t>
      </w:r>
      <w:r w:rsidR="00F64A09" w:rsidRPr="002F5148">
        <w:rPr>
          <w:rFonts w:ascii="Times New Roman" w:hAnsi="Times New Roman" w:cs="Times New Roman"/>
          <w:color w:val="000000" w:themeColor="text1"/>
          <w:sz w:val="24"/>
          <w:szCs w:val="24"/>
        </w:rPr>
        <w:t xml:space="preserve">and </w:t>
      </w:r>
      <w:r w:rsidR="00F64A09" w:rsidRPr="002F5148">
        <w:rPr>
          <w:rFonts w:ascii="Times New Roman" w:hAnsi="Times New Roman"/>
          <w:color w:val="000000" w:themeColor="text1"/>
          <w:sz w:val="24"/>
          <w:szCs w:val="24"/>
        </w:rPr>
        <w:t>at least one horse owner in almost every municipality (318 out of 320)</w:t>
      </w:r>
      <w:r w:rsidRPr="002F5148">
        <w:rPr>
          <w:rFonts w:ascii="Times New Roman" w:hAnsi="Times New Roman" w:cs="Times New Roman"/>
          <w:color w:val="000000" w:themeColor="text1"/>
          <w:sz w:val="24"/>
          <w:szCs w:val="24"/>
        </w:rPr>
        <w:t>.</w:t>
      </w:r>
      <w:r w:rsidR="00765454" w:rsidRPr="0078472B">
        <w:rPr>
          <w:rFonts w:ascii="Times New Roman" w:hAnsi="Times New Roman" w:cs="Times New Roman"/>
          <w:color w:val="000000" w:themeColor="text1"/>
          <w:sz w:val="24"/>
          <w:szCs w:val="24"/>
        </w:rPr>
        <w:t xml:space="preserve"> </w:t>
      </w:r>
      <w:r w:rsidR="00CE2CA0" w:rsidRPr="0078472B">
        <w:rPr>
          <w:rFonts w:ascii="Times New Roman" w:hAnsi="Times New Roman"/>
          <w:color w:val="000000" w:themeColor="text1"/>
          <w:sz w:val="24"/>
          <w:szCs w:val="24"/>
        </w:rPr>
        <w:t>It should be noted</w:t>
      </w:r>
      <w:r w:rsidR="00157B2D" w:rsidRPr="0078472B">
        <w:rPr>
          <w:rFonts w:ascii="Times New Roman" w:hAnsi="Times New Roman"/>
          <w:color w:val="000000" w:themeColor="text1"/>
          <w:sz w:val="24"/>
          <w:szCs w:val="24"/>
        </w:rPr>
        <w:t xml:space="preserve"> that a horse can have more than one owner,</w:t>
      </w:r>
      <w:r w:rsidR="000967B6" w:rsidRPr="0078472B">
        <w:rPr>
          <w:rFonts w:ascii="Times New Roman" w:hAnsi="Times New Roman"/>
          <w:color w:val="000000" w:themeColor="text1"/>
          <w:sz w:val="24"/>
          <w:szCs w:val="24"/>
        </w:rPr>
        <w:t xml:space="preserve"> one owner can own several horses, </w:t>
      </w:r>
      <w:r w:rsidR="00157B2D" w:rsidRPr="0078472B">
        <w:rPr>
          <w:rFonts w:ascii="Times New Roman" w:hAnsi="Times New Roman"/>
          <w:color w:val="000000" w:themeColor="text1"/>
          <w:sz w:val="24"/>
          <w:szCs w:val="24"/>
        </w:rPr>
        <w:t xml:space="preserve">and owners do not necessarily </w:t>
      </w:r>
      <w:r w:rsidR="00466834" w:rsidRPr="0078472B">
        <w:rPr>
          <w:rFonts w:ascii="Times New Roman" w:hAnsi="Times New Roman"/>
          <w:color w:val="000000" w:themeColor="text1"/>
          <w:sz w:val="24"/>
          <w:szCs w:val="24"/>
        </w:rPr>
        <w:t>live</w:t>
      </w:r>
      <w:r w:rsidR="00157B2D" w:rsidRPr="0078472B">
        <w:rPr>
          <w:rFonts w:ascii="Times New Roman" w:hAnsi="Times New Roman"/>
          <w:color w:val="000000" w:themeColor="text1"/>
          <w:sz w:val="24"/>
          <w:szCs w:val="24"/>
        </w:rPr>
        <w:t xml:space="preserve"> in the same municipality </w:t>
      </w:r>
      <w:r w:rsidR="00466834" w:rsidRPr="0078472B">
        <w:rPr>
          <w:rFonts w:ascii="Times New Roman" w:hAnsi="Times New Roman"/>
          <w:color w:val="000000" w:themeColor="text1"/>
          <w:sz w:val="24"/>
          <w:szCs w:val="24"/>
        </w:rPr>
        <w:t xml:space="preserve">as </w:t>
      </w:r>
      <w:r w:rsidR="00157B2D" w:rsidRPr="0078472B">
        <w:rPr>
          <w:rFonts w:ascii="Times New Roman" w:hAnsi="Times New Roman"/>
          <w:color w:val="000000" w:themeColor="text1"/>
          <w:sz w:val="24"/>
          <w:szCs w:val="24"/>
        </w:rPr>
        <w:t>their horses</w:t>
      </w:r>
      <w:r w:rsidR="00157B2D"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 xml:space="preserve">By their composition, </w:t>
      </w:r>
      <w:r w:rsidR="00A7189C" w:rsidRPr="0078472B">
        <w:rPr>
          <w:rFonts w:ascii="Times New Roman" w:hAnsi="Times New Roman" w:cs="Times New Roman"/>
          <w:color w:val="000000" w:themeColor="text1"/>
          <w:sz w:val="24"/>
          <w:szCs w:val="24"/>
        </w:rPr>
        <w:t xml:space="preserve">there were 11 warmblood horses as opposed to 3,5 riding horses per 1,000 inhabitants </w:t>
      </w:r>
      <w:r w:rsidRPr="0078472B">
        <w:rPr>
          <w:rFonts w:ascii="Times New Roman" w:hAnsi="Times New Roman" w:cs="Times New Roman"/>
          <w:color w:val="000000" w:themeColor="text1"/>
          <w:sz w:val="24"/>
          <w:szCs w:val="24"/>
        </w:rPr>
        <w:t xml:space="preserve">in an average municipality. The online horse race betting statistics show that the average number of bettors per </w:t>
      </w:r>
      <w:r w:rsidR="00A7189C" w:rsidRPr="0078472B">
        <w:rPr>
          <w:rFonts w:ascii="Times New Roman" w:hAnsi="Times New Roman" w:cs="Times New Roman"/>
          <w:color w:val="000000" w:themeColor="text1"/>
          <w:sz w:val="24"/>
          <w:szCs w:val="24"/>
        </w:rPr>
        <w:t xml:space="preserve">1,000 inhabitants in a </w:t>
      </w:r>
      <w:r w:rsidRPr="0078472B">
        <w:rPr>
          <w:rFonts w:ascii="Times New Roman" w:hAnsi="Times New Roman" w:cs="Times New Roman"/>
          <w:color w:val="000000" w:themeColor="text1"/>
          <w:sz w:val="24"/>
          <w:szCs w:val="24"/>
        </w:rPr>
        <w:t xml:space="preserve">municipality was </w:t>
      </w:r>
      <w:r w:rsidR="00A7189C" w:rsidRPr="0078472B">
        <w:rPr>
          <w:rFonts w:ascii="Times New Roman" w:hAnsi="Times New Roman" w:cs="Times New Roman"/>
          <w:color w:val="000000" w:themeColor="text1"/>
          <w:sz w:val="24"/>
          <w:szCs w:val="24"/>
        </w:rPr>
        <w:t>4.8</w:t>
      </w:r>
      <w:r w:rsidRPr="0078472B">
        <w:rPr>
          <w:rFonts w:ascii="Times New Roman" w:hAnsi="Times New Roman" w:cs="Times New Roman"/>
          <w:color w:val="000000" w:themeColor="text1"/>
          <w:sz w:val="24"/>
          <w:szCs w:val="24"/>
        </w:rPr>
        <w:t xml:space="preserve">, while their average expenditure on horse race betting totalled nearly </w:t>
      </w:r>
      <w:r w:rsidR="00A7189C" w:rsidRPr="0078472B">
        <w:rPr>
          <w:rFonts w:ascii="Times New Roman" w:hAnsi="Times New Roman" w:cs="Times New Roman"/>
          <w:color w:val="000000" w:themeColor="text1"/>
          <w:sz w:val="24"/>
          <w:szCs w:val="24"/>
        </w:rPr>
        <w:t>1,319</w:t>
      </w:r>
      <w:r w:rsidRPr="0078472B">
        <w:rPr>
          <w:rFonts w:ascii="Times New Roman" w:hAnsi="Times New Roman" w:cs="Times New Roman"/>
          <w:color w:val="000000" w:themeColor="text1"/>
          <w:sz w:val="24"/>
          <w:szCs w:val="24"/>
        </w:rPr>
        <w:t xml:space="preserve"> euros</w:t>
      </w:r>
      <w:r w:rsidR="00A7189C" w:rsidRPr="0078472B">
        <w:rPr>
          <w:rFonts w:ascii="Times New Roman" w:hAnsi="Times New Roman" w:cs="Times New Roman"/>
          <w:color w:val="000000" w:themeColor="text1"/>
          <w:sz w:val="24"/>
          <w:szCs w:val="24"/>
        </w:rPr>
        <w:t xml:space="preserve"> per 1,000 inhabitants</w:t>
      </w:r>
      <w:r w:rsidRPr="0078472B">
        <w:rPr>
          <w:rFonts w:ascii="Times New Roman" w:hAnsi="Times New Roman" w:cs="Times New Roman"/>
          <w:color w:val="000000" w:themeColor="text1"/>
          <w:sz w:val="24"/>
          <w:szCs w:val="24"/>
        </w:rPr>
        <w:t xml:space="preserve"> in that month. </w:t>
      </w:r>
    </w:p>
    <w:p w14:paraId="54EA4123" w14:textId="77777777" w:rsidR="00A7189C" w:rsidRPr="0078472B" w:rsidRDefault="00A7189C" w:rsidP="00A540E5">
      <w:pPr>
        <w:spacing w:after="0" w:line="480" w:lineRule="auto"/>
        <w:jc w:val="both"/>
        <w:rPr>
          <w:rFonts w:ascii="Times New Roman" w:hAnsi="Times New Roman" w:cs="Times New Roman"/>
          <w:color w:val="000000" w:themeColor="text1"/>
          <w:sz w:val="24"/>
          <w:szCs w:val="24"/>
        </w:rPr>
      </w:pPr>
    </w:p>
    <w:p w14:paraId="1D74CDC8" w14:textId="3BB97176" w:rsidR="00240631" w:rsidRPr="0078472B" w:rsidRDefault="0093244E" w:rsidP="00A540E5">
      <w:pPr>
        <w:spacing w:after="0" w:line="480" w:lineRule="auto"/>
        <w:rPr>
          <w:rFonts w:ascii="Times New Roman" w:hAnsi="Times New Roman" w:cs="Times New Roman"/>
          <w:b/>
          <w:color w:val="000000" w:themeColor="text1"/>
          <w:sz w:val="24"/>
          <w:szCs w:val="24"/>
          <w:lang w:val="en-US"/>
        </w:rPr>
      </w:pPr>
      <w:r w:rsidRPr="0078472B">
        <w:rPr>
          <w:rFonts w:ascii="Times New Roman" w:hAnsi="Times New Roman" w:cs="Times New Roman"/>
          <w:color w:val="000000" w:themeColor="text1"/>
          <w:sz w:val="24"/>
          <w:szCs w:val="24"/>
          <w:lang w:val="en-US"/>
        </w:rPr>
        <w:t>[</w:t>
      </w:r>
      <w:r w:rsidR="00240631" w:rsidRPr="0078472B">
        <w:rPr>
          <w:rFonts w:ascii="Times New Roman" w:hAnsi="Times New Roman" w:cs="Times New Roman"/>
          <w:color w:val="000000" w:themeColor="text1"/>
          <w:sz w:val="24"/>
          <w:szCs w:val="24"/>
          <w:lang w:val="en-US"/>
        </w:rPr>
        <w:t>Table 1.</w:t>
      </w:r>
      <w:r w:rsidR="00240631" w:rsidRPr="0078472B">
        <w:rPr>
          <w:rFonts w:ascii="Times New Roman" w:hAnsi="Times New Roman" w:cs="Times New Roman"/>
          <w:b/>
          <w:color w:val="000000" w:themeColor="text1"/>
          <w:sz w:val="24"/>
          <w:szCs w:val="24"/>
          <w:lang w:val="en-US"/>
        </w:rPr>
        <w:t xml:space="preserve"> </w:t>
      </w:r>
      <w:r w:rsidRPr="0078472B">
        <w:rPr>
          <w:rFonts w:ascii="Times New Roman" w:hAnsi="Times New Roman" w:cs="Times New Roman"/>
          <w:color w:val="000000" w:themeColor="text1"/>
          <w:sz w:val="24"/>
          <w:szCs w:val="24"/>
          <w:lang w:val="en-US"/>
        </w:rPr>
        <w:t>HERE]</w:t>
      </w:r>
      <w:r w:rsidR="003B3399" w:rsidRPr="0078472B">
        <w:rPr>
          <w:rFonts w:ascii="Times New Roman" w:hAnsi="Times New Roman" w:cs="Times New Roman"/>
          <w:color w:val="000000" w:themeColor="text1"/>
          <w:sz w:val="24"/>
          <w:szCs w:val="24"/>
          <w:lang w:val="en-US"/>
        </w:rPr>
        <w:t xml:space="preserve"> </w:t>
      </w:r>
      <w:r w:rsidR="00240631" w:rsidRPr="0078472B">
        <w:rPr>
          <w:rFonts w:ascii="Times New Roman" w:hAnsi="Times New Roman" w:cs="Times New Roman"/>
          <w:b/>
          <w:color w:val="000000" w:themeColor="text1"/>
          <w:sz w:val="24"/>
          <w:szCs w:val="24"/>
          <w:lang w:val="en-US"/>
        </w:rPr>
        <w:t xml:space="preserve"> </w:t>
      </w:r>
    </w:p>
    <w:p w14:paraId="54427E97" w14:textId="77777777" w:rsidR="00CE2CA0" w:rsidRPr="0078472B" w:rsidRDefault="00CE2CA0" w:rsidP="00A540E5">
      <w:pPr>
        <w:spacing w:after="0" w:line="480" w:lineRule="auto"/>
        <w:rPr>
          <w:rFonts w:ascii="Times New Roman" w:hAnsi="Times New Roman" w:cs="Times New Roman"/>
          <w:b/>
          <w:color w:val="000000" w:themeColor="text1"/>
          <w:sz w:val="24"/>
          <w:szCs w:val="24"/>
          <w:lang w:val="en-US"/>
        </w:rPr>
      </w:pPr>
    </w:p>
    <w:p w14:paraId="799569BC" w14:textId="76C62336" w:rsidR="00EE3A0E" w:rsidRPr="0078472B" w:rsidRDefault="002614E7" w:rsidP="00EE3A0E">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The geographical origin of bets is illustrated in Figure 1.</w:t>
      </w:r>
      <w:r w:rsidR="00CF1ACD" w:rsidRPr="0078472B">
        <w:rPr>
          <w:rFonts w:ascii="Times New Roman" w:hAnsi="Times New Roman" w:cs="Times New Roman"/>
          <w:color w:val="000000" w:themeColor="text1"/>
          <w:sz w:val="24"/>
          <w:szCs w:val="24"/>
        </w:rPr>
        <w:t xml:space="preserve"> </w:t>
      </w:r>
      <w:r w:rsidR="00CD0931" w:rsidRPr="0078472B">
        <w:rPr>
          <w:rFonts w:ascii="Times New Roman" w:hAnsi="Times New Roman" w:cs="Times New Roman"/>
          <w:color w:val="000000" w:themeColor="text1"/>
          <w:sz w:val="24"/>
          <w:szCs w:val="24"/>
        </w:rPr>
        <w:t xml:space="preserve">The </w:t>
      </w:r>
      <w:r w:rsidR="00CF1ACD" w:rsidRPr="0078472B">
        <w:rPr>
          <w:rFonts w:ascii="Times New Roman" w:hAnsi="Times New Roman" w:cs="Times New Roman"/>
          <w:color w:val="000000" w:themeColor="text1"/>
          <w:sz w:val="24"/>
          <w:szCs w:val="24"/>
        </w:rPr>
        <w:t xml:space="preserve">total </w:t>
      </w:r>
      <w:r w:rsidR="00CD0931" w:rsidRPr="0078472B">
        <w:rPr>
          <w:rFonts w:ascii="Times New Roman" w:hAnsi="Times New Roman" w:cs="Times New Roman"/>
          <w:color w:val="000000" w:themeColor="text1"/>
          <w:sz w:val="24"/>
          <w:szCs w:val="24"/>
        </w:rPr>
        <w:t xml:space="preserve">amount </w:t>
      </w:r>
      <w:r w:rsidR="00CF1ACD" w:rsidRPr="0078472B">
        <w:rPr>
          <w:rFonts w:ascii="Times New Roman" w:hAnsi="Times New Roman" w:cs="Times New Roman"/>
          <w:color w:val="000000" w:themeColor="text1"/>
          <w:sz w:val="24"/>
          <w:szCs w:val="24"/>
        </w:rPr>
        <w:t xml:space="preserve">bet in </w:t>
      </w:r>
      <w:r w:rsidR="002B0C9F" w:rsidRPr="0078472B">
        <w:rPr>
          <w:rFonts w:ascii="Times New Roman" w:hAnsi="Times New Roman" w:cs="Times New Roman"/>
          <w:color w:val="000000" w:themeColor="text1"/>
          <w:sz w:val="24"/>
          <w:szCs w:val="24"/>
        </w:rPr>
        <w:t>the</w:t>
      </w:r>
      <w:r w:rsidR="00CF1ACD" w:rsidRPr="0078472B">
        <w:rPr>
          <w:rFonts w:ascii="Times New Roman" w:hAnsi="Times New Roman" w:cs="Times New Roman"/>
          <w:color w:val="000000" w:themeColor="text1"/>
          <w:sz w:val="24"/>
          <w:szCs w:val="24"/>
        </w:rPr>
        <w:t xml:space="preserve"> month in a municipality has been deflated by the adult population residing in the municipality resulting in a measure of stakes per </w:t>
      </w:r>
      <w:r w:rsidR="007B7E80" w:rsidRPr="0078472B">
        <w:rPr>
          <w:rFonts w:ascii="Times New Roman" w:hAnsi="Times New Roman" w:cs="Times New Roman"/>
          <w:color w:val="000000" w:themeColor="text1"/>
          <w:sz w:val="24"/>
          <w:szCs w:val="24"/>
        </w:rPr>
        <w:t>adult</w:t>
      </w:r>
      <w:r w:rsidR="00CF1ACD" w:rsidRPr="0078472B">
        <w:rPr>
          <w:rFonts w:ascii="Times New Roman" w:hAnsi="Times New Roman" w:cs="Times New Roman"/>
          <w:color w:val="000000" w:themeColor="text1"/>
          <w:sz w:val="24"/>
          <w:szCs w:val="24"/>
        </w:rPr>
        <w:t>. While</w:t>
      </w:r>
      <w:r w:rsidR="007B7E80" w:rsidRPr="0078472B">
        <w:rPr>
          <w:rFonts w:ascii="Times New Roman" w:hAnsi="Times New Roman" w:cs="Times New Roman"/>
          <w:color w:val="000000" w:themeColor="text1"/>
          <w:sz w:val="24"/>
          <w:szCs w:val="24"/>
        </w:rPr>
        <w:t xml:space="preserve"> the mean value of bets placed per adult in </w:t>
      </w:r>
      <w:r w:rsidR="00EE3A0E" w:rsidRPr="0078472B">
        <w:rPr>
          <w:rFonts w:ascii="Times New Roman" w:hAnsi="Times New Roman" w:cs="Times New Roman"/>
          <w:color w:val="000000" w:themeColor="text1"/>
          <w:sz w:val="24"/>
          <w:szCs w:val="24"/>
        </w:rPr>
        <w:t>the</w:t>
      </w:r>
      <w:r w:rsidR="007B7E80" w:rsidRPr="0078472B">
        <w:rPr>
          <w:rFonts w:ascii="Times New Roman" w:hAnsi="Times New Roman" w:cs="Times New Roman"/>
          <w:color w:val="000000" w:themeColor="text1"/>
          <w:sz w:val="24"/>
          <w:szCs w:val="24"/>
        </w:rPr>
        <w:t xml:space="preserve"> month was approximately 1.40 euros, the expenditure was below this in two thirds of the municipalities. Further, t</w:t>
      </w:r>
      <w:r w:rsidRPr="0078472B">
        <w:rPr>
          <w:rFonts w:ascii="Times New Roman" w:hAnsi="Times New Roman" w:cs="Times New Roman"/>
          <w:color w:val="000000" w:themeColor="text1"/>
          <w:sz w:val="24"/>
          <w:szCs w:val="24"/>
        </w:rPr>
        <w:t xml:space="preserve">he highest </w:t>
      </w:r>
      <w:r w:rsidR="00CF1ACD" w:rsidRPr="0078472B">
        <w:rPr>
          <w:rFonts w:ascii="Times New Roman" w:hAnsi="Times New Roman" w:cs="Times New Roman"/>
          <w:color w:val="000000" w:themeColor="text1"/>
          <w:sz w:val="24"/>
          <w:szCs w:val="24"/>
        </w:rPr>
        <w:t xml:space="preserve">stakes </w:t>
      </w:r>
      <w:r w:rsidR="007B7E80" w:rsidRPr="0078472B">
        <w:rPr>
          <w:rFonts w:ascii="Times New Roman" w:hAnsi="Times New Roman" w:cs="Times New Roman"/>
          <w:color w:val="000000" w:themeColor="text1"/>
          <w:sz w:val="24"/>
          <w:szCs w:val="24"/>
        </w:rPr>
        <w:t xml:space="preserve">per adult </w:t>
      </w:r>
      <w:r w:rsidR="00CF1ACD" w:rsidRPr="0078472B">
        <w:rPr>
          <w:rFonts w:ascii="Times New Roman" w:hAnsi="Times New Roman" w:cs="Times New Roman"/>
          <w:color w:val="000000" w:themeColor="text1"/>
          <w:sz w:val="24"/>
          <w:szCs w:val="24"/>
        </w:rPr>
        <w:t>were</w:t>
      </w:r>
      <w:r w:rsidRPr="0078472B">
        <w:rPr>
          <w:rFonts w:ascii="Times New Roman" w:hAnsi="Times New Roman" w:cs="Times New Roman"/>
          <w:color w:val="000000" w:themeColor="text1"/>
          <w:sz w:val="24"/>
          <w:szCs w:val="24"/>
        </w:rPr>
        <w:t xml:space="preserve"> 14.3</w:t>
      </w:r>
      <w:r w:rsidR="00CF1ACD" w:rsidRPr="0078472B">
        <w:rPr>
          <w:rFonts w:ascii="Times New Roman" w:hAnsi="Times New Roman" w:cs="Times New Roman"/>
          <w:color w:val="000000" w:themeColor="text1"/>
          <w:sz w:val="24"/>
          <w:szCs w:val="24"/>
        </w:rPr>
        <w:t xml:space="preserve"> euros</w:t>
      </w:r>
      <w:r w:rsidR="007B7E80" w:rsidRPr="0078472B">
        <w:rPr>
          <w:rFonts w:ascii="Times New Roman" w:hAnsi="Times New Roman" w:cs="Times New Roman"/>
          <w:color w:val="000000" w:themeColor="text1"/>
          <w:sz w:val="24"/>
          <w:szCs w:val="24"/>
        </w:rPr>
        <w:t>, but</w:t>
      </w:r>
      <w:r w:rsidR="00CF1ACD" w:rsidRPr="0078472B">
        <w:rPr>
          <w:rFonts w:ascii="Times New Roman" w:hAnsi="Times New Roman" w:cs="Times New Roman"/>
          <w:color w:val="000000" w:themeColor="text1"/>
          <w:sz w:val="24"/>
          <w:szCs w:val="24"/>
        </w:rPr>
        <w:t xml:space="preserve"> there were also a few </w:t>
      </w:r>
      <w:r w:rsidR="008971E9" w:rsidRPr="0078472B">
        <w:rPr>
          <w:rFonts w:ascii="Times New Roman" w:hAnsi="Times New Roman" w:cs="Times New Roman"/>
          <w:color w:val="000000" w:themeColor="text1"/>
          <w:sz w:val="24"/>
          <w:szCs w:val="24"/>
        </w:rPr>
        <w:t xml:space="preserve">municipalities </w:t>
      </w:r>
      <w:r w:rsidR="00CF1ACD" w:rsidRPr="0078472B">
        <w:rPr>
          <w:rFonts w:ascii="Times New Roman" w:hAnsi="Times New Roman" w:cs="Times New Roman"/>
          <w:color w:val="000000" w:themeColor="text1"/>
          <w:sz w:val="24"/>
          <w:szCs w:val="24"/>
        </w:rPr>
        <w:t xml:space="preserve">where no online horse race bets </w:t>
      </w:r>
      <w:r w:rsidR="008971E9" w:rsidRPr="0078472B">
        <w:rPr>
          <w:rFonts w:ascii="Times New Roman" w:hAnsi="Times New Roman" w:cs="Times New Roman"/>
          <w:color w:val="000000" w:themeColor="text1"/>
          <w:sz w:val="24"/>
          <w:szCs w:val="24"/>
        </w:rPr>
        <w:t xml:space="preserve">were </w:t>
      </w:r>
      <w:r w:rsidR="00CF1ACD" w:rsidRPr="0078472B">
        <w:rPr>
          <w:rFonts w:ascii="Times New Roman" w:hAnsi="Times New Roman" w:cs="Times New Roman"/>
          <w:color w:val="000000" w:themeColor="text1"/>
          <w:sz w:val="24"/>
          <w:szCs w:val="24"/>
        </w:rPr>
        <w:t>placed during the observation period</w:t>
      </w:r>
      <w:r w:rsidR="00765454" w:rsidRPr="0078472B">
        <w:rPr>
          <w:rFonts w:ascii="Times New Roman" w:hAnsi="Times New Roman" w:cs="Times New Roman"/>
          <w:color w:val="000000" w:themeColor="text1"/>
          <w:sz w:val="24"/>
          <w:szCs w:val="24"/>
        </w:rPr>
        <w:t xml:space="preserve"> (</w:t>
      </w:r>
      <w:r w:rsidR="00657C96" w:rsidRPr="0078472B">
        <w:rPr>
          <w:rFonts w:ascii="Times New Roman" w:hAnsi="Times New Roman" w:cs="Times New Roman"/>
          <w:color w:val="000000" w:themeColor="text1"/>
          <w:sz w:val="24"/>
          <w:szCs w:val="24"/>
        </w:rPr>
        <w:t>14</w:t>
      </w:r>
      <w:r w:rsidR="00765454" w:rsidRPr="0078472B">
        <w:rPr>
          <w:rFonts w:ascii="Times New Roman" w:hAnsi="Times New Roman" w:cs="Times New Roman"/>
          <w:color w:val="000000" w:themeColor="text1"/>
          <w:sz w:val="24"/>
          <w:szCs w:val="24"/>
        </w:rPr>
        <w:t xml:space="preserve"> out of 320 municipalities.)</w:t>
      </w:r>
      <w:r w:rsidR="00CF1ACD" w:rsidRPr="0078472B">
        <w:rPr>
          <w:rFonts w:ascii="Times New Roman" w:hAnsi="Times New Roman" w:cs="Times New Roman"/>
          <w:color w:val="000000" w:themeColor="text1"/>
          <w:sz w:val="24"/>
          <w:szCs w:val="24"/>
        </w:rPr>
        <w:t xml:space="preserve">. In the figure, </w:t>
      </w:r>
      <w:r w:rsidR="00DF0E06" w:rsidRPr="0078472B">
        <w:rPr>
          <w:rFonts w:ascii="Times New Roman" w:hAnsi="Times New Roman" w:cs="Times New Roman"/>
          <w:color w:val="000000" w:themeColor="text1"/>
          <w:sz w:val="24"/>
          <w:szCs w:val="24"/>
        </w:rPr>
        <w:t xml:space="preserve">the </w:t>
      </w:r>
      <w:r w:rsidR="00CF1ACD" w:rsidRPr="0078472B">
        <w:rPr>
          <w:rFonts w:ascii="Times New Roman" w:hAnsi="Times New Roman" w:cs="Times New Roman"/>
          <w:color w:val="000000" w:themeColor="text1"/>
          <w:sz w:val="24"/>
          <w:szCs w:val="24"/>
        </w:rPr>
        <w:t xml:space="preserve">shading from white to dark blue indicates </w:t>
      </w:r>
      <w:r w:rsidR="00EE3A0E" w:rsidRPr="0078472B">
        <w:rPr>
          <w:rFonts w:ascii="Times New Roman" w:hAnsi="Times New Roman" w:cs="Times New Roman"/>
          <w:color w:val="000000" w:themeColor="text1"/>
          <w:sz w:val="24"/>
          <w:szCs w:val="24"/>
        </w:rPr>
        <w:t>increasing per adult betting volumes</w:t>
      </w:r>
      <w:r w:rsidR="00CF1ACD" w:rsidRPr="0078472B">
        <w:rPr>
          <w:rFonts w:ascii="Times New Roman" w:hAnsi="Times New Roman" w:cs="Times New Roman"/>
          <w:color w:val="000000" w:themeColor="text1"/>
          <w:sz w:val="24"/>
          <w:szCs w:val="24"/>
        </w:rPr>
        <w:t xml:space="preserve">, and a triangle </w:t>
      </w:r>
      <w:r w:rsidR="007B7E80" w:rsidRPr="0078472B">
        <w:rPr>
          <w:rFonts w:ascii="Times New Roman" w:hAnsi="Times New Roman" w:cs="Times New Roman"/>
          <w:color w:val="000000" w:themeColor="text1"/>
          <w:sz w:val="24"/>
          <w:szCs w:val="24"/>
        </w:rPr>
        <w:t>mark</w:t>
      </w:r>
      <w:r w:rsidR="003273C2" w:rsidRPr="0078472B">
        <w:rPr>
          <w:rFonts w:ascii="Times New Roman" w:hAnsi="Times New Roman" w:cs="Times New Roman"/>
          <w:color w:val="000000" w:themeColor="text1"/>
          <w:sz w:val="24"/>
          <w:szCs w:val="24"/>
        </w:rPr>
        <w:t xml:space="preserve">s a municipality </w:t>
      </w:r>
      <w:r w:rsidR="00104467" w:rsidRPr="0078472B">
        <w:rPr>
          <w:rFonts w:ascii="Times New Roman" w:hAnsi="Times New Roman" w:cs="Times New Roman"/>
          <w:color w:val="000000" w:themeColor="text1"/>
          <w:sz w:val="24"/>
          <w:szCs w:val="24"/>
        </w:rPr>
        <w:t>with</w:t>
      </w:r>
      <w:r w:rsidR="003273C2" w:rsidRPr="0078472B">
        <w:rPr>
          <w:rFonts w:ascii="Times New Roman" w:hAnsi="Times New Roman" w:cs="Times New Roman"/>
          <w:color w:val="000000" w:themeColor="text1"/>
          <w:sz w:val="24"/>
          <w:szCs w:val="24"/>
        </w:rPr>
        <w:t xml:space="preserve"> a racetrack</w:t>
      </w:r>
      <w:r w:rsidR="00CF1ACD" w:rsidRPr="0078472B">
        <w:rPr>
          <w:rFonts w:ascii="Times New Roman" w:hAnsi="Times New Roman" w:cs="Times New Roman"/>
          <w:color w:val="000000" w:themeColor="text1"/>
          <w:sz w:val="24"/>
          <w:szCs w:val="24"/>
        </w:rPr>
        <w:t xml:space="preserve">. </w:t>
      </w:r>
      <w:r w:rsidR="003273C2" w:rsidRPr="0078472B">
        <w:rPr>
          <w:rFonts w:ascii="Times New Roman" w:hAnsi="Times New Roman" w:cs="Times New Roman"/>
          <w:color w:val="000000" w:themeColor="text1"/>
          <w:sz w:val="24"/>
          <w:szCs w:val="24"/>
        </w:rPr>
        <w:t>The fi</w:t>
      </w:r>
      <w:r w:rsidR="00DF0E06" w:rsidRPr="0078472B">
        <w:rPr>
          <w:rFonts w:ascii="Times New Roman" w:hAnsi="Times New Roman" w:cs="Times New Roman"/>
          <w:color w:val="000000" w:themeColor="text1"/>
          <w:sz w:val="24"/>
          <w:szCs w:val="24"/>
        </w:rPr>
        <w:t xml:space="preserve">gure suggests that there may be a positive </w:t>
      </w:r>
      <w:r w:rsidR="00DF0E06" w:rsidRPr="0078472B">
        <w:rPr>
          <w:rFonts w:ascii="Times New Roman" w:hAnsi="Times New Roman" w:cs="Times New Roman"/>
          <w:color w:val="000000" w:themeColor="text1"/>
          <w:sz w:val="24"/>
          <w:szCs w:val="24"/>
        </w:rPr>
        <w:lastRenderedPageBreak/>
        <w:t xml:space="preserve">relation between the physical proximity of a racetrack and wagering on horse races online because the municipalities </w:t>
      </w:r>
      <w:r w:rsidR="005B61D7" w:rsidRPr="0078472B">
        <w:rPr>
          <w:rFonts w:ascii="Times New Roman" w:hAnsi="Times New Roman" w:cs="Times New Roman"/>
          <w:color w:val="000000" w:themeColor="text1"/>
          <w:sz w:val="24"/>
          <w:szCs w:val="24"/>
        </w:rPr>
        <w:t>which</w:t>
      </w:r>
      <w:r w:rsidR="00CF72FC" w:rsidRPr="0078472B">
        <w:rPr>
          <w:rFonts w:ascii="Times New Roman" w:hAnsi="Times New Roman" w:cs="Times New Roman"/>
          <w:color w:val="000000" w:themeColor="text1"/>
          <w:sz w:val="24"/>
          <w:szCs w:val="24"/>
        </w:rPr>
        <w:t xml:space="preserve"> </w:t>
      </w:r>
      <w:r w:rsidR="00104467" w:rsidRPr="0078472B">
        <w:rPr>
          <w:rFonts w:ascii="Times New Roman" w:hAnsi="Times New Roman" w:cs="Times New Roman"/>
          <w:color w:val="000000" w:themeColor="text1"/>
          <w:sz w:val="24"/>
          <w:szCs w:val="24"/>
        </w:rPr>
        <w:t>have</w:t>
      </w:r>
      <w:r w:rsidR="00CF72FC" w:rsidRPr="0078472B">
        <w:rPr>
          <w:rFonts w:ascii="Times New Roman" w:hAnsi="Times New Roman" w:cs="Times New Roman"/>
          <w:color w:val="000000" w:themeColor="text1"/>
          <w:sz w:val="24"/>
          <w:szCs w:val="24"/>
        </w:rPr>
        <w:t xml:space="preserve"> or are </w:t>
      </w:r>
      <w:r w:rsidR="00DF0E06" w:rsidRPr="0078472B">
        <w:rPr>
          <w:rFonts w:ascii="Times New Roman" w:hAnsi="Times New Roman" w:cs="Times New Roman"/>
          <w:color w:val="000000" w:themeColor="text1"/>
          <w:sz w:val="24"/>
          <w:szCs w:val="24"/>
        </w:rPr>
        <w:t>l</w:t>
      </w:r>
      <w:r w:rsidR="005B61D7" w:rsidRPr="0078472B">
        <w:rPr>
          <w:rFonts w:ascii="Times New Roman" w:hAnsi="Times New Roman" w:cs="Times New Roman"/>
          <w:color w:val="000000" w:themeColor="text1"/>
          <w:sz w:val="24"/>
          <w:szCs w:val="24"/>
        </w:rPr>
        <w:t>ocated close to</w:t>
      </w:r>
      <w:r w:rsidR="00DF0E06" w:rsidRPr="0078472B">
        <w:rPr>
          <w:rFonts w:ascii="Times New Roman" w:hAnsi="Times New Roman" w:cs="Times New Roman"/>
          <w:color w:val="000000" w:themeColor="text1"/>
          <w:sz w:val="24"/>
          <w:szCs w:val="24"/>
        </w:rPr>
        <w:t xml:space="preserve"> racetracks tend to exhibit a darker hue implying </w:t>
      </w:r>
      <w:r w:rsidR="00EE3A0E" w:rsidRPr="0078472B">
        <w:rPr>
          <w:rFonts w:ascii="Times New Roman" w:hAnsi="Times New Roman" w:cs="Times New Roman"/>
          <w:color w:val="000000" w:themeColor="text1"/>
          <w:sz w:val="24"/>
          <w:szCs w:val="24"/>
        </w:rPr>
        <w:t xml:space="preserve"> higher betting volume per capita.</w:t>
      </w:r>
    </w:p>
    <w:p w14:paraId="10149946" w14:textId="747D56E2" w:rsidR="00B455D6" w:rsidRPr="0078472B" w:rsidRDefault="00B455D6" w:rsidP="00A540E5">
      <w:pPr>
        <w:spacing w:after="0" w:line="480" w:lineRule="auto"/>
        <w:rPr>
          <w:rFonts w:ascii="Times New Roman" w:hAnsi="Times New Roman" w:cs="Times New Roman"/>
          <w:color w:val="000000" w:themeColor="text1"/>
          <w:sz w:val="24"/>
          <w:szCs w:val="24"/>
        </w:rPr>
      </w:pPr>
    </w:p>
    <w:p w14:paraId="077B0F45" w14:textId="657C16E0" w:rsidR="0093244E" w:rsidRPr="0078472B" w:rsidRDefault="0093244E" w:rsidP="00A540E5">
      <w:pPr>
        <w:spacing w:after="0" w:line="480" w:lineRule="auto"/>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[Figure 1. HERE]</w:t>
      </w:r>
    </w:p>
    <w:p w14:paraId="7DD48DA6" w14:textId="77777777" w:rsidR="00CE2CA0" w:rsidRPr="0078472B" w:rsidRDefault="00CE2CA0" w:rsidP="00A540E5">
      <w:pPr>
        <w:spacing w:after="0" w:line="480" w:lineRule="auto"/>
        <w:rPr>
          <w:rFonts w:ascii="Times New Roman" w:hAnsi="Times New Roman" w:cs="Times New Roman"/>
          <w:color w:val="000000" w:themeColor="text1"/>
          <w:sz w:val="24"/>
          <w:szCs w:val="24"/>
        </w:rPr>
      </w:pPr>
    </w:p>
    <w:p w14:paraId="24A763CD" w14:textId="1F25AF59" w:rsidR="00A51437" w:rsidRPr="0078472B" w:rsidRDefault="00F0089A" w:rsidP="00A540E5">
      <w:pPr>
        <w:spacing w:after="0" w:line="480" w:lineRule="auto"/>
        <w:jc w:val="both"/>
        <w:rPr>
          <w:rFonts w:ascii="Times New Roman" w:hAnsi="Times New Roman" w:cs="Times New Roman"/>
          <w:b/>
          <w:color w:val="000000" w:themeColor="text1"/>
          <w:sz w:val="24"/>
          <w:szCs w:val="24"/>
        </w:rPr>
      </w:pPr>
      <w:r w:rsidRPr="0078472B">
        <w:rPr>
          <w:rFonts w:ascii="Times New Roman" w:hAnsi="Times New Roman" w:cs="Times New Roman"/>
          <w:b/>
          <w:color w:val="000000" w:themeColor="text1"/>
          <w:sz w:val="24"/>
          <w:szCs w:val="24"/>
        </w:rPr>
        <w:t>Regression results</w:t>
      </w:r>
    </w:p>
    <w:p w14:paraId="287E9D6D" w14:textId="4C6A1FDB" w:rsidR="000001B1" w:rsidRPr="0078472B" w:rsidRDefault="00FA158D" w:rsidP="00A540E5">
      <w:pPr>
        <w:spacing w:after="0" w:line="480" w:lineRule="auto"/>
        <w:jc w:val="both"/>
        <w:rPr>
          <w:rFonts w:ascii="Times New Roman" w:hAnsi="Times New Roman" w:cs="Times New Roman"/>
          <w:i/>
          <w:color w:val="000000" w:themeColor="text1"/>
          <w:sz w:val="24"/>
          <w:szCs w:val="24"/>
        </w:rPr>
      </w:pPr>
      <w:r w:rsidRPr="0078472B">
        <w:rPr>
          <w:rFonts w:ascii="Times New Roman" w:eastAsia="Times New Roman" w:hAnsi="Times New Roman" w:cs="Times New Roman"/>
          <w:color w:val="000000" w:themeColor="text1"/>
          <w:sz w:val="24"/>
          <w:szCs w:val="24"/>
        </w:rPr>
        <w:t xml:space="preserve">Regression results </w:t>
      </w:r>
      <w:r w:rsidR="00D206A4" w:rsidRPr="0078472B">
        <w:rPr>
          <w:rFonts w:ascii="Times New Roman" w:eastAsia="Times New Roman" w:hAnsi="Times New Roman" w:cs="Times New Roman"/>
          <w:color w:val="000000" w:themeColor="text1"/>
          <w:sz w:val="24"/>
          <w:szCs w:val="24"/>
        </w:rPr>
        <w:t xml:space="preserve">for </w:t>
      </w:r>
      <w:r w:rsidR="002614E7" w:rsidRPr="0078472B">
        <w:rPr>
          <w:rFonts w:ascii="Times New Roman" w:eastAsia="Times New Roman" w:hAnsi="Times New Roman" w:cs="Times New Roman"/>
          <w:color w:val="000000" w:themeColor="text1"/>
          <w:sz w:val="24"/>
          <w:szCs w:val="24"/>
        </w:rPr>
        <w:t xml:space="preserve">the </w:t>
      </w:r>
      <w:r w:rsidR="000850BC" w:rsidRPr="0078472B">
        <w:rPr>
          <w:rFonts w:ascii="Times New Roman" w:eastAsia="Times New Roman" w:hAnsi="Times New Roman" w:cs="Times New Roman"/>
          <w:color w:val="000000" w:themeColor="text1"/>
          <w:sz w:val="24"/>
          <w:szCs w:val="24"/>
        </w:rPr>
        <w:t>n</w:t>
      </w:r>
      <w:r w:rsidR="00D206A4" w:rsidRPr="0078472B">
        <w:rPr>
          <w:rFonts w:ascii="Times New Roman" w:eastAsia="Times New Roman" w:hAnsi="Times New Roman" w:cs="Times New Roman"/>
          <w:color w:val="000000" w:themeColor="text1"/>
          <w:sz w:val="24"/>
          <w:szCs w:val="24"/>
        </w:rPr>
        <w:t xml:space="preserve">umber of </w:t>
      </w:r>
      <w:r w:rsidR="008A67D8" w:rsidRPr="0078472B">
        <w:rPr>
          <w:rFonts w:ascii="Times New Roman" w:eastAsia="Times New Roman" w:hAnsi="Times New Roman" w:cs="Times New Roman"/>
          <w:color w:val="000000" w:themeColor="text1"/>
          <w:sz w:val="24"/>
          <w:szCs w:val="24"/>
        </w:rPr>
        <w:t xml:space="preserve">online </w:t>
      </w:r>
      <w:r w:rsidR="00B12C3A" w:rsidRPr="0078472B">
        <w:rPr>
          <w:rFonts w:ascii="Times New Roman" w:eastAsia="Times New Roman" w:hAnsi="Times New Roman" w:cs="Times New Roman"/>
          <w:color w:val="000000" w:themeColor="text1"/>
          <w:sz w:val="24"/>
          <w:szCs w:val="24"/>
        </w:rPr>
        <w:t>bettors</w:t>
      </w:r>
      <w:r w:rsidR="008A67D8" w:rsidRPr="0078472B">
        <w:rPr>
          <w:rFonts w:ascii="Times New Roman" w:eastAsia="Times New Roman" w:hAnsi="Times New Roman" w:cs="Times New Roman"/>
          <w:color w:val="000000" w:themeColor="text1"/>
          <w:sz w:val="24"/>
          <w:szCs w:val="24"/>
        </w:rPr>
        <w:t xml:space="preserve"> and betting volume </w:t>
      </w:r>
      <w:r w:rsidR="00B12C3A" w:rsidRPr="0078472B">
        <w:rPr>
          <w:rFonts w:ascii="Times New Roman" w:eastAsia="Times New Roman" w:hAnsi="Times New Roman" w:cs="Times New Roman"/>
          <w:color w:val="000000" w:themeColor="text1"/>
          <w:sz w:val="24"/>
          <w:szCs w:val="24"/>
        </w:rPr>
        <w:t xml:space="preserve">are reported in Table 2. </w:t>
      </w:r>
      <w:r w:rsidR="00D206A4" w:rsidRPr="0078472B">
        <w:rPr>
          <w:rFonts w:ascii="Times New Roman" w:eastAsia="Times New Roman" w:hAnsi="Times New Roman" w:cs="Times New Roman"/>
          <w:color w:val="000000" w:themeColor="text1"/>
          <w:sz w:val="24"/>
          <w:szCs w:val="24"/>
        </w:rPr>
        <w:t xml:space="preserve"> </w:t>
      </w:r>
      <w:r w:rsidR="008A67D8" w:rsidRPr="0078472B">
        <w:rPr>
          <w:rFonts w:ascii="Times New Roman" w:eastAsia="Times New Roman" w:hAnsi="Times New Roman" w:cs="Times New Roman"/>
          <w:color w:val="000000" w:themeColor="text1"/>
          <w:sz w:val="24"/>
          <w:szCs w:val="24"/>
        </w:rPr>
        <w:t>Both regression m</w:t>
      </w:r>
      <w:r w:rsidR="00B837BC" w:rsidRPr="0078472B">
        <w:rPr>
          <w:rFonts w:ascii="Times New Roman" w:eastAsia="Times New Roman" w:hAnsi="Times New Roman" w:cs="Times New Roman"/>
          <w:color w:val="000000" w:themeColor="text1"/>
          <w:sz w:val="24"/>
          <w:szCs w:val="24"/>
        </w:rPr>
        <w:t xml:space="preserve">odels include the same </w:t>
      </w:r>
      <w:r w:rsidR="008A67D8" w:rsidRPr="0078472B">
        <w:rPr>
          <w:rFonts w:ascii="Times New Roman" w:eastAsia="Times New Roman" w:hAnsi="Times New Roman" w:cs="Times New Roman"/>
          <w:color w:val="000000" w:themeColor="text1"/>
          <w:sz w:val="24"/>
          <w:szCs w:val="24"/>
        </w:rPr>
        <w:t>set of covariates</w:t>
      </w:r>
      <w:r w:rsidR="00765454" w:rsidRPr="0078472B">
        <w:rPr>
          <w:rFonts w:ascii="Times New Roman" w:eastAsia="Times New Roman" w:hAnsi="Times New Roman" w:cs="Times New Roman"/>
          <w:color w:val="000000" w:themeColor="text1"/>
          <w:sz w:val="24"/>
          <w:szCs w:val="24"/>
        </w:rPr>
        <w:t>.</w:t>
      </w:r>
      <w:r w:rsidR="00E468B5" w:rsidRPr="0078472B">
        <w:rPr>
          <w:rFonts w:ascii="Times New Roman" w:eastAsia="Times New Roman" w:hAnsi="Times New Roman" w:cs="Times New Roman"/>
          <w:color w:val="000000" w:themeColor="text1"/>
          <w:sz w:val="24"/>
          <w:szCs w:val="24"/>
        </w:rPr>
        <w:t xml:space="preserve"> Regression coefficients are interpreted assuming </w:t>
      </w:r>
      <w:r w:rsidR="00E468B5" w:rsidRPr="0078472B">
        <w:rPr>
          <w:rFonts w:ascii="Times New Roman" w:eastAsia="Times New Roman" w:hAnsi="Times New Roman" w:cs="Times New Roman"/>
          <w:i/>
          <w:iCs/>
          <w:color w:val="000000" w:themeColor="text1"/>
          <w:sz w:val="24"/>
          <w:szCs w:val="24"/>
        </w:rPr>
        <w:t>ceteris paribus</w:t>
      </w:r>
      <w:r w:rsidR="00E468B5" w:rsidRPr="0078472B">
        <w:rPr>
          <w:rFonts w:ascii="Times New Roman" w:eastAsia="Times New Roman" w:hAnsi="Times New Roman" w:cs="Times New Roman"/>
          <w:color w:val="000000" w:themeColor="text1"/>
          <w:sz w:val="24"/>
          <w:szCs w:val="24"/>
        </w:rPr>
        <w:t>.</w:t>
      </w:r>
      <w:r w:rsidR="00765454" w:rsidRPr="0078472B">
        <w:rPr>
          <w:rFonts w:ascii="Times New Roman" w:eastAsia="Times New Roman" w:hAnsi="Times New Roman" w:cs="Times New Roman"/>
          <w:color w:val="000000" w:themeColor="text1"/>
          <w:sz w:val="24"/>
          <w:szCs w:val="24"/>
        </w:rPr>
        <w:t xml:space="preserve"> </w:t>
      </w:r>
      <w:r w:rsidR="008A67D8" w:rsidRPr="0078472B">
        <w:rPr>
          <w:rFonts w:ascii="Times New Roman" w:eastAsia="Times New Roman" w:hAnsi="Times New Roman" w:cs="Times New Roman"/>
          <w:color w:val="000000" w:themeColor="text1"/>
          <w:sz w:val="24"/>
          <w:szCs w:val="24"/>
        </w:rPr>
        <w:t>We tested for multicollinearity by computing the variance inflation factors</w:t>
      </w:r>
      <w:r w:rsidR="000001B1" w:rsidRPr="0078472B">
        <w:rPr>
          <w:rFonts w:ascii="Times New Roman" w:eastAsia="Times New Roman" w:hAnsi="Times New Roman" w:cs="Times New Roman"/>
          <w:color w:val="000000" w:themeColor="text1"/>
          <w:sz w:val="24"/>
          <w:szCs w:val="24"/>
        </w:rPr>
        <w:t xml:space="preserve"> (VIFs)</w:t>
      </w:r>
      <w:r w:rsidR="008A67D8" w:rsidRPr="0078472B">
        <w:rPr>
          <w:rFonts w:ascii="Times New Roman" w:eastAsia="Times New Roman" w:hAnsi="Times New Roman" w:cs="Times New Roman"/>
          <w:color w:val="000000" w:themeColor="text1"/>
          <w:sz w:val="24"/>
          <w:szCs w:val="24"/>
        </w:rPr>
        <w:t xml:space="preserve"> for the covariates</w:t>
      </w:r>
      <w:r w:rsidR="000001B1" w:rsidRPr="0078472B">
        <w:rPr>
          <w:rFonts w:ascii="Times New Roman" w:eastAsia="Times New Roman" w:hAnsi="Times New Roman" w:cs="Times New Roman"/>
          <w:color w:val="000000" w:themeColor="text1"/>
          <w:sz w:val="24"/>
          <w:szCs w:val="24"/>
        </w:rPr>
        <w:t>.</w:t>
      </w:r>
      <w:r w:rsidR="008A67D8" w:rsidRPr="0078472B">
        <w:rPr>
          <w:rFonts w:ascii="Times New Roman" w:eastAsia="Times New Roman" w:hAnsi="Times New Roman" w:cs="Times New Roman"/>
          <w:color w:val="000000" w:themeColor="text1"/>
          <w:sz w:val="24"/>
          <w:szCs w:val="24"/>
        </w:rPr>
        <w:t xml:space="preserve"> </w:t>
      </w:r>
      <w:r w:rsidR="000001B1" w:rsidRPr="0078472B">
        <w:rPr>
          <w:rFonts w:ascii="Times New Roman" w:eastAsia="Times New Roman" w:hAnsi="Times New Roman" w:cs="Times New Roman"/>
          <w:color w:val="000000" w:themeColor="text1"/>
          <w:sz w:val="24"/>
          <w:szCs w:val="24"/>
        </w:rPr>
        <w:t>The maximum VIF at 7.51 and the mean at 2.94 suggest that multicollinearity is at a tolerable level</w:t>
      </w:r>
      <w:r w:rsidR="00662DA8" w:rsidRPr="0078472B">
        <w:rPr>
          <w:rFonts w:ascii="Times New Roman" w:eastAsia="Times New Roman" w:hAnsi="Times New Roman" w:cs="Times New Roman"/>
          <w:color w:val="000000" w:themeColor="text1"/>
          <w:sz w:val="24"/>
          <w:szCs w:val="24"/>
        </w:rPr>
        <w:t>.</w:t>
      </w:r>
      <w:r w:rsidR="00814225" w:rsidRPr="0078472B">
        <w:rPr>
          <w:rFonts w:ascii="Times New Roman" w:eastAsia="Times New Roman" w:hAnsi="Times New Roman" w:cs="Times New Roman"/>
          <w:color w:val="000000" w:themeColor="text1"/>
          <w:sz w:val="24"/>
          <w:szCs w:val="24"/>
        </w:rPr>
        <w:t xml:space="preserve"> </w:t>
      </w:r>
    </w:p>
    <w:p w14:paraId="45F12151" w14:textId="77777777" w:rsidR="00FE263A" w:rsidRPr="0078472B" w:rsidRDefault="00FE263A" w:rsidP="00A540E5">
      <w:pPr>
        <w:spacing w:after="0" w:line="480" w:lineRule="auto"/>
        <w:jc w:val="both"/>
        <w:rPr>
          <w:rFonts w:ascii="Times New Roman" w:eastAsia="Times New Roman" w:hAnsi="Times New Roman" w:cs="Times New Roman"/>
          <w:color w:val="000000" w:themeColor="text1"/>
          <w:sz w:val="24"/>
          <w:szCs w:val="24"/>
        </w:rPr>
      </w:pPr>
    </w:p>
    <w:p w14:paraId="46DFBD95" w14:textId="339A7BC9" w:rsidR="0093244E" w:rsidRPr="0078472B" w:rsidRDefault="0093244E" w:rsidP="00A540E5">
      <w:pPr>
        <w:spacing w:after="0" w:line="480" w:lineRule="auto"/>
        <w:jc w:val="both"/>
        <w:rPr>
          <w:rFonts w:ascii="Times New Roman" w:eastAsia="Times New Roman" w:hAnsi="Times New Roman" w:cs="Times New Roman"/>
          <w:color w:val="000000" w:themeColor="text1"/>
          <w:sz w:val="24"/>
          <w:szCs w:val="24"/>
        </w:rPr>
      </w:pPr>
      <w:r w:rsidRPr="0078472B">
        <w:rPr>
          <w:rFonts w:ascii="Times New Roman" w:eastAsia="Times New Roman" w:hAnsi="Times New Roman" w:cs="Times New Roman"/>
          <w:color w:val="000000" w:themeColor="text1"/>
          <w:sz w:val="24"/>
          <w:szCs w:val="24"/>
        </w:rPr>
        <w:t>[Table 2. HERE]</w:t>
      </w:r>
    </w:p>
    <w:p w14:paraId="5ACC17E6" w14:textId="77777777" w:rsidR="00C74E6B" w:rsidRPr="0078472B" w:rsidRDefault="00C74E6B" w:rsidP="00A540E5">
      <w:pPr>
        <w:spacing w:after="0" w:line="480" w:lineRule="auto"/>
        <w:jc w:val="both"/>
        <w:rPr>
          <w:rFonts w:ascii="Times New Roman" w:eastAsia="Times New Roman" w:hAnsi="Times New Roman" w:cs="Times New Roman"/>
          <w:i/>
          <w:color w:val="000000" w:themeColor="text1"/>
          <w:sz w:val="24"/>
          <w:szCs w:val="24"/>
        </w:rPr>
      </w:pPr>
    </w:p>
    <w:p w14:paraId="7C2EEB19" w14:textId="056CBBE1" w:rsidR="00A51437" w:rsidRPr="0078472B" w:rsidRDefault="00A51437" w:rsidP="00A540E5">
      <w:pPr>
        <w:spacing w:after="0" w:line="480" w:lineRule="auto"/>
        <w:jc w:val="both"/>
        <w:rPr>
          <w:rFonts w:ascii="Times New Roman" w:eastAsia="Times New Roman" w:hAnsi="Times New Roman" w:cs="Times New Roman"/>
          <w:color w:val="000000" w:themeColor="text1"/>
          <w:sz w:val="24"/>
          <w:szCs w:val="24"/>
        </w:rPr>
      </w:pPr>
      <w:r w:rsidRPr="0078472B">
        <w:rPr>
          <w:rFonts w:ascii="Times New Roman" w:eastAsia="Times New Roman" w:hAnsi="Times New Roman" w:cs="Times New Roman"/>
          <w:i/>
          <w:color w:val="000000" w:themeColor="text1"/>
          <w:sz w:val="24"/>
          <w:szCs w:val="24"/>
        </w:rPr>
        <w:t>The number of online bettors</w:t>
      </w:r>
      <w:r w:rsidRPr="0078472B">
        <w:rPr>
          <w:rFonts w:ascii="Times New Roman" w:eastAsia="Times New Roman" w:hAnsi="Times New Roman" w:cs="Times New Roman"/>
          <w:color w:val="000000" w:themeColor="text1"/>
          <w:sz w:val="24"/>
          <w:szCs w:val="24"/>
        </w:rPr>
        <w:t>. All variables measuring equine interest are statistically significant. The coefficient estimate on the number of horse owners implies that each additional horse owner adds 0.1</w:t>
      </w:r>
      <w:r w:rsidR="007A79EF" w:rsidRPr="0078472B">
        <w:rPr>
          <w:rFonts w:ascii="Times New Roman" w:eastAsia="Times New Roman" w:hAnsi="Times New Roman" w:cs="Times New Roman"/>
          <w:color w:val="000000" w:themeColor="text1"/>
          <w:sz w:val="24"/>
          <w:szCs w:val="24"/>
        </w:rPr>
        <w:t>1</w:t>
      </w:r>
      <w:r w:rsidRPr="0078472B">
        <w:rPr>
          <w:rFonts w:ascii="Times New Roman" w:eastAsia="Times New Roman" w:hAnsi="Times New Roman" w:cs="Times New Roman"/>
          <w:color w:val="000000" w:themeColor="text1"/>
          <w:sz w:val="24"/>
          <w:szCs w:val="24"/>
        </w:rPr>
        <w:t xml:space="preserve"> online bettors. That is, ten additional horse owners are associated with an increase of one additional gambler in a municipality, on average. However, the types of horses owned exhibit divergent results: a one unit increase in the number of warmblood horses </w:t>
      </w:r>
      <w:r w:rsidRPr="0078472B">
        <w:rPr>
          <w:rFonts w:ascii="Times New Roman" w:eastAsia="Times New Roman" w:hAnsi="Times New Roman" w:cs="Times New Roman"/>
          <w:color w:val="000000" w:themeColor="text1"/>
          <w:sz w:val="24"/>
          <w:szCs w:val="24"/>
        </w:rPr>
        <w:lastRenderedPageBreak/>
        <w:t xml:space="preserve">is associated with a 0.11 increase in the number of online bettors, whereas a similar change in the number of riding horses has the opposite effect with a magnitude of 0.09. </w:t>
      </w:r>
    </w:p>
    <w:p w14:paraId="0964C8E1" w14:textId="5287E2DE" w:rsidR="002C645B" w:rsidRPr="0078472B" w:rsidRDefault="002C645B" w:rsidP="00A540E5">
      <w:pPr>
        <w:spacing w:after="0" w:line="480" w:lineRule="auto"/>
        <w:jc w:val="both"/>
        <w:rPr>
          <w:rFonts w:ascii="Times New Roman" w:eastAsia="Times New Roman" w:hAnsi="Times New Roman" w:cs="Times New Roman"/>
          <w:color w:val="000000" w:themeColor="text1"/>
          <w:sz w:val="24"/>
          <w:szCs w:val="24"/>
        </w:rPr>
      </w:pPr>
    </w:p>
    <w:p w14:paraId="78FDAF32" w14:textId="693DD27C" w:rsidR="00D23585" w:rsidRPr="0078472B" w:rsidRDefault="00D23585" w:rsidP="00A540E5">
      <w:pPr>
        <w:spacing w:after="0" w:line="480" w:lineRule="auto"/>
        <w:jc w:val="both"/>
        <w:rPr>
          <w:rFonts w:ascii="Times New Roman" w:eastAsia="Times New Roman" w:hAnsi="Times New Roman" w:cs="Times New Roman"/>
          <w:color w:val="000000" w:themeColor="text1"/>
          <w:sz w:val="24"/>
          <w:szCs w:val="24"/>
        </w:rPr>
      </w:pPr>
      <w:r w:rsidRPr="0078472B">
        <w:rPr>
          <w:rFonts w:ascii="Times New Roman" w:eastAsia="Times New Roman" w:hAnsi="Times New Roman" w:cs="Times New Roman"/>
          <w:color w:val="000000" w:themeColor="text1"/>
          <w:sz w:val="24"/>
          <w:szCs w:val="24"/>
        </w:rPr>
        <w:t xml:space="preserve">All measures of the off-track betting environment are statistically significant and point to their importance to betting </w:t>
      </w:r>
      <w:r w:rsidR="004D381E" w:rsidRPr="0078472B">
        <w:rPr>
          <w:rFonts w:ascii="Times New Roman" w:eastAsia="Times New Roman" w:hAnsi="Times New Roman" w:cs="Times New Roman"/>
          <w:color w:val="000000" w:themeColor="text1"/>
          <w:sz w:val="24"/>
          <w:szCs w:val="24"/>
        </w:rPr>
        <w:t>engagement</w:t>
      </w:r>
      <w:r w:rsidRPr="0078472B">
        <w:rPr>
          <w:rFonts w:ascii="Times New Roman" w:eastAsia="Times New Roman" w:hAnsi="Times New Roman" w:cs="Times New Roman"/>
          <w:color w:val="000000" w:themeColor="text1"/>
          <w:sz w:val="24"/>
          <w:szCs w:val="24"/>
        </w:rPr>
        <w:t>. The number of horse race meetings in the local racetrack suggests that each local race meeting adds 0.4</w:t>
      </w:r>
      <w:r w:rsidR="007A79EF" w:rsidRPr="0078472B">
        <w:rPr>
          <w:rFonts w:ascii="Times New Roman" w:eastAsia="Times New Roman" w:hAnsi="Times New Roman" w:cs="Times New Roman"/>
          <w:color w:val="000000" w:themeColor="text1"/>
          <w:sz w:val="24"/>
          <w:szCs w:val="24"/>
        </w:rPr>
        <w:t>2</w:t>
      </w:r>
      <w:r w:rsidRPr="0078472B">
        <w:rPr>
          <w:rFonts w:ascii="Times New Roman" w:eastAsia="Times New Roman" w:hAnsi="Times New Roman" w:cs="Times New Roman"/>
          <w:color w:val="000000" w:themeColor="text1"/>
          <w:sz w:val="24"/>
          <w:szCs w:val="24"/>
        </w:rPr>
        <w:t xml:space="preserve"> bettors per 1,000 inhabitants to the ranks of online bettors. Furthermore, a racetrack in a neighbouring municipality is associated with an increase of 0.85 bettors per 1,000 inhabitants. Interestingly, there is some indication that the number of off-track betting venues could make a relatively large contribution to the number of online bettors because each additional off-track betting establishment is associated with </w:t>
      </w:r>
      <w:r w:rsidR="002C4198" w:rsidRPr="0078472B">
        <w:rPr>
          <w:rFonts w:ascii="Times New Roman" w:eastAsia="Times New Roman" w:hAnsi="Times New Roman" w:cs="Times New Roman"/>
          <w:color w:val="000000" w:themeColor="text1"/>
          <w:sz w:val="24"/>
          <w:szCs w:val="24"/>
        </w:rPr>
        <w:t>an increase in</w:t>
      </w:r>
      <w:r w:rsidRPr="0078472B">
        <w:rPr>
          <w:rFonts w:ascii="Times New Roman" w:eastAsia="Times New Roman" w:hAnsi="Times New Roman" w:cs="Times New Roman"/>
          <w:color w:val="000000" w:themeColor="text1"/>
          <w:sz w:val="24"/>
          <w:szCs w:val="24"/>
        </w:rPr>
        <w:t xml:space="preserve"> their number by 1.</w:t>
      </w:r>
      <w:r w:rsidR="007A79EF" w:rsidRPr="0078472B">
        <w:rPr>
          <w:rFonts w:ascii="Times New Roman" w:eastAsia="Times New Roman" w:hAnsi="Times New Roman" w:cs="Times New Roman"/>
          <w:color w:val="000000" w:themeColor="text1"/>
          <w:sz w:val="24"/>
          <w:szCs w:val="24"/>
        </w:rPr>
        <w:t>7</w:t>
      </w:r>
      <w:r w:rsidRPr="0078472B">
        <w:rPr>
          <w:rFonts w:ascii="Times New Roman" w:eastAsia="Times New Roman" w:hAnsi="Times New Roman" w:cs="Times New Roman"/>
          <w:color w:val="000000" w:themeColor="text1"/>
          <w:sz w:val="24"/>
          <w:szCs w:val="24"/>
        </w:rPr>
        <w:t xml:space="preserve"> bettors.</w:t>
      </w:r>
      <w:r w:rsidR="0076474B" w:rsidRPr="0078472B">
        <w:rPr>
          <w:rFonts w:ascii="Times New Roman" w:eastAsia="Times New Roman" w:hAnsi="Times New Roman" w:cs="Times New Roman"/>
          <w:color w:val="000000" w:themeColor="text1"/>
          <w:sz w:val="24"/>
          <w:szCs w:val="24"/>
        </w:rPr>
        <w:t xml:space="preserve"> This is consistent with the presumption that the betting company knows the local demand for off-track horse race betting venues, which is also an indicator of local interest in betting and is likely to vary between municipalities. </w:t>
      </w:r>
      <w:r w:rsidRPr="0078472B">
        <w:rPr>
          <w:rFonts w:ascii="Times New Roman" w:eastAsia="Times New Roman" w:hAnsi="Times New Roman" w:cs="Times New Roman"/>
          <w:color w:val="000000" w:themeColor="text1"/>
          <w:sz w:val="24"/>
          <w:szCs w:val="24"/>
        </w:rPr>
        <w:t xml:space="preserve">    </w:t>
      </w:r>
    </w:p>
    <w:p w14:paraId="7B83876A" w14:textId="77777777" w:rsidR="00D23585" w:rsidRPr="0078472B" w:rsidRDefault="00D23585" w:rsidP="00A540E5">
      <w:pPr>
        <w:spacing w:after="0" w:line="480" w:lineRule="auto"/>
        <w:jc w:val="both"/>
        <w:rPr>
          <w:rFonts w:ascii="Times New Roman" w:eastAsia="Times New Roman" w:hAnsi="Times New Roman" w:cs="Times New Roman"/>
          <w:color w:val="000000" w:themeColor="text1"/>
          <w:sz w:val="24"/>
          <w:szCs w:val="24"/>
        </w:rPr>
      </w:pPr>
    </w:p>
    <w:p w14:paraId="54EA48C2" w14:textId="4BA1F9C5" w:rsidR="00D23585" w:rsidRPr="0078472B" w:rsidRDefault="00D23585" w:rsidP="00A540E5">
      <w:pPr>
        <w:spacing w:after="0" w:line="480" w:lineRule="auto"/>
        <w:jc w:val="both"/>
        <w:rPr>
          <w:rFonts w:ascii="Times New Roman" w:eastAsia="Times New Roman" w:hAnsi="Times New Roman" w:cs="Times New Roman"/>
          <w:color w:val="000000" w:themeColor="text1"/>
          <w:sz w:val="24"/>
          <w:szCs w:val="24"/>
        </w:rPr>
      </w:pPr>
      <w:r w:rsidRPr="0078472B">
        <w:rPr>
          <w:rFonts w:ascii="Times New Roman" w:eastAsia="Times New Roman" w:hAnsi="Times New Roman" w:cs="Times New Roman"/>
          <w:color w:val="000000" w:themeColor="text1"/>
          <w:sz w:val="24"/>
          <w:szCs w:val="24"/>
        </w:rPr>
        <w:t xml:space="preserve">As for the socio-demographic characteristics, the estimated coefficients are </w:t>
      </w:r>
      <w:r w:rsidR="008971E9" w:rsidRPr="0078472B">
        <w:rPr>
          <w:rFonts w:ascii="Times New Roman" w:eastAsia="Times New Roman" w:hAnsi="Times New Roman" w:cs="Times New Roman"/>
          <w:color w:val="000000" w:themeColor="text1"/>
          <w:sz w:val="24"/>
          <w:szCs w:val="24"/>
        </w:rPr>
        <w:t xml:space="preserve">mostly </w:t>
      </w:r>
      <w:r w:rsidRPr="0078472B">
        <w:rPr>
          <w:rFonts w:ascii="Times New Roman" w:eastAsia="Times New Roman" w:hAnsi="Times New Roman" w:cs="Times New Roman"/>
          <w:color w:val="000000" w:themeColor="text1"/>
          <w:sz w:val="24"/>
          <w:szCs w:val="24"/>
        </w:rPr>
        <w:t>statistically insignificant. There are two exceptions, however. A city as opposed to a rural municipality is associated with a 0.5</w:t>
      </w:r>
      <w:r w:rsidR="00EC176B" w:rsidRPr="0078472B">
        <w:rPr>
          <w:rFonts w:ascii="Times New Roman" w:eastAsia="Times New Roman" w:hAnsi="Times New Roman" w:cs="Times New Roman"/>
          <w:color w:val="000000" w:themeColor="text1"/>
          <w:sz w:val="24"/>
          <w:szCs w:val="24"/>
        </w:rPr>
        <w:t>9</w:t>
      </w:r>
      <w:r w:rsidRPr="0078472B">
        <w:rPr>
          <w:rFonts w:ascii="Times New Roman" w:eastAsia="Times New Roman" w:hAnsi="Times New Roman" w:cs="Times New Roman"/>
          <w:color w:val="000000" w:themeColor="text1"/>
          <w:sz w:val="24"/>
          <w:szCs w:val="24"/>
        </w:rPr>
        <w:t xml:space="preserve"> increase in the number of online bettors</w:t>
      </w:r>
      <w:r w:rsidR="00636C39" w:rsidRPr="0078472B">
        <w:rPr>
          <w:rFonts w:ascii="Times New Roman" w:eastAsia="Times New Roman" w:hAnsi="Times New Roman" w:cs="Times New Roman"/>
          <w:color w:val="000000" w:themeColor="text1"/>
          <w:sz w:val="24"/>
          <w:szCs w:val="24"/>
        </w:rPr>
        <w:t xml:space="preserve"> per 1,000 inhabitants</w:t>
      </w:r>
      <w:r w:rsidRPr="0078472B">
        <w:rPr>
          <w:rFonts w:ascii="Times New Roman" w:eastAsia="Times New Roman" w:hAnsi="Times New Roman" w:cs="Times New Roman"/>
          <w:color w:val="000000" w:themeColor="text1"/>
          <w:sz w:val="24"/>
          <w:szCs w:val="24"/>
        </w:rPr>
        <w:t xml:space="preserve">. </w:t>
      </w:r>
      <w:r w:rsidR="00D41DBD" w:rsidRPr="0078472B">
        <w:rPr>
          <w:rFonts w:ascii="Times New Roman" w:eastAsia="Times New Roman" w:hAnsi="Times New Roman" w:cs="Times New Roman"/>
          <w:color w:val="000000" w:themeColor="text1"/>
          <w:sz w:val="24"/>
          <w:szCs w:val="24"/>
        </w:rPr>
        <w:t xml:space="preserve">As a result, online betting </w:t>
      </w:r>
      <w:r w:rsidR="00636C39" w:rsidRPr="0078472B">
        <w:rPr>
          <w:rFonts w:ascii="Times New Roman" w:eastAsia="Times New Roman" w:hAnsi="Times New Roman" w:cs="Times New Roman"/>
          <w:color w:val="000000" w:themeColor="text1"/>
          <w:sz w:val="24"/>
          <w:szCs w:val="24"/>
        </w:rPr>
        <w:t>appears to be</w:t>
      </w:r>
      <w:r w:rsidR="00D41DBD" w:rsidRPr="0078472B">
        <w:rPr>
          <w:rFonts w:ascii="Times New Roman" w:eastAsia="Times New Roman" w:hAnsi="Times New Roman" w:cs="Times New Roman"/>
          <w:color w:val="000000" w:themeColor="text1"/>
          <w:sz w:val="24"/>
          <w:szCs w:val="24"/>
        </w:rPr>
        <w:t xml:space="preserve"> more prevalent in cities</w:t>
      </w:r>
      <w:r w:rsidR="00163777" w:rsidRPr="0078472B">
        <w:rPr>
          <w:rFonts w:ascii="Times New Roman" w:eastAsia="Times New Roman" w:hAnsi="Times New Roman" w:cs="Times New Roman"/>
          <w:color w:val="000000" w:themeColor="text1"/>
          <w:sz w:val="24"/>
          <w:szCs w:val="24"/>
        </w:rPr>
        <w:t xml:space="preserve">. </w:t>
      </w:r>
      <w:r w:rsidRPr="0078472B">
        <w:rPr>
          <w:rFonts w:ascii="Times New Roman" w:eastAsia="Times New Roman" w:hAnsi="Times New Roman" w:cs="Times New Roman"/>
          <w:color w:val="000000" w:themeColor="text1"/>
          <w:sz w:val="24"/>
          <w:szCs w:val="24"/>
        </w:rPr>
        <w:t xml:space="preserve">The results also suggest that the share of Swedish-speakers is associated with a lower level of online betting </w:t>
      </w:r>
      <w:r w:rsidR="004D381E" w:rsidRPr="0078472B">
        <w:rPr>
          <w:rFonts w:ascii="Times New Roman" w:eastAsia="Times New Roman" w:hAnsi="Times New Roman" w:cs="Times New Roman"/>
          <w:color w:val="000000" w:themeColor="text1"/>
          <w:sz w:val="24"/>
          <w:szCs w:val="24"/>
        </w:rPr>
        <w:t>engagement</w:t>
      </w:r>
      <w:r w:rsidRPr="0078472B">
        <w:rPr>
          <w:rFonts w:ascii="Times New Roman" w:eastAsia="Times New Roman" w:hAnsi="Times New Roman" w:cs="Times New Roman"/>
          <w:color w:val="000000" w:themeColor="text1"/>
          <w:sz w:val="24"/>
          <w:szCs w:val="24"/>
        </w:rPr>
        <w:t xml:space="preserve">: a one </w:t>
      </w:r>
      <w:r w:rsidRPr="0078472B">
        <w:rPr>
          <w:rFonts w:ascii="Times New Roman" w:eastAsia="Times New Roman" w:hAnsi="Times New Roman" w:cs="Times New Roman"/>
          <w:color w:val="000000" w:themeColor="text1"/>
          <w:sz w:val="24"/>
          <w:szCs w:val="24"/>
        </w:rPr>
        <w:lastRenderedPageBreak/>
        <w:t>percentage point increase in the share of those identifying themselves as Swedish-speaking decreases the number of online bettors by 0.0</w:t>
      </w:r>
      <w:r w:rsidR="00EC176B" w:rsidRPr="0078472B">
        <w:rPr>
          <w:rFonts w:ascii="Times New Roman" w:eastAsia="Times New Roman" w:hAnsi="Times New Roman" w:cs="Times New Roman"/>
          <w:color w:val="000000" w:themeColor="text1"/>
          <w:sz w:val="24"/>
          <w:szCs w:val="24"/>
        </w:rPr>
        <w:t>35</w:t>
      </w:r>
      <w:r w:rsidRPr="0078472B">
        <w:rPr>
          <w:rFonts w:ascii="Times New Roman" w:eastAsia="Times New Roman" w:hAnsi="Times New Roman" w:cs="Times New Roman"/>
          <w:color w:val="000000" w:themeColor="text1"/>
          <w:sz w:val="24"/>
          <w:szCs w:val="24"/>
        </w:rPr>
        <w:t xml:space="preserve"> bettors</w:t>
      </w:r>
      <w:r w:rsidR="0047642A" w:rsidRPr="0078472B">
        <w:rPr>
          <w:rFonts w:ascii="Times New Roman" w:eastAsia="Times New Roman" w:hAnsi="Times New Roman" w:cs="Times New Roman"/>
          <w:color w:val="000000" w:themeColor="text1"/>
          <w:sz w:val="24"/>
          <w:szCs w:val="24"/>
        </w:rPr>
        <w:t xml:space="preserve"> per 1,000 inhabitants</w:t>
      </w:r>
      <w:r w:rsidRPr="0078472B">
        <w:rPr>
          <w:rFonts w:ascii="Times New Roman" w:eastAsia="Times New Roman" w:hAnsi="Times New Roman" w:cs="Times New Roman"/>
          <w:color w:val="000000" w:themeColor="text1"/>
          <w:sz w:val="24"/>
          <w:szCs w:val="24"/>
        </w:rPr>
        <w:t xml:space="preserve">.  </w:t>
      </w:r>
    </w:p>
    <w:p w14:paraId="6DC709CA" w14:textId="77777777" w:rsidR="000B407D" w:rsidRPr="0078472B" w:rsidRDefault="000B407D" w:rsidP="00A540E5">
      <w:pPr>
        <w:spacing w:after="0" w:line="480" w:lineRule="auto"/>
        <w:jc w:val="both"/>
        <w:rPr>
          <w:rFonts w:ascii="Times New Roman" w:eastAsia="Times New Roman" w:hAnsi="Times New Roman" w:cs="Times New Roman"/>
          <w:color w:val="000000" w:themeColor="text1"/>
          <w:sz w:val="24"/>
          <w:szCs w:val="24"/>
        </w:rPr>
      </w:pPr>
    </w:p>
    <w:p w14:paraId="0C3CE733" w14:textId="607ABC45" w:rsidR="00D23585" w:rsidRPr="0078472B" w:rsidRDefault="00D23585" w:rsidP="00A540E5">
      <w:pPr>
        <w:spacing w:after="0" w:line="480" w:lineRule="auto"/>
        <w:jc w:val="both"/>
        <w:rPr>
          <w:rFonts w:ascii="Times New Roman" w:eastAsia="Times New Roman" w:hAnsi="Times New Roman" w:cs="Times New Roman"/>
          <w:color w:val="000000" w:themeColor="text1"/>
          <w:sz w:val="24"/>
          <w:szCs w:val="24"/>
        </w:rPr>
      </w:pPr>
      <w:r w:rsidRPr="0078472B">
        <w:rPr>
          <w:rFonts w:ascii="Times New Roman" w:eastAsia="Times New Roman" w:hAnsi="Times New Roman" w:cs="Times New Roman"/>
          <w:i/>
          <w:color w:val="000000" w:themeColor="text1"/>
          <w:sz w:val="24"/>
          <w:szCs w:val="24"/>
        </w:rPr>
        <w:t>Betting volume</w:t>
      </w:r>
      <w:r w:rsidRPr="0078472B">
        <w:rPr>
          <w:rFonts w:ascii="Times New Roman" w:eastAsia="Times New Roman" w:hAnsi="Times New Roman" w:cs="Times New Roman"/>
          <w:color w:val="000000" w:themeColor="text1"/>
          <w:sz w:val="24"/>
          <w:szCs w:val="24"/>
        </w:rPr>
        <w:t xml:space="preserve">. </w:t>
      </w:r>
      <w:r w:rsidR="00511189" w:rsidRPr="0078472B">
        <w:rPr>
          <w:rFonts w:ascii="Times New Roman" w:eastAsia="Times New Roman" w:hAnsi="Times New Roman" w:cs="Times New Roman"/>
          <w:color w:val="000000" w:themeColor="text1"/>
          <w:sz w:val="24"/>
          <w:szCs w:val="24"/>
        </w:rPr>
        <w:t>Regarding</w:t>
      </w:r>
      <w:r w:rsidRPr="0078472B">
        <w:rPr>
          <w:rFonts w:ascii="Times New Roman" w:eastAsia="Times New Roman" w:hAnsi="Times New Roman" w:cs="Times New Roman"/>
          <w:color w:val="000000" w:themeColor="text1"/>
          <w:sz w:val="24"/>
          <w:szCs w:val="24"/>
        </w:rPr>
        <w:t xml:space="preserve"> betting volume, two equine interest variables are statistically significant. Each additional horse owner is associated with 4</w:t>
      </w:r>
      <w:r w:rsidR="00EC176B" w:rsidRPr="0078472B">
        <w:rPr>
          <w:rFonts w:ascii="Times New Roman" w:eastAsia="Times New Roman" w:hAnsi="Times New Roman" w:cs="Times New Roman"/>
          <w:color w:val="000000" w:themeColor="text1"/>
          <w:sz w:val="24"/>
          <w:szCs w:val="24"/>
        </w:rPr>
        <w:t>7</w:t>
      </w:r>
      <w:r w:rsidRPr="0078472B">
        <w:rPr>
          <w:rFonts w:ascii="Times New Roman" w:eastAsia="Times New Roman" w:hAnsi="Times New Roman" w:cs="Times New Roman"/>
          <w:color w:val="000000" w:themeColor="text1"/>
          <w:sz w:val="24"/>
          <w:szCs w:val="24"/>
        </w:rPr>
        <w:t>.</w:t>
      </w:r>
      <w:r w:rsidR="00EC176B" w:rsidRPr="0078472B">
        <w:rPr>
          <w:rFonts w:ascii="Times New Roman" w:eastAsia="Times New Roman" w:hAnsi="Times New Roman" w:cs="Times New Roman"/>
          <w:color w:val="000000" w:themeColor="text1"/>
          <w:sz w:val="24"/>
          <w:szCs w:val="24"/>
        </w:rPr>
        <w:t>7</w:t>
      </w:r>
      <w:r w:rsidRPr="0078472B">
        <w:rPr>
          <w:rFonts w:ascii="Times New Roman" w:eastAsia="Times New Roman" w:hAnsi="Times New Roman" w:cs="Times New Roman"/>
          <w:color w:val="000000" w:themeColor="text1"/>
          <w:sz w:val="24"/>
          <w:szCs w:val="24"/>
        </w:rPr>
        <w:t xml:space="preserve"> euro increase in betting volume per 1,000 inhabitants. By contrast, the </w:t>
      </w:r>
      <w:r w:rsidR="00287C0B" w:rsidRPr="0078472B">
        <w:rPr>
          <w:rFonts w:ascii="Times New Roman" w:eastAsia="Times New Roman" w:hAnsi="Times New Roman" w:cs="Times New Roman"/>
          <w:color w:val="000000" w:themeColor="text1"/>
          <w:sz w:val="24"/>
          <w:szCs w:val="24"/>
        </w:rPr>
        <w:t>number</w:t>
      </w:r>
      <w:r w:rsidRPr="0078472B">
        <w:rPr>
          <w:rFonts w:ascii="Times New Roman" w:eastAsia="Times New Roman" w:hAnsi="Times New Roman" w:cs="Times New Roman"/>
          <w:color w:val="000000" w:themeColor="text1"/>
          <w:sz w:val="24"/>
          <w:szCs w:val="24"/>
        </w:rPr>
        <w:t xml:space="preserve"> of riding horses pulls </w:t>
      </w:r>
      <w:r w:rsidR="008971E9" w:rsidRPr="0078472B">
        <w:rPr>
          <w:rFonts w:ascii="Times New Roman" w:eastAsia="Times New Roman" w:hAnsi="Times New Roman" w:cs="Times New Roman"/>
          <w:color w:val="000000" w:themeColor="text1"/>
          <w:sz w:val="24"/>
          <w:szCs w:val="24"/>
        </w:rPr>
        <w:t xml:space="preserve">in </w:t>
      </w:r>
      <w:r w:rsidRPr="0078472B">
        <w:rPr>
          <w:rFonts w:ascii="Times New Roman" w:eastAsia="Times New Roman" w:hAnsi="Times New Roman" w:cs="Times New Roman"/>
          <w:color w:val="000000" w:themeColor="text1"/>
          <w:sz w:val="24"/>
          <w:szCs w:val="24"/>
        </w:rPr>
        <w:t>the opposite direction</w:t>
      </w:r>
      <w:r w:rsidR="008971E9" w:rsidRPr="0078472B">
        <w:rPr>
          <w:rFonts w:ascii="Times New Roman" w:eastAsia="Times New Roman" w:hAnsi="Times New Roman" w:cs="Times New Roman"/>
          <w:color w:val="000000" w:themeColor="text1"/>
          <w:sz w:val="24"/>
          <w:szCs w:val="24"/>
        </w:rPr>
        <w:t>,</w:t>
      </w:r>
      <w:r w:rsidRPr="0078472B">
        <w:rPr>
          <w:rFonts w:ascii="Times New Roman" w:eastAsia="Times New Roman" w:hAnsi="Times New Roman" w:cs="Times New Roman"/>
          <w:color w:val="000000" w:themeColor="text1"/>
          <w:sz w:val="24"/>
          <w:szCs w:val="24"/>
        </w:rPr>
        <w:t xml:space="preserve"> implying that a</w:t>
      </w:r>
      <w:r w:rsidR="00287C0B" w:rsidRPr="0078472B">
        <w:rPr>
          <w:rFonts w:ascii="Times New Roman" w:eastAsia="Times New Roman" w:hAnsi="Times New Roman" w:cs="Times New Roman"/>
          <w:color w:val="000000" w:themeColor="text1"/>
          <w:sz w:val="24"/>
          <w:szCs w:val="24"/>
        </w:rPr>
        <w:t xml:space="preserve"> one</w:t>
      </w:r>
      <w:r w:rsidRPr="0078472B">
        <w:rPr>
          <w:rFonts w:ascii="Times New Roman" w:eastAsia="Times New Roman" w:hAnsi="Times New Roman" w:cs="Times New Roman"/>
          <w:color w:val="000000" w:themeColor="text1"/>
          <w:sz w:val="24"/>
          <w:szCs w:val="24"/>
        </w:rPr>
        <w:t xml:space="preserve"> </w:t>
      </w:r>
      <w:r w:rsidR="00287C0B" w:rsidRPr="0078472B">
        <w:rPr>
          <w:rFonts w:ascii="Times New Roman" w:eastAsia="Times New Roman" w:hAnsi="Times New Roman" w:cs="Times New Roman"/>
          <w:color w:val="000000" w:themeColor="text1"/>
          <w:sz w:val="24"/>
          <w:szCs w:val="24"/>
        </w:rPr>
        <w:t xml:space="preserve">unit </w:t>
      </w:r>
      <w:r w:rsidR="008971E9" w:rsidRPr="0078472B">
        <w:rPr>
          <w:rFonts w:ascii="Times New Roman" w:eastAsia="Times New Roman" w:hAnsi="Times New Roman" w:cs="Times New Roman"/>
          <w:color w:val="000000" w:themeColor="text1"/>
          <w:sz w:val="24"/>
          <w:szCs w:val="24"/>
        </w:rPr>
        <w:t xml:space="preserve">increase </w:t>
      </w:r>
      <w:r w:rsidR="00287C0B" w:rsidRPr="0078472B">
        <w:rPr>
          <w:rFonts w:ascii="Times New Roman" w:eastAsia="Times New Roman" w:hAnsi="Times New Roman" w:cs="Times New Roman"/>
          <w:color w:val="000000" w:themeColor="text1"/>
          <w:sz w:val="24"/>
          <w:szCs w:val="24"/>
        </w:rPr>
        <w:t xml:space="preserve">in the number of riding horses </w:t>
      </w:r>
      <w:r w:rsidRPr="0078472B">
        <w:rPr>
          <w:rFonts w:ascii="Times New Roman" w:eastAsia="Times New Roman" w:hAnsi="Times New Roman" w:cs="Times New Roman"/>
          <w:color w:val="000000" w:themeColor="text1"/>
          <w:sz w:val="24"/>
          <w:szCs w:val="24"/>
        </w:rPr>
        <w:t>lowers the volume by 5</w:t>
      </w:r>
      <w:r w:rsidR="00EC176B" w:rsidRPr="0078472B">
        <w:rPr>
          <w:rFonts w:ascii="Times New Roman" w:eastAsia="Times New Roman" w:hAnsi="Times New Roman" w:cs="Times New Roman"/>
          <w:color w:val="000000" w:themeColor="text1"/>
          <w:sz w:val="24"/>
          <w:szCs w:val="24"/>
        </w:rPr>
        <w:t>3</w:t>
      </w:r>
      <w:r w:rsidRPr="0078472B">
        <w:rPr>
          <w:rFonts w:ascii="Times New Roman" w:eastAsia="Times New Roman" w:hAnsi="Times New Roman" w:cs="Times New Roman"/>
          <w:color w:val="000000" w:themeColor="text1"/>
          <w:sz w:val="24"/>
          <w:szCs w:val="24"/>
        </w:rPr>
        <w:t>.4</w:t>
      </w:r>
      <w:r w:rsidR="00EC176B" w:rsidRPr="0078472B">
        <w:rPr>
          <w:rFonts w:ascii="Times New Roman" w:eastAsia="Times New Roman" w:hAnsi="Times New Roman" w:cs="Times New Roman"/>
          <w:color w:val="000000" w:themeColor="text1"/>
          <w:sz w:val="24"/>
          <w:szCs w:val="24"/>
        </w:rPr>
        <w:t>8</w:t>
      </w:r>
      <w:r w:rsidRPr="0078472B">
        <w:rPr>
          <w:rFonts w:ascii="Times New Roman" w:eastAsia="Times New Roman" w:hAnsi="Times New Roman" w:cs="Times New Roman"/>
          <w:color w:val="000000" w:themeColor="text1"/>
          <w:sz w:val="24"/>
          <w:szCs w:val="24"/>
        </w:rPr>
        <w:t xml:space="preserve"> euros. </w:t>
      </w:r>
    </w:p>
    <w:p w14:paraId="7A248187" w14:textId="77777777" w:rsidR="006E71C7" w:rsidRPr="0078472B" w:rsidRDefault="006E71C7" w:rsidP="00A540E5">
      <w:pPr>
        <w:spacing w:after="0" w:line="480" w:lineRule="auto"/>
        <w:jc w:val="both"/>
        <w:rPr>
          <w:rFonts w:ascii="Times New Roman" w:eastAsia="Times New Roman" w:hAnsi="Times New Roman" w:cs="Times New Roman"/>
          <w:color w:val="000000" w:themeColor="text1"/>
          <w:sz w:val="24"/>
          <w:szCs w:val="24"/>
        </w:rPr>
      </w:pPr>
    </w:p>
    <w:p w14:paraId="2943D3B8" w14:textId="5C7473FB" w:rsidR="002C645B" w:rsidRPr="0078472B" w:rsidRDefault="002C645B" w:rsidP="00A540E5">
      <w:pPr>
        <w:spacing w:after="0" w:line="480" w:lineRule="auto"/>
        <w:jc w:val="both"/>
        <w:rPr>
          <w:rFonts w:ascii="Times New Roman" w:eastAsia="Times New Roman" w:hAnsi="Times New Roman" w:cs="Times New Roman"/>
          <w:color w:val="000000" w:themeColor="text1"/>
          <w:sz w:val="24"/>
          <w:szCs w:val="24"/>
        </w:rPr>
      </w:pPr>
      <w:r w:rsidRPr="0078472B">
        <w:rPr>
          <w:rFonts w:ascii="Times New Roman" w:eastAsia="Times New Roman" w:hAnsi="Times New Roman" w:cs="Times New Roman"/>
          <w:color w:val="000000" w:themeColor="text1"/>
          <w:sz w:val="24"/>
          <w:szCs w:val="24"/>
        </w:rPr>
        <w:t>As was the case with the equine variables, there are two statistically significant variables relating to the off-track betting environment. A</w:t>
      </w:r>
      <w:r w:rsidR="008971E9" w:rsidRPr="0078472B">
        <w:rPr>
          <w:rFonts w:ascii="Times New Roman" w:eastAsia="Times New Roman" w:hAnsi="Times New Roman" w:cs="Times New Roman"/>
          <w:color w:val="000000" w:themeColor="text1"/>
          <w:sz w:val="24"/>
          <w:szCs w:val="24"/>
        </w:rPr>
        <w:t xml:space="preserve">n additional </w:t>
      </w:r>
      <w:r w:rsidRPr="0078472B">
        <w:rPr>
          <w:rFonts w:ascii="Times New Roman" w:eastAsia="Times New Roman" w:hAnsi="Times New Roman" w:cs="Times New Roman"/>
          <w:color w:val="000000" w:themeColor="text1"/>
          <w:sz w:val="24"/>
          <w:szCs w:val="24"/>
        </w:rPr>
        <w:t xml:space="preserve">horse race meeting </w:t>
      </w:r>
      <w:r w:rsidR="002B0C9F" w:rsidRPr="0078472B">
        <w:rPr>
          <w:rFonts w:ascii="Times New Roman" w:eastAsia="Times New Roman" w:hAnsi="Times New Roman" w:cs="Times New Roman"/>
          <w:color w:val="000000" w:themeColor="text1"/>
          <w:sz w:val="24"/>
          <w:szCs w:val="24"/>
        </w:rPr>
        <w:t>at</w:t>
      </w:r>
      <w:r w:rsidRPr="0078472B">
        <w:rPr>
          <w:rFonts w:ascii="Times New Roman" w:eastAsia="Times New Roman" w:hAnsi="Times New Roman" w:cs="Times New Roman"/>
          <w:color w:val="000000" w:themeColor="text1"/>
          <w:sz w:val="24"/>
          <w:szCs w:val="24"/>
        </w:rPr>
        <w:t xml:space="preserve"> the local racetrack is associated with </w:t>
      </w:r>
      <w:r w:rsidR="00511189" w:rsidRPr="0078472B">
        <w:rPr>
          <w:rFonts w:ascii="Times New Roman" w:eastAsia="Times New Roman" w:hAnsi="Times New Roman" w:cs="Times New Roman"/>
          <w:color w:val="000000" w:themeColor="text1"/>
          <w:sz w:val="24"/>
          <w:szCs w:val="24"/>
        </w:rPr>
        <w:t>a 29</w:t>
      </w:r>
      <w:r w:rsidR="00EC176B" w:rsidRPr="0078472B">
        <w:rPr>
          <w:rFonts w:ascii="Times New Roman" w:eastAsia="Times New Roman" w:hAnsi="Times New Roman" w:cs="Times New Roman"/>
          <w:color w:val="000000" w:themeColor="text1"/>
          <w:sz w:val="24"/>
          <w:szCs w:val="24"/>
        </w:rPr>
        <w:t>8</w:t>
      </w:r>
      <w:r w:rsidR="00511189" w:rsidRPr="0078472B">
        <w:rPr>
          <w:rFonts w:ascii="Times New Roman" w:eastAsia="Times New Roman" w:hAnsi="Times New Roman" w:cs="Times New Roman"/>
          <w:color w:val="000000" w:themeColor="text1"/>
          <w:sz w:val="24"/>
          <w:szCs w:val="24"/>
        </w:rPr>
        <w:t>.</w:t>
      </w:r>
      <w:r w:rsidR="00EC176B" w:rsidRPr="0078472B">
        <w:rPr>
          <w:rFonts w:ascii="Times New Roman" w:eastAsia="Times New Roman" w:hAnsi="Times New Roman" w:cs="Times New Roman"/>
          <w:color w:val="000000" w:themeColor="text1"/>
          <w:sz w:val="24"/>
          <w:szCs w:val="24"/>
        </w:rPr>
        <w:t>39</w:t>
      </w:r>
      <w:r w:rsidR="00511189" w:rsidRPr="0078472B">
        <w:rPr>
          <w:rFonts w:ascii="Times New Roman" w:eastAsia="Times New Roman" w:hAnsi="Times New Roman" w:cs="Times New Roman"/>
          <w:color w:val="000000" w:themeColor="text1"/>
          <w:sz w:val="24"/>
          <w:szCs w:val="24"/>
        </w:rPr>
        <w:t xml:space="preserve"> euro</w:t>
      </w:r>
      <w:r w:rsidRPr="0078472B">
        <w:rPr>
          <w:rFonts w:ascii="Times New Roman" w:eastAsia="Times New Roman" w:hAnsi="Times New Roman" w:cs="Times New Roman"/>
          <w:color w:val="000000" w:themeColor="text1"/>
          <w:sz w:val="24"/>
          <w:szCs w:val="24"/>
        </w:rPr>
        <w:t xml:space="preserve"> increase in the betting volume per 1,000 inhabitants. The estimates also suggest that a racetrack in a neighbouring municipality is associated with an increase of 35</w:t>
      </w:r>
      <w:r w:rsidR="00EC176B" w:rsidRPr="0078472B">
        <w:rPr>
          <w:rFonts w:ascii="Times New Roman" w:eastAsia="Times New Roman" w:hAnsi="Times New Roman" w:cs="Times New Roman"/>
          <w:color w:val="000000" w:themeColor="text1"/>
          <w:sz w:val="24"/>
          <w:szCs w:val="24"/>
        </w:rPr>
        <w:t>4</w:t>
      </w:r>
      <w:r w:rsidRPr="0078472B">
        <w:rPr>
          <w:rFonts w:ascii="Times New Roman" w:eastAsia="Times New Roman" w:hAnsi="Times New Roman" w:cs="Times New Roman"/>
          <w:color w:val="000000" w:themeColor="text1"/>
          <w:sz w:val="24"/>
          <w:szCs w:val="24"/>
        </w:rPr>
        <w:t>.</w:t>
      </w:r>
      <w:r w:rsidR="00EC176B" w:rsidRPr="0078472B">
        <w:rPr>
          <w:rFonts w:ascii="Times New Roman" w:eastAsia="Times New Roman" w:hAnsi="Times New Roman" w:cs="Times New Roman"/>
          <w:color w:val="000000" w:themeColor="text1"/>
          <w:sz w:val="24"/>
          <w:szCs w:val="24"/>
        </w:rPr>
        <w:t>2</w:t>
      </w:r>
      <w:r w:rsidRPr="0078472B">
        <w:rPr>
          <w:rFonts w:ascii="Times New Roman" w:eastAsia="Times New Roman" w:hAnsi="Times New Roman" w:cs="Times New Roman"/>
          <w:color w:val="000000" w:themeColor="text1"/>
          <w:sz w:val="24"/>
          <w:szCs w:val="24"/>
        </w:rPr>
        <w:t xml:space="preserve">7 euros in the betting volume per 1,000 inhabitants. </w:t>
      </w:r>
    </w:p>
    <w:p w14:paraId="398BA5D3" w14:textId="77777777" w:rsidR="000D3C97" w:rsidRPr="0078472B" w:rsidRDefault="000D3C97" w:rsidP="00A540E5">
      <w:pPr>
        <w:spacing w:after="0" w:line="480" w:lineRule="auto"/>
        <w:jc w:val="both"/>
        <w:rPr>
          <w:rFonts w:ascii="Times New Roman" w:eastAsia="Times New Roman" w:hAnsi="Times New Roman" w:cs="Times New Roman"/>
          <w:color w:val="000000" w:themeColor="text1"/>
          <w:sz w:val="24"/>
          <w:szCs w:val="24"/>
        </w:rPr>
      </w:pPr>
    </w:p>
    <w:p w14:paraId="5CB28B98" w14:textId="02681EB5" w:rsidR="002C645B" w:rsidRPr="0078472B" w:rsidRDefault="002C645B" w:rsidP="00A540E5">
      <w:pPr>
        <w:spacing w:after="0" w:line="480" w:lineRule="auto"/>
        <w:jc w:val="both"/>
        <w:rPr>
          <w:rFonts w:ascii="Times New Roman" w:eastAsia="Times New Roman" w:hAnsi="Times New Roman" w:cs="Times New Roman"/>
          <w:color w:val="000000" w:themeColor="text1"/>
          <w:sz w:val="24"/>
          <w:szCs w:val="24"/>
        </w:rPr>
      </w:pPr>
      <w:r w:rsidRPr="0078472B">
        <w:rPr>
          <w:rFonts w:ascii="Times New Roman" w:eastAsia="Times New Roman" w:hAnsi="Times New Roman" w:cs="Times New Roman"/>
          <w:color w:val="000000" w:themeColor="text1"/>
          <w:sz w:val="24"/>
          <w:szCs w:val="24"/>
        </w:rPr>
        <w:t>The estimates for socio-demographic characteristics follow a pattern established in the previous model. A city adds 3</w:t>
      </w:r>
      <w:r w:rsidR="00EC176B" w:rsidRPr="0078472B">
        <w:rPr>
          <w:rFonts w:ascii="Times New Roman" w:eastAsia="Times New Roman" w:hAnsi="Times New Roman" w:cs="Times New Roman"/>
          <w:color w:val="000000" w:themeColor="text1"/>
          <w:sz w:val="24"/>
          <w:szCs w:val="24"/>
        </w:rPr>
        <w:t>31</w:t>
      </w:r>
      <w:r w:rsidRPr="0078472B">
        <w:rPr>
          <w:rFonts w:ascii="Times New Roman" w:eastAsia="Times New Roman" w:hAnsi="Times New Roman" w:cs="Times New Roman"/>
          <w:color w:val="000000" w:themeColor="text1"/>
          <w:sz w:val="24"/>
          <w:szCs w:val="24"/>
        </w:rPr>
        <w:t>.</w:t>
      </w:r>
      <w:r w:rsidR="00EC176B" w:rsidRPr="0078472B">
        <w:rPr>
          <w:rFonts w:ascii="Times New Roman" w:eastAsia="Times New Roman" w:hAnsi="Times New Roman" w:cs="Times New Roman"/>
          <w:color w:val="000000" w:themeColor="text1"/>
          <w:sz w:val="24"/>
          <w:szCs w:val="24"/>
        </w:rPr>
        <w:t>52</w:t>
      </w:r>
      <w:r w:rsidRPr="0078472B">
        <w:rPr>
          <w:rFonts w:ascii="Times New Roman" w:eastAsia="Times New Roman" w:hAnsi="Times New Roman" w:cs="Times New Roman"/>
          <w:color w:val="000000" w:themeColor="text1"/>
          <w:sz w:val="24"/>
          <w:szCs w:val="24"/>
        </w:rPr>
        <w:t xml:space="preserve"> euros to the betting volume per 1,000 inhabitants. By contrast, a percentage point increase in the share of Swedish-speakers reduces the betting pool per 1,000 inhabitants by 12.</w:t>
      </w:r>
      <w:r w:rsidR="00EC176B" w:rsidRPr="0078472B">
        <w:rPr>
          <w:rFonts w:ascii="Times New Roman" w:eastAsia="Times New Roman" w:hAnsi="Times New Roman" w:cs="Times New Roman"/>
          <w:color w:val="000000" w:themeColor="text1"/>
          <w:sz w:val="24"/>
          <w:szCs w:val="24"/>
        </w:rPr>
        <w:t>70</w:t>
      </w:r>
      <w:r w:rsidRPr="0078472B">
        <w:rPr>
          <w:rFonts w:ascii="Times New Roman" w:eastAsia="Times New Roman" w:hAnsi="Times New Roman" w:cs="Times New Roman"/>
          <w:color w:val="000000" w:themeColor="text1"/>
          <w:sz w:val="24"/>
          <w:szCs w:val="24"/>
        </w:rPr>
        <w:t xml:space="preserve"> euros. </w:t>
      </w:r>
    </w:p>
    <w:p w14:paraId="610A9736" w14:textId="609DAF3F" w:rsidR="002C645B" w:rsidRDefault="002C645B" w:rsidP="00A540E5">
      <w:pPr>
        <w:spacing w:after="0" w:line="480" w:lineRule="auto"/>
        <w:jc w:val="both"/>
        <w:rPr>
          <w:rFonts w:ascii="Times New Roman" w:eastAsia="Times New Roman" w:hAnsi="Times New Roman" w:cs="Times New Roman"/>
          <w:color w:val="000000" w:themeColor="text1"/>
          <w:sz w:val="24"/>
          <w:szCs w:val="24"/>
        </w:rPr>
      </w:pPr>
    </w:p>
    <w:p w14:paraId="1C58F7CE" w14:textId="77777777" w:rsidR="00C94810" w:rsidRPr="0078472B" w:rsidRDefault="00C94810" w:rsidP="00A540E5">
      <w:pPr>
        <w:spacing w:after="0" w:line="480" w:lineRule="auto"/>
        <w:jc w:val="both"/>
        <w:rPr>
          <w:rFonts w:ascii="Times New Roman" w:eastAsia="Times New Roman" w:hAnsi="Times New Roman" w:cs="Times New Roman"/>
          <w:color w:val="000000" w:themeColor="text1"/>
          <w:sz w:val="24"/>
          <w:szCs w:val="24"/>
        </w:rPr>
      </w:pPr>
    </w:p>
    <w:p w14:paraId="44468335" w14:textId="60BED6B9" w:rsidR="00904C3B" w:rsidRPr="0078472B" w:rsidRDefault="00C74E6B" w:rsidP="00C74E6B">
      <w:pPr>
        <w:spacing w:after="0" w:line="480" w:lineRule="auto"/>
        <w:jc w:val="center"/>
        <w:rPr>
          <w:rFonts w:ascii="Times New Roman" w:hAnsi="Times New Roman" w:cs="Times New Roman"/>
          <w:b/>
          <w:color w:val="000000" w:themeColor="text1"/>
          <w:sz w:val="24"/>
          <w:szCs w:val="24"/>
        </w:rPr>
      </w:pPr>
      <w:r w:rsidRPr="0078472B">
        <w:rPr>
          <w:rFonts w:ascii="Times New Roman" w:hAnsi="Times New Roman" w:cs="Times New Roman"/>
          <w:b/>
          <w:color w:val="000000" w:themeColor="text1"/>
          <w:sz w:val="24"/>
          <w:szCs w:val="24"/>
        </w:rPr>
        <w:lastRenderedPageBreak/>
        <w:t>DISCUSSION</w:t>
      </w:r>
    </w:p>
    <w:p w14:paraId="44226A3B" w14:textId="5C0C58FD" w:rsidR="009F61DB" w:rsidRPr="0078472B" w:rsidRDefault="009F61DB" w:rsidP="00A540E5">
      <w:pPr>
        <w:spacing w:after="0" w:line="480" w:lineRule="auto"/>
        <w:jc w:val="both"/>
        <w:rPr>
          <w:rFonts w:ascii="Times New Roman" w:hAnsi="Times New Roman" w:cs="Times New Roman"/>
          <w:b/>
          <w:color w:val="000000" w:themeColor="text1"/>
          <w:sz w:val="24"/>
          <w:szCs w:val="24"/>
        </w:rPr>
      </w:pPr>
      <w:r w:rsidRPr="0078472B">
        <w:rPr>
          <w:rFonts w:ascii="Times New Roman" w:hAnsi="Times New Roman" w:cs="Times New Roman"/>
          <w:b/>
          <w:color w:val="000000" w:themeColor="text1"/>
          <w:sz w:val="24"/>
          <w:szCs w:val="24"/>
        </w:rPr>
        <w:t>Offline betting environment</w:t>
      </w:r>
    </w:p>
    <w:p w14:paraId="3AF72E3A" w14:textId="77777777" w:rsidR="00D40893" w:rsidRPr="0078472B" w:rsidRDefault="00A87F1D"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O</w:t>
      </w:r>
      <w:r w:rsidR="0042240B" w:rsidRPr="0078472B">
        <w:rPr>
          <w:rFonts w:ascii="Times New Roman" w:hAnsi="Times New Roman" w:cs="Times New Roman"/>
          <w:color w:val="000000" w:themeColor="text1"/>
          <w:sz w:val="24"/>
          <w:szCs w:val="24"/>
        </w:rPr>
        <w:t xml:space="preserve">ur results point to offline elements still being pivotal in online horse race betting. </w:t>
      </w:r>
      <w:r w:rsidR="00D40893" w:rsidRPr="0078472B">
        <w:rPr>
          <w:rFonts w:ascii="Times New Roman" w:hAnsi="Times New Roman" w:cs="Times New Roman"/>
          <w:color w:val="000000" w:themeColor="text1"/>
          <w:sz w:val="24"/>
          <w:szCs w:val="24"/>
        </w:rPr>
        <w:t xml:space="preserve">Our findings suggest that the location of an event translates into an increase in online horse race betting engagement. </w:t>
      </w:r>
      <w:r w:rsidR="0042240B" w:rsidRPr="0078472B">
        <w:rPr>
          <w:rFonts w:ascii="Times New Roman" w:hAnsi="Times New Roman" w:cs="Times New Roman"/>
          <w:color w:val="000000" w:themeColor="text1"/>
          <w:sz w:val="24"/>
          <w:szCs w:val="24"/>
        </w:rPr>
        <w:t xml:space="preserve">Most importantly, </w:t>
      </w:r>
      <w:r w:rsidR="00B570B9" w:rsidRPr="0078472B">
        <w:rPr>
          <w:rFonts w:ascii="Times New Roman" w:hAnsi="Times New Roman" w:cs="Times New Roman"/>
          <w:color w:val="000000" w:themeColor="text1"/>
          <w:sz w:val="24"/>
          <w:szCs w:val="24"/>
        </w:rPr>
        <w:t>we found</w:t>
      </w:r>
      <w:r w:rsidR="0042240B" w:rsidRPr="0078472B">
        <w:rPr>
          <w:rFonts w:ascii="Times New Roman" w:hAnsi="Times New Roman" w:cs="Times New Roman"/>
          <w:color w:val="000000" w:themeColor="text1"/>
          <w:sz w:val="24"/>
          <w:szCs w:val="24"/>
        </w:rPr>
        <w:t xml:space="preserve"> that local race meeting</w:t>
      </w:r>
      <w:r w:rsidR="00B1456D" w:rsidRPr="0078472B">
        <w:rPr>
          <w:rFonts w:ascii="Times New Roman" w:hAnsi="Times New Roman" w:cs="Times New Roman"/>
          <w:color w:val="000000" w:themeColor="text1"/>
          <w:sz w:val="24"/>
          <w:szCs w:val="24"/>
        </w:rPr>
        <w:t>s</w:t>
      </w:r>
      <w:r w:rsidR="0042240B" w:rsidRPr="0078472B">
        <w:rPr>
          <w:rFonts w:ascii="Times New Roman" w:hAnsi="Times New Roman" w:cs="Times New Roman"/>
          <w:color w:val="000000" w:themeColor="text1"/>
          <w:sz w:val="24"/>
          <w:szCs w:val="24"/>
        </w:rPr>
        <w:t xml:space="preserve"> </w:t>
      </w:r>
      <w:r w:rsidR="00935AA0" w:rsidRPr="0078472B">
        <w:rPr>
          <w:rFonts w:ascii="Times New Roman" w:hAnsi="Times New Roman" w:cs="Times New Roman"/>
          <w:color w:val="000000" w:themeColor="text1"/>
          <w:sz w:val="24"/>
          <w:szCs w:val="24"/>
        </w:rPr>
        <w:t>are</w:t>
      </w:r>
      <w:r w:rsidR="0042240B" w:rsidRPr="0078472B">
        <w:rPr>
          <w:rFonts w:ascii="Times New Roman" w:hAnsi="Times New Roman" w:cs="Times New Roman"/>
          <w:color w:val="000000" w:themeColor="text1"/>
          <w:sz w:val="24"/>
          <w:szCs w:val="24"/>
        </w:rPr>
        <w:t xml:space="preserve"> positively associated with </w:t>
      </w:r>
      <w:r w:rsidR="00D23585" w:rsidRPr="0078472B">
        <w:rPr>
          <w:rFonts w:ascii="Times New Roman" w:hAnsi="Times New Roman" w:cs="Times New Roman"/>
          <w:color w:val="000000" w:themeColor="text1"/>
          <w:sz w:val="24"/>
          <w:szCs w:val="24"/>
        </w:rPr>
        <w:t>online</w:t>
      </w:r>
      <w:r w:rsidR="0042240B" w:rsidRPr="0078472B">
        <w:rPr>
          <w:rFonts w:ascii="Times New Roman" w:hAnsi="Times New Roman" w:cs="Times New Roman"/>
          <w:color w:val="000000" w:themeColor="text1"/>
          <w:sz w:val="24"/>
          <w:szCs w:val="24"/>
        </w:rPr>
        <w:t xml:space="preserve"> betting revenue and the number of bettors.</w:t>
      </w:r>
      <w:r w:rsidR="00765454" w:rsidRPr="0078472B">
        <w:rPr>
          <w:rFonts w:ascii="Times New Roman" w:hAnsi="Times New Roman" w:cs="Times New Roman"/>
          <w:color w:val="000000" w:themeColor="text1"/>
          <w:sz w:val="24"/>
          <w:szCs w:val="24"/>
        </w:rPr>
        <w:t xml:space="preserve"> </w:t>
      </w:r>
      <w:r w:rsidR="004C479B" w:rsidRPr="0078472B">
        <w:rPr>
          <w:rFonts w:ascii="Times New Roman" w:hAnsi="Times New Roman" w:cs="Times New Roman"/>
          <w:color w:val="000000" w:themeColor="text1"/>
          <w:sz w:val="24"/>
          <w:szCs w:val="24"/>
        </w:rPr>
        <w:t>While</w:t>
      </w:r>
      <w:r w:rsidR="00765454" w:rsidRPr="0078472B">
        <w:rPr>
          <w:rFonts w:ascii="Times New Roman" w:hAnsi="Times New Roman" w:cs="Times New Roman"/>
          <w:color w:val="000000" w:themeColor="text1"/>
          <w:sz w:val="24"/>
          <w:szCs w:val="24"/>
        </w:rPr>
        <w:t xml:space="preserve"> it is possible that bettors at the racetrack bet </w:t>
      </w:r>
      <w:r w:rsidRPr="0078472B">
        <w:rPr>
          <w:rFonts w:ascii="Times New Roman" w:hAnsi="Times New Roman" w:cs="Times New Roman"/>
          <w:color w:val="000000" w:themeColor="text1"/>
          <w:sz w:val="24"/>
          <w:szCs w:val="24"/>
        </w:rPr>
        <w:t>using</w:t>
      </w:r>
      <w:r w:rsidR="00765454" w:rsidRPr="0078472B">
        <w:rPr>
          <w:rFonts w:ascii="Times New Roman" w:hAnsi="Times New Roman" w:cs="Times New Roman"/>
          <w:color w:val="000000" w:themeColor="text1"/>
          <w:sz w:val="24"/>
          <w:szCs w:val="24"/>
        </w:rPr>
        <w:t xml:space="preserve"> the online platform</w:t>
      </w:r>
      <w:r w:rsidR="004C479B" w:rsidRPr="0078472B">
        <w:rPr>
          <w:rFonts w:ascii="Times New Roman" w:hAnsi="Times New Roman" w:cs="Times New Roman"/>
          <w:color w:val="000000" w:themeColor="text1"/>
          <w:sz w:val="24"/>
          <w:szCs w:val="24"/>
        </w:rPr>
        <w:t>,</w:t>
      </w:r>
      <w:r w:rsidR="00765454" w:rsidRPr="0078472B">
        <w:rPr>
          <w:rFonts w:ascii="Times New Roman" w:hAnsi="Times New Roman" w:cs="Times New Roman"/>
          <w:color w:val="000000" w:themeColor="text1"/>
          <w:sz w:val="24"/>
          <w:szCs w:val="24"/>
        </w:rPr>
        <w:t xml:space="preserve"> it is </w:t>
      </w:r>
      <w:r w:rsidR="004C479B" w:rsidRPr="0078472B">
        <w:rPr>
          <w:rFonts w:ascii="Times New Roman" w:hAnsi="Times New Roman" w:cs="Times New Roman"/>
          <w:color w:val="000000" w:themeColor="text1"/>
          <w:sz w:val="24"/>
          <w:szCs w:val="24"/>
        </w:rPr>
        <w:t xml:space="preserve">also </w:t>
      </w:r>
      <w:r w:rsidR="00765454" w:rsidRPr="0078472B">
        <w:rPr>
          <w:rFonts w:ascii="Times New Roman" w:hAnsi="Times New Roman" w:cs="Times New Roman"/>
          <w:color w:val="000000" w:themeColor="text1"/>
          <w:sz w:val="24"/>
          <w:szCs w:val="24"/>
        </w:rPr>
        <w:t xml:space="preserve">possible that </w:t>
      </w:r>
      <w:r w:rsidR="004C479B" w:rsidRPr="0078472B">
        <w:rPr>
          <w:rFonts w:ascii="Times New Roman" w:hAnsi="Times New Roman" w:cs="Times New Roman"/>
          <w:color w:val="000000" w:themeColor="text1"/>
          <w:sz w:val="24"/>
          <w:szCs w:val="24"/>
        </w:rPr>
        <w:t>they</w:t>
      </w:r>
      <w:r w:rsidR="00765454" w:rsidRPr="0078472B">
        <w:rPr>
          <w:rFonts w:ascii="Times New Roman" w:hAnsi="Times New Roman" w:cs="Times New Roman"/>
          <w:color w:val="000000" w:themeColor="text1"/>
          <w:sz w:val="24"/>
          <w:szCs w:val="24"/>
        </w:rPr>
        <w:t xml:space="preserve"> stay home and bet online. We believe in the latter explanation because in Finland, the first mobile application </w:t>
      </w:r>
      <w:r w:rsidRPr="0078472B">
        <w:rPr>
          <w:rFonts w:ascii="Times New Roman" w:hAnsi="Times New Roman" w:cs="Times New Roman"/>
          <w:color w:val="000000" w:themeColor="text1"/>
          <w:sz w:val="24"/>
          <w:szCs w:val="24"/>
        </w:rPr>
        <w:t>for</w:t>
      </w:r>
      <w:r w:rsidR="00765454" w:rsidRPr="0078472B">
        <w:rPr>
          <w:rFonts w:ascii="Times New Roman" w:hAnsi="Times New Roman" w:cs="Times New Roman"/>
          <w:color w:val="000000" w:themeColor="text1"/>
          <w:sz w:val="24"/>
          <w:szCs w:val="24"/>
        </w:rPr>
        <w:t xml:space="preserve"> horse race betting was launched </w:t>
      </w:r>
      <w:r w:rsidR="002B0C9F" w:rsidRPr="0078472B">
        <w:rPr>
          <w:rFonts w:ascii="Times New Roman" w:hAnsi="Times New Roman" w:cs="Times New Roman"/>
          <w:color w:val="000000" w:themeColor="text1"/>
          <w:sz w:val="24"/>
          <w:szCs w:val="24"/>
        </w:rPr>
        <w:t>only in 2013, postdating our data set, which is from 2012.</w:t>
      </w:r>
      <w:r w:rsidR="00765454" w:rsidRPr="0078472B">
        <w:rPr>
          <w:rFonts w:ascii="Times New Roman" w:hAnsi="Times New Roman" w:cs="Times New Roman"/>
          <w:color w:val="000000" w:themeColor="text1"/>
          <w:sz w:val="24"/>
          <w:szCs w:val="24"/>
        </w:rPr>
        <w:t xml:space="preserve"> Nowadays, however, many bettors at the racetrack use the mobile application for </w:t>
      </w:r>
      <w:r w:rsidR="004C479B" w:rsidRPr="0078472B">
        <w:rPr>
          <w:rFonts w:ascii="Times New Roman" w:hAnsi="Times New Roman" w:cs="Times New Roman"/>
          <w:color w:val="000000" w:themeColor="text1"/>
          <w:sz w:val="24"/>
          <w:szCs w:val="24"/>
        </w:rPr>
        <w:t>convenience</w:t>
      </w:r>
      <w:r w:rsidR="00765454" w:rsidRPr="0078472B">
        <w:rPr>
          <w:rFonts w:ascii="Times New Roman" w:hAnsi="Times New Roman" w:cs="Times New Roman"/>
          <w:color w:val="000000" w:themeColor="text1"/>
          <w:sz w:val="24"/>
          <w:szCs w:val="24"/>
        </w:rPr>
        <w:t>.</w:t>
      </w:r>
      <w:r w:rsidR="0042240B" w:rsidRPr="0078472B">
        <w:rPr>
          <w:rFonts w:ascii="Times New Roman" w:hAnsi="Times New Roman" w:cs="Times New Roman"/>
          <w:color w:val="000000" w:themeColor="text1"/>
          <w:sz w:val="24"/>
          <w:szCs w:val="24"/>
        </w:rPr>
        <w:t xml:space="preserve"> </w:t>
      </w:r>
      <w:r w:rsidR="00D40893" w:rsidRPr="0078472B">
        <w:rPr>
          <w:rFonts w:ascii="Times New Roman" w:hAnsi="Times New Roman" w:cs="Times New Roman"/>
          <w:color w:val="000000" w:themeColor="text1"/>
          <w:sz w:val="24"/>
          <w:szCs w:val="24"/>
        </w:rPr>
        <w:t>F</w:t>
      </w:r>
      <w:r w:rsidR="00B570B9" w:rsidRPr="0078472B">
        <w:rPr>
          <w:rFonts w:ascii="Times New Roman" w:hAnsi="Times New Roman" w:cs="Times New Roman"/>
          <w:color w:val="000000" w:themeColor="text1"/>
          <w:sz w:val="24"/>
          <w:szCs w:val="24"/>
        </w:rPr>
        <w:t>urther support</w:t>
      </w:r>
      <w:r w:rsidR="00D40893" w:rsidRPr="0078472B">
        <w:rPr>
          <w:rFonts w:ascii="Times New Roman" w:hAnsi="Times New Roman" w:cs="Times New Roman"/>
          <w:color w:val="000000" w:themeColor="text1"/>
          <w:sz w:val="24"/>
          <w:szCs w:val="24"/>
        </w:rPr>
        <w:t xml:space="preserve"> to our conclusion is provided</w:t>
      </w:r>
      <w:r w:rsidR="00B570B9" w:rsidRPr="0078472B">
        <w:rPr>
          <w:rFonts w:ascii="Times New Roman" w:hAnsi="Times New Roman" w:cs="Times New Roman"/>
          <w:color w:val="000000" w:themeColor="text1"/>
          <w:sz w:val="24"/>
          <w:szCs w:val="24"/>
        </w:rPr>
        <w:t xml:space="preserve"> by the finding that a racetrack in a neighbo</w:t>
      </w:r>
      <w:r w:rsidR="00D61E09" w:rsidRPr="0078472B">
        <w:rPr>
          <w:rFonts w:ascii="Times New Roman" w:hAnsi="Times New Roman" w:cs="Times New Roman"/>
          <w:color w:val="000000" w:themeColor="text1"/>
          <w:sz w:val="24"/>
          <w:szCs w:val="24"/>
        </w:rPr>
        <w:t>u</w:t>
      </w:r>
      <w:r w:rsidR="00B570B9" w:rsidRPr="0078472B">
        <w:rPr>
          <w:rFonts w:ascii="Times New Roman" w:hAnsi="Times New Roman" w:cs="Times New Roman"/>
          <w:color w:val="000000" w:themeColor="text1"/>
          <w:sz w:val="24"/>
          <w:szCs w:val="24"/>
        </w:rPr>
        <w:t xml:space="preserve">ring municipality is positively associated with betting activity. </w:t>
      </w:r>
    </w:p>
    <w:p w14:paraId="3DA7F1EA" w14:textId="77777777" w:rsidR="00D40893" w:rsidRPr="0078472B" w:rsidRDefault="00D40893" w:rsidP="00A540E5">
      <w:pPr>
        <w:spacing w:after="0" w:line="480" w:lineRule="auto"/>
        <w:jc w:val="both"/>
        <w:rPr>
          <w:rFonts w:ascii="Times New Roman" w:hAnsi="Times New Roman" w:cs="Times New Roman"/>
          <w:color w:val="000000" w:themeColor="text1"/>
          <w:sz w:val="24"/>
          <w:szCs w:val="24"/>
        </w:rPr>
      </w:pPr>
    </w:p>
    <w:p w14:paraId="0F11DD2A" w14:textId="37B53466" w:rsidR="00935AA0" w:rsidRPr="0078472B" w:rsidRDefault="0051774E"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 xml:space="preserve">Furthermore, </w:t>
      </w:r>
      <w:r w:rsidR="00A4352B" w:rsidRPr="0078472B">
        <w:rPr>
          <w:rFonts w:ascii="Times New Roman" w:hAnsi="Times New Roman" w:cs="Times New Roman"/>
          <w:color w:val="000000" w:themeColor="text1"/>
          <w:sz w:val="24"/>
          <w:szCs w:val="24"/>
        </w:rPr>
        <w:t xml:space="preserve">the number of off-track betting venues appear to </w:t>
      </w:r>
      <w:r w:rsidR="00CA3E67" w:rsidRPr="0078472B">
        <w:rPr>
          <w:rFonts w:ascii="Times New Roman" w:hAnsi="Times New Roman" w:cs="Times New Roman"/>
          <w:color w:val="000000" w:themeColor="text1"/>
          <w:sz w:val="24"/>
          <w:szCs w:val="24"/>
        </w:rPr>
        <w:t>increase</w:t>
      </w:r>
      <w:r w:rsidR="00A4352B" w:rsidRPr="0078472B">
        <w:rPr>
          <w:rFonts w:ascii="Times New Roman" w:hAnsi="Times New Roman" w:cs="Times New Roman"/>
          <w:color w:val="000000" w:themeColor="text1"/>
          <w:sz w:val="24"/>
          <w:szCs w:val="24"/>
        </w:rPr>
        <w:t xml:space="preserve"> the </w:t>
      </w:r>
      <w:r w:rsidR="00CA3E67" w:rsidRPr="0078472B">
        <w:rPr>
          <w:rFonts w:ascii="Times New Roman" w:hAnsi="Times New Roman" w:cs="Times New Roman"/>
          <w:color w:val="000000" w:themeColor="text1"/>
          <w:sz w:val="24"/>
          <w:szCs w:val="24"/>
        </w:rPr>
        <w:t>number</w:t>
      </w:r>
      <w:r w:rsidR="002A0803" w:rsidRPr="0078472B">
        <w:rPr>
          <w:rFonts w:ascii="Times New Roman" w:hAnsi="Times New Roman" w:cs="Times New Roman"/>
          <w:color w:val="000000" w:themeColor="text1"/>
          <w:sz w:val="24"/>
          <w:szCs w:val="24"/>
        </w:rPr>
        <w:t xml:space="preserve"> of online bettors but</w:t>
      </w:r>
      <w:r w:rsidR="00A4352B" w:rsidRPr="0078472B">
        <w:rPr>
          <w:rFonts w:ascii="Times New Roman" w:hAnsi="Times New Roman" w:cs="Times New Roman"/>
          <w:color w:val="000000" w:themeColor="text1"/>
          <w:sz w:val="24"/>
          <w:szCs w:val="24"/>
        </w:rPr>
        <w:t xml:space="preserve"> not </w:t>
      </w:r>
      <w:r w:rsidR="002A0803" w:rsidRPr="0078472B">
        <w:rPr>
          <w:rFonts w:ascii="Times New Roman" w:hAnsi="Times New Roman" w:cs="Times New Roman"/>
          <w:color w:val="000000" w:themeColor="text1"/>
          <w:sz w:val="24"/>
          <w:szCs w:val="24"/>
        </w:rPr>
        <w:t xml:space="preserve">their </w:t>
      </w:r>
      <w:r w:rsidR="00A4352B" w:rsidRPr="0078472B">
        <w:rPr>
          <w:rFonts w:ascii="Times New Roman" w:hAnsi="Times New Roman" w:cs="Times New Roman"/>
          <w:color w:val="000000" w:themeColor="text1"/>
          <w:sz w:val="24"/>
          <w:szCs w:val="24"/>
        </w:rPr>
        <w:t xml:space="preserve">betting </w:t>
      </w:r>
      <w:r w:rsidR="002A0803" w:rsidRPr="0078472B">
        <w:rPr>
          <w:rFonts w:ascii="Times New Roman" w:hAnsi="Times New Roman" w:cs="Times New Roman"/>
          <w:color w:val="000000" w:themeColor="text1"/>
          <w:sz w:val="24"/>
          <w:szCs w:val="24"/>
        </w:rPr>
        <w:t>expenditures</w:t>
      </w:r>
      <w:r w:rsidR="00A4352B" w:rsidRPr="0078472B">
        <w:rPr>
          <w:rFonts w:ascii="Times New Roman" w:hAnsi="Times New Roman" w:cs="Times New Roman"/>
          <w:color w:val="000000" w:themeColor="text1"/>
          <w:sz w:val="24"/>
          <w:szCs w:val="24"/>
        </w:rPr>
        <w:t>.</w:t>
      </w:r>
      <w:r w:rsidR="006A7728" w:rsidRPr="0078472B">
        <w:rPr>
          <w:rFonts w:ascii="Times New Roman" w:hAnsi="Times New Roman" w:cs="Times New Roman"/>
          <w:color w:val="000000" w:themeColor="text1"/>
          <w:sz w:val="24"/>
          <w:szCs w:val="24"/>
        </w:rPr>
        <w:t xml:space="preserve"> </w:t>
      </w:r>
      <w:r w:rsidR="00A51437" w:rsidRPr="0078472B">
        <w:rPr>
          <w:rFonts w:ascii="Times New Roman" w:hAnsi="Times New Roman" w:cs="Times New Roman"/>
          <w:color w:val="000000" w:themeColor="text1"/>
          <w:sz w:val="24"/>
          <w:szCs w:val="24"/>
        </w:rPr>
        <w:t>This finding i</w:t>
      </w:r>
      <w:r w:rsidR="00E43FEB" w:rsidRPr="0078472B">
        <w:rPr>
          <w:rFonts w:ascii="Times New Roman" w:hAnsi="Times New Roman" w:cs="Times New Roman"/>
          <w:color w:val="000000" w:themeColor="text1"/>
          <w:sz w:val="24"/>
          <w:szCs w:val="24"/>
        </w:rPr>
        <w:t xml:space="preserve">s </w:t>
      </w:r>
      <w:r w:rsidR="004C479B" w:rsidRPr="0078472B">
        <w:rPr>
          <w:rFonts w:ascii="Times New Roman" w:hAnsi="Times New Roman" w:cs="Times New Roman"/>
          <w:color w:val="000000" w:themeColor="text1"/>
          <w:sz w:val="24"/>
          <w:szCs w:val="24"/>
        </w:rPr>
        <w:t xml:space="preserve">in </w:t>
      </w:r>
      <w:r w:rsidR="00E43FEB" w:rsidRPr="0078472B">
        <w:rPr>
          <w:rFonts w:ascii="Times New Roman" w:hAnsi="Times New Roman" w:cs="Times New Roman"/>
          <w:color w:val="000000" w:themeColor="text1"/>
          <w:sz w:val="24"/>
          <w:szCs w:val="24"/>
        </w:rPr>
        <w:t xml:space="preserve">concordance with Gainsbury et al. (2015b) who report a substantial share of bettors using land-based venues for horse and dog race betting. </w:t>
      </w:r>
      <w:r w:rsidR="004C479B" w:rsidRPr="0078472B">
        <w:rPr>
          <w:rFonts w:ascii="Times New Roman" w:hAnsi="Times New Roman" w:cs="Times New Roman"/>
          <w:color w:val="000000" w:themeColor="text1"/>
          <w:sz w:val="24"/>
          <w:szCs w:val="24"/>
        </w:rPr>
        <w:t>It is</w:t>
      </w:r>
      <w:r w:rsidR="00A51437" w:rsidRPr="0078472B">
        <w:rPr>
          <w:rFonts w:ascii="Times New Roman" w:hAnsi="Times New Roman" w:cs="Times New Roman"/>
          <w:color w:val="000000" w:themeColor="text1"/>
          <w:sz w:val="24"/>
          <w:szCs w:val="24"/>
        </w:rPr>
        <w:t xml:space="preserve"> also</w:t>
      </w:r>
      <w:r w:rsidR="006A7728" w:rsidRPr="0078472B">
        <w:rPr>
          <w:rFonts w:ascii="Times New Roman" w:hAnsi="Times New Roman" w:cs="Times New Roman"/>
          <w:color w:val="000000" w:themeColor="text1"/>
          <w:sz w:val="24"/>
          <w:szCs w:val="24"/>
        </w:rPr>
        <w:t xml:space="preserve"> in line with Ali and Thalheimer (1997) who find that the d</w:t>
      </w:r>
      <w:r w:rsidR="002A0803" w:rsidRPr="0078472B">
        <w:rPr>
          <w:rFonts w:ascii="Times New Roman" w:hAnsi="Times New Roman" w:cs="Times New Roman"/>
          <w:color w:val="000000" w:themeColor="text1"/>
          <w:sz w:val="24"/>
          <w:szCs w:val="24"/>
        </w:rPr>
        <w:t>emand for horse wagering i</w:t>
      </w:r>
      <w:r w:rsidR="006A7728" w:rsidRPr="0078472B">
        <w:rPr>
          <w:rFonts w:ascii="Times New Roman" w:hAnsi="Times New Roman" w:cs="Times New Roman"/>
          <w:color w:val="000000" w:themeColor="text1"/>
          <w:sz w:val="24"/>
          <w:szCs w:val="24"/>
        </w:rPr>
        <w:t>s negative</w:t>
      </w:r>
      <w:r w:rsidR="002A0803" w:rsidRPr="0078472B">
        <w:rPr>
          <w:rFonts w:ascii="Times New Roman" w:hAnsi="Times New Roman" w:cs="Times New Roman"/>
          <w:color w:val="000000" w:themeColor="text1"/>
          <w:sz w:val="24"/>
          <w:szCs w:val="24"/>
        </w:rPr>
        <w:t>ly associated</w:t>
      </w:r>
      <w:r w:rsidR="006A7728" w:rsidRPr="0078472B">
        <w:rPr>
          <w:rFonts w:ascii="Times New Roman" w:hAnsi="Times New Roman" w:cs="Times New Roman"/>
          <w:color w:val="000000" w:themeColor="text1"/>
          <w:sz w:val="24"/>
          <w:szCs w:val="24"/>
        </w:rPr>
        <w:t xml:space="preserve"> </w:t>
      </w:r>
      <w:r w:rsidR="002A0803" w:rsidRPr="0078472B">
        <w:rPr>
          <w:rFonts w:ascii="Times New Roman" w:hAnsi="Times New Roman" w:cs="Times New Roman"/>
          <w:color w:val="000000" w:themeColor="text1"/>
          <w:sz w:val="24"/>
          <w:szCs w:val="24"/>
        </w:rPr>
        <w:t>with</w:t>
      </w:r>
      <w:r w:rsidR="006A7728" w:rsidRPr="0078472B">
        <w:rPr>
          <w:rFonts w:ascii="Times New Roman" w:hAnsi="Times New Roman" w:cs="Times New Roman"/>
          <w:color w:val="000000" w:themeColor="text1"/>
          <w:sz w:val="24"/>
          <w:szCs w:val="24"/>
        </w:rPr>
        <w:t xml:space="preserve"> the traveling distance to the racetrack.</w:t>
      </w:r>
      <w:r w:rsidR="00110BB3" w:rsidRPr="0078472B">
        <w:rPr>
          <w:rFonts w:ascii="Times New Roman" w:hAnsi="Times New Roman" w:cs="Times New Roman"/>
          <w:color w:val="000000" w:themeColor="text1"/>
          <w:sz w:val="24"/>
          <w:szCs w:val="24"/>
        </w:rPr>
        <w:t xml:space="preserve"> Further, they argue that increasing off-track betting opportunities as well as the </w:t>
      </w:r>
      <w:r w:rsidR="00110BB3" w:rsidRPr="0078472B">
        <w:rPr>
          <w:rFonts w:ascii="Times New Roman" w:hAnsi="Times New Roman" w:cs="Times New Roman"/>
          <w:color w:val="000000" w:themeColor="text1"/>
          <w:sz w:val="24"/>
          <w:szCs w:val="24"/>
        </w:rPr>
        <w:lastRenderedPageBreak/>
        <w:t xml:space="preserve">frequency of races </w:t>
      </w:r>
      <w:r w:rsidR="008971E9" w:rsidRPr="0078472B">
        <w:rPr>
          <w:rFonts w:ascii="Times New Roman" w:hAnsi="Times New Roman" w:cs="Times New Roman"/>
          <w:color w:val="000000" w:themeColor="text1"/>
          <w:sz w:val="24"/>
          <w:szCs w:val="24"/>
        </w:rPr>
        <w:t>at</w:t>
      </w:r>
      <w:r w:rsidR="00110BB3" w:rsidRPr="0078472B">
        <w:rPr>
          <w:rFonts w:ascii="Times New Roman" w:hAnsi="Times New Roman" w:cs="Times New Roman"/>
          <w:color w:val="000000" w:themeColor="text1"/>
          <w:sz w:val="24"/>
          <w:szCs w:val="24"/>
        </w:rPr>
        <w:t xml:space="preserve"> a venue could boost demand for wagering, which is also consistent with our results.</w:t>
      </w:r>
      <w:r w:rsidR="00A51437" w:rsidRPr="0078472B">
        <w:rPr>
          <w:rFonts w:ascii="Times New Roman" w:hAnsi="Times New Roman" w:cs="Times New Roman"/>
          <w:color w:val="000000" w:themeColor="text1"/>
          <w:sz w:val="24"/>
          <w:szCs w:val="24"/>
        </w:rPr>
        <w:t xml:space="preserve"> </w:t>
      </w:r>
    </w:p>
    <w:p w14:paraId="191638FB" w14:textId="1D03EA50" w:rsidR="00904C3B" w:rsidRPr="0078472B" w:rsidRDefault="00904C3B" w:rsidP="00A540E5">
      <w:pPr>
        <w:spacing w:after="0" w:line="480" w:lineRule="auto"/>
        <w:jc w:val="both"/>
        <w:rPr>
          <w:rFonts w:ascii="Times New Roman" w:hAnsi="Times New Roman" w:cs="Times New Roman"/>
          <w:color w:val="000000" w:themeColor="text1"/>
          <w:sz w:val="24"/>
          <w:szCs w:val="24"/>
        </w:rPr>
      </w:pPr>
    </w:p>
    <w:p w14:paraId="3A40D12F" w14:textId="4384E32F" w:rsidR="007D70F7" w:rsidRPr="0078472B" w:rsidRDefault="00246591" w:rsidP="00A540E5">
      <w:pPr>
        <w:spacing w:after="0" w:line="480" w:lineRule="auto"/>
        <w:jc w:val="both"/>
        <w:rPr>
          <w:rFonts w:ascii="Times New Roman" w:hAnsi="Times New Roman" w:cs="Times New Roman"/>
          <w:b/>
          <w:color w:val="000000" w:themeColor="text1"/>
          <w:sz w:val="24"/>
          <w:szCs w:val="24"/>
        </w:rPr>
      </w:pPr>
      <w:r w:rsidRPr="0078472B">
        <w:rPr>
          <w:rFonts w:ascii="Times New Roman" w:hAnsi="Times New Roman" w:cs="Times New Roman"/>
          <w:b/>
          <w:color w:val="000000" w:themeColor="text1"/>
          <w:sz w:val="24"/>
          <w:szCs w:val="24"/>
        </w:rPr>
        <w:t>Equine</w:t>
      </w:r>
      <w:r w:rsidR="007D70F7" w:rsidRPr="0078472B">
        <w:rPr>
          <w:rFonts w:ascii="Times New Roman" w:hAnsi="Times New Roman" w:cs="Times New Roman"/>
          <w:b/>
          <w:color w:val="000000" w:themeColor="text1"/>
          <w:sz w:val="24"/>
          <w:szCs w:val="24"/>
        </w:rPr>
        <w:t xml:space="preserve"> </w:t>
      </w:r>
      <w:r w:rsidR="009A440A" w:rsidRPr="0078472B">
        <w:rPr>
          <w:rFonts w:ascii="Times New Roman" w:hAnsi="Times New Roman" w:cs="Times New Roman"/>
          <w:b/>
          <w:color w:val="000000" w:themeColor="text1"/>
          <w:sz w:val="24"/>
          <w:szCs w:val="24"/>
        </w:rPr>
        <w:t>interest</w:t>
      </w:r>
    </w:p>
    <w:p w14:paraId="7F5C9950" w14:textId="715C283C" w:rsidR="00904C3B" w:rsidRPr="0078472B" w:rsidRDefault="000B407D"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Our</w:t>
      </w:r>
      <w:r w:rsidR="007D70F7" w:rsidRPr="0078472B">
        <w:rPr>
          <w:rFonts w:ascii="Times New Roman" w:hAnsi="Times New Roman" w:cs="Times New Roman"/>
          <w:color w:val="000000" w:themeColor="text1"/>
          <w:sz w:val="24"/>
          <w:szCs w:val="24"/>
        </w:rPr>
        <w:t xml:space="preserve"> results suggest that </w:t>
      </w:r>
      <w:r w:rsidR="00287C0B" w:rsidRPr="0078472B">
        <w:rPr>
          <w:rFonts w:ascii="Times New Roman" w:hAnsi="Times New Roman" w:cs="Times New Roman"/>
          <w:color w:val="000000" w:themeColor="text1"/>
          <w:sz w:val="24"/>
          <w:szCs w:val="24"/>
        </w:rPr>
        <w:t>equine interest</w:t>
      </w:r>
      <w:r w:rsidR="007D70F7" w:rsidRPr="0078472B">
        <w:rPr>
          <w:rFonts w:ascii="Times New Roman" w:hAnsi="Times New Roman" w:cs="Times New Roman"/>
          <w:color w:val="000000" w:themeColor="text1"/>
          <w:sz w:val="24"/>
          <w:szCs w:val="24"/>
        </w:rPr>
        <w:t xml:space="preserve"> is associated with online horse race wagering. In particular, we found that</w:t>
      </w:r>
      <w:r w:rsidR="00287C0B" w:rsidRPr="0078472B">
        <w:rPr>
          <w:rFonts w:ascii="Times New Roman" w:hAnsi="Times New Roman" w:cs="Times New Roman"/>
          <w:color w:val="000000" w:themeColor="text1"/>
          <w:sz w:val="24"/>
          <w:szCs w:val="24"/>
        </w:rPr>
        <w:t xml:space="preserve"> </w:t>
      </w:r>
      <w:r w:rsidR="007D70F7" w:rsidRPr="0078472B">
        <w:rPr>
          <w:rFonts w:ascii="Times New Roman" w:hAnsi="Times New Roman" w:cs="Times New Roman"/>
          <w:color w:val="000000" w:themeColor="text1"/>
          <w:sz w:val="24"/>
          <w:szCs w:val="24"/>
        </w:rPr>
        <w:t xml:space="preserve">horse ownership </w:t>
      </w:r>
      <w:r w:rsidR="00BD4773" w:rsidRPr="0078472B">
        <w:rPr>
          <w:rFonts w:ascii="Times New Roman" w:hAnsi="Times New Roman" w:cs="Times New Roman"/>
          <w:color w:val="000000" w:themeColor="text1"/>
          <w:sz w:val="24"/>
          <w:szCs w:val="24"/>
        </w:rPr>
        <w:t>predicts</w:t>
      </w:r>
      <w:r w:rsidR="007D70F7" w:rsidRPr="0078472B">
        <w:rPr>
          <w:rFonts w:ascii="Times New Roman" w:hAnsi="Times New Roman" w:cs="Times New Roman"/>
          <w:color w:val="000000" w:themeColor="text1"/>
          <w:sz w:val="24"/>
          <w:szCs w:val="24"/>
        </w:rPr>
        <w:t xml:space="preserve"> betting activity. Interestingly, the types of horses registered in a municipality </w:t>
      </w:r>
      <w:r w:rsidR="006A3AC6" w:rsidRPr="0078472B">
        <w:rPr>
          <w:rFonts w:ascii="Times New Roman" w:hAnsi="Times New Roman" w:cs="Times New Roman"/>
          <w:color w:val="000000" w:themeColor="text1"/>
          <w:sz w:val="24"/>
          <w:szCs w:val="24"/>
        </w:rPr>
        <w:t>are</w:t>
      </w:r>
      <w:r w:rsidR="007D70F7" w:rsidRPr="0078472B">
        <w:rPr>
          <w:rFonts w:ascii="Times New Roman" w:hAnsi="Times New Roman" w:cs="Times New Roman"/>
          <w:color w:val="000000" w:themeColor="text1"/>
          <w:sz w:val="24"/>
          <w:szCs w:val="24"/>
        </w:rPr>
        <w:t xml:space="preserve"> related </w:t>
      </w:r>
      <w:r w:rsidR="008971E9" w:rsidRPr="0078472B">
        <w:rPr>
          <w:rFonts w:ascii="Times New Roman" w:hAnsi="Times New Roman" w:cs="Times New Roman"/>
          <w:color w:val="000000" w:themeColor="text1"/>
          <w:sz w:val="24"/>
          <w:szCs w:val="24"/>
        </w:rPr>
        <w:t>to</w:t>
      </w:r>
      <w:r w:rsidR="007D70F7" w:rsidRPr="0078472B">
        <w:rPr>
          <w:rFonts w:ascii="Times New Roman" w:hAnsi="Times New Roman" w:cs="Times New Roman"/>
          <w:color w:val="000000" w:themeColor="text1"/>
          <w:sz w:val="24"/>
          <w:szCs w:val="24"/>
        </w:rPr>
        <w:t xml:space="preserve"> online horse race betting. </w:t>
      </w:r>
      <w:r w:rsidR="006A3AC6" w:rsidRPr="0078472B">
        <w:rPr>
          <w:rFonts w:ascii="Times New Roman" w:hAnsi="Times New Roman" w:cs="Times New Roman"/>
          <w:color w:val="000000" w:themeColor="text1"/>
          <w:sz w:val="24"/>
          <w:szCs w:val="24"/>
        </w:rPr>
        <w:t xml:space="preserve">The number of warmblood horses, which are commonly used for racing, appear to increase the number of </w:t>
      </w:r>
      <w:r w:rsidR="00287C0B" w:rsidRPr="0078472B">
        <w:rPr>
          <w:rFonts w:ascii="Times New Roman" w:hAnsi="Times New Roman" w:cs="Times New Roman"/>
          <w:color w:val="000000" w:themeColor="text1"/>
          <w:sz w:val="24"/>
          <w:szCs w:val="24"/>
        </w:rPr>
        <w:t xml:space="preserve">online </w:t>
      </w:r>
      <w:r w:rsidR="006A3AC6" w:rsidRPr="0078472B">
        <w:rPr>
          <w:rFonts w:ascii="Times New Roman" w:hAnsi="Times New Roman" w:cs="Times New Roman"/>
          <w:color w:val="000000" w:themeColor="text1"/>
          <w:sz w:val="24"/>
          <w:szCs w:val="24"/>
        </w:rPr>
        <w:t xml:space="preserve">bettors </w:t>
      </w:r>
      <w:r w:rsidR="00287C0B" w:rsidRPr="0078472B">
        <w:rPr>
          <w:rFonts w:ascii="Times New Roman" w:hAnsi="Times New Roman" w:cs="Times New Roman"/>
          <w:color w:val="000000" w:themeColor="text1"/>
          <w:sz w:val="24"/>
          <w:szCs w:val="24"/>
        </w:rPr>
        <w:t>but not the</w:t>
      </w:r>
      <w:r w:rsidR="006A3AC6" w:rsidRPr="0078472B">
        <w:rPr>
          <w:rFonts w:ascii="Times New Roman" w:hAnsi="Times New Roman" w:cs="Times New Roman"/>
          <w:color w:val="000000" w:themeColor="text1"/>
          <w:sz w:val="24"/>
          <w:szCs w:val="24"/>
        </w:rPr>
        <w:t xml:space="preserve"> volume. </w:t>
      </w:r>
      <w:r w:rsidR="00287C0B" w:rsidRPr="0078472B">
        <w:rPr>
          <w:rFonts w:ascii="Times New Roman" w:hAnsi="Times New Roman" w:cs="Times New Roman"/>
          <w:color w:val="000000" w:themeColor="text1"/>
          <w:sz w:val="24"/>
          <w:szCs w:val="24"/>
        </w:rPr>
        <w:t>To some extent, t</w:t>
      </w:r>
      <w:r w:rsidR="006A3AC6" w:rsidRPr="0078472B">
        <w:rPr>
          <w:rFonts w:ascii="Times New Roman" w:hAnsi="Times New Roman" w:cs="Times New Roman"/>
          <w:color w:val="000000" w:themeColor="text1"/>
          <w:sz w:val="24"/>
          <w:szCs w:val="24"/>
        </w:rPr>
        <w:t>hese results are consistent with Nelson et al. (2007</w:t>
      </w:r>
      <w:r w:rsidR="009A4967" w:rsidRPr="0078472B">
        <w:rPr>
          <w:rFonts w:ascii="Times New Roman" w:hAnsi="Times New Roman" w:cs="Times New Roman"/>
          <w:color w:val="000000" w:themeColor="text1"/>
          <w:sz w:val="24"/>
          <w:szCs w:val="24"/>
        </w:rPr>
        <w:t xml:space="preserve">) </w:t>
      </w:r>
      <w:r w:rsidR="006A3AC6" w:rsidRPr="0078472B">
        <w:rPr>
          <w:rFonts w:ascii="Times New Roman" w:hAnsi="Times New Roman" w:cs="Times New Roman"/>
          <w:color w:val="000000" w:themeColor="text1"/>
          <w:sz w:val="24"/>
          <w:szCs w:val="24"/>
        </w:rPr>
        <w:t>who find that sports fans</w:t>
      </w:r>
      <w:r w:rsidR="009A4967" w:rsidRPr="0078472B">
        <w:rPr>
          <w:rFonts w:ascii="Times New Roman" w:hAnsi="Times New Roman" w:cs="Times New Roman"/>
          <w:color w:val="000000" w:themeColor="text1"/>
          <w:sz w:val="24"/>
          <w:szCs w:val="24"/>
        </w:rPr>
        <w:t xml:space="preserve"> and athletes</w:t>
      </w:r>
      <w:r w:rsidR="006A3AC6" w:rsidRPr="0078472B">
        <w:rPr>
          <w:rFonts w:ascii="Times New Roman" w:hAnsi="Times New Roman" w:cs="Times New Roman"/>
          <w:color w:val="000000" w:themeColor="text1"/>
          <w:sz w:val="24"/>
          <w:szCs w:val="24"/>
        </w:rPr>
        <w:t xml:space="preserve"> tend to wager more</w:t>
      </w:r>
      <w:r w:rsidR="000967B6" w:rsidRPr="0078472B">
        <w:rPr>
          <w:rFonts w:ascii="Times New Roman" w:hAnsi="Times New Roman" w:cs="Times New Roman"/>
          <w:color w:val="000000" w:themeColor="text1"/>
          <w:sz w:val="24"/>
          <w:szCs w:val="24"/>
        </w:rPr>
        <w:t xml:space="preserve"> if they do bet</w:t>
      </w:r>
      <w:r w:rsidR="00AD6B5F" w:rsidRPr="0078472B">
        <w:rPr>
          <w:rFonts w:ascii="Times New Roman" w:hAnsi="Times New Roman" w:cs="Times New Roman"/>
          <w:color w:val="000000" w:themeColor="text1"/>
          <w:sz w:val="24"/>
          <w:szCs w:val="24"/>
        </w:rPr>
        <w:t>, though in our case this tendency appears to be associated with an increased participation rate not volume</w:t>
      </w:r>
      <w:r w:rsidR="006A3AC6" w:rsidRPr="0078472B">
        <w:rPr>
          <w:rFonts w:ascii="Times New Roman" w:hAnsi="Times New Roman" w:cs="Times New Roman"/>
          <w:color w:val="000000" w:themeColor="text1"/>
          <w:sz w:val="24"/>
          <w:szCs w:val="24"/>
        </w:rPr>
        <w:t xml:space="preserve">. </w:t>
      </w:r>
      <w:r w:rsidR="00A533E4" w:rsidRPr="0078472B">
        <w:rPr>
          <w:rFonts w:ascii="Times New Roman" w:hAnsi="Times New Roman" w:cs="Times New Roman"/>
          <w:color w:val="000000" w:themeColor="text1"/>
          <w:sz w:val="24"/>
          <w:szCs w:val="24"/>
        </w:rPr>
        <w:t>Also, our findings provide</w:t>
      </w:r>
      <w:r w:rsidR="00182B81" w:rsidRPr="0078472B">
        <w:rPr>
          <w:rFonts w:ascii="Times New Roman" w:hAnsi="Times New Roman" w:cs="Times New Roman"/>
          <w:color w:val="000000" w:themeColor="text1"/>
          <w:sz w:val="24"/>
          <w:szCs w:val="24"/>
        </w:rPr>
        <w:t xml:space="preserve"> </w:t>
      </w:r>
      <w:r w:rsidR="00A533E4" w:rsidRPr="0078472B">
        <w:rPr>
          <w:rFonts w:ascii="Times New Roman" w:hAnsi="Times New Roman" w:cs="Times New Roman"/>
          <w:color w:val="000000" w:themeColor="text1"/>
          <w:sz w:val="24"/>
          <w:szCs w:val="24"/>
        </w:rPr>
        <w:t xml:space="preserve">some empirical </w:t>
      </w:r>
      <w:r w:rsidR="00182B81" w:rsidRPr="0078472B">
        <w:rPr>
          <w:rFonts w:ascii="Times New Roman" w:hAnsi="Times New Roman" w:cs="Times New Roman"/>
          <w:color w:val="000000" w:themeColor="text1"/>
          <w:sz w:val="24"/>
          <w:szCs w:val="24"/>
        </w:rPr>
        <w:t xml:space="preserve">support </w:t>
      </w:r>
      <w:r w:rsidR="008971E9" w:rsidRPr="0078472B">
        <w:rPr>
          <w:rFonts w:ascii="Times New Roman" w:hAnsi="Times New Roman" w:cs="Times New Roman"/>
          <w:color w:val="000000" w:themeColor="text1"/>
          <w:sz w:val="24"/>
          <w:szCs w:val="24"/>
        </w:rPr>
        <w:t>for</w:t>
      </w:r>
      <w:r w:rsidR="00182B81" w:rsidRPr="0078472B">
        <w:rPr>
          <w:rFonts w:ascii="Times New Roman" w:hAnsi="Times New Roman" w:cs="Times New Roman"/>
          <w:color w:val="000000" w:themeColor="text1"/>
          <w:sz w:val="24"/>
          <w:szCs w:val="24"/>
        </w:rPr>
        <w:t xml:space="preserve"> the argument that the </w:t>
      </w:r>
      <w:r w:rsidR="00A533E4" w:rsidRPr="0078472B">
        <w:rPr>
          <w:rFonts w:ascii="Times New Roman" w:hAnsi="Times New Roman" w:cs="Times New Roman"/>
          <w:color w:val="000000" w:themeColor="text1"/>
          <w:sz w:val="24"/>
          <w:szCs w:val="24"/>
        </w:rPr>
        <w:t xml:space="preserve">members of the </w:t>
      </w:r>
      <w:r w:rsidR="00182B81" w:rsidRPr="0078472B">
        <w:rPr>
          <w:rFonts w:ascii="Times New Roman" w:hAnsi="Times New Roman" w:cs="Times New Roman"/>
          <w:color w:val="000000" w:themeColor="text1"/>
          <w:sz w:val="24"/>
          <w:szCs w:val="24"/>
        </w:rPr>
        <w:t>r</w:t>
      </w:r>
      <w:r w:rsidR="00A533E4" w:rsidRPr="0078472B">
        <w:rPr>
          <w:rFonts w:ascii="Times New Roman" w:hAnsi="Times New Roman" w:cs="Times New Roman"/>
          <w:color w:val="000000" w:themeColor="text1"/>
          <w:sz w:val="24"/>
          <w:szCs w:val="24"/>
        </w:rPr>
        <w:t>ace horse industry in Finland are</w:t>
      </w:r>
      <w:r w:rsidR="00182B81" w:rsidRPr="0078472B">
        <w:rPr>
          <w:rFonts w:ascii="Times New Roman" w:hAnsi="Times New Roman" w:cs="Times New Roman"/>
          <w:color w:val="000000" w:themeColor="text1"/>
          <w:sz w:val="24"/>
          <w:szCs w:val="24"/>
        </w:rPr>
        <w:t xml:space="preserve"> </w:t>
      </w:r>
      <w:r w:rsidR="00A533E4" w:rsidRPr="0078472B">
        <w:rPr>
          <w:rFonts w:ascii="Times New Roman" w:hAnsi="Times New Roman" w:cs="Times New Roman"/>
          <w:color w:val="000000" w:themeColor="text1"/>
          <w:sz w:val="24"/>
          <w:szCs w:val="24"/>
        </w:rPr>
        <w:t>tightly</w:t>
      </w:r>
      <w:r w:rsidR="00182B81" w:rsidRPr="0078472B">
        <w:rPr>
          <w:rFonts w:ascii="Times New Roman" w:hAnsi="Times New Roman" w:cs="Times New Roman"/>
          <w:color w:val="000000" w:themeColor="text1"/>
          <w:sz w:val="24"/>
          <w:szCs w:val="24"/>
        </w:rPr>
        <w:t xml:space="preserve"> networked (Binde</w:t>
      </w:r>
      <w:r w:rsidR="00A51437" w:rsidRPr="0078472B">
        <w:rPr>
          <w:rFonts w:ascii="Times New Roman" w:hAnsi="Times New Roman" w:cs="Times New Roman"/>
          <w:color w:val="000000" w:themeColor="text1"/>
          <w:sz w:val="24"/>
          <w:szCs w:val="24"/>
        </w:rPr>
        <w:t>,</w:t>
      </w:r>
      <w:r w:rsidR="00182B81" w:rsidRPr="0078472B">
        <w:rPr>
          <w:rFonts w:ascii="Times New Roman" w:hAnsi="Times New Roman" w:cs="Times New Roman"/>
          <w:color w:val="000000" w:themeColor="text1"/>
          <w:sz w:val="24"/>
          <w:szCs w:val="24"/>
        </w:rPr>
        <w:t xml:space="preserve"> 2011</w:t>
      </w:r>
      <w:r w:rsidR="00A51437" w:rsidRPr="0078472B">
        <w:rPr>
          <w:rFonts w:ascii="Times New Roman" w:hAnsi="Times New Roman" w:cs="Times New Roman"/>
          <w:color w:val="000000" w:themeColor="text1"/>
          <w:sz w:val="24"/>
          <w:szCs w:val="24"/>
        </w:rPr>
        <w:t>;</w:t>
      </w:r>
      <w:r w:rsidR="00182B81" w:rsidRPr="0078472B">
        <w:rPr>
          <w:rFonts w:ascii="Times New Roman" w:hAnsi="Times New Roman" w:cs="Times New Roman"/>
          <w:color w:val="000000" w:themeColor="text1"/>
          <w:sz w:val="24"/>
          <w:szCs w:val="24"/>
        </w:rPr>
        <w:t xml:space="preserve"> Raento </w:t>
      </w:r>
      <w:r w:rsidR="006E71C7" w:rsidRPr="0078472B">
        <w:rPr>
          <w:rFonts w:ascii="Times New Roman" w:hAnsi="Times New Roman" w:cs="Times New Roman"/>
          <w:color w:val="000000" w:themeColor="text1"/>
          <w:sz w:val="24"/>
          <w:szCs w:val="24"/>
        </w:rPr>
        <w:t>&amp;</w:t>
      </w:r>
      <w:r w:rsidR="00182B81" w:rsidRPr="0078472B">
        <w:rPr>
          <w:rFonts w:ascii="Times New Roman" w:hAnsi="Times New Roman" w:cs="Times New Roman"/>
          <w:color w:val="000000" w:themeColor="text1"/>
          <w:sz w:val="24"/>
          <w:szCs w:val="24"/>
        </w:rPr>
        <w:t xml:space="preserve"> Härmälä</w:t>
      </w:r>
      <w:r w:rsidR="00A51437" w:rsidRPr="0078472B">
        <w:rPr>
          <w:rFonts w:ascii="Times New Roman" w:hAnsi="Times New Roman" w:cs="Times New Roman"/>
          <w:color w:val="000000" w:themeColor="text1"/>
          <w:sz w:val="24"/>
          <w:szCs w:val="24"/>
        </w:rPr>
        <w:t>,</w:t>
      </w:r>
      <w:r w:rsidR="00182B81" w:rsidRPr="0078472B">
        <w:rPr>
          <w:rFonts w:ascii="Times New Roman" w:hAnsi="Times New Roman" w:cs="Times New Roman"/>
          <w:color w:val="000000" w:themeColor="text1"/>
          <w:sz w:val="24"/>
          <w:szCs w:val="24"/>
        </w:rPr>
        <w:t xml:space="preserve"> 2014) in </w:t>
      </w:r>
      <w:r w:rsidR="008971E9" w:rsidRPr="0078472B">
        <w:rPr>
          <w:rFonts w:ascii="Times New Roman" w:hAnsi="Times New Roman" w:cs="Times New Roman"/>
          <w:color w:val="000000" w:themeColor="text1"/>
          <w:sz w:val="24"/>
          <w:szCs w:val="24"/>
        </w:rPr>
        <w:t>the</w:t>
      </w:r>
      <w:r w:rsidR="00182B81" w:rsidRPr="0078472B">
        <w:rPr>
          <w:rFonts w:ascii="Times New Roman" w:hAnsi="Times New Roman" w:cs="Times New Roman"/>
          <w:color w:val="000000" w:themeColor="text1"/>
          <w:sz w:val="24"/>
          <w:szCs w:val="24"/>
        </w:rPr>
        <w:t xml:space="preserve"> sense that race horse</w:t>
      </w:r>
      <w:r w:rsidRPr="0078472B">
        <w:rPr>
          <w:rFonts w:ascii="Times New Roman" w:hAnsi="Times New Roman" w:cs="Times New Roman"/>
          <w:color w:val="000000" w:themeColor="text1"/>
          <w:sz w:val="24"/>
          <w:szCs w:val="24"/>
        </w:rPr>
        <w:t xml:space="preserve"> owner</w:t>
      </w:r>
      <w:r w:rsidR="00182B81" w:rsidRPr="0078472B">
        <w:rPr>
          <w:rFonts w:ascii="Times New Roman" w:hAnsi="Times New Roman" w:cs="Times New Roman"/>
          <w:color w:val="000000" w:themeColor="text1"/>
          <w:sz w:val="24"/>
          <w:szCs w:val="24"/>
        </w:rPr>
        <w:t xml:space="preserve">s are also more likely to engage in </w:t>
      </w:r>
      <w:r w:rsidRPr="0078472B">
        <w:rPr>
          <w:rFonts w:ascii="Times New Roman" w:hAnsi="Times New Roman" w:cs="Times New Roman"/>
          <w:color w:val="000000" w:themeColor="text1"/>
          <w:sz w:val="24"/>
          <w:szCs w:val="24"/>
        </w:rPr>
        <w:t>horse race betting</w:t>
      </w:r>
      <w:r w:rsidR="00182B81" w:rsidRPr="0078472B">
        <w:rPr>
          <w:rFonts w:ascii="Times New Roman" w:hAnsi="Times New Roman" w:cs="Times New Roman"/>
          <w:color w:val="000000" w:themeColor="text1"/>
          <w:sz w:val="24"/>
          <w:szCs w:val="24"/>
        </w:rPr>
        <w:t xml:space="preserve">. </w:t>
      </w:r>
      <w:r w:rsidR="006A3AC6" w:rsidRPr="0078472B">
        <w:rPr>
          <w:rFonts w:ascii="Times New Roman" w:hAnsi="Times New Roman" w:cs="Times New Roman"/>
          <w:color w:val="000000" w:themeColor="text1"/>
          <w:sz w:val="24"/>
          <w:szCs w:val="24"/>
        </w:rPr>
        <w:t xml:space="preserve">However, the number of riding horses points </w:t>
      </w:r>
      <w:r w:rsidR="002B0C9F" w:rsidRPr="0078472B">
        <w:rPr>
          <w:rFonts w:ascii="Times New Roman" w:hAnsi="Times New Roman" w:cs="Times New Roman"/>
          <w:color w:val="000000" w:themeColor="text1"/>
          <w:sz w:val="24"/>
          <w:szCs w:val="24"/>
        </w:rPr>
        <w:t>in</w:t>
      </w:r>
      <w:r w:rsidR="006A3AC6" w:rsidRPr="0078472B">
        <w:rPr>
          <w:rFonts w:ascii="Times New Roman" w:hAnsi="Times New Roman" w:cs="Times New Roman"/>
          <w:color w:val="000000" w:themeColor="text1"/>
          <w:sz w:val="24"/>
          <w:szCs w:val="24"/>
        </w:rPr>
        <w:t xml:space="preserve"> the opposite direction.</w:t>
      </w:r>
      <w:r w:rsidR="00CE178E" w:rsidRPr="0078472B">
        <w:rPr>
          <w:rFonts w:ascii="Times New Roman" w:hAnsi="Times New Roman" w:cs="Times New Roman"/>
          <w:color w:val="000000" w:themeColor="text1"/>
          <w:sz w:val="24"/>
          <w:szCs w:val="24"/>
        </w:rPr>
        <w:t xml:space="preserve"> </w:t>
      </w:r>
      <w:r w:rsidR="00CE178E" w:rsidRPr="0078472B">
        <w:rPr>
          <w:rFonts w:ascii="Times New Roman" w:hAnsi="Times New Roman" w:cs="Times New Roman"/>
          <w:color w:val="000000" w:themeColor="text1"/>
          <w:sz w:val="24"/>
          <w:szCs w:val="24"/>
          <w:lang w:val="en-US"/>
        </w:rPr>
        <w:t>This suggests that the number of riding horses as an indicator of interest in equestrianism in a municipality correlates with a lower level of engagement in horse betting. In contrast, the number of harness horses in a municipality is an indicator of an interest in horse betting.</w:t>
      </w:r>
      <w:r w:rsidR="006A3AC6" w:rsidRPr="0078472B">
        <w:rPr>
          <w:rFonts w:ascii="Times New Roman" w:hAnsi="Times New Roman" w:cs="Times New Roman"/>
          <w:color w:val="000000" w:themeColor="text1"/>
          <w:sz w:val="24"/>
          <w:szCs w:val="24"/>
        </w:rPr>
        <w:t xml:space="preserve"> </w:t>
      </w:r>
      <w:r w:rsidR="00A533E4" w:rsidRPr="0078472B">
        <w:rPr>
          <w:rFonts w:ascii="Times New Roman" w:hAnsi="Times New Roman" w:cs="Times New Roman"/>
          <w:color w:val="000000" w:themeColor="text1"/>
          <w:sz w:val="24"/>
          <w:szCs w:val="24"/>
        </w:rPr>
        <w:t xml:space="preserve">This </w:t>
      </w:r>
      <w:r w:rsidR="00CE178E" w:rsidRPr="0078472B">
        <w:rPr>
          <w:rFonts w:ascii="Times New Roman" w:hAnsi="Times New Roman" w:cs="Times New Roman"/>
          <w:color w:val="000000" w:themeColor="text1"/>
          <w:sz w:val="24"/>
          <w:szCs w:val="24"/>
        </w:rPr>
        <w:t xml:space="preserve">divergence </w:t>
      </w:r>
      <w:r w:rsidR="00A533E4" w:rsidRPr="0078472B">
        <w:rPr>
          <w:rFonts w:ascii="Times New Roman" w:hAnsi="Times New Roman" w:cs="Times New Roman"/>
          <w:color w:val="000000" w:themeColor="text1"/>
          <w:sz w:val="24"/>
          <w:szCs w:val="24"/>
        </w:rPr>
        <w:t xml:space="preserve">may result from differences in the demographic profile of the two groups as </w:t>
      </w:r>
      <w:r w:rsidR="006A3AC6" w:rsidRPr="0078472B">
        <w:rPr>
          <w:rFonts w:ascii="Times New Roman" w:hAnsi="Times New Roman" w:cs="Times New Roman"/>
          <w:color w:val="000000" w:themeColor="text1"/>
          <w:sz w:val="24"/>
          <w:szCs w:val="24"/>
        </w:rPr>
        <w:t>riding horse enthusiast</w:t>
      </w:r>
      <w:r w:rsidR="00A533E4" w:rsidRPr="0078472B">
        <w:rPr>
          <w:rFonts w:ascii="Times New Roman" w:hAnsi="Times New Roman" w:cs="Times New Roman"/>
          <w:color w:val="000000" w:themeColor="text1"/>
          <w:sz w:val="24"/>
          <w:szCs w:val="24"/>
        </w:rPr>
        <w:t>s tend to be</w:t>
      </w:r>
      <w:r w:rsidR="006A3AC6" w:rsidRPr="0078472B">
        <w:rPr>
          <w:rFonts w:ascii="Times New Roman" w:hAnsi="Times New Roman" w:cs="Times New Roman"/>
          <w:color w:val="000000" w:themeColor="text1"/>
          <w:sz w:val="24"/>
          <w:szCs w:val="24"/>
        </w:rPr>
        <w:t xml:space="preserve"> </w:t>
      </w:r>
      <w:r w:rsidR="00BF539D" w:rsidRPr="0078472B">
        <w:rPr>
          <w:rFonts w:ascii="Times New Roman" w:hAnsi="Times New Roman" w:cs="Times New Roman"/>
          <w:color w:val="000000" w:themeColor="text1"/>
          <w:sz w:val="24"/>
          <w:szCs w:val="24"/>
        </w:rPr>
        <w:t xml:space="preserve">predominantly </w:t>
      </w:r>
      <w:r w:rsidR="006A3AC6" w:rsidRPr="0078472B">
        <w:rPr>
          <w:rFonts w:ascii="Times New Roman" w:hAnsi="Times New Roman" w:cs="Times New Roman"/>
          <w:color w:val="000000" w:themeColor="text1"/>
          <w:sz w:val="24"/>
          <w:szCs w:val="24"/>
        </w:rPr>
        <w:t>female</w:t>
      </w:r>
      <w:r w:rsidR="002A4B87" w:rsidRPr="0078472B">
        <w:rPr>
          <w:rFonts w:ascii="Times New Roman" w:hAnsi="Times New Roman" w:cs="Times New Roman"/>
          <w:color w:val="000000" w:themeColor="text1"/>
          <w:sz w:val="24"/>
          <w:szCs w:val="24"/>
        </w:rPr>
        <w:t xml:space="preserve"> </w:t>
      </w:r>
      <w:r w:rsidR="00765454" w:rsidRPr="0078472B">
        <w:rPr>
          <w:rFonts w:ascii="Times New Roman" w:hAnsi="Times New Roman" w:cs="Times New Roman"/>
          <w:color w:val="000000" w:themeColor="text1"/>
          <w:sz w:val="24"/>
          <w:szCs w:val="24"/>
        </w:rPr>
        <w:t>and under 18-year old (</w:t>
      </w:r>
      <w:r w:rsidR="00765454" w:rsidRPr="0078472B">
        <w:rPr>
          <w:rFonts w:ascii="Times New Roman" w:hAnsi="Times New Roman"/>
          <w:color w:val="000000" w:themeColor="text1"/>
          <w:sz w:val="24"/>
          <w:szCs w:val="24"/>
        </w:rPr>
        <w:t>see</w:t>
      </w:r>
      <w:r w:rsidR="00BF539D" w:rsidRPr="0078472B">
        <w:rPr>
          <w:rFonts w:ascii="Times New Roman" w:hAnsi="Times New Roman"/>
          <w:color w:val="000000" w:themeColor="text1"/>
          <w:sz w:val="24"/>
          <w:szCs w:val="24"/>
        </w:rPr>
        <w:t xml:space="preserve"> e.g., Hevostalous lukuina </w:t>
      </w:r>
      <w:r w:rsidR="00BF539D" w:rsidRPr="0078472B">
        <w:rPr>
          <w:rFonts w:ascii="Times New Roman" w:hAnsi="Times New Roman"/>
          <w:color w:val="000000" w:themeColor="text1"/>
          <w:sz w:val="24"/>
          <w:szCs w:val="24"/>
        </w:rPr>
        <w:lastRenderedPageBreak/>
        <w:t>2015 (2016)</w:t>
      </w:r>
      <w:r w:rsidR="00765454" w:rsidRPr="0078472B">
        <w:rPr>
          <w:rFonts w:ascii="Times New Roman" w:hAnsi="Times New Roman" w:cs="Times New Roman"/>
          <w:color w:val="000000" w:themeColor="text1"/>
          <w:sz w:val="24"/>
          <w:szCs w:val="24"/>
        </w:rPr>
        <w:t>)</w:t>
      </w:r>
      <w:r w:rsidR="006A3AC6" w:rsidRPr="0078472B">
        <w:rPr>
          <w:rFonts w:ascii="Times New Roman" w:hAnsi="Times New Roman" w:cs="Times New Roman"/>
          <w:color w:val="000000" w:themeColor="text1"/>
          <w:sz w:val="24"/>
          <w:szCs w:val="24"/>
        </w:rPr>
        <w:t>, whereas a</w:t>
      </w:r>
      <w:r w:rsidR="00904C3B" w:rsidRPr="0078472B">
        <w:rPr>
          <w:rFonts w:ascii="Times New Roman" w:hAnsi="Times New Roman" w:cs="Times New Roman"/>
          <w:color w:val="000000" w:themeColor="text1"/>
          <w:sz w:val="24"/>
          <w:szCs w:val="24"/>
        </w:rPr>
        <w:t xml:space="preserve"> typical horse race bettor in our data </w:t>
      </w:r>
      <w:r w:rsidR="00182B81" w:rsidRPr="0078472B">
        <w:rPr>
          <w:rFonts w:ascii="Times New Roman" w:hAnsi="Times New Roman" w:cs="Times New Roman"/>
          <w:color w:val="000000" w:themeColor="text1"/>
          <w:sz w:val="24"/>
          <w:szCs w:val="24"/>
        </w:rPr>
        <w:t>is a</w:t>
      </w:r>
      <w:r w:rsidR="00904C3B" w:rsidRPr="0078472B">
        <w:rPr>
          <w:rFonts w:ascii="Times New Roman" w:hAnsi="Times New Roman" w:cs="Times New Roman"/>
          <w:color w:val="000000" w:themeColor="text1"/>
          <w:sz w:val="24"/>
          <w:szCs w:val="24"/>
        </w:rPr>
        <w:t xml:space="preserve"> 50–year-old male. </w:t>
      </w:r>
    </w:p>
    <w:p w14:paraId="431C7864" w14:textId="77777777" w:rsidR="00D23585" w:rsidRPr="0078472B" w:rsidRDefault="00D23585" w:rsidP="00A540E5">
      <w:pPr>
        <w:spacing w:after="0" w:line="480" w:lineRule="auto"/>
        <w:jc w:val="both"/>
        <w:rPr>
          <w:rFonts w:ascii="Times New Roman" w:hAnsi="Times New Roman" w:cs="Times New Roman"/>
          <w:color w:val="000000" w:themeColor="text1"/>
          <w:sz w:val="24"/>
          <w:szCs w:val="24"/>
        </w:rPr>
      </w:pPr>
    </w:p>
    <w:p w14:paraId="1701436C" w14:textId="36C1CA91" w:rsidR="00D23585" w:rsidRPr="0078472B" w:rsidRDefault="00D23585" w:rsidP="00A540E5">
      <w:pPr>
        <w:spacing w:after="0" w:line="480" w:lineRule="auto"/>
        <w:jc w:val="both"/>
        <w:rPr>
          <w:rFonts w:ascii="Times New Roman" w:hAnsi="Times New Roman" w:cs="Times New Roman"/>
          <w:b/>
          <w:color w:val="000000" w:themeColor="text1"/>
          <w:sz w:val="24"/>
          <w:szCs w:val="24"/>
        </w:rPr>
      </w:pPr>
      <w:r w:rsidRPr="0078472B">
        <w:rPr>
          <w:rFonts w:ascii="Times New Roman" w:hAnsi="Times New Roman" w:cs="Times New Roman"/>
          <w:b/>
          <w:color w:val="000000" w:themeColor="text1"/>
          <w:sz w:val="24"/>
          <w:szCs w:val="24"/>
        </w:rPr>
        <w:t>Socio-demographics</w:t>
      </w:r>
    </w:p>
    <w:p w14:paraId="72889C06" w14:textId="32E87B54" w:rsidR="00506317" w:rsidRPr="0078472B" w:rsidRDefault="00CB05D1"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 xml:space="preserve">The socio-demographic variables in this study were used to control for the effects established in previous research. </w:t>
      </w:r>
      <w:r w:rsidR="00BD4773" w:rsidRPr="0078472B">
        <w:rPr>
          <w:rFonts w:ascii="Times New Roman" w:hAnsi="Times New Roman" w:cs="Times New Roman"/>
          <w:color w:val="000000" w:themeColor="text1"/>
          <w:sz w:val="24"/>
          <w:szCs w:val="24"/>
        </w:rPr>
        <w:t>O</w:t>
      </w:r>
      <w:r w:rsidR="00D23585" w:rsidRPr="0078472B">
        <w:rPr>
          <w:rFonts w:ascii="Times New Roman" w:hAnsi="Times New Roman" w:cs="Times New Roman"/>
          <w:color w:val="000000" w:themeColor="text1"/>
          <w:sz w:val="24"/>
          <w:szCs w:val="24"/>
        </w:rPr>
        <w:t xml:space="preserve">ur </w:t>
      </w:r>
      <w:r w:rsidR="001F0038" w:rsidRPr="0078472B">
        <w:rPr>
          <w:rFonts w:ascii="Times New Roman" w:hAnsi="Times New Roman" w:cs="Times New Roman"/>
          <w:color w:val="000000" w:themeColor="text1"/>
          <w:sz w:val="24"/>
          <w:szCs w:val="24"/>
        </w:rPr>
        <w:t>result</w:t>
      </w:r>
      <w:r w:rsidR="00D23585" w:rsidRPr="0078472B">
        <w:rPr>
          <w:rFonts w:ascii="Times New Roman" w:hAnsi="Times New Roman" w:cs="Times New Roman"/>
          <w:color w:val="000000" w:themeColor="text1"/>
          <w:sz w:val="24"/>
          <w:szCs w:val="24"/>
        </w:rPr>
        <w:t xml:space="preserve">s differ from </w:t>
      </w:r>
      <w:r w:rsidRPr="0078472B">
        <w:rPr>
          <w:rFonts w:ascii="Times New Roman" w:hAnsi="Times New Roman" w:cs="Times New Roman"/>
          <w:color w:val="000000" w:themeColor="text1"/>
          <w:sz w:val="24"/>
          <w:szCs w:val="24"/>
        </w:rPr>
        <w:t xml:space="preserve">their findings </w:t>
      </w:r>
      <w:r w:rsidR="00506317" w:rsidRPr="0078472B">
        <w:rPr>
          <w:rFonts w:ascii="Times New Roman" w:hAnsi="Times New Roman" w:cs="Times New Roman"/>
          <w:color w:val="000000" w:themeColor="text1"/>
          <w:sz w:val="24"/>
          <w:szCs w:val="24"/>
        </w:rPr>
        <w:t>because</w:t>
      </w:r>
      <w:r w:rsidRPr="0078472B">
        <w:rPr>
          <w:rFonts w:ascii="Times New Roman" w:hAnsi="Times New Roman" w:cs="Times New Roman"/>
          <w:color w:val="000000" w:themeColor="text1"/>
          <w:sz w:val="24"/>
          <w:szCs w:val="24"/>
        </w:rPr>
        <w:t xml:space="preserve"> we do not detect any </w:t>
      </w:r>
      <w:r w:rsidR="00BD55DB" w:rsidRPr="0078472B">
        <w:rPr>
          <w:rFonts w:ascii="Times New Roman" w:hAnsi="Times New Roman" w:cs="Times New Roman"/>
          <w:color w:val="000000" w:themeColor="text1"/>
          <w:sz w:val="24"/>
          <w:szCs w:val="24"/>
        </w:rPr>
        <w:t xml:space="preserve">associations </w:t>
      </w:r>
      <w:r w:rsidRPr="0078472B">
        <w:rPr>
          <w:rFonts w:ascii="Times New Roman" w:hAnsi="Times New Roman" w:cs="Times New Roman"/>
          <w:color w:val="000000" w:themeColor="text1"/>
          <w:sz w:val="24"/>
          <w:szCs w:val="24"/>
        </w:rPr>
        <w:t>w</w:t>
      </w:r>
      <w:r w:rsidR="00D23585" w:rsidRPr="0078472B">
        <w:rPr>
          <w:rFonts w:ascii="Times New Roman" w:hAnsi="Times New Roman" w:cs="Times New Roman"/>
          <w:color w:val="000000" w:themeColor="text1"/>
          <w:sz w:val="24"/>
          <w:szCs w:val="24"/>
        </w:rPr>
        <w:t>ith</w:t>
      </w:r>
      <w:r w:rsidR="00BD55DB" w:rsidRPr="0078472B">
        <w:rPr>
          <w:rFonts w:ascii="Times New Roman" w:hAnsi="Times New Roman" w:cs="Times New Roman"/>
          <w:color w:val="000000" w:themeColor="text1"/>
          <w:sz w:val="24"/>
          <w:szCs w:val="24"/>
        </w:rPr>
        <w:t xml:space="preserve"> betting </w:t>
      </w:r>
      <w:r w:rsidR="004D381E" w:rsidRPr="0078472B">
        <w:rPr>
          <w:rFonts w:ascii="Times New Roman" w:hAnsi="Times New Roman" w:cs="Times New Roman"/>
          <w:color w:val="000000" w:themeColor="text1"/>
          <w:sz w:val="24"/>
          <w:szCs w:val="24"/>
        </w:rPr>
        <w:t>engagement</w:t>
      </w:r>
      <w:r w:rsidR="00BD55DB" w:rsidRPr="0078472B">
        <w:rPr>
          <w:rFonts w:ascii="Times New Roman" w:hAnsi="Times New Roman" w:cs="Times New Roman"/>
          <w:color w:val="000000" w:themeColor="text1"/>
          <w:sz w:val="24"/>
          <w:szCs w:val="24"/>
        </w:rPr>
        <w:t xml:space="preserve"> and</w:t>
      </w:r>
      <w:r w:rsidR="00D23585"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age,</w:t>
      </w:r>
      <w:r w:rsidR="00D23585" w:rsidRPr="0078472B">
        <w:rPr>
          <w:rFonts w:ascii="Times New Roman" w:hAnsi="Times New Roman" w:cs="Times New Roman"/>
          <w:color w:val="000000" w:themeColor="text1"/>
          <w:sz w:val="24"/>
          <w:szCs w:val="24"/>
        </w:rPr>
        <w:t xml:space="preserve"> income</w:t>
      </w:r>
      <w:r w:rsidRPr="0078472B">
        <w:rPr>
          <w:rFonts w:ascii="Times New Roman" w:hAnsi="Times New Roman" w:cs="Times New Roman"/>
          <w:color w:val="000000" w:themeColor="text1"/>
          <w:sz w:val="24"/>
          <w:szCs w:val="24"/>
        </w:rPr>
        <w:t>, education or employment status</w:t>
      </w:r>
      <w:r w:rsidR="0068094B"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(e.g.</w:t>
      </w:r>
      <w:r w:rsidR="00631EBA">
        <w:rPr>
          <w:rFonts w:ascii="Times New Roman" w:hAnsi="Times New Roman" w:cs="Times New Roman"/>
          <w:color w:val="000000" w:themeColor="text1"/>
          <w:sz w:val="24"/>
          <w:szCs w:val="24"/>
        </w:rPr>
        <w:t>,</w:t>
      </w:r>
      <w:r w:rsidR="00506317" w:rsidRPr="0078472B">
        <w:rPr>
          <w:rFonts w:ascii="Times New Roman" w:hAnsi="Times New Roman" w:cs="Times New Roman"/>
          <w:color w:val="000000" w:themeColor="text1"/>
          <w:sz w:val="24"/>
          <w:szCs w:val="24"/>
        </w:rPr>
        <w:t xml:space="preserve"> </w:t>
      </w:r>
      <w:r w:rsidR="00D23585" w:rsidRPr="0078472B">
        <w:rPr>
          <w:rFonts w:ascii="Times New Roman" w:hAnsi="Times New Roman" w:cs="Times New Roman"/>
          <w:color w:val="000000" w:themeColor="text1"/>
          <w:sz w:val="24"/>
          <w:szCs w:val="24"/>
        </w:rPr>
        <w:t>Woolley</w:t>
      </w:r>
      <w:r w:rsidR="00A51437" w:rsidRPr="0078472B">
        <w:rPr>
          <w:rFonts w:ascii="Times New Roman" w:hAnsi="Times New Roman" w:cs="Times New Roman"/>
          <w:color w:val="000000" w:themeColor="text1"/>
          <w:sz w:val="24"/>
          <w:szCs w:val="24"/>
        </w:rPr>
        <w:t>,</w:t>
      </w:r>
      <w:r w:rsidR="00D23585" w:rsidRPr="0078472B">
        <w:rPr>
          <w:rFonts w:ascii="Times New Roman" w:hAnsi="Times New Roman" w:cs="Times New Roman"/>
          <w:color w:val="000000" w:themeColor="text1"/>
          <w:sz w:val="24"/>
          <w:szCs w:val="24"/>
        </w:rPr>
        <w:t xml:space="preserve"> 2003</w:t>
      </w:r>
      <w:r w:rsidR="00A51437" w:rsidRPr="0078472B">
        <w:rPr>
          <w:rFonts w:ascii="Times New Roman" w:hAnsi="Times New Roman" w:cs="Times New Roman"/>
          <w:color w:val="000000" w:themeColor="text1"/>
          <w:sz w:val="24"/>
          <w:szCs w:val="24"/>
        </w:rPr>
        <w:t>;</w:t>
      </w:r>
      <w:r w:rsidR="00D23585" w:rsidRPr="0078472B">
        <w:rPr>
          <w:rFonts w:ascii="Times New Roman" w:hAnsi="Times New Roman" w:cs="Times New Roman"/>
          <w:color w:val="000000" w:themeColor="text1"/>
          <w:sz w:val="24"/>
          <w:szCs w:val="24"/>
        </w:rPr>
        <w:t xml:space="preserve"> </w:t>
      </w:r>
      <w:r w:rsidR="00506317" w:rsidRPr="0078472B">
        <w:rPr>
          <w:rFonts w:ascii="Times New Roman" w:hAnsi="Times New Roman" w:cs="Times New Roman"/>
          <w:color w:val="000000" w:themeColor="text1"/>
          <w:sz w:val="24"/>
          <w:szCs w:val="24"/>
        </w:rPr>
        <w:t xml:space="preserve">Wood </w:t>
      </w:r>
      <w:r w:rsidR="006E71C7" w:rsidRPr="0078472B">
        <w:rPr>
          <w:rFonts w:ascii="Times New Roman" w:hAnsi="Times New Roman" w:cs="Times New Roman"/>
          <w:color w:val="000000" w:themeColor="text1"/>
          <w:sz w:val="24"/>
          <w:szCs w:val="24"/>
        </w:rPr>
        <w:t>&amp;</w:t>
      </w:r>
      <w:r w:rsidR="00506317" w:rsidRPr="0078472B">
        <w:rPr>
          <w:rFonts w:ascii="Times New Roman" w:hAnsi="Times New Roman" w:cs="Times New Roman"/>
          <w:color w:val="000000" w:themeColor="text1"/>
          <w:sz w:val="24"/>
          <w:szCs w:val="24"/>
        </w:rPr>
        <w:t xml:space="preserve"> Williams</w:t>
      </w:r>
      <w:r w:rsidR="00A51437" w:rsidRPr="0078472B">
        <w:rPr>
          <w:rFonts w:ascii="Times New Roman" w:hAnsi="Times New Roman" w:cs="Times New Roman"/>
          <w:color w:val="000000" w:themeColor="text1"/>
          <w:sz w:val="24"/>
          <w:szCs w:val="24"/>
        </w:rPr>
        <w:t>,</w:t>
      </w:r>
      <w:r w:rsidR="00506317" w:rsidRPr="0078472B">
        <w:rPr>
          <w:rFonts w:ascii="Times New Roman" w:hAnsi="Times New Roman" w:cs="Times New Roman"/>
          <w:color w:val="000000" w:themeColor="text1"/>
          <w:sz w:val="24"/>
          <w:szCs w:val="24"/>
        </w:rPr>
        <w:t xml:space="preserve"> 2011</w:t>
      </w:r>
      <w:r w:rsidR="00A51437" w:rsidRPr="0078472B">
        <w:rPr>
          <w:rFonts w:ascii="Times New Roman" w:hAnsi="Times New Roman" w:cs="Times New Roman"/>
          <w:color w:val="000000" w:themeColor="text1"/>
          <w:sz w:val="24"/>
          <w:szCs w:val="24"/>
        </w:rPr>
        <w:t>;</w:t>
      </w:r>
      <w:r w:rsidR="00506317"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Gainsbury et al.</w:t>
      </w:r>
      <w:r w:rsidR="00A51437"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00D23585" w:rsidRPr="0078472B">
        <w:rPr>
          <w:rFonts w:ascii="Times New Roman" w:hAnsi="Times New Roman" w:cs="Times New Roman"/>
          <w:color w:val="000000" w:themeColor="text1"/>
          <w:sz w:val="24"/>
          <w:szCs w:val="24"/>
        </w:rPr>
        <w:t>2012</w:t>
      </w:r>
      <w:r w:rsidR="00A51437"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00506317" w:rsidRPr="0078472B">
        <w:rPr>
          <w:rFonts w:ascii="Times New Roman" w:hAnsi="Times New Roman" w:cs="Times New Roman"/>
          <w:color w:val="000000" w:themeColor="text1"/>
          <w:sz w:val="24"/>
          <w:szCs w:val="24"/>
        </w:rPr>
        <w:t>Edgren et al. 2017)</w:t>
      </w:r>
      <w:r w:rsidR="00D23585" w:rsidRPr="0078472B">
        <w:rPr>
          <w:rFonts w:ascii="Times New Roman" w:hAnsi="Times New Roman" w:cs="Times New Roman"/>
          <w:color w:val="000000" w:themeColor="text1"/>
          <w:sz w:val="24"/>
          <w:szCs w:val="24"/>
        </w:rPr>
        <w:t xml:space="preserve">. </w:t>
      </w:r>
      <w:r w:rsidR="00506317" w:rsidRPr="0078472B">
        <w:rPr>
          <w:rFonts w:ascii="Times New Roman" w:hAnsi="Times New Roman" w:cs="Times New Roman"/>
          <w:color w:val="000000" w:themeColor="text1"/>
          <w:sz w:val="24"/>
          <w:szCs w:val="24"/>
        </w:rPr>
        <w:t>These discrepancies may be attributable to difference</w:t>
      </w:r>
      <w:r w:rsidR="004A1907" w:rsidRPr="0078472B">
        <w:rPr>
          <w:rFonts w:ascii="Times New Roman" w:hAnsi="Times New Roman" w:cs="Times New Roman"/>
          <w:color w:val="000000" w:themeColor="text1"/>
          <w:sz w:val="24"/>
          <w:szCs w:val="24"/>
        </w:rPr>
        <w:t>s in research methodologies</w:t>
      </w:r>
      <w:r w:rsidR="00506317" w:rsidRPr="0078472B">
        <w:rPr>
          <w:rFonts w:ascii="Times New Roman" w:hAnsi="Times New Roman" w:cs="Times New Roman"/>
          <w:color w:val="000000" w:themeColor="text1"/>
          <w:sz w:val="24"/>
          <w:szCs w:val="24"/>
        </w:rPr>
        <w:t xml:space="preserve"> </w:t>
      </w:r>
      <w:r w:rsidR="008971E9" w:rsidRPr="0078472B">
        <w:rPr>
          <w:rFonts w:ascii="Times New Roman" w:hAnsi="Times New Roman" w:cs="Times New Roman"/>
          <w:color w:val="000000" w:themeColor="text1"/>
          <w:sz w:val="24"/>
          <w:szCs w:val="24"/>
        </w:rPr>
        <w:t xml:space="preserve">in that we were constrained to model at the level of the municipality rather than the individual </w:t>
      </w:r>
      <w:r w:rsidR="00506317" w:rsidRPr="0078472B">
        <w:rPr>
          <w:rFonts w:ascii="Times New Roman" w:hAnsi="Times New Roman" w:cs="Times New Roman"/>
          <w:color w:val="000000" w:themeColor="text1"/>
          <w:sz w:val="24"/>
          <w:szCs w:val="24"/>
        </w:rPr>
        <w:t xml:space="preserve">or </w:t>
      </w:r>
      <w:r w:rsidR="008971E9" w:rsidRPr="0078472B">
        <w:rPr>
          <w:rFonts w:ascii="Times New Roman" w:hAnsi="Times New Roman" w:cs="Times New Roman"/>
          <w:color w:val="000000" w:themeColor="text1"/>
          <w:sz w:val="24"/>
          <w:szCs w:val="24"/>
        </w:rPr>
        <w:t xml:space="preserve">to </w:t>
      </w:r>
      <w:r w:rsidR="00506317" w:rsidRPr="0078472B">
        <w:rPr>
          <w:rFonts w:ascii="Times New Roman" w:hAnsi="Times New Roman" w:cs="Times New Roman"/>
          <w:color w:val="000000" w:themeColor="text1"/>
          <w:sz w:val="24"/>
          <w:szCs w:val="24"/>
        </w:rPr>
        <w:t>the context specificity arising from our focus on online horse race betting and data from a single country.</w:t>
      </w:r>
    </w:p>
    <w:p w14:paraId="02F32C8E" w14:textId="77777777" w:rsidR="006E71C7" w:rsidRPr="0078472B" w:rsidRDefault="006E71C7" w:rsidP="00A540E5">
      <w:pPr>
        <w:spacing w:after="0" w:line="480" w:lineRule="auto"/>
        <w:jc w:val="both"/>
        <w:rPr>
          <w:rFonts w:ascii="Times New Roman" w:hAnsi="Times New Roman" w:cs="Times New Roman"/>
          <w:color w:val="000000" w:themeColor="text1"/>
          <w:sz w:val="24"/>
          <w:szCs w:val="24"/>
        </w:rPr>
      </w:pPr>
    </w:p>
    <w:p w14:paraId="74A38544" w14:textId="0C610DE0" w:rsidR="00D23585" w:rsidRPr="0078472B" w:rsidRDefault="00506317"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However, s</w:t>
      </w:r>
      <w:r w:rsidR="00D23585" w:rsidRPr="0078472B">
        <w:rPr>
          <w:rFonts w:ascii="Times New Roman" w:hAnsi="Times New Roman" w:cs="Times New Roman"/>
          <w:color w:val="000000" w:themeColor="text1"/>
          <w:sz w:val="24"/>
          <w:szCs w:val="24"/>
        </w:rPr>
        <w:t>ome of our results</w:t>
      </w:r>
      <w:r w:rsidRPr="0078472B">
        <w:rPr>
          <w:rFonts w:ascii="Times New Roman" w:hAnsi="Times New Roman" w:cs="Times New Roman"/>
          <w:color w:val="000000" w:themeColor="text1"/>
          <w:sz w:val="24"/>
          <w:szCs w:val="24"/>
        </w:rPr>
        <w:t xml:space="preserve"> regarding the socio-demographic controls</w:t>
      </w:r>
      <w:r w:rsidR="00D23585" w:rsidRPr="0078472B">
        <w:rPr>
          <w:rFonts w:ascii="Times New Roman" w:hAnsi="Times New Roman" w:cs="Times New Roman"/>
          <w:color w:val="000000" w:themeColor="text1"/>
          <w:sz w:val="24"/>
          <w:szCs w:val="24"/>
        </w:rPr>
        <w:t xml:space="preserve"> are more relevant when assessed within the Finnish context. We found a robust negative association between the share of Swedish speakers and betting activity in a municipality. The gambling habits of this linguistic minority group in Finland has been previously studied by Nordmyr et al. (2014) who did not find any differences in the prevalence of gambling problems between the Swedish-speaking minority and the Finnish-speaking majority in Western Finland. An explanation for this discrepancy between our and their results could be that we focused on horse race betting whereas their study addressed gambling activity </w:t>
      </w:r>
      <w:r w:rsidR="00D23585" w:rsidRPr="0078472B">
        <w:rPr>
          <w:rFonts w:ascii="Times New Roman" w:hAnsi="Times New Roman" w:cs="Times New Roman"/>
          <w:color w:val="000000" w:themeColor="text1"/>
          <w:sz w:val="24"/>
          <w:szCs w:val="24"/>
        </w:rPr>
        <w:lastRenderedPageBreak/>
        <w:t xml:space="preserve">and gambling problems in particular, which were unobservable in our data. </w:t>
      </w:r>
      <w:r w:rsidR="00BD4773" w:rsidRPr="0078472B">
        <w:rPr>
          <w:rFonts w:ascii="Times New Roman" w:hAnsi="Times New Roman" w:cs="Times New Roman"/>
          <w:color w:val="000000" w:themeColor="text1"/>
          <w:sz w:val="24"/>
          <w:szCs w:val="24"/>
        </w:rPr>
        <w:t>Moreover</w:t>
      </w:r>
      <w:r w:rsidRPr="0078472B">
        <w:rPr>
          <w:rFonts w:ascii="Times New Roman" w:hAnsi="Times New Roman" w:cs="Times New Roman"/>
          <w:color w:val="000000" w:themeColor="text1"/>
          <w:sz w:val="24"/>
          <w:szCs w:val="24"/>
        </w:rPr>
        <w:t>, o</w:t>
      </w:r>
      <w:r w:rsidR="00D23585" w:rsidRPr="0078472B">
        <w:rPr>
          <w:rFonts w:ascii="Times New Roman" w:hAnsi="Times New Roman" w:cs="Times New Roman"/>
          <w:color w:val="000000" w:themeColor="text1"/>
          <w:sz w:val="24"/>
          <w:szCs w:val="24"/>
        </w:rPr>
        <w:t xml:space="preserve">ur results </w:t>
      </w:r>
      <w:r w:rsidRPr="0078472B">
        <w:rPr>
          <w:rFonts w:ascii="Times New Roman" w:hAnsi="Times New Roman" w:cs="Times New Roman"/>
          <w:color w:val="000000" w:themeColor="text1"/>
          <w:sz w:val="24"/>
          <w:szCs w:val="24"/>
        </w:rPr>
        <w:t>do not</w:t>
      </w:r>
      <w:r w:rsidR="00D23585" w:rsidRPr="0078472B">
        <w:rPr>
          <w:rFonts w:ascii="Times New Roman" w:hAnsi="Times New Roman" w:cs="Times New Roman"/>
          <w:color w:val="000000" w:themeColor="text1"/>
          <w:sz w:val="24"/>
          <w:szCs w:val="24"/>
        </w:rPr>
        <w:t xml:space="preserve"> point to horse race betting</w:t>
      </w:r>
      <w:r w:rsidRPr="0078472B">
        <w:rPr>
          <w:rFonts w:ascii="Times New Roman" w:hAnsi="Times New Roman" w:cs="Times New Roman"/>
          <w:color w:val="000000" w:themeColor="text1"/>
          <w:sz w:val="24"/>
          <w:szCs w:val="24"/>
        </w:rPr>
        <w:t>, or at least its online format,</w:t>
      </w:r>
      <w:r w:rsidR="00D23585" w:rsidRPr="0078472B">
        <w:rPr>
          <w:rFonts w:ascii="Times New Roman" w:hAnsi="Times New Roman" w:cs="Times New Roman"/>
          <w:color w:val="000000" w:themeColor="text1"/>
          <w:sz w:val="24"/>
          <w:szCs w:val="24"/>
        </w:rPr>
        <w:t xml:space="preserve"> being more of a ‘rural’ as opposed to ‘urban’ sport. </w:t>
      </w:r>
      <w:r w:rsidR="00BD4773" w:rsidRPr="0078472B">
        <w:rPr>
          <w:rFonts w:ascii="Times New Roman" w:hAnsi="Times New Roman" w:cs="Times New Roman"/>
          <w:color w:val="000000" w:themeColor="text1"/>
          <w:sz w:val="24"/>
          <w:szCs w:val="24"/>
        </w:rPr>
        <w:t xml:space="preserve">While previous research has concluded that a typical offline horse race bettor comes from a rural area (Raento </w:t>
      </w:r>
      <w:r w:rsidR="006E71C7" w:rsidRPr="0078472B">
        <w:rPr>
          <w:rFonts w:ascii="Times New Roman" w:hAnsi="Times New Roman" w:cs="Times New Roman"/>
          <w:color w:val="000000" w:themeColor="text1"/>
          <w:sz w:val="24"/>
          <w:szCs w:val="24"/>
        </w:rPr>
        <w:t>&amp;</w:t>
      </w:r>
      <w:r w:rsidR="00BD4773" w:rsidRPr="0078472B">
        <w:rPr>
          <w:rFonts w:ascii="Times New Roman" w:hAnsi="Times New Roman" w:cs="Times New Roman"/>
          <w:color w:val="000000" w:themeColor="text1"/>
          <w:sz w:val="24"/>
          <w:szCs w:val="24"/>
        </w:rPr>
        <w:t xml:space="preserve"> Härmälä, 2014), online bettors in our data appear to be city-dwellers. </w:t>
      </w:r>
      <w:r w:rsidR="00D23585" w:rsidRPr="0078472B">
        <w:rPr>
          <w:rFonts w:ascii="Times New Roman" w:hAnsi="Times New Roman" w:cs="Times New Roman"/>
          <w:color w:val="000000" w:themeColor="text1"/>
          <w:sz w:val="24"/>
          <w:szCs w:val="24"/>
        </w:rPr>
        <w:t>We found that</w:t>
      </w:r>
      <w:r w:rsidR="008971E9" w:rsidRPr="0078472B">
        <w:rPr>
          <w:rFonts w:ascii="Times New Roman" w:hAnsi="Times New Roman" w:cs="Times New Roman"/>
          <w:color w:val="000000" w:themeColor="text1"/>
          <w:sz w:val="24"/>
          <w:szCs w:val="24"/>
        </w:rPr>
        <w:t>,</w:t>
      </w:r>
      <w:r w:rsidR="00D23585" w:rsidRPr="0078472B">
        <w:rPr>
          <w:rFonts w:ascii="Times New Roman" w:hAnsi="Times New Roman" w:cs="Times New Roman"/>
          <w:color w:val="000000" w:themeColor="text1"/>
          <w:sz w:val="24"/>
          <w:szCs w:val="24"/>
        </w:rPr>
        <w:t xml:space="preserve"> if a municipality is classified as a city, it tends to be associated with </w:t>
      </w:r>
      <w:r w:rsidRPr="0078472B">
        <w:rPr>
          <w:rFonts w:ascii="Times New Roman" w:hAnsi="Times New Roman" w:cs="Times New Roman"/>
          <w:color w:val="000000" w:themeColor="text1"/>
          <w:sz w:val="24"/>
          <w:szCs w:val="24"/>
        </w:rPr>
        <w:t xml:space="preserve">higher levels of betting </w:t>
      </w:r>
      <w:r w:rsidR="004D381E" w:rsidRPr="0078472B">
        <w:rPr>
          <w:rFonts w:ascii="Times New Roman" w:hAnsi="Times New Roman" w:cs="Times New Roman"/>
          <w:color w:val="000000" w:themeColor="text1"/>
          <w:sz w:val="24"/>
          <w:szCs w:val="24"/>
        </w:rPr>
        <w:t>engagement</w:t>
      </w:r>
      <w:r w:rsidRPr="0078472B">
        <w:rPr>
          <w:rFonts w:ascii="Times New Roman" w:hAnsi="Times New Roman" w:cs="Times New Roman"/>
          <w:color w:val="000000" w:themeColor="text1"/>
          <w:sz w:val="24"/>
          <w:szCs w:val="24"/>
        </w:rPr>
        <w:t xml:space="preserve"> even after controlling for factors associated with cities, such as higher incomes, better education, a younger composition of population and inter-municipal migration (Pekkala 2003)</w:t>
      </w:r>
      <w:r w:rsidR="00D23585" w:rsidRPr="0078472B">
        <w:rPr>
          <w:rFonts w:ascii="Times New Roman" w:hAnsi="Times New Roman" w:cs="Times New Roman"/>
          <w:color w:val="000000" w:themeColor="text1"/>
          <w:sz w:val="24"/>
          <w:szCs w:val="24"/>
        </w:rPr>
        <w:t xml:space="preserve">. </w:t>
      </w:r>
      <w:r w:rsidR="00782FB4" w:rsidRPr="0078472B">
        <w:rPr>
          <w:rFonts w:ascii="Times New Roman" w:hAnsi="Times New Roman" w:cs="Times New Roman"/>
          <w:color w:val="000000" w:themeColor="text1"/>
          <w:sz w:val="24"/>
          <w:szCs w:val="24"/>
        </w:rPr>
        <w:t>This suggests that t</w:t>
      </w:r>
      <w:r w:rsidR="00BC79F4" w:rsidRPr="0078472B">
        <w:rPr>
          <w:rFonts w:ascii="Times New Roman" w:hAnsi="Times New Roman" w:cs="Times New Roman"/>
          <w:color w:val="000000" w:themeColor="text1"/>
          <w:sz w:val="24"/>
          <w:szCs w:val="24"/>
        </w:rPr>
        <w:t>here are subtle differences in the consumer types using these two gambling platforms</w:t>
      </w:r>
      <w:r w:rsidR="00A43BD9" w:rsidRPr="0078472B">
        <w:rPr>
          <w:rFonts w:ascii="Times New Roman" w:hAnsi="Times New Roman" w:cs="Times New Roman"/>
          <w:color w:val="000000" w:themeColor="text1"/>
          <w:sz w:val="24"/>
          <w:szCs w:val="24"/>
        </w:rPr>
        <w:t>.</w:t>
      </w:r>
      <w:r w:rsidR="000C07BF" w:rsidRPr="0078472B">
        <w:rPr>
          <w:rFonts w:ascii="Times New Roman" w:hAnsi="Times New Roman" w:cs="Times New Roman"/>
          <w:color w:val="000000" w:themeColor="text1"/>
          <w:sz w:val="24"/>
          <w:szCs w:val="24"/>
        </w:rPr>
        <w:t xml:space="preserve">  </w:t>
      </w:r>
    </w:p>
    <w:p w14:paraId="025E13E2" w14:textId="77777777" w:rsidR="0020170F" w:rsidRPr="0078472B" w:rsidRDefault="0020170F" w:rsidP="00A540E5">
      <w:pPr>
        <w:spacing w:after="0" w:line="480" w:lineRule="auto"/>
        <w:jc w:val="both"/>
        <w:rPr>
          <w:rFonts w:ascii="Times New Roman" w:hAnsi="Times New Roman" w:cs="Times New Roman"/>
          <w:color w:val="000000" w:themeColor="text1"/>
          <w:sz w:val="24"/>
          <w:szCs w:val="24"/>
        </w:rPr>
      </w:pPr>
    </w:p>
    <w:p w14:paraId="1E7298A3" w14:textId="220BB8EB" w:rsidR="00904C3B" w:rsidRPr="0078472B" w:rsidRDefault="000C3EE7" w:rsidP="00A540E5">
      <w:pPr>
        <w:spacing w:after="0" w:line="480" w:lineRule="auto"/>
        <w:jc w:val="both"/>
        <w:rPr>
          <w:rFonts w:ascii="Times New Roman" w:hAnsi="Times New Roman" w:cs="Times New Roman"/>
          <w:b/>
          <w:color w:val="000000" w:themeColor="text1"/>
          <w:sz w:val="24"/>
          <w:szCs w:val="24"/>
        </w:rPr>
      </w:pPr>
      <w:r w:rsidRPr="0078472B">
        <w:rPr>
          <w:rFonts w:ascii="Times New Roman" w:hAnsi="Times New Roman" w:cs="Times New Roman"/>
          <w:b/>
          <w:color w:val="000000" w:themeColor="text1"/>
          <w:sz w:val="24"/>
          <w:szCs w:val="24"/>
        </w:rPr>
        <w:t>Limitations and future research</w:t>
      </w:r>
    </w:p>
    <w:p w14:paraId="2D566162" w14:textId="5273A018" w:rsidR="00904C3B" w:rsidRPr="0078472B" w:rsidRDefault="00ED3C15"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olor w:val="000000" w:themeColor="text1"/>
          <w:sz w:val="24"/>
          <w:szCs w:val="24"/>
        </w:rPr>
        <w:t>This study comes with some limitations. First, a</w:t>
      </w:r>
      <w:r w:rsidR="00904C3B" w:rsidRPr="0078472B">
        <w:rPr>
          <w:rFonts w:ascii="Times New Roman" w:hAnsi="Times New Roman"/>
          <w:color w:val="000000" w:themeColor="text1"/>
          <w:sz w:val="24"/>
          <w:szCs w:val="24"/>
        </w:rPr>
        <w:t xml:space="preserve">lthough </w:t>
      </w:r>
      <w:r w:rsidR="006544A0" w:rsidRPr="0078472B">
        <w:rPr>
          <w:rFonts w:ascii="Times New Roman" w:hAnsi="Times New Roman"/>
          <w:color w:val="000000" w:themeColor="text1"/>
          <w:sz w:val="24"/>
          <w:szCs w:val="24"/>
        </w:rPr>
        <w:t xml:space="preserve">the </w:t>
      </w:r>
      <w:r w:rsidR="0012516B" w:rsidRPr="0078472B">
        <w:rPr>
          <w:rFonts w:ascii="Times New Roman" w:hAnsi="Times New Roman"/>
          <w:color w:val="000000" w:themeColor="text1"/>
          <w:sz w:val="24"/>
          <w:szCs w:val="24"/>
        </w:rPr>
        <w:t>data</w:t>
      </w:r>
      <w:r w:rsidR="006544A0" w:rsidRPr="0078472B">
        <w:rPr>
          <w:rFonts w:ascii="Times New Roman" w:hAnsi="Times New Roman"/>
          <w:color w:val="000000" w:themeColor="text1"/>
          <w:sz w:val="24"/>
          <w:szCs w:val="24"/>
        </w:rPr>
        <w:t xml:space="preserve"> used in this study</w:t>
      </w:r>
      <w:r w:rsidR="00904C3B" w:rsidRPr="0078472B">
        <w:rPr>
          <w:rFonts w:ascii="Times New Roman" w:hAnsi="Times New Roman"/>
          <w:color w:val="000000" w:themeColor="text1"/>
          <w:sz w:val="24"/>
          <w:szCs w:val="24"/>
        </w:rPr>
        <w:t xml:space="preserve"> </w:t>
      </w:r>
      <w:r w:rsidR="000C3EE7" w:rsidRPr="0078472B">
        <w:rPr>
          <w:rFonts w:ascii="Times New Roman" w:hAnsi="Times New Roman"/>
          <w:color w:val="000000" w:themeColor="text1"/>
          <w:sz w:val="24"/>
          <w:szCs w:val="24"/>
        </w:rPr>
        <w:t>eliminates the bias induced by self-reporting in surveys</w:t>
      </w:r>
      <w:r w:rsidR="00904C3B" w:rsidRPr="0078472B">
        <w:rPr>
          <w:rFonts w:ascii="Times New Roman" w:hAnsi="Times New Roman"/>
          <w:color w:val="000000" w:themeColor="text1"/>
          <w:sz w:val="24"/>
          <w:szCs w:val="24"/>
        </w:rPr>
        <w:t xml:space="preserve">, the main disadvantage </w:t>
      </w:r>
      <w:r w:rsidR="000C3EE7" w:rsidRPr="0078472B">
        <w:rPr>
          <w:rFonts w:ascii="Times New Roman" w:hAnsi="Times New Roman"/>
          <w:color w:val="000000" w:themeColor="text1"/>
          <w:sz w:val="24"/>
          <w:szCs w:val="24"/>
        </w:rPr>
        <w:t xml:space="preserve">of our data is </w:t>
      </w:r>
      <w:r w:rsidR="006544A0" w:rsidRPr="0078472B">
        <w:rPr>
          <w:rFonts w:ascii="Times New Roman" w:hAnsi="Times New Roman"/>
          <w:color w:val="000000" w:themeColor="text1"/>
          <w:sz w:val="24"/>
          <w:szCs w:val="24"/>
        </w:rPr>
        <w:t xml:space="preserve">collapsing </w:t>
      </w:r>
      <w:r w:rsidR="00904C3B" w:rsidRPr="0078472B">
        <w:rPr>
          <w:rFonts w:ascii="Times New Roman" w:hAnsi="Times New Roman"/>
          <w:color w:val="000000" w:themeColor="text1"/>
          <w:sz w:val="24"/>
          <w:szCs w:val="24"/>
        </w:rPr>
        <w:t>individual</w:t>
      </w:r>
      <w:r w:rsidR="000C3EE7" w:rsidRPr="0078472B">
        <w:rPr>
          <w:rFonts w:ascii="Times New Roman" w:hAnsi="Times New Roman"/>
          <w:color w:val="000000" w:themeColor="text1"/>
          <w:sz w:val="24"/>
          <w:szCs w:val="24"/>
        </w:rPr>
        <w:t xml:space="preserve">-level data to the </w:t>
      </w:r>
      <w:r w:rsidR="006544A0" w:rsidRPr="0078472B">
        <w:rPr>
          <w:rFonts w:ascii="Times New Roman" w:hAnsi="Times New Roman"/>
          <w:color w:val="000000" w:themeColor="text1"/>
          <w:sz w:val="24"/>
          <w:szCs w:val="24"/>
        </w:rPr>
        <w:t xml:space="preserve">aggregate </w:t>
      </w:r>
      <w:r w:rsidR="00904C3B" w:rsidRPr="0078472B">
        <w:rPr>
          <w:rFonts w:ascii="Times New Roman" w:hAnsi="Times New Roman"/>
          <w:color w:val="000000" w:themeColor="text1"/>
          <w:sz w:val="24"/>
          <w:szCs w:val="24"/>
        </w:rPr>
        <w:t>level</w:t>
      </w:r>
      <w:r w:rsidR="000C3EE7" w:rsidRPr="0078472B">
        <w:rPr>
          <w:rFonts w:ascii="Times New Roman" w:hAnsi="Times New Roman"/>
          <w:color w:val="000000" w:themeColor="text1"/>
          <w:sz w:val="24"/>
          <w:szCs w:val="24"/>
        </w:rPr>
        <w:t xml:space="preserve"> of a municipality</w:t>
      </w:r>
      <w:r w:rsidR="00904C3B" w:rsidRPr="0078472B">
        <w:rPr>
          <w:rFonts w:ascii="Times New Roman" w:hAnsi="Times New Roman"/>
          <w:color w:val="000000" w:themeColor="text1"/>
          <w:sz w:val="24"/>
          <w:szCs w:val="24"/>
        </w:rPr>
        <w:t xml:space="preserve">. </w:t>
      </w:r>
      <w:r w:rsidR="00401F3D" w:rsidRPr="0078472B">
        <w:rPr>
          <w:rFonts w:ascii="Times New Roman" w:hAnsi="Times New Roman"/>
          <w:color w:val="000000" w:themeColor="text1"/>
          <w:sz w:val="24"/>
          <w:szCs w:val="24"/>
          <w:lang w:val="en-US"/>
        </w:rPr>
        <w:t xml:space="preserve">Estimated coefficients reported in this study reflect interests in betting and equine sports on an aggregate level (i.e., municipality level in our case) and are descriptive of individual preferences only under restrictive assumptions. </w:t>
      </w:r>
      <w:r w:rsidR="00904C3B" w:rsidRPr="0078472B">
        <w:rPr>
          <w:rFonts w:ascii="Times New Roman" w:hAnsi="Times New Roman"/>
          <w:color w:val="000000" w:themeColor="text1"/>
          <w:sz w:val="24"/>
          <w:szCs w:val="24"/>
        </w:rPr>
        <w:t>This means that individual-level information</w:t>
      </w:r>
      <w:r w:rsidR="000C3EE7" w:rsidRPr="0078472B">
        <w:rPr>
          <w:rFonts w:ascii="Times New Roman" w:hAnsi="Times New Roman"/>
          <w:color w:val="000000" w:themeColor="text1"/>
          <w:sz w:val="24"/>
          <w:szCs w:val="24"/>
        </w:rPr>
        <w:t>, which would lend itself to a more precise analysis, is lost</w:t>
      </w:r>
      <w:r w:rsidR="00904C3B" w:rsidRPr="0078472B">
        <w:rPr>
          <w:rFonts w:ascii="Times New Roman" w:hAnsi="Times New Roman"/>
          <w:color w:val="000000" w:themeColor="text1"/>
          <w:sz w:val="24"/>
          <w:szCs w:val="24"/>
        </w:rPr>
        <w:t xml:space="preserve">. </w:t>
      </w:r>
      <w:r w:rsidR="00F720F5" w:rsidRPr="0078472B">
        <w:rPr>
          <w:rFonts w:ascii="Times New Roman" w:hAnsi="Times New Roman"/>
          <w:color w:val="000000" w:themeColor="text1"/>
          <w:sz w:val="24"/>
          <w:szCs w:val="24"/>
        </w:rPr>
        <w:t xml:space="preserve">However, since we are interested in how much the average attributes that characterize a municipality’s horse betting environment and socio-economic composition predict aggregate </w:t>
      </w:r>
      <w:r w:rsidR="00F720F5" w:rsidRPr="0078472B">
        <w:rPr>
          <w:rFonts w:ascii="Times New Roman" w:hAnsi="Times New Roman"/>
          <w:color w:val="000000" w:themeColor="text1"/>
          <w:sz w:val="24"/>
          <w:szCs w:val="24"/>
        </w:rPr>
        <w:lastRenderedPageBreak/>
        <w:t xml:space="preserve">engagement in horse betting on a municipal level, we do not regard this as a major problem. </w:t>
      </w:r>
      <w:r w:rsidRPr="0078472B">
        <w:rPr>
          <w:rFonts w:ascii="Times New Roman" w:hAnsi="Times New Roman"/>
          <w:color w:val="000000" w:themeColor="text1"/>
          <w:sz w:val="24"/>
          <w:szCs w:val="24"/>
        </w:rPr>
        <w:t>Second</w:t>
      </w:r>
      <w:r w:rsidR="00E44F44" w:rsidRPr="0078472B">
        <w:rPr>
          <w:rFonts w:ascii="Times New Roman" w:hAnsi="Times New Roman"/>
          <w:color w:val="000000" w:themeColor="text1"/>
          <w:sz w:val="24"/>
          <w:szCs w:val="24"/>
        </w:rPr>
        <w:t>, our data only include</w:t>
      </w:r>
      <w:r w:rsidR="00E44F44" w:rsidRPr="0078472B">
        <w:rPr>
          <w:rFonts w:ascii="Times New Roman" w:hAnsi="Times New Roman" w:cs="Times New Roman"/>
          <w:color w:val="000000" w:themeColor="text1"/>
          <w:sz w:val="24"/>
          <w:szCs w:val="24"/>
        </w:rPr>
        <w:t xml:space="preserve"> race-level betting types</w:t>
      </w:r>
      <w:r w:rsidRPr="0078472B">
        <w:rPr>
          <w:rFonts w:ascii="Times New Roman" w:hAnsi="Times New Roman" w:cs="Times New Roman"/>
          <w:color w:val="000000" w:themeColor="text1"/>
          <w:sz w:val="24"/>
          <w:szCs w:val="24"/>
        </w:rPr>
        <w:t>, whereas the information on multiple race betting types is missing</w:t>
      </w:r>
      <w:r w:rsidR="00E44F44" w:rsidRPr="0078472B">
        <w:rPr>
          <w:rFonts w:ascii="Times New Roman" w:hAnsi="Times New Roman" w:cs="Times New Roman"/>
          <w:color w:val="000000" w:themeColor="text1"/>
          <w:sz w:val="24"/>
          <w:szCs w:val="24"/>
        </w:rPr>
        <w:t>. This may provide an incomplete</w:t>
      </w:r>
      <w:r w:rsidR="00E44F44" w:rsidRPr="0078472B">
        <w:rPr>
          <w:rFonts w:ascii="Times New Roman" w:hAnsi="Times New Roman"/>
          <w:color w:val="000000" w:themeColor="text1"/>
          <w:sz w:val="24"/>
          <w:szCs w:val="24"/>
        </w:rPr>
        <w:t xml:space="preserve"> picture of the municipality level betting attributes.</w:t>
      </w:r>
      <w:r w:rsidR="00E67010" w:rsidRPr="0078472B">
        <w:rPr>
          <w:color w:val="000000" w:themeColor="text1"/>
        </w:rPr>
        <w:t xml:space="preserve"> </w:t>
      </w:r>
      <w:r w:rsidR="00E67010" w:rsidRPr="0078472B">
        <w:rPr>
          <w:rFonts w:ascii="Times New Roman" w:hAnsi="Times New Roman"/>
          <w:color w:val="000000" w:themeColor="text1"/>
          <w:sz w:val="24"/>
          <w:szCs w:val="24"/>
        </w:rPr>
        <w:t xml:space="preserve">In addition, the missing data may bias the result since those who consider themselves very well informed (perhaps even with insider information) are likely to bet at the individual race level. </w:t>
      </w:r>
      <w:r w:rsidRPr="0078472B">
        <w:rPr>
          <w:rFonts w:ascii="Times New Roman" w:hAnsi="Times New Roman"/>
          <w:color w:val="000000" w:themeColor="text1"/>
          <w:sz w:val="24"/>
          <w:szCs w:val="24"/>
        </w:rPr>
        <w:t xml:space="preserve"> Third, </w:t>
      </w:r>
      <w:r w:rsidRPr="0078472B">
        <w:rPr>
          <w:rFonts w:ascii="Times New Roman" w:hAnsi="Times New Roman" w:cs="Times New Roman"/>
          <w:color w:val="000000" w:themeColor="text1"/>
          <w:sz w:val="24"/>
          <w:szCs w:val="24"/>
        </w:rPr>
        <w:t>although all bettors who bet during the observation period of 30 days are included, the data set is relatively limited in a temporal sense.</w:t>
      </w:r>
      <w:r w:rsidRPr="0078472B">
        <w:rPr>
          <w:rFonts w:ascii="Times New Roman" w:hAnsi="Times New Roman"/>
          <w:color w:val="000000" w:themeColor="text1"/>
          <w:sz w:val="24"/>
          <w:szCs w:val="24"/>
        </w:rPr>
        <w:t xml:space="preserve"> Finally,</w:t>
      </w:r>
      <w:r w:rsidR="006544A0" w:rsidRPr="0078472B">
        <w:rPr>
          <w:rFonts w:ascii="Times New Roman" w:hAnsi="Times New Roman"/>
          <w:color w:val="000000" w:themeColor="text1"/>
          <w:sz w:val="24"/>
          <w:szCs w:val="24"/>
        </w:rPr>
        <w:t xml:space="preserve"> our </w:t>
      </w:r>
      <w:r w:rsidR="00E44F44" w:rsidRPr="0078472B">
        <w:rPr>
          <w:rFonts w:ascii="Times New Roman" w:hAnsi="Times New Roman"/>
          <w:color w:val="000000" w:themeColor="text1"/>
          <w:sz w:val="24"/>
          <w:szCs w:val="24"/>
        </w:rPr>
        <w:t>study</w:t>
      </w:r>
      <w:r w:rsidR="006544A0" w:rsidRPr="0078472B">
        <w:rPr>
          <w:rFonts w:ascii="Times New Roman" w:hAnsi="Times New Roman"/>
          <w:color w:val="000000" w:themeColor="text1"/>
          <w:sz w:val="24"/>
          <w:szCs w:val="24"/>
        </w:rPr>
        <w:t xml:space="preserve"> concerned Finland</w:t>
      </w:r>
      <w:r w:rsidR="00E44F44" w:rsidRPr="0078472B">
        <w:rPr>
          <w:rFonts w:ascii="Times New Roman" w:hAnsi="Times New Roman"/>
          <w:color w:val="000000" w:themeColor="text1"/>
          <w:sz w:val="24"/>
          <w:szCs w:val="24"/>
        </w:rPr>
        <w:t>, and thus,</w:t>
      </w:r>
      <w:r w:rsidR="006544A0" w:rsidRPr="0078472B">
        <w:rPr>
          <w:rFonts w:ascii="Times New Roman" w:hAnsi="Times New Roman"/>
          <w:color w:val="000000" w:themeColor="text1"/>
          <w:sz w:val="24"/>
          <w:szCs w:val="24"/>
        </w:rPr>
        <w:t xml:space="preserve"> the results may not be generalizab</w:t>
      </w:r>
      <w:r w:rsidR="00E44F44" w:rsidRPr="0078472B">
        <w:rPr>
          <w:rFonts w:ascii="Times New Roman" w:hAnsi="Times New Roman"/>
          <w:color w:val="000000" w:themeColor="text1"/>
          <w:sz w:val="24"/>
          <w:szCs w:val="24"/>
        </w:rPr>
        <w:t>le</w:t>
      </w:r>
      <w:r w:rsidR="006544A0" w:rsidRPr="0078472B">
        <w:rPr>
          <w:rFonts w:ascii="Times New Roman" w:hAnsi="Times New Roman"/>
          <w:color w:val="000000" w:themeColor="text1"/>
          <w:sz w:val="24"/>
          <w:szCs w:val="24"/>
        </w:rPr>
        <w:t xml:space="preserve">. </w:t>
      </w:r>
      <w:r w:rsidR="00E44F44" w:rsidRPr="0078472B">
        <w:rPr>
          <w:rFonts w:ascii="Times New Roman" w:hAnsi="Times New Roman" w:cs="Times New Roman"/>
          <w:color w:val="000000" w:themeColor="text1"/>
          <w:sz w:val="24"/>
          <w:szCs w:val="24"/>
        </w:rPr>
        <w:t xml:space="preserve">Therefore, the results of our study should be interpreted </w:t>
      </w:r>
      <w:r w:rsidR="008971E9" w:rsidRPr="0078472B">
        <w:rPr>
          <w:rFonts w:ascii="Times New Roman" w:hAnsi="Times New Roman" w:cs="Times New Roman"/>
          <w:color w:val="000000" w:themeColor="text1"/>
          <w:sz w:val="24"/>
          <w:szCs w:val="24"/>
        </w:rPr>
        <w:t>with</w:t>
      </w:r>
      <w:r w:rsidR="008863AF" w:rsidRPr="0078472B">
        <w:rPr>
          <w:rFonts w:ascii="Times New Roman" w:hAnsi="Times New Roman" w:cs="Times New Roman"/>
          <w:color w:val="000000" w:themeColor="text1"/>
          <w:sz w:val="24"/>
          <w:szCs w:val="24"/>
        </w:rPr>
        <w:t xml:space="preserve"> </w:t>
      </w:r>
      <w:r w:rsidR="00E44F44" w:rsidRPr="0078472B">
        <w:rPr>
          <w:rFonts w:ascii="Times New Roman" w:hAnsi="Times New Roman" w:cs="Times New Roman"/>
          <w:color w:val="000000" w:themeColor="text1"/>
          <w:sz w:val="24"/>
          <w:szCs w:val="24"/>
        </w:rPr>
        <w:t>caution.</w:t>
      </w:r>
    </w:p>
    <w:p w14:paraId="65E2C0F8" w14:textId="77777777" w:rsidR="00904C3B" w:rsidRPr="0078472B" w:rsidRDefault="00904C3B" w:rsidP="00A540E5">
      <w:pPr>
        <w:spacing w:after="0" w:line="480" w:lineRule="auto"/>
        <w:jc w:val="both"/>
        <w:rPr>
          <w:rFonts w:ascii="Times New Roman" w:hAnsi="Times New Roman" w:cs="Times New Roman"/>
          <w:color w:val="000000" w:themeColor="text1"/>
          <w:sz w:val="24"/>
          <w:szCs w:val="24"/>
        </w:rPr>
      </w:pPr>
    </w:p>
    <w:p w14:paraId="4711D82A" w14:textId="71ED0AFE" w:rsidR="00904C3B" w:rsidRPr="0078472B" w:rsidRDefault="00E44F44"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This study opens up several avenues for future research. Using individual-level data on consumers’</w:t>
      </w:r>
      <w:r w:rsidR="00904C3B"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socio-demographic characteristics from official databases</w:t>
      </w:r>
      <w:r w:rsidR="00A87F1D"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would improve our understanding of how they are associated with gambling activity. Another way would be to collect data with</w:t>
      </w:r>
      <w:r w:rsidR="00B31AC6" w:rsidRPr="0078472B">
        <w:rPr>
          <w:rFonts w:ascii="Times New Roman" w:hAnsi="Times New Roman" w:cs="Times New Roman"/>
          <w:color w:val="000000" w:themeColor="text1"/>
          <w:sz w:val="24"/>
          <w:szCs w:val="24"/>
        </w:rPr>
        <w:t xml:space="preserve"> a</w:t>
      </w:r>
      <w:r w:rsidR="00904C3B" w:rsidRPr="0078472B">
        <w:rPr>
          <w:rFonts w:ascii="Times New Roman" w:hAnsi="Times New Roman" w:cs="Times New Roman"/>
          <w:color w:val="000000" w:themeColor="text1"/>
          <w:sz w:val="24"/>
          <w:szCs w:val="24"/>
        </w:rPr>
        <w:t xml:space="preserve"> survey questionnaire</w:t>
      </w:r>
      <w:r w:rsidR="00B31AC6"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 xml:space="preserve">and combine them with actual betting records and/or official statistics to provide a more complete </w:t>
      </w:r>
      <w:r w:rsidR="00520A4E" w:rsidRPr="0078472B">
        <w:rPr>
          <w:rFonts w:ascii="Times New Roman" w:hAnsi="Times New Roman" w:cs="Times New Roman"/>
          <w:color w:val="000000" w:themeColor="text1"/>
          <w:sz w:val="24"/>
          <w:szCs w:val="24"/>
        </w:rPr>
        <w:t>picture on consumers’ gambling activity</w:t>
      </w:r>
      <w:r w:rsidR="00B31AC6" w:rsidRPr="0078472B">
        <w:rPr>
          <w:rFonts w:ascii="Times New Roman" w:hAnsi="Times New Roman" w:cs="Times New Roman"/>
          <w:color w:val="000000" w:themeColor="text1"/>
          <w:sz w:val="24"/>
          <w:szCs w:val="24"/>
        </w:rPr>
        <w:t xml:space="preserve">. </w:t>
      </w:r>
      <w:r w:rsidR="00520A4E" w:rsidRPr="0078472B">
        <w:rPr>
          <w:rFonts w:ascii="Times New Roman" w:hAnsi="Times New Roman" w:cs="Times New Roman"/>
          <w:color w:val="000000" w:themeColor="text1"/>
          <w:sz w:val="24"/>
          <w:szCs w:val="24"/>
        </w:rPr>
        <w:t xml:space="preserve">Future studies could also investigate how </w:t>
      </w:r>
      <w:r w:rsidR="00B85D89" w:rsidRPr="0078472B">
        <w:rPr>
          <w:rFonts w:ascii="Times New Roman" w:hAnsi="Times New Roman" w:cs="Times New Roman"/>
          <w:color w:val="000000" w:themeColor="text1"/>
          <w:sz w:val="24"/>
          <w:szCs w:val="24"/>
        </w:rPr>
        <w:t xml:space="preserve">consumers’ </w:t>
      </w:r>
      <w:r w:rsidR="00520A4E" w:rsidRPr="0078472B">
        <w:rPr>
          <w:rFonts w:ascii="Times New Roman" w:hAnsi="Times New Roman" w:cs="Times New Roman"/>
          <w:color w:val="000000" w:themeColor="text1"/>
          <w:sz w:val="24"/>
          <w:szCs w:val="24"/>
        </w:rPr>
        <w:t xml:space="preserve">actual risk taking in gambling is related to their socio-demographic characteristics and other environmental factors. </w:t>
      </w:r>
    </w:p>
    <w:p w14:paraId="15B84487" w14:textId="1C274D3D" w:rsidR="000B407D" w:rsidRDefault="000B407D" w:rsidP="00A540E5">
      <w:pPr>
        <w:spacing w:after="0" w:line="480" w:lineRule="auto"/>
        <w:jc w:val="both"/>
        <w:rPr>
          <w:rFonts w:ascii="Times New Roman" w:hAnsi="Times New Roman" w:cs="Times New Roman"/>
          <w:color w:val="000000" w:themeColor="text1"/>
          <w:sz w:val="24"/>
          <w:szCs w:val="24"/>
        </w:rPr>
      </w:pPr>
    </w:p>
    <w:p w14:paraId="2ACAE7DE" w14:textId="452DE6CC" w:rsidR="00C94810" w:rsidRDefault="00C94810" w:rsidP="00A540E5">
      <w:pPr>
        <w:spacing w:after="0" w:line="480" w:lineRule="auto"/>
        <w:jc w:val="both"/>
        <w:rPr>
          <w:rFonts w:ascii="Times New Roman" w:hAnsi="Times New Roman" w:cs="Times New Roman"/>
          <w:color w:val="000000" w:themeColor="text1"/>
          <w:sz w:val="24"/>
          <w:szCs w:val="24"/>
        </w:rPr>
      </w:pPr>
    </w:p>
    <w:p w14:paraId="0CFBEDF7" w14:textId="77777777" w:rsidR="00C94810" w:rsidRPr="0078472B" w:rsidRDefault="00C94810" w:rsidP="00A540E5">
      <w:pPr>
        <w:spacing w:after="0" w:line="480" w:lineRule="auto"/>
        <w:jc w:val="both"/>
        <w:rPr>
          <w:rFonts w:ascii="Times New Roman" w:hAnsi="Times New Roman" w:cs="Times New Roman"/>
          <w:color w:val="000000" w:themeColor="text1"/>
          <w:sz w:val="24"/>
          <w:szCs w:val="24"/>
        </w:rPr>
      </w:pPr>
    </w:p>
    <w:p w14:paraId="69038501" w14:textId="0FED6A17" w:rsidR="00904C3B" w:rsidRPr="0078472B" w:rsidRDefault="00C74E6B" w:rsidP="00C74E6B">
      <w:pPr>
        <w:pStyle w:val="FootnoteText"/>
        <w:spacing w:line="480" w:lineRule="auto"/>
        <w:jc w:val="center"/>
        <w:rPr>
          <w:rFonts w:ascii="Times New Roman" w:hAnsi="Times New Roman"/>
          <w:b/>
          <w:color w:val="000000" w:themeColor="text1"/>
          <w:sz w:val="24"/>
          <w:szCs w:val="24"/>
        </w:rPr>
      </w:pPr>
      <w:r w:rsidRPr="0078472B">
        <w:rPr>
          <w:rFonts w:ascii="Times New Roman" w:hAnsi="Times New Roman"/>
          <w:b/>
          <w:color w:val="000000" w:themeColor="text1"/>
          <w:sz w:val="24"/>
          <w:szCs w:val="24"/>
        </w:rPr>
        <w:lastRenderedPageBreak/>
        <w:t>CONCLUDING REMARKS</w:t>
      </w:r>
    </w:p>
    <w:p w14:paraId="2FFC720A" w14:textId="76234942" w:rsidR="00807C74" w:rsidRPr="0078472B" w:rsidRDefault="00807C74" w:rsidP="00A540E5">
      <w:pPr>
        <w:spacing w:after="0" w:line="480" w:lineRule="auto"/>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 xml:space="preserve">In this study, we examined </w:t>
      </w:r>
      <w:r w:rsidR="00B04216" w:rsidRPr="0078472B">
        <w:rPr>
          <w:rFonts w:ascii="Times New Roman" w:hAnsi="Times New Roman" w:cs="Times New Roman"/>
          <w:color w:val="000000" w:themeColor="text1"/>
          <w:sz w:val="24"/>
          <w:szCs w:val="24"/>
        </w:rPr>
        <w:t xml:space="preserve">how </w:t>
      </w:r>
      <w:r w:rsidR="0099512D" w:rsidRPr="0078472B">
        <w:rPr>
          <w:rFonts w:ascii="Times New Roman" w:hAnsi="Times New Roman" w:cs="Times New Roman"/>
          <w:color w:val="000000" w:themeColor="text1"/>
          <w:sz w:val="24"/>
          <w:szCs w:val="24"/>
        </w:rPr>
        <w:t xml:space="preserve">elements of the off-track betting environment and </w:t>
      </w:r>
      <w:r w:rsidR="00506317" w:rsidRPr="0078472B">
        <w:rPr>
          <w:rFonts w:ascii="Times New Roman" w:hAnsi="Times New Roman" w:cs="Times New Roman"/>
          <w:color w:val="000000" w:themeColor="text1"/>
          <w:sz w:val="24"/>
          <w:szCs w:val="24"/>
        </w:rPr>
        <w:t>equine</w:t>
      </w:r>
      <w:r w:rsidR="0099512D" w:rsidRPr="0078472B">
        <w:rPr>
          <w:rFonts w:ascii="Times New Roman" w:hAnsi="Times New Roman" w:cs="Times New Roman"/>
          <w:color w:val="000000" w:themeColor="text1"/>
          <w:sz w:val="24"/>
          <w:szCs w:val="24"/>
        </w:rPr>
        <w:t xml:space="preserve"> </w:t>
      </w:r>
      <w:r w:rsidR="009A440A" w:rsidRPr="0078472B">
        <w:rPr>
          <w:rFonts w:ascii="Times New Roman" w:hAnsi="Times New Roman" w:cs="Times New Roman"/>
          <w:color w:val="000000" w:themeColor="text1"/>
          <w:sz w:val="24"/>
          <w:szCs w:val="24"/>
        </w:rPr>
        <w:t>interest</w:t>
      </w:r>
      <w:r w:rsidR="0099512D" w:rsidRPr="0078472B">
        <w:rPr>
          <w:rFonts w:ascii="Times New Roman" w:hAnsi="Times New Roman" w:cs="Times New Roman"/>
          <w:color w:val="000000" w:themeColor="text1"/>
          <w:sz w:val="24"/>
          <w:szCs w:val="24"/>
        </w:rPr>
        <w:t xml:space="preserve"> are related to </w:t>
      </w:r>
      <w:r w:rsidR="00B04216" w:rsidRPr="0078472B">
        <w:rPr>
          <w:rFonts w:ascii="Times New Roman" w:hAnsi="Times New Roman" w:cs="Times New Roman"/>
          <w:color w:val="000000" w:themeColor="text1"/>
          <w:sz w:val="24"/>
          <w:szCs w:val="24"/>
        </w:rPr>
        <w:t xml:space="preserve">online </w:t>
      </w:r>
      <w:r w:rsidRPr="0078472B">
        <w:rPr>
          <w:rFonts w:ascii="Times New Roman" w:hAnsi="Times New Roman" w:cs="Times New Roman"/>
          <w:color w:val="000000" w:themeColor="text1"/>
          <w:sz w:val="24"/>
          <w:szCs w:val="24"/>
        </w:rPr>
        <w:t>horse race bet</w:t>
      </w:r>
      <w:r w:rsidR="0099512D" w:rsidRPr="0078472B">
        <w:rPr>
          <w:rFonts w:ascii="Times New Roman" w:hAnsi="Times New Roman" w:cs="Times New Roman"/>
          <w:color w:val="000000" w:themeColor="text1"/>
          <w:sz w:val="24"/>
          <w:szCs w:val="24"/>
        </w:rPr>
        <w:t xml:space="preserve">ting </w:t>
      </w:r>
      <w:r w:rsidR="004D381E" w:rsidRPr="0078472B">
        <w:rPr>
          <w:rFonts w:ascii="Times New Roman" w:hAnsi="Times New Roman" w:cs="Times New Roman"/>
          <w:color w:val="000000" w:themeColor="text1"/>
          <w:sz w:val="24"/>
          <w:szCs w:val="24"/>
        </w:rPr>
        <w:t>engagement</w:t>
      </w:r>
      <w:r w:rsidR="0099512D" w:rsidRPr="0078472B">
        <w:rPr>
          <w:rFonts w:ascii="Times New Roman" w:hAnsi="Times New Roman" w:cs="Times New Roman"/>
          <w:color w:val="000000" w:themeColor="text1"/>
          <w:sz w:val="24"/>
          <w:szCs w:val="24"/>
        </w:rPr>
        <w:t xml:space="preserve"> at the municipal</w:t>
      </w:r>
      <w:r w:rsidRPr="0078472B">
        <w:rPr>
          <w:rFonts w:ascii="Times New Roman" w:hAnsi="Times New Roman" w:cs="Times New Roman"/>
          <w:color w:val="000000" w:themeColor="text1"/>
          <w:sz w:val="24"/>
          <w:szCs w:val="24"/>
        </w:rPr>
        <w:t xml:space="preserve"> level. </w:t>
      </w:r>
      <w:r w:rsidR="00506317" w:rsidRPr="0078472B">
        <w:rPr>
          <w:rFonts w:ascii="Times New Roman" w:hAnsi="Times New Roman" w:cs="Times New Roman"/>
          <w:color w:val="000000" w:themeColor="text1"/>
          <w:sz w:val="24"/>
          <w:szCs w:val="24"/>
        </w:rPr>
        <w:t xml:space="preserve">We also controlled for socio-economic background factors associated with online gambling participation. </w:t>
      </w:r>
      <w:r w:rsidR="003472D8" w:rsidRPr="0078472B">
        <w:rPr>
          <w:rFonts w:ascii="Times New Roman" w:hAnsi="Times New Roman" w:cs="Times New Roman"/>
          <w:color w:val="000000" w:themeColor="text1"/>
          <w:sz w:val="24"/>
          <w:szCs w:val="24"/>
        </w:rPr>
        <w:t xml:space="preserve">To do this, we combined data from individual level online bets on harness horse racing, municipality-level socio-demographic data from the official national statistics database and horse race betting environment data from the horse race betting monopoly operator. </w:t>
      </w:r>
      <w:r w:rsidRPr="0078472B">
        <w:rPr>
          <w:rFonts w:ascii="Times New Roman" w:hAnsi="Times New Roman" w:cs="Times New Roman"/>
          <w:color w:val="000000" w:themeColor="text1"/>
          <w:sz w:val="24"/>
          <w:szCs w:val="24"/>
        </w:rPr>
        <w:t>The advantage of th</w:t>
      </w:r>
      <w:r w:rsidR="00B35797" w:rsidRPr="0078472B">
        <w:rPr>
          <w:rFonts w:ascii="Times New Roman" w:hAnsi="Times New Roman" w:cs="Times New Roman"/>
          <w:color w:val="000000" w:themeColor="text1"/>
          <w:sz w:val="24"/>
          <w:szCs w:val="24"/>
        </w:rPr>
        <w:t>is</w:t>
      </w:r>
      <w:r w:rsidRPr="0078472B">
        <w:rPr>
          <w:rFonts w:ascii="Times New Roman" w:hAnsi="Times New Roman" w:cs="Times New Roman"/>
          <w:color w:val="000000" w:themeColor="text1"/>
          <w:sz w:val="24"/>
          <w:szCs w:val="24"/>
        </w:rPr>
        <w:t xml:space="preserve"> </w:t>
      </w:r>
      <w:r w:rsidR="0012516B" w:rsidRPr="0078472B">
        <w:rPr>
          <w:rFonts w:ascii="Times New Roman" w:hAnsi="Times New Roman" w:cs="Times New Roman"/>
          <w:color w:val="000000" w:themeColor="text1"/>
          <w:sz w:val="24"/>
          <w:szCs w:val="24"/>
        </w:rPr>
        <w:t>data set</w:t>
      </w:r>
      <w:r w:rsidR="00B35797" w:rsidRPr="0078472B">
        <w:rPr>
          <w:rFonts w:ascii="Times New Roman" w:hAnsi="Times New Roman" w:cs="Times New Roman"/>
          <w:color w:val="000000" w:themeColor="text1"/>
          <w:sz w:val="24"/>
          <w:szCs w:val="24"/>
        </w:rPr>
        <w:t xml:space="preserve"> i</w:t>
      </w:r>
      <w:r w:rsidRPr="0078472B">
        <w:rPr>
          <w:rFonts w:ascii="Times New Roman" w:hAnsi="Times New Roman" w:cs="Times New Roman"/>
          <w:color w:val="000000" w:themeColor="text1"/>
          <w:sz w:val="24"/>
          <w:szCs w:val="24"/>
        </w:rPr>
        <w:t>s that</w:t>
      </w:r>
      <w:r w:rsidR="00B35797" w:rsidRPr="0078472B">
        <w:rPr>
          <w:rFonts w:ascii="Times New Roman" w:hAnsi="Times New Roman" w:cs="Times New Roman"/>
          <w:color w:val="000000" w:themeColor="text1"/>
          <w:sz w:val="24"/>
          <w:szCs w:val="24"/>
        </w:rPr>
        <w:t xml:space="preserve"> statistical modelling does not rely on self-reported data</w:t>
      </w:r>
      <w:r w:rsidRPr="0078472B">
        <w:rPr>
          <w:rFonts w:ascii="Times New Roman" w:hAnsi="Times New Roman" w:cs="Times New Roman"/>
          <w:color w:val="000000" w:themeColor="text1"/>
          <w:sz w:val="24"/>
          <w:szCs w:val="24"/>
        </w:rPr>
        <w:t xml:space="preserve"> </w:t>
      </w:r>
      <w:r w:rsidR="00B35797" w:rsidRPr="0078472B">
        <w:rPr>
          <w:rFonts w:ascii="Times New Roman" w:hAnsi="Times New Roman" w:cs="Times New Roman"/>
          <w:color w:val="000000" w:themeColor="text1"/>
          <w:sz w:val="24"/>
          <w:szCs w:val="24"/>
        </w:rPr>
        <w:t>which</w:t>
      </w:r>
      <w:r w:rsidRPr="0078472B">
        <w:rPr>
          <w:rFonts w:ascii="Times New Roman" w:hAnsi="Times New Roman" w:cs="Times New Roman"/>
          <w:color w:val="000000" w:themeColor="text1"/>
          <w:sz w:val="24"/>
          <w:szCs w:val="24"/>
        </w:rPr>
        <w:t xml:space="preserve"> </w:t>
      </w:r>
      <w:r w:rsidR="00E37E2A" w:rsidRPr="0078472B">
        <w:rPr>
          <w:rFonts w:ascii="Times New Roman" w:hAnsi="Times New Roman" w:cs="Times New Roman"/>
          <w:color w:val="000000" w:themeColor="text1"/>
          <w:sz w:val="24"/>
          <w:szCs w:val="24"/>
        </w:rPr>
        <w:t xml:space="preserve">has </w:t>
      </w:r>
      <w:r w:rsidRPr="0078472B">
        <w:rPr>
          <w:rFonts w:ascii="Times New Roman" w:hAnsi="Times New Roman" w:cs="Times New Roman"/>
          <w:color w:val="000000" w:themeColor="text1"/>
          <w:sz w:val="24"/>
          <w:szCs w:val="24"/>
        </w:rPr>
        <w:t xml:space="preserve">often </w:t>
      </w:r>
      <w:r w:rsidR="00E37E2A" w:rsidRPr="0078472B">
        <w:rPr>
          <w:rFonts w:ascii="Times New Roman" w:hAnsi="Times New Roman" w:cs="Times New Roman"/>
          <w:color w:val="000000" w:themeColor="text1"/>
          <w:sz w:val="24"/>
          <w:szCs w:val="24"/>
        </w:rPr>
        <w:t xml:space="preserve">had to be </w:t>
      </w:r>
      <w:r w:rsidRPr="0078472B">
        <w:rPr>
          <w:rFonts w:ascii="Times New Roman" w:hAnsi="Times New Roman" w:cs="Times New Roman"/>
          <w:color w:val="000000" w:themeColor="text1"/>
          <w:sz w:val="24"/>
          <w:szCs w:val="24"/>
        </w:rPr>
        <w:t xml:space="preserve">used in </w:t>
      </w:r>
      <w:r w:rsidR="00B35797" w:rsidRPr="0078472B">
        <w:rPr>
          <w:rFonts w:ascii="Times New Roman" w:hAnsi="Times New Roman" w:cs="Times New Roman"/>
          <w:color w:val="000000" w:themeColor="text1"/>
          <w:sz w:val="24"/>
          <w:szCs w:val="24"/>
        </w:rPr>
        <w:t>previous</w:t>
      </w:r>
      <w:r w:rsidRPr="0078472B">
        <w:rPr>
          <w:rFonts w:ascii="Times New Roman" w:hAnsi="Times New Roman" w:cs="Times New Roman"/>
          <w:color w:val="000000" w:themeColor="text1"/>
          <w:sz w:val="24"/>
          <w:szCs w:val="24"/>
        </w:rPr>
        <w:t xml:space="preserve"> studies.</w:t>
      </w:r>
    </w:p>
    <w:p w14:paraId="295F5AD7" w14:textId="77777777" w:rsidR="009B0403" w:rsidRPr="0078472B" w:rsidRDefault="009B0403" w:rsidP="00A540E5">
      <w:pPr>
        <w:spacing w:after="0" w:line="480" w:lineRule="auto"/>
        <w:jc w:val="both"/>
        <w:rPr>
          <w:rFonts w:ascii="Times New Roman" w:hAnsi="Times New Roman" w:cs="Times New Roman"/>
          <w:color w:val="000000" w:themeColor="text1"/>
          <w:sz w:val="24"/>
          <w:szCs w:val="24"/>
        </w:rPr>
      </w:pPr>
    </w:p>
    <w:p w14:paraId="6BFE6E01" w14:textId="702F6952" w:rsidR="00904C3B" w:rsidRPr="0078472B" w:rsidRDefault="00904C3B" w:rsidP="00A540E5">
      <w:pPr>
        <w:spacing w:after="0" w:line="480" w:lineRule="auto"/>
        <w:jc w:val="both"/>
        <w:rPr>
          <w:rFonts w:ascii="Times New Roman" w:hAnsi="Times New Roman"/>
          <w:color w:val="000000" w:themeColor="text1"/>
          <w:sz w:val="24"/>
          <w:szCs w:val="24"/>
        </w:rPr>
      </w:pPr>
      <w:r w:rsidRPr="0078472B">
        <w:rPr>
          <w:rFonts w:ascii="Times New Roman" w:eastAsia="Times New Roman" w:hAnsi="Times New Roman" w:cs="Times New Roman"/>
          <w:color w:val="000000" w:themeColor="text1"/>
          <w:sz w:val="24"/>
          <w:szCs w:val="24"/>
        </w:rPr>
        <w:t>To summari</w:t>
      </w:r>
      <w:r w:rsidR="002B0C9F" w:rsidRPr="0078472B">
        <w:rPr>
          <w:rFonts w:ascii="Times New Roman" w:eastAsia="Times New Roman" w:hAnsi="Times New Roman" w:cs="Times New Roman"/>
          <w:color w:val="000000" w:themeColor="text1"/>
          <w:sz w:val="24"/>
          <w:szCs w:val="24"/>
        </w:rPr>
        <w:t>s</w:t>
      </w:r>
      <w:r w:rsidRPr="0078472B">
        <w:rPr>
          <w:rFonts w:ascii="Times New Roman" w:eastAsia="Times New Roman" w:hAnsi="Times New Roman" w:cs="Times New Roman"/>
          <w:color w:val="000000" w:themeColor="text1"/>
          <w:sz w:val="24"/>
          <w:szCs w:val="24"/>
        </w:rPr>
        <w:t xml:space="preserve">e our </w:t>
      </w:r>
      <w:r w:rsidR="004B0135" w:rsidRPr="0078472B">
        <w:rPr>
          <w:rFonts w:ascii="Times New Roman" w:eastAsia="Times New Roman" w:hAnsi="Times New Roman" w:cs="Times New Roman"/>
          <w:color w:val="000000" w:themeColor="text1"/>
          <w:sz w:val="24"/>
          <w:szCs w:val="24"/>
        </w:rPr>
        <w:t>findings</w:t>
      </w:r>
      <w:r w:rsidRPr="0078472B">
        <w:rPr>
          <w:rFonts w:ascii="Times New Roman" w:eastAsia="Times New Roman" w:hAnsi="Times New Roman" w:cs="Times New Roman"/>
          <w:color w:val="000000" w:themeColor="text1"/>
          <w:sz w:val="24"/>
          <w:szCs w:val="24"/>
        </w:rPr>
        <w:t>, we can ma</w:t>
      </w:r>
      <w:r w:rsidR="004B0135" w:rsidRPr="0078472B">
        <w:rPr>
          <w:rFonts w:ascii="Times New Roman" w:eastAsia="Times New Roman" w:hAnsi="Times New Roman" w:cs="Times New Roman"/>
          <w:color w:val="000000" w:themeColor="text1"/>
          <w:sz w:val="24"/>
          <w:szCs w:val="24"/>
        </w:rPr>
        <w:t>ke two concluding remarks.</w:t>
      </w:r>
      <w:r w:rsidR="004B0135" w:rsidRPr="0078472B">
        <w:rPr>
          <w:rFonts w:ascii="Times New Roman" w:hAnsi="Times New Roman"/>
          <w:color w:val="000000" w:themeColor="text1"/>
          <w:sz w:val="24"/>
          <w:szCs w:val="24"/>
        </w:rPr>
        <w:t xml:space="preserve"> </w:t>
      </w:r>
      <w:r w:rsidR="00042FB2" w:rsidRPr="0078472B">
        <w:rPr>
          <w:rFonts w:ascii="Times New Roman" w:hAnsi="Times New Roman"/>
          <w:color w:val="000000" w:themeColor="text1"/>
          <w:sz w:val="24"/>
          <w:szCs w:val="24"/>
        </w:rPr>
        <w:t>First, o</w:t>
      </w:r>
      <w:r w:rsidR="00042FB2" w:rsidRPr="0078472B">
        <w:rPr>
          <w:rFonts w:ascii="Times New Roman" w:hAnsi="Times New Roman" w:cs="Times New Roman"/>
          <w:color w:val="000000" w:themeColor="text1"/>
          <w:sz w:val="24"/>
          <w:szCs w:val="24"/>
        </w:rPr>
        <w:t>u</w:t>
      </w:r>
      <w:r w:rsidR="0022787E" w:rsidRPr="0078472B">
        <w:rPr>
          <w:rFonts w:ascii="Times New Roman" w:hAnsi="Times New Roman" w:cs="Times New Roman"/>
          <w:color w:val="000000" w:themeColor="text1"/>
          <w:sz w:val="24"/>
          <w:szCs w:val="24"/>
        </w:rPr>
        <w:t>r result</w:t>
      </w:r>
      <w:r w:rsidR="00042FB2" w:rsidRPr="0078472B">
        <w:rPr>
          <w:rFonts w:ascii="Times New Roman" w:hAnsi="Times New Roman" w:cs="Times New Roman"/>
          <w:color w:val="000000" w:themeColor="text1"/>
          <w:sz w:val="24"/>
          <w:szCs w:val="24"/>
        </w:rPr>
        <w:t>s suggest that the off-track betting environment in a municipality appears to be</w:t>
      </w:r>
      <w:r w:rsidR="00E37E2A" w:rsidRPr="0078472B">
        <w:rPr>
          <w:rFonts w:ascii="Times New Roman" w:hAnsi="Times New Roman" w:cs="Times New Roman"/>
          <w:color w:val="000000" w:themeColor="text1"/>
          <w:sz w:val="24"/>
          <w:szCs w:val="24"/>
        </w:rPr>
        <w:t xml:space="preserve"> an </w:t>
      </w:r>
      <w:r w:rsidR="00042FB2" w:rsidRPr="0078472B">
        <w:rPr>
          <w:rFonts w:ascii="Times New Roman" w:hAnsi="Times New Roman" w:cs="Times New Roman"/>
          <w:color w:val="000000" w:themeColor="text1"/>
          <w:sz w:val="24"/>
          <w:szCs w:val="24"/>
        </w:rPr>
        <w:t xml:space="preserve">important predictor of online betting </w:t>
      </w:r>
      <w:r w:rsidR="004D381E" w:rsidRPr="0078472B">
        <w:rPr>
          <w:rFonts w:ascii="Times New Roman" w:hAnsi="Times New Roman" w:cs="Times New Roman"/>
          <w:color w:val="000000" w:themeColor="text1"/>
          <w:sz w:val="24"/>
          <w:szCs w:val="24"/>
        </w:rPr>
        <w:t>engagement</w:t>
      </w:r>
      <w:r w:rsidR="00042FB2" w:rsidRPr="0078472B">
        <w:rPr>
          <w:rFonts w:ascii="Times New Roman" w:hAnsi="Times New Roman" w:cs="Times New Roman"/>
          <w:color w:val="000000" w:themeColor="text1"/>
          <w:sz w:val="24"/>
          <w:szCs w:val="24"/>
        </w:rPr>
        <w:t xml:space="preserve">. </w:t>
      </w:r>
      <w:r w:rsidR="0022787E" w:rsidRPr="0078472B">
        <w:rPr>
          <w:rFonts w:ascii="Times New Roman" w:hAnsi="Times New Roman" w:cs="Times New Roman"/>
          <w:color w:val="000000" w:themeColor="text1"/>
          <w:sz w:val="24"/>
          <w:szCs w:val="24"/>
        </w:rPr>
        <w:t>Indeed</w:t>
      </w:r>
      <w:r w:rsidR="0022787E" w:rsidRPr="0078472B">
        <w:rPr>
          <w:rFonts w:ascii="Times New Roman" w:hAnsi="Times New Roman"/>
          <w:color w:val="000000" w:themeColor="text1"/>
          <w:sz w:val="24"/>
          <w:szCs w:val="24"/>
        </w:rPr>
        <w:t xml:space="preserve">, </w:t>
      </w:r>
      <w:r w:rsidR="004B0135" w:rsidRPr="0078472B">
        <w:rPr>
          <w:rFonts w:ascii="Times New Roman" w:hAnsi="Times New Roman"/>
          <w:color w:val="000000" w:themeColor="text1"/>
          <w:sz w:val="24"/>
          <w:szCs w:val="24"/>
        </w:rPr>
        <w:t>online betting has gradually become the dominant platform for horse race betting</w:t>
      </w:r>
      <w:r w:rsidRPr="0078472B">
        <w:rPr>
          <w:rFonts w:ascii="Times New Roman" w:hAnsi="Times New Roman"/>
          <w:color w:val="000000" w:themeColor="text1"/>
          <w:sz w:val="24"/>
          <w:szCs w:val="24"/>
        </w:rPr>
        <w:t>,</w:t>
      </w:r>
      <w:r w:rsidR="0022787E" w:rsidRPr="0078472B">
        <w:rPr>
          <w:rFonts w:ascii="Times New Roman" w:hAnsi="Times New Roman"/>
          <w:color w:val="000000" w:themeColor="text1"/>
          <w:sz w:val="24"/>
          <w:szCs w:val="24"/>
        </w:rPr>
        <w:t xml:space="preserve"> which may have changed consumers’ gambling habits:</w:t>
      </w:r>
      <w:r w:rsidRPr="0078472B">
        <w:rPr>
          <w:rFonts w:ascii="Times New Roman" w:hAnsi="Times New Roman"/>
          <w:color w:val="000000" w:themeColor="text1"/>
          <w:sz w:val="24"/>
          <w:szCs w:val="24"/>
        </w:rPr>
        <w:t xml:space="preserve"> </w:t>
      </w:r>
      <w:r w:rsidR="00E37E2A" w:rsidRPr="0078472B">
        <w:rPr>
          <w:rFonts w:ascii="Times New Roman" w:hAnsi="Times New Roman"/>
          <w:color w:val="000000" w:themeColor="text1"/>
          <w:sz w:val="24"/>
          <w:szCs w:val="24"/>
        </w:rPr>
        <w:t>many</w:t>
      </w:r>
      <w:r w:rsidR="0022787E" w:rsidRPr="0078472B">
        <w:rPr>
          <w:rFonts w:ascii="Times New Roman" w:hAnsi="Times New Roman"/>
          <w:color w:val="000000" w:themeColor="text1"/>
          <w:sz w:val="24"/>
          <w:szCs w:val="24"/>
        </w:rPr>
        <w:t xml:space="preserve"> </w:t>
      </w:r>
      <w:r w:rsidRPr="0078472B">
        <w:rPr>
          <w:rFonts w:ascii="Times New Roman" w:hAnsi="Times New Roman"/>
          <w:color w:val="000000" w:themeColor="text1"/>
          <w:sz w:val="24"/>
          <w:szCs w:val="24"/>
        </w:rPr>
        <w:t xml:space="preserve">consumers who </w:t>
      </w:r>
      <w:r w:rsidR="0022787E" w:rsidRPr="0078472B">
        <w:rPr>
          <w:rFonts w:ascii="Times New Roman" w:hAnsi="Times New Roman"/>
          <w:color w:val="000000" w:themeColor="text1"/>
          <w:sz w:val="24"/>
          <w:szCs w:val="24"/>
        </w:rPr>
        <w:t xml:space="preserve">used to </w:t>
      </w:r>
      <w:r w:rsidR="004B0135" w:rsidRPr="0078472B">
        <w:rPr>
          <w:rFonts w:ascii="Times New Roman" w:hAnsi="Times New Roman"/>
          <w:color w:val="000000" w:themeColor="text1"/>
          <w:sz w:val="24"/>
          <w:szCs w:val="24"/>
        </w:rPr>
        <w:t xml:space="preserve">wager </w:t>
      </w:r>
      <w:r w:rsidR="0022787E" w:rsidRPr="0078472B">
        <w:rPr>
          <w:rFonts w:ascii="Times New Roman" w:hAnsi="Times New Roman"/>
          <w:color w:val="000000" w:themeColor="text1"/>
          <w:sz w:val="24"/>
          <w:szCs w:val="24"/>
        </w:rPr>
        <w:t>at</w:t>
      </w:r>
      <w:r w:rsidR="004B0135" w:rsidRPr="0078472B">
        <w:rPr>
          <w:rFonts w:ascii="Times New Roman" w:hAnsi="Times New Roman"/>
          <w:color w:val="000000" w:themeColor="text1"/>
          <w:sz w:val="24"/>
          <w:szCs w:val="24"/>
        </w:rPr>
        <w:t xml:space="preserve"> the</w:t>
      </w:r>
      <w:r w:rsidRPr="0078472B">
        <w:rPr>
          <w:rFonts w:ascii="Times New Roman" w:hAnsi="Times New Roman"/>
          <w:color w:val="000000" w:themeColor="text1"/>
          <w:sz w:val="24"/>
          <w:szCs w:val="24"/>
        </w:rPr>
        <w:t xml:space="preserve"> racetrack or placed their bets </w:t>
      </w:r>
      <w:r w:rsidR="004B0135" w:rsidRPr="0078472B">
        <w:rPr>
          <w:rFonts w:ascii="Times New Roman" w:hAnsi="Times New Roman"/>
          <w:color w:val="000000" w:themeColor="text1"/>
          <w:sz w:val="24"/>
          <w:szCs w:val="24"/>
        </w:rPr>
        <w:t xml:space="preserve">in </w:t>
      </w:r>
      <w:r w:rsidRPr="0078472B">
        <w:rPr>
          <w:rFonts w:ascii="Times New Roman" w:hAnsi="Times New Roman"/>
          <w:color w:val="000000" w:themeColor="text1"/>
          <w:sz w:val="24"/>
          <w:szCs w:val="24"/>
        </w:rPr>
        <w:t>off-track betting shops</w:t>
      </w:r>
      <w:r w:rsidR="004B0135" w:rsidRPr="0078472B">
        <w:rPr>
          <w:rFonts w:ascii="Times New Roman" w:hAnsi="Times New Roman"/>
          <w:color w:val="000000" w:themeColor="text1"/>
          <w:sz w:val="24"/>
          <w:szCs w:val="24"/>
        </w:rPr>
        <w:t xml:space="preserve"> </w:t>
      </w:r>
      <w:r w:rsidR="00E37E2A" w:rsidRPr="0078472B">
        <w:rPr>
          <w:rFonts w:ascii="Times New Roman" w:hAnsi="Times New Roman"/>
          <w:color w:val="000000" w:themeColor="text1"/>
          <w:sz w:val="24"/>
          <w:szCs w:val="24"/>
        </w:rPr>
        <w:t xml:space="preserve">now </w:t>
      </w:r>
      <w:r w:rsidR="000D287A" w:rsidRPr="0078472B">
        <w:rPr>
          <w:rFonts w:ascii="Times New Roman" w:hAnsi="Times New Roman"/>
          <w:color w:val="000000" w:themeColor="text1"/>
          <w:sz w:val="24"/>
          <w:szCs w:val="24"/>
        </w:rPr>
        <w:t xml:space="preserve">place their bets at </w:t>
      </w:r>
      <w:r w:rsidRPr="0078472B">
        <w:rPr>
          <w:rFonts w:ascii="Times New Roman" w:hAnsi="Times New Roman"/>
          <w:color w:val="000000" w:themeColor="text1"/>
          <w:sz w:val="24"/>
          <w:szCs w:val="24"/>
        </w:rPr>
        <w:t xml:space="preserve">home </w:t>
      </w:r>
      <w:r w:rsidR="000D287A" w:rsidRPr="0078472B">
        <w:rPr>
          <w:rFonts w:ascii="Times New Roman" w:hAnsi="Times New Roman"/>
          <w:color w:val="000000" w:themeColor="text1"/>
          <w:sz w:val="24"/>
          <w:szCs w:val="24"/>
        </w:rPr>
        <w:t xml:space="preserve">while </w:t>
      </w:r>
      <w:r w:rsidR="00807C74" w:rsidRPr="0078472B">
        <w:rPr>
          <w:rFonts w:ascii="Times New Roman" w:hAnsi="Times New Roman"/>
          <w:color w:val="000000" w:themeColor="text1"/>
          <w:sz w:val="24"/>
          <w:szCs w:val="24"/>
        </w:rPr>
        <w:t>follow</w:t>
      </w:r>
      <w:r w:rsidR="000D287A" w:rsidRPr="0078472B">
        <w:rPr>
          <w:rFonts w:ascii="Times New Roman" w:hAnsi="Times New Roman"/>
          <w:color w:val="000000" w:themeColor="text1"/>
          <w:sz w:val="24"/>
          <w:szCs w:val="24"/>
        </w:rPr>
        <w:t>ing</w:t>
      </w:r>
      <w:r w:rsidRPr="0078472B">
        <w:rPr>
          <w:rFonts w:ascii="Times New Roman" w:hAnsi="Times New Roman"/>
          <w:color w:val="000000" w:themeColor="text1"/>
          <w:sz w:val="24"/>
          <w:szCs w:val="24"/>
        </w:rPr>
        <w:t xml:space="preserve"> races </w:t>
      </w:r>
      <w:r w:rsidR="000D287A" w:rsidRPr="0078472B">
        <w:rPr>
          <w:rFonts w:ascii="Times New Roman" w:hAnsi="Times New Roman"/>
          <w:color w:val="000000" w:themeColor="text1"/>
          <w:sz w:val="24"/>
          <w:szCs w:val="24"/>
        </w:rPr>
        <w:t xml:space="preserve">on television or </w:t>
      </w:r>
      <w:r w:rsidR="00FD33F3" w:rsidRPr="0078472B">
        <w:rPr>
          <w:rFonts w:ascii="Times New Roman" w:hAnsi="Times New Roman"/>
          <w:color w:val="000000" w:themeColor="text1"/>
          <w:sz w:val="24"/>
          <w:szCs w:val="24"/>
        </w:rPr>
        <w:t xml:space="preserve">on </w:t>
      </w:r>
      <w:r w:rsidR="000D287A" w:rsidRPr="0078472B">
        <w:rPr>
          <w:rFonts w:ascii="Times New Roman" w:hAnsi="Times New Roman"/>
          <w:color w:val="000000" w:themeColor="text1"/>
          <w:sz w:val="24"/>
          <w:szCs w:val="24"/>
        </w:rPr>
        <w:t>the I</w:t>
      </w:r>
      <w:r w:rsidRPr="0078472B">
        <w:rPr>
          <w:rFonts w:ascii="Times New Roman" w:hAnsi="Times New Roman"/>
          <w:color w:val="000000" w:themeColor="text1"/>
          <w:sz w:val="24"/>
          <w:szCs w:val="24"/>
        </w:rPr>
        <w:t>nternet.</w:t>
      </w:r>
      <w:r w:rsidR="00807C74" w:rsidRPr="0078472B">
        <w:rPr>
          <w:rFonts w:ascii="Times New Roman" w:hAnsi="Times New Roman"/>
          <w:color w:val="000000" w:themeColor="text1"/>
          <w:sz w:val="24"/>
          <w:szCs w:val="24"/>
        </w:rPr>
        <w:t xml:space="preserve"> Loosely speaking, this assumption is supported by the fact that</w:t>
      </w:r>
      <w:r w:rsidR="00E37E2A" w:rsidRPr="0078472B">
        <w:rPr>
          <w:rFonts w:ascii="Times New Roman" w:hAnsi="Times New Roman"/>
          <w:color w:val="000000" w:themeColor="text1"/>
          <w:sz w:val="24"/>
          <w:szCs w:val="24"/>
        </w:rPr>
        <w:t>,</w:t>
      </w:r>
      <w:r w:rsidR="000D287A" w:rsidRPr="0078472B">
        <w:rPr>
          <w:rFonts w:ascii="Times New Roman" w:hAnsi="Times New Roman"/>
          <w:color w:val="000000" w:themeColor="text1"/>
          <w:sz w:val="24"/>
          <w:szCs w:val="24"/>
        </w:rPr>
        <w:t xml:space="preserve"> while</w:t>
      </w:r>
      <w:r w:rsidR="00807C74" w:rsidRPr="0078472B">
        <w:rPr>
          <w:rFonts w:ascii="Times New Roman" w:hAnsi="Times New Roman"/>
          <w:color w:val="000000" w:themeColor="text1"/>
          <w:sz w:val="24"/>
          <w:szCs w:val="24"/>
        </w:rPr>
        <w:t xml:space="preserve"> </w:t>
      </w:r>
      <w:r w:rsidR="00FD33F3" w:rsidRPr="0078472B">
        <w:rPr>
          <w:rFonts w:ascii="Times New Roman" w:hAnsi="Times New Roman"/>
          <w:color w:val="000000" w:themeColor="text1"/>
          <w:sz w:val="24"/>
          <w:szCs w:val="24"/>
        </w:rPr>
        <w:t>on-track attendance</w:t>
      </w:r>
      <w:r w:rsidR="000D287A" w:rsidRPr="0078472B">
        <w:rPr>
          <w:rFonts w:ascii="Times New Roman" w:hAnsi="Times New Roman"/>
          <w:color w:val="000000" w:themeColor="text1"/>
          <w:sz w:val="24"/>
          <w:szCs w:val="24"/>
        </w:rPr>
        <w:t xml:space="preserve"> has gone down over the past two decades, the share of online bets has increased and overall betting revenues</w:t>
      </w:r>
      <w:r w:rsidR="00807C74" w:rsidRPr="0078472B">
        <w:rPr>
          <w:rFonts w:ascii="Times New Roman" w:hAnsi="Times New Roman"/>
          <w:color w:val="000000" w:themeColor="text1"/>
          <w:sz w:val="24"/>
          <w:szCs w:val="24"/>
        </w:rPr>
        <w:t xml:space="preserve"> ha</w:t>
      </w:r>
      <w:r w:rsidR="000D287A" w:rsidRPr="0078472B">
        <w:rPr>
          <w:rFonts w:ascii="Times New Roman" w:hAnsi="Times New Roman"/>
          <w:color w:val="000000" w:themeColor="text1"/>
          <w:sz w:val="24"/>
          <w:szCs w:val="24"/>
        </w:rPr>
        <w:t>ve</w:t>
      </w:r>
      <w:r w:rsidR="00807C74" w:rsidRPr="0078472B">
        <w:rPr>
          <w:rFonts w:ascii="Times New Roman" w:hAnsi="Times New Roman"/>
          <w:color w:val="000000" w:themeColor="text1"/>
          <w:sz w:val="24"/>
          <w:szCs w:val="24"/>
        </w:rPr>
        <w:t xml:space="preserve"> </w:t>
      </w:r>
      <w:r w:rsidR="000D287A" w:rsidRPr="0078472B">
        <w:rPr>
          <w:rFonts w:ascii="Times New Roman" w:hAnsi="Times New Roman"/>
          <w:color w:val="000000" w:themeColor="text1"/>
          <w:sz w:val="24"/>
          <w:szCs w:val="24"/>
        </w:rPr>
        <w:t>remain</w:t>
      </w:r>
      <w:r w:rsidR="00807C74" w:rsidRPr="0078472B">
        <w:rPr>
          <w:rFonts w:ascii="Times New Roman" w:hAnsi="Times New Roman"/>
          <w:color w:val="000000" w:themeColor="text1"/>
          <w:sz w:val="24"/>
          <w:szCs w:val="24"/>
        </w:rPr>
        <w:t>ed rather stable</w:t>
      </w:r>
      <w:r w:rsidR="008863AF" w:rsidRPr="0078472B">
        <w:rPr>
          <w:rFonts w:ascii="Times New Roman" w:hAnsi="Times New Roman"/>
          <w:color w:val="000000" w:themeColor="text1"/>
          <w:sz w:val="24"/>
          <w:szCs w:val="24"/>
        </w:rPr>
        <w:t xml:space="preserve"> </w:t>
      </w:r>
      <w:r w:rsidR="00E37E2A" w:rsidRPr="0078472B">
        <w:rPr>
          <w:rFonts w:ascii="Times New Roman" w:hAnsi="Times New Roman"/>
          <w:color w:val="000000" w:themeColor="text1"/>
          <w:sz w:val="24"/>
          <w:szCs w:val="24"/>
        </w:rPr>
        <w:t>over the period</w:t>
      </w:r>
      <w:r w:rsidR="00807C74" w:rsidRPr="0078472B">
        <w:rPr>
          <w:rFonts w:ascii="Times New Roman" w:hAnsi="Times New Roman"/>
          <w:color w:val="000000" w:themeColor="text1"/>
          <w:sz w:val="24"/>
          <w:szCs w:val="24"/>
        </w:rPr>
        <w:t>.</w:t>
      </w:r>
      <w:r w:rsidR="0022787E" w:rsidRPr="0078472B">
        <w:rPr>
          <w:rFonts w:ascii="Times New Roman" w:hAnsi="Times New Roman"/>
          <w:color w:val="000000" w:themeColor="text1"/>
          <w:sz w:val="24"/>
          <w:szCs w:val="24"/>
        </w:rPr>
        <w:t xml:space="preserve"> Second, our study points to interest in horses, and race horses in </w:t>
      </w:r>
      <w:r w:rsidR="0022787E" w:rsidRPr="0078472B">
        <w:rPr>
          <w:rFonts w:ascii="Times New Roman" w:hAnsi="Times New Roman"/>
          <w:color w:val="000000" w:themeColor="text1"/>
          <w:sz w:val="24"/>
          <w:szCs w:val="24"/>
        </w:rPr>
        <w:lastRenderedPageBreak/>
        <w:t>particular,</w:t>
      </w:r>
      <w:r w:rsidR="00E37E2A" w:rsidRPr="0078472B">
        <w:rPr>
          <w:rFonts w:ascii="Times New Roman" w:hAnsi="Times New Roman"/>
          <w:color w:val="000000" w:themeColor="text1"/>
          <w:sz w:val="24"/>
          <w:szCs w:val="24"/>
        </w:rPr>
        <w:t xml:space="preserve"> stimulating </w:t>
      </w:r>
      <w:r w:rsidR="0022787E" w:rsidRPr="0078472B">
        <w:rPr>
          <w:rFonts w:ascii="Times New Roman" w:hAnsi="Times New Roman"/>
          <w:color w:val="000000" w:themeColor="text1"/>
          <w:sz w:val="24"/>
          <w:szCs w:val="24"/>
        </w:rPr>
        <w:t xml:space="preserve">online betting </w:t>
      </w:r>
      <w:r w:rsidR="004D381E" w:rsidRPr="0078472B">
        <w:rPr>
          <w:rFonts w:ascii="Times New Roman" w:hAnsi="Times New Roman"/>
          <w:color w:val="000000" w:themeColor="text1"/>
          <w:sz w:val="24"/>
          <w:szCs w:val="24"/>
        </w:rPr>
        <w:t>engagement</w:t>
      </w:r>
      <w:r w:rsidR="0022787E" w:rsidRPr="0078472B">
        <w:rPr>
          <w:rFonts w:ascii="Times New Roman" w:hAnsi="Times New Roman"/>
          <w:color w:val="000000" w:themeColor="text1"/>
          <w:sz w:val="24"/>
          <w:szCs w:val="24"/>
        </w:rPr>
        <w:t xml:space="preserve">. </w:t>
      </w:r>
      <w:r w:rsidR="003269BB" w:rsidRPr="0078472B">
        <w:rPr>
          <w:rFonts w:ascii="Times New Roman" w:hAnsi="Times New Roman"/>
          <w:color w:val="000000" w:themeColor="text1"/>
          <w:sz w:val="24"/>
          <w:szCs w:val="24"/>
        </w:rPr>
        <w:t xml:space="preserve">This </w:t>
      </w:r>
      <w:r w:rsidR="00A128D6" w:rsidRPr="0078472B">
        <w:rPr>
          <w:rFonts w:ascii="Times New Roman" w:hAnsi="Times New Roman"/>
          <w:color w:val="000000" w:themeColor="text1"/>
          <w:sz w:val="24"/>
          <w:szCs w:val="24"/>
        </w:rPr>
        <w:t>indicates</w:t>
      </w:r>
      <w:r w:rsidR="003269BB" w:rsidRPr="0078472B">
        <w:rPr>
          <w:rFonts w:ascii="Times New Roman" w:hAnsi="Times New Roman"/>
          <w:color w:val="000000" w:themeColor="text1"/>
          <w:sz w:val="24"/>
          <w:szCs w:val="24"/>
        </w:rPr>
        <w:t xml:space="preserve"> that a level of interest in a sport tends to translate into</w:t>
      </w:r>
      <w:r w:rsidR="00A128D6" w:rsidRPr="0078472B">
        <w:rPr>
          <w:rFonts w:ascii="Times New Roman" w:hAnsi="Times New Roman"/>
          <w:color w:val="000000" w:themeColor="text1"/>
          <w:sz w:val="24"/>
          <w:szCs w:val="24"/>
        </w:rPr>
        <w:t xml:space="preserve"> </w:t>
      </w:r>
      <w:r w:rsidR="003269BB" w:rsidRPr="0078472B">
        <w:rPr>
          <w:rFonts w:ascii="Times New Roman" w:hAnsi="Times New Roman"/>
          <w:color w:val="000000" w:themeColor="text1"/>
          <w:sz w:val="24"/>
          <w:szCs w:val="24"/>
        </w:rPr>
        <w:t>gambling activity in that sport.</w:t>
      </w:r>
    </w:p>
    <w:p w14:paraId="2980D31D" w14:textId="77777777" w:rsidR="00765454" w:rsidRPr="0078472B" w:rsidRDefault="00765454" w:rsidP="00A540E5">
      <w:pPr>
        <w:spacing w:after="0" w:line="480" w:lineRule="auto"/>
        <w:jc w:val="both"/>
        <w:rPr>
          <w:rFonts w:ascii="Times New Roman" w:hAnsi="Times New Roman" w:cs="Times New Roman"/>
          <w:color w:val="000000" w:themeColor="text1"/>
          <w:sz w:val="24"/>
          <w:szCs w:val="24"/>
        </w:rPr>
      </w:pPr>
    </w:p>
    <w:p w14:paraId="458F28A7" w14:textId="5CBC63EB" w:rsidR="000255D7" w:rsidRPr="0078472B" w:rsidRDefault="000255D7" w:rsidP="00A540E5">
      <w:pPr>
        <w:spacing w:after="0" w:line="480" w:lineRule="auto"/>
        <w:jc w:val="both"/>
        <w:rPr>
          <w:rFonts w:ascii="Times New Roman" w:eastAsia="Times New Roman" w:hAnsi="Times New Roman" w:cs="Times New Roman"/>
          <w:color w:val="000000" w:themeColor="text1"/>
          <w:sz w:val="24"/>
          <w:szCs w:val="24"/>
        </w:rPr>
      </w:pPr>
      <w:r w:rsidRPr="0078472B">
        <w:rPr>
          <w:rFonts w:ascii="Times New Roman" w:eastAsia="Times New Roman" w:hAnsi="Times New Roman" w:cs="Times New Roman"/>
          <w:color w:val="000000" w:themeColor="text1"/>
          <w:sz w:val="24"/>
          <w:szCs w:val="24"/>
        </w:rPr>
        <w:t xml:space="preserve">Although our results concern </w:t>
      </w:r>
      <w:r w:rsidR="000D287A" w:rsidRPr="0078472B">
        <w:rPr>
          <w:rFonts w:ascii="Times New Roman" w:eastAsia="Times New Roman" w:hAnsi="Times New Roman" w:cs="Times New Roman"/>
          <w:color w:val="000000" w:themeColor="text1"/>
          <w:sz w:val="24"/>
          <w:szCs w:val="24"/>
        </w:rPr>
        <w:t xml:space="preserve">the </w:t>
      </w:r>
      <w:r w:rsidRPr="0078472B">
        <w:rPr>
          <w:rFonts w:ascii="Times New Roman" w:eastAsia="Times New Roman" w:hAnsi="Times New Roman" w:cs="Times New Roman"/>
          <w:color w:val="000000" w:themeColor="text1"/>
          <w:sz w:val="24"/>
          <w:szCs w:val="24"/>
        </w:rPr>
        <w:t>Finnish horse race betting market</w:t>
      </w:r>
      <w:r w:rsidR="000D287A" w:rsidRPr="0078472B">
        <w:rPr>
          <w:rFonts w:ascii="Times New Roman" w:eastAsia="Times New Roman" w:hAnsi="Times New Roman" w:cs="Times New Roman"/>
          <w:color w:val="000000" w:themeColor="text1"/>
          <w:sz w:val="24"/>
          <w:szCs w:val="24"/>
        </w:rPr>
        <w:t xml:space="preserve">, they may hold </w:t>
      </w:r>
      <w:r w:rsidRPr="0078472B">
        <w:rPr>
          <w:rFonts w:ascii="Times New Roman" w:eastAsia="Times New Roman" w:hAnsi="Times New Roman" w:cs="Times New Roman"/>
          <w:color w:val="000000" w:themeColor="text1"/>
          <w:sz w:val="24"/>
          <w:szCs w:val="24"/>
        </w:rPr>
        <w:t xml:space="preserve">relevance to </w:t>
      </w:r>
      <w:r w:rsidR="000D287A" w:rsidRPr="0078472B">
        <w:rPr>
          <w:rFonts w:ascii="Times New Roman" w:eastAsia="Times New Roman" w:hAnsi="Times New Roman" w:cs="Times New Roman"/>
          <w:color w:val="000000" w:themeColor="text1"/>
          <w:sz w:val="24"/>
          <w:szCs w:val="24"/>
        </w:rPr>
        <w:t>other markets as well.</w:t>
      </w:r>
      <w:r w:rsidRPr="0078472B">
        <w:rPr>
          <w:rFonts w:ascii="Times New Roman" w:eastAsia="Times New Roman" w:hAnsi="Times New Roman" w:cs="Times New Roman"/>
          <w:color w:val="000000" w:themeColor="text1"/>
          <w:sz w:val="24"/>
          <w:szCs w:val="24"/>
        </w:rPr>
        <w:t xml:space="preserve"> </w:t>
      </w:r>
      <w:r w:rsidR="000D287A" w:rsidRPr="0078472B">
        <w:rPr>
          <w:rFonts w:ascii="Times New Roman" w:eastAsia="Times New Roman" w:hAnsi="Times New Roman" w:cs="Times New Roman"/>
          <w:color w:val="000000" w:themeColor="text1"/>
          <w:sz w:val="24"/>
          <w:szCs w:val="24"/>
        </w:rPr>
        <w:t>B</w:t>
      </w:r>
      <w:r w:rsidRPr="0078472B">
        <w:rPr>
          <w:rFonts w:ascii="Times New Roman" w:eastAsia="Times New Roman" w:hAnsi="Times New Roman" w:cs="Times New Roman"/>
          <w:color w:val="000000" w:themeColor="text1"/>
          <w:sz w:val="24"/>
          <w:szCs w:val="24"/>
        </w:rPr>
        <w:t>ecause on</w:t>
      </w:r>
      <w:r w:rsidR="000D287A" w:rsidRPr="0078472B">
        <w:rPr>
          <w:rFonts w:ascii="Times New Roman" w:eastAsia="Times New Roman" w:hAnsi="Times New Roman" w:cs="Times New Roman"/>
          <w:color w:val="000000" w:themeColor="text1"/>
          <w:sz w:val="24"/>
          <w:szCs w:val="24"/>
        </w:rPr>
        <w:t>line horse race betting has taken off</w:t>
      </w:r>
      <w:r w:rsidRPr="0078472B">
        <w:rPr>
          <w:rFonts w:ascii="Times New Roman" w:eastAsia="Times New Roman" w:hAnsi="Times New Roman" w:cs="Times New Roman"/>
          <w:color w:val="000000" w:themeColor="text1"/>
          <w:sz w:val="24"/>
          <w:szCs w:val="24"/>
        </w:rPr>
        <w:t xml:space="preserve"> rapidly in Finland</w:t>
      </w:r>
      <w:r w:rsidR="000D287A" w:rsidRPr="0078472B">
        <w:rPr>
          <w:rFonts w:ascii="Times New Roman" w:eastAsia="Times New Roman" w:hAnsi="Times New Roman" w:cs="Times New Roman"/>
          <w:color w:val="000000" w:themeColor="text1"/>
          <w:sz w:val="24"/>
          <w:szCs w:val="24"/>
        </w:rPr>
        <w:t>,</w:t>
      </w:r>
      <w:r w:rsidRPr="0078472B">
        <w:rPr>
          <w:rFonts w:ascii="Times New Roman" w:eastAsia="Times New Roman" w:hAnsi="Times New Roman" w:cs="Times New Roman"/>
          <w:color w:val="000000" w:themeColor="text1"/>
          <w:sz w:val="24"/>
          <w:szCs w:val="24"/>
        </w:rPr>
        <w:t xml:space="preserve"> similar development</w:t>
      </w:r>
      <w:r w:rsidR="00B74C9E" w:rsidRPr="0078472B">
        <w:rPr>
          <w:rFonts w:ascii="Times New Roman" w:eastAsia="Times New Roman" w:hAnsi="Times New Roman" w:cs="Times New Roman"/>
          <w:color w:val="000000" w:themeColor="text1"/>
          <w:sz w:val="24"/>
          <w:szCs w:val="24"/>
        </w:rPr>
        <w:t>s</w:t>
      </w:r>
      <w:r w:rsidRPr="0078472B">
        <w:rPr>
          <w:rFonts w:ascii="Times New Roman" w:eastAsia="Times New Roman" w:hAnsi="Times New Roman" w:cs="Times New Roman"/>
          <w:color w:val="000000" w:themeColor="text1"/>
          <w:sz w:val="24"/>
          <w:szCs w:val="24"/>
        </w:rPr>
        <w:t xml:space="preserve"> </w:t>
      </w:r>
      <w:r w:rsidR="000D287A" w:rsidRPr="0078472B">
        <w:rPr>
          <w:rFonts w:ascii="Times New Roman" w:eastAsia="Times New Roman" w:hAnsi="Times New Roman" w:cs="Times New Roman"/>
          <w:color w:val="000000" w:themeColor="text1"/>
          <w:sz w:val="24"/>
          <w:szCs w:val="24"/>
        </w:rPr>
        <w:t>may take place</w:t>
      </w:r>
      <w:r w:rsidRPr="0078472B">
        <w:rPr>
          <w:rFonts w:ascii="Times New Roman" w:eastAsia="Times New Roman" w:hAnsi="Times New Roman" w:cs="Times New Roman"/>
          <w:color w:val="000000" w:themeColor="text1"/>
          <w:sz w:val="24"/>
          <w:szCs w:val="24"/>
        </w:rPr>
        <w:t xml:space="preserve"> </w:t>
      </w:r>
      <w:r w:rsidR="000D287A" w:rsidRPr="0078472B">
        <w:rPr>
          <w:rFonts w:ascii="Times New Roman" w:eastAsia="Times New Roman" w:hAnsi="Times New Roman" w:cs="Times New Roman"/>
          <w:color w:val="000000" w:themeColor="text1"/>
          <w:sz w:val="24"/>
          <w:szCs w:val="24"/>
        </w:rPr>
        <w:t>in other countries</w:t>
      </w:r>
      <w:r w:rsidRPr="0078472B">
        <w:rPr>
          <w:rFonts w:ascii="Times New Roman" w:eastAsia="Times New Roman" w:hAnsi="Times New Roman" w:cs="Times New Roman"/>
          <w:color w:val="000000" w:themeColor="text1"/>
          <w:sz w:val="24"/>
          <w:szCs w:val="24"/>
        </w:rPr>
        <w:t xml:space="preserve">. </w:t>
      </w:r>
      <w:r w:rsidR="0011760F" w:rsidRPr="0078472B">
        <w:rPr>
          <w:rFonts w:ascii="Times New Roman" w:eastAsia="Times New Roman" w:hAnsi="Times New Roman" w:cs="Times New Roman"/>
          <w:color w:val="000000" w:themeColor="text1"/>
          <w:sz w:val="24"/>
          <w:szCs w:val="24"/>
        </w:rPr>
        <w:t>Hence</w:t>
      </w:r>
      <w:r w:rsidRPr="0078472B">
        <w:rPr>
          <w:rFonts w:ascii="Times New Roman" w:eastAsia="Times New Roman" w:hAnsi="Times New Roman" w:cs="Times New Roman"/>
          <w:color w:val="000000" w:themeColor="text1"/>
          <w:sz w:val="24"/>
          <w:szCs w:val="24"/>
        </w:rPr>
        <w:t xml:space="preserve">, we believe that </w:t>
      </w:r>
      <w:r w:rsidR="000D287A" w:rsidRPr="0078472B">
        <w:rPr>
          <w:rFonts w:ascii="Times New Roman" w:eastAsia="Times New Roman" w:hAnsi="Times New Roman" w:cs="Times New Roman"/>
          <w:color w:val="000000" w:themeColor="text1"/>
          <w:sz w:val="24"/>
          <w:szCs w:val="24"/>
        </w:rPr>
        <w:t xml:space="preserve">these </w:t>
      </w:r>
      <w:r w:rsidRPr="0078472B">
        <w:rPr>
          <w:rFonts w:ascii="Times New Roman" w:eastAsia="Times New Roman" w:hAnsi="Times New Roman" w:cs="Times New Roman"/>
          <w:color w:val="000000" w:themeColor="text1"/>
          <w:sz w:val="24"/>
          <w:szCs w:val="24"/>
        </w:rPr>
        <w:t xml:space="preserve">results </w:t>
      </w:r>
      <w:r w:rsidR="000D287A" w:rsidRPr="0078472B">
        <w:rPr>
          <w:rFonts w:ascii="Times New Roman" w:eastAsia="Times New Roman" w:hAnsi="Times New Roman" w:cs="Times New Roman"/>
          <w:color w:val="000000" w:themeColor="text1"/>
          <w:sz w:val="24"/>
          <w:szCs w:val="24"/>
        </w:rPr>
        <w:t>shed some new light on how</w:t>
      </w:r>
      <w:r w:rsidRPr="0078472B">
        <w:rPr>
          <w:rFonts w:ascii="Times New Roman" w:eastAsia="Times New Roman" w:hAnsi="Times New Roman" w:cs="Times New Roman"/>
          <w:color w:val="000000" w:themeColor="text1"/>
          <w:sz w:val="24"/>
          <w:szCs w:val="24"/>
        </w:rPr>
        <w:t xml:space="preserve"> </w:t>
      </w:r>
      <w:r w:rsidR="008A3B2C" w:rsidRPr="0078472B">
        <w:rPr>
          <w:rFonts w:ascii="Times New Roman" w:eastAsia="Times New Roman" w:hAnsi="Times New Roman" w:cs="Times New Roman"/>
          <w:color w:val="000000" w:themeColor="text1"/>
          <w:sz w:val="24"/>
          <w:szCs w:val="24"/>
        </w:rPr>
        <w:t>cons</w:t>
      </w:r>
      <w:r w:rsidR="00B74C9E" w:rsidRPr="0078472B">
        <w:rPr>
          <w:rFonts w:ascii="Times New Roman" w:eastAsia="Times New Roman" w:hAnsi="Times New Roman" w:cs="Times New Roman"/>
          <w:color w:val="000000" w:themeColor="text1"/>
          <w:sz w:val="24"/>
          <w:szCs w:val="24"/>
        </w:rPr>
        <w:t>umer habits and the environments in which they live in</w:t>
      </w:r>
      <w:r w:rsidR="008A3B2C" w:rsidRPr="0078472B">
        <w:rPr>
          <w:rFonts w:ascii="Times New Roman" w:eastAsia="Times New Roman" w:hAnsi="Times New Roman" w:cs="Times New Roman"/>
          <w:color w:val="000000" w:themeColor="text1"/>
          <w:sz w:val="24"/>
          <w:szCs w:val="24"/>
        </w:rPr>
        <w:t xml:space="preserve"> are associated with the current changes in </w:t>
      </w:r>
      <w:r w:rsidRPr="0078472B">
        <w:rPr>
          <w:rFonts w:ascii="Times New Roman" w:eastAsia="Times New Roman" w:hAnsi="Times New Roman" w:cs="Times New Roman"/>
          <w:color w:val="000000" w:themeColor="text1"/>
          <w:sz w:val="24"/>
          <w:szCs w:val="24"/>
        </w:rPr>
        <w:t>online gambling markets.</w:t>
      </w:r>
    </w:p>
    <w:p w14:paraId="1ACF044B" w14:textId="5DCC9709" w:rsidR="00904C3B" w:rsidRPr="0078472B" w:rsidRDefault="00904C3B" w:rsidP="00A540E5">
      <w:pPr>
        <w:pStyle w:val="FootnoteText"/>
        <w:spacing w:line="480" w:lineRule="auto"/>
        <w:jc w:val="both"/>
        <w:rPr>
          <w:rFonts w:ascii="Times New Roman" w:hAnsi="Times New Roman"/>
          <w:color w:val="000000" w:themeColor="text1"/>
          <w:sz w:val="24"/>
          <w:szCs w:val="24"/>
        </w:rPr>
      </w:pPr>
    </w:p>
    <w:p w14:paraId="27943034" w14:textId="75A855B4" w:rsidR="00D5231C" w:rsidRPr="0078472B" w:rsidRDefault="00C74E6B" w:rsidP="00C74E6B">
      <w:pPr>
        <w:spacing w:after="0" w:line="480" w:lineRule="auto"/>
        <w:jc w:val="center"/>
        <w:rPr>
          <w:rFonts w:ascii="Times New Roman" w:hAnsi="Times New Roman" w:cs="Times New Roman"/>
          <w:b/>
          <w:color w:val="000000" w:themeColor="text1"/>
          <w:sz w:val="24"/>
          <w:szCs w:val="24"/>
        </w:rPr>
      </w:pPr>
      <w:r w:rsidRPr="0078472B">
        <w:rPr>
          <w:rFonts w:ascii="Times New Roman" w:hAnsi="Times New Roman" w:cs="Times New Roman"/>
          <w:b/>
          <w:color w:val="000000" w:themeColor="text1"/>
          <w:sz w:val="24"/>
          <w:szCs w:val="24"/>
        </w:rPr>
        <w:t>REFERENCES</w:t>
      </w:r>
    </w:p>
    <w:p w14:paraId="1B0E5994" w14:textId="61048EEF" w:rsidR="00EF1443" w:rsidRPr="0078472B" w:rsidRDefault="00C52E40"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Abdel-Ghany</w:t>
      </w:r>
      <w:r w:rsidR="004F0975"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00EF1443" w:rsidRPr="0078472B">
        <w:rPr>
          <w:rFonts w:ascii="Times New Roman" w:hAnsi="Times New Roman" w:cs="Times New Roman"/>
          <w:color w:val="000000" w:themeColor="text1"/>
          <w:sz w:val="24"/>
          <w:szCs w:val="24"/>
        </w:rPr>
        <w:t>M</w:t>
      </w:r>
      <w:r w:rsidR="004F0975" w:rsidRPr="0078472B">
        <w:rPr>
          <w:rFonts w:ascii="Times New Roman" w:hAnsi="Times New Roman" w:cs="Times New Roman"/>
          <w:color w:val="000000" w:themeColor="text1"/>
          <w:sz w:val="24"/>
          <w:szCs w:val="24"/>
        </w:rPr>
        <w:t>.</w:t>
      </w:r>
      <w:r w:rsidR="00652893"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004F0975" w:rsidRPr="0078472B">
        <w:rPr>
          <w:rFonts w:ascii="Times New Roman" w:hAnsi="Times New Roman" w:cs="Times New Roman"/>
          <w:color w:val="000000" w:themeColor="text1"/>
          <w:sz w:val="24"/>
          <w:szCs w:val="24"/>
        </w:rPr>
        <w:t>&amp;</w:t>
      </w:r>
      <w:r w:rsidRPr="0078472B">
        <w:rPr>
          <w:rFonts w:ascii="Times New Roman" w:hAnsi="Times New Roman" w:cs="Times New Roman"/>
          <w:color w:val="000000" w:themeColor="text1"/>
          <w:sz w:val="24"/>
          <w:szCs w:val="24"/>
        </w:rPr>
        <w:t xml:space="preserve"> </w:t>
      </w:r>
      <w:r w:rsidR="00EF1443" w:rsidRPr="0078472B">
        <w:rPr>
          <w:rFonts w:ascii="Times New Roman" w:hAnsi="Times New Roman" w:cs="Times New Roman"/>
          <w:color w:val="000000" w:themeColor="text1"/>
          <w:sz w:val="24"/>
          <w:szCs w:val="24"/>
        </w:rPr>
        <w:t>Sharpe</w:t>
      </w:r>
      <w:r w:rsidR="004F0975"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D</w:t>
      </w:r>
      <w:r w:rsidR="004F0975" w:rsidRPr="0078472B">
        <w:rPr>
          <w:rFonts w:ascii="Times New Roman" w:hAnsi="Times New Roman" w:cs="Times New Roman"/>
          <w:color w:val="000000" w:themeColor="text1"/>
          <w:sz w:val="24"/>
          <w:szCs w:val="24"/>
        </w:rPr>
        <w:t xml:space="preserve">. </w:t>
      </w:r>
      <w:r w:rsidR="00EF1443" w:rsidRPr="0078472B">
        <w:rPr>
          <w:rFonts w:ascii="Times New Roman" w:hAnsi="Times New Roman" w:cs="Times New Roman"/>
          <w:color w:val="000000" w:themeColor="text1"/>
          <w:sz w:val="24"/>
          <w:szCs w:val="24"/>
        </w:rPr>
        <w:t>L</w:t>
      </w:r>
      <w:r w:rsidR="004F0975"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(2001)</w:t>
      </w:r>
      <w:r w:rsidR="004F0975"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Lottery Expenditures in Canada: Regional Analysis of Probability of Purchase, Amount of Purchase and Incidence</w:t>
      </w:r>
      <w:r w:rsidR="00AF5F08"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w:t>
      </w:r>
      <w:r w:rsidR="00EF1443" w:rsidRPr="0078472B">
        <w:rPr>
          <w:rFonts w:ascii="Times New Roman" w:hAnsi="Times New Roman" w:cs="Times New Roman"/>
          <w:i/>
          <w:color w:val="000000" w:themeColor="text1"/>
          <w:sz w:val="24"/>
          <w:szCs w:val="24"/>
        </w:rPr>
        <w:t>Family and Consumer Sciences Research Journal</w:t>
      </w:r>
      <w:r w:rsidR="005425A1"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w:t>
      </w:r>
      <w:r w:rsidR="00EF1443" w:rsidRPr="0078472B">
        <w:rPr>
          <w:rFonts w:ascii="Times New Roman" w:hAnsi="Times New Roman" w:cs="Times New Roman"/>
          <w:i/>
          <w:color w:val="000000" w:themeColor="text1"/>
          <w:sz w:val="24"/>
          <w:szCs w:val="24"/>
        </w:rPr>
        <w:t>30</w:t>
      </w:r>
      <w:r w:rsidR="005425A1"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64-78</w:t>
      </w:r>
      <w:r w:rsidR="00F26E25" w:rsidRPr="0078472B">
        <w:rPr>
          <w:rFonts w:ascii="Times New Roman" w:hAnsi="Times New Roman" w:cs="Times New Roman"/>
          <w:color w:val="000000" w:themeColor="text1"/>
          <w:sz w:val="24"/>
          <w:szCs w:val="24"/>
        </w:rPr>
        <w:t>.</w:t>
      </w:r>
    </w:p>
    <w:p w14:paraId="108F40BC" w14:textId="1521FB65"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lang w:val="en-US"/>
        </w:rPr>
        <w:t>Ali</w:t>
      </w:r>
      <w:r w:rsidR="004F0975"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M</w:t>
      </w:r>
      <w:r w:rsidR="004F0975" w:rsidRPr="0078472B">
        <w:rPr>
          <w:rFonts w:ascii="Times New Roman" w:hAnsi="Times New Roman" w:cs="Times New Roman"/>
          <w:color w:val="000000" w:themeColor="text1"/>
          <w:sz w:val="24"/>
          <w:szCs w:val="24"/>
          <w:lang w:val="en-US"/>
        </w:rPr>
        <w:t xml:space="preserve">. </w:t>
      </w:r>
      <w:r w:rsidR="00C52E40" w:rsidRPr="0078472B">
        <w:rPr>
          <w:rFonts w:ascii="Times New Roman" w:hAnsi="Times New Roman" w:cs="Times New Roman"/>
          <w:color w:val="000000" w:themeColor="text1"/>
          <w:sz w:val="24"/>
          <w:szCs w:val="24"/>
          <w:lang w:val="en-US"/>
        </w:rPr>
        <w:t>M</w:t>
      </w:r>
      <w:r w:rsidR="004F0975" w:rsidRPr="0078472B">
        <w:rPr>
          <w:rFonts w:ascii="Times New Roman" w:hAnsi="Times New Roman" w:cs="Times New Roman"/>
          <w:color w:val="000000" w:themeColor="text1"/>
          <w:sz w:val="24"/>
          <w:szCs w:val="24"/>
          <w:lang w:val="en-US"/>
        </w:rPr>
        <w:t>.,</w:t>
      </w:r>
      <w:r w:rsidR="00C52E40" w:rsidRPr="0078472B">
        <w:rPr>
          <w:rFonts w:ascii="Times New Roman" w:hAnsi="Times New Roman" w:cs="Times New Roman"/>
          <w:color w:val="000000" w:themeColor="text1"/>
          <w:sz w:val="24"/>
          <w:szCs w:val="24"/>
          <w:lang w:val="en-US"/>
        </w:rPr>
        <w:t xml:space="preserve"> </w:t>
      </w:r>
      <w:r w:rsidR="004F0975" w:rsidRPr="0078472B">
        <w:rPr>
          <w:rFonts w:ascii="Times New Roman" w:hAnsi="Times New Roman" w:cs="Times New Roman"/>
          <w:color w:val="000000" w:themeColor="text1"/>
          <w:sz w:val="24"/>
          <w:szCs w:val="24"/>
          <w:lang w:val="en-US"/>
        </w:rPr>
        <w:t>&amp;</w:t>
      </w:r>
      <w:r w:rsidR="00C52E40" w:rsidRPr="0078472B">
        <w:rPr>
          <w:rFonts w:ascii="Times New Roman" w:hAnsi="Times New Roman" w:cs="Times New Roman"/>
          <w:color w:val="000000" w:themeColor="text1"/>
          <w:sz w:val="24"/>
          <w:szCs w:val="24"/>
          <w:lang w:val="en-US"/>
        </w:rPr>
        <w:t xml:space="preserve"> Thalheimer</w:t>
      </w:r>
      <w:r w:rsidR="004F0975" w:rsidRPr="0078472B">
        <w:rPr>
          <w:rFonts w:ascii="Times New Roman" w:hAnsi="Times New Roman" w:cs="Times New Roman"/>
          <w:color w:val="000000" w:themeColor="text1"/>
          <w:sz w:val="24"/>
          <w:szCs w:val="24"/>
          <w:lang w:val="en-US"/>
        </w:rPr>
        <w:t>,</w:t>
      </w:r>
      <w:r w:rsidR="00C52E40" w:rsidRPr="0078472B">
        <w:rPr>
          <w:rFonts w:ascii="Times New Roman" w:hAnsi="Times New Roman" w:cs="Times New Roman"/>
          <w:color w:val="000000" w:themeColor="text1"/>
          <w:sz w:val="24"/>
          <w:szCs w:val="24"/>
          <w:lang w:val="en-US"/>
        </w:rPr>
        <w:t xml:space="preserve"> R</w:t>
      </w:r>
      <w:r w:rsidR="004F0975" w:rsidRPr="0078472B">
        <w:rPr>
          <w:rFonts w:ascii="Times New Roman" w:hAnsi="Times New Roman" w:cs="Times New Roman"/>
          <w:color w:val="000000" w:themeColor="text1"/>
          <w:sz w:val="24"/>
          <w:szCs w:val="24"/>
          <w:lang w:val="en-US"/>
        </w:rPr>
        <w:t>.</w:t>
      </w:r>
      <w:r w:rsidR="00C52E40" w:rsidRPr="0078472B">
        <w:rPr>
          <w:rFonts w:ascii="Times New Roman" w:hAnsi="Times New Roman" w:cs="Times New Roman"/>
          <w:color w:val="000000" w:themeColor="text1"/>
          <w:sz w:val="24"/>
          <w:szCs w:val="24"/>
          <w:lang w:val="en-US"/>
        </w:rPr>
        <w:t xml:space="preserve"> (1997)</w:t>
      </w:r>
      <w:r w:rsidR="004F0975"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rPr>
        <w:t>Transportation costs and product demand: wagering on pari-mutuel horse racing</w:t>
      </w:r>
      <w:r w:rsidR="00AF5F0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Applied Economics</w:t>
      </w:r>
      <w:r w:rsidR="005425A1"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29</w:t>
      </w:r>
      <w:r w:rsidR="005425A1" w:rsidRPr="0078472B">
        <w:rPr>
          <w:rFonts w:ascii="Times New Roman" w:hAnsi="Times New Roman" w:cs="Times New Roman"/>
          <w:color w:val="000000" w:themeColor="text1"/>
          <w:sz w:val="24"/>
          <w:szCs w:val="24"/>
        </w:rPr>
        <w:t>,</w:t>
      </w:r>
      <w:r w:rsidR="000E7B46"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529-542</w:t>
      </w:r>
      <w:r w:rsidR="00F26E25" w:rsidRPr="0078472B">
        <w:rPr>
          <w:rFonts w:ascii="Times New Roman" w:hAnsi="Times New Roman" w:cs="Times New Roman"/>
          <w:color w:val="000000" w:themeColor="text1"/>
          <w:sz w:val="24"/>
          <w:szCs w:val="24"/>
        </w:rPr>
        <w:t>.</w:t>
      </w:r>
    </w:p>
    <w:p w14:paraId="62B32816" w14:textId="11FDBCFF" w:rsidR="00EF1443" w:rsidRPr="0078472B" w:rsidRDefault="00BA25D3"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Binde</w:t>
      </w:r>
      <w:r w:rsidR="004F0975"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P</w:t>
      </w:r>
      <w:r w:rsidR="004F0975"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(2011)</w:t>
      </w:r>
      <w:r w:rsidR="004F0975"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Trotting Territory: The Cultural Realm of Swedish Horse Betting</w:t>
      </w:r>
      <w:r w:rsidR="00AF5F08"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In</w:t>
      </w:r>
      <w:r w:rsidR="00F26E25" w:rsidRPr="0078472B">
        <w:rPr>
          <w:rFonts w:ascii="Times New Roman" w:hAnsi="Times New Roman" w:cs="Times New Roman"/>
          <w:color w:val="000000" w:themeColor="text1"/>
          <w:sz w:val="24"/>
          <w:szCs w:val="24"/>
        </w:rPr>
        <w:t>: Raento P and</w:t>
      </w:r>
      <w:r w:rsidR="00EF1443" w:rsidRPr="0078472B">
        <w:rPr>
          <w:rFonts w:ascii="Times New Roman" w:hAnsi="Times New Roman" w:cs="Times New Roman"/>
          <w:color w:val="000000" w:themeColor="text1"/>
          <w:sz w:val="24"/>
          <w:szCs w:val="24"/>
        </w:rPr>
        <w:t xml:space="preserve"> Schwartz D (eds): </w:t>
      </w:r>
      <w:r w:rsidR="00EF1443" w:rsidRPr="0078472B">
        <w:rPr>
          <w:rFonts w:ascii="Times New Roman" w:hAnsi="Times New Roman" w:cs="Times New Roman"/>
          <w:i/>
          <w:color w:val="000000" w:themeColor="text1"/>
          <w:sz w:val="24"/>
          <w:szCs w:val="24"/>
        </w:rPr>
        <w:t>Gambling, Space and Time: Shifting Boundaries and Cultures</w:t>
      </w:r>
      <w:r w:rsidR="005425A1"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Uni</w:t>
      </w:r>
      <w:r w:rsidR="00F26E25" w:rsidRPr="0078472B">
        <w:rPr>
          <w:rFonts w:ascii="Times New Roman" w:hAnsi="Times New Roman" w:cs="Times New Roman"/>
          <w:color w:val="000000" w:themeColor="text1"/>
          <w:sz w:val="24"/>
          <w:szCs w:val="24"/>
        </w:rPr>
        <w:t>versity Reno</w:t>
      </w:r>
      <w:r w:rsidR="005F233A" w:rsidRPr="0078472B">
        <w:rPr>
          <w:rFonts w:ascii="Times New Roman" w:hAnsi="Times New Roman" w:cs="Times New Roman"/>
          <w:color w:val="000000" w:themeColor="text1"/>
          <w:sz w:val="24"/>
          <w:szCs w:val="24"/>
        </w:rPr>
        <w:t>,</w:t>
      </w:r>
      <w:r w:rsidR="00F26E25" w:rsidRPr="0078472B">
        <w:rPr>
          <w:rFonts w:ascii="Times New Roman" w:hAnsi="Times New Roman" w:cs="Times New Roman"/>
          <w:color w:val="000000" w:themeColor="text1"/>
          <w:sz w:val="24"/>
          <w:szCs w:val="24"/>
        </w:rPr>
        <w:t xml:space="preserve"> Nevada Press.</w:t>
      </w:r>
    </w:p>
    <w:p w14:paraId="100BADAE" w14:textId="1971EA27" w:rsidR="008F6350" w:rsidRPr="0078472B" w:rsidRDefault="008F6350" w:rsidP="00E5036A">
      <w:pPr>
        <w:spacing w:after="0" w:line="240" w:lineRule="auto"/>
        <w:ind w:left="567" w:hanging="567"/>
        <w:jc w:val="both"/>
        <w:rPr>
          <w:rFonts w:ascii="Times New Roman" w:hAnsi="Times New Roman" w:cs="Times New Roman"/>
          <w:color w:val="000000" w:themeColor="text1"/>
          <w:sz w:val="24"/>
          <w:szCs w:val="24"/>
          <w:lang w:val="en-US"/>
        </w:rPr>
      </w:pPr>
      <w:r w:rsidRPr="0078472B">
        <w:rPr>
          <w:rFonts w:ascii="Times New Roman" w:hAnsi="Times New Roman" w:cs="Times New Roman"/>
          <w:color w:val="000000" w:themeColor="text1"/>
          <w:sz w:val="24"/>
          <w:szCs w:val="24"/>
          <w:lang w:val="fi-FI"/>
        </w:rPr>
        <w:t xml:space="preserve">Castrén, S., Kontto, J., Alho, H., &amp; Salonen A. H. (2018). </w:t>
      </w:r>
      <w:r w:rsidRPr="0078472B">
        <w:rPr>
          <w:rFonts w:ascii="Times New Roman" w:hAnsi="Times New Roman" w:cs="Times New Roman"/>
          <w:color w:val="000000" w:themeColor="text1"/>
          <w:sz w:val="24"/>
          <w:szCs w:val="24"/>
          <w:lang w:val="en-US"/>
        </w:rPr>
        <w:t xml:space="preserve">The relationship between gambling expenditure, socio-demographics, health-related correlates and gambling behaviour – a cross-sectional population-based survey in Finland. </w:t>
      </w:r>
      <w:r w:rsidRPr="0078472B">
        <w:rPr>
          <w:rFonts w:ascii="Times New Roman" w:hAnsi="Times New Roman" w:cs="Times New Roman"/>
          <w:i/>
          <w:iCs/>
          <w:color w:val="000000" w:themeColor="text1"/>
          <w:sz w:val="24"/>
          <w:szCs w:val="24"/>
          <w:lang w:val="en-US"/>
        </w:rPr>
        <w:t>Addiction,</w:t>
      </w:r>
      <w:r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i/>
          <w:color w:val="000000" w:themeColor="text1"/>
          <w:sz w:val="24"/>
          <w:szCs w:val="24"/>
          <w:lang w:val="en-US"/>
        </w:rPr>
        <w:t>113(1)</w:t>
      </w:r>
      <w:r w:rsidRPr="0078472B">
        <w:rPr>
          <w:rFonts w:ascii="Times New Roman" w:hAnsi="Times New Roman" w:cs="Times New Roman"/>
          <w:color w:val="000000" w:themeColor="text1"/>
          <w:sz w:val="24"/>
          <w:szCs w:val="24"/>
          <w:lang w:val="en-US"/>
        </w:rPr>
        <w:t>, 91-106.</w:t>
      </w:r>
    </w:p>
    <w:p w14:paraId="762F9732" w14:textId="327840E9"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lang w:val="en-US"/>
        </w:rPr>
        <w:t>Edgren</w:t>
      </w:r>
      <w:r w:rsidR="004F0975"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R</w:t>
      </w:r>
      <w:r w:rsidR="004F0975"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Castrén, S</w:t>
      </w:r>
      <w:r w:rsidR="004F0975"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Alho</w:t>
      </w:r>
      <w:r w:rsidR="004F0975"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H</w:t>
      </w:r>
      <w:r w:rsidR="004F0975"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004F0975" w:rsidRPr="0078472B">
        <w:rPr>
          <w:rFonts w:ascii="Times New Roman" w:hAnsi="Times New Roman" w:cs="Times New Roman"/>
          <w:color w:val="000000" w:themeColor="text1"/>
          <w:sz w:val="24"/>
          <w:szCs w:val="24"/>
          <w:lang w:val="en-US"/>
        </w:rPr>
        <w:t>&amp;</w:t>
      </w:r>
      <w:r w:rsidR="00F26E25"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lang w:val="en-US"/>
        </w:rPr>
        <w:t>Salonen A</w:t>
      </w:r>
      <w:r w:rsidR="004F0975"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lang w:val="en-US"/>
        </w:rPr>
        <w:t>H</w:t>
      </w:r>
      <w:r w:rsidR="004F0975"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(2017)</w:t>
      </w:r>
      <w:r w:rsidR="004F0975"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rPr>
        <w:t xml:space="preserve">Gender comparison of online and land-based gamblers from a nationally representative </w:t>
      </w:r>
      <w:r w:rsidR="00B04CDF" w:rsidRPr="0078472B">
        <w:rPr>
          <w:rFonts w:ascii="Times New Roman" w:hAnsi="Times New Roman" w:cs="Times New Roman"/>
          <w:color w:val="000000" w:themeColor="text1"/>
          <w:sz w:val="24"/>
          <w:szCs w:val="24"/>
        </w:rPr>
        <w:t xml:space="preserve">sample: </w:t>
      </w:r>
      <w:r w:rsidR="00B04CDF" w:rsidRPr="0078472B">
        <w:rPr>
          <w:rFonts w:ascii="Times New Roman" w:hAnsi="Times New Roman" w:cs="Times New Roman"/>
          <w:i/>
          <w:color w:val="000000" w:themeColor="text1"/>
          <w:sz w:val="24"/>
          <w:szCs w:val="24"/>
        </w:rPr>
        <w:t>Does gambling pose elev</w:t>
      </w:r>
      <w:r w:rsidRPr="0078472B">
        <w:rPr>
          <w:rFonts w:ascii="Times New Roman" w:hAnsi="Times New Roman" w:cs="Times New Roman"/>
          <w:i/>
          <w:color w:val="000000" w:themeColor="text1"/>
          <w:sz w:val="24"/>
          <w:szCs w:val="24"/>
        </w:rPr>
        <w:t>ated risk? Computers in Human Behavior</w:t>
      </w:r>
      <w:r w:rsidR="005425A1"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72</w:t>
      </w:r>
      <w:r w:rsidR="005425A1"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46-56</w:t>
      </w:r>
      <w:r w:rsidR="00F26E25" w:rsidRPr="0078472B">
        <w:rPr>
          <w:rFonts w:ascii="Times New Roman" w:hAnsi="Times New Roman" w:cs="Times New Roman"/>
          <w:color w:val="000000" w:themeColor="text1"/>
          <w:sz w:val="24"/>
          <w:szCs w:val="24"/>
        </w:rPr>
        <w:t>.</w:t>
      </w:r>
    </w:p>
    <w:p w14:paraId="1AC850FA" w14:textId="742B3BC1" w:rsidR="00EF1443" w:rsidRPr="0078472B" w:rsidRDefault="00F26E25"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Fang</w:t>
      </w:r>
      <w:r w:rsidR="004F0975"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X</w:t>
      </w:r>
      <w:r w:rsidR="004F0975"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004F0975" w:rsidRPr="0078472B">
        <w:rPr>
          <w:rFonts w:ascii="Times New Roman" w:hAnsi="Times New Roman" w:cs="Times New Roman"/>
          <w:color w:val="000000" w:themeColor="text1"/>
          <w:sz w:val="24"/>
          <w:szCs w:val="24"/>
        </w:rPr>
        <w:t>&amp;</w:t>
      </w:r>
      <w:r w:rsidRPr="0078472B">
        <w:rPr>
          <w:rFonts w:ascii="Times New Roman" w:hAnsi="Times New Roman" w:cs="Times New Roman"/>
          <w:color w:val="000000" w:themeColor="text1"/>
          <w:sz w:val="24"/>
          <w:szCs w:val="24"/>
        </w:rPr>
        <w:t xml:space="preserve"> Mowen</w:t>
      </w:r>
      <w:r w:rsidR="004F0975"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J</w:t>
      </w:r>
      <w:r w:rsidR="004F0975" w:rsidRPr="0078472B">
        <w:rPr>
          <w:rFonts w:ascii="Times New Roman" w:hAnsi="Times New Roman" w:cs="Times New Roman"/>
          <w:color w:val="000000" w:themeColor="text1"/>
          <w:sz w:val="24"/>
          <w:szCs w:val="24"/>
        </w:rPr>
        <w:t xml:space="preserve">. </w:t>
      </w:r>
      <w:r w:rsidR="00EF1443" w:rsidRPr="0078472B">
        <w:rPr>
          <w:rFonts w:ascii="Times New Roman" w:hAnsi="Times New Roman" w:cs="Times New Roman"/>
          <w:color w:val="000000" w:themeColor="text1"/>
          <w:sz w:val="24"/>
          <w:szCs w:val="24"/>
        </w:rPr>
        <w:t>C</w:t>
      </w:r>
      <w:r w:rsidR="004F0975"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(2009)</w:t>
      </w:r>
      <w:r w:rsidR="004F0975"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Examining the trait and Functional Motive Antecedents of Four Gambling Activities: Slot Machines, Skilled Card Games, Sports Betting, and Promotional Games</w:t>
      </w:r>
      <w:r w:rsidR="00AF5F08"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w:t>
      </w:r>
      <w:r w:rsidR="00EF1443" w:rsidRPr="0078472B">
        <w:rPr>
          <w:rFonts w:ascii="Times New Roman" w:hAnsi="Times New Roman" w:cs="Times New Roman"/>
          <w:i/>
          <w:color w:val="000000" w:themeColor="text1"/>
          <w:sz w:val="24"/>
          <w:szCs w:val="24"/>
        </w:rPr>
        <w:t>Journal of Consumer Marketing</w:t>
      </w:r>
      <w:r w:rsidR="00EF1443" w:rsidRPr="0078472B">
        <w:rPr>
          <w:rFonts w:ascii="Times New Roman" w:hAnsi="Times New Roman" w:cs="Times New Roman"/>
          <w:color w:val="000000" w:themeColor="text1"/>
          <w:sz w:val="24"/>
          <w:szCs w:val="24"/>
        </w:rPr>
        <w:t xml:space="preserve">, </w:t>
      </w:r>
      <w:r w:rsidR="00EF1443" w:rsidRPr="0078472B">
        <w:rPr>
          <w:rFonts w:ascii="Times New Roman" w:hAnsi="Times New Roman" w:cs="Times New Roman"/>
          <w:i/>
          <w:color w:val="000000" w:themeColor="text1"/>
          <w:sz w:val="24"/>
          <w:szCs w:val="24"/>
        </w:rPr>
        <w:t>26</w:t>
      </w:r>
      <w:r w:rsidR="005425A1"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121-131</w:t>
      </w:r>
      <w:r w:rsidRPr="0078472B">
        <w:rPr>
          <w:rFonts w:ascii="Times New Roman" w:hAnsi="Times New Roman" w:cs="Times New Roman"/>
          <w:color w:val="000000" w:themeColor="text1"/>
          <w:sz w:val="24"/>
          <w:szCs w:val="24"/>
        </w:rPr>
        <w:t>.</w:t>
      </w:r>
    </w:p>
    <w:p w14:paraId="11D74B62" w14:textId="00C6ED81"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Forrest</w:t>
      </w:r>
      <w:r w:rsidR="004F0975"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D</w:t>
      </w:r>
      <w:r w:rsidR="004F0975"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004F0975" w:rsidRPr="0078472B">
        <w:rPr>
          <w:rFonts w:ascii="Times New Roman" w:hAnsi="Times New Roman" w:cs="Times New Roman"/>
          <w:color w:val="000000" w:themeColor="text1"/>
          <w:sz w:val="24"/>
          <w:szCs w:val="24"/>
        </w:rPr>
        <w:t>&amp;</w:t>
      </w:r>
      <w:r w:rsidR="00F26E25" w:rsidRPr="0078472B">
        <w:rPr>
          <w:rFonts w:ascii="Times New Roman" w:hAnsi="Times New Roman" w:cs="Times New Roman"/>
          <w:color w:val="000000" w:themeColor="text1"/>
          <w:sz w:val="24"/>
          <w:szCs w:val="24"/>
        </w:rPr>
        <w:t xml:space="preserve"> Gulley</w:t>
      </w:r>
      <w:r w:rsidR="004F0975"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D</w:t>
      </w:r>
      <w:r w:rsidR="004F0975"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O</w:t>
      </w:r>
      <w:r w:rsidR="004F0975"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(2009)</w:t>
      </w:r>
      <w:r w:rsidR="004F0975"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Participation and level of play in the UK National Lottery and correlation with spending on other modes of gambling</w:t>
      </w:r>
      <w:r w:rsidR="00AF5F0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International Gambling Studies</w:t>
      </w:r>
      <w:r w:rsidR="004F0975"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9</w:t>
      </w:r>
      <w:r w:rsidR="005425A1"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165-179</w:t>
      </w:r>
      <w:r w:rsidR="00F26E25" w:rsidRPr="0078472B">
        <w:rPr>
          <w:rFonts w:ascii="Times New Roman" w:hAnsi="Times New Roman" w:cs="Times New Roman"/>
          <w:color w:val="000000" w:themeColor="text1"/>
          <w:sz w:val="24"/>
          <w:szCs w:val="24"/>
        </w:rPr>
        <w:t>.</w:t>
      </w:r>
    </w:p>
    <w:p w14:paraId="6A921B31" w14:textId="69D439CC" w:rsidR="000F1597" w:rsidRPr="0078472B" w:rsidRDefault="000F1597"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lastRenderedPageBreak/>
        <w:t xml:space="preserve">Forrest, D., &amp; Simmons, R. (2003). Sport and Gambling. </w:t>
      </w:r>
      <w:r w:rsidRPr="0078472B">
        <w:rPr>
          <w:rFonts w:ascii="Times New Roman" w:hAnsi="Times New Roman" w:cs="Times New Roman"/>
          <w:i/>
          <w:color w:val="000000" w:themeColor="text1"/>
          <w:sz w:val="24"/>
          <w:szCs w:val="24"/>
        </w:rPr>
        <w:t>Oxford Review of Economic Policy</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19(4)</w:t>
      </w:r>
      <w:r w:rsidRPr="0078472B">
        <w:rPr>
          <w:rFonts w:ascii="Times New Roman" w:hAnsi="Times New Roman" w:cs="Times New Roman"/>
          <w:color w:val="000000" w:themeColor="text1"/>
          <w:sz w:val="24"/>
          <w:szCs w:val="24"/>
        </w:rPr>
        <w:t>, 598-611.</w:t>
      </w:r>
    </w:p>
    <w:p w14:paraId="0B73A9CC" w14:textId="2C90A854"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Gainsbury, S</w:t>
      </w:r>
      <w:r w:rsidR="004F0975"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M</w:t>
      </w:r>
      <w:r w:rsidR="004F0975"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Russell, A</w:t>
      </w:r>
      <w:r w:rsidR="004F0975"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Hing, N</w:t>
      </w:r>
      <w:r w:rsidR="004F0975"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Wood, R</w:t>
      </w:r>
      <w:r w:rsidR="004F0975"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Lubman, D</w:t>
      </w:r>
      <w:r w:rsidR="004F0975"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004F0975" w:rsidRPr="0078472B">
        <w:rPr>
          <w:rFonts w:ascii="Times New Roman" w:hAnsi="Times New Roman" w:cs="Times New Roman"/>
          <w:color w:val="000000" w:themeColor="text1"/>
          <w:sz w:val="24"/>
          <w:szCs w:val="24"/>
        </w:rPr>
        <w:t>&amp;</w:t>
      </w:r>
      <w:r w:rsidRPr="0078472B">
        <w:rPr>
          <w:rFonts w:ascii="Times New Roman" w:hAnsi="Times New Roman" w:cs="Times New Roman"/>
          <w:color w:val="000000" w:themeColor="text1"/>
          <w:sz w:val="24"/>
          <w:szCs w:val="24"/>
        </w:rPr>
        <w:t xml:space="preserve"> Blaszczynski, A</w:t>
      </w:r>
      <w:r w:rsidR="004F0975"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(2015</w:t>
      </w:r>
      <w:r w:rsidR="009D182E" w:rsidRPr="0078472B">
        <w:rPr>
          <w:rFonts w:ascii="Times New Roman" w:hAnsi="Times New Roman" w:cs="Times New Roman"/>
          <w:color w:val="000000" w:themeColor="text1"/>
          <w:sz w:val="24"/>
          <w:szCs w:val="24"/>
        </w:rPr>
        <w:t>a</w:t>
      </w:r>
      <w:r w:rsidRPr="0078472B">
        <w:rPr>
          <w:rFonts w:ascii="Times New Roman" w:hAnsi="Times New Roman" w:cs="Times New Roman"/>
          <w:color w:val="000000" w:themeColor="text1"/>
          <w:sz w:val="24"/>
          <w:szCs w:val="24"/>
        </w:rPr>
        <w:t>)</w:t>
      </w:r>
      <w:r w:rsidR="004F0975"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How the Internet is </w:t>
      </w:r>
      <w:r w:rsidR="002B0C9F" w:rsidRPr="0078472B">
        <w:rPr>
          <w:rFonts w:ascii="Times New Roman" w:hAnsi="Times New Roman" w:cs="Times New Roman"/>
          <w:color w:val="000000" w:themeColor="text1"/>
          <w:sz w:val="24"/>
          <w:szCs w:val="24"/>
        </w:rPr>
        <w:t>C</w:t>
      </w:r>
      <w:r w:rsidRPr="0078472B">
        <w:rPr>
          <w:rFonts w:ascii="Times New Roman" w:hAnsi="Times New Roman" w:cs="Times New Roman"/>
          <w:color w:val="000000" w:themeColor="text1"/>
          <w:sz w:val="24"/>
          <w:szCs w:val="24"/>
        </w:rPr>
        <w:t xml:space="preserve">hanging </w:t>
      </w:r>
      <w:r w:rsidR="002B0C9F" w:rsidRPr="0078472B">
        <w:rPr>
          <w:rFonts w:ascii="Times New Roman" w:hAnsi="Times New Roman" w:cs="Times New Roman"/>
          <w:color w:val="000000" w:themeColor="text1"/>
          <w:sz w:val="24"/>
          <w:szCs w:val="24"/>
        </w:rPr>
        <w:t>G</w:t>
      </w:r>
      <w:r w:rsidRPr="0078472B">
        <w:rPr>
          <w:rFonts w:ascii="Times New Roman" w:hAnsi="Times New Roman" w:cs="Times New Roman"/>
          <w:color w:val="000000" w:themeColor="text1"/>
          <w:sz w:val="24"/>
          <w:szCs w:val="24"/>
        </w:rPr>
        <w:t>ambling: Findings from an Australian Prevalence Survey</w:t>
      </w:r>
      <w:r w:rsidR="00D81EFC"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Journal of Gambling Studies</w:t>
      </w:r>
      <w:r w:rsidR="005425A1"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31</w:t>
      </w:r>
      <w:r w:rsidR="005425A1"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1-15</w:t>
      </w:r>
      <w:r w:rsidR="00F26E25" w:rsidRPr="0078472B">
        <w:rPr>
          <w:rFonts w:ascii="Times New Roman" w:hAnsi="Times New Roman" w:cs="Times New Roman"/>
          <w:color w:val="000000" w:themeColor="text1"/>
          <w:sz w:val="24"/>
          <w:szCs w:val="24"/>
        </w:rPr>
        <w:t>.</w:t>
      </w:r>
    </w:p>
    <w:p w14:paraId="35F38A1D" w14:textId="12475CEB" w:rsidR="00BA25D3" w:rsidRPr="0078472B" w:rsidRDefault="00BA25D3"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Gainsbury, S</w:t>
      </w:r>
      <w:r w:rsidR="009C45CA"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M</w:t>
      </w:r>
      <w:r w:rsidR="009C45CA"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Russell, A</w:t>
      </w:r>
      <w:r w:rsidR="009C45CA"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Wood, R</w:t>
      </w:r>
      <w:r w:rsidR="009C45CA"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Hing, N</w:t>
      </w:r>
      <w:r w:rsidR="009C45CA"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009C45CA" w:rsidRPr="0078472B">
        <w:rPr>
          <w:rFonts w:ascii="Times New Roman" w:hAnsi="Times New Roman" w:cs="Times New Roman"/>
          <w:color w:val="000000" w:themeColor="text1"/>
          <w:sz w:val="24"/>
          <w:szCs w:val="24"/>
        </w:rPr>
        <w:t>&amp;</w:t>
      </w:r>
      <w:r w:rsidRPr="0078472B">
        <w:rPr>
          <w:rFonts w:ascii="Times New Roman" w:hAnsi="Times New Roman" w:cs="Times New Roman"/>
          <w:color w:val="000000" w:themeColor="text1"/>
          <w:sz w:val="24"/>
          <w:szCs w:val="24"/>
        </w:rPr>
        <w:t xml:space="preserve"> Blaszcynski, A</w:t>
      </w:r>
      <w:r w:rsidR="009C45CA"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(2015</w:t>
      </w:r>
      <w:r w:rsidR="009D182E" w:rsidRPr="0078472B">
        <w:rPr>
          <w:rFonts w:ascii="Times New Roman" w:hAnsi="Times New Roman" w:cs="Times New Roman"/>
          <w:color w:val="000000" w:themeColor="text1"/>
          <w:sz w:val="24"/>
          <w:szCs w:val="24"/>
        </w:rPr>
        <w:t>b</w:t>
      </w:r>
      <w:r w:rsidRPr="0078472B">
        <w:rPr>
          <w:rFonts w:ascii="Times New Roman" w:hAnsi="Times New Roman" w:cs="Times New Roman"/>
          <w:color w:val="000000" w:themeColor="text1"/>
          <w:sz w:val="24"/>
          <w:szCs w:val="24"/>
        </w:rPr>
        <w:t>)</w:t>
      </w:r>
      <w:r w:rsidR="009C45CA"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How risky is Internet gambling? A comparison of subgroups of Internet gamblers based on problem gambling status</w:t>
      </w:r>
      <w:r w:rsidR="00AF5F0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 xml:space="preserve">New Media </w:t>
      </w:r>
      <w:r w:rsidR="00AF5F08" w:rsidRPr="0078472B">
        <w:rPr>
          <w:rFonts w:ascii="Times New Roman" w:hAnsi="Times New Roman" w:cs="Times New Roman"/>
          <w:i/>
          <w:color w:val="000000" w:themeColor="text1"/>
          <w:sz w:val="24"/>
          <w:szCs w:val="24"/>
        </w:rPr>
        <w:t>&amp;</w:t>
      </w:r>
      <w:r w:rsidRPr="0078472B">
        <w:rPr>
          <w:rFonts w:ascii="Times New Roman" w:hAnsi="Times New Roman" w:cs="Times New Roman"/>
          <w:i/>
          <w:color w:val="000000" w:themeColor="text1"/>
          <w:sz w:val="24"/>
          <w:szCs w:val="24"/>
        </w:rPr>
        <w:t xml:space="preserve"> Society</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17(6)</w:t>
      </w:r>
      <w:r w:rsidR="005425A1"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861-879</w:t>
      </w:r>
      <w:r w:rsidR="00F26E25" w:rsidRPr="0078472B">
        <w:rPr>
          <w:rFonts w:ascii="Times New Roman" w:hAnsi="Times New Roman" w:cs="Times New Roman"/>
          <w:color w:val="000000" w:themeColor="text1"/>
          <w:sz w:val="24"/>
          <w:szCs w:val="24"/>
        </w:rPr>
        <w:t>.</w:t>
      </w:r>
    </w:p>
    <w:p w14:paraId="6F45BD9D" w14:textId="27AD091D" w:rsidR="00EF1443" w:rsidRPr="0078472B" w:rsidRDefault="00BA25D3" w:rsidP="00E5036A">
      <w:pPr>
        <w:spacing w:after="0" w:line="240" w:lineRule="auto"/>
        <w:ind w:left="567" w:hanging="567"/>
        <w:jc w:val="both"/>
        <w:rPr>
          <w:rFonts w:ascii="Times New Roman" w:hAnsi="Times New Roman" w:cs="Times New Roman"/>
          <w:color w:val="000000" w:themeColor="text1"/>
          <w:sz w:val="24"/>
          <w:szCs w:val="24"/>
          <w:lang w:val="en-US"/>
        </w:rPr>
      </w:pPr>
      <w:r w:rsidRPr="0078472B">
        <w:rPr>
          <w:rFonts w:ascii="Times New Roman" w:hAnsi="Times New Roman" w:cs="Times New Roman"/>
          <w:color w:val="000000" w:themeColor="text1"/>
          <w:sz w:val="24"/>
          <w:szCs w:val="24"/>
          <w:lang w:val="en-US"/>
        </w:rPr>
        <w:t>Gainsbury, S</w:t>
      </w:r>
      <w:r w:rsidR="009C45CA"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lang w:val="en-US"/>
        </w:rPr>
        <w:t>M</w:t>
      </w:r>
      <w:r w:rsidR="009C45CA"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00EF1443" w:rsidRPr="0078472B">
        <w:rPr>
          <w:rFonts w:ascii="Times New Roman" w:hAnsi="Times New Roman" w:cs="Times New Roman"/>
          <w:color w:val="000000" w:themeColor="text1"/>
          <w:sz w:val="24"/>
          <w:szCs w:val="24"/>
          <w:lang w:val="en-US"/>
        </w:rPr>
        <w:t>Wood, R</w:t>
      </w:r>
      <w:r w:rsidR="009C45CA"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w:t>
      </w:r>
      <w:r w:rsidR="00EF1443" w:rsidRPr="0078472B">
        <w:rPr>
          <w:rFonts w:ascii="Times New Roman" w:hAnsi="Times New Roman" w:cs="Times New Roman"/>
          <w:color w:val="000000" w:themeColor="text1"/>
          <w:sz w:val="24"/>
          <w:szCs w:val="24"/>
          <w:lang w:val="en-US"/>
        </w:rPr>
        <w:t xml:space="preserve"> Russell, A</w:t>
      </w:r>
      <w:r w:rsidR="009C45CA"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w:t>
      </w:r>
      <w:r w:rsidR="00EF1443" w:rsidRPr="0078472B">
        <w:rPr>
          <w:rFonts w:ascii="Times New Roman" w:hAnsi="Times New Roman" w:cs="Times New Roman"/>
          <w:color w:val="000000" w:themeColor="text1"/>
          <w:sz w:val="24"/>
          <w:szCs w:val="24"/>
          <w:lang w:val="en-US"/>
        </w:rPr>
        <w:t xml:space="preserve"> Hing, N</w:t>
      </w:r>
      <w:r w:rsidR="009C45CA" w:rsidRPr="0078472B">
        <w:rPr>
          <w:rFonts w:ascii="Times New Roman" w:hAnsi="Times New Roman" w:cs="Times New Roman"/>
          <w:color w:val="000000" w:themeColor="text1"/>
          <w:sz w:val="24"/>
          <w:szCs w:val="24"/>
          <w:lang w:val="en-US"/>
        </w:rPr>
        <w:t>.,</w:t>
      </w:r>
      <w:r w:rsidR="00EF1443" w:rsidRPr="0078472B">
        <w:rPr>
          <w:rFonts w:ascii="Times New Roman" w:hAnsi="Times New Roman" w:cs="Times New Roman"/>
          <w:color w:val="000000" w:themeColor="text1"/>
          <w:sz w:val="24"/>
          <w:szCs w:val="24"/>
          <w:lang w:val="en-US"/>
        </w:rPr>
        <w:t xml:space="preserve"> </w:t>
      </w:r>
      <w:r w:rsidR="009C45CA" w:rsidRPr="0078472B">
        <w:rPr>
          <w:rFonts w:ascii="Times New Roman" w:hAnsi="Times New Roman" w:cs="Times New Roman"/>
          <w:color w:val="000000" w:themeColor="text1"/>
          <w:sz w:val="24"/>
          <w:szCs w:val="24"/>
          <w:lang w:val="en-US"/>
        </w:rPr>
        <w:t>&amp;</w:t>
      </w:r>
      <w:r w:rsidR="00EF1443" w:rsidRPr="0078472B">
        <w:rPr>
          <w:rFonts w:ascii="Times New Roman" w:hAnsi="Times New Roman" w:cs="Times New Roman"/>
          <w:color w:val="000000" w:themeColor="text1"/>
          <w:sz w:val="24"/>
          <w:szCs w:val="24"/>
          <w:lang w:val="en-US"/>
        </w:rPr>
        <w:t xml:space="preserve"> Blaszczynski, A</w:t>
      </w:r>
      <w:r w:rsidR="009C45CA" w:rsidRPr="0078472B">
        <w:rPr>
          <w:rFonts w:ascii="Times New Roman" w:hAnsi="Times New Roman" w:cs="Times New Roman"/>
          <w:color w:val="000000" w:themeColor="text1"/>
          <w:sz w:val="24"/>
          <w:szCs w:val="24"/>
          <w:lang w:val="en-US"/>
        </w:rPr>
        <w:t>.</w:t>
      </w:r>
      <w:r w:rsidR="00EF1443" w:rsidRPr="0078472B">
        <w:rPr>
          <w:rFonts w:ascii="Times New Roman" w:hAnsi="Times New Roman" w:cs="Times New Roman"/>
          <w:color w:val="000000" w:themeColor="text1"/>
          <w:sz w:val="24"/>
          <w:szCs w:val="24"/>
          <w:lang w:val="en-US"/>
        </w:rPr>
        <w:t xml:space="preserve"> (2012)</w:t>
      </w:r>
      <w:r w:rsidR="009C45CA" w:rsidRPr="0078472B">
        <w:rPr>
          <w:rFonts w:ascii="Times New Roman" w:hAnsi="Times New Roman" w:cs="Times New Roman"/>
          <w:color w:val="000000" w:themeColor="text1"/>
          <w:sz w:val="24"/>
          <w:szCs w:val="24"/>
          <w:lang w:val="en-US"/>
        </w:rPr>
        <w:t>.</w:t>
      </w:r>
      <w:r w:rsidR="00EF1443" w:rsidRPr="0078472B">
        <w:rPr>
          <w:rFonts w:ascii="Times New Roman" w:hAnsi="Times New Roman" w:cs="Times New Roman"/>
          <w:color w:val="000000" w:themeColor="text1"/>
          <w:sz w:val="24"/>
          <w:szCs w:val="24"/>
          <w:lang w:val="en-US"/>
        </w:rPr>
        <w:t xml:space="preserve"> A digital revolution: Comparison of demographic profiles, attitudes and gambling behavior of Internet and non-Internet gamblers</w:t>
      </w:r>
      <w:r w:rsidR="00AF5F08" w:rsidRPr="0078472B">
        <w:rPr>
          <w:rFonts w:ascii="Times New Roman" w:hAnsi="Times New Roman" w:cs="Times New Roman"/>
          <w:color w:val="000000" w:themeColor="text1"/>
          <w:sz w:val="24"/>
          <w:szCs w:val="24"/>
          <w:lang w:val="en-US"/>
        </w:rPr>
        <w:t>.</w:t>
      </w:r>
      <w:r w:rsidR="00EF1443" w:rsidRPr="0078472B">
        <w:rPr>
          <w:rFonts w:ascii="Times New Roman" w:hAnsi="Times New Roman" w:cs="Times New Roman"/>
          <w:color w:val="000000" w:themeColor="text1"/>
          <w:sz w:val="24"/>
          <w:szCs w:val="24"/>
          <w:lang w:val="en-US"/>
        </w:rPr>
        <w:t xml:space="preserve"> </w:t>
      </w:r>
      <w:r w:rsidR="00EF1443" w:rsidRPr="0078472B">
        <w:rPr>
          <w:rFonts w:ascii="Times New Roman" w:hAnsi="Times New Roman" w:cs="Times New Roman"/>
          <w:i/>
          <w:color w:val="000000" w:themeColor="text1"/>
          <w:sz w:val="24"/>
          <w:szCs w:val="24"/>
          <w:lang w:val="en-US"/>
        </w:rPr>
        <w:t>Computers in Human Behavior</w:t>
      </w:r>
      <w:r w:rsidR="005425A1" w:rsidRPr="0078472B">
        <w:rPr>
          <w:rFonts w:ascii="Times New Roman" w:hAnsi="Times New Roman" w:cs="Times New Roman"/>
          <w:color w:val="000000" w:themeColor="text1"/>
          <w:sz w:val="24"/>
          <w:szCs w:val="24"/>
          <w:lang w:val="en-US"/>
        </w:rPr>
        <w:t>,</w:t>
      </w:r>
      <w:r w:rsidR="00EF1443" w:rsidRPr="0078472B">
        <w:rPr>
          <w:rFonts w:ascii="Times New Roman" w:hAnsi="Times New Roman" w:cs="Times New Roman"/>
          <w:color w:val="000000" w:themeColor="text1"/>
          <w:sz w:val="24"/>
          <w:szCs w:val="24"/>
          <w:lang w:val="en-US"/>
        </w:rPr>
        <w:t xml:space="preserve"> </w:t>
      </w:r>
      <w:r w:rsidR="00EF1443" w:rsidRPr="0078472B">
        <w:rPr>
          <w:rFonts w:ascii="Times New Roman" w:hAnsi="Times New Roman" w:cs="Times New Roman"/>
          <w:i/>
          <w:color w:val="000000" w:themeColor="text1"/>
          <w:sz w:val="24"/>
          <w:szCs w:val="24"/>
          <w:lang w:val="en-US"/>
        </w:rPr>
        <w:t>28</w:t>
      </w:r>
      <w:r w:rsidR="005425A1" w:rsidRPr="0078472B">
        <w:rPr>
          <w:rFonts w:ascii="Times New Roman" w:hAnsi="Times New Roman" w:cs="Times New Roman"/>
          <w:color w:val="000000" w:themeColor="text1"/>
          <w:sz w:val="24"/>
          <w:szCs w:val="24"/>
          <w:lang w:val="en-US"/>
        </w:rPr>
        <w:t>,</w:t>
      </w:r>
      <w:r w:rsidR="00EF1443" w:rsidRPr="0078472B">
        <w:rPr>
          <w:rFonts w:ascii="Times New Roman" w:hAnsi="Times New Roman" w:cs="Times New Roman"/>
          <w:color w:val="000000" w:themeColor="text1"/>
          <w:sz w:val="24"/>
          <w:szCs w:val="24"/>
          <w:lang w:val="en-US"/>
        </w:rPr>
        <w:t xml:space="preserve"> 1388-1398</w:t>
      </w:r>
      <w:r w:rsidR="00F26E25" w:rsidRPr="0078472B">
        <w:rPr>
          <w:rFonts w:ascii="Times New Roman" w:hAnsi="Times New Roman" w:cs="Times New Roman"/>
          <w:color w:val="000000" w:themeColor="text1"/>
          <w:sz w:val="24"/>
          <w:szCs w:val="24"/>
          <w:lang w:val="en-US"/>
        </w:rPr>
        <w:t>.</w:t>
      </w:r>
    </w:p>
    <w:p w14:paraId="34435FFF" w14:textId="4B40EDE6" w:rsidR="00745F9A" w:rsidRPr="0078472B" w:rsidRDefault="00745F9A" w:rsidP="00E5036A">
      <w:pPr>
        <w:spacing w:after="0" w:line="240" w:lineRule="auto"/>
        <w:ind w:left="567" w:hanging="567"/>
        <w:jc w:val="both"/>
        <w:rPr>
          <w:rFonts w:ascii="Times New Roman" w:hAnsi="Times New Roman" w:cs="Times New Roman"/>
          <w:color w:val="000000" w:themeColor="text1"/>
          <w:sz w:val="24"/>
          <w:szCs w:val="24"/>
          <w:lang w:val="en-US"/>
        </w:rPr>
      </w:pPr>
      <w:r w:rsidRPr="0078472B">
        <w:rPr>
          <w:rFonts w:ascii="Times New Roman" w:hAnsi="Times New Roman" w:cs="Times New Roman"/>
          <w:color w:val="000000" w:themeColor="text1"/>
          <w:sz w:val="24"/>
          <w:szCs w:val="24"/>
          <w:lang w:val="en-US"/>
        </w:rPr>
        <w:t xml:space="preserve">Gassman, F., Emrich, E., &amp; Pierdzioch, C. (2017). Who bets on sports? Some further empirical evidence using German data. </w:t>
      </w:r>
      <w:r w:rsidRPr="0078472B">
        <w:rPr>
          <w:rFonts w:ascii="Times New Roman" w:hAnsi="Times New Roman" w:cs="Times New Roman"/>
          <w:i/>
          <w:iCs/>
          <w:color w:val="000000" w:themeColor="text1"/>
          <w:sz w:val="24"/>
          <w:szCs w:val="24"/>
          <w:lang w:val="en-US"/>
        </w:rPr>
        <w:t>International Re</w:t>
      </w:r>
      <w:r w:rsidR="00B051E2" w:rsidRPr="0078472B">
        <w:rPr>
          <w:rFonts w:ascii="Times New Roman" w:hAnsi="Times New Roman" w:cs="Times New Roman"/>
          <w:i/>
          <w:iCs/>
          <w:color w:val="000000" w:themeColor="text1"/>
          <w:sz w:val="24"/>
          <w:szCs w:val="24"/>
          <w:lang w:val="en-US"/>
        </w:rPr>
        <w:t>view for the Sociology of Sport</w:t>
      </w:r>
      <w:r w:rsidRPr="0078472B">
        <w:rPr>
          <w:rFonts w:ascii="Times New Roman" w:hAnsi="Times New Roman" w:cs="Times New Roman"/>
          <w:color w:val="000000" w:themeColor="text1"/>
          <w:sz w:val="24"/>
          <w:szCs w:val="24"/>
          <w:lang w:val="en-US"/>
        </w:rPr>
        <w:t>,</w:t>
      </w:r>
      <w:r w:rsidR="00B051E2"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i/>
          <w:color w:val="000000" w:themeColor="text1"/>
          <w:sz w:val="24"/>
          <w:szCs w:val="24"/>
          <w:lang w:val="en-US"/>
        </w:rPr>
        <w:t>52(4)</w:t>
      </w:r>
      <w:r w:rsidRPr="0078472B">
        <w:rPr>
          <w:rFonts w:ascii="Times New Roman" w:hAnsi="Times New Roman" w:cs="Times New Roman"/>
          <w:color w:val="000000" w:themeColor="text1"/>
          <w:sz w:val="24"/>
          <w:szCs w:val="24"/>
          <w:lang w:val="en-US"/>
        </w:rPr>
        <w:t xml:space="preserve"> 391–410.</w:t>
      </w:r>
    </w:p>
    <w:p w14:paraId="022F767E" w14:textId="019DA662" w:rsidR="00CA6D29" w:rsidRPr="0078472B" w:rsidRDefault="00CA6D29" w:rsidP="00CA6D29">
      <w:pPr>
        <w:spacing w:after="0" w:line="240" w:lineRule="auto"/>
        <w:ind w:left="567" w:hanging="567"/>
        <w:jc w:val="both"/>
        <w:rPr>
          <w:rFonts w:ascii="Times New Roman" w:hAnsi="Times New Roman" w:cs="Times New Roman"/>
          <w:iCs/>
          <w:color w:val="000000" w:themeColor="text1"/>
          <w:sz w:val="24"/>
          <w:szCs w:val="24"/>
          <w:lang w:val="en-US"/>
        </w:rPr>
      </w:pPr>
      <w:r w:rsidRPr="0078472B">
        <w:rPr>
          <w:rFonts w:ascii="Times New Roman" w:hAnsi="Times New Roman" w:cs="Times New Roman"/>
          <w:color w:val="000000" w:themeColor="text1"/>
          <w:sz w:val="24"/>
          <w:szCs w:val="24"/>
          <w:lang w:val="en-US"/>
        </w:rPr>
        <w:t xml:space="preserve">Hevostalous lukuina 2014 (2015). (”Horse industry in figures”, in Finnish only).  Available at: </w:t>
      </w:r>
      <w:hyperlink r:id="rId12" w:history="1">
        <w:r w:rsidR="00BF539D" w:rsidRPr="0078472B">
          <w:rPr>
            <w:rStyle w:val="Hyperlink"/>
            <w:rFonts w:ascii="Times New Roman" w:hAnsi="Times New Roman"/>
            <w:i/>
            <w:color w:val="000000" w:themeColor="text1"/>
            <w:sz w:val="24"/>
            <w:szCs w:val="24"/>
            <w:lang w:val="en-US"/>
          </w:rPr>
          <w:t>https://www.hippos.fi/files/11501/Hevostalous_lukuina_2014.pdf</w:t>
        </w:r>
      </w:hyperlink>
      <w:r w:rsidR="001D2141" w:rsidRPr="0078472B">
        <w:rPr>
          <w:rStyle w:val="Hyperlink"/>
          <w:rFonts w:ascii="Times New Roman" w:hAnsi="Times New Roman"/>
          <w:i/>
          <w:color w:val="000000" w:themeColor="text1"/>
          <w:sz w:val="24"/>
          <w:szCs w:val="24"/>
          <w:lang w:val="en-US"/>
        </w:rPr>
        <w:t xml:space="preserve"> </w:t>
      </w:r>
      <w:r w:rsidR="001D2141" w:rsidRPr="0078472B">
        <w:rPr>
          <w:rFonts w:ascii="Times New Roman" w:hAnsi="Times New Roman" w:cs="Times New Roman"/>
          <w:color w:val="000000" w:themeColor="text1"/>
          <w:sz w:val="24"/>
          <w:szCs w:val="24"/>
          <w:lang w:val="en-US"/>
        </w:rPr>
        <w:t>(Accessed: April 14 2020).</w:t>
      </w:r>
    </w:p>
    <w:p w14:paraId="72B2DD0A" w14:textId="730DED55" w:rsidR="00CA6D29" w:rsidRPr="0078472B" w:rsidRDefault="00CA6D29" w:rsidP="00CA6D29">
      <w:pPr>
        <w:spacing w:after="0" w:line="240" w:lineRule="auto"/>
        <w:ind w:left="567" w:hanging="567"/>
        <w:jc w:val="both"/>
        <w:rPr>
          <w:rFonts w:ascii="Times New Roman" w:hAnsi="Times New Roman" w:cs="Times New Roman"/>
          <w:iCs/>
          <w:color w:val="000000" w:themeColor="text1"/>
          <w:sz w:val="24"/>
          <w:szCs w:val="24"/>
          <w:lang w:val="en-US"/>
        </w:rPr>
      </w:pPr>
      <w:r w:rsidRPr="0078472B">
        <w:rPr>
          <w:rFonts w:ascii="Times New Roman" w:hAnsi="Times New Roman" w:cs="Times New Roman"/>
          <w:iCs/>
          <w:color w:val="000000" w:themeColor="text1"/>
          <w:sz w:val="24"/>
          <w:szCs w:val="24"/>
          <w:lang w:val="en-US"/>
        </w:rPr>
        <w:t>Hevostalous lukuina 2015 (2016).</w:t>
      </w:r>
      <w:r w:rsidRPr="0078472B">
        <w:rPr>
          <w:rFonts w:ascii="Times New Roman" w:hAnsi="Times New Roman" w:cs="Times New Roman"/>
          <w:i/>
          <w:color w:val="000000" w:themeColor="text1"/>
          <w:sz w:val="24"/>
          <w:szCs w:val="24"/>
          <w:lang w:val="en-US"/>
        </w:rPr>
        <w:t xml:space="preserve"> </w:t>
      </w:r>
      <w:r w:rsidRPr="0078472B">
        <w:rPr>
          <w:rFonts w:ascii="Times New Roman" w:hAnsi="Times New Roman" w:cs="Times New Roman"/>
          <w:color w:val="000000" w:themeColor="text1"/>
          <w:sz w:val="24"/>
          <w:szCs w:val="24"/>
          <w:lang w:val="en-US"/>
        </w:rPr>
        <w:t xml:space="preserve">(”Horse industry in figures”, in Finnish only).  Available at: </w:t>
      </w:r>
      <w:r w:rsidRPr="0078472B">
        <w:rPr>
          <w:rFonts w:ascii="Times New Roman" w:hAnsi="Times New Roman" w:cs="Times New Roman"/>
          <w:i/>
          <w:color w:val="000000" w:themeColor="text1"/>
          <w:sz w:val="24"/>
          <w:szCs w:val="24"/>
          <w:lang w:val="en-US"/>
        </w:rPr>
        <w:t>[</w:t>
      </w:r>
      <w:hyperlink r:id="rId13" w:history="1">
        <w:r w:rsidRPr="0078472B">
          <w:rPr>
            <w:rStyle w:val="Hyperlink"/>
            <w:rFonts w:ascii="Times New Roman" w:hAnsi="Times New Roman"/>
            <w:i/>
            <w:color w:val="000000" w:themeColor="text1"/>
            <w:sz w:val="24"/>
            <w:szCs w:val="24"/>
            <w:lang w:val="en-US"/>
          </w:rPr>
          <w:t>https://www.hippos.fi/files/14454/Hevostalous_lukuina_2015.pdf</w:t>
        </w:r>
      </w:hyperlink>
      <w:r w:rsidRPr="0078472B">
        <w:rPr>
          <w:rFonts w:ascii="Times New Roman" w:hAnsi="Times New Roman" w:cs="Times New Roman"/>
          <w:i/>
          <w:color w:val="000000" w:themeColor="text1"/>
          <w:sz w:val="24"/>
          <w:szCs w:val="24"/>
          <w:lang w:val="en-US"/>
        </w:rPr>
        <w:t>]</w:t>
      </w:r>
      <w:r w:rsidR="001D2141" w:rsidRPr="0078472B">
        <w:rPr>
          <w:rFonts w:ascii="Times New Roman" w:hAnsi="Times New Roman" w:cs="Times New Roman"/>
          <w:i/>
          <w:color w:val="000000" w:themeColor="text1"/>
          <w:sz w:val="24"/>
          <w:szCs w:val="24"/>
          <w:lang w:val="en-US"/>
        </w:rPr>
        <w:t xml:space="preserve"> </w:t>
      </w:r>
      <w:r w:rsidR="001D2141" w:rsidRPr="0078472B">
        <w:rPr>
          <w:rFonts w:ascii="Times New Roman" w:hAnsi="Times New Roman" w:cs="Times New Roman"/>
          <w:color w:val="000000" w:themeColor="text1"/>
          <w:sz w:val="24"/>
          <w:szCs w:val="24"/>
          <w:lang w:val="en-US"/>
        </w:rPr>
        <w:t>(Accessed: April 14 2020).</w:t>
      </w:r>
    </w:p>
    <w:p w14:paraId="61882D50" w14:textId="695EC020"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lang w:val="en-US"/>
        </w:rPr>
      </w:pPr>
      <w:r w:rsidRPr="0078472B">
        <w:rPr>
          <w:rFonts w:ascii="Times New Roman" w:hAnsi="Times New Roman" w:cs="Times New Roman"/>
          <w:color w:val="000000" w:themeColor="text1"/>
          <w:sz w:val="24"/>
          <w:szCs w:val="24"/>
          <w:lang w:val="en-US"/>
        </w:rPr>
        <w:t>Humphreys, B</w:t>
      </w:r>
      <w:r w:rsidR="009C45CA"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lang w:val="en-US"/>
        </w:rPr>
        <w:t>R</w:t>
      </w:r>
      <w:r w:rsidR="009C45CA"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00745F9A" w:rsidRPr="0078472B">
        <w:rPr>
          <w:rFonts w:ascii="Times New Roman" w:hAnsi="Times New Roman" w:cs="Times New Roman"/>
          <w:color w:val="000000" w:themeColor="text1"/>
          <w:sz w:val="24"/>
          <w:szCs w:val="24"/>
          <w:lang w:val="en-US"/>
        </w:rPr>
        <w:t>&amp;</w:t>
      </w:r>
      <w:r w:rsidRPr="0078472B">
        <w:rPr>
          <w:rFonts w:ascii="Times New Roman" w:hAnsi="Times New Roman" w:cs="Times New Roman"/>
          <w:color w:val="000000" w:themeColor="text1"/>
          <w:sz w:val="24"/>
          <w:szCs w:val="24"/>
          <w:lang w:val="en-US"/>
        </w:rPr>
        <w:t xml:space="preserve"> Perez, L</w:t>
      </w:r>
      <w:r w:rsidR="009C45CA"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(2012)</w:t>
      </w:r>
      <w:r w:rsidR="009C45CA"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Participation in Internet Gambling Markets: An International Comparison of Online Gamblers' Profiles</w:t>
      </w:r>
      <w:r w:rsidR="00AF5F08"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i/>
          <w:color w:val="000000" w:themeColor="text1"/>
          <w:sz w:val="24"/>
          <w:szCs w:val="24"/>
          <w:lang w:val="en-US"/>
        </w:rPr>
        <w:t>Journal of Internet Commerce</w:t>
      </w:r>
      <w:r w:rsidR="005425A1"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i/>
          <w:color w:val="000000" w:themeColor="text1"/>
          <w:sz w:val="24"/>
          <w:szCs w:val="24"/>
          <w:lang w:val="en-US"/>
        </w:rPr>
        <w:t>11</w:t>
      </w:r>
      <w:r w:rsidR="005425A1" w:rsidRPr="0078472B">
        <w:rPr>
          <w:rFonts w:ascii="Times New Roman" w:hAnsi="Times New Roman" w:cs="Times New Roman"/>
          <w:color w:val="000000" w:themeColor="text1"/>
          <w:sz w:val="24"/>
          <w:szCs w:val="24"/>
          <w:lang w:val="en-US"/>
        </w:rPr>
        <w:t>,</w:t>
      </w:r>
      <w:r w:rsidR="000E7B46"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lang w:val="en-US"/>
        </w:rPr>
        <w:t>24–40</w:t>
      </w:r>
      <w:r w:rsidR="00F26E25"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p>
    <w:p w14:paraId="403F4AE0" w14:textId="721E23E7"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lang w:val="en-US"/>
        </w:rPr>
        <w:t>Hyyppä, M</w:t>
      </w:r>
      <w:r w:rsidR="009C45CA"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lang w:val="en-US"/>
        </w:rPr>
        <w:t>T</w:t>
      </w:r>
      <w:r w:rsidR="009C45CA"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009C45CA" w:rsidRPr="0078472B">
        <w:rPr>
          <w:rFonts w:ascii="Times New Roman" w:hAnsi="Times New Roman" w:cs="Times New Roman"/>
          <w:color w:val="000000" w:themeColor="text1"/>
          <w:sz w:val="24"/>
          <w:szCs w:val="24"/>
          <w:lang w:val="en-US"/>
        </w:rPr>
        <w:t>&amp;</w:t>
      </w:r>
      <w:r w:rsidRPr="0078472B">
        <w:rPr>
          <w:rFonts w:ascii="Times New Roman" w:hAnsi="Times New Roman" w:cs="Times New Roman"/>
          <w:color w:val="000000" w:themeColor="text1"/>
          <w:sz w:val="24"/>
          <w:szCs w:val="24"/>
          <w:lang w:val="en-US"/>
        </w:rPr>
        <w:t xml:space="preserve"> Mäki, J</w:t>
      </w:r>
      <w:r w:rsidR="009C45CA" w:rsidRPr="0078472B">
        <w:rPr>
          <w:rFonts w:ascii="Times New Roman" w:hAnsi="Times New Roman" w:cs="Times New Roman"/>
          <w:color w:val="000000" w:themeColor="text1"/>
          <w:sz w:val="24"/>
          <w:szCs w:val="24"/>
          <w:lang w:val="en-US"/>
        </w:rPr>
        <w:t>.</w:t>
      </w:r>
      <w:r w:rsidR="00BA25D3"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lang w:val="en-US"/>
        </w:rPr>
        <w:t>(2001)</w:t>
      </w:r>
      <w:r w:rsidR="009C45CA"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rPr>
        <w:t>Why do Swedish-speaking Finns have longer active life? An area for social capital research</w:t>
      </w:r>
      <w:r w:rsidR="00AF5F0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Health Promotion International</w:t>
      </w:r>
      <w:r w:rsidR="005425A1"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16</w:t>
      </w:r>
      <w:r w:rsidR="005425A1"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55-64</w:t>
      </w:r>
      <w:r w:rsidR="00F26E25" w:rsidRPr="0078472B">
        <w:rPr>
          <w:rFonts w:ascii="Times New Roman" w:hAnsi="Times New Roman" w:cs="Times New Roman"/>
          <w:color w:val="000000" w:themeColor="text1"/>
          <w:sz w:val="24"/>
          <w:szCs w:val="24"/>
        </w:rPr>
        <w:t>.</w:t>
      </w:r>
    </w:p>
    <w:p w14:paraId="57285408" w14:textId="2E833A16"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lang w:val="en-US"/>
        </w:rPr>
        <w:t>Hyyppä, M</w:t>
      </w:r>
      <w:r w:rsidR="009C45CA"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lang w:val="en-US"/>
        </w:rPr>
        <w:t>T</w:t>
      </w:r>
      <w:r w:rsidR="009C45CA"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009C45CA" w:rsidRPr="0078472B">
        <w:rPr>
          <w:rFonts w:ascii="Times New Roman" w:hAnsi="Times New Roman" w:cs="Times New Roman"/>
          <w:color w:val="000000" w:themeColor="text1"/>
          <w:sz w:val="24"/>
          <w:szCs w:val="24"/>
          <w:lang w:val="en-US"/>
        </w:rPr>
        <w:t>&amp;</w:t>
      </w:r>
      <w:r w:rsidRPr="0078472B">
        <w:rPr>
          <w:rFonts w:ascii="Times New Roman" w:hAnsi="Times New Roman" w:cs="Times New Roman"/>
          <w:color w:val="000000" w:themeColor="text1"/>
          <w:sz w:val="24"/>
          <w:szCs w:val="24"/>
          <w:lang w:val="en-US"/>
        </w:rPr>
        <w:t xml:space="preserve"> Mäki, </w:t>
      </w:r>
      <w:r w:rsidR="00BA25D3" w:rsidRPr="0078472B">
        <w:rPr>
          <w:rFonts w:ascii="Times New Roman" w:hAnsi="Times New Roman" w:cs="Times New Roman"/>
          <w:color w:val="000000" w:themeColor="text1"/>
          <w:sz w:val="24"/>
          <w:szCs w:val="24"/>
          <w:lang w:val="en-US"/>
        </w:rPr>
        <w:t>J</w:t>
      </w:r>
      <w:r w:rsidR="009C45CA"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(2002)</w:t>
      </w:r>
      <w:r w:rsidR="009C45CA"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rPr>
        <w:t>Individual-Level Relationships between Social Capital and Self-Rated Health in a Bilingual Community</w:t>
      </w:r>
      <w:r w:rsidR="00AF5F0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Prevention Medicine</w:t>
      </w:r>
      <w:r w:rsidR="005425A1"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32</w:t>
      </w:r>
      <w:r w:rsidR="005425A1" w:rsidRPr="0078472B">
        <w:rPr>
          <w:rFonts w:ascii="Times New Roman" w:hAnsi="Times New Roman" w:cs="Times New Roman"/>
          <w:color w:val="000000" w:themeColor="text1"/>
          <w:sz w:val="24"/>
          <w:szCs w:val="24"/>
        </w:rPr>
        <w:t>,</w:t>
      </w:r>
      <w:r w:rsidR="000E7B46"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148-155</w:t>
      </w:r>
      <w:r w:rsidR="00F26E25" w:rsidRPr="0078472B">
        <w:rPr>
          <w:rFonts w:ascii="Times New Roman" w:hAnsi="Times New Roman" w:cs="Times New Roman"/>
          <w:color w:val="000000" w:themeColor="text1"/>
          <w:sz w:val="24"/>
          <w:szCs w:val="24"/>
        </w:rPr>
        <w:t>.</w:t>
      </w:r>
    </w:p>
    <w:p w14:paraId="696D3B30" w14:textId="2D5AA493" w:rsidR="004007B2" w:rsidRPr="0078472B" w:rsidRDefault="004007B2"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Kainulainen, T</w:t>
      </w:r>
      <w:r w:rsidR="009C45CA"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(201</w:t>
      </w:r>
      <w:r w:rsidR="009C45CA" w:rsidRPr="0078472B">
        <w:rPr>
          <w:rFonts w:ascii="Times New Roman" w:hAnsi="Times New Roman" w:cs="Times New Roman"/>
          <w:color w:val="000000" w:themeColor="text1"/>
          <w:sz w:val="24"/>
          <w:szCs w:val="24"/>
        </w:rPr>
        <w:t>9</w:t>
      </w:r>
      <w:r w:rsidRPr="0078472B">
        <w:rPr>
          <w:rFonts w:ascii="Times New Roman" w:hAnsi="Times New Roman" w:cs="Times New Roman"/>
          <w:color w:val="000000" w:themeColor="text1"/>
          <w:sz w:val="24"/>
          <w:szCs w:val="24"/>
        </w:rPr>
        <w:t xml:space="preserve">). A new measure of risk-taking in gambling. </w:t>
      </w:r>
      <w:r w:rsidRPr="0078472B">
        <w:rPr>
          <w:rFonts w:ascii="Times New Roman" w:hAnsi="Times New Roman" w:cs="Times New Roman"/>
          <w:i/>
          <w:color w:val="000000" w:themeColor="text1"/>
          <w:sz w:val="24"/>
          <w:szCs w:val="24"/>
        </w:rPr>
        <w:t>International Gambling Studies</w:t>
      </w:r>
      <w:r w:rsidR="009C45CA" w:rsidRPr="0078472B">
        <w:rPr>
          <w:rFonts w:ascii="Times New Roman" w:hAnsi="Times New Roman" w:cs="Times New Roman"/>
          <w:color w:val="000000" w:themeColor="text1"/>
          <w:sz w:val="24"/>
          <w:szCs w:val="24"/>
        </w:rPr>
        <w:t xml:space="preserve">, </w:t>
      </w:r>
      <w:r w:rsidR="009C45CA" w:rsidRPr="0078472B">
        <w:rPr>
          <w:rFonts w:ascii="Times New Roman" w:hAnsi="Times New Roman" w:cs="Times New Roman"/>
          <w:i/>
          <w:color w:val="000000" w:themeColor="text1"/>
          <w:sz w:val="24"/>
          <w:szCs w:val="24"/>
        </w:rPr>
        <w:t>19(1)</w:t>
      </w:r>
      <w:r w:rsidR="009C45CA" w:rsidRPr="0078472B">
        <w:rPr>
          <w:rFonts w:ascii="Times New Roman" w:hAnsi="Times New Roman" w:cs="Times New Roman"/>
          <w:color w:val="000000" w:themeColor="text1"/>
          <w:sz w:val="24"/>
          <w:szCs w:val="24"/>
        </w:rPr>
        <w:t>, 167-182</w:t>
      </w:r>
      <w:r w:rsidRPr="0078472B">
        <w:rPr>
          <w:rFonts w:ascii="Times New Roman" w:hAnsi="Times New Roman" w:cs="Times New Roman"/>
          <w:color w:val="000000" w:themeColor="text1"/>
          <w:sz w:val="24"/>
          <w:szCs w:val="24"/>
        </w:rPr>
        <w:t>.</w:t>
      </w:r>
    </w:p>
    <w:p w14:paraId="0968656F" w14:textId="53396FBD" w:rsidR="00CC2832" w:rsidRPr="0078472B" w:rsidRDefault="00CC2832"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 xml:space="preserve">Kruse, H. (2016). </w:t>
      </w:r>
      <w:r w:rsidRPr="0078472B">
        <w:rPr>
          <w:rFonts w:ascii="Times New Roman" w:hAnsi="Times New Roman" w:cs="Times New Roman"/>
          <w:i/>
          <w:color w:val="000000" w:themeColor="text1"/>
          <w:sz w:val="24"/>
          <w:szCs w:val="24"/>
        </w:rPr>
        <w:t>Off-Track and Online: The Networked Spaces of Horse Racin</w:t>
      </w:r>
      <w:r w:rsidRPr="0078472B">
        <w:rPr>
          <w:rFonts w:ascii="Times New Roman" w:hAnsi="Times New Roman" w:cs="Times New Roman"/>
          <w:color w:val="000000" w:themeColor="text1"/>
          <w:sz w:val="24"/>
          <w:szCs w:val="24"/>
        </w:rPr>
        <w:t>g. The MIT Press: Cambridge.</w:t>
      </w:r>
    </w:p>
    <w:p w14:paraId="678B6C1B" w14:textId="413B48E1"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LaBrie, R</w:t>
      </w:r>
      <w:r w:rsidR="009C45CA"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A</w:t>
      </w:r>
      <w:r w:rsidR="009C45CA"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009C45CA" w:rsidRPr="0078472B">
        <w:rPr>
          <w:rFonts w:ascii="Times New Roman" w:hAnsi="Times New Roman" w:cs="Times New Roman"/>
          <w:color w:val="000000" w:themeColor="text1"/>
          <w:sz w:val="24"/>
          <w:szCs w:val="24"/>
        </w:rPr>
        <w:t>&amp;</w:t>
      </w:r>
      <w:r w:rsidRPr="0078472B">
        <w:rPr>
          <w:rFonts w:ascii="Times New Roman" w:hAnsi="Times New Roman" w:cs="Times New Roman"/>
          <w:color w:val="000000" w:themeColor="text1"/>
          <w:sz w:val="24"/>
          <w:szCs w:val="24"/>
        </w:rPr>
        <w:t xml:space="preserve"> Shaffer, H</w:t>
      </w:r>
      <w:r w:rsidR="009C45CA"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J</w:t>
      </w:r>
      <w:r w:rsidR="009C45CA"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009C45CA" w:rsidRPr="0078472B">
        <w:rPr>
          <w:rFonts w:ascii="Times New Roman" w:hAnsi="Times New Roman" w:cs="Times New Roman"/>
          <w:color w:val="000000" w:themeColor="text1"/>
          <w:sz w:val="24"/>
          <w:szCs w:val="24"/>
        </w:rPr>
        <w:t>&amp;</w:t>
      </w:r>
      <w:r w:rsidRPr="0078472B">
        <w:rPr>
          <w:rFonts w:ascii="Times New Roman" w:hAnsi="Times New Roman" w:cs="Times New Roman"/>
          <w:color w:val="000000" w:themeColor="text1"/>
          <w:sz w:val="24"/>
          <w:szCs w:val="24"/>
        </w:rPr>
        <w:t xml:space="preserve"> LaPlante, D</w:t>
      </w:r>
      <w:r w:rsidR="009C45CA"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A</w:t>
      </w:r>
      <w:r w:rsidR="009C45CA"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009C45CA" w:rsidRPr="0078472B">
        <w:rPr>
          <w:rFonts w:ascii="Times New Roman" w:hAnsi="Times New Roman" w:cs="Times New Roman"/>
          <w:color w:val="000000" w:themeColor="text1"/>
          <w:sz w:val="24"/>
          <w:szCs w:val="24"/>
        </w:rPr>
        <w:t>&amp;</w:t>
      </w:r>
      <w:r w:rsidRPr="0078472B">
        <w:rPr>
          <w:rFonts w:ascii="Times New Roman" w:hAnsi="Times New Roman" w:cs="Times New Roman"/>
          <w:color w:val="000000" w:themeColor="text1"/>
          <w:sz w:val="24"/>
          <w:szCs w:val="24"/>
        </w:rPr>
        <w:t xml:space="preserve"> Wechsler</w:t>
      </w:r>
      <w:r w:rsidR="009C45CA"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H</w:t>
      </w:r>
      <w:r w:rsidR="009C45CA"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(2003)</w:t>
      </w:r>
      <w:r w:rsidR="009C45CA"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Correlates of College Student Gambling in the United States</w:t>
      </w:r>
      <w:r w:rsidR="00AF5F0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Journal of American College Health</w:t>
      </w:r>
      <w:r w:rsidR="005425A1"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52</w:t>
      </w:r>
      <w:r w:rsidR="005425A1"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53-62</w:t>
      </w:r>
      <w:r w:rsidR="00F26E25" w:rsidRPr="0078472B">
        <w:rPr>
          <w:rFonts w:ascii="Times New Roman" w:hAnsi="Times New Roman" w:cs="Times New Roman"/>
          <w:color w:val="000000" w:themeColor="text1"/>
          <w:sz w:val="24"/>
          <w:szCs w:val="24"/>
        </w:rPr>
        <w:t>.</w:t>
      </w:r>
    </w:p>
    <w:p w14:paraId="6ABF3820" w14:textId="349C3E85" w:rsidR="00EF1443" w:rsidRPr="0078472B" w:rsidRDefault="00BA25D3"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Lam, D</w:t>
      </w:r>
      <w:r w:rsidR="009C45CA"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(2007)</w:t>
      </w:r>
      <w:r w:rsidR="009C45CA"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An Exploratory Study of </w:t>
      </w:r>
      <w:r w:rsidR="00871038" w:rsidRPr="0078472B">
        <w:rPr>
          <w:rFonts w:ascii="Times New Roman" w:hAnsi="Times New Roman" w:cs="Times New Roman"/>
          <w:color w:val="000000" w:themeColor="text1"/>
          <w:sz w:val="24"/>
          <w:szCs w:val="24"/>
        </w:rPr>
        <w:t xml:space="preserve">Gambling Motivations and </w:t>
      </w:r>
      <w:r w:rsidR="00EF1443" w:rsidRPr="0078472B">
        <w:rPr>
          <w:rFonts w:ascii="Times New Roman" w:hAnsi="Times New Roman" w:cs="Times New Roman"/>
          <w:color w:val="000000" w:themeColor="text1"/>
          <w:sz w:val="24"/>
          <w:szCs w:val="24"/>
        </w:rPr>
        <w:t>Their Impact on the Purchase Frequencies of Various Gambling Products</w:t>
      </w:r>
      <w:r w:rsidR="00AF5F08"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w:t>
      </w:r>
      <w:r w:rsidR="00EF1443" w:rsidRPr="0078472B">
        <w:rPr>
          <w:rFonts w:ascii="Times New Roman" w:hAnsi="Times New Roman" w:cs="Times New Roman"/>
          <w:i/>
          <w:color w:val="000000" w:themeColor="text1"/>
          <w:sz w:val="24"/>
          <w:szCs w:val="24"/>
        </w:rPr>
        <w:t xml:space="preserve">Psychology </w:t>
      </w:r>
      <w:r w:rsidR="00F26E25" w:rsidRPr="0078472B">
        <w:rPr>
          <w:rFonts w:ascii="Times New Roman" w:hAnsi="Times New Roman" w:cs="Times New Roman"/>
          <w:i/>
          <w:color w:val="000000" w:themeColor="text1"/>
          <w:sz w:val="24"/>
          <w:szCs w:val="24"/>
        </w:rPr>
        <w:t>and</w:t>
      </w:r>
      <w:r w:rsidR="00EF1443" w:rsidRPr="0078472B">
        <w:rPr>
          <w:rFonts w:ascii="Times New Roman" w:hAnsi="Times New Roman" w:cs="Times New Roman"/>
          <w:i/>
          <w:color w:val="000000" w:themeColor="text1"/>
          <w:sz w:val="24"/>
          <w:szCs w:val="24"/>
        </w:rPr>
        <w:t xml:space="preserve"> Marketing</w:t>
      </w:r>
      <w:r w:rsidR="005425A1"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w:t>
      </w:r>
      <w:r w:rsidR="00EF1443" w:rsidRPr="0078472B">
        <w:rPr>
          <w:rFonts w:ascii="Times New Roman" w:hAnsi="Times New Roman" w:cs="Times New Roman"/>
          <w:i/>
          <w:color w:val="000000" w:themeColor="text1"/>
          <w:sz w:val="24"/>
          <w:szCs w:val="24"/>
        </w:rPr>
        <w:t>24</w:t>
      </w:r>
      <w:r w:rsidR="005425A1" w:rsidRPr="0078472B">
        <w:rPr>
          <w:rFonts w:ascii="Times New Roman" w:hAnsi="Times New Roman" w:cs="Times New Roman"/>
          <w:color w:val="000000" w:themeColor="text1"/>
          <w:sz w:val="24"/>
          <w:szCs w:val="24"/>
        </w:rPr>
        <w:t>,</w:t>
      </w:r>
      <w:r w:rsidR="000E7B46" w:rsidRPr="0078472B">
        <w:rPr>
          <w:rFonts w:ascii="Times New Roman" w:hAnsi="Times New Roman" w:cs="Times New Roman"/>
          <w:color w:val="000000" w:themeColor="text1"/>
          <w:sz w:val="24"/>
          <w:szCs w:val="24"/>
        </w:rPr>
        <w:t xml:space="preserve"> </w:t>
      </w:r>
      <w:r w:rsidR="00EF1443" w:rsidRPr="0078472B">
        <w:rPr>
          <w:rFonts w:ascii="Times New Roman" w:hAnsi="Times New Roman" w:cs="Times New Roman"/>
          <w:color w:val="000000" w:themeColor="text1"/>
          <w:sz w:val="24"/>
          <w:szCs w:val="24"/>
        </w:rPr>
        <w:t>815-827</w:t>
      </w:r>
      <w:r w:rsidR="00F26E25" w:rsidRPr="0078472B">
        <w:rPr>
          <w:rFonts w:ascii="Times New Roman" w:hAnsi="Times New Roman" w:cs="Times New Roman"/>
          <w:color w:val="000000" w:themeColor="text1"/>
          <w:sz w:val="24"/>
          <w:szCs w:val="24"/>
        </w:rPr>
        <w:t>.</w:t>
      </w:r>
    </w:p>
    <w:p w14:paraId="44D9082E" w14:textId="5483E552"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lang w:val="fi-FI"/>
        </w:rPr>
      </w:pPr>
      <w:r w:rsidRPr="0078472B">
        <w:rPr>
          <w:rFonts w:ascii="Times New Roman" w:hAnsi="Times New Roman" w:cs="Times New Roman"/>
          <w:color w:val="000000" w:themeColor="text1"/>
          <w:sz w:val="24"/>
          <w:szCs w:val="24"/>
        </w:rPr>
        <w:lastRenderedPageBreak/>
        <w:t>Lloyd, J</w:t>
      </w:r>
      <w:r w:rsidR="009C45CA"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009C45CA" w:rsidRPr="0078472B">
        <w:rPr>
          <w:rFonts w:ascii="Times New Roman" w:hAnsi="Times New Roman" w:cs="Times New Roman"/>
          <w:color w:val="000000" w:themeColor="text1"/>
          <w:sz w:val="24"/>
          <w:szCs w:val="24"/>
        </w:rPr>
        <w:t>&amp;</w:t>
      </w:r>
      <w:r w:rsidRPr="0078472B">
        <w:rPr>
          <w:rFonts w:ascii="Times New Roman" w:hAnsi="Times New Roman" w:cs="Times New Roman"/>
          <w:color w:val="000000" w:themeColor="text1"/>
          <w:sz w:val="24"/>
          <w:szCs w:val="24"/>
        </w:rPr>
        <w:t xml:space="preserve"> Doll, H</w:t>
      </w:r>
      <w:r w:rsidR="009C45CA" w:rsidRPr="0078472B">
        <w:rPr>
          <w:rFonts w:ascii="Times New Roman" w:hAnsi="Times New Roman" w:cs="Times New Roman"/>
          <w:color w:val="000000" w:themeColor="text1"/>
          <w:sz w:val="24"/>
          <w:szCs w:val="24"/>
        </w:rPr>
        <w:t>.</w:t>
      </w:r>
      <w:r w:rsidR="00BA25D3"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Hawton, K</w:t>
      </w:r>
      <w:r w:rsidR="009C45CA"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Dutton, W</w:t>
      </w:r>
      <w:r w:rsidR="009C45CA"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H</w:t>
      </w:r>
      <w:r w:rsidR="009C45CA" w:rsidRPr="0078472B">
        <w:rPr>
          <w:rFonts w:ascii="Times New Roman" w:hAnsi="Times New Roman" w:cs="Times New Roman"/>
          <w:color w:val="000000" w:themeColor="text1"/>
          <w:sz w:val="24"/>
          <w:szCs w:val="24"/>
        </w:rPr>
        <w:t>.</w:t>
      </w:r>
      <w:r w:rsidR="00BA25D3"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Geddes, J</w:t>
      </w:r>
      <w:r w:rsidR="009C45CA"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R</w:t>
      </w:r>
      <w:r w:rsidR="009C45CA" w:rsidRPr="0078472B">
        <w:rPr>
          <w:rFonts w:ascii="Times New Roman" w:hAnsi="Times New Roman" w:cs="Times New Roman"/>
          <w:color w:val="000000" w:themeColor="text1"/>
          <w:sz w:val="24"/>
          <w:szCs w:val="24"/>
        </w:rPr>
        <w:t>.</w:t>
      </w:r>
      <w:r w:rsidR="00BA25D3"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Goodwin, G</w:t>
      </w:r>
      <w:r w:rsidR="009C45CA"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M</w:t>
      </w:r>
      <w:r w:rsidR="009C45CA"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009C45CA" w:rsidRPr="0078472B">
        <w:rPr>
          <w:rFonts w:ascii="Times New Roman" w:hAnsi="Times New Roman" w:cs="Times New Roman"/>
          <w:color w:val="000000" w:themeColor="text1"/>
          <w:sz w:val="24"/>
          <w:szCs w:val="24"/>
        </w:rPr>
        <w:t>&amp;</w:t>
      </w:r>
      <w:r w:rsidRPr="0078472B">
        <w:rPr>
          <w:rFonts w:ascii="Times New Roman" w:hAnsi="Times New Roman" w:cs="Times New Roman"/>
          <w:color w:val="000000" w:themeColor="text1"/>
          <w:sz w:val="24"/>
          <w:szCs w:val="24"/>
        </w:rPr>
        <w:t xml:space="preserve"> Rogers, R</w:t>
      </w:r>
      <w:r w:rsidR="009C45CA"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D</w:t>
      </w:r>
      <w:r w:rsidR="009C45CA"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(2010) How Psychological Symptoms Relate to Different Motivations for Gambling: An Online Study of Internet Gamblers</w:t>
      </w:r>
      <w:r w:rsidR="00AF5F0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lang w:val="fi-FI"/>
        </w:rPr>
        <w:t>Biological Psychiatry</w:t>
      </w:r>
      <w:r w:rsidR="005425A1" w:rsidRPr="0078472B">
        <w:rPr>
          <w:rFonts w:ascii="Times New Roman" w:hAnsi="Times New Roman" w:cs="Times New Roman"/>
          <w:color w:val="000000" w:themeColor="text1"/>
          <w:sz w:val="24"/>
          <w:szCs w:val="24"/>
          <w:lang w:val="fi-FI"/>
        </w:rPr>
        <w:t>,</w:t>
      </w:r>
      <w:r w:rsidRPr="0078472B">
        <w:rPr>
          <w:rFonts w:ascii="Times New Roman" w:hAnsi="Times New Roman" w:cs="Times New Roman"/>
          <w:color w:val="000000" w:themeColor="text1"/>
          <w:sz w:val="24"/>
          <w:szCs w:val="24"/>
          <w:lang w:val="fi-FI"/>
        </w:rPr>
        <w:t xml:space="preserve"> </w:t>
      </w:r>
      <w:r w:rsidRPr="0078472B">
        <w:rPr>
          <w:rFonts w:ascii="Times New Roman" w:hAnsi="Times New Roman" w:cs="Times New Roman"/>
          <w:i/>
          <w:color w:val="000000" w:themeColor="text1"/>
          <w:sz w:val="24"/>
          <w:szCs w:val="24"/>
          <w:lang w:val="fi-FI"/>
        </w:rPr>
        <w:t>68</w:t>
      </w:r>
      <w:r w:rsidR="005425A1" w:rsidRPr="0078472B">
        <w:rPr>
          <w:rFonts w:ascii="Times New Roman" w:hAnsi="Times New Roman" w:cs="Times New Roman"/>
          <w:color w:val="000000" w:themeColor="text1"/>
          <w:sz w:val="24"/>
          <w:szCs w:val="24"/>
          <w:lang w:val="fi-FI"/>
        </w:rPr>
        <w:t>,</w:t>
      </w:r>
      <w:r w:rsidRPr="0078472B">
        <w:rPr>
          <w:rFonts w:ascii="Times New Roman" w:hAnsi="Times New Roman" w:cs="Times New Roman"/>
          <w:color w:val="000000" w:themeColor="text1"/>
          <w:sz w:val="24"/>
          <w:szCs w:val="24"/>
          <w:lang w:val="fi-FI"/>
        </w:rPr>
        <w:t xml:space="preserve"> </w:t>
      </w:r>
      <w:r w:rsidR="000E7B46" w:rsidRPr="0078472B">
        <w:rPr>
          <w:rFonts w:ascii="Times New Roman" w:hAnsi="Times New Roman" w:cs="Times New Roman"/>
          <w:color w:val="000000" w:themeColor="text1"/>
          <w:sz w:val="24"/>
          <w:szCs w:val="24"/>
          <w:lang w:val="fi-FI"/>
        </w:rPr>
        <w:t>733–740</w:t>
      </w:r>
      <w:r w:rsidR="00F26E25" w:rsidRPr="0078472B">
        <w:rPr>
          <w:rFonts w:ascii="Times New Roman" w:hAnsi="Times New Roman" w:cs="Times New Roman"/>
          <w:color w:val="000000" w:themeColor="text1"/>
          <w:sz w:val="24"/>
          <w:szCs w:val="24"/>
          <w:lang w:val="fi-FI"/>
        </w:rPr>
        <w:t>.</w:t>
      </w:r>
    </w:p>
    <w:p w14:paraId="551B9D68" w14:textId="713A53CD"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lang w:val="fi-FI"/>
        </w:rPr>
      </w:pPr>
      <w:r w:rsidRPr="0078472B">
        <w:rPr>
          <w:rFonts w:ascii="Times New Roman" w:hAnsi="Times New Roman" w:cs="Times New Roman"/>
          <w:color w:val="000000" w:themeColor="text1"/>
          <w:sz w:val="24"/>
          <w:szCs w:val="24"/>
          <w:lang w:val="fi-FI"/>
        </w:rPr>
        <w:t>Mahlamäki, M</w:t>
      </w:r>
      <w:r w:rsidR="009C45CA" w:rsidRPr="0078472B">
        <w:rPr>
          <w:rFonts w:ascii="Times New Roman" w:hAnsi="Times New Roman" w:cs="Times New Roman"/>
          <w:color w:val="000000" w:themeColor="text1"/>
          <w:sz w:val="24"/>
          <w:szCs w:val="24"/>
          <w:lang w:val="fi-FI"/>
        </w:rPr>
        <w:t>.</w:t>
      </w:r>
      <w:r w:rsidR="00BA25D3" w:rsidRPr="0078472B">
        <w:rPr>
          <w:rFonts w:ascii="Times New Roman" w:hAnsi="Times New Roman" w:cs="Times New Roman"/>
          <w:color w:val="000000" w:themeColor="text1"/>
          <w:sz w:val="24"/>
          <w:szCs w:val="24"/>
          <w:lang w:val="fi-FI"/>
        </w:rPr>
        <w:t xml:space="preserve"> (2003)</w:t>
      </w:r>
      <w:r w:rsidR="009C45CA" w:rsidRPr="0078472B">
        <w:rPr>
          <w:rFonts w:ascii="Times New Roman" w:hAnsi="Times New Roman" w:cs="Times New Roman"/>
          <w:color w:val="000000" w:themeColor="text1"/>
          <w:sz w:val="24"/>
          <w:szCs w:val="24"/>
          <w:lang w:val="fi-FI"/>
        </w:rPr>
        <w:t>.</w:t>
      </w:r>
      <w:r w:rsidRPr="0078472B">
        <w:rPr>
          <w:rFonts w:ascii="Times New Roman" w:hAnsi="Times New Roman" w:cs="Times New Roman"/>
          <w:color w:val="000000" w:themeColor="text1"/>
          <w:sz w:val="24"/>
          <w:szCs w:val="24"/>
          <w:lang w:val="fi-FI"/>
        </w:rPr>
        <w:t xml:space="preserve"> Pellolta paanalle ja pussihousumiehistä patiinipoikiin, hevostaloudesta talouden hevoseen</w:t>
      </w:r>
      <w:r w:rsidR="009C45CA" w:rsidRPr="0078472B">
        <w:rPr>
          <w:rFonts w:ascii="Times New Roman" w:hAnsi="Times New Roman" w:cs="Times New Roman"/>
          <w:color w:val="000000" w:themeColor="text1"/>
          <w:sz w:val="24"/>
          <w:szCs w:val="24"/>
          <w:lang w:val="fi-FI"/>
        </w:rPr>
        <w:t xml:space="preserve">. </w:t>
      </w:r>
      <w:r w:rsidRPr="0078472B">
        <w:rPr>
          <w:rFonts w:ascii="Times New Roman" w:hAnsi="Times New Roman" w:cs="Times New Roman"/>
          <w:color w:val="000000" w:themeColor="text1"/>
          <w:sz w:val="24"/>
          <w:szCs w:val="24"/>
          <w:lang w:val="fi-FI"/>
        </w:rPr>
        <w:t>Hevosen ja pelaamisen tarina Hippos-</w:t>
      </w:r>
      <w:r w:rsidR="00BA25D3" w:rsidRPr="0078472B">
        <w:rPr>
          <w:rFonts w:ascii="Times New Roman" w:hAnsi="Times New Roman" w:cs="Times New Roman"/>
          <w:color w:val="000000" w:themeColor="text1"/>
          <w:sz w:val="24"/>
          <w:szCs w:val="24"/>
          <w:lang w:val="fi-FI"/>
        </w:rPr>
        <w:t>Suomessa</w:t>
      </w:r>
      <w:r w:rsidR="00AF5F08" w:rsidRPr="0078472B">
        <w:rPr>
          <w:rFonts w:ascii="Times New Roman" w:hAnsi="Times New Roman" w:cs="Times New Roman"/>
          <w:color w:val="000000" w:themeColor="text1"/>
          <w:sz w:val="24"/>
          <w:szCs w:val="24"/>
          <w:lang w:val="fi-FI"/>
        </w:rPr>
        <w:t>.</w:t>
      </w:r>
      <w:r w:rsidR="00BA25D3" w:rsidRPr="0078472B">
        <w:rPr>
          <w:rFonts w:ascii="Times New Roman" w:hAnsi="Times New Roman" w:cs="Times New Roman"/>
          <w:color w:val="000000" w:themeColor="text1"/>
          <w:sz w:val="24"/>
          <w:szCs w:val="24"/>
          <w:lang w:val="fi-FI"/>
        </w:rPr>
        <w:t xml:space="preserve"> </w:t>
      </w:r>
      <w:r w:rsidR="00AF5F08" w:rsidRPr="0078472B">
        <w:rPr>
          <w:rFonts w:ascii="Times New Roman" w:hAnsi="Times New Roman" w:cs="Times New Roman"/>
          <w:color w:val="000000" w:themeColor="text1"/>
          <w:sz w:val="24"/>
          <w:szCs w:val="24"/>
          <w:lang w:val="fi-FI"/>
        </w:rPr>
        <w:t xml:space="preserve">Espoo: </w:t>
      </w:r>
      <w:r w:rsidR="00BA25D3" w:rsidRPr="0078472B">
        <w:rPr>
          <w:rFonts w:ascii="Times New Roman" w:hAnsi="Times New Roman" w:cs="Times New Roman"/>
          <w:color w:val="000000" w:themeColor="text1"/>
          <w:sz w:val="24"/>
          <w:szCs w:val="24"/>
          <w:lang w:val="fi-FI"/>
        </w:rPr>
        <w:t>Suomen Hippos</w:t>
      </w:r>
      <w:r w:rsidR="00AF5F08" w:rsidRPr="0078472B">
        <w:rPr>
          <w:rFonts w:ascii="Times New Roman" w:hAnsi="Times New Roman" w:cs="Times New Roman"/>
          <w:color w:val="000000" w:themeColor="text1"/>
          <w:sz w:val="24"/>
          <w:szCs w:val="24"/>
          <w:lang w:val="fi-FI"/>
        </w:rPr>
        <w:t xml:space="preserve"> </w:t>
      </w:r>
      <w:r w:rsidRPr="0078472B">
        <w:rPr>
          <w:rFonts w:ascii="Times New Roman" w:hAnsi="Times New Roman" w:cs="Times New Roman"/>
          <w:color w:val="000000" w:themeColor="text1"/>
          <w:sz w:val="24"/>
          <w:szCs w:val="24"/>
          <w:lang w:val="fi-FI"/>
        </w:rPr>
        <w:t>(In Finnish only)</w:t>
      </w:r>
      <w:r w:rsidR="00F26E25" w:rsidRPr="0078472B">
        <w:rPr>
          <w:rFonts w:ascii="Times New Roman" w:hAnsi="Times New Roman" w:cs="Times New Roman"/>
          <w:color w:val="000000" w:themeColor="text1"/>
          <w:sz w:val="24"/>
          <w:szCs w:val="24"/>
          <w:lang w:val="fi-FI"/>
        </w:rPr>
        <w:t>.</w:t>
      </w:r>
    </w:p>
    <w:p w14:paraId="1F7290AD" w14:textId="1E375779"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lang w:val="en-US"/>
        </w:rPr>
        <w:t>Marshall, D</w:t>
      </w:r>
      <w:r w:rsidR="009C45CA"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(2009)</w:t>
      </w:r>
      <w:r w:rsidR="009C45CA"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Gambling as a public health issue: The critical role of the local en</w:t>
      </w:r>
      <w:r w:rsidRPr="0078472B">
        <w:rPr>
          <w:rFonts w:ascii="Times New Roman" w:hAnsi="Times New Roman" w:cs="Times New Roman"/>
          <w:color w:val="000000" w:themeColor="text1"/>
          <w:sz w:val="24"/>
          <w:szCs w:val="24"/>
        </w:rPr>
        <w:t>vironment</w:t>
      </w:r>
      <w:r w:rsidR="00AF5F0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Journal of Gambling Issues</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23</w:t>
      </w:r>
      <w:r w:rsidR="005425A1"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66-80</w:t>
      </w:r>
      <w:r w:rsidR="00F26E25" w:rsidRPr="0078472B">
        <w:rPr>
          <w:rFonts w:ascii="Times New Roman" w:hAnsi="Times New Roman" w:cs="Times New Roman"/>
          <w:color w:val="000000" w:themeColor="text1"/>
          <w:sz w:val="24"/>
          <w:szCs w:val="24"/>
        </w:rPr>
        <w:t>.</w:t>
      </w:r>
    </w:p>
    <w:p w14:paraId="0924F3EC" w14:textId="0D9E7800"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Nelson, T</w:t>
      </w:r>
      <w:r w:rsidR="009C45CA"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F</w:t>
      </w:r>
      <w:r w:rsidR="009C45CA" w:rsidRPr="0078472B">
        <w:rPr>
          <w:rFonts w:ascii="Times New Roman" w:hAnsi="Times New Roman" w:cs="Times New Roman"/>
          <w:color w:val="000000" w:themeColor="text1"/>
          <w:sz w:val="24"/>
          <w:szCs w:val="24"/>
        </w:rPr>
        <w:t>.</w:t>
      </w:r>
      <w:r w:rsidR="00BA25D3"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LaBrie, R</w:t>
      </w:r>
      <w:r w:rsidR="009C45CA"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A</w:t>
      </w:r>
      <w:r w:rsidR="009C45CA" w:rsidRPr="0078472B">
        <w:rPr>
          <w:rFonts w:ascii="Times New Roman" w:hAnsi="Times New Roman" w:cs="Times New Roman"/>
          <w:color w:val="000000" w:themeColor="text1"/>
          <w:sz w:val="24"/>
          <w:szCs w:val="24"/>
        </w:rPr>
        <w:t>.</w:t>
      </w:r>
      <w:r w:rsidR="00BA25D3"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LaPlante, D</w:t>
      </w:r>
      <w:r w:rsidR="009C45CA"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A</w:t>
      </w:r>
      <w:r w:rsidR="009C45CA" w:rsidRPr="0078472B">
        <w:rPr>
          <w:rFonts w:ascii="Times New Roman" w:hAnsi="Times New Roman" w:cs="Times New Roman"/>
          <w:color w:val="000000" w:themeColor="text1"/>
          <w:sz w:val="24"/>
          <w:szCs w:val="24"/>
        </w:rPr>
        <w:t>.</w:t>
      </w:r>
      <w:r w:rsidR="00BA25D3"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Stanton, M</w:t>
      </w:r>
      <w:r w:rsidR="009C45CA" w:rsidRPr="0078472B">
        <w:rPr>
          <w:rFonts w:ascii="Times New Roman" w:hAnsi="Times New Roman" w:cs="Times New Roman"/>
          <w:color w:val="000000" w:themeColor="text1"/>
          <w:sz w:val="24"/>
          <w:szCs w:val="24"/>
        </w:rPr>
        <w:t>.</w:t>
      </w:r>
      <w:r w:rsidR="00BA25D3"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Shaffer, H</w:t>
      </w:r>
      <w:r w:rsidR="009C45CA"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J</w:t>
      </w:r>
      <w:r w:rsidR="009C45CA"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009C45CA" w:rsidRPr="0078472B">
        <w:rPr>
          <w:rFonts w:ascii="Times New Roman" w:hAnsi="Times New Roman" w:cs="Times New Roman"/>
          <w:color w:val="000000" w:themeColor="text1"/>
          <w:sz w:val="24"/>
          <w:szCs w:val="24"/>
        </w:rPr>
        <w:t>&amp;</w:t>
      </w:r>
      <w:r w:rsidRPr="0078472B">
        <w:rPr>
          <w:rFonts w:ascii="Times New Roman" w:hAnsi="Times New Roman" w:cs="Times New Roman"/>
          <w:color w:val="000000" w:themeColor="text1"/>
          <w:sz w:val="24"/>
          <w:szCs w:val="24"/>
        </w:rPr>
        <w:t xml:space="preserve"> Wechsler, H</w:t>
      </w:r>
      <w:r w:rsidR="009C45CA"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(2007)</w:t>
      </w:r>
      <w:r w:rsidR="009C45CA"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Sports Betting and Other Gambling in Athletes, Fans, and Other College Students</w:t>
      </w:r>
      <w:r w:rsidR="00AF5F0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Research Quarterly for Exercise and Sport</w:t>
      </w:r>
      <w:r w:rsidR="005425A1"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78</w:t>
      </w:r>
      <w:r w:rsidR="005425A1"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271-283</w:t>
      </w:r>
      <w:r w:rsidR="00F26E25"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p>
    <w:p w14:paraId="69AE6B9D" w14:textId="24816F99"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lang w:val="en-US"/>
        </w:rPr>
      </w:pPr>
      <w:r w:rsidRPr="0078472B">
        <w:rPr>
          <w:rFonts w:ascii="Times New Roman" w:hAnsi="Times New Roman" w:cs="Times New Roman"/>
          <w:color w:val="000000" w:themeColor="text1"/>
          <w:sz w:val="24"/>
          <w:szCs w:val="24"/>
        </w:rPr>
        <w:t xml:space="preserve">Nordmyr, </w:t>
      </w:r>
      <w:r w:rsidR="00BA25D3" w:rsidRPr="0078472B">
        <w:rPr>
          <w:rFonts w:ascii="Times New Roman" w:hAnsi="Times New Roman" w:cs="Times New Roman"/>
          <w:color w:val="000000" w:themeColor="text1"/>
          <w:sz w:val="24"/>
          <w:szCs w:val="24"/>
        </w:rPr>
        <w:t>J</w:t>
      </w:r>
      <w:r w:rsidR="00B05E3B" w:rsidRPr="0078472B">
        <w:rPr>
          <w:rFonts w:ascii="Times New Roman" w:hAnsi="Times New Roman" w:cs="Times New Roman"/>
          <w:color w:val="000000" w:themeColor="text1"/>
          <w:sz w:val="24"/>
          <w:szCs w:val="24"/>
        </w:rPr>
        <w:t>.</w:t>
      </w:r>
      <w:r w:rsidR="00BA25D3"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Forsman, A</w:t>
      </w:r>
      <w:r w:rsidR="00B05E3B"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K</w:t>
      </w:r>
      <w:r w:rsidR="00B05E3B" w:rsidRPr="0078472B">
        <w:rPr>
          <w:rFonts w:ascii="Times New Roman" w:hAnsi="Times New Roman" w:cs="Times New Roman"/>
          <w:color w:val="000000" w:themeColor="text1"/>
          <w:sz w:val="24"/>
          <w:szCs w:val="24"/>
        </w:rPr>
        <w:t>.</w:t>
      </w:r>
      <w:r w:rsidR="00BA25D3"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Wahlbeck, K</w:t>
      </w:r>
      <w:r w:rsidR="00B05E3B" w:rsidRPr="0078472B">
        <w:rPr>
          <w:rFonts w:ascii="Times New Roman" w:hAnsi="Times New Roman" w:cs="Times New Roman"/>
          <w:color w:val="000000" w:themeColor="text1"/>
          <w:sz w:val="24"/>
          <w:szCs w:val="24"/>
        </w:rPr>
        <w:t>.</w:t>
      </w:r>
      <w:r w:rsidR="00BA25D3"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Björkqvist, K</w:t>
      </w:r>
      <w:r w:rsidR="00B05E3B"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00B05E3B" w:rsidRPr="0078472B">
        <w:rPr>
          <w:rFonts w:ascii="Times New Roman" w:hAnsi="Times New Roman" w:cs="Times New Roman"/>
          <w:color w:val="000000" w:themeColor="text1"/>
          <w:sz w:val="24"/>
          <w:szCs w:val="24"/>
        </w:rPr>
        <w:t>&amp;</w:t>
      </w:r>
      <w:r w:rsidRPr="0078472B">
        <w:rPr>
          <w:rFonts w:ascii="Times New Roman" w:hAnsi="Times New Roman" w:cs="Times New Roman"/>
          <w:color w:val="000000" w:themeColor="text1"/>
          <w:sz w:val="24"/>
          <w:szCs w:val="24"/>
        </w:rPr>
        <w:t xml:space="preserve"> Österman K</w:t>
      </w:r>
      <w:r w:rsidR="00B05E3B"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(2014)</w:t>
      </w:r>
      <w:r w:rsidR="00B05E3B"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Associations between problem gambling, socio-demographics, mental health factors and gambling type: sex differences among Finnish gamblers</w:t>
      </w:r>
      <w:r w:rsidR="00AF5F0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lang w:val="en-US"/>
        </w:rPr>
        <w:t>International Gambling Studies</w:t>
      </w:r>
      <w:r w:rsidR="005425A1"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i/>
          <w:color w:val="000000" w:themeColor="text1"/>
          <w:sz w:val="24"/>
          <w:szCs w:val="24"/>
          <w:lang w:val="en-US"/>
        </w:rPr>
        <w:t>14</w:t>
      </w:r>
      <w:r w:rsidR="005425A1" w:rsidRPr="0078472B">
        <w:rPr>
          <w:rFonts w:ascii="Times New Roman" w:hAnsi="Times New Roman" w:cs="Times New Roman"/>
          <w:color w:val="000000" w:themeColor="text1"/>
          <w:sz w:val="24"/>
          <w:szCs w:val="24"/>
          <w:lang w:val="en-US"/>
        </w:rPr>
        <w:t>,</w:t>
      </w:r>
      <w:r w:rsidR="000E7B46" w:rsidRPr="0078472B">
        <w:rPr>
          <w:rFonts w:ascii="Times New Roman" w:hAnsi="Times New Roman" w:cs="Times New Roman"/>
          <w:color w:val="000000" w:themeColor="text1"/>
          <w:sz w:val="24"/>
          <w:szCs w:val="24"/>
          <w:lang w:val="en-US"/>
        </w:rPr>
        <w:t xml:space="preserve"> 39–52</w:t>
      </w:r>
      <w:r w:rsidR="00F26E25" w:rsidRPr="0078472B">
        <w:rPr>
          <w:rFonts w:ascii="Times New Roman" w:hAnsi="Times New Roman" w:cs="Times New Roman"/>
          <w:color w:val="000000" w:themeColor="text1"/>
          <w:sz w:val="24"/>
          <w:szCs w:val="24"/>
          <w:lang w:val="en-US"/>
        </w:rPr>
        <w:t>.</w:t>
      </w:r>
    </w:p>
    <w:p w14:paraId="63635FCB" w14:textId="573937C3"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lang w:val="en-US"/>
        </w:rPr>
        <w:t>Paljärvi, T</w:t>
      </w:r>
      <w:r w:rsidR="00B05E3B" w:rsidRPr="0078472B">
        <w:rPr>
          <w:rFonts w:ascii="Times New Roman" w:hAnsi="Times New Roman" w:cs="Times New Roman"/>
          <w:color w:val="000000" w:themeColor="text1"/>
          <w:sz w:val="24"/>
          <w:szCs w:val="24"/>
          <w:lang w:val="en-US"/>
        </w:rPr>
        <w:t>.</w:t>
      </w:r>
      <w:r w:rsidR="00BA25D3"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lang w:val="en-US"/>
        </w:rPr>
        <w:t>Suominen, S</w:t>
      </w:r>
      <w:r w:rsidR="00B05E3B" w:rsidRPr="0078472B">
        <w:rPr>
          <w:rFonts w:ascii="Times New Roman" w:hAnsi="Times New Roman" w:cs="Times New Roman"/>
          <w:color w:val="000000" w:themeColor="text1"/>
          <w:sz w:val="24"/>
          <w:szCs w:val="24"/>
          <w:lang w:val="en-US"/>
        </w:rPr>
        <w:t>.</w:t>
      </w:r>
      <w:r w:rsidR="00BA25D3"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lang w:val="en-US"/>
        </w:rPr>
        <w:t>Koskenvuo</w:t>
      </w:r>
      <w:r w:rsidR="00B05E3B"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M</w:t>
      </w:r>
      <w:r w:rsidR="00B05E3B" w:rsidRPr="0078472B">
        <w:rPr>
          <w:rFonts w:ascii="Times New Roman" w:hAnsi="Times New Roman" w:cs="Times New Roman"/>
          <w:color w:val="000000" w:themeColor="text1"/>
          <w:sz w:val="24"/>
          <w:szCs w:val="24"/>
          <w:lang w:val="en-US"/>
        </w:rPr>
        <w:t>.</w:t>
      </w:r>
      <w:r w:rsidR="00BA25D3"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Winter, T</w:t>
      </w:r>
      <w:r w:rsidR="00B05E3B"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00F26E25" w:rsidRPr="0078472B">
        <w:rPr>
          <w:rFonts w:ascii="Times New Roman" w:hAnsi="Times New Roman" w:cs="Times New Roman"/>
          <w:color w:val="000000" w:themeColor="text1"/>
          <w:sz w:val="24"/>
          <w:szCs w:val="24"/>
          <w:lang w:val="en-US"/>
        </w:rPr>
        <w:t>and</w:t>
      </w:r>
      <w:r w:rsidRPr="0078472B">
        <w:rPr>
          <w:rFonts w:ascii="Times New Roman" w:hAnsi="Times New Roman" w:cs="Times New Roman"/>
          <w:color w:val="000000" w:themeColor="text1"/>
          <w:sz w:val="24"/>
          <w:szCs w:val="24"/>
          <w:lang w:val="en-US"/>
        </w:rPr>
        <w:t xml:space="preserve"> Kauhanen J</w:t>
      </w:r>
      <w:r w:rsidR="00B05E3B"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(2009)</w:t>
      </w:r>
      <w:r w:rsidR="00B05E3B"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rPr>
        <w:t>The differences in drinking patterns between Finnish-speaking majority and Swedish-speaking minority in Finland</w:t>
      </w:r>
      <w:r w:rsidR="00AF5F0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European Journal of Public Health</w:t>
      </w:r>
      <w:r w:rsidR="005425A1"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19</w:t>
      </w:r>
      <w:r w:rsidR="005425A1"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278-284</w:t>
      </w:r>
      <w:r w:rsidR="00F26E25" w:rsidRPr="0078472B">
        <w:rPr>
          <w:rFonts w:ascii="Times New Roman" w:hAnsi="Times New Roman" w:cs="Times New Roman"/>
          <w:color w:val="000000" w:themeColor="text1"/>
          <w:sz w:val="24"/>
          <w:szCs w:val="24"/>
        </w:rPr>
        <w:t>.</w:t>
      </w:r>
    </w:p>
    <w:p w14:paraId="491D0E94" w14:textId="41BF37A9" w:rsidR="00D74400" w:rsidRPr="0078472B" w:rsidRDefault="00D74400" w:rsidP="00E5036A">
      <w:pPr>
        <w:spacing w:after="0" w:line="240" w:lineRule="auto"/>
        <w:ind w:left="567" w:hanging="567"/>
        <w:jc w:val="both"/>
        <w:rPr>
          <w:rFonts w:ascii="Times New Roman" w:hAnsi="Times New Roman" w:cs="Times New Roman"/>
          <w:color w:val="000000" w:themeColor="text1"/>
          <w:sz w:val="24"/>
          <w:szCs w:val="24"/>
          <w:lang w:val="en-US"/>
        </w:rPr>
      </w:pPr>
      <w:r w:rsidRPr="0078472B">
        <w:rPr>
          <w:rFonts w:ascii="Times New Roman" w:hAnsi="Times New Roman" w:cs="Times New Roman"/>
          <w:color w:val="000000" w:themeColor="text1"/>
          <w:sz w:val="24"/>
          <w:szCs w:val="24"/>
          <w:lang w:val="en-US"/>
        </w:rPr>
        <w:t xml:space="preserve">Paul, R.J. and Weinbach, A.P. (2010). The Determinants of Betting Volume for Sports in North America: Evidence of Sports Betting as Consumption in the NBA and NHL. </w:t>
      </w:r>
      <w:r w:rsidRPr="0078472B">
        <w:rPr>
          <w:rFonts w:ascii="Times New Roman" w:hAnsi="Times New Roman" w:cs="Times New Roman"/>
          <w:i/>
          <w:iCs/>
          <w:color w:val="000000" w:themeColor="text1"/>
          <w:sz w:val="24"/>
          <w:szCs w:val="24"/>
          <w:lang w:val="en-US"/>
        </w:rPr>
        <w:t>International Journal of Sport Finance</w:t>
      </w:r>
      <w:r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i/>
          <w:color w:val="000000" w:themeColor="text1"/>
          <w:sz w:val="24"/>
          <w:szCs w:val="24"/>
          <w:lang w:val="en-US"/>
        </w:rPr>
        <w:t>5</w:t>
      </w:r>
      <w:r w:rsidRPr="0078472B">
        <w:rPr>
          <w:rFonts w:ascii="Times New Roman" w:hAnsi="Times New Roman" w:cs="Times New Roman"/>
          <w:color w:val="000000" w:themeColor="text1"/>
          <w:sz w:val="24"/>
          <w:szCs w:val="24"/>
          <w:lang w:val="en-US"/>
        </w:rPr>
        <w:t>, 128-140.</w:t>
      </w:r>
    </w:p>
    <w:p w14:paraId="765ECEF3" w14:textId="35B30E7F"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lang w:val="en-US"/>
        </w:rPr>
        <w:t>Pekkala, S</w:t>
      </w:r>
      <w:r w:rsidR="00B05E3B"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(2003)</w:t>
      </w:r>
      <w:r w:rsidR="00B05E3B"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rPr>
        <w:t>Migration flows in Finland: Regional differences in migration determinants and migrant types</w:t>
      </w:r>
      <w:r w:rsidR="00AF5F0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International Regional Science Review</w:t>
      </w:r>
      <w:r w:rsidR="005425A1"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26</w:t>
      </w:r>
      <w:r w:rsidR="005425A1"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466–482</w:t>
      </w:r>
      <w:r w:rsidR="00F26E25"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p>
    <w:p w14:paraId="2E36492C" w14:textId="70EBEF0D"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Raento, P</w:t>
      </w:r>
      <w:r w:rsidR="00B05E3B"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00BA25D3" w:rsidRPr="0078472B">
        <w:rPr>
          <w:rFonts w:ascii="Times New Roman" w:hAnsi="Times New Roman" w:cs="Times New Roman"/>
          <w:color w:val="000000" w:themeColor="text1"/>
          <w:sz w:val="24"/>
          <w:szCs w:val="24"/>
        </w:rPr>
        <w:t>(2014)</w:t>
      </w:r>
      <w:r w:rsidR="00B05E3B" w:rsidRPr="0078472B">
        <w:rPr>
          <w:rFonts w:ascii="Times New Roman" w:hAnsi="Times New Roman" w:cs="Times New Roman"/>
          <w:color w:val="000000" w:themeColor="text1"/>
          <w:sz w:val="24"/>
          <w:szCs w:val="24"/>
        </w:rPr>
        <w:t>.</w:t>
      </w:r>
      <w:r w:rsidR="00BA25D3"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A chronology of Finnish gambling, 1889-2013</w:t>
      </w:r>
      <w:r w:rsidR="00F26E25"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In</w:t>
      </w:r>
      <w:r w:rsidR="00F26E25" w:rsidRPr="0078472B">
        <w:rPr>
          <w:rFonts w:ascii="Times New Roman" w:hAnsi="Times New Roman" w:cs="Times New Roman"/>
          <w:color w:val="000000" w:themeColor="text1"/>
          <w:sz w:val="24"/>
          <w:szCs w:val="24"/>
        </w:rPr>
        <w:t>: Raento, P</w:t>
      </w:r>
      <w:r w:rsidR="00B05E3B" w:rsidRPr="0078472B">
        <w:rPr>
          <w:rFonts w:ascii="Times New Roman" w:hAnsi="Times New Roman" w:cs="Times New Roman"/>
          <w:color w:val="000000" w:themeColor="text1"/>
          <w:sz w:val="24"/>
          <w:szCs w:val="24"/>
        </w:rPr>
        <w:t>.</w:t>
      </w:r>
      <w:r w:rsidR="00F26E25" w:rsidRPr="0078472B">
        <w:rPr>
          <w:rFonts w:ascii="Times New Roman" w:hAnsi="Times New Roman" w:cs="Times New Roman"/>
          <w:color w:val="000000" w:themeColor="text1"/>
          <w:sz w:val="24"/>
          <w:szCs w:val="24"/>
        </w:rPr>
        <w:t xml:space="preserve"> (ed.</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Gambling in Finland</w:t>
      </w:r>
      <w:r w:rsidR="00F26E25" w:rsidRPr="0078472B">
        <w:rPr>
          <w:rFonts w:ascii="Times New Roman" w:hAnsi="Times New Roman" w:cs="Times New Roman"/>
          <w:color w:val="000000" w:themeColor="text1"/>
          <w:sz w:val="24"/>
          <w:szCs w:val="24"/>
        </w:rPr>
        <w:t>, Helsinki: Gaudeamus, pp. 257-263.</w:t>
      </w:r>
    </w:p>
    <w:p w14:paraId="73A1F16D" w14:textId="345C25AD"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lang w:val="en-US"/>
        </w:rPr>
        <w:t>Raento, P</w:t>
      </w:r>
      <w:r w:rsidR="00B05E3B"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00B05E3B" w:rsidRPr="0078472B">
        <w:rPr>
          <w:rFonts w:ascii="Times New Roman" w:hAnsi="Times New Roman" w:cs="Times New Roman"/>
          <w:color w:val="000000" w:themeColor="text1"/>
          <w:sz w:val="24"/>
          <w:szCs w:val="24"/>
          <w:lang w:val="en-US"/>
        </w:rPr>
        <w:t>&amp;</w:t>
      </w:r>
      <w:r w:rsidRPr="0078472B">
        <w:rPr>
          <w:rFonts w:ascii="Times New Roman" w:hAnsi="Times New Roman" w:cs="Times New Roman"/>
          <w:color w:val="000000" w:themeColor="text1"/>
          <w:sz w:val="24"/>
          <w:szCs w:val="24"/>
          <w:lang w:val="en-US"/>
        </w:rPr>
        <w:t xml:space="preserve"> Härmälä, L</w:t>
      </w:r>
      <w:r w:rsidR="00B05E3B"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00BA25D3" w:rsidRPr="0078472B">
        <w:rPr>
          <w:rFonts w:ascii="Times New Roman" w:hAnsi="Times New Roman" w:cs="Times New Roman"/>
          <w:color w:val="000000" w:themeColor="text1"/>
          <w:sz w:val="24"/>
          <w:szCs w:val="24"/>
          <w:lang w:val="en-US"/>
        </w:rPr>
        <w:t>(2014)</w:t>
      </w:r>
      <w:r w:rsidR="00B05E3B" w:rsidRPr="0078472B">
        <w:rPr>
          <w:rFonts w:ascii="Times New Roman" w:hAnsi="Times New Roman" w:cs="Times New Roman"/>
          <w:color w:val="000000" w:themeColor="text1"/>
          <w:sz w:val="24"/>
          <w:szCs w:val="24"/>
          <w:lang w:val="en-US"/>
        </w:rPr>
        <w:t>.</w:t>
      </w:r>
      <w:r w:rsidR="00BA25D3"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rPr>
        <w:t>The contested structural change in Finnish trotter racing and betting in the 2000s</w:t>
      </w:r>
      <w:r w:rsidR="00AF5F0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In</w:t>
      </w:r>
      <w:r w:rsidR="00AF5F08" w:rsidRPr="0078472B">
        <w:rPr>
          <w:rFonts w:ascii="Times New Roman" w:hAnsi="Times New Roman" w:cs="Times New Roman"/>
          <w:color w:val="000000" w:themeColor="text1"/>
          <w:sz w:val="24"/>
          <w:szCs w:val="24"/>
        </w:rPr>
        <w:t>: Raento, P</w:t>
      </w:r>
      <w:r w:rsidR="00B05E3B" w:rsidRPr="0078472B">
        <w:rPr>
          <w:rFonts w:ascii="Times New Roman" w:hAnsi="Times New Roman" w:cs="Times New Roman"/>
          <w:color w:val="000000" w:themeColor="text1"/>
          <w:sz w:val="24"/>
          <w:szCs w:val="24"/>
        </w:rPr>
        <w:t>.</w:t>
      </w:r>
      <w:r w:rsidR="00AF5F08" w:rsidRPr="0078472B">
        <w:rPr>
          <w:rFonts w:ascii="Times New Roman" w:hAnsi="Times New Roman" w:cs="Times New Roman"/>
          <w:color w:val="000000" w:themeColor="text1"/>
          <w:sz w:val="24"/>
          <w:szCs w:val="24"/>
        </w:rPr>
        <w:t xml:space="preserve"> (ed.</w:t>
      </w:r>
      <w:r w:rsidR="00F26E25"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Gambling in Finland</w:t>
      </w:r>
      <w:r w:rsidR="00F26E25" w:rsidRPr="0078472B">
        <w:rPr>
          <w:rFonts w:ascii="Times New Roman" w:hAnsi="Times New Roman" w:cs="Times New Roman"/>
          <w:color w:val="000000" w:themeColor="text1"/>
          <w:sz w:val="24"/>
          <w:szCs w:val="24"/>
        </w:rPr>
        <w:t>, Helsinki: Gaudeamus.</w:t>
      </w:r>
    </w:p>
    <w:p w14:paraId="26B7D7A3" w14:textId="72C954EA"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lang w:val="en-US"/>
        </w:rPr>
      </w:pPr>
      <w:r w:rsidRPr="0078472B">
        <w:rPr>
          <w:rFonts w:ascii="Times New Roman" w:hAnsi="Times New Roman" w:cs="Times New Roman"/>
          <w:color w:val="000000" w:themeColor="text1"/>
          <w:sz w:val="24"/>
          <w:szCs w:val="24"/>
        </w:rPr>
        <w:t>Saarela, J</w:t>
      </w:r>
      <w:r w:rsidR="00B05E3B" w:rsidRPr="0078472B">
        <w:rPr>
          <w:rFonts w:ascii="Times New Roman" w:hAnsi="Times New Roman" w:cs="Times New Roman"/>
          <w:color w:val="000000" w:themeColor="text1"/>
          <w:sz w:val="24"/>
          <w:szCs w:val="24"/>
        </w:rPr>
        <w:t>.,</w:t>
      </w:r>
      <w:r w:rsidR="00BA25D3" w:rsidRPr="0078472B">
        <w:rPr>
          <w:rFonts w:ascii="Times New Roman" w:hAnsi="Times New Roman" w:cs="Times New Roman"/>
          <w:color w:val="000000" w:themeColor="text1"/>
          <w:sz w:val="24"/>
          <w:szCs w:val="24"/>
        </w:rPr>
        <w:t xml:space="preserve"> </w:t>
      </w:r>
      <w:r w:rsidR="00B05E3B" w:rsidRPr="0078472B">
        <w:rPr>
          <w:rFonts w:ascii="Times New Roman" w:hAnsi="Times New Roman" w:cs="Times New Roman"/>
          <w:color w:val="000000" w:themeColor="text1"/>
          <w:sz w:val="24"/>
          <w:szCs w:val="24"/>
        </w:rPr>
        <w:t>&amp;</w:t>
      </w:r>
      <w:r w:rsidRPr="0078472B">
        <w:rPr>
          <w:rFonts w:ascii="Times New Roman" w:hAnsi="Times New Roman" w:cs="Times New Roman"/>
          <w:color w:val="000000" w:themeColor="text1"/>
          <w:sz w:val="24"/>
          <w:szCs w:val="24"/>
        </w:rPr>
        <w:t xml:space="preserve"> Finnäs, F (2003) Unemployment and native language: the Finnish case</w:t>
      </w:r>
      <w:r w:rsidR="00AF5F0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lang w:val="en-US"/>
        </w:rPr>
        <w:t>The Journal of Socio-Economics</w:t>
      </w:r>
      <w:r w:rsidR="005425A1" w:rsidRPr="0078472B">
        <w:rPr>
          <w:rFonts w:ascii="Times New Roman" w:hAnsi="Times New Roman" w:cs="Times New Roman"/>
          <w:color w:val="000000" w:themeColor="text1"/>
          <w:sz w:val="24"/>
          <w:szCs w:val="24"/>
          <w:lang w:val="en-US"/>
        </w:rPr>
        <w:t xml:space="preserve">, </w:t>
      </w:r>
      <w:r w:rsidR="005425A1" w:rsidRPr="0078472B">
        <w:rPr>
          <w:rFonts w:ascii="Times New Roman" w:hAnsi="Times New Roman" w:cs="Times New Roman"/>
          <w:i/>
          <w:color w:val="000000" w:themeColor="text1"/>
          <w:sz w:val="24"/>
          <w:szCs w:val="24"/>
          <w:lang w:val="en-US"/>
        </w:rPr>
        <w:t>32</w:t>
      </w:r>
      <w:r w:rsidR="005425A1"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lang w:val="en-US"/>
        </w:rPr>
        <w:t>59–80</w:t>
      </w:r>
      <w:r w:rsidR="00F26E25" w:rsidRPr="0078472B">
        <w:rPr>
          <w:rFonts w:ascii="Times New Roman" w:hAnsi="Times New Roman" w:cs="Times New Roman"/>
          <w:color w:val="000000" w:themeColor="text1"/>
          <w:sz w:val="24"/>
          <w:szCs w:val="24"/>
          <w:lang w:val="en-US"/>
        </w:rPr>
        <w:t>.</w:t>
      </w:r>
    </w:p>
    <w:p w14:paraId="3D0DF753" w14:textId="37D94AA8" w:rsidR="00EF1443" w:rsidRPr="0078472B" w:rsidRDefault="00BA25D3" w:rsidP="00E5036A">
      <w:pPr>
        <w:spacing w:after="0" w:line="240" w:lineRule="auto"/>
        <w:ind w:left="567" w:hanging="567"/>
        <w:jc w:val="both"/>
        <w:rPr>
          <w:rFonts w:ascii="Times New Roman" w:hAnsi="Times New Roman" w:cs="Times New Roman"/>
          <w:color w:val="000000" w:themeColor="text1"/>
          <w:sz w:val="24"/>
          <w:szCs w:val="24"/>
          <w:lang w:val="en-US"/>
        </w:rPr>
      </w:pPr>
      <w:r w:rsidRPr="0078472B">
        <w:rPr>
          <w:rFonts w:ascii="Times New Roman" w:hAnsi="Times New Roman" w:cs="Times New Roman"/>
          <w:color w:val="000000" w:themeColor="text1"/>
          <w:sz w:val="24"/>
          <w:szCs w:val="24"/>
          <w:lang w:val="en-US"/>
        </w:rPr>
        <w:t>Suhonen, N</w:t>
      </w:r>
      <w:r w:rsidR="00B05E3B" w:rsidRPr="0078472B">
        <w:rPr>
          <w:rFonts w:ascii="Times New Roman" w:hAnsi="Times New Roman" w:cs="Times New Roman"/>
          <w:color w:val="000000" w:themeColor="text1"/>
          <w:sz w:val="24"/>
          <w:szCs w:val="24"/>
          <w:lang w:val="en-US"/>
        </w:rPr>
        <w:t>.</w:t>
      </w:r>
      <w:r w:rsidR="00EF1443" w:rsidRPr="0078472B">
        <w:rPr>
          <w:rFonts w:ascii="Times New Roman" w:hAnsi="Times New Roman" w:cs="Times New Roman"/>
          <w:color w:val="000000" w:themeColor="text1"/>
          <w:sz w:val="24"/>
          <w:szCs w:val="24"/>
          <w:lang w:val="en-US"/>
        </w:rPr>
        <w:t xml:space="preserve"> </w:t>
      </w:r>
      <w:r w:rsidR="00F26E25" w:rsidRPr="0078472B">
        <w:rPr>
          <w:rFonts w:ascii="Times New Roman" w:hAnsi="Times New Roman" w:cs="Times New Roman"/>
          <w:color w:val="000000" w:themeColor="text1"/>
          <w:sz w:val="24"/>
          <w:szCs w:val="24"/>
          <w:lang w:val="en-US"/>
        </w:rPr>
        <w:t>and</w:t>
      </w:r>
      <w:r w:rsidR="00EF1443" w:rsidRPr="0078472B">
        <w:rPr>
          <w:rFonts w:ascii="Times New Roman" w:hAnsi="Times New Roman" w:cs="Times New Roman"/>
          <w:color w:val="000000" w:themeColor="text1"/>
          <w:sz w:val="24"/>
          <w:szCs w:val="24"/>
          <w:lang w:val="en-US"/>
        </w:rPr>
        <w:t xml:space="preserve"> Saastamoinen J</w:t>
      </w:r>
      <w:r w:rsidR="00B05E3B" w:rsidRPr="0078472B">
        <w:rPr>
          <w:rFonts w:ascii="Times New Roman" w:hAnsi="Times New Roman" w:cs="Times New Roman"/>
          <w:color w:val="000000" w:themeColor="text1"/>
          <w:sz w:val="24"/>
          <w:szCs w:val="24"/>
          <w:lang w:val="en-US"/>
        </w:rPr>
        <w:t>.</w:t>
      </w:r>
      <w:r w:rsidR="00EF1443" w:rsidRPr="0078472B">
        <w:rPr>
          <w:rFonts w:ascii="Times New Roman" w:hAnsi="Times New Roman" w:cs="Times New Roman"/>
          <w:color w:val="000000" w:themeColor="text1"/>
          <w:sz w:val="24"/>
          <w:szCs w:val="24"/>
          <w:lang w:val="en-US"/>
        </w:rPr>
        <w:t xml:space="preserve"> (201</w:t>
      </w:r>
      <w:r w:rsidR="004007B2" w:rsidRPr="0078472B">
        <w:rPr>
          <w:rFonts w:ascii="Times New Roman" w:hAnsi="Times New Roman" w:cs="Times New Roman"/>
          <w:color w:val="000000" w:themeColor="text1"/>
          <w:sz w:val="24"/>
          <w:szCs w:val="24"/>
          <w:lang w:val="en-US"/>
        </w:rPr>
        <w:t>8</w:t>
      </w:r>
      <w:r w:rsidR="00EF1443" w:rsidRPr="0078472B">
        <w:rPr>
          <w:rFonts w:ascii="Times New Roman" w:hAnsi="Times New Roman" w:cs="Times New Roman"/>
          <w:color w:val="000000" w:themeColor="text1"/>
          <w:sz w:val="24"/>
          <w:szCs w:val="24"/>
          <w:lang w:val="en-US"/>
        </w:rPr>
        <w:t>)</w:t>
      </w:r>
      <w:r w:rsidR="00B05E3B" w:rsidRPr="0078472B">
        <w:rPr>
          <w:rFonts w:ascii="Times New Roman" w:hAnsi="Times New Roman" w:cs="Times New Roman"/>
          <w:color w:val="000000" w:themeColor="text1"/>
          <w:sz w:val="24"/>
          <w:szCs w:val="24"/>
          <w:lang w:val="en-US"/>
        </w:rPr>
        <w:t>.</w:t>
      </w:r>
      <w:r w:rsidR="00EF1443" w:rsidRPr="0078472B">
        <w:rPr>
          <w:rFonts w:ascii="Times New Roman" w:hAnsi="Times New Roman" w:cs="Times New Roman"/>
          <w:color w:val="000000" w:themeColor="text1"/>
          <w:sz w:val="24"/>
          <w:szCs w:val="24"/>
          <w:lang w:val="en-US"/>
        </w:rPr>
        <w:t xml:space="preserve"> How Do Prior Gains and Losses Affect Subsequent Risk Taking? New Evidence from Individual-Level Horse Race Bets</w:t>
      </w:r>
      <w:r w:rsidR="00F26E25" w:rsidRPr="0078472B">
        <w:rPr>
          <w:rFonts w:ascii="Times New Roman" w:hAnsi="Times New Roman" w:cs="Times New Roman"/>
          <w:i/>
          <w:color w:val="000000" w:themeColor="text1"/>
          <w:sz w:val="24"/>
          <w:szCs w:val="24"/>
          <w:lang w:val="en-US"/>
        </w:rPr>
        <w:t>. Management Science</w:t>
      </w:r>
      <w:r w:rsidR="00F26E25" w:rsidRPr="0078472B">
        <w:rPr>
          <w:rFonts w:ascii="Times New Roman" w:hAnsi="Times New Roman" w:cs="Times New Roman"/>
          <w:color w:val="000000" w:themeColor="text1"/>
          <w:sz w:val="24"/>
          <w:szCs w:val="24"/>
          <w:lang w:val="en-US"/>
        </w:rPr>
        <w:t xml:space="preserve">, </w:t>
      </w:r>
      <w:r w:rsidR="004007B2" w:rsidRPr="0078472B">
        <w:rPr>
          <w:rFonts w:ascii="Times New Roman" w:hAnsi="Times New Roman" w:cs="Times New Roman"/>
          <w:i/>
          <w:color w:val="000000" w:themeColor="text1"/>
          <w:sz w:val="24"/>
          <w:szCs w:val="24"/>
          <w:lang w:val="en-US"/>
        </w:rPr>
        <w:t>64(6)</w:t>
      </w:r>
      <w:r w:rsidR="004007B2" w:rsidRPr="0078472B">
        <w:rPr>
          <w:rFonts w:ascii="Times New Roman" w:hAnsi="Times New Roman" w:cs="Times New Roman"/>
          <w:color w:val="000000" w:themeColor="text1"/>
          <w:sz w:val="24"/>
          <w:szCs w:val="24"/>
          <w:lang w:val="en-US"/>
        </w:rPr>
        <w:t>, 2797-2808.</w:t>
      </w:r>
    </w:p>
    <w:p w14:paraId="2611E93F" w14:textId="080AB6E0" w:rsidR="00D81EFC" w:rsidRPr="0078472B" w:rsidRDefault="00D81EFC" w:rsidP="00E5036A">
      <w:pPr>
        <w:spacing w:after="0" w:line="240" w:lineRule="auto"/>
        <w:ind w:left="567" w:hanging="567"/>
        <w:jc w:val="both"/>
        <w:rPr>
          <w:rFonts w:ascii="Times New Roman" w:hAnsi="Times New Roman" w:cs="Times New Roman"/>
          <w:color w:val="000000" w:themeColor="text1"/>
          <w:sz w:val="24"/>
          <w:szCs w:val="24"/>
          <w:lang w:val="en-US"/>
        </w:rPr>
      </w:pPr>
      <w:r w:rsidRPr="0078472B">
        <w:rPr>
          <w:rFonts w:ascii="Times New Roman" w:hAnsi="Times New Roman" w:cs="Times New Roman"/>
          <w:color w:val="000000" w:themeColor="text1"/>
          <w:sz w:val="24"/>
          <w:szCs w:val="24"/>
          <w:lang w:val="fi-FI"/>
        </w:rPr>
        <w:t xml:space="preserve">Suhonen, N., Saastamoinen, J., Kainulainen, T., and Forrest, D. (2018). </w:t>
      </w:r>
      <w:r w:rsidRPr="0078472B">
        <w:rPr>
          <w:rFonts w:ascii="Times New Roman" w:hAnsi="Times New Roman" w:cs="Times New Roman"/>
          <w:bCs/>
          <w:color w:val="000000" w:themeColor="text1"/>
          <w:sz w:val="24"/>
          <w:szCs w:val="24"/>
          <w:lang w:val="en-US"/>
        </w:rPr>
        <w:t xml:space="preserve">Is timing everything in horse betting? Bet amount, timing and bettors’ returns in pari-mutuel wagering markets. </w:t>
      </w:r>
      <w:r w:rsidRPr="0078472B">
        <w:rPr>
          <w:rFonts w:ascii="Times New Roman" w:hAnsi="Times New Roman" w:cs="Times New Roman"/>
          <w:bCs/>
          <w:i/>
          <w:color w:val="000000" w:themeColor="text1"/>
          <w:sz w:val="24"/>
          <w:szCs w:val="24"/>
          <w:lang w:val="en-US"/>
        </w:rPr>
        <w:t>Economics Letters</w:t>
      </w:r>
      <w:r w:rsidRPr="0078472B">
        <w:rPr>
          <w:rFonts w:ascii="Times New Roman" w:hAnsi="Times New Roman" w:cs="Times New Roman"/>
          <w:bCs/>
          <w:color w:val="000000" w:themeColor="text1"/>
          <w:sz w:val="24"/>
          <w:szCs w:val="24"/>
          <w:lang w:val="en-US"/>
        </w:rPr>
        <w:t xml:space="preserve">, </w:t>
      </w:r>
      <w:r w:rsidRPr="0078472B">
        <w:rPr>
          <w:rFonts w:ascii="Times New Roman" w:hAnsi="Times New Roman" w:cs="Times New Roman"/>
          <w:bCs/>
          <w:i/>
          <w:color w:val="000000" w:themeColor="text1"/>
          <w:sz w:val="24"/>
          <w:szCs w:val="24"/>
          <w:lang w:val="en-US"/>
        </w:rPr>
        <w:t>173</w:t>
      </w:r>
      <w:r w:rsidRPr="0078472B">
        <w:rPr>
          <w:rFonts w:ascii="Times New Roman" w:hAnsi="Times New Roman" w:cs="Times New Roman"/>
          <w:bCs/>
          <w:color w:val="000000" w:themeColor="text1"/>
          <w:sz w:val="24"/>
          <w:szCs w:val="24"/>
          <w:lang w:val="en-US"/>
        </w:rPr>
        <w:t>, 97-99</w:t>
      </w:r>
      <w:r w:rsidRPr="0078472B">
        <w:rPr>
          <w:rFonts w:ascii="Times New Roman" w:hAnsi="Times New Roman" w:cs="Times New Roman"/>
          <w:color w:val="000000" w:themeColor="text1"/>
          <w:sz w:val="24"/>
          <w:szCs w:val="24"/>
        </w:rPr>
        <w:t>.</w:t>
      </w:r>
    </w:p>
    <w:p w14:paraId="5BD5F93A" w14:textId="54FC020A"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lang w:val="en-US"/>
        </w:rPr>
        <w:t>Suomen Hippos</w:t>
      </w:r>
      <w:r w:rsidR="00CC4613" w:rsidRPr="0078472B">
        <w:rPr>
          <w:rFonts w:ascii="Times New Roman" w:hAnsi="Times New Roman" w:cs="Times New Roman"/>
          <w:color w:val="000000" w:themeColor="text1"/>
          <w:sz w:val="24"/>
          <w:szCs w:val="24"/>
          <w:lang w:val="en-US"/>
        </w:rPr>
        <w:t xml:space="preserve"> (2010)</w:t>
      </w:r>
      <w:r w:rsidR="00221C78" w:rsidRPr="0078472B">
        <w:rPr>
          <w:rFonts w:ascii="Times New Roman" w:hAnsi="Times New Roman" w:cs="Times New Roman"/>
          <w:color w:val="000000" w:themeColor="text1"/>
          <w:sz w:val="24"/>
          <w:szCs w:val="24"/>
          <w:lang w:val="en-US"/>
        </w:rPr>
        <w:t>.</w:t>
      </w:r>
      <w:r w:rsidR="00CC4613" w:rsidRPr="0078472B">
        <w:rPr>
          <w:rFonts w:ascii="Times New Roman" w:hAnsi="Times New Roman" w:cs="Times New Roman"/>
          <w:color w:val="000000" w:themeColor="text1"/>
          <w:sz w:val="24"/>
          <w:szCs w:val="24"/>
          <w:lang w:val="en-US"/>
        </w:rPr>
        <w:t xml:space="preserve"> Suomen Hippos G</w:t>
      </w:r>
      <w:r w:rsidRPr="0078472B">
        <w:rPr>
          <w:rFonts w:ascii="Times New Roman" w:hAnsi="Times New Roman" w:cs="Times New Roman"/>
          <w:color w:val="000000" w:themeColor="text1"/>
          <w:sz w:val="24"/>
          <w:szCs w:val="24"/>
          <w:lang w:val="en-US"/>
        </w:rPr>
        <w:t xml:space="preserve">roup’s </w:t>
      </w:r>
      <w:r w:rsidR="00CC4613" w:rsidRPr="0078472B">
        <w:rPr>
          <w:rFonts w:ascii="Times New Roman" w:hAnsi="Times New Roman" w:cs="Times New Roman"/>
          <w:color w:val="000000" w:themeColor="text1"/>
          <w:sz w:val="24"/>
          <w:szCs w:val="24"/>
          <w:lang w:val="en-US"/>
        </w:rPr>
        <w:t>Annual R</w:t>
      </w:r>
      <w:r w:rsidRPr="0078472B">
        <w:rPr>
          <w:rFonts w:ascii="Times New Roman" w:hAnsi="Times New Roman" w:cs="Times New Roman"/>
          <w:color w:val="000000" w:themeColor="text1"/>
          <w:sz w:val="24"/>
          <w:szCs w:val="24"/>
          <w:lang w:val="en-US"/>
        </w:rPr>
        <w:t>eport 2009</w:t>
      </w:r>
      <w:r w:rsidR="00CC4613" w:rsidRPr="0078472B">
        <w:rPr>
          <w:rFonts w:ascii="Times New Roman" w:hAnsi="Times New Roman" w:cs="Times New Roman"/>
          <w:color w:val="000000" w:themeColor="text1"/>
          <w:sz w:val="24"/>
          <w:szCs w:val="24"/>
          <w:lang w:val="en-US"/>
        </w:rPr>
        <w:t xml:space="preserve">. Available at: </w:t>
      </w:r>
      <w:hyperlink r:id="rId14" w:history="1">
        <w:r w:rsidRPr="0078472B">
          <w:rPr>
            <w:rStyle w:val="Hyperlink"/>
            <w:rFonts w:ascii="Times New Roman" w:hAnsi="Times New Roman"/>
            <w:color w:val="000000" w:themeColor="text1"/>
            <w:sz w:val="24"/>
            <w:szCs w:val="24"/>
          </w:rPr>
          <w:t>http://wwwhipposfi/files/599/hippos09vuosikertomuspdf</w:t>
        </w:r>
      </w:hyperlink>
      <w:r w:rsidRPr="0078472B">
        <w:rPr>
          <w:rFonts w:ascii="Times New Roman" w:hAnsi="Times New Roman" w:cs="Times New Roman"/>
          <w:color w:val="000000" w:themeColor="text1"/>
          <w:sz w:val="24"/>
          <w:szCs w:val="24"/>
          <w:lang w:val="en-US"/>
        </w:rPr>
        <w:t xml:space="preserve"> </w:t>
      </w:r>
      <w:r w:rsidR="00CC4613" w:rsidRPr="0078472B">
        <w:rPr>
          <w:rFonts w:ascii="Times New Roman" w:hAnsi="Times New Roman" w:cs="Times New Roman"/>
          <w:color w:val="000000" w:themeColor="text1"/>
          <w:sz w:val="24"/>
          <w:szCs w:val="24"/>
          <w:lang w:val="en-US"/>
        </w:rPr>
        <w:t>(A</w:t>
      </w:r>
      <w:r w:rsidRPr="0078472B">
        <w:rPr>
          <w:rFonts w:ascii="Times New Roman" w:hAnsi="Times New Roman" w:cs="Times New Roman"/>
          <w:color w:val="000000" w:themeColor="text1"/>
          <w:sz w:val="24"/>
          <w:szCs w:val="24"/>
          <w:lang w:val="en-US"/>
        </w:rPr>
        <w:t>ccessed</w:t>
      </w:r>
      <w:r w:rsidR="00221C78"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00221C78" w:rsidRPr="0078472B">
        <w:rPr>
          <w:rFonts w:ascii="Times New Roman" w:hAnsi="Times New Roman" w:cs="Times New Roman"/>
          <w:color w:val="000000" w:themeColor="text1"/>
          <w:sz w:val="24"/>
          <w:szCs w:val="24"/>
          <w:lang w:val="en-US"/>
        </w:rPr>
        <w:t>September</w:t>
      </w:r>
      <w:r w:rsidR="00C45D60" w:rsidRPr="0078472B">
        <w:rPr>
          <w:rFonts w:ascii="Times New Roman" w:hAnsi="Times New Roman" w:cs="Times New Roman"/>
          <w:color w:val="000000" w:themeColor="text1"/>
          <w:sz w:val="24"/>
          <w:szCs w:val="24"/>
          <w:lang w:val="en-US"/>
        </w:rPr>
        <w:t xml:space="preserve"> </w:t>
      </w:r>
      <w:r w:rsidR="00221C78" w:rsidRPr="0078472B">
        <w:rPr>
          <w:rFonts w:ascii="Times New Roman" w:hAnsi="Times New Roman" w:cs="Times New Roman"/>
          <w:color w:val="000000" w:themeColor="text1"/>
          <w:sz w:val="24"/>
          <w:szCs w:val="24"/>
          <w:lang w:val="en-US"/>
        </w:rPr>
        <w:t>18</w:t>
      </w:r>
      <w:r w:rsidRPr="0078472B">
        <w:rPr>
          <w:rFonts w:ascii="Times New Roman" w:hAnsi="Times New Roman" w:cs="Times New Roman"/>
          <w:color w:val="000000" w:themeColor="text1"/>
          <w:sz w:val="24"/>
          <w:szCs w:val="24"/>
          <w:lang w:val="en-US"/>
        </w:rPr>
        <w:t xml:space="preserve"> 201</w:t>
      </w:r>
      <w:r w:rsidR="00221C78" w:rsidRPr="0078472B">
        <w:rPr>
          <w:rFonts w:ascii="Times New Roman" w:hAnsi="Times New Roman" w:cs="Times New Roman"/>
          <w:color w:val="000000" w:themeColor="text1"/>
          <w:sz w:val="24"/>
          <w:szCs w:val="24"/>
          <w:lang w:val="en-US"/>
        </w:rPr>
        <w:t>9</w:t>
      </w:r>
      <w:r w:rsidR="00CC4613" w:rsidRPr="0078472B">
        <w:rPr>
          <w:rFonts w:ascii="Times New Roman" w:hAnsi="Times New Roman" w:cs="Times New Roman"/>
          <w:color w:val="000000" w:themeColor="text1"/>
          <w:sz w:val="24"/>
          <w:szCs w:val="24"/>
          <w:lang w:val="en-US"/>
        </w:rPr>
        <w:t>)</w:t>
      </w:r>
      <w:r w:rsidR="00C45D60" w:rsidRPr="0078472B">
        <w:rPr>
          <w:rFonts w:ascii="Times New Roman" w:hAnsi="Times New Roman" w:cs="Times New Roman"/>
          <w:color w:val="000000" w:themeColor="text1"/>
          <w:sz w:val="24"/>
          <w:szCs w:val="24"/>
          <w:lang w:val="en-US"/>
        </w:rPr>
        <w:t>.</w:t>
      </w:r>
    </w:p>
    <w:p w14:paraId="3AC70A40" w14:textId="38EF899B"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lang w:val="en-US"/>
        </w:rPr>
        <w:t>Suomen Hippos</w:t>
      </w:r>
      <w:r w:rsidR="00CC4613" w:rsidRPr="0078472B">
        <w:rPr>
          <w:rFonts w:ascii="Times New Roman" w:hAnsi="Times New Roman" w:cs="Times New Roman"/>
          <w:color w:val="000000" w:themeColor="text1"/>
          <w:sz w:val="24"/>
          <w:szCs w:val="24"/>
          <w:lang w:val="en-US"/>
        </w:rPr>
        <w:t xml:space="preserve"> (2015)</w:t>
      </w:r>
      <w:r w:rsidR="00221C78" w:rsidRPr="0078472B">
        <w:rPr>
          <w:rFonts w:ascii="Times New Roman" w:hAnsi="Times New Roman" w:cs="Times New Roman"/>
          <w:color w:val="000000" w:themeColor="text1"/>
          <w:sz w:val="24"/>
          <w:szCs w:val="24"/>
          <w:lang w:val="en-US"/>
        </w:rPr>
        <w:t>.</w:t>
      </w:r>
      <w:r w:rsidR="00CC4613" w:rsidRPr="0078472B">
        <w:rPr>
          <w:rFonts w:ascii="Times New Roman" w:hAnsi="Times New Roman" w:cs="Times New Roman"/>
          <w:color w:val="000000" w:themeColor="text1"/>
          <w:sz w:val="24"/>
          <w:szCs w:val="24"/>
          <w:lang w:val="en-US"/>
        </w:rPr>
        <w:t xml:space="preserve"> Suomen Hippos G</w:t>
      </w:r>
      <w:r w:rsidRPr="0078472B">
        <w:rPr>
          <w:rFonts w:ascii="Times New Roman" w:hAnsi="Times New Roman" w:cs="Times New Roman"/>
          <w:color w:val="000000" w:themeColor="text1"/>
          <w:sz w:val="24"/>
          <w:szCs w:val="24"/>
          <w:lang w:val="en-US"/>
        </w:rPr>
        <w:t xml:space="preserve">roup’s </w:t>
      </w:r>
      <w:r w:rsidR="00CC4613" w:rsidRPr="0078472B">
        <w:rPr>
          <w:rFonts w:ascii="Times New Roman" w:hAnsi="Times New Roman" w:cs="Times New Roman"/>
          <w:color w:val="000000" w:themeColor="text1"/>
          <w:sz w:val="24"/>
          <w:szCs w:val="24"/>
          <w:lang w:val="en-US"/>
        </w:rPr>
        <w:t>A</w:t>
      </w:r>
      <w:r w:rsidRPr="0078472B">
        <w:rPr>
          <w:rFonts w:ascii="Times New Roman" w:hAnsi="Times New Roman" w:cs="Times New Roman"/>
          <w:color w:val="000000" w:themeColor="text1"/>
          <w:sz w:val="24"/>
          <w:szCs w:val="24"/>
          <w:lang w:val="en-US"/>
        </w:rPr>
        <w:t xml:space="preserve">nnual </w:t>
      </w:r>
      <w:r w:rsidR="00CC4613" w:rsidRPr="0078472B">
        <w:rPr>
          <w:rFonts w:ascii="Times New Roman" w:hAnsi="Times New Roman" w:cs="Times New Roman"/>
          <w:color w:val="000000" w:themeColor="text1"/>
          <w:sz w:val="24"/>
          <w:szCs w:val="24"/>
          <w:lang w:val="en-US"/>
        </w:rPr>
        <w:t>R</w:t>
      </w:r>
      <w:r w:rsidRPr="0078472B">
        <w:rPr>
          <w:rFonts w:ascii="Times New Roman" w:hAnsi="Times New Roman" w:cs="Times New Roman"/>
          <w:color w:val="000000" w:themeColor="text1"/>
          <w:sz w:val="24"/>
          <w:szCs w:val="24"/>
          <w:lang w:val="en-US"/>
        </w:rPr>
        <w:t>eport 2014</w:t>
      </w:r>
      <w:r w:rsidR="00CC4613" w:rsidRPr="0078472B">
        <w:rPr>
          <w:rFonts w:ascii="Times New Roman" w:hAnsi="Times New Roman" w:cs="Times New Roman"/>
          <w:color w:val="000000" w:themeColor="text1"/>
          <w:sz w:val="24"/>
          <w:szCs w:val="24"/>
          <w:lang w:val="en-US"/>
        </w:rPr>
        <w:t xml:space="preserve">. Available at: </w:t>
      </w:r>
      <w:r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lang w:val="en-US"/>
        </w:rPr>
        <w:lastRenderedPageBreak/>
        <w:t>(</w:t>
      </w:r>
      <w:hyperlink r:id="rId15" w:history="1">
        <w:r w:rsidRPr="0078472B">
          <w:rPr>
            <w:rStyle w:val="Hyperlink"/>
            <w:rFonts w:ascii="Times New Roman" w:hAnsi="Times New Roman"/>
            <w:color w:val="000000" w:themeColor="text1"/>
            <w:sz w:val="24"/>
            <w:szCs w:val="24"/>
            <w:lang w:val="en-US"/>
          </w:rPr>
          <w:t>http://wwwhipposfi/files/12384/hippos_vuosikertomus_2014_lowres20052015pdf</w:t>
        </w:r>
      </w:hyperlink>
      <w:r w:rsidRPr="0078472B">
        <w:rPr>
          <w:rFonts w:ascii="Times New Roman" w:hAnsi="Times New Roman" w:cs="Times New Roman"/>
          <w:color w:val="000000" w:themeColor="text1"/>
          <w:sz w:val="24"/>
          <w:szCs w:val="24"/>
          <w:lang w:val="en-US"/>
        </w:rPr>
        <w:t xml:space="preserve">) </w:t>
      </w:r>
      <w:r w:rsidR="00CC4613" w:rsidRPr="0078472B">
        <w:rPr>
          <w:rFonts w:ascii="Times New Roman" w:hAnsi="Times New Roman" w:cs="Times New Roman"/>
          <w:color w:val="000000" w:themeColor="text1"/>
          <w:sz w:val="24"/>
          <w:szCs w:val="24"/>
          <w:lang w:val="en-US"/>
        </w:rPr>
        <w:t>(A</w:t>
      </w:r>
      <w:r w:rsidR="00C45D60" w:rsidRPr="0078472B">
        <w:rPr>
          <w:rFonts w:ascii="Times New Roman" w:hAnsi="Times New Roman" w:cs="Times New Roman"/>
          <w:color w:val="000000" w:themeColor="text1"/>
          <w:sz w:val="24"/>
          <w:szCs w:val="24"/>
          <w:lang w:val="en-US"/>
        </w:rPr>
        <w:t>ccessed</w:t>
      </w:r>
      <w:r w:rsidR="00221C78" w:rsidRPr="0078472B">
        <w:rPr>
          <w:rFonts w:ascii="Times New Roman" w:hAnsi="Times New Roman" w:cs="Times New Roman"/>
          <w:color w:val="000000" w:themeColor="text1"/>
          <w:sz w:val="24"/>
          <w:szCs w:val="24"/>
          <w:lang w:val="en-US"/>
        </w:rPr>
        <w:t>:</w:t>
      </w:r>
      <w:r w:rsidR="00C45D60" w:rsidRPr="0078472B">
        <w:rPr>
          <w:rFonts w:ascii="Times New Roman" w:hAnsi="Times New Roman" w:cs="Times New Roman"/>
          <w:color w:val="000000" w:themeColor="text1"/>
          <w:sz w:val="24"/>
          <w:szCs w:val="24"/>
          <w:lang w:val="en-US"/>
        </w:rPr>
        <w:t xml:space="preserve"> </w:t>
      </w:r>
      <w:r w:rsidR="00221C78" w:rsidRPr="0078472B">
        <w:rPr>
          <w:rFonts w:ascii="Times New Roman" w:hAnsi="Times New Roman" w:cs="Times New Roman"/>
          <w:color w:val="000000" w:themeColor="text1"/>
          <w:sz w:val="24"/>
          <w:szCs w:val="24"/>
          <w:lang w:val="en-US"/>
        </w:rPr>
        <w:t>September 18 2019</w:t>
      </w:r>
      <w:r w:rsidR="00CC4613" w:rsidRPr="0078472B">
        <w:rPr>
          <w:rFonts w:ascii="Times New Roman" w:hAnsi="Times New Roman" w:cs="Times New Roman"/>
          <w:color w:val="000000" w:themeColor="text1"/>
          <w:sz w:val="24"/>
          <w:szCs w:val="24"/>
          <w:lang w:val="en-US"/>
        </w:rPr>
        <w:t>)</w:t>
      </w:r>
      <w:r w:rsidR="00C45D60" w:rsidRPr="0078472B">
        <w:rPr>
          <w:rFonts w:ascii="Times New Roman" w:hAnsi="Times New Roman" w:cs="Times New Roman"/>
          <w:color w:val="000000" w:themeColor="text1"/>
          <w:sz w:val="24"/>
          <w:szCs w:val="24"/>
          <w:lang w:val="en-US"/>
        </w:rPr>
        <w:t>.</w:t>
      </w:r>
    </w:p>
    <w:p w14:paraId="00E10D79" w14:textId="738333F6"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lang w:val="en-US"/>
        </w:rPr>
      </w:pPr>
      <w:r w:rsidRPr="0078472B">
        <w:rPr>
          <w:rFonts w:ascii="Times New Roman" w:hAnsi="Times New Roman" w:cs="Times New Roman"/>
          <w:color w:val="000000" w:themeColor="text1"/>
          <w:sz w:val="24"/>
          <w:szCs w:val="24"/>
          <w:lang w:val="en-US"/>
        </w:rPr>
        <w:t>Suomen Hippos</w:t>
      </w:r>
      <w:r w:rsidR="00CC4613" w:rsidRPr="0078472B">
        <w:rPr>
          <w:rFonts w:ascii="Times New Roman" w:hAnsi="Times New Roman" w:cs="Times New Roman"/>
          <w:color w:val="000000" w:themeColor="text1"/>
          <w:sz w:val="24"/>
          <w:szCs w:val="24"/>
          <w:lang w:val="en-US"/>
        </w:rPr>
        <w:t xml:space="preserve"> (2017)</w:t>
      </w:r>
      <w:r w:rsidR="00221C78" w:rsidRPr="0078472B">
        <w:rPr>
          <w:rFonts w:ascii="Times New Roman" w:hAnsi="Times New Roman" w:cs="Times New Roman"/>
          <w:color w:val="000000" w:themeColor="text1"/>
          <w:sz w:val="24"/>
          <w:szCs w:val="24"/>
          <w:lang w:val="en-US"/>
        </w:rPr>
        <w:t>.</w:t>
      </w:r>
      <w:r w:rsidR="00CC4613" w:rsidRPr="0078472B">
        <w:rPr>
          <w:rFonts w:ascii="Times New Roman" w:hAnsi="Times New Roman" w:cs="Times New Roman"/>
          <w:color w:val="000000" w:themeColor="text1"/>
          <w:sz w:val="24"/>
          <w:szCs w:val="24"/>
          <w:lang w:val="en-US"/>
        </w:rPr>
        <w:t xml:space="preserve"> Suomen Hippos</w:t>
      </w:r>
      <w:r w:rsidRPr="0078472B">
        <w:rPr>
          <w:rFonts w:ascii="Times New Roman" w:hAnsi="Times New Roman" w:cs="Times New Roman"/>
          <w:color w:val="000000" w:themeColor="text1"/>
          <w:sz w:val="24"/>
          <w:szCs w:val="24"/>
          <w:lang w:val="en-US"/>
        </w:rPr>
        <w:t xml:space="preserve"> </w:t>
      </w:r>
      <w:r w:rsidR="00CC4613" w:rsidRPr="0078472B">
        <w:rPr>
          <w:rFonts w:ascii="Times New Roman" w:hAnsi="Times New Roman" w:cs="Times New Roman"/>
          <w:color w:val="000000" w:themeColor="text1"/>
          <w:sz w:val="24"/>
          <w:szCs w:val="24"/>
          <w:lang w:val="en-US"/>
        </w:rPr>
        <w:t>Group’s Annual R</w:t>
      </w:r>
      <w:r w:rsidRPr="0078472B">
        <w:rPr>
          <w:rFonts w:ascii="Times New Roman" w:hAnsi="Times New Roman" w:cs="Times New Roman"/>
          <w:color w:val="000000" w:themeColor="text1"/>
          <w:sz w:val="24"/>
          <w:szCs w:val="24"/>
          <w:lang w:val="en-US"/>
        </w:rPr>
        <w:t>eport 2016</w:t>
      </w:r>
      <w:r w:rsidR="00B04CDF" w:rsidRPr="0078472B">
        <w:rPr>
          <w:rFonts w:ascii="Times New Roman" w:hAnsi="Times New Roman" w:cs="Times New Roman"/>
          <w:color w:val="000000" w:themeColor="text1"/>
          <w:sz w:val="24"/>
          <w:szCs w:val="24"/>
          <w:lang w:val="en-US"/>
        </w:rPr>
        <w:t xml:space="preserve">. Available at: </w:t>
      </w:r>
      <w:r w:rsidRPr="0078472B">
        <w:rPr>
          <w:rFonts w:ascii="Times New Roman" w:hAnsi="Times New Roman" w:cs="Times New Roman"/>
          <w:color w:val="000000" w:themeColor="text1"/>
          <w:sz w:val="24"/>
          <w:szCs w:val="24"/>
          <w:lang w:val="en-US"/>
        </w:rPr>
        <w:t xml:space="preserve"> </w:t>
      </w:r>
      <w:hyperlink r:id="rId16" w:history="1">
        <w:r w:rsidRPr="0078472B">
          <w:rPr>
            <w:rStyle w:val="Hyperlink"/>
            <w:rFonts w:ascii="Times New Roman" w:hAnsi="Times New Roman"/>
            <w:color w:val="000000" w:themeColor="text1"/>
            <w:sz w:val="24"/>
            <w:szCs w:val="24"/>
            <w:lang w:val="en-US"/>
          </w:rPr>
          <w:t>http://wwwhipposfi/files/18522/hippos_vuosikertomus2016_valmispdf</w:t>
        </w:r>
      </w:hyperlink>
      <w:r w:rsidR="00B04CDF" w:rsidRPr="0078472B">
        <w:rPr>
          <w:rStyle w:val="Hyperlink"/>
          <w:rFonts w:ascii="Times New Roman" w:hAnsi="Times New Roman"/>
          <w:color w:val="000000" w:themeColor="text1"/>
          <w:sz w:val="24"/>
          <w:szCs w:val="24"/>
          <w:u w:val="none"/>
          <w:lang w:val="en-US"/>
        </w:rPr>
        <w:t xml:space="preserve"> </w:t>
      </w:r>
      <w:r w:rsidR="00B04CDF" w:rsidRPr="0078472B">
        <w:rPr>
          <w:rFonts w:ascii="Times New Roman" w:hAnsi="Times New Roman" w:cs="Times New Roman"/>
          <w:color w:val="000000" w:themeColor="text1"/>
          <w:sz w:val="24"/>
          <w:szCs w:val="24"/>
          <w:lang w:val="en-US"/>
        </w:rPr>
        <w:t>(Ac</w:t>
      </w:r>
      <w:r w:rsidRPr="0078472B">
        <w:rPr>
          <w:rFonts w:ascii="Times New Roman" w:hAnsi="Times New Roman" w:cs="Times New Roman"/>
          <w:color w:val="000000" w:themeColor="text1"/>
          <w:sz w:val="24"/>
          <w:szCs w:val="24"/>
          <w:lang w:val="en-US"/>
        </w:rPr>
        <w:t>cessed</w:t>
      </w:r>
      <w:r w:rsidR="00B04CDF"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00221C78" w:rsidRPr="0078472B">
        <w:rPr>
          <w:rFonts w:ascii="Times New Roman" w:hAnsi="Times New Roman" w:cs="Times New Roman"/>
          <w:color w:val="000000" w:themeColor="text1"/>
          <w:sz w:val="24"/>
          <w:szCs w:val="24"/>
          <w:lang w:val="en-US"/>
        </w:rPr>
        <w:t>September 18 2019</w:t>
      </w:r>
      <w:r w:rsidR="00B04CDF" w:rsidRPr="0078472B">
        <w:rPr>
          <w:rFonts w:ascii="Times New Roman" w:hAnsi="Times New Roman" w:cs="Times New Roman"/>
          <w:color w:val="000000" w:themeColor="text1"/>
          <w:sz w:val="24"/>
          <w:szCs w:val="24"/>
          <w:lang w:val="en-US"/>
        </w:rPr>
        <w:t>)</w:t>
      </w:r>
      <w:r w:rsidR="00C45D60" w:rsidRPr="0078472B">
        <w:rPr>
          <w:rFonts w:ascii="Times New Roman" w:hAnsi="Times New Roman" w:cs="Times New Roman"/>
          <w:color w:val="000000" w:themeColor="text1"/>
          <w:sz w:val="24"/>
          <w:szCs w:val="24"/>
          <w:lang w:val="en-US"/>
        </w:rPr>
        <w:t>.</w:t>
      </w:r>
    </w:p>
    <w:p w14:paraId="54CE94BA" w14:textId="086264B3"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lang w:val="en-US"/>
        </w:rPr>
      </w:pPr>
      <w:r w:rsidRPr="0078472B">
        <w:rPr>
          <w:rFonts w:ascii="Times New Roman" w:hAnsi="Times New Roman" w:cs="Times New Roman"/>
          <w:color w:val="000000" w:themeColor="text1"/>
          <w:sz w:val="24"/>
          <w:szCs w:val="24"/>
          <w:lang w:val="fi-FI"/>
        </w:rPr>
        <w:t>Tan, A</w:t>
      </w:r>
      <w:r w:rsidR="00221C78" w:rsidRPr="0078472B">
        <w:rPr>
          <w:rFonts w:ascii="Times New Roman" w:hAnsi="Times New Roman" w:cs="Times New Roman"/>
          <w:color w:val="000000" w:themeColor="text1"/>
          <w:sz w:val="24"/>
          <w:szCs w:val="24"/>
          <w:lang w:val="fi-FI"/>
        </w:rPr>
        <w:t xml:space="preserve">. </w:t>
      </w:r>
      <w:r w:rsidRPr="0078472B">
        <w:rPr>
          <w:rFonts w:ascii="Times New Roman" w:hAnsi="Times New Roman" w:cs="Times New Roman"/>
          <w:color w:val="000000" w:themeColor="text1"/>
          <w:sz w:val="24"/>
          <w:szCs w:val="24"/>
          <w:lang w:val="fi-FI"/>
        </w:rPr>
        <w:t>K</w:t>
      </w:r>
      <w:r w:rsidR="00221C78" w:rsidRPr="0078472B">
        <w:rPr>
          <w:rFonts w:ascii="Times New Roman" w:hAnsi="Times New Roman" w:cs="Times New Roman"/>
          <w:color w:val="000000" w:themeColor="text1"/>
          <w:sz w:val="24"/>
          <w:szCs w:val="24"/>
          <w:lang w:val="fi-FI"/>
        </w:rPr>
        <w:t>.</w:t>
      </w:r>
      <w:r w:rsidRPr="0078472B">
        <w:rPr>
          <w:rFonts w:ascii="Times New Roman" w:hAnsi="Times New Roman" w:cs="Times New Roman"/>
          <w:color w:val="000000" w:themeColor="text1"/>
          <w:sz w:val="24"/>
          <w:szCs w:val="24"/>
          <w:lang w:val="fi-FI"/>
        </w:rPr>
        <w:t xml:space="preserve"> G</w:t>
      </w:r>
      <w:r w:rsidR="00221C78" w:rsidRPr="0078472B">
        <w:rPr>
          <w:rFonts w:ascii="Times New Roman" w:hAnsi="Times New Roman" w:cs="Times New Roman"/>
          <w:color w:val="000000" w:themeColor="text1"/>
          <w:sz w:val="24"/>
          <w:szCs w:val="24"/>
          <w:lang w:val="fi-FI"/>
        </w:rPr>
        <w:t>.</w:t>
      </w:r>
      <w:r w:rsidR="002D2465" w:rsidRPr="0078472B">
        <w:rPr>
          <w:rFonts w:ascii="Times New Roman" w:hAnsi="Times New Roman" w:cs="Times New Roman"/>
          <w:color w:val="000000" w:themeColor="text1"/>
          <w:sz w:val="24"/>
          <w:szCs w:val="24"/>
          <w:lang w:val="fi-FI"/>
        </w:rPr>
        <w:t>,</w:t>
      </w:r>
      <w:r w:rsidRPr="0078472B">
        <w:rPr>
          <w:rFonts w:ascii="Times New Roman" w:hAnsi="Times New Roman" w:cs="Times New Roman"/>
          <w:color w:val="000000" w:themeColor="text1"/>
          <w:sz w:val="24"/>
          <w:szCs w:val="24"/>
          <w:lang w:val="fi-FI"/>
        </w:rPr>
        <w:t xml:space="preserve"> Yen, S</w:t>
      </w:r>
      <w:r w:rsidR="00221C78" w:rsidRPr="0078472B">
        <w:rPr>
          <w:rFonts w:ascii="Times New Roman" w:hAnsi="Times New Roman" w:cs="Times New Roman"/>
          <w:color w:val="000000" w:themeColor="text1"/>
          <w:sz w:val="24"/>
          <w:szCs w:val="24"/>
          <w:lang w:val="fi-FI"/>
        </w:rPr>
        <w:t xml:space="preserve">. </w:t>
      </w:r>
      <w:r w:rsidRPr="0078472B">
        <w:rPr>
          <w:rFonts w:ascii="Times New Roman" w:hAnsi="Times New Roman" w:cs="Times New Roman"/>
          <w:color w:val="000000" w:themeColor="text1"/>
          <w:sz w:val="24"/>
          <w:szCs w:val="24"/>
          <w:lang w:val="fi-FI"/>
        </w:rPr>
        <w:t>T</w:t>
      </w:r>
      <w:r w:rsidR="00221C78" w:rsidRPr="0078472B">
        <w:rPr>
          <w:rFonts w:ascii="Times New Roman" w:hAnsi="Times New Roman" w:cs="Times New Roman"/>
          <w:color w:val="000000" w:themeColor="text1"/>
          <w:sz w:val="24"/>
          <w:szCs w:val="24"/>
          <w:lang w:val="fi-FI"/>
        </w:rPr>
        <w:t>.,</w:t>
      </w:r>
      <w:r w:rsidRPr="0078472B">
        <w:rPr>
          <w:rFonts w:ascii="Times New Roman" w:hAnsi="Times New Roman" w:cs="Times New Roman"/>
          <w:color w:val="000000" w:themeColor="text1"/>
          <w:sz w:val="24"/>
          <w:szCs w:val="24"/>
          <w:lang w:val="fi-FI"/>
        </w:rPr>
        <w:t xml:space="preserve"> </w:t>
      </w:r>
      <w:r w:rsidR="00221C78" w:rsidRPr="0078472B">
        <w:rPr>
          <w:rFonts w:ascii="Times New Roman" w:hAnsi="Times New Roman" w:cs="Times New Roman"/>
          <w:color w:val="000000" w:themeColor="text1"/>
          <w:sz w:val="24"/>
          <w:szCs w:val="24"/>
          <w:lang w:val="fi-FI"/>
        </w:rPr>
        <w:t>&amp;</w:t>
      </w:r>
      <w:r w:rsidRPr="0078472B">
        <w:rPr>
          <w:rFonts w:ascii="Times New Roman" w:hAnsi="Times New Roman" w:cs="Times New Roman"/>
          <w:color w:val="000000" w:themeColor="text1"/>
          <w:sz w:val="24"/>
          <w:szCs w:val="24"/>
          <w:lang w:val="fi-FI"/>
        </w:rPr>
        <w:t xml:space="preserve"> Nayga, R</w:t>
      </w:r>
      <w:r w:rsidR="00221C78" w:rsidRPr="0078472B">
        <w:rPr>
          <w:rFonts w:ascii="Times New Roman" w:hAnsi="Times New Roman" w:cs="Times New Roman"/>
          <w:color w:val="000000" w:themeColor="text1"/>
          <w:sz w:val="24"/>
          <w:szCs w:val="24"/>
          <w:lang w:val="fi-FI"/>
        </w:rPr>
        <w:t xml:space="preserve">. </w:t>
      </w:r>
      <w:r w:rsidRPr="0078472B">
        <w:rPr>
          <w:rFonts w:ascii="Times New Roman" w:hAnsi="Times New Roman" w:cs="Times New Roman"/>
          <w:color w:val="000000" w:themeColor="text1"/>
          <w:sz w:val="24"/>
          <w:szCs w:val="24"/>
          <w:lang w:val="fi-FI"/>
        </w:rPr>
        <w:t>M</w:t>
      </w:r>
      <w:r w:rsidR="00221C78" w:rsidRPr="0078472B">
        <w:rPr>
          <w:rFonts w:ascii="Times New Roman" w:hAnsi="Times New Roman" w:cs="Times New Roman"/>
          <w:color w:val="000000" w:themeColor="text1"/>
          <w:sz w:val="24"/>
          <w:szCs w:val="24"/>
          <w:lang w:val="fi-FI"/>
        </w:rPr>
        <w:t>.</w:t>
      </w:r>
      <w:r w:rsidRPr="0078472B">
        <w:rPr>
          <w:rFonts w:ascii="Times New Roman" w:hAnsi="Times New Roman" w:cs="Times New Roman"/>
          <w:color w:val="000000" w:themeColor="text1"/>
          <w:sz w:val="24"/>
          <w:szCs w:val="24"/>
          <w:lang w:val="fi-FI"/>
        </w:rPr>
        <w:t xml:space="preserve"> Jr</w:t>
      </w:r>
      <w:r w:rsidR="00221C78" w:rsidRPr="0078472B">
        <w:rPr>
          <w:rFonts w:ascii="Times New Roman" w:hAnsi="Times New Roman" w:cs="Times New Roman"/>
          <w:color w:val="000000" w:themeColor="text1"/>
          <w:sz w:val="24"/>
          <w:szCs w:val="24"/>
          <w:lang w:val="fi-FI"/>
        </w:rPr>
        <w:t>.</w:t>
      </w:r>
      <w:r w:rsidRPr="0078472B">
        <w:rPr>
          <w:rFonts w:ascii="Times New Roman" w:hAnsi="Times New Roman" w:cs="Times New Roman"/>
          <w:color w:val="000000" w:themeColor="text1"/>
          <w:sz w:val="24"/>
          <w:szCs w:val="24"/>
          <w:lang w:val="fi-FI"/>
        </w:rPr>
        <w:t xml:space="preserve"> </w:t>
      </w:r>
      <w:r w:rsidRPr="0078472B">
        <w:rPr>
          <w:rFonts w:ascii="Times New Roman" w:hAnsi="Times New Roman" w:cs="Times New Roman"/>
          <w:color w:val="000000" w:themeColor="text1"/>
          <w:sz w:val="24"/>
          <w:szCs w:val="24"/>
        </w:rPr>
        <w:t>(2010)</w:t>
      </w:r>
      <w:r w:rsidR="00221C7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Socio-demographic determinants of gambling participation and expenditures: evidence from Malaysia</w:t>
      </w:r>
      <w:r w:rsidR="00C45D60"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lang w:val="en-US"/>
        </w:rPr>
        <w:t>International Journal of Consumer Studies</w:t>
      </w:r>
      <w:r w:rsidR="005425A1"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i/>
          <w:color w:val="000000" w:themeColor="text1"/>
          <w:sz w:val="24"/>
          <w:szCs w:val="24"/>
          <w:lang w:val="en-US"/>
        </w:rPr>
        <w:t>34</w:t>
      </w:r>
      <w:r w:rsidR="005425A1" w:rsidRPr="0078472B">
        <w:rPr>
          <w:rFonts w:ascii="Times New Roman" w:hAnsi="Times New Roman" w:cs="Times New Roman"/>
          <w:color w:val="000000" w:themeColor="text1"/>
          <w:sz w:val="24"/>
          <w:szCs w:val="24"/>
          <w:lang w:val="en-US"/>
        </w:rPr>
        <w:t>,</w:t>
      </w:r>
      <w:r w:rsidR="000E7B46"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lang w:val="en-US"/>
        </w:rPr>
        <w:t>316-325</w:t>
      </w:r>
      <w:r w:rsidR="00C45D60" w:rsidRPr="0078472B">
        <w:rPr>
          <w:rFonts w:ascii="Times New Roman" w:hAnsi="Times New Roman" w:cs="Times New Roman"/>
          <w:color w:val="000000" w:themeColor="text1"/>
          <w:sz w:val="24"/>
          <w:szCs w:val="24"/>
          <w:lang w:val="en-US"/>
        </w:rPr>
        <w:t>.</w:t>
      </w:r>
    </w:p>
    <w:p w14:paraId="0A161F4F" w14:textId="2F5CAEF0"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Union Europeenne du Trot (UET)</w:t>
      </w:r>
      <w:r w:rsidR="00B04CDF" w:rsidRPr="0078472B">
        <w:rPr>
          <w:rFonts w:ascii="Times New Roman" w:hAnsi="Times New Roman" w:cs="Times New Roman"/>
          <w:color w:val="000000" w:themeColor="text1"/>
          <w:sz w:val="24"/>
          <w:szCs w:val="24"/>
        </w:rPr>
        <w:t xml:space="preserve"> (2017)</w:t>
      </w:r>
      <w:r w:rsidR="00221C78" w:rsidRPr="0078472B">
        <w:rPr>
          <w:rFonts w:ascii="Times New Roman" w:hAnsi="Times New Roman" w:cs="Times New Roman"/>
          <w:color w:val="000000" w:themeColor="text1"/>
          <w:sz w:val="24"/>
          <w:szCs w:val="24"/>
        </w:rPr>
        <w:t>.</w:t>
      </w:r>
      <w:r w:rsidR="00B04CDF"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 xml:space="preserve"> Annual Report 2016</w:t>
      </w:r>
      <w:r w:rsidR="00B04CDF"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Trotting Unity is Strength</w:t>
      </w:r>
      <w:r w:rsidR="00C45D60"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00B04CDF" w:rsidRPr="0078472B">
        <w:rPr>
          <w:rFonts w:ascii="Times New Roman" w:hAnsi="Times New Roman" w:cs="Times New Roman"/>
          <w:color w:val="000000" w:themeColor="text1"/>
          <w:sz w:val="24"/>
          <w:szCs w:val="24"/>
        </w:rPr>
        <w:t xml:space="preserve">Available at: </w:t>
      </w:r>
      <w:hyperlink r:id="rId17" w:history="1">
        <w:r w:rsidRPr="0078472B">
          <w:rPr>
            <w:rStyle w:val="Hyperlink"/>
            <w:rFonts w:ascii="Times New Roman" w:hAnsi="Times New Roman"/>
            <w:color w:val="000000" w:themeColor="text1"/>
            <w:sz w:val="24"/>
            <w:szCs w:val="24"/>
          </w:rPr>
          <w:t>http://wwwtravdk/media/1665/uet_annual_report2017pdf</w:t>
        </w:r>
      </w:hyperlink>
      <w:r w:rsidR="00C45D60" w:rsidRPr="0078472B">
        <w:rPr>
          <w:rStyle w:val="Hyperlink"/>
          <w:rFonts w:ascii="Times New Roman" w:hAnsi="Times New Roman"/>
          <w:color w:val="000000" w:themeColor="text1"/>
          <w:sz w:val="24"/>
          <w:szCs w:val="24"/>
        </w:rPr>
        <w:t>.</w:t>
      </w:r>
      <w:r w:rsidR="00B04CDF" w:rsidRPr="0078472B">
        <w:rPr>
          <w:rStyle w:val="Hyperlink"/>
          <w:rFonts w:ascii="Times New Roman" w:hAnsi="Times New Roman"/>
          <w:color w:val="000000" w:themeColor="text1"/>
          <w:sz w:val="24"/>
          <w:szCs w:val="24"/>
        </w:rPr>
        <w:t xml:space="preserve"> </w:t>
      </w:r>
      <w:r w:rsidR="00B04CDF" w:rsidRPr="0078472B">
        <w:rPr>
          <w:rFonts w:ascii="Times New Roman" w:hAnsi="Times New Roman" w:cs="Times New Roman"/>
          <w:color w:val="000000" w:themeColor="text1"/>
          <w:sz w:val="24"/>
          <w:szCs w:val="24"/>
          <w:lang w:val="en-US"/>
        </w:rPr>
        <w:t xml:space="preserve"> (</w:t>
      </w:r>
      <w:r w:rsidR="00221C78" w:rsidRPr="0078472B">
        <w:rPr>
          <w:rFonts w:ascii="Times New Roman" w:hAnsi="Times New Roman" w:cs="Times New Roman"/>
          <w:color w:val="000000" w:themeColor="text1"/>
          <w:sz w:val="24"/>
          <w:szCs w:val="24"/>
          <w:lang w:val="en-US"/>
        </w:rPr>
        <w:t>Accessed: September 18 2019</w:t>
      </w:r>
      <w:r w:rsidR="00B04CDF" w:rsidRPr="0078472B">
        <w:rPr>
          <w:rFonts w:ascii="Times New Roman" w:hAnsi="Times New Roman" w:cs="Times New Roman"/>
          <w:color w:val="000000" w:themeColor="text1"/>
          <w:sz w:val="24"/>
          <w:szCs w:val="24"/>
          <w:lang w:val="en-US"/>
        </w:rPr>
        <w:t>)</w:t>
      </w:r>
    </w:p>
    <w:p w14:paraId="0DBBD904" w14:textId="2A6858D4" w:rsidR="00EF1443" w:rsidRPr="0078472B" w:rsidRDefault="00EF1443"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Wann, D</w:t>
      </w:r>
      <w:r w:rsidR="00221C78" w:rsidRPr="0078472B">
        <w:rPr>
          <w:rFonts w:ascii="Times New Roman" w:hAnsi="Times New Roman" w:cs="Times New Roman"/>
          <w:color w:val="000000" w:themeColor="text1"/>
          <w:sz w:val="24"/>
          <w:szCs w:val="24"/>
        </w:rPr>
        <w:t xml:space="preserve">. </w:t>
      </w:r>
      <w:r w:rsidR="00C52E40" w:rsidRPr="0078472B">
        <w:rPr>
          <w:rFonts w:ascii="Times New Roman" w:hAnsi="Times New Roman" w:cs="Times New Roman"/>
          <w:color w:val="000000" w:themeColor="text1"/>
          <w:sz w:val="24"/>
          <w:szCs w:val="24"/>
        </w:rPr>
        <w:t>L</w:t>
      </w:r>
      <w:r w:rsidR="00221C78" w:rsidRPr="0078472B">
        <w:rPr>
          <w:rFonts w:ascii="Times New Roman" w:hAnsi="Times New Roman" w:cs="Times New Roman"/>
          <w:color w:val="000000" w:themeColor="text1"/>
          <w:sz w:val="24"/>
          <w:szCs w:val="24"/>
        </w:rPr>
        <w:t>.</w:t>
      </w:r>
      <w:r w:rsidR="00D80040"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Zapalac, R</w:t>
      </w:r>
      <w:r w:rsidR="00221C78" w:rsidRPr="0078472B">
        <w:rPr>
          <w:rFonts w:ascii="Times New Roman" w:hAnsi="Times New Roman" w:cs="Times New Roman"/>
          <w:color w:val="000000" w:themeColor="text1"/>
          <w:sz w:val="24"/>
          <w:szCs w:val="24"/>
        </w:rPr>
        <w:t xml:space="preserve">. </w:t>
      </w:r>
      <w:r w:rsidR="00C52E40" w:rsidRPr="0078472B">
        <w:rPr>
          <w:rFonts w:ascii="Times New Roman" w:hAnsi="Times New Roman" w:cs="Times New Roman"/>
          <w:color w:val="000000" w:themeColor="text1"/>
          <w:sz w:val="24"/>
          <w:szCs w:val="24"/>
        </w:rPr>
        <w:t>K</w:t>
      </w:r>
      <w:r w:rsidR="00221C78" w:rsidRPr="0078472B">
        <w:rPr>
          <w:rFonts w:ascii="Times New Roman" w:hAnsi="Times New Roman" w:cs="Times New Roman"/>
          <w:color w:val="000000" w:themeColor="text1"/>
          <w:sz w:val="24"/>
          <w:szCs w:val="24"/>
        </w:rPr>
        <w:t>.</w:t>
      </w:r>
      <w:r w:rsidR="002D2465"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Grieve, F</w:t>
      </w:r>
      <w:r w:rsidR="00221C78" w:rsidRPr="0078472B">
        <w:rPr>
          <w:rFonts w:ascii="Times New Roman" w:hAnsi="Times New Roman" w:cs="Times New Roman"/>
          <w:color w:val="000000" w:themeColor="text1"/>
          <w:sz w:val="24"/>
          <w:szCs w:val="24"/>
        </w:rPr>
        <w:t xml:space="preserve">. </w:t>
      </w:r>
      <w:r w:rsidR="00D80040" w:rsidRPr="0078472B">
        <w:rPr>
          <w:rFonts w:ascii="Times New Roman" w:hAnsi="Times New Roman" w:cs="Times New Roman"/>
          <w:color w:val="000000" w:themeColor="text1"/>
          <w:sz w:val="24"/>
          <w:szCs w:val="24"/>
        </w:rPr>
        <w:t>G</w:t>
      </w:r>
      <w:r w:rsidR="00221C78" w:rsidRPr="0078472B">
        <w:rPr>
          <w:rFonts w:ascii="Times New Roman" w:hAnsi="Times New Roman" w:cs="Times New Roman"/>
          <w:color w:val="000000" w:themeColor="text1"/>
          <w:sz w:val="24"/>
          <w:szCs w:val="24"/>
        </w:rPr>
        <w:t>.</w:t>
      </w:r>
      <w:r w:rsidR="00D80040"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Partridge, J</w:t>
      </w:r>
      <w:r w:rsidR="00221C78"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A</w:t>
      </w:r>
      <w:r w:rsidR="00221C7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00221C78" w:rsidRPr="0078472B">
        <w:rPr>
          <w:rFonts w:ascii="Times New Roman" w:hAnsi="Times New Roman" w:cs="Times New Roman"/>
          <w:color w:val="000000" w:themeColor="text1"/>
          <w:sz w:val="24"/>
          <w:szCs w:val="24"/>
        </w:rPr>
        <w:t>&amp;</w:t>
      </w:r>
      <w:r w:rsidRPr="0078472B">
        <w:rPr>
          <w:rFonts w:ascii="Times New Roman" w:hAnsi="Times New Roman" w:cs="Times New Roman"/>
          <w:color w:val="000000" w:themeColor="text1"/>
          <w:sz w:val="24"/>
          <w:szCs w:val="24"/>
        </w:rPr>
        <w:t xml:space="preserve"> Lanter, J</w:t>
      </w:r>
      <w:r w:rsidR="00221C78"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R</w:t>
      </w:r>
      <w:r w:rsidR="00221C7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(2015)</w:t>
      </w:r>
      <w:r w:rsidR="00221C7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An Examination of Sport Fans’ Perceptions of the Impact of the Legalization of Sport Wagering on Their Fan Experience</w:t>
      </w:r>
      <w:r w:rsidR="00C45D60"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 xml:space="preserve">UNLV Gaming Research </w:t>
      </w:r>
      <w:r w:rsidR="00F26E25" w:rsidRPr="0078472B">
        <w:rPr>
          <w:rFonts w:ascii="Times New Roman" w:hAnsi="Times New Roman" w:cs="Times New Roman"/>
          <w:i/>
          <w:color w:val="000000" w:themeColor="text1"/>
          <w:sz w:val="24"/>
          <w:szCs w:val="24"/>
        </w:rPr>
        <w:t>and</w:t>
      </w:r>
      <w:r w:rsidRPr="0078472B">
        <w:rPr>
          <w:rFonts w:ascii="Times New Roman" w:hAnsi="Times New Roman" w:cs="Times New Roman"/>
          <w:i/>
          <w:color w:val="000000" w:themeColor="text1"/>
          <w:sz w:val="24"/>
          <w:szCs w:val="24"/>
        </w:rPr>
        <w:t xml:space="preserve"> Review Journal</w:t>
      </w:r>
      <w:r w:rsidR="005425A1"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19</w:t>
      </w:r>
      <w:r w:rsidR="005425A1" w:rsidRPr="0078472B">
        <w:rPr>
          <w:rFonts w:ascii="Times New Roman" w:hAnsi="Times New Roman" w:cs="Times New Roman"/>
          <w:color w:val="000000" w:themeColor="text1"/>
          <w:sz w:val="24"/>
          <w:szCs w:val="24"/>
        </w:rPr>
        <w:t>,</w:t>
      </w:r>
      <w:r w:rsidR="000E7B46"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21-40</w:t>
      </w:r>
      <w:r w:rsidR="00C45D60" w:rsidRPr="0078472B">
        <w:rPr>
          <w:rFonts w:ascii="Times New Roman" w:hAnsi="Times New Roman" w:cs="Times New Roman"/>
          <w:color w:val="000000" w:themeColor="text1"/>
          <w:sz w:val="24"/>
          <w:szCs w:val="24"/>
        </w:rPr>
        <w:t>.</w:t>
      </w:r>
    </w:p>
    <w:p w14:paraId="7A813495" w14:textId="070735F2" w:rsidR="00EF1443" w:rsidRPr="0078472B" w:rsidRDefault="00151E06" w:rsidP="00E5036A">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Welte, J</w:t>
      </w:r>
      <w:r w:rsidR="00221C78" w:rsidRPr="0078472B">
        <w:rPr>
          <w:rFonts w:ascii="Times New Roman" w:hAnsi="Times New Roman" w:cs="Times New Roman"/>
          <w:color w:val="000000" w:themeColor="text1"/>
          <w:sz w:val="24"/>
          <w:szCs w:val="24"/>
        </w:rPr>
        <w:t xml:space="preserve">. </w:t>
      </w:r>
      <w:r w:rsidR="00EF1443" w:rsidRPr="0078472B">
        <w:rPr>
          <w:rFonts w:ascii="Times New Roman" w:hAnsi="Times New Roman" w:cs="Times New Roman"/>
          <w:color w:val="000000" w:themeColor="text1"/>
          <w:sz w:val="24"/>
          <w:szCs w:val="24"/>
        </w:rPr>
        <w:t>W</w:t>
      </w:r>
      <w:r w:rsidR="00221C78"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Wieczorek, </w:t>
      </w:r>
      <w:r w:rsidRPr="0078472B">
        <w:rPr>
          <w:rFonts w:ascii="Times New Roman" w:hAnsi="Times New Roman" w:cs="Times New Roman"/>
          <w:color w:val="000000" w:themeColor="text1"/>
          <w:sz w:val="24"/>
          <w:szCs w:val="24"/>
        </w:rPr>
        <w:t>W</w:t>
      </w:r>
      <w:r w:rsidR="00221C78"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F</w:t>
      </w:r>
      <w:r w:rsidR="00221C7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Barnes, G</w:t>
      </w:r>
      <w:r w:rsidR="00221C78"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M</w:t>
      </w:r>
      <w:r w:rsidR="00221C7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Tidwell, M</w:t>
      </w:r>
      <w:r w:rsidR="00221C78"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-C</w:t>
      </w:r>
      <w:r w:rsidR="00221C78"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00221C78" w:rsidRPr="0078472B">
        <w:rPr>
          <w:rFonts w:ascii="Times New Roman" w:hAnsi="Times New Roman" w:cs="Times New Roman"/>
          <w:color w:val="000000" w:themeColor="text1"/>
          <w:sz w:val="24"/>
          <w:szCs w:val="24"/>
        </w:rPr>
        <w:t>&amp;</w:t>
      </w:r>
      <w:r w:rsidRPr="0078472B">
        <w:rPr>
          <w:rFonts w:ascii="Times New Roman" w:hAnsi="Times New Roman" w:cs="Times New Roman"/>
          <w:color w:val="000000" w:themeColor="text1"/>
          <w:sz w:val="24"/>
          <w:szCs w:val="24"/>
        </w:rPr>
        <w:t xml:space="preserve"> Hoffman, J</w:t>
      </w:r>
      <w:r w:rsidR="00221C78" w:rsidRPr="0078472B">
        <w:rPr>
          <w:rFonts w:ascii="Times New Roman" w:hAnsi="Times New Roman" w:cs="Times New Roman"/>
          <w:color w:val="000000" w:themeColor="text1"/>
          <w:sz w:val="24"/>
          <w:szCs w:val="24"/>
        </w:rPr>
        <w:t xml:space="preserve">. </w:t>
      </w:r>
      <w:r w:rsidR="00EF1443" w:rsidRPr="0078472B">
        <w:rPr>
          <w:rFonts w:ascii="Times New Roman" w:hAnsi="Times New Roman" w:cs="Times New Roman"/>
          <w:color w:val="000000" w:themeColor="text1"/>
          <w:sz w:val="24"/>
          <w:szCs w:val="24"/>
        </w:rPr>
        <w:t>M</w:t>
      </w:r>
      <w:r w:rsidR="00221C78"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(2004)</w:t>
      </w:r>
      <w:r w:rsidR="00221C78"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The Relationship of Ecological and Geographic Factors to Gambling Behavior and Pathology</w:t>
      </w:r>
      <w:r w:rsidR="00C45D60"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w:t>
      </w:r>
      <w:r w:rsidR="00EF1443" w:rsidRPr="0078472B">
        <w:rPr>
          <w:rFonts w:ascii="Times New Roman" w:hAnsi="Times New Roman" w:cs="Times New Roman"/>
          <w:i/>
          <w:color w:val="000000" w:themeColor="text1"/>
          <w:sz w:val="24"/>
          <w:szCs w:val="24"/>
        </w:rPr>
        <w:t>Journal of Gambling Studies, 20</w:t>
      </w:r>
      <w:r w:rsidR="005425A1" w:rsidRPr="0078472B">
        <w:rPr>
          <w:rFonts w:ascii="Times New Roman" w:hAnsi="Times New Roman" w:cs="Times New Roman"/>
          <w:color w:val="000000" w:themeColor="text1"/>
          <w:sz w:val="24"/>
          <w:szCs w:val="24"/>
        </w:rPr>
        <w:t>,</w:t>
      </w:r>
      <w:r w:rsidR="00EF1443" w:rsidRPr="0078472B">
        <w:rPr>
          <w:rFonts w:ascii="Times New Roman" w:hAnsi="Times New Roman" w:cs="Times New Roman"/>
          <w:color w:val="000000" w:themeColor="text1"/>
          <w:sz w:val="24"/>
          <w:szCs w:val="24"/>
        </w:rPr>
        <w:t xml:space="preserve"> 405-423</w:t>
      </w:r>
      <w:r w:rsidR="00C45D60" w:rsidRPr="0078472B">
        <w:rPr>
          <w:rFonts w:ascii="Times New Roman" w:hAnsi="Times New Roman" w:cs="Times New Roman"/>
          <w:color w:val="000000" w:themeColor="text1"/>
          <w:sz w:val="24"/>
          <w:szCs w:val="24"/>
        </w:rPr>
        <w:t>.</w:t>
      </w:r>
    </w:p>
    <w:p w14:paraId="1F174603" w14:textId="2B803E5C" w:rsidR="00BE39FC" w:rsidRPr="0078472B" w:rsidRDefault="00BE39FC" w:rsidP="00D81EFC">
      <w:pPr>
        <w:spacing w:after="0" w:line="240" w:lineRule="auto"/>
        <w:ind w:left="567" w:hanging="567"/>
        <w:jc w:val="both"/>
        <w:rPr>
          <w:rFonts w:ascii="Times New Roman" w:hAnsi="Times New Roman" w:cs="Times New Roman"/>
          <w:color w:val="000000" w:themeColor="text1"/>
          <w:sz w:val="24"/>
          <w:szCs w:val="24"/>
        </w:rPr>
      </w:pPr>
      <w:r w:rsidRPr="0078472B">
        <w:rPr>
          <w:rFonts w:ascii="Times New Roman" w:hAnsi="Times New Roman" w:cs="Times New Roman"/>
          <w:color w:val="000000" w:themeColor="text1"/>
          <w:sz w:val="24"/>
          <w:szCs w:val="24"/>
        </w:rPr>
        <w:t>Wood, R</w:t>
      </w:r>
      <w:r w:rsidR="00A46E29"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T</w:t>
      </w:r>
      <w:r w:rsidR="00A46E29"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00A46E29" w:rsidRPr="0078472B">
        <w:rPr>
          <w:rFonts w:ascii="Times New Roman" w:hAnsi="Times New Roman" w:cs="Times New Roman"/>
          <w:color w:val="000000" w:themeColor="text1"/>
          <w:sz w:val="24"/>
          <w:szCs w:val="24"/>
        </w:rPr>
        <w:t>&amp;</w:t>
      </w:r>
      <w:r w:rsidRPr="0078472B">
        <w:rPr>
          <w:rFonts w:ascii="Times New Roman" w:hAnsi="Times New Roman" w:cs="Times New Roman"/>
          <w:color w:val="000000" w:themeColor="text1"/>
          <w:sz w:val="24"/>
          <w:szCs w:val="24"/>
        </w:rPr>
        <w:t xml:space="preserve"> Williams, R</w:t>
      </w:r>
      <w:r w:rsidR="00A46E29"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color w:val="000000" w:themeColor="text1"/>
          <w:sz w:val="24"/>
          <w:szCs w:val="24"/>
        </w:rPr>
        <w:t>J</w:t>
      </w:r>
      <w:r w:rsidR="00A46E29"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(2007)</w:t>
      </w:r>
      <w:r w:rsidR="00A46E29"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Problem gambling on the internet: implications for internet gambling policy in North America</w:t>
      </w:r>
      <w:r w:rsidR="00C45D60"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 xml:space="preserve">New Media </w:t>
      </w:r>
      <w:r w:rsidR="00C45D60" w:rsidRPr="0078472B">
        <w:rPr>
          <w:rFonts w:ascii="Times New Roman" w:hAnsi="Times New Roman" w:cs="Times New Roman"/>
          <w:i/>
          <w:color w:val="000000" w:themeColor="text1"/>
          <w:sz w:val="24"/>
          <w:szCs w:val="24"/>
        </w:rPr>
        <w:t xml:space="preserve">&amp; </w:t>
      </w:r>
      <w:r w:rsidRPr="0078472B">
        <w:rPr>
          <w:rFonts w:ascii="Times New Roman" w:hAnsi="Times New Roman" w:cs="Times New Roman"/>
          <w:i/>
          <w:color w:val="000000" w:themeColor="text1"/>
          <w:sz w:val="24"/>
          <w:szCs w:val="24"/>
        </w:rPr>
        <w:t>Society</w:t>
      </w:r>
      <w:r w:rsidRPr="0078472B">
        <w:rPr>
          <w:rFonts w:ascii="Times New Roman" w:hAnsi="Times New Roman" w:cs="Times New Roman"/>
          <w:color w:val="000000" w:themeColor="text1"/>
          <w:sz w:val="24"/>
          <w:szCs w:val="24"/>
        </w:rPr>
        <w:t xml:space="preserve">, </w:t>
      </w:r>
      <w:r w:rsidRPr="0078472B">
        <w:rPr>
          <w:rFonts w:ascii="Times New Roman" w:hAnsi="Times New Roman" w:cs="Times New Roman"/>
          <w:i/>
          <w:color w:val="000000" w:themeColor="text1"/>
          <w:sz w:val="24"/>
          <w:szCs w:val="24"/>
        </w:rPr>
        <w:t>9(3)</w:t>
      </w:r>
      <w:r w:rsidR="005425A1" w:rsidRPr="0078472B">
        <w:rPr>
          <w:rFonts w:ascii="Times New Roman" w:hAnsi="Times New Roman" w:cs="Times New Roman"/>
          <w:color w:val="000000" w:themeColor="text1"/>
          <w:sz w:val="24"/>
          <w:szCs w:val="24"/>
        </w:rPr>
        <w:t>,</w:t>
      </w:r>
      <w:r w:rsidRPr="0078472B">
        <w:rPr>
          <w:rFonts w:ascii="Times New Roman" w:hAnsi="Times New Roman" w:cs="Times New Roman"/>
          <w:color w:val="000000" w:themeColor="text1"/>
          <w:sz w:val="24"/>
          <w:szCs w:val="24"/>
        </w:rPr>
        <w:t xml:space="preserve"> 520-542</w:t>
      </w:r>
      <w:r w:rsidR="00C45D60" w:rsidRPr="0078472B">
        <w:rPr>
          <w:rFonts w:ascii="Times New Roman" w:hAnsi="Times New Roman" w:cs="Times New Roman"/>
          <w:color w:val="000000" w:themeColor="text1"/>
          <w:sz w:val="24"/>
          <w:szCs w:val="24"/>
        </w:rPr>
        <w:t>.</w:t>
      </w:r>
    </w:p>
    <w:p w14:paraId="49CB38EE" w14:textId="0DFA4CBA" w:rsidR="00EF1443" w:rsidRPr="0078472B" w:rsidRDefault="00EF1443" w:rsidP="00D81EFC">
      <w:pPr>
        <w:spacing w:after="0" w:line="240" w:lineRule="auto"/>
        <w:ind w:left="567" w:hanging="567"/>
        <w:jc w:val="both"/>
        <w:rPr>
          <w:rFonts w:ascii="Times New Roman" w:hAnsi="Times New Roman" w:cs="Times New Roman"/>
          <w:color w:val="000000" w:themeColor="text1"/>
          <w:sz w:val="24"/>
          <w:szCs w:val="24"/>
          <w:lang w:val="en-US"/>
        </w:rPr>
      </w:pPr>
      <w:r w:rsidRPr="0078472B">
        <w:rPr>
          <w:rFonts w:ascii="Times New Roman" w:hAnsi="Times New Roman" w:cs="Times New Roman"/>
          <w:color w:val="000000" w:themeColor="text1"/>
          <w:sz w:val="24"/>
          <w:szCs w:val="24"/>
          <w:lang w:val="en-US"/>
        </w:rPr>
        <w:t>Wood, R</w:t>
      </w:r>
      <w:r w:rsidR="00A46E29"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T</w:t>
      </w:r>
      <w:r w:rsidR="00A46E29"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00A46E29" w:rsidRPr="0078472B">
        <w:rPr>
          <w:rFonts w:ascii="Times New Roman" w:hAnsi="Times New Roman" w:cs="Times New Roman"/>
          <w:color w:val="000000" w:themeColor="text1"/>
          <w:sz w:val="24"/>
          <w:szCs w:val="24"/>
          <w:lang w:val="en-US"/>
        </w:rPr>
        <w:t>&amp;</w:t>
      </w:r>
      <w:r w:rsidRPr="0078472B">
        <w:rPr>
          <w:rFonts w:ascii="Times New Roman" w:hAnsi="Times New Roman" w:cs="Times New Roman"/>
          <w:color w:val="000000" w:themeColor="text1"/>
          <w:sz w:val="24"/>
          <w:szCs w:val="24"/>
          <w:lang w:val="en-US"/>
        </w:rPr>
        <w:t xml:space="preserve"> Williams, R</w:t>
      </w:r>
      <w:r w:rsidR="00A46E29"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lang w:val="en-US"/>
        </w:rPr>
        <w:t>J</w:t>
      </w:r>
      <w:r w:rsidR="00A46E29"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(2011)</w:t>
      </w:r>
      <w:r w:rsidR="00A46E29"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A comparative profile of the Internet gambler: Demographic characteristics, game-play patterns, and problem gambling status</w:t>
      </w:r>
      <w:r w:rsidR="00C45D60"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i/>
          <w:color w:val="000000" w:themeColor="text1"/>
          <w:sz w:val="24"/>
          <w:szCs w:val="24"/>
          <w:lang w:val="en-US"/>
        </w:rPr>
        <w:t xml:space="preserve">New Media </w:t>
      </w:r>
      <w:r w:rsidR="00C45D60" w:rsidRPr="0078472B">
        <w:rPr>
          <w:rFonts w:ascii="Times New Roman" w:hAnsi="Times New Roman" w:cs="Times New Roman"/>
          <w:i/>
          <w:color w:val="000000" w:themeColor="text1"/>
          <w:sz w:val="24"/>
          <w:szCs w:val="24"/>
          <w:lang w:val="en-US"/>
        </w:rPr>
        <w:t>&amp;</w:t>
      </w:r>
      <w:r w:rsidRPr="0078472B">
        <w:rPr>
          <w:rFonts w:ascii="Times New Roman" w:hAnsi="Times New Roman" w:cs="Times New Roman"/>
          <w:i/>
          <w:color w:val="000000" w:themeColor="text1"/>
          <w:sz w:val="24"/>
          <w:szCs w:val="24"/>
          <w:lang w:val="en-US"/>
        </w:rPr>
        <w:t xml:space="preserve"> Society</w:t>
      </w:r>
      <w:r w:rsidR="005425A1"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i/>
          <w:color w:val="000000" w:themeColor="text1"/>
          <w:sz w:val="24"/>
          <w:szCs w:val="24"/>
          <w:lang w:val="en-US"/>
        </w:rPr>
        <w:t>13</w:t>
      </w:r>
      <w:r w:rsidR="00C45D60" w:rsidRPr="0078472B">
        <w:rPr>
          <w:rFonts w:ascii="Times New Roman" w:hAnsi="Times New Roman" w:cs="Times New Roman"/>
          <w:i/>
          <w:color w:val="000000" w:themeColor="text1"/>
          <w:sz w:val="24"/>
          <w:szCs w:val="24"/>
          <w:lang w:val="en-US"/>
        </w:rPr>
        <w:t>(7)</w:t>
      </w:r>
      <w:r w:rsidR="005425A1"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1123-1141</w:t>
      </w:r>
      <w:r w:rsidR="00C45D60" w:rsidRPr="0078472B">
        <w:rPr>
          <w:rFonts w:ascii="Times New Roman" w:hAnsi="Times New Roman" w:cs="Times New Roman"/>
          <w:color w:val="000000" w:themeColor="text1"/>
          <w:sz w:val="24"/>
          <w:szCs w:val="24"/>
          <w:lang w:val="en-US"/>
        </w:rPr>
        <w:t>.</w:t>
      </w:r>
    </w:p>
    <w:p w14:paraId="1453E598" w14:textId="58678AB6" w:rsidR="00EF1443" w:rsidRPr="0078472B" w:rsidRDefault="006A008B" w:rsidP="00D81EFC">
      <w:pPr>
        <w:spacing w:after="0" w:line="240" w:lineRule="auto"/>
        <w:ind w:left="567" w:hanging="567"/>
        <w:jc w:val="both"/>
        <w:rPr>
          <w:rFonts w:ascii="Times New Roman" w:hAnsi="Times New Roman" w:cs="Times New Roman"/>
          <w:color w:val="000000" w:themeColor="text1"/>
          <w:sz w:val="24"/>
          <w:szCs w:val="24"/>
          <w:lang w:val="en-US"/>
        </w:rPr>
      </w:pPr>
      <w:r w:rsidRPr="0078472B">
        <w:rPr>
          <w:rFonts w:ascii="Times New Roman" w:hAnsi="Times New Roman" w:cs="Times New Roman"/>
          <w:color w:val="000000" w:themeColor="text1"/>
          <w:sz w:val="24"/>
          <w:szCs w:val="24"/>
          <w:lang w:val="en-US"/>
        </w:rPr>
        <w:t>Wood, R</w:t>
      </w:r>
      <w:r w:rsidR="00A46E29"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lang w:val="en-US"/>
        </w:rPr>
        <w:t>T</w:t>
      </w:r>
      <w:r w:rsidR="00A46E29"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Williams, R</w:t>
      </w:r>
      <w:r w:rsidR="00A46E29" w:rsidRPr="0078472B">
        <w:rPr>
          <w:rFonts w:ascii="Times New Roman" w:hAnsi="Times New Roman" w:cs="Times New Roman"/>
          <w:color w:val="000000" w:themeColor="text1"/>
          <w:sz w:val="24"/>
          <w:szCs w:val="24"/>
          <w:lang w:val="en-US"/>
        </w:rPr>
        <w:t xml:space="preserve">. </w:t>
      </w:r>
      <w:r w:rsidRPr="0078472B">
        <w:rPr>
          <w:rFonts w:ascii="Times New Roman" w:hAnsi="Times New Roman" w:cs="Times New Roman"/>
          <w:color w:val="000000" w:themeColor="text1"/>
          <w:sz w:val="24"/>
          <w:szCs w:val="24"/>
          <w:lang w:val="en-US"/>
        </w:rPr>
        <w:t>J</w:t>
      </w:r>
      <w:r w:rsidR="00A46E29" w:rsidRPr="0078472B">
        <w:rPr>
          <w:rFonts w:ascii="Times New Roman" w:hAnsi="Times New Roman" w:cs="Times New Roman"/>
          <w:color w:val="000000" w:themeColor="text1"/>
          <w:sz w:val="24"/>
          <w:szCs w:val="24"/>
          <w:lang w:val="en-US"/>
        </w:rPr>
        <w:t>.,</w:t>
      </w:r>
      <w:r w:rsidRPr="0078472B">
        <w:rPr>
          <w:rFonts w:ascii="Times New Roman" w:hAnsi="Times New Roman" w:cs="Times New Roman"/>
          <w:color w:val="000000" w:themeColor="text1"/>
          <w:sz w:val="24"/>
          <w:szCs w:val="24"/>
          <w:lang w:val="en-US"/>
        </w:rPr>
        <w:t xml:space="preserve"> </w:t>
      </w:r>
      <w:r w:rsidR="00A46E29" w:rsidRPr="0078472B">
        <w:rPr>
          <w:rFonts w:ascii="Times New Roman" w:hAnsi="Times New Roman" w:cs="Times New Roman"/>
          <w:color w:val="000000" w:themeColor="text1"/>
          <w:sz w:val="24"/>
          <w:szCs w:val="24"/>
          <w:lang w:val="en-US"/>
        </w:rPr>
        <w:t>&amp;</w:t>
      </w:r>
      <w:r w:rsidRPr="0078472B">
        <w:rPr>
          <w:rFonts w:ascii="Times New Roman" w:hAnsi="Times New Roman" w:cs="Times New Roman"/>
          <w:color w:val="000000" w:themeColor="text1"/>
          <w:sz w:val="24"/>
          <w:szCs w:val="24"/>
          <w:lang w:val="en-US"/>
        </w:rPr>
        <w:t xml:space="preserve"> Lawton, P</w:t>
      </w:r>
      <w:r w:rsidR="00A46E29" w:rsidRPr="0078472B">
        <w:rPr>
          <w:rFonts w:ascii="Times New Roman" w:hAnsi="Times New Roman" w:cs="Times New Roman"/>
          <w:color w:val="000000" w:themeColor="text1"/>
          <w:sz w:val="24"/>
          <w:szCs w:val="24"/>
          <w:lang w:val="en-US"/>
        </w:rPr>
        <w:t xml:space="preserve">. </w:t>
      </w:r>
      <w:r w:rsidR="00EF1443" w:rsidRPr="0078472B">
        <w:rPr>
          <w:rFonts w:ascii="Times New Roman" w:hAnsi="Times New Roman" w:cs="Times New Roman"/>
          <w:color w:val="000000" w:themeColor="text1"/>
          <w:sz w:val="24"/>
          <w:szCs w:val="24"/>
          <w:lang w:val="en-US"/>
        </w:rPr>
        <w:t>K</w:t>
      </w:r>
      <w:r w:rsidR="00A46E29" w:rsidRPr="0078472B">
        <w:rPr>
          <w:rFonts w:ascii="Times New Roman" w:hAnsi="Times New Roman" w:cs="Times New Roman"/>
          <w:color w:val="000000" w:themeColor="text1"/>
          <w:sz w:val="24"/>
          <w:szCs w:val="24"/>
          <w:lang w:val="en-US"/>
        </w:rPr>
        <w:t>.</w:t>
      </w:r>
      <w:r w:rsidR="00EF1443" w:rsidRPr="0078472B">
        <w:rPr>
          <w:rFonts w:ascii="Times New Roman" w:hAnsi="Times New Roman" w:cs="Times New Roman"/>
          <w:color w:val="000000" w:themeColor="text1"/>
          <w:sz w:val="24"/>
          <w:szCs w:val="24"/>
          <w:lang w:val="en-US"/>
        </w:rPr>
        <w:t xml:space="preserve"> (2007)</w:t>
      </w:r>
      <w:r w:rsidR="00A46E29" w:rsidRPr="0078472B">
        <w:rPr>
          <w:rFonts w:ascii="Times New Roman" w:hAnsi="Times New Roman" w:cs="Times New Roman"/>
          <w:color w:val="000000" w:themeColor="text1"/>
          <w:sz w:val="24"/>
          <w:szCs w:val="24"/>
          <w:lang w:val="en-US"/>
        </w:rPr>
        <w:t>.</w:t>
      </w:r>
      <w:r w:rsidR="00EF1443" w:rsidRPr="0078472B">
        <w:rPr>
          <w:rFonts w:ascii="Times New Roman" w:hAnsi="Times New Roman" w:cs="Times New Roman"/>
          <w:color w:val="000000" w:themeColor="text1"/>
          <w:sz w:val="24"/>
          <w:szCs w:val="24"/>
          <w:lang w:val="en-US"/>
        </w:rPr>
        <w:t xml:space="preserve"> Why do Internet gamblers prefer online versus land-based venues? Some preliminary findings and implications</w:t>
      </w:r>
      <w:r w:rsidR="00A46E29" w:rsidRPr="0078472B">
        <w:rPr>
          <w:rFonts w:ascii="Times New Roman" w:hAnsi="Times New Roman" w:cs="Times New Roman"/>
          <w:color w:val="000000" w:themeColor="text1"/>
          <w:sz w:val="24"/>
          <w:szCs w:val="24"/>
          <w:lang w:val="en-US"/>
        </w:rPr>
        <w:t>.</w:t>
      </w:r>
      <w:r w:rsidR="00EF1443" w:rsidRPr="0078472B">
        <w:rPr>
          <w:rFonts w:ascii="Times New Roman" w:hAnsi="Times New Roman" w:cs="Times New Roman"/>
          <w:color w:val="000000" w:themeColor="text1"/>
          <w:sz w:val="24"/>
          <w:szCs w:val="24"/>
          <w:lang w:val="en-US"/>
        </w:rPr>
        <w:t xml:space="preserve"> </w:t>
      </w:r>
      <w:r w:rsidR="00EF1443" w:rsidRPr="0078472B">
        <w:rPr>
          <w:rFonts w:ascii="Times New Roman" w:hAnsi="Times New Roman" w:cs="Times New Roman"/>
          <w:i/>
          <w:color w:val="000000" w:themeColor="text1"/>
          <w:sz w:val="24"/>
          <w:szCs w:val="24"/>
          <w:lang w:val="en-US"/>
        </w:rPr>
        <w:t>Journal of Gambling Issues</w:t>
      </w:r>
      <w:r w:rsidR="005425A1" w:rsidRPr="0078472B">
        <w:rPr>
          <w:rFonts w:ascii="Times New Roman" w:hAnsi="Times New Roman" w:cs="Times New Roman"/>
          <w:color w:val="000000" w:themeColor="text1"/>
          <w:sz w:val="24"/>
          <w:szCs w:val="24"/>
          <w:lang w:val="en-US"/>
        </w:rPr>
        <w:t>,</w:t>
      </w:r>
      <w:r w:rsidR="00EF1443" w:rsidRPr="0078472B">
        <w:rPr>
          <w:rFonts w:ascii="Times New Roman" w:hAnsi="Times New Roman" w:cs="Times New Roman"/>
          <w:color w:val="000000" w:themeColor="text1"/>
          <w:sz w:val="24"/>
          <w:szCs w:val="24"/>
          <w:lang w:val="en-US"/>
        </w:rPr>
        <w:t xml:space="preserve"> </w:t>
      </w:r>
      <w:r w:rsidR="00EF1443" w:rsidRPr="0078472B">
        <w:rPr>
          <w:rFonts w:ascii="Times New Roman" w:hAnsi="Times New Roman" w:cs="Times New Roman"/>
          <w:i/>
          <w:color w:val="000000" w:themeColor="text1"/>
          <w:sz w:val="24"/>
          <w:szCs w:val="24"/>
          <w:lang w:val="en-US"/>
        </w:rPr>
        <w:t>20</w:t>
      </w:r>
      <w:r w:rsidR="005425A1" w:rsidRPr="0078472B">
        <w:rPr>
          <w:rFonts w:ascii="Times New Roman" w:hAnsi="Times New Roman" w:cs="Times New Roman"/>
          <w:color w:val="000000" w:themeColor="text1"/>
          <w:sz w:val="24"/>
          <w:szCs w:val="24"/>
          <w:lang w:val="en-US"/>
        </w:rPr>
        <w:t>,</w:t>
      </w:r>
      <w:r w:rsidR="00EF1443" w:rsidRPr="0078472B">
        <w:rPr>
          <w:rFonts w:ascii="Times New Roman" w:hAnsi="Times New Roman" w:cs="Times New Roman"/>
          <w:color w:val="000000" w:themeColor="text1"/>
          <w:sz w:val="24"/>
          <w:szCs w:val="24"/>
          <w:lang w:val="en-US"/>
        </w:rPr>
        <w:t xml:space="preserve"> 235-252</w:t>
      </w:r>
      <w:r w:rsidR="00AF5F08" w:rsidRPr="0078472B">
        <w:rPr>
          <w:rFonts w:ascii="Times New Roman" w:hAnsi="Times New Roman" w:cs="Times New Roman"/>
          <w:color w:val="000000" w:themeColor="text1"/>
          <w:sz w:val="24"/>
          <w:szCs w:val="24"/>
          <w:lang w:val="en-US"/>
        </w:rPr>
        <w:t>.</w:t>
      </w:r>
    </w:p>
    <w:p w14:paraId="719BB79B" w14:textId="35DFC502" w:rsidR="00EF1443" w:rsidRPr="0078472B" w:rsidRDefault="006A008B" w:rsidP="00D81EFC">
      <w:pPr>
        <w:spacing w:after="0" w:line="240" w:lineRule="auto"/>
        <w:ind w:left="567" w:hanging="567"/>
        <w:jc w:val="both"/>
        <w:rPr>
          <w:rFonts w:ascii="Times New Roman" w:hAnsi="Times New Roman" w:cs="Times New Roman"/>
          <w:color w:val="000000" w:themeColor="text1"/>
          <w:sz w:val="24"/>
          <w:szCs w:val="24"/>
          <w:lang w:val="en-US"/>
        </w:rPr>
      </w:pPr>
      <w:r w:rsidRPr="0078472B">
        <w:rPr>
          <w:rFonts w:ascii="Times New Roman" w:hAnsi="Times New Roman" w:cs="Times New Roman"/>
          <w:color w:val="000000" w:themeColor="text1"/>
          <w:sz w:val="24"/>
          <w:szCs w:val="24"/>
          <w:lang w:val="en-US"/>
        </w:rPr>
        <w:t>Woolley, R</w:t>
      </w:r>
      <w:r w:rsidR="00A46E29" w:rsidRPr="0078472B">
        <w:rPr>
          <w:rFonts w:ascii="Times New Roman" w:hAnsi="Times New Roman" w:cs="Times New Roman"/>
          <w:color w:val="000000" w:themeColor="text1"/>
          <w:sz w:val="24"/>
          <w:szCs w:val="24"/>
          <w:lang w:val="en-US"/>
        </w:rPr>
        <w:t>.</w:t>
      </w:r>
      <w:r w:rsidR="00EF1443" w:rsidRPr="0078472B">
        <w:rPr>
          <w:rFonts w:ascii="Times New Roman" w:hAnsi="Times New Roman" w:cs="Times New Roman"/>
          <w:color w:val="000000" w:themeColor="text1"/>
          <w:sz w:val="24"/>
          <w:szCs w:val="24"/>
          <w:lang w:val="en-US"/>
        </w:rPr>
        <w:t xml:space="preserve"> (2003)</w:t>
      </w:r>
      <w:r w:rsidR="00A46E29" w:rsidRPr="0078472B">
        <w:rPr>
          <w:rFonts w:ascii="Times New Roman" w:hAnsi="Times New Roman" w:cs="Times New Roman"/>
          <w:color w:val="000000" w:themeColor="text1"/>
          <w:sz w:val="24"/>
          <w:szCs w:val="24"/>
          <w:lang w:val="en-US"/>
        </w:rPr>
        <w:t>.</w:t>
      </w:r>
      <w:r w:rsidR="00EF1443" w:rsidRPr="0078472B">
        <w:rPr>
          <w:rFonts w:ascii="Times New Roman" w:hAnsi="Times New Roman" w:cs="Times New Roman"/>
          <w:color w:val="000000" w:themeColor="text1"/>
          <w:sz w:val="24"/>
          <w:szCs w:val="24"/>
          <w:lang w:val="en-US"/>
        </w:rPr>
        <w:t xml:space="preserve"> Mapping Internet Gambling: Emerging Modes of Online Participation in Wagering and Sports Betting</w:t>
      </w:r>
      <w:r w:rsidR="00AF5F08" w:rsidRPr="0078472B">
        <w:rPr>
          <w:rFonts w:ascii="Times New Roman" w:hAnsi="Times New Roman" w:cs="Times New Roman"/>
          <w:color w:val="000000" w:themeColor="text1"/>
          <w:sz w:val="24"/>
          <w:szCs w:val="24"/>
          <w:lang w:val="en-US"/>
        </w:rPr>
        <w:t>.</w:t>
      </w:r>
      <w:r w:rsidR="00EF1443" w:rsidRPr="0078472B">
        <w:rPr>
          <w:rFonts w:ascii="Times New Roman" w:hAnsi="Times New Roman" w:cs="Times New Roman"/>
          <w:color w:val="000000" w:themeColor="text1"/>
          <w:sz w:val="24"/>
          <w:szCs w:val="24"/>
          <w:lang w:val="en-US"/>
        </w:rPr>
        <w:t xml:space="preserve"> </w:t>
      </w:r>
      <w:r w:rsidR="00EF1443" w:rsidRPr="0078472B">
        <w:rPr>
          <w:rFonts w:ascii="Times New Roman" w:hAnsi="Times New Roman" w:cs="Times New Roman"/>
          <w:i/>
          <w:color w:val="000000" w:themeColor="text1"/>
          <w:sz w:val="24"/>
          <w:szCs w:val="24"/>
          <w:lang w:val="en-US"/>
        </w:rPr>
        <w:t>International Gambling Studies</w:t>
      </w:r>
      <w:r w:rsidR="005425A1" w:rsidRPr="0078472B">
        <w:rPr>
          <w:rFonts w:ascii="Times New Roman" w:hAnsi="Times New Roman" w:cs="Times New Roman"/>
          <w:color w:val="000000" w:themeColor="text1"/>
          <w:sz w:val="24"/>
          <w:szCs w:val="24"/>
          <w:lang w:val="en-US"/>
        </w:rPr>
        <w:t>,</w:t>
      </w:r>
      <w:r w:rsidR="00EF1443" w:rsidRPr="0078472B">
        <w:rPr>
          <w:rFonts w:ascii="Times New Roman" w:hAnsi="Times New Roman" w:cs="Times New Roman"/>
          <w:color w:val="000000" w:themeColor="text1"/>
          <w:sz w:val="24"/>
          <w:szCs w:val="24"/>
          <w:lang w:val="en-US"/>
        </w:rPr>
        <w:t xml:space="preserve"> </w:t>
      </w:r>
      <w:r w:rsidR="00EF1443" w:rsidRPr="0078472B">
        <w:rPr>
          <w:rFonts w:ascii="Times New Roman" w:hAnsi="Times New Roman" w:cs="Times New Roman"/>
          <w:i/>
          <w:color w:val="000000" w:themeColor="text1"/>
          <w:sz w:val="24"/>
          <w:szCs w:val="24"/>
          <w:lang w:val="en-US"/>
        </w:rPr>
        <w:t>3</w:t>
      </w:r>
      <w:r w:rsidR="005425A1" w:rsidRPr="0078472B">
        <w:rPr>
          <w:rFonts w:ascii="Times New Roman" w:hAnsi="Times New Roman" w:cs="Times New Roman"/>
          <w:color w:val="000000" w:themeColor="text1"/>
          <w:sz w:val="24"/>
          <w:szCs w:val="24"/>
          <w:lang w:val="en-US"/>
        </w:rPr>
        <w:t>,</w:t>
      </w:r>
      <w:r w:rsidR="00EF1443" w:rsidRPr="0078472B">
        <w:rPr>
          <w:rFonts w:ascii="Times New Roman" w:hAnsi="Times New Roman" w:cs="Times New Roman"/>
          <w:color w:val="000000" w:themeColor="text1"/>
          <w:sz w:val="24"/>
          <w:szCs w:val="24"/>
          <w:lang w:val="en-US"/>
        </w:rPr>
        <w:t xml:space="preserve"> 3-21</w:t>
      </w:r>
      <w:r w:rsidR="00AF5F08" w:rsidRPr="0078472B">
        <w:rPr>
          <w:rFonts w:ascii="Times New Roman" w:hAnsi="Times New Roman" w:cs="Times New Roman"/>
          <w:color w:val="000000" w:themeColor="text1"/>
          <w:sz w:val="24"/>
          <w:szCs w:val="24"/>
          <w:lang w:val="en-US"/>
        </w:rPr>
        <w:t>.</w:t>
      </w:r>
    </w:p>
    <w:p w14:paraId="6495BE3B" w14:textId="3E06AEE2" w:rsidR="0093244E" w:rsidRPr="0078472B" w:rsidRDefault="0093244E" w:rsidP="00A540E5">
      <w:pPr>
        <w:spacing w:after="0" w:line="480" w:lineRule="auto"/>
        <w:jc w:val="both"/>
        <w:rPr>
          <w:rFonts w:ascii="Times New Roman" w:hAnsi="Times New Roman" w:cs="Times New Roman"/>
          <w:color w:val="000000" w:themeColor="text1"/>
          <w:sz w:val="24"/>
          <w:szCs w:val="24"/>
          <w:lang w:val="en-US"/>
        </w:rPr>
      </w:pPr>
    </w:p>
    <w:p w14:paraId="216FD91D" w14:textId="7643B716" w:rsidR="0093244E" w:rsidRDefault="0093244E" w:rsidP="00A540E5">
      <w:pPr>
        <w:spacing w:after="0" w:line="480" w:lineRule="auto"/>
        <w:jc w:val="both"/>
        <w:rPr>
          <w:rFonts w:ascii="Times New Roman" w:hAnsi="Times New Roman" w:cs="Times New Roman"/>
          <w:color w:val="000000" w:themeColor="text1"/>
          <w:sz w:val="24"/>
          <w:szCs w:val="24"/>
          <w:lang w:val="en-US"/>
        </w:rPr>
      </w:pPr>
    </w:p>
    <w:p w14:paraId="1ED3BE6E" w14:textId="3C3D4A1E" w:rsidR="001D3B47" w:rsidRDefault="001D3B47" w:rsidP="00A540E5">
      <w:pPr>
        <w:spacing w:after="0" w:line="480" w:lineRule="auto"/>
        <w:jc w:val="both"/>
        <w:rPr>
          <w:rFonts w:ascii="Times New Roman" w:hAnsi="Times New Roman" w:cs="Times New Roman"/>
          <w:color w:val="000000" w:themeColor="text1"/>
          <w:sz w:val="24"/>
          <w:szCs w:val="24"/>
          <w:lang w:val="en-US"/>
        </w:rPr>
      </w:pPr>
    </w:p>
    <w:p w14:paraId="165137AB" w14:textId="44D15BA2" w:rsidR="001D3B47" w:rsidRDefault="001D3B47" w:rsidP="00A540E5">
      <w:pPr>
        <w:spacing w:after="0" w:line="480" w:lineRule="auto"/>
        <w:jc w:val="both"/>
        <w:rPr>
          <w:rFonts w:ascii="Times New Roman" w:hAnsi="Times New Roman" w:cs="Times New Roman"/>
          <w:color w:val="000000" w:themeColor="text1"/>
          <w:sz w:val="24"/>
          <w:szCs w:val="24"/>
          <w:lang w:val="en-US"/>
        </w:rPr>
      </w:pPr>
    </w:p>
    <w:p w14:paraId="2EB53EC1" w14:textId="7EF100A8" w:rsidR="001D3B47" w:rsidRDefault="001D3B47" w:rsidP="00A540E5">
      <w:pPr>
        <w:spacing w:after="0" w:line="480" w:lineRule="auto"/>
        <w:jc w:val="both"/>
        <w:rPr>
          <w:rFonts w:ascii="Times New Roman" w:hAnsi="Times New Roman" w:cs="Times New Roman"/>
          <w:color w:val="000000" w:themeColor="text1"/>
          <w:sz w:val="24"/>
          <w:szCs w:val="24"/>
          <w:lang w:val="en-US"/>
        </w:rPr>
      </w:pPr>
    </w:p>
    <w:p w14:paraId="7EB33326" w14:textId="3BBE3E67" w:rsidR="00156AD7" w:rsidRDefault="00156AD7" w:rsidP="00A540E5">
      <w:pPr>
        <w:spacing w:after="0" w:line="480" w:lineRule="auto"/>
        <w:jc w:val="both"/>
        <w:rPr>
          <w:rFonts w:ascii="Times New Roman" w:hAnsi="Times New Roman" w:cs="Times New Roman"/>
          <w:color w:val="000000" w:themeColor="text1"/>
          <w:sz w:val="24"/>
          <w:szCs w:val="24"/>
          <w:lang w:val="en-US"/>
        </w:rPr>
      </w:pPr>
    </w:p>
    <w:p w14:paraId="1BF562FF" w14:textId="76F5880B" w:rsidR="0093244E" w:rsidRPr="0078472B" w:rsidRDefault="00C94810" w:rsidP="00C94810">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T</w:t>
      </w:r>
      <w:r w:rsidRPr="0078472B">
        <w:rPr>
          <w:rFonts w:ascii="Times New Roman" w:hAnsi="Times New Roman" w:cs="Times New Roman"/>
          <w:b/>
          <w:color w:val="000000" w:themeColor="text1"/>
          <w:sz w:val="24"/>
          <w:szCs w:val="24"/>
          <w:lang w:val="en-US"/>
        </w:rPr>
        <w:t>ABLES</w:t>
      </w:r>
    </w:p>
    <w:p w14:paraId="493BA7A1" w14:textId="77777777" w:rsidR="0093244E" w:rsidRPr="0078472B" w:rsidRDefault="0093244E" w:rsidP="001A07BA">
      <w:pPr>
        <w:spacing w:after="0" w:line="240" w:lineRule="auto"/>
        <w:rPr>
          <w:rFonts w:ascii="Times New Roman" w:hAnsi="Times New Roman" w:cs="Times New Roman"/>
          <w:b/>
          <w:color w:val="000000" w:themeColor="text1"/>
          <w:sz w:val="24"/>
          <w:szCs w:val="24"/>
          <w:lang w:val="en-US"/>
        </w:rPr>
      </w:pPr>
      <w:r w:rsidRPr="0078472B">
        <w:rPr>
          <w:rFonts w:ascii="Times New Roman" w:hAnsi="Times New Roman" w:cs="Times New Roman"/>
          <w:b/>
          <w:color w:val="000000" w:themeColor="text1"/>
          <w:sz w:val="24"/>
          <w:szCs w:val="24"/>
          <w:lang w:val="en-US"/>
        </w:rPr>
        <w:t xml:space="preserve">Table 1. </w:t>
      </w:r>
      <w:r w:rsidRPr="0078472B">
        <w:rPr>
          <w:rFonts w:ascii="Times New Roman" w:hAnsi="Times New Roman" w:cs="Times New Roman"/>
          <w:color w:val="000000" w:themeColor="text1"/>
          <w:sz w:val="24"/>
          <w:szCs w:val="24"/>
          <w:lang w:val="en-US"/>
        </w:rPr>
        <w:t xml:space="preserve">Descriptive statistics. </w:t>
      </w:r>
      <w:r w:rsidRPr="0078472B">
        <w:rPr>
          <w:rFonts w:ascii="Times New Roman" w:hAnsi="Times New Roman" w:cs="Times New Roman"/>
          <w:b/>
          <w:color w:val="000000" w:themeColor="text1"/>
          <w:sz w:val="24"/>
          <w:szCs w:val="24"/>
          <w:lang w:val="en-US"/>
        </w:rPr>
        <w:t xml:space="preserve"> </w:t>
      </w:r>
    </w:p>
    <w:tbl>
      <w:tblPr>
        <w:tblStyle w:val="PlainTable51"/>
        <w:tblpPr w:leftFromText="141" w:rightFromText="141" w:vertAnchor="text" w:horzAnchor="margin" w:tblpXSpec="center" w:tblpY="170"/>
        <w:tblW w:w="9638" w:type="dxa"/>
        <w:tblLayout w:type="fixed"/>
        <w:tblLook w:val="06A0" w:firstRow="1" w:lastRow="0" w:firstColumn="1" w:lastColumn="0" w:noHBand="1" w:noVBand="1"/>
      </w:tblPr>
      <w:tblGrid>
        <w:gridCol w:w="4395"/>
        <w:gridCol w:w="708"/>
        <w:gridCol w:w="1134"/>
        <w:gridCol w:w="1418"/>
        <w:gridCol w:w="850"/>
        <w:gridCol w:w="1133"/>
      </w:tblGrid>
      <w:tr w:rsidR="005D76DA" w:rsidRPr="0078472B" w14:paraId="2359A2F2" w14:textId="77777777" w:rsidTr="005D76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5" w:type="dxa"/>
            <w:tcBorders>
              <w:top w:val="double" w:sz="4" w:space="0" w:color="auto"/>
              <w:bottom w:val="single" w:sz="4" w:space="0" w:color="FFFFFF" w:themeColor="background1"/>
              <w:right w:val="single" w:sz="4" w:space="0" w:color="auto"/>
            </w:tcBorders>
          </w:tcPr>
          <w:p w14:paraId="463EF353" w14:textId="77777777" w:rsidR="005D76DA" w:rsidRPr="0078472B" w:rsidRDefault="005D76DA" w:rsidP="005D76DA">
            <w:pPr>
              <w:rPr>
                <w:rFonts w:ascii="Times New Roman" w:hAnsi="Times New Roman" w:cs="Times New Roman"/>
                <w:b/>
                <w:color w:val="000000" w:themeColor="text1"/>
                <w:sz w:val="20"/>
                <w:szCs w:val="20"/>
                <w:lang w:val="fi-FI"/>
              </w:rPr>
            </w:pPr>
          </w:p>
        </w:tc>
        <w:tc>
          <w:tcPr>
            <w:tcW w:w="5243" w:type="dxa"/>
            <w:gridSpan w:val="5"/>
            <w:tcBorders>
              <w:top w:val="double" w:sz="4" w:space="0" w:color="auto"/>
            </w:tcBorders>
          </w:tcPr>
          <w:p w14:paraId="780999AE" w14:textId="77777777" w:rsidR="005D76DA" w:rsidRPr="0078472B" w:rsidRDefault="005D76DA" w:rsidP="005D76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color w:val="000000" w:themeColor="text1"/>
                <w:sz w:val="20"/>
                <w:szCs w:val="20"/>
                <w:lang w:val="fi-FI"/>
              </w:rPr>
            </w:pPr>
            <w:r w:rsidRPr="0078472B">
              <w:rPr>
                <w:rFonts w:ascii="Times New Roman" w:hAnsi="Times New Roman" w:cs="Times New Roman"/>
                <w:i w:val="0"/>
                <w:iCs w:val="0"/>
                <w:color w:val="000000" w:themeColor="text1"/>
                <w:sz w:val="20"/>
                <w:szCs w:val="20"/>
                <w:lang w:val="fi-FI"/>
              </w:rPr>
              <w:t>Socio-demographic statistics</w:t>
            </w:r>
          </w:p>
        </w:tc>
      </w:tr>
      <w:tr w:rsidR="005D76DA" w:rsidRPr="0078472B" w14:paraId="28F4E506"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FFFFFF" w:themeColor="background1"/>
              <w:bottom w:val="single" w:sz="4" w:space="0" w:color="auto"/>
              <w:right w:val="single" w:sz="4" w:space="0" w:color="auto"/>
            </w:tcBorders>
          </w:tcPr>
          <w:p w14:paraId="40CCE5C5" w14:textId="77777777" w:rsidR="005D76DA" w:rsidRPr="0078472B" w:rsidRDefault="005D76DA" w:rsidP="005D76DA">
            <w:pPr>
              <w:rPr>
                <w:rFonts w:ascii="Times New Roman" w:hAnsi="Times New Roman" w:cs="Times New Roman"/>
                <w:b/>
                <w:color w:val="000000" w:themeColor="text1"/>
                <w:sz w:val="20"/>
                <w:szCs w:val="20"/>
                <w:lang w:val="fi-FI"/>
              </w:rPr>
            </w:pPr>
          </w:p>
        </w:tc>
        <w:tc>
          <w:tcPr>
            <w:tcW w:w="708" w:type="dxa"/>
            <w:tcBorders>
              <w:top w:val="single" w:sz="4" w:space="0" w:color="auto"/>
              <w:bottom w:val="single" w:sz="4" w:space="0" w:color="auto"/>
            </w:tcBorders>
          </w:tcPr>
          <w:p w14:paraId="0F9797D4"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highlight w:val="yellow"/>
                <w:lang w:val="fi-FI"/>
              </w:rPr>
            </w:pPr>
            <w:r w:rsidRPr="0078472B">
              <w:rPr>
                <w:rFonts w:ascii="Times New Roman" w:hAnsi="Times New Roman" w:cs="Times New Roman"/>
                <w:color w:val="000000" w:themeColor="text1"/>
                <w:sz w:val="20"/>
                <w:szCs w:val="20"/>
                <w:lang w:val="fi-FI"/>
              </w:rPr>
              <w:t>Obs.</w:t>
            </w:r>
          </w:p>
        </w:tc>
        <w:tc>
          <w:tcPr>
            <w:tcW w:w="1134" w:type="dxa"/>
            <w:tcBorders>
              <w:top w:val="single" w:sz="4" w:space="0" w:color="auto"/>
              <w:left w:val="nil"/>
              <w:bottom w:val="single" w:sz="4" w:space="0" w:color="auto"/>
            </w:tcBorders>
            <w:shd w:val="clear" w:color="auto" w:fill="auto"/>
          </w:tcPr>
          <w:p w14:paraId="45A84AA6"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i-FI"/>
              </w:rPr>
            </w:pPr>
            <w:r w:rsidRPr="0078472B">
              <w:rPr>
                <w:rFonts w:ascii="Times New Roman" w:hAnsi="Times New Roman" w:cs="Times New Roman"/>
                <w:color w:val="000000" w:themeColor="text1"/>
                <w:sz w:val="20"/>
                <w:szCs w:val="20"/>
                <w:lang w:val="fi-FI"/>
              </w:rPr>
              <w:t>Mean</w:t>
            </w:r>
          </w:p>
        </w:tc>
        <w:tc>
          <w:tcPr>
            <w:tcW w:w="1418" w:type="dxa"/>
            <w:tcBorders>
              <w:top w:val="single" w:sz="4" w:space="0" w:color="auto"/>
              <w:bottom w:val="single" w:sz="4" w:space="0" w:color="auto"/>
            </w:tcBorders>
            <w:shd w:val="clear" w:color="auto" w:fill="auto"/>
          </w:tcPr>
          <w:p w14:paraId="6444A9B4"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i-FI"/>
              </w:rPr>
            </w:pPr>
            <w:r w:rsidRPr="0078472B">
              <w:rPr>
                <w:rFonts w:ascii="Times New Roman" w:hAnsi="Times New Roman" w:cs="Times New Roman"/>
                <w:color w:val="000000" w:themeColor="text1"/>
                <w:sz w:val="20"/>
                <w:szCs w:val="20"/>
                <w:lang w:val="fi-FI"/>
              </w:rPr>
              <w:t>S.D.</w:t>
            </w:r>
          </w:p>
        </w:tc>
        <w:tc>
          <w:tcPr>
            <w:tcW w:w="850" w:type="dxa"/>
            <w:tcBorders>
              <w:top w:val="single" w:sz="4" w:space="0" w:color="auto"/>
              <w:bottom w:val="single" w:sz="4" w:space="0" w:color="auto"/>
            </w:tcBorders>
            <w:shd w:val="clear" w:color="auto" w:fill="auto"/>
          </w:tcPr>
          <w:p w14:paraId="392F51B5"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i-FI"/>
              </w:rPr>
            </w:pPr>
            <w:r w:rsidRPr="0078472B">
              <w:rPr>
                <w:rFonts w:ascii="Times New Roman" w:hAnsi="Times New Roman" w:cs="Times New Roman"/>
                <w:color w:val="000000" w:themeColor="text1"/>
                <w:sz w:val="20"/>
                <w:szCs w:val="20"/>
                <w:lang w:val="fi-FI"/>
              </w:rPr>
              <w:t>Min.</w:t>
            </w:r>
          </w:p>
        </w:tc>
        <w:tc>
          <w:tcPr>
            <w:tcW w:w="1133" w:type="dxa"/>
            <w:tcBorders>
              <w:top w:val="single" w:sz="4" w:space="0" w:color="auto"/>
              <w:bottom w:val="single" w:sz="4" w:space="0" w:color="auto"/>
            </w:tcBorders>
            <w:shd w:val="clear" w:color="auto" w:fill="auto"/>
          </w:tcPr>
          <w:p w14:paraId="675E5522"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i-FI"/>
              </w:rPr>
            </w:pPr>
            <w:r w:rsidRPr="0078472B">
              <w:rPr>
                <w:rFonts w:ascii="Times New Roman" w:hAnsi="Times New Roman" w:cs="Times New Roman"/>
                <w:color w:val="000000" w:themeColor="text1"/>
                <w:sz w:val="20"/>
                <w:szCs w:val="20"/>
                <w:lang w:val="fi-FI"/>
              </w:rPr>
              <w:t>Max.</w:t>
            </w:r>
          </w:p>
        </w:tc>
      </w:tr>
      <w:tr w:rsidR="005D76DA" w:rsidRPr="0078472B" w14:paraId="7D44631F"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right w:val="single" w:sz="4" w:space="0" w:color="auto"/>
            </w:tcBorders>
          </w:tcPr>
          <w:p w14:paraId="5602F1B1" w14:textId="77777777" w:rsidR="005D76DA" w:rsidRPr="0078472B" w:rsidRDefault="005D76DA" w:rsidP="005D76DA">
            <w:pPr>
              <w:jc w:val="left"/>
              <w:rPr>
                <w:rFonts w:ascii="Times New Roman" w:hAnsi="Times New Roman" w:cs="Times New Roman"/>
                <w:i w:val="0"/>
                <w:iCs w:val="0"/>
                <w:color w:val="000000" w:themeColor="text1"/>
                <w:sz w:val="20"/>
                <w:szCs w:val="20"/>
                <w:lang w:val="fi-FI"/>
              </w:rPr>
            </w:pPr>
            <w:r w:rsidRPr="0078472B">
              <w:rPr>
                <w:rFonts w:ascii="Times New Roman" w:hAnsi="Times New Roman" w:cs="Times New Roman"/>
                <w:i w:val="0"/>
                <w:iCs w:val="0"/>
                <w:color w:val="000000" w:themeColor="text1"/>
                <w:sz w:val="20"/>
                <w:szCs w:val="20"/>
                <w:lang w:val="fi-FI"/>
              </w:rPr>
              <w:t>Average age (years)</w:t>
            </w:r>
          </w:p>
        </w:tc>
        <w:tc>
          <w:tcPr>
            <w:tcW w:w="708" w:type="dxa"/>
            <w:vAlign w:val="bottom"/>
          </w:tcPr>
          <w:p w14:paraId="49FEFD53"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i-FI"/>
              </w:rPr>
            </w:pPr>
            <w:r w:rsidRPr="0078472B">
              <w:rPr>
                <w:rFonts w:ascii="Times New Roman" w:hAnsi="Times New Roman" w:cs="Times New Roman"/>
                <w:color w:val="000000" w:themeColor="text1"/>
                <w:sz w:val="20"/>
                <w:szCs w:val="20"/>
                <w:lang w:val="fi-FI"/>
              </w:rPr>
              <w:t>315</w:t>
            </w:r>
          </w:p>
        </w:tc>
        <w:tc>
          <w:tcPr>
            <w:tcW w:w="1134" w:type="dxa"/>
            <w:tcBorders>
              <w:left w:val="nil"/>
            </w:tcBorders>
            <w:shd w:val="clear" w:color="auto" w:fill="auto"/>
            <w:vAlign w:val="bottom"/>
          </w:tcPr>
          <w:p w14:paraId="564933D1"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i-FI"/>
              </w:rPr>
            </w:pPr>
            <w:r w:rsidRPr="0078472B">
              <w:rPr>
                <w:rFonts w:ascii="Times New Roman" w:hAnsi="Times New Roman" w:cs="Times New Roman"/>
                <w:color w:val="000000" w:themeColor="text1"/>
                <w:sz w:val="20"/>
                <w:szCs w:val="20"/>
                <w:lang w:val="fi-FI"/>
              </w:rPr>
              <w:t>44.59</w:t>
            </w:r>
          </w:p>
        </w:tc>
        <w:tc>
          <w:tcPr>
            <w:tcW w:w="1418" w:type="dxa"/>
            <w:shd w:val="clear" w:color="auto" w:fill="auto"/>
            <w:vAlign w:val="bottom"/>
          </w:tcPr>
          <w:p w14:paraId="5155AA86"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i-FI"/>
              </w:rPr>
            </w:pPr>
            <w:r w:rsidRPr="0078472B">
              <w:rPr>
                <w:rFonts w:ascii="Times New Roman" w:hAnsi="Times New Roman" w:cs="Times New Roman"/>
                <w:color w:val="000000" w:themeColor="text1"/>
                <w:sz w:val="20"/>
                <w:szCs w:val="20"/>
                <w:lang w:val="fi-FI"/>
              </w:rPr>
              <w:t>4.07</w:t>
            </w:r>
          </w:p>
        </w:tc>
        <w:tc>
          <w:tcPr>
            <w:tcW w:w="850" w:type="dxa"/>
            <w:shd w:val="clear" w:color="auto" w:fill="auto"/>
            <w:vAlign w:val="bottom"/>
          </w:tcPr>
          <w:p w14:paraId="5E7BA919"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i-FI"/>
              </w:rPr>
            </w:pPr>
            <w:r w:rsidRPr="0078472B">
              <w:rPr>
                <w:rFonts w:ascii="Times New Roman" w:hAnsi="Times New Roman" w:cs="Times New Roman"/>
                <w:color w:val="000000" w:themeColor="text1"/>
                <w:sz w:val="20"/>
                <w:szCs w:val="20"/>
                <w:lang w:val="fi-FI"/>
              </w:rPr>
              <w:t>30.40</w:t>
            </w:r>
          </w:p>
        </w:tc>
        <w:tc>
          <w:tcPr>
            <w:tcW w:w="1133" w:type="dxa"/>
            <w:shd w:val="clear" w:color="auto" w:fill="auto"/>
            <w:vAlign w:val="bottom"/>
          </w:tcPr>
          <w:p w14:paraId="49131CCB"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lang w:val="fi-FI"/>
              </w:rPr>
            </w:pPr>
            <w:r w:rsidRPr="0078472B">
              <w:rPr>
                <w:rFonts w:ascii="Times New Roman" w:hAnsi="Times New Roman" w:cs="Times New Roman"/>
                <w:color w:val="000000" w:themeColor="text1"/>
                <w:sz w:val="20"/>
                <w:szCs w:val="20"/>
                <w:lang w:val="fi-FI"/>
              </w:rPr>
              <w:t>54.60</w:t>
            </w:r>
          </w:p>
        </w:tc>
      </w:tr>
      <w:tr w:rsidR="005D76DA" w:rsidRPr="0078472B" w14:paraId="3078F738"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right w:val="single" w:sz="4" w:space="0" w:color="auto"/>
            </w:tcBorders>
          </w:tcPr>
          <w:p w14:paraId="439B9220" w14:textId="77777777" w:rsidR="005D76DA" w:rsidRPr="0078472B" w:rsidRDefault="005D76DA" w:rsidP="005D76DA">
            <w:pPr>
              <w:jc w:val="left"/>
              <w:rPr>
                <w:rFonts w:ascii="Times New Roman" w:hAnsi="Times New Roman" w:cs="Times New Roman"/>
                <w:i w:val="0"/>
                <w:iCs w:val="0"/>
                <w:color w:val="000000" w:themeColor="text1"/>
                <w:sz w:val="20"/>
                <w:szCs w:val="20"/>
              </w:rPr>
            </w:pPr>
            <w:r w:rsidRPr="0078472B">
              <w:rPr>
                <w:rFonts w:ascii="Times New Roman" w:hAnsi="Times New Roman" w:cs="Times New Roman"/>
                <w:i w:val="0"/>
                <w:iCs w:val="0"/>
                <w:color w:val="000000" w:themeColor="text1"/>
                <w:sz w:val="20"/>
                <w:szCs w:val="20"/>
                <w:lang w:val="en-US"/>
              </w:rPr>
              <w:t>Population</w:t>
            </w:r>
            <w:r w:rsidRPr="0078472B">
              <w:rPr>
                <w:rFonts w:ascii="Times New Roman" w:hAnsi="Times New Roman" w:cs="Times New Roman"/>
                <w:i w:val="0"/>
                <w:iCs w:val="0"/>
                <w:color w:val="000000" w:themeColor="text1"/>
                <w:sz w:val="20"/>
                <w:szCs w:val="20"/>
              </w:rPr>
              <w:t xml:space="preserve"> </w:t>
            </w:r>
            <w:r w:rsidRPr="0078472B">
              <w:rPr>
                <w:rFonts w:ascii="Times New Roman" w:hAnsi="Times New Roman" w:cs="Times New Roman"/>
                <w:i w:val="0"/>
                <w:iCs w:val="0"/>
                <w:color w:val="000000" w:themeColor="text1"/>
                <w:sz w:val="20"/>
                <w:szCs w:val="20"/>
                <w:lang w:val="en-US"/>
              </w:rPr>
              <w:t>(persons 18 years an</w:t>
            </w:r>
            <w:r w:rsidRPr="0078472B">
              <w:rPr>
                <w:rFonts w:ascii="Times New Roman" w:hAnsi="Times New Roman" w:cs="Times New Roman"/>
                <w:i w:val="0"/>
                <w:iCs w:val="0"/>
                <w:color w:val="000000" w:themeColor="text1"/>
                <w:sz w:val="20"/>
                <w:szCs w:val="20"/>
              </w:rPr>
              <w:t>d older)</w:t>
            </w:r>
          </w:p>
        </w:tc>
        <w:tc>
          <w:tcPr>
            <w:tcW w:w="708" w:type="dxa"/>
            <w:vAlign w:val="bottom"/>
          </w:tcPr>
          <w:p w14:paraId="4241A4D3"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lang w:val="fi-FI"/>
              </w:rPr>
              <w:t>315</w:t>
            </w:r>
          </w:p>
        </w:tc>
        <w:tc>
          <w:tcPr>
            <w:tcW w:w="1134" w:type="dxa"/>
            <w:tcBorders>
              <w:left w:val="nil"/>
            </w:tcBorders>
            <w:shd w:val="clear" w:color="auto" w:fill="auto"/>
            <w:vAlign w:val="bottom"/>
          </w:tcPr>
          <w:p w14:paraId="6B5D0C44"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13,789.78</w:t>
            </w:r>
          </w:p>
        </w:tc>
        <w:tc>
          <w:tcPr>
            <w:tcW w:w="1418" w:type="dxa"/>
            <w:shd w:val="clear" w:color="auto" w:fill="auto"/>
            <w:vAlign w:val="bottom"/>
          </w:tcPr>
          <w:p w14:paraId="6BAC6FD5"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37,002.12</w:t>
            </w:r>
          </w:p>
        </w:tc>
        <w:tc>
          <w:tcPr>
            <w:tcW w:w="850" w:type="dxa"/>
            <w:shd w:val="clear" w:color="auto" w:fill="auto"/>
            <w:vAlign w:val="bottom"/>
          </w:tcPr>
          <w:p w14:paraId="514B2435"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92</w:t>
            </w:r>
          </w:p>
        </w:tc>
        <w:tc>
          <w:tcPr>
            <w:tcW w:w="1133" w:type="dxa"/>
            <w:shd w:val="clear" w:color="auto" w:fill="auto"/>
            <w:vAlign w:val="bottom"/>
          </w:tcPr>
          <w:p w14:paraId="4AB8D966"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505,439</w:t>
            </w:r>
          </w:p>
        </w:tc>
      </w:tr>
      <w:tr w:rsidR="005D76DA" w:rsidRPr="0078472B" w14:paraId="244F19E3"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right w:val="single" w:sz="4" w:space="0" w:color="auto"/>
            </w:tcBorders>
          </w:tcPr>
          <w:p w14:paraId="2BB0FF07" w14:textId="77777777" w:rsidR="005D76DA" w:rsidRPr="0078472B" w:rsidRDefault="005D76DA" w:rsidP="005D76DA">
            <w:pPr>
              <w:jc w:val="left"/>
              <w:rPr>
                <w:rFonts w:ascii="Times New Roman" w:hAnsi="Times New Roman" w:cs="Times New Roman"/>
                <w:i w:val="0"/>
                <w:iCs w:val="0"/>
                <w:color w:val="000000" w:themeColor="text1"/>
                <w:sz w:val="20"/>
                <w:szCs w:val="20"/>
              </w:rPr>
            </w:pPr>
            <w:r w:rsidRPr="0078472B">
              <w:rPr>
                <w:rFonts w:ascii="Times New Roman" w:hAnsi="Times New Roman" w:cs="Times New Roman"/>
                <w:i w:val="0"/>
                <w:iCs w:val="0"/>
                <w:color w:val="000000" w:themeColor="text1"/>
                <w:sz w:val="20"/>
                <w:szCs w:val="20"/>
              </w:rPr>
              <w:t xml:space="preserve">Education index </w:t>
            </w:r>
          </w:p>
        </w:tc>
        <w:tc>
          <w:tcPr>
            <w:tcW w:w="708" w:type="dxa"/>
          </w:tcPr>
          <w:p w14:paraId="403487A9"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lang w:val="fi-FI"/>
              </w:rPr>
              <w:t>315</w:t>
            </w:r>
          </w:p>
        </w:tc>
        <w:tc>
          <w:tcPr>
            <w:tcW w:w="1134" w:type="dxa"/>
            <w:tcBorders>
              <w:left w:val="nil"/>
            </w:tcBorders>
            <w:shd w:val="clear" w:color="auto" w:fill="auto"/>
          </w:tcPr>
          <w:p w14:paraId="3A452940"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282.09</w:t>
            </w:r>
          </w:p>
        </w:tc>
        <w:tc>
          <w:tcPr>
            <w:tcW w:w="1418" w:type="dxa"/>
            <w:shd w:val="clear" w:color="auto" w:fill="auto"/>
          </w:tcPr>
          <w:p w14:paraId="0A4C4156"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49.14</w:t>
            </w:r>
          </w:p>
        </w:tc>
        <w:tc>
          <w:tcPr>
            <w:tcW w:w="850" w:type="dxa"/>
            <w:shd w:val="clear" w:color="auto" w:fill="auto"/>
          </w:tcPr>
          <w:p w14:paraId="2A7345DA"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194</w:t>
            </w:r>
          </w:p>
        </w:tc>
        <w:tc>
          <w:tcPr>
            <w:tcW w:w="1133" w:type="dxa"/>
            <w:shd w:val="clear" w:color="auto" w:fill="auto"/>
          </w:tcPr>
          <w:p w14:paraId="234B8C39"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573</w:t>
            </w:r>
          </w:p>
        </w:tc>
      </w:tr>
      <w:tr w:rsidR="005D76DA" w:rsidRPr="0078472B" w14:paraId="2FC32092"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right w:val="single" w:sz="4" w:space="0" w:color="auto"/>
            </w:tcBorders>
          </w:tcPr>
          <w:p w14:paraId="09A0CF44" w14:textId="5B3681CA" w:rsidR="005D76DA" w:rsidRPr="0078472B" w:rsidRDefault="005D76DA" w:rsidP="005D76DA">
            <w:pPr>
              <w:jc w:val="left"/>
              <w:rPr>
                <w:rFonts w:ascii="Times New Roman" w:hAnsi="Times New Roman" w:cs="Times New Roman"/>
                <w:i w:val="0"/>
                <w:iCs w:val="0"/>
                <w:color w:val="000000" w:themeColor="text1"/>
                <w:sz w:val="20"/>
                <w:szCs w:val="20"/>
              </w:rPr>
            </w:pPr>
            <w:r w:rsidRPr="0078472B">
              <w:rPr>
                <w:rFonts w:ascii="Times New Roman" w:hAnsi="Times New Roman" w:cs="Times New Roman"/>
                <w:i w:val="0"/>
                <w:iCs w:val="0"/>
                <w:color w:val="000000" w:themeColor="text1"/>
                <w:sz w:val="20"/>
                <w:szCs w:val="20"/>
              </w:rPr>
              <w:t>Average net income (</w:t>
            </w:r>
            <w:r w:rsidR="003E0B00">
              <w:rPr>
                <w:rFonts w:ascii="Times New Roman" w:hAnsi="Times New Roman" w:cs="Times New Roman"/>
                <w:i w:val="0"/>
                <w:iCs w:val="0"/>
                <w:color w:val="000000" w:themeColor="text1"/>
                <w:sz w:val="20"/>
                <w:szCs w:val="20"/>
              </w:rPr>
              <w:t xml:space="preserve">1,000 </w:t>
            </w:r>
            <w:r w:rsidRPr="0078472B">
              <w:rPr>
                <w:rFonts w:ascii="Times New Roman" w:hAnsi="Times New Roman" w:cs="Times New Roman"/>
                <w:i w:val="0"/>
                <w:iCs w:val="0"/>
                <w:color w:val="000000" w:themeColor="text1"/>
                <w:sz w:val="20"/>
                <w:szCs w:val="20"/>
              </w:rPr>
              <w:t xml:space="preserve">euros) per </w:t>
            </w:r>
            <w:r w:rsidR="003E0B00">
              <w:rPr>
                <w:rFonts w:ascii="Times New Roman" w:hAnsi="Times New Roman" w:cs="Times New Roman"/>
                <w:i w:val="0"/>
                <w:iCs w:val="0"/>
                <w:color w:val="000000" w:themeColor="text1"/>
                <w:sz w:val="20"/>
                <w:szCs w:val="20"/>
              </w:rPr>
              <w:t>capita</w:t>
            </w:r>
          </w:p>
        </w:tc>
        <w:tc>
          <w:tcPr>
            <w:tcW w:w="708" w:type="dxa"/>
          </w:tcPr>
          <w:p w14:paraId="793C2736"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lang w:val="fi-FI"/>
              </w:rPr>
              <w:t>315</w:t>
            </w:r>
          </w:p>
        </w:tc>
        <w:tc>
          <w:tcPr>
            <w:tcW w:w="1134" w:type="dxa"/>
            <w:tcBorders>
              <w:left w:val="nil"/>
            </w:tcBorders>
            <w:shd w:val="clear" w:color="auto" w:fill="auto"/>
          </w:tcPr>
          <w:p w14:paraId="13B935B6"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19.77</w:t>
            </w:r>
          </w:p>
        </w:tc>
        <w:tc>
          <w:tcPr>
            <w:tcW w:w="1418" w:type="dxa"/>
            <w:shd w:val="clear" w:color="auto" w:fill="auto"/>
          </w:tcPr>
          <w:p w14:paraId="434E3A98"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2.47</w:t>
            </w:r>
          </w:p>
        </w:tc>
        <w:tc>
          <w:tcPr>
            <w:tcW w:w="850" w:type="dxa"/>
            <w:shd w:val="clear" w:color="auto" w:fill="auto"/>
          </w:tcPr>
          <w:p w14:paraId="2B2AAAE4"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15.49</w:t>
            </w:r>
          </w:p>
        </w:tc>
        <w:tc>
          <w:tcPr>
            <w:tcW w:w="1133" w:type="dxa"/>
            <w:shd w:val="clear" w:color="auto" w:fill="auto"/>
          </w:tcPr>
          <w:p w14:paraId="1EEAC638"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38.57</w:t>
            </w:r>
          </w:p>
        </w:tc>
      </w:tr>
      <w:tr w:rsidR="005D76DA" w:rsidRPr="0078472B" w14:paraId="38D949EB"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right w:val="single" w:sz="4" w:space="0" w:color="auto"/>
            </w:tcBorders>
          </w:tcPr>
          <w:p w14:paraId="6BC54CCA" w14:textId="0F1DB76F" w:rsidR="005D76DA" w:rsidRPr="0078472B" w:rsidRDefault="00D81EFC" w:rsidP="005D76DA">
            <w:pPr>
              <w:jc w:val="left"/>
              <w:rPr>
                <w:rFonts w:ascii="Times New Roman" w:hAnsi="Times New Roman" w:cs="Times New Roman"/>
                <w:i w:val="0"/>
                <w:iCs w:val="0"/>
                <w:color w:val="000000" w:themeColor="text1"/>
                <w:sz w:val="20"/>
                <w:szCs w:val="20"/>
              </w:rPr>
            </w:pPr>
            <w:r w:rsidRPr="0078472B">
              <w:rPr>
                <w:rFonts w:ascii="Times New Roman" w:hAnsi="Times New Roman" w:cs="Times New Roman"/>
                <w:i w:val="0"/>
                <w:iCs w:val="0"/>
                <w:color w:val="000000" w:themeColor="text1"/>
                <w:sz w:val="20"/>
                <w:szCs w:val="20"/>
              </w:rPr>
              <w:t xml:space="preserve">Unemployment rate </w:t>
            </w:r>
            <w:r w:rsidR="005D76DA" w:rsidRPr="0078472B">
              <w:rPr>
                <w:rFonts w:ascii="Times New Roman" w:hAnsi="Times New Roman" w:cs="Times New Roman"/>
                <w:i w:val="0"/>
                <w:iCs w:val="0"/>
                <w:color w:val="000000" w:themeColor="text1"/>
                <w:sz w:val="20"/>
                <w:szCs w:val="20"/>
              </w:rPr>
              <w:t>(percentage points)</w:t>
            </w:r>
          </w:p>
        </w:tc>
        <w:tc>
          <w:tcPr>
            <w:tcW w:w="708" w:type="dxa"/>
          </w:tcPr>
          <w:p w14:paraId="0B1FD3BA"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315</w:t>
            </w:r>
          </w:p>
        </w:tc>
        <w:tc>
          <w:tcPr>
            <w:tcW w:w="1134" w:type="dxa"/>
            <w:tcBorders>
              <w:left w:val="nil"/>
            </w:tcBorders>
            <w:shd w:val="clear" w:color="auto" w:fill="auto"/>
          </w:tcPr>
          <w:p w14:paraId="5F0A413D"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8.84</w:t>
            </w:r>
          </w:p>
        </w:tc>
        <w:tc>
          <w:tcPr>
            <w:tcW w:w="1418" w:type="dxa"/>
            <w:shd w:val="clear" w:color="auto" w:fill="auto"/>
          </w:tcPr>
          <w:p w14:paraId="2775A39E"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3.34</w:t>
            </w:r>
          </w:p>
        </w:tc>
        <w:tc>
          <w:tcPr>
            <w:tcW w:w="850" w:type="dxa"/>
            <w:shd w:val="clear" w:color="auto" w:fill="auto"/>
          </w:tcPr>
          <w:p w14:paraId="6712B1CC"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w:t>
            </w:r>
          </w:p>
        </w:tc>
        <w:tc>
          <w:tcPr>
            <w:tcW w:w="1133" w:type="dxa"/>
            <w:shd w:val="clear" w:color="auto" w:fill="auto"/>
          </w:tcPr>
          <w:p w14:paraId="533BD14D"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18.40</w:t>
            </w:r>
          </w:p>
        </w:tc>
      </w:tr>
      <w:tr w:rsidR="005D76DA" w:rsidRPr="0078472B" w14:paraId="469607CB"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right w:val="single" w:sz="4" w:space="0" w:color="auto"/>
            </w:tcBorders>
          </w:tcPr>
          <w:p w14:paraId="02F59923" w14:textId="77777777" w:rsidR="005D76DA" w:rsidRPr="0078472B" w:rsidRDefault="005D76DA" w:rsidP="005D76DA">
            <w:pPr>
              <w:jc w:val="left"/>
              <w:rPr>
                <w:rFonts w:ascii="Times New Roman" w:hAnsi="Times New Roman" w:cs="Times New Roman"/>
                <w:i w:val="0"/>
                <w:iCs w:val="0"/>
                <w:color w:val="000000" w:themeColor="text1"/>
                <w:sz w:val="20"/>
                <w:szCs w:val="20"/>
              </w:rPr>
            </w:pPr>
            <w:r w:rsidRPr="0078472B">
              <w:rPr>
                <w:rFonts w:ascii="Times New Roman" w:hAnsi="Times New Roman" w:cs="Times New Roman"/>
                <w:i w:val="0"/>
                <w:iCs w:val="0"/>
                <w:color w:val="000000" w:themeColor="text1"/>
                <w:sz w:val="20"/>
                <w:szCs w:val="20"/>
              </w:rPr>
              <w:t>Share of Swedish speakers (percentage points)</w:t>
            </w:r>
          </w:p>
        </w:tc>
        <w:tc>
          <w:tcPr>
            <w:tcW w:w="708" w:type="dxa"/>
          </w:tcPr>
          <w:p w14:paraId="2300823F"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317</w:t>
            </w:r>
          </w:p>
        </w:tc>
        <w:tc>
          <w:tcPr>
            <w:tcW w:w="1134" w:type="dxa"/>
            <w:tcBorders>
              <w:left w:val="nil"/>
            </w:tcBorders>
            <w:shd w:val="clear" w:color="auto" w:fill="auto"/>
            <w:vAlign w:val="center"/>
          </w:tcPr>
          <w:p w14:paraId="65917D02"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9.61</w:t>
            </w:r>
          </w:p>
        </w:tc>
        <w:tc>
          <w:tcPr>
            <w:tcW w:w="1418" w:type="dxa"/>
            <w:shd w:val="clear" w:color="auto" w:fill="auto"/>
            <w:vAlign w:val="center"/>
          </w:tcPr>
          <w:p w14:paraId="1975A992"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25.16</w:t>
            </w:r>
          </w:p>
        </w:tc>
        <w:tc>
          <w:tcPr>
            <w:tcW w:w="850" w:type="dxa"/>
            <w:shd w:val="clear" w:color="auto" w:fill="auto"/>
            <w:vAlign w:val="center"/>
          </w:tcPr>
          <w:p w14:paraId="51F6F279"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w:t>
            </w:r>
          </w:p>
        </w:tc>
        <w:tc>
          <w:tcPr>
            <w:tcW w:w="1133" w:type="dxa"/>
            <w:shd w:val="clear" w:color="auto" w:fill="auto"/>
            <w:vAlign w:val="center"/>
          </w:tcPr>
          <w:p w14:paraId="09C0DAC9"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93.43</w:t>
            </w:r>
          </w:p>
        </w:tc>
      </w:tr>
      <w:tr w:rsidR="005D76DA" w:rsidRPr="0078472B" w14:paraId="6CD9352E"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right w:val="single" w:sz="4" w:space="0" w:color="auto"/>
            </w:tcBorders>
          </w:tcPr>
          <w:p w14:paraId="04B5C81F" w14:textId="77777777" w:rsidR="005D76DA" w:rsidRPr="0078472B" w:rsidRDefault="005D76DA" w:rsidP="005D76DA">
            <w:pPr>
              <w:jc w:val="left"/>
              <w:rPr>
                <w:rFonts w:ascii="Times New Roman" w:hAnsi="Times New Roman" w:cs="Times New Roman"/>
                <w:i w:val="0"/>
                <w:iCs w:val="0"/>
                <w:color w:val="000000" w:themeColor="text1"/>
                <w:sz w:val="20"/>
                <w:szCs w:val="20"/>
              </w:rPr>
            </w:pPr>
            <w:r w:rsidRPr="0078472B">
              <w:rPr>
                <w:rFonts w:ascii="Times New Roman" w:hAnsi="Times New Roman" w:cs="Times New Roman"/>
                <w:i w:val="0"/>
                <w:iCs w:val="0"/>
                <w:color w:val="000000" w:themeColor="text1"/>
                <w:sz w:val="20"/>
                <w:szCs w:val="20"/>
              </w:rPr>
              <w:t>City (= 1 if classified as a city)</w:t>
            </w:r>
          </w:p>
        </w:tc>
        <w:tc>
          <w:tcPr>
            <w:tcW w:w="708" w:type="dxa"/>
          </w:tcPr>
          <w:p w14:paraId="4CCB0AC7"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lang w:val="fi-FI"/>
              </w:rPr>
              <w:t>315</w:t>
            </w:r>
          </w:p>
        </w:tc>
        <w:tc>
          <w:tcPr>
            <w:tcW w:w="1134" w:type="dxa"/>
            <w:tcBorders>
              <w:left w:val="nil"/>
            </w:tcBorders>
            <w:shd w:val="clear" w:color="auto" w:fill="auto"/>
          </w:tcPr>
          <w:p w14:paraId="24695301"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0.34</w:t>
            </w:r>
          </w:p>
        </w:tc>
        <w:tc>
          <w:tcPr>
            <w:tcW w:w="1418" w:type="dxa"/>
            <w:shd w:val="clear" w:color="auto" w:fill="auto"/>
          </w:tcPr>
          <w:p w14:paraId="77A2179D"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0.47</w:t>
            </w:r>
          </w:p>
        </w:tc>
        <w:tc>
          <w:tcPr>
            <w:tcW w:w="850" w:type="dxa"/>
            <w:shd w:val="clear" w:color="auto" w:fill="auto"/>
          </w:tcPr>
          <w:p w14:paraId="2070E277"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w:t>
            </w:r>
          </w:p>
        </w:tc>
        <w:tc>
          <w:tcPr>
            <w:tcW w:w="1133" w:type="dxa"/>
            <w:shd w:val="clear" w:color="auto" w:fill="auto"/>
          </w:tcPr>
          <w:p w14:paraId="25ACAF99"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1</w:t>
            </w:r>
          </w:p>
        </w:tc>
      </w:tr>
      <w:tr w:rsidR="005D76DA" w:rsidRPr="0078472B" w14:paraId="59E9E247"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right w:val="single" w:sz="4" w:space="0" w:color="auto"/>
            </w:tcBorders>
          </w:tcPr>
          <w:p w14:paraId="63DA132E" w14:textId="77777777" w:rsidR="005D76DA" w:rsidRPr="0078472B" w:rsidRDefault="005D76DA" w:rsidP="005D76DA">
            <w:pPr>
              <w:jc w:val="left"/>
              <w:rPr>
                <w:rFonts w:ascii="Times New Roman" w:hAnsi="Times New Roman" w:cs="Times New Roman"/>
                <w:i w:val="0"/>
                <w:iCs w:val="0"/>
                <w:color w:val="000000" w:themeColor="text1"/>
                <w:sz w:val="20"/>
                <w:szCs w:val="20"/>
              </w:rPr>
            </w:pPr>
            <w:r w:rsidRPr="0078472B">
              <w:rPr>
                <w:rFonts w:ascii="Times New Roman" w:hAnsi="Times New Roman" w:cs="Times New Roman"/>
                <w:i w:val="0"/>
                <w:iCs w:val="0"/>
                <w:color w:val="000000" w:themeColor="text1"/>
                <w:sz w:val="20"/>
                <w:szCs w:val="20"/>
              </w:rPr>
              <w:t>Inter-municipal net migration (persons) per 1,000 inhabitants</w:t>
            </w:r>
          </w:p>
        </w:tc>
        <w:tc>
          <w:tcPr>
            <w:tcW w:w="708" w:type="dxa"/>
          </w:tcPr>
          <w:p w14:paraId="401EB416"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lang w:val="fi-FI"/>
              </w:rPr>
              <w:t>315</w:t>
            </w:r>
          </w:p>
        </w:tc>
        <w:tc>
          <w:tcPr>
            <w:tcW w:w="1134" w:type="dxa"/>
            <w:tcBorders>
              <w:left w:val="nil"/>
            </w:tcBorders>
            <w:shd w:val="clear" w:color="auto" w:fill="auto"/>
          </w:tcPr>
          <w:p w14:paraId="74EF8ACD"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-5.29</w:t>
            </w:r>
          </w:p>
        </w:tc>
        <w:tc>
          <w:tcPr>
            <w:tcW w:w="1418" w:type="dxa"/>
            <w:shd w:val="clear" w:color="auto" w:fill="auto"/>
          </w:tcPr>
          <w:p w14:paraId="24ACE05F"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11.06</w:t>
            </w:r>
          </w:p>
        </w:tc>
        <w:tc>
          <w:tcPr>
            <w:tcW w:w="850" w:type="dxa"/>
            <w:shd w:val="clear" w:color="auto" w:fill="auto"/>
          </w:tcPr>
          <w:p w14:paraId="172866C5"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-76.67</w:t>
            </w:r>
          </w:p>
        </w:tc>
        <w:tc>
          <w:tcPr>
            <w:tcW w:w="1133" w:type="dxa"/>
            <w:shd w:val="clear" w:color="auto" w:fill="auto"/>
          </w:tcPr>
          <w:p w14:paraId="03FB4745"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25.33</w:t>
            </w:r>
          </w:p>
        </w:tc>
      </w:tr>
      <w:tr w:rsidR="005D76DA" w:rsidRPr="0078472B" w14:paraId="02D876C8"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bottom w:val="single" w:sz="4" w:space="0" w:color="FFFFFF" w:themeColor="background1"/>
              <w:right w:val="single" w:sz="4" w:space="0" w:color="auto"/>
            </w:tcBorders>
          </w:tcPr>
          <w:p w14:paraId="7C9AB12E" w14:textId="77777777" w:rsidR="005D76DA" w:rsidRPr="0078472B" w:rsidRDefault="005D76DA" w:rsidP="005D76DA">
            <w:pPr>
              <w:jc w:val="left"/>
              <w:rPr>
                <w:rFonts w:ascii="Times New Roman" w:hAnsi="Times New Roman" w:cs="Times New Roman"/>
                <w:b/>
                <w:i w:val="0"/>
                <w:iCs w:val="0"/>
                <w:color w:val="000000" w:themeColor="text1"/>
                <w:sz w:val="20"/>
                <w:szCs w:val="20"/>
              </w:rPr>
            </w:pPr>
          </w:p>
        </w:tc>
        <w:tc>
          <w:tcPr>
            <w:tcW w:w="708" w:type="dxa"/>
            <w:tcBorders>
              <w:top w:val="single" w:sz="4" w:space="0" w:color="auto"/>
            </w:tcBorders>
          </w:tcPr>
          <w:p w14:paraId="558C276C"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tc>
        <w:tc>
          <w:tcPr>
            <w:tcW w:w="4535" w:type="dxa"/>
            <w:gridSpan w:val="4"/>
            <w:tcBorders>
              <w:top w:val="single" w:sz="4" w:space="0" w:color="auto"/>
              <w:left w:val="nil"/>
            </w:tcBorders>
            <w:shd w:val="clear" w:color="auto" w:fill="auto"/>
          </w:tcPr>
          <w:p w14:paraId="7CD141DB"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Betting environment statistics</w:t>
            </w:r>
          </w:p>
        </w:tc>
      </w:tr>
      <w:tr w:rsidR="005D76DA" w:rsidRPr="0078472B" w14:paraId="44F87DC4"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FFFFFF" w:themeColor="background1"/>
              <w:bottom w:val="single" w:sz="4" w:space="0" w:color="auto"/>
              <w:right w:val="single" w:sz="4" w:space="0" w:color="auto"/>
            </w:tcBorders>
          </w:tcPr>
          <w:p w14:paraId="455192D3" w14:textId="77777777" w:rsidR="005D76DA" w:rsidRPr="0078472B" w:rsidRDefault="005D76DA" w:rsidP="005D76DA">
            <w:pPr>
              <w:jc w:val="left"/>
              <w:rPr>
                <w:rFonts w:ascii="Times New Roman" w:hAnsi="Times New Roman" w:cs="Times New Roman"/>
                <w:i w:val="0"/>
                <w:iCs w:val="0"/>
                <w:color w:val="000000" w:themeColor="text1"/>
                <w:sz w:val="20"/>
                <w:szCs w:val="20"/>
              </w:rPr>
            </w:pPr>
          </w:p>
        </w:tc>
        <w:tc>
          <w:tcPr>
            <w:tcW w:w="708" w:type="dxa"/>
            <w:tcBorders>
              <w:top w:val="single" w:sz="4" w:space="0" w:color="auto"/>
              <w:bottom w:val="single" w:sz="4" w:space="0" w:color="auto"/>
            </w:tcBorders>
          </w:tcPr>
          <w:p w14:paraId="657A7D06"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78472B">
              <w:rPr>
                <w:rFonts w:ascii="Times New Roman" w:hAnsi="Times New Roman" w:cs="Times New Roman"/>
                <w:color w:val="000000" w:themeColor="text1"/>
                <w:sz w:val="20"/>
                <w:szCs w:val="20"/>
              </w:rPr>
              <w:t>Obs.</w:t>
            </w:r>
          </w:p>
        </w:tc>
        <w:tc>
          <w:tcPr>
            <w:tcW w:w="1134" w:type="dxa"/>
            <w:tcBorders>
              <w:top w:val="single" w:sz="4" w:space="0" w:color="auto"/>
              <w:left w:val="nil"/>
              <w:bottom w:val="single" w:sz="4" w:space="0" w:color="auto"/>
            </w:tcBorders>
            <w:shd w:val="clear" w:color="auto" w:fill="auto"/>
          </w:tcPr>
          <w:p w14:paraId="271B2DE4"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78472B">
              <w:rPr>
                <w:rFonts w:ascii="Times New Roman" w:hAnsi="Times New Roman" w:cs="Times New Roman"/>
                <w:color w:val="000000" w:themeColor="text1"/>
                <w:sz w:val="20"/>
                <w:szCs w:val="20"/>
              </w:rPr>
              <w:t>Mean</w:t>
            </w:r>
          </w:p>
        </w:tc>
        <w:tc>
          <w:tcPr>
            <w:tcW w:w="1418" w:type="dxa"/>
            <w:tcBorders>
              <w:top w:val="single" w:sz="4" w:space="0" w:color="auto"/>
              <w:bottom w:val="single" w:sz="4" w:space="0" w:color="auto"/>
            </w:tcBorders>
            <w:shd w:val="clear" w:color="auto" w:fill="auto"/>
          </w:tcPr>
          <w:p w14:paraId="58BC4E15"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78472B">
              <w:rPr>
                <w:rFonts w:ascii="Times New Roman" w:hAnsi="Times New Roman" w:cs="Times New Roman"/>
                <w:color w:val="000000" w:themeColor="text1"/>
                <w:sz w:val="20"/>
                <w:szCs w:val="20"/>
              </w:rPr>
              <w:t>S.D.</w:t>
            </w:r>
          </w:p>
        </w:tc>
        <w:tc>
          <w:tcPr>
            <w:tcW w:w="850" w:type="dxa"/>
            <w:tcBorders>
              <w:top w:val="single" w:sz="4" w:space="0" w:color="auto"/>
              <w:bottom w:val="single" w:sz="4" w:space="0" w:color="auto"/>
            </w:tcBorders>
            <w:shd w:val="clear" w:color="auto" w:fill="auto"/>
          </w:tcPr>
          <w:p w14:paraId="4B0C55B1"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78472B">
              <w:rPr>
                <w:rFonts w:ascii="Times New Roman" w:hAnsi="Times New Roman" w:cs="Times New Roman"/>
                <w:color w:val="000000" w:themeColor="text1"/>
                <w:sz w:val="20"/>
                <w:szCs w:val="20"/>
              </w:rPr>
              <w:t>Min.</w:t>
            </w:r>
          </w:p>
        </w:tc>
        <w:tc>
          <w:tcPr>
            <w:tcW w:w="1133" w:type="dxa"/>
            <w:tcBorders>
              <w:top w:val="single" w:sz="4" w:space="0" w:color="auto"/>
              <w:bottom w:val="single" w:sz="4" w:space="0" w:color="auto"/>
            </w:tcBorders>
            <w:shd w:val="clear" w:color="auto" w:fill="auto"/>
          </w:tcPr>
          <w:p w14:paraId="33404DE1"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78472B">
              <w:rPr>
                <w:rFonts w:ascii="Times New Roman" w:hAnsi="Times New Roman" w:cs="Times New Roman"/>
                <w:color w:val="000000" w:themeColor="text1"/>
                <w:sz w:val="20"/>
                <w:szCs w:val="20"/>
              </w:rPr>
              <w:t>Max.</w:t>
            </w:r>
          </w:p>
        </w:tc>
      </w:tr>
      <w:tr w:rsidR="005D76DA" w:rsidRPr="0078472B" w14:paraId="0FA19592"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right w:val="single" w:sz="4" w:space="0" w:color="auto"/>
            </w:tcBorders>
          </w:tcPr>
          <w:p w14:paraId="0BFD978E" w14:textId="77777777" w:rsidR="005D76DA" w:rsidRPr="0078472B" w:rsidRDefault="005D76DA" w:rsidP="005D76DA">
            <w:pPr>
              <w:jc w:val="left"/>
              <w:rPr>
                <w:rFonts w:ascii="Times New Roman" w:hAnsi="Times New Roman" w:cs="Times New Roman"/>
                <w:i w:val="0"/>
                <w:iCs w:val="0"/>
                <w:color w:val="000000" w:themeColor="text1"/>
                <w:sz w:val="20"/>
                <w:szCs w:val="20"/>
              </w:rPr>
            </w:pPr>
            <w:r w:rsidRPr="0078472B">
              <w:rPr>
                <w:rFonts w:ascii="Times New Roman" w:hAnsi="Times New Roman" w:cs="Times New Roman"/>
                <w:i w:val="0"/>
                <w:iCs w:val="0"/>
                <w:color w:val="000000" w:themeColor="text1"/>
                <w:sz w:val="20"/>
                <w:szCs w:val="20"/>
              </w:rPr>
              <w:t>Racetrack (= 1 if in a municipality)</w:t>
            </w:r>
          </w:p>
        </w:tc>
        <w:tc>
          <w:tcPr>
            <w:tcW w:w="708" w:type="dxa"/>
            <w:tcBorders>
              <w:top w:val="single" w:sz="4" w:space="0" w:color="auto"/>
            </w:tcBorders>
          </w:tcPr>
          <w:p w14:paraId="1AABE3C7"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lang w:val="fi-FI"/>
              </w:rPr>
              <w:t>315</w:t>
            </w:r>
          </w:p>
        </w:tc>
        <w:tc>
          <w:tcPr>
            <w:tcW w:w="1134" w:type="dxa"/>
            <w:tcBorders>
              <w:top w:val="single" w:sz="4" w:space="0" w:color="auto"/>
              <w:left w:val="nil"/>
            </w:tcBorders>
            <w:shd w:val="clear" w:color="auto" w:fill="auto"/>
          </w:tcPr>
          <w:p w14:paraId="4F4DFDD1"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0.13</w:t>
            </w:r>
          </w:p>
        </w:tc>
        <w:tc>
          <w:tcPr>
            <w:tcW w:w="1418" w:type="dxa"/>
            <w:tcBorders>
              <w:top w:val="single" w:sz="4" w:space="0" w:color="auto"/>
            </w:tcBorders>
            <w:shd w:val="clear" w:color="auto" w:fill="auto"/>
          </w:tcPr>
          <w:p w14:paraId="7E0F216D"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0.34</w:t>
            </w:r>
          </w:p>
        </w:tc>
        <w:tc>
          <w:tcPr>
            <w:tcW w:w="850" w:type="dxa"/>
            <w:tcBorders>
              <w:top w:val="single" w:sz="4" w:space="0" w:color="auto"/>
            </w:tcBorders>
            <w:shd w:val="clear" w:color="auto" w:fill="auto"/>
          </w:tcPr>
          <w:p w14:paraId="25823F05"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w:t>
            </w:r>
          </w:p>
        </w:tc>
        <w:tc>
          <w:tcPr>
            <w:tcW w:w="1133" w:type="dxa"/>
            <w:tcBorders>
              <w:top w:val="single" w:sz="4" w:space="0" w:color="auto"/>
            </w:tcBorders>
            <w:shd w:val="clear" w:color="auto" w:fill="auto"/>
          </w:tcPr>
          <w:p w14:paraId="10B8765D"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1</w:t>
            </w:r>
          </w:p>
        </w:tc>
      </w:tr>
      <w:tr w:rsidR="005D76DA" w:rsidRPr="0078472B" w14:paraId="27BB36CB"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right w:val="single" w:sz="4" w:space="0" w:color="auto"/>
            </w:tcBorders>
          </w:tcPr>
          <w:p w14:paraId="44F3B5F7" w14:textId="77777777" w:rsidR="005D76DA" w:rsidRPr="0078472B" w:rsidRDefault="005D76DA" w:rsidP="005D76DA">
            <w:pPr>
              <w:jc w:val="left"/>
              <w:rPr>
                <w:rFonts w:ascii="Times New Roman" w:hAnsi="Times New Roman" w:cs="Times New Roman"/>
                <w:i w:val="0"/>
                <w:iCs w:val="0"/>
                <w:color w:val="000000" w:themeColor="text1"/>
                <w:sz w:val="20"/>
                <w:szCs w:val="20"/>
              </w:rPr>
            </w:pPr>
            <w:r w:rsidRPr="0078472B">
              <w:rPr>
                <w:rFonts w:ascii="Times New Roman" w:hAnsi="Times New Roman" w:cs="Times New Roman"/>
                <w:i w:val="0"/>
                <w:iCs w:val="0"/>
                <w:color w:val="000000" w:themeColor="text1"/>
                <w:sz w:val="20"/>
                <w:szCs w:val="20"/>
              </w:rPr>
              <w:t>Adjacent to racetrack (= 1 if a racetrack located in a neighbouring municipality)</w:t>
            </w:r>
          </w:p>
        </w:tc>
        <w:tc>
          <w:tcPr>
            <w:tcW w:w="708" w:type="dxa"/>
          </w:tcPr>
          <w:p w14:paraId="549899D9"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lang w:val="fi-FI"/>
              </w:rPr>
              <w:t>315</w:t>
            </w:r>
          </w:p>
        </w:tc>
        <w:tc>
          <w:tcPr>
            <w:tcW w:w="1134" w:type="dxa"/>
            <w:tcBorders>
              <w:left w:val="nil"/>
            </w:tcBorders>
            <w:shd w:val="clear" w:color="auto" w:fill="auto"/>
          </w:tcPr>
          <w:p w14:paraId="7D5300DB"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0.43</w:t>
            </w:r>
          </w:p>
        </w:tc>
        <w:tc>
          <w:tcPr>
            <w:tcW w:w="1418" w:type="dxa"/>
            <w:shd w:val="clear" w:color="auto" w:fill="auto"/>
          </w:tcPr>
          <w:p w14:paraId="7454C864"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0.50</w:t>
            </w:r>
          </w:p>
        </w:tc>
        <w:tc>
          <w:tcPr>
            <w:tcW w:w="850" w:type="dxa"/>
            <w:shd w:val="clear" w:color="auto" w:fill="auto"/>
          </w:tcPr>
          <w:p w14:paraId="7398A7D3"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w:t>
            </w:r>
          </w:p>
        </w:tc>
        <w:tc>
          <w:tcPr>
            <w:tcW w:w="1133" w:type="dxa"/>
            <w:shd w:val="clear" w:color="auto" w:fill="auto"/>
          </w:tcPr>
          <w:p w14:paraId="426B4176"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1</w:t>
            </w:r>
          </w:p>
        </w:tc>
      </w:tr>
      <w:tr w:rsidR="005D76DA" w:rsidRPr="0078472B" w14:paraId="0E6322B9"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right w:val="single" w:sz="4" w:space="0" w:color="auto"/>
            </w:tcBorders>
          </w:tcPr>
          <w:p w14:paraId="5431C4F0" w14:textId="77777777" w:rsidR="005D76DA" w:rsidRPr="0078472B" w:rsidRDefault="005D76DA" w:rsidP="005D76DA">
            <w:pPr>
              <w:jc w:val="left"/>
              <w:rPr>
                <w:rFonts w:ascii="Times New Roman" w:hAnsi="Times New Roman" w:cs="Times New Roman"/>
                <w:i w:val="0"/>
                <w:iCs w:val="0"/>
                <w:color w:val="000000" w:themeColor="text1"/>
                <w:sz w:val="20"/>
                <w:szCs w:val="20"/>
              </w:rPr>
            </w:pPr>
            <w:r w:rsidRPr="0078472B">
              <w:rPr>
                <w:rFonts w:ascii="Times New Roman" w:hAnsi="Times New Roman" w:cs="Times New Roman"/>
                <w:i w:val="0"/>
                <w:iCs w:val="0"/>
                <w:color w:val="000000" w:themeColor="text1"/>
                <w:sz w:val="20"/>
                <w:szCs w:val="20"/>
              </w:rPr>
              <w:t>Horse race meetings at the local track in a month</w:t>
            </w:r>
          </w:p>
        </w:tc>
        <w:tc>
          <w:tcPr>
            <w:tcW w:w="708" w:type="dxa"/>
          </w:tcPr>
          <w:p w14:paraId="145D1810"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lang w:val="fi-FI"/>
              </w:rPr>
              <w:t>315</w:t>
            </w:r>
          </w:p>
        </w:tc>
        <w:tc>
          <w:tcPr>
            <w:tcW w:w="1134" w:type="dxa"/>
            <w:tcBorders>
              <w:left w:val="nil"/>
            </w:tcBorders>
            <w:shd w:val="clear" w:color="auto" w:fill="auto"/>
          </w:tcPr>
          <w:p w14:paraId="5270CE5E"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0.18</w:t>
            </w:r>
          </w:p>
        </w:tc>
        <w:tc>
          <w:tcPr>
            <w:tcW w:w="1418" w:type="dxa"/>
            <w:shd w:val="clear" w:color="auto" w:fill="auto"/>
          </w:tcPr>
          <w:p w14:paraId="4CA9BA99"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0.67</w:t>
            </w:r>
          </w:p>
        </w:tc>
        <w:tc>
          <w:tcPr>
            <w:tcW w:w="850" w:type="dxa"/>
            <w:shd w:val="clear" w:color="auto" w:fill="auto"/>
          </w:tcPr>
          <w:p w14:paraId="2668603E"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w:t>
            </w:r>
          </w:p>
        </w:tc>
        <w:tc>
          <w:tcPr>
            <w:tcW w:w="1133" w:type="dxa"/>
            <w:shd w:val="clear" w:color="auto" w:fill="auto"/>
          </w:tcPr>
          <w:p w14:paraId="0D40EA24"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5</w:t>
            </w:r>
          </w:p>
        </w:tc>
      </w:tr>
      <w:tr w:rsidR="005D76DA" w:rsidRPr="0078472B" w14:paraId="17F2AD8C"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right w:val="single" w:sz="4" w:space="0" w:color="auto"/>
            </w:tcBorders>
          </w:tcPr>
          <w:p w14:paraId="0C37DD2A" w14:textId="77777777" w:rsidR="005D76DA" w:rsidRPr="0078472B" w:rsidRDefault="005D76DA" w:rsidP="005D76DA">
            <w:pPr>
              <w:jc w:val="left"/>
              <w:rPr>
                <w:rFonts w:ascii="Times New Roman" w:hAnsi="Times New Roman" w:cs="Times New Roman"/>
                <w:i w:val="0"/>
                <w:iCs w:val="0"/>
                <w:color w:val="000000" w:themeColor="text1"/>
                <w:sz w:val="20"/>
                <w:szCs w:val="20"/>
              </w:rPr>
            </w:pPr>
            <w:r w:rsidRPr="0078472B">
              <w:rPr>
                <w:rFonts w:ascii="Times New Roman" w:hAnsi="Times New Roman" w:cs="Times New Roman"/>
                <w:i w:val="0"/>
                <w:iCs w:val="0"/>
                <w:color w:val="000000" w:themeColor="text1"/>
                <w:sz w:val="20"/>
                <w:szCs w:val="20"/>
              </w:rPr>
              <w:t>Off-track betting venues per 1,000 inhabitants</w:t>
            </w:r>
          </w:p>
        </w:tc>
        <w:tc>
          <w:tcPr>
            <w:tcW w:w="708" w:type="dxa"/>
          </w:tcPr>
          <w:p w14:paraId="562C5273"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lang w:val="fi-FI"/>
              </w:rPr>
              <w:t>315</w:t>
            </w:r>
          </w:p>
        </w:tc>
        <w:tc>
          <w:tcPr>
            <w:tcW w:w="1134" w:type="dxa"/>
            <w:tcBorders>
              <w:left w:val="nil"/>
            </w:tcBorders>
            <w:shd w:val="clear" w:color="auto" w:fill="auto"/>
          </w:tcPr>
          <w:p w14:paraId="7D63D679"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0.20</w:t>
            </w:r>
          </w:p>
        </w:tc>
        <w:tc>
          <w:tcPr>
            <w:tcW w:w="1418" w:type="dxa"/>
            <w:shd w:val="clear" w:color="auto" w:fill="auto"/>
          </w:tcPr>
          <w:p w14:paraId="7A27D1D8"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0.17</w:t>
            </w:r>
          </w:p>
        </w:tc>
        <w:tc>
          <w:tcPr>
            <w:tcW w:w="850" w:type="dxa"/>
            <w:shd w:val="clear" w:color="auto" w:fill="auto"/>
          </w:tcPr>
          <w:p w14:paraId="64AA4F44"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w:t>
            </w:r>
          </w:p>
        </w:tc>
        <w:tc>
          <w:tcPr>
            <w:tcW w:w="1133" w:type="dxa"/>
            <w:shd w:val="clear" w:color="auto" w:fill="auto"/>
          </w:tcPr>
          <w:p w14:paraId="74AFD105"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0.93</w:t>
            </w:r>
          </w:p>
        </w:tc>
      </w:tr>
      <w:tr w:rsidR="005D76DA" w:rsidRPr="0078472B" w14:paraId="268CA2CE"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right w:val="single" w:sz="4" w:space="0" w:color="auto"/>
            </w:tcBorders>
          </w:tcPr>
          <w:p w14:paraId="53F889BB" w14:textId="1C589F84" w:rsidR="005D76DA" w:rsidRPr="0078472B" w:rsidRDefault="005D76DA" w:rsidP="005D76DA">
            <w:pPr>
              <w:jc w:val="left"/>
              <w:rPr>
                <w:rFonts w:ascii="Times New Roman" w:hAnsi="Times New Roman" w:cs="Times New Roman"/>
                <w:i w:val="0"/>
                <w:iCs w:val="0"/>
                <w:color w:val="000000" w:themeColor="text1"/>
                <w:sz w:val="20"/>
                <w:szCs w:val="20"/>
              </w:rPr>
            </w:pPr>
            <w:r w:rsidRPr="0078472B">
              <w:rPr>
                <w:rFonts w:ascii="Times New Roman" w:hAnsi="Times New Roman" w:cs="Times New Roman"/>
                <w:i w:val="0"/>
                <w:iCs w:val="0"/>
                <w:color w:val="000000" w:themeColor="text1"/>
                <w:sz w:val="20"/>
                <w:szCs w:val="20"/>
              </w:rPr>
              <w:t>Distance to</w:t>
            </w:r>
            <w:r w:rsidR="000E3DC5" w:rsidRPr="0078472B">
              <w:rPr>
                <w:rFonts w:ascii="Times New Roman" w:hAnsi="Times New Roman" w:cs="Times New Roman"/>
                <w:i w:val="0"/>
                <w:iCs w:val="0"/>
                <w:color w:val="000000" w:themeColor="text1"/>
                <w:sz w:val="20"/>
                <w:szCs w:val="20"/>
              </w:rPr>
              <w:t xml:space="preserve"> the</w:t>
            </w:r>
            <w:r w:rsidRPr="0078472B">
              <w:rPr>
                <w:rFonts w:ascii="Times New Roman" w:hAnsi="Times New Roman" w:cs="Times New Roman"/>
                <w:i w:val="0"/>
                <w:iCs w:val="0"/>
                <w:color w:val="000000" w:themeColor="text1"/>
                <w:sz w:val="20"/>
                <w:szCs w:val="20"/>
              </w:rPr>
              <w:t xml:space="preserve"> closest racetrack (kilometr</w:t>
            </w:r>
            <w:r w:rsidR="00D81EFC" w:rsidRPr="0078472B">
              <w:rPr>
                <w:rFonts w:ascii="Times New Roman" w:hAnsi="Times New Roman" w:cs="Times New Roman"/>
                <w:i w:val="0"/>
                <w:iCs w:val="0"/>
                <w:color w:val="000000" w:themeColor="text1"/>
                <w:sz w:val="20"/>
                <w:szCs w:val="20"/>
              </w:rPr>
              <w:t>e</w:t>
            </w:r>
            <w:r w:rsidRPr="0078472B">
              <w:rPr>
                <w:rFonts w:ascii="Times New Roman" w:hAnsi="Times New Roman" w:cs="Times New Roman"/>
                <w:i w:val="0"/>
                <w:iCs w:val="0"/>
                <w:color w:val="000000" w:themeColor="text1"/>
                <w:sz w:val="20"/>
                <w:szCs w:val="20"/>
              </w:rPr>
              <w:t>s)</w:t>
            </w:r>
          </w:p>
        </w:tc>
        <w:tc>
          <w:tcPr>
            <w:tcW w:w="708" w:type="dxa"/>
          </w:tcPr>
          <w:p w14:paraId="00C8BBC8"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lang w:val="fi-FI"/>
              </w:rPr>
              <w:t>315</w:t>
            </w:r>
          </w:p>
        </w:tc>
        <w:tc>
          <w:tcPr>
            <w:tcW w:w="1134" w:type="dxa"/>
            <w:tcBorders>
              <w:left w:val="nil"/>
            </w:tcBorders>
            <w:shd w:val="clear" w:color="auto" w:fill="auto"/>
          </w:tcPr>
          <w:p w14:paraId="2FD889E6"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36.22</w:t>
            </w:r>
          </w:p>
        </w:tc>
        <w:tc>
          <w:tcPr>
            <w:tcW w:w="1418" w:type="dxa"/>
            <w:shd w:val="clear" w:color="auto" w:fill="auto"/>
          </w:tcPr>
          <w:p w14:paraId="212F16C6"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28.57</w:t>
            </w:r>
          </w:p>
        </w:tc>
        <w:tc>
          <w:tcPr>
            <w:tcW w:w="850" w:type="dxa"/>
            <w:shd w:val="clear" w:color="auto" w:fill="auto"/>
          </w:tcPr>
          <w:p w14:paraId="26895D38"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w:t>
            </w:r>
          </w:p>
        </w:tc>
        <w:tc>
          <w:tcPr>
            <w:tcW w:w="1133" w:type="dxa"/>
            <w:shd w:val="clear" w:color="auto" w:fill="auto"/>
          </w:tcPr>
          <w:p w14:paraId="7ECA00C6"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264.70</w:t>
            </w:r>
          </w:p>
        </w:tc>
      </w:tr>
      <w:tr w:rsidR="005D76DA" w:rsidRPr="0078472B" w14:paraId="5939901D"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bottom w:val="single" w:sz="4" w:space="0" w:color="FFFFFF" w:themeColor="background1"/>
              <w:right w:val="single" w:sz="4" w:space="0" w:color="auto"/>
            </w:tcBorders>
          </w:tcPr>
          <w:p w14:paraId="5BCB74DB" w14:textId="77777777" w:rsidR="005D76DA" w:rsidRPr="0078472B" w:rsidRDefault="005D76DA" w:rsidP="005D76DA">
            <w:pPr>
              <w:jc w:val="left"/>
              <w:rPr>
                <w:rFonts w:ascii="Times New Roman" w:hAnsi="Times New Roman" w:cs="Times New Roman"/>
                <w:b/>
                <w:i w:val="0"/>
                <w:iCs w:val="0"/>
                <w:color w:val="000000" w:themeColor="text1"/>
                <w:sz w:val="20"/>
                <w:szCs w:val="20"/>
              </w:rPr>
            </w:pPr>
          </w:p>
        </w:tc>
        <w:tc>
          <w:tcPr>
            <w:tcW w:w="708" w:type="dxa"/>
            <w:tcBorders>
              <w:top w:val="single" w:sz="4" w:space="0" w:color="auto"/>
            </w:tcBorders>
          </w:tcPr>
          <w:p w14:paraId="274EED72"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tc>
        <w:tc>
          <w:tcPr>
            <w:tcW w:w="4535" w:type="dxa"/>
            <w:gridSpan w:val="4"/>
            <w:tcBorders>
              <w:top w:val="single" w:sz="4" w:space="0" w:color="auto"/>
              <w:left w:val="nil"/>
            </w:tcBorders>
            <w:shd w:val="clear" w:color="auto" w:fill="auto"/>
          </w:tcPr>
          <w:p w14:paraId="19F7F9DF"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Online betting statistics</w:t>
            </w:r>
          </w:p>
        </w:tc>
      </w:tr>
      <w:tr w:rsidR="005D76DA" w:rsidRPr="0078472B" w14:paraId="0537C454"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FFFFFF" w:themeColor="background1"/>
              <w:bottom w:val="single" w:sz="4" w:space="0" w:color="auto"/>
              <w:right w:val="single" w:sz="4" w:space="0" w:color="auto"/>
            </w:tcBorders>
          </w:tcPr>
          <w:p w14:paraId="105A99E8" w14:textId="77777777" w:rsidR="005D76DA" w:rsidRPr="0078472B" w:rsidRDefault="005D76DA" w:rsidP="005D76DA">
            <w:pPr>
              <w:jc w:val="left"/>
              <w:rPr>
                <w:rFonts w:ascii="Times New Roman" w:hAnsi="Times New Roman" w:cs="Times New Roman"/>
                <w:i w:val="0"/>
                <w:iCs w:val="0"/>
                <w:color w:val="000000" w:themeColor="text1"/>
                <w:sz w:val="20"/>
                <w:szCs w:val="20"/>
              </w:rPr>
            </w:pPr>
          </w:p>
        </w:tc>
        <w:tc>
          <w:tcPr>
            <w:tcW w:w="708" w:type="dxa"/>
            <w:tcBorders>
              <w:top w:val="single" w:sz="4" w:space="0" w:color="auto"/>
              <w:bottom w:val="single" w:sz="4" w:space="0" w:color="auto"/>
            </w:tcBorders>
          </w:tcPr>
          <w:p w14:paraId="7ECF05EF"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78472B">
              <w:rPr>
                <w:rFonts w:ascii="Times New Roman" w:hAnsi="Times New Roman" w:cs="Times New Roman"/>
                <w:color w:val="000000" w:themeColor="text1"/>
                <w:sz w:val="20"/>
                <w:szCs w:val="20"/>
              </w:rPr>
              <w:t>Obs.</w:t>
            </w:r>
          </w:p>
        </w:tc>
        <w:tc>
          <w:tcPr>
            <w:tcW w:w="1134" w:type="dxa"/>
            <w:tcBorders>
              <w:top w:val="single" w:sz="4" w:space="0" w:color="auto"/>
              <w:left w:val="nil"/>
              <w:bottom w:val="single" w:sz="4" w:space="0" w:color="auto"/>
            </w:tcBorders>
            <w:shd w:val="clear" w:color="auto" w:fill="auto"/>
          </w:tcPr>
          <w:p w14:paraId="6723ABEA"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78472B">
              <w:rPr>
                <w:rFonts w:ascii="Times New Roman" w:hAnsi="Times New Roman" w:cs="Times New Roman"/>
                <w:color w:val="000000" w:themeColor="text1"/>
                <w:sz w:val="20"/>
                <w:szCs w:val="20"/>
              </w:rPr>
              <w:t>Mean</w:t>
            </w:r>
          </w:p>
        </w:tc>
        <w:tc>
          <w:tcPr>
            <w:tcW w:w="1418" w:type="dxa"/>
            <w:tcBorders>
              <w:top w:val="single" w:sz="4" w:space="0" w:color="auto"/>
              <w:bottom w:val="single" w:sz="4" w:space="0" w:color="auto"/>
            </w:tcBorders>
            <w:shd w:val="clear" w:color="auto" w:fill="auto"/>
          </w:tcPr>
          <w:p w14:paraId="5E872738"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78472B">
              <w:rPr>
                <w:rFonts w:ascii="Times New Roman" w:hAnsi="Times New Roman" w:cs="Times New Roman"/>
                <w:color w:val="000000" w:themeColor="text1"/>
                <w:sz w:val="20"/>
                <w:szCs w:val="20"/>
              </w:rPr>
              <w:t>S.D.</w:t>
            </w:r>
          </w:p>
        </w:tc>
        <w:tc>
          <w:tcPr>
            <w:tcW w:w="850" w:type="dxa"/>
            <w:tcBorders>
              <w:top w:val="single" w:sz="4" w:space="0" w:color="auto"/>
              <w:bottom w:val="single" w:sz="4" w:space="0" w:color="auto"/>
            </w:tcBorders>
            <w:shd w:val="clear" w:color="auto" w:fill="auto"/>
          </w:tcPr>
          <w:p w14:paraId="01F868D0"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78472B">
              <w:rPr>
                <w:rFonts w:ascii="Times New Roman" w:hAnsi="Times New Roman" w:cs="Times New Roman"/>
                <w:color w:val="000000" w:themeColor="text1"/>
                <w:sz w:val="20"/>
                <w:szCs w:val="20"/>
              </w:rPr>
              <w:t>Min.</w:t>
            </w:r>
          </w:p>
        </w:tc>
        <w:tc>
          <w:tcPr>
            <w:tcW w:w="1133" w:type="dxa"/>
            <w:tcBorders>
              <w:top w:val="single" w:sz="4" w:space="0" w:color="auto"/>
              <w:bottom w:val="single" w:sz="4" w:space="0" w:color="auto"/>
            </w:tcBorders>
            <w:shd w:val="clear" w:color="auto" w:fill="auto"/>
          </w:tcPr>
          <w:p w14:paraId="31D9A265"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78472B">
              <w:rPr>
                <w:rFonts w:ascii="Times New Roman" w:hAnsi="Times New Roman" w:cs="Times New Roman"/>
                <w:color w:val="000000" w:themeColor="text1"/>
                <w:sz w:val="20"/>
                <w:szCs w:val="20"/>
              </w:rPr>
              <w:t>Max.</w:t>
            </w:r>
          </w:p>
        </w:tc>
      </w:tr>
      <w:tr w:rsidR="005D76DA" w:rsidRPr="0078472B" w14:paraId="68BA09AA"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right w:val="single" w:sz="4" w:space="0" w:color="auto"/>
            </w:tcBorders>
          </w:tcPr>
          <w:p w14:paraId="47738782" w14:textId="77777777" w:rsidR="005D76DA" w:rsidRPr="0078472B" w:rsidRDefault="005D76DA" w:rsidP="005D76DA">
            <w:pPr>
              <w:jc w:val="left"/>
              <w:rPr>
                <w:rFonts w:ascii="Times New Roman" w:hAnsi="Times New Roman" w:cs="Times New Roman"/>
                <w:i w:val="0"/>
                <w:iCs w:val="0"/>
                <w:color w:val="000000" w:themeColor="text1"/>
                <w:sz w:val="20"/>
                <w:szCs w:val="20"/>
              </w:rPr>
            </w:pPr>
            <w:r w:rsidRPr="0078472B">
              <w:rPr>
                <w:rFonts w:ascii="Times New Roman" w:hAnsi="Times New Roman" w:cs="Times New Roman"/>
                <w:i w:val="0"/>
                <w:iCs w:val="0"/>
                <w:color w:val="000000" w:themeColor="text1"/>
                <w:sz w:val="20"/>
                <w:szCs w:val="20"/>
              </w:rPr>
              <w:t>Number of online bettors per 1,000 inhabitants</w:t>
            </w:r>
          </w:p>
        </w:tc>
        <w:tc>
          <w:tcPr>
            <w:tcW w:w="708" w:type="dxa"/>
            <w:tcBorders>
              <w:top w:val="single" w:sz="4" w:space="0" w:color="auto"/>
            </w:tcBorders>
          </w:tcPr>
          <w:p w14:paraId="36225A86"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lang w:val="fi-FI"/>
              </w:rPr>
              <w:t>315</w:t>
            </w:r>
          </w:p>
        </w:tc>
        <w:tc>
          <w:tcPr>
            <w:tcW w:w="1134" w:type="dxa"/>
            <w:tcBorders>
              <w:top w:val="single" w:sz="4" w:space="0" w:color="auto"/>
              <w:left w:val="nil"/>
            </w:tcBorders>
            <w:shd w:val="clear" w:color="auto" w:fill="auto"/>
          </w:tcPr>
          <w:p w14:paraId="5EF7876B"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4.80</w:t>
            </w:r>
          </w:p>
        </w:tc>
        <w:tc>
          <w:tcPr>
            <w:tcW w:w="1418" w:type="dxa"/>
            <w:tcBorders>
              <w:top w:val="single" w:sz="4" w:space="0" w:color="auto"/>
            </w:tcBorders>
            <w:shd w:val="clear" w:color="auto" w:fill="auto"/>
          </w:tcPr>
          <w:p w14:paraId="5912EB50"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3.25</w:t>
            </w:r>
          </w:p>
        </w:tc>
        <w:tc>
          <w:tcPr>
            <w:tcW w:w="850" w:type="dxa"/>
            <w:tcBorders>
              <w:top w:val="single" w:sz="4" w:space="0" w:color="auto"/>
            </w:tcBorders>
            <w:shd w:val="clear" w:color="auto" w:fill="auto"/>
          </w:tcPr>
          <w:p w14:paraId="45DA34ED"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w:t>
            </w:r>
          </w:p>
        </w:tc>
        <w:tc>
          <w:tcPr>
            <w:tcW w:w="1133" w:type="dxa"/>
            <w:tcBorders>
              <w:top w:val="single" w:sz="4" w:space="0" w:color="auto"/>
            </w:tcBorders>
            <w:shd w:val="clear" w:color="auto" w:fill="auto"/>
          </w:tcPr>
          <w:p w14:paraId="5F2D5245"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31.56</w:t>
            </w:r>
          </w:p>
        </w:tc>
      </w:tr>
      <w:tr w:rsidR="005D76DA" w:rsidRPr="0078472B" w14:paraId="37FBBC7E"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right w:val="single" w:sz="4" w:space="0" w:color="auto"/>
            </w:tcBorders>
          </w:tcPr>
          <w:p w14:paraId="4411AE7A" w14:textId="77777777" w:rsidR="005D76DA" w:rsidRPr="0078472B" w:rsidRDefault="005D76DA" w:rsidP="005D76DA">
            <w:pPr>
              <w:jc w:val="left"/>
              <w:rPr>
                <w:rFonts w:ascii="Times New Roman" w:hAnsi="Times New Roman" w:cs="Times New Roman"/>
                <w:i w:val="0"/>
                <w:iCs w:val="0"/>
                <w:color w:val="000000" w:themeColor="text1"/>
                <w:sz w:val="20"/>
                <w:szCs w:val="20"/>
              </w:rPr>
            </w:pPr>
            <w:r w:rsidRPr="0078472B">
              <w:rPr>
                <w:rFonts w:ascii="Times New Roman" w:hAnsi="Times New Roman" w:cs="Times New Roman"/>
                <w:i w:val="0"/>
                <w:iCs w:val="0"/>
                <w:color w:val="000000" w:themeColor="text1"/>
                <w:sz w:val="20"/>
                <w:szCs w:val="20"/>
              </w:rPr>
              <w:t>Betting volume (euros) per 1,000 inhabitants</w:t>
            </w:r>
          </w:p>
        </w:tc>
        <w:tc>
          <w:tcPr>
            <w:tcW w:w="708" w:type="dxa"/>
          </w:tcPr>
          <w:p w14:paraId="755F517D"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lang w:val="fi-FI"/>
              </w:rPr>
              <w:t>315</w:t>
            </w:r>
          </w:p>
        </w:tc>
        <w:tc>
          <w:tcPr>
            <w:tcW w:w="1134" w:type="dxa"/>
            <w:tcBorders>
              <w:left w:val="nil"/>
            </w:tcBorders>
            <w:shd w:val="clear" w:color="auto" w:fill="auto"/>
          </w:tcPr>
          <w:p w14:paraId="64C61A13"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1,318.99</w:t>
            </w:r>
          </w:p>
        </w:tc>
        <w:tc>
          <w:tcPr>
            <w:tcW w:w="1418" w:type="dxa"/>
            <w:shd w:val="clear" w:color="auto" w:fill="auto"/>
          </w:tcPr>
          <w:p w14:paraId="1EE339E0"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1,483.15</w:t>
            </w:r>
          </w:p>
        </w:tc>
        <w:tc>
          <w:tcPr>
            <w:tcW w:w="850" w:type="dxa"/>
            <w:shd w:val="clear" w:color="auto" w:fill="auto"/>
          </w:tcPr>
          <w:p w14:paraId="0E2FFA3B"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w:t>
            </w:r>
          </w:p>
        </w:tc>
        <w:tc>
          <w:tcPr>
            <w:tcW w:w="1133" w:type="dxa"/>
            <w:shd w:val="clear" w:color="auto" w:fill="auto"/>
          </w:tcPr>
          <w:p w14:paraId="619F5138"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bCs/>
                <w:color w:val="000000" w:themeColor="text1"/>
                <w:sz w:val="20"/>
                <w:szCs w:val="20"/>
              </w:rPr>
              <w:t>14,326.43</w:t>
            </w:r>
          </w:p>
        </w:tc>
      </w:tr>
      <w:tr w:rsidR="005D76DA" w:rsidRPr="0078472B" w14:paraId="772D4F4E"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auto"/>
              <w:bottom w:val="single" w:sz="4" w:space="0" w:color="FFFFFF" w:themeColor="background1"/>
              <w:right w:val="single" w:sz="4" w:space="0" w:color="auto"/>
            </w:tcBorders>
          </w:tcPr>
          <w:p w14:paraId="4F7AFDDF" w14:textId="77777777" w:rsidR="005D76DA" w:rsidRPr="0078472B" w:rsidRDefault="005D76DA" w:rsidP="005D76DA">
            <w:pPr>
              <w:jc w:val="left"/>
              <w:rPr>
                <w:rFonts w:ascii="Times New Roman" w:hAnsi="Times New Roman" w:cs="Times New Roman"/>
                <w:i w:val="0"/>
                <w:iCs w:val="0"/>
                <w:color w:val="000000" w:themeColor="text1"/>
                <w:sz w:val="20"/>
                <w:szCs w:val="20"/>
              </w:rPr>
            </w:pPr>
          </w:p>
        </w:tc>
        <w:tc>
          <w:tcPr>
            <w:tcW w:w="708" w:type="dxa"/>
            <w:tcBorders>
              <w:top w:val="single" w:sz="4" w:space="0" w:color="auto"/>
            </w:tcBorders>
          </w:tcPr>
          <w:p w14:paraId="3C6A3485"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tc>
        <w:tc>
          <w:tcPr>
            <w:tcW w:w="4535" w:type="dxa"/>
            <w:gridSpan w:val="4"/>
            <w:tcBorders>
              <w:top w:val="single" w:sz="4" w:space="0" w:color="auto"/>
              <w:left w:val="nil"/>
            </w:tcBorders>
            <w:shd w:val="clear" w:color="auto" w:fill="auto"/>
          </w:tcPr>
          <w:p w14:paraId="516DAA5B"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Equine statistics</w:t>
            </w:r>
          </w:p>
        </w:tc>
      </w:tr>
      <w:tr w:rsidR="005D76DA" w:rsidRPr="0078472B" w14:paraId="4D24EB3B"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FFFFFF" w:themeColor="background1"/>
              <w:bottom w:val="single" w:sz="4" w:space="0" w:color="auto"/>
              <w:right w:val="single" w:sz="4" w:space="0" w:color="auto"/>
            </w:tcBorders>
          </w:tcPr>
          <w:p w14:paraId="204852E8" w14:textId="77777777" w:rsidR="005D76DA" w:rsidRPr="0078472B" w:rsidRDefault="005D76DA" w:rsidP="005D76DA">
            <w:pPr>
              <w:jc w:val="left"/>
              <w:rPr>
                <w:rFonts w:ascii="Times New Roman" w:hAnsi="Times New Roman" w:cs="Times New Roman"/>
                <w:i w:val="0"/>
                <w:iCs w:val="0"/>
                <w:color w:val="000000" w:themeColor="text1"/>
                <w:sz w:val="20"/>
                <w:szCs w:val="20"/>
              </w:rPr>
            </w:pPr>
          </w:p>
        </w:tc>
        <w:tc>
          <w:tcPr>
            <w:tcW w:w="708" w:type="dxa"/>
            <w:tcBorders>
              <w:top w:val="single" w:sz="4" w:space="0" w:color="auto"/>
              <w:bottom w:val="single" w:sz="4" w:space="0" w:color="auto"/>
            </w:tcBorders>
          </w:tcPr>
          <w:p w14:paraId="11A15398"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78472B">
              <w:rPr>
                <w:rFonts w:ascii="Times New Roman" w:hAnsi="Times New Roman" w:cs="Times New Roman"/>
                <w:color w:val="000000" w:themeColor="text1"/>
                <w:sz w:val="20"/>
                <w:szCs w:val="20"/>
              </w:rPr>
              <w:t>Obs.</w:t>
            </w:r>
          </w:p>
        </w:tc>
        <w:tc>
          <w:tcPr>
            <w:tcW w:w="1134" w:type="dxa"/>
            <w:tcBorders>
              <w:top w:val="single" w:sz="4" w:space="0" w:color="auto"/>
              <w:left w:val="nil"/>
              <w:bottom w:val="single" w:sz="4" w:space="0" w:color="auto"/>
            </w:tcBorders>
            <w:shd w:val="clear" w:color="auto" w:fill="auto"/>
          </w:tcPr>
          <w:p w14:paraId="7510A25E"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78472B">
              <w:rPr>
                <w:rFonts w:ascii="Times New Roman" w:hAnsi="Times New Roman" w:cs="Times New Roman"/>
                <w:color w:val="000000" w:themeColor="text1"/>
                <w:sz w:val="20"/>
                <w:szCs w:val="20"/>
              </w:rPr>
              <w:t>Mean</w:t>
            </w:r>
          </w:p>
        </w:tc>
        <w:tc>
          <w:tcPr>
            <w:tcW w:w="1418" w:type="dxa"/>
            <w:tcBorders>
              <w:top w:val="single" w:sz="4" w:space="0" w:color="auto"/>
              <w:bottom w:val="single" w:sz="4" w:space="0" w:color="auto"/>
            </w:tcBorders>
            <w:shd w:val="clear" w:color="auto" w:fill="auto"/>
          </w:tcPr>
          <w:p w14:paraId="1A31DA2D"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78472B">
              <w:rPr>
                <w:rFonts w:ascii="Times New Roman" w:hAnsi="Times New Roman" w:cs="Times New Roman"/>
                <w:color w:val="000000" w:themeColor="text1"/>
                <w:sz w:val="20"/>
                <w:szCs w:val="20"/>
              </w:rPr>
              <w:t>S.D.</w:t>
            </w:r>
          </w:p>
        </w:tc>
        <w:tc>
          <w:tcPr>
            <w:tcW w:w="850" w:type="dxa"/>
            <w:tcBorders>
              <w:top w:val="single" w:sz="4" w:space="0" w:color="auto"/>
              <w:bottom w:val="single" w:sz="4" w:space="0" w:color="auto"/>
            </w:tcBorders>
            <w:shd w:val="clear" w:color="auto" w:fill="auto"/>
          </w:tcPr>
          <w:p w14:paraId="058BA4BA"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78472B">
              <w:rPr>
                <w:rFonts w:ascii="Times New Roman" w:hAnsi="Times New Roman" w:cs="Times New Roman"/>
                <w:color w:val="000000" w:themeColor="text1"/>
                <w:sz w:val="20"/>
                <w:szCs w:val="20"/>
              </w:rPr>
              <w:t>Min.</w:t>
            </w:r>
          </w:p>
        </w:tc>
        <w:tc>
          <w:tcPr>
            <w:tcW w:w="1133" w:type="dxa"/>
            <w:tcBorders>
              <w:top w:val="single" w:sz="4" w:space="0" w:color="auto"/>
              <w:bottom w:val="single" w:sz="4" w:space="0" w:color="auto"/>
            </w:tcBorders>
            <w:shd w:val="clear" w:color="auto" w:fill="auto"/>
          </w:tcPr>
          <w:p w14:paraId="593B25C5"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szCs w:val="20"/>
              </w:rPr>
            </w:pPr>
            <w:r w:rsidRPr="0078472B">
              <w:rPr>
                <w:rFonts w:ascii="Times New Roman" w:hAnsi="Times New Roman" w:cs="Times New Roman"/>
                <w:color w:val="000000" w:themeColor="text1"/>
                <w:sz w:val="20"/>
                <w:szCs w:val="20"/>
              </w:rPr>
              <w:t>Max.</w:t>
            </w:r>
          </w:p>
        </w:tc>
      </w:tr>
      <w:tr w:rsidR="005D76DA" w:rsidRPr="0078472B" w14:paraId="5E313068"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right w:val="single" w:sz="4" w:space="0" w:color="auto"/>
            </w:tcBorders>
          </w:tcPr>
          <w:p w14:paraId="1C610928" w14:textId="77777777" w:rsidR="005D76DA" w:rsidRPr="0078472B" w:rsidRDefault="005D76DA" w:rsidP="005D76DA">
            <w:pPr>
              <w:jc w:val="left"/>
              <w:rPr>
                <w:rFonts w:ascii="Times New Roman" w:hAnsi="Times New Roman" w:cs="Times New Roman"/>
                <w:i w:val="0"/>
                <w:iCs w:val="0"/>
                <w:color w:val="000000" w:themeColor="text1"/>
                <w:sz w:val="20"/>
                <w:szCs w:val="20"/>
              </w:rPr>
            </w:pPr>
            <w:r w:rsidRPr="0078472B">
              <w:rPr>
                <w:rFonts w:ascii="Times New Roman" w:hAnsi="Times New Roman" w:cs="Times New Roman"/>
                <w:i w:val="0"/>
                <w:iCs w:val="0"/>
                <w:color w:val="000000" w:themeColor="text1"/>
                <w:sz w:val="20"/>
                <w:szCs w:val="20"/>
              </w:rPr>
              <w:t>Number of warmblood horses per 1,000 inhabitants</w:t>
            </w:r>
          </w:p>
        </w:tc>
        <w:tc>
          <w:tcPr>
            <w:tcW w:w="708" w:type="dxa"/>
          </w:tcPr>
          <w:p w14:paraId="51A90B63"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lang w:val="fi-FI"/>
              </w:rPr>
              <w:t>315</w:t>
            </w:r>
          </w:p>
        </w:tc>
        <w:tc>
          <w:tcPr>
            <w:tcW w:w="1134" w:type="dxa"/>
            <w:tcBorders>
              <w:left w:val="nil"/>
            </w:tcBorders>
            <w:shd w:val="clear" w:color="auto" w:fill="auto"/>
          </w:tcPr>
          <w:p w14:paraId="5D26B638"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11.15</w:t>
            </w:r>
          </w:p>
        </w:tc>
        <w:tc>
          <w:tcPr>
            <w:tcW w:w="1418" w:type="dxa"/>
            <w:shd w:val="clear" w:color="auto" w:fill="auto"/>
          </w:tcPr>
          <w:p w14:paraId="312979B5"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10.50</w:t>
            </w:r>
          </w:p>
        </w:tc>
        <w:tc>
          <w:tcPr>
            <w:tcW w:w="850" w:type="dxa"/>
            <w:shd w:val="clear" w:color="auto" w:fill="auto"/>
          </w:tcPr>
          <w:p w14:paraId="1F2ED5CB"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w:t>
            </w:r>
          </w:p>
        </w:tc>
        <w:tc>
          <w:tcPr>
            <w:tcW w:w="1133" w:type="dxa"/>
            <w:shd w:val="clear" w:color="auto" w:fill="auto"/>
          </w:tcPr>
          <w:p w14:paraId="62CC99B2"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90.73</w:t>
            </w:r>
          </w:p>
        </w:tc>
      </w:tr>
      <w:tr w:rsidR="005D76DA" w:rsidRPr="0078472B" w14:paraId="7309B388"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right w:val="single" w:sz="4" w:space="0" w:color="auto"/>
            </w:tcBorders>
          </w:tcPr>
          <w:p w14:paraId="201AF175" w14:textId="77777777" w:rsidR="005D76DA" w:rsidRPr="0078472B" w:rsidRDefault="005D76DA" w:rsidP="005D76DA">
            <w:pPr>
              <w:jc w:val="left"/>
              <w:rPr>
                <w:rFonts w:ascii="Times New Roman" w:hAnsi="Times New Roman" w:cs="Times New Roman"/>
                <w:i w:val="0"/>
                <w:iCs w:val="0"/>
                <w:color w:val="000000" w:themeColor="text1"/>
                <w:sz w:val="20"/>
                <w:szCs w:val="20"/>
              </w:rPr>
            </w:pPr>
            <w:r w:rsidRPr="0078472B">
              <w:rPr>
                <w:rFonts w:ascii="Times New Roman" w:hAnsi="Times New Roman" w:cs="Times New Roman"/>
                <w:i w:val="0"/>
                <w:iCs w:val="0"/>
                <w:color w:val="000000" w:themeColor="text1"/>
                <w:sz w:val="20"/>
                <w:szCs w:val="20"/>
              </w:rPr>
              <w:t>Number of riding horses per 1,000 inhabitants</w:t>
            </w:r>
          </w:p>
        </w:tc>
        <w:tc>
          <w:tcPr>
            <w:tcW w:w="708" w:type="dxa"/>
          </w:tcPr>
          <w:p w14:paraId="44ADC9A7"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lang w:val="fi-FI"/>
              </w:rPr>
              <w:t>315</w:t>
            </w:r>
          </w:p>
        </w:tc>
        <w:tc>
          <w:tcPr>
            <w:tcW w:w="1134" w:type="dxa"/>
            <w:tcBorders>
              <w:left w:val="nil"/>
            </w:tcBorders>
            <w:shd w:val="clear" w:color="auto" w:fill="auto"/>
          </w:tcPr>
          <w:p w14:paraId="5A1DF5B1"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3.49</w:t>
            </w:r>
          </w:p>
        </w:tc>
        <w:tc>
          <w:tcPr>
            <w:tcW w:w="1418" w:type="dxa"/>
            <w:shd w:val="clear" w:color="auto" w:fill="auto"/>
          </w:tcPr>
          <w:p w14:paraId="4A6761F7"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5.91</w:t>
            </w:r>
          </w:p>
        </w:tc>
        <w:tc>
          <w:tcPr>
            <w:tcW w:w="850" w:type="dxa"/>
            <w:shd w:val="clear" w:color="auto" w:fill="auto"/>
          </w:tcPr>
          <w:p w14:paraId="7B261253"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w:t>
            </w:r>
          </w:p>
        </w:tc>
        <w:tc>
          <w:tcPr>
            <w:tcW w:w="1133" w:type="dxa"/>
            <w:shd w:val="clear" w:color="auto" w:fill="auto"/>
          </w:tcPr>
          <w:p w14:paraId="7E99F2EF"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93.17</w:t>
            </w:r>
          </w:p>
        </w:tc>
      </w:tr>
      <w:tr w:rsidR="005D76DA" w:rsidRPr="0078472B" w14:paraId="64E7C522" w14:textId="77777777" w:rsidTr="005D76DA">
        <w:tc>
          <w:tcPr>
            <w:cnfStyle w:val="001000000000" w:firstRow="0" w:lastRow="0" w:firstColumn="1" w:lastColumn="0" w:oddVBand="0" w:evenVBand="0" w:oddHBand="0" w:evenHBand="0" w:firstRowFirstColumn="0" w:firstRowLastColumn="0" w:lastRowFirstColumn="0" w:lastRowLastColumn="0"/>
            <w:tcW w:w="4395" w:type="dxa"/>
            <w:tcBorders>
              <w:bottom w:val="single" w:sz="4" w:space="0" w:color="auto"/>
              <w:right w:val="single" w:sz="4" w:space="0" w:color="auto"/>
            </w:tcBorders>
          </w:tcPr>
          <w:p w14:paraId="56395A39" w14:textId="77777777" w:rsidR="005D76DA" w:rsidRPr="0078472B" w:rsidRDefault="005D76DA" w:rsidP="005D76DA">
            <w:pPr>
              <w:jc w:val="left"/>
              <w:rPr>
                <w:rFonts w:ascii="Times New Roman" w:hAnsi="Times New Roman" w:cs="Times New Roman"/>
                <w:b/>
                <w:bCs/>
                <w:i w:val="0"/>
                <w:iCs w:val="0"/>
                <w:color w:val="000000" w:themeColor="text1"/>
                <w:sz w:val="20"/>
                <w:szCs w:val="20"/>
              </w:rPr>
            </w:pPr>
            <w:r w:rsidRPr="0078472B">
              <w:rPr>
                <w:rFonts w:ascii="Times New Roman" w:hAnsi="Times New Roman" w:cs="Times New Roman"/>
                <w:i w:val="0"/>
                <w:iCs w:val="0"/>
                <w:color w:val="000000" w:themeColor="text1"/>
                <w:sz w:val="20"/>
                <w:szCs w:val="20"/>
              </w:rPr>
              <w:t>Number of horse owners per 1,000 inhabitants</w:t>
            </w:r>
          </w:p>
        </w:tc>
        <w:tc>
          <w:tcPr>
            <w:tcW w:w="708" w:type="dxa"/>
            <w:tcBorders>
              <w:bottom w:val="single" w:sz="4" w:space="0" w:color="auto"/>
            </w:tcBorders>
          </w:tcPr>
          <w:p w14:paraId="7147133F"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lang w:val="fi-FI"/>
              </w:rPr>
              <w:t>315</w:t>
            </w:r>
          </w:p>
        </w:tc>
        <w:tc>
          <w:tcPr>
            <w:tcW w:w="1134" w:type="dxa"/>
            <w:tcBorders>
              <w:left w:val="nil"/>
              <w:bottom w:val="single" w:sz="4" w:space="0" w:color="auto"/>
            </w:tcBorders>
            <w:shd w:val="clear" w:color="auto" w:fill="auto"/>
          </w:tcPr>
          <w:p w14:paraId="4EBA5039"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18.13</w:t>
            </w:r>
          </w:p>
        </w:tc>
        <w:tc>
          <w:tcPr>
            <w:tcW w:w="1418" w:type="dxa"/>
            <w:tcBorders>
              <w:bottom w:val="single" w:sz="4" w:space="0" w:color="auto"/>
            </w:tcBorders>
            <w:shd w:val="clear" w:color="auto" w:fill="auto"/>
          </w:tcPr>
          <w:p w14:paraId="5CA469C1"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11.12</w:t>
            </w:r>
          </w:p>
        </w:tc>
        <w:tc>
          <w:tcPr>
            <w:tcW w:w="850" w:type="dxa"/>
            <w:tcBorders>
              <w:bottom w:val="single" w:sz="4" w:space="0" w:color="auto"/>
            </w:tcBorders>
            <w:shd w:val="clear" w:color="auto" w:fill="auto"/>
          </w:tcPr>
          <w:p w14:paraId="2A7A0328"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0</w:t>
            </w:r>
          </w:p>
        </w:tc>
        <w:tc>
          <w:tcPr>
            <w:tcW w:w="1133" w:type="dxa"/>
            <w:tcBorders>
              <w:bottom w:val="single" w:sz="4" w:space="0" w:color="auto"/>
            </w:tcBorders>
            <w:shd w:val="clear" w:color="auto" w:fill="auto"/>
          </w:tcPr>
          <w:p w14:paraId="25D7DA8B" w14:textId="77777777" w:rsidR="005D76DA" w:rsidRPr="0078472B" w:rsidRDefault="005D76DA" w:rsidP="005D76D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r w:rsidRPr="0078472B">
              <w:rPr>
                <w:rFonts w:ascii="Times New Roman" w:hAnsi="Times New Roman" w:cs="Times New Roman"/>
                <w:color w:val="000000" w:themeColor="text1"/>
                <w:sz w:val="20"/>
                <w:szCs w:val="20"/>
              </w:rPr>
              <w:t>124.39</w:t>
            </w:r>
          </w:p>
        </w:tc>
      </w:tr>
      <w:tr w:rsidR="005D76DA" w:rsidRPr="0078472B" w14:paraId="70D50815" w14:textId="77777777" w:rsidTr="005D76DA">
        <w:tc>
          <w:tcPr>
            <w:cnfStyle w:val="001000000000" w:firstRow="0" w:lastRow="0" w:firstColumn="1" w:lastColumn="0" w:oddVBand="0" w:evenVBand="0" w:oddHBand="0" w:evenHBand="0" w:firstRowFirstColumn="0" w:firstRowLastColumn="0" w:lastRowFirstColumn="0" w:lastRowLastColumn="0"/>
            <w:tcW w:w="9638" w:type="dxa"/>
            <w:gridSpan w:val="6"/>
            <w:tcBorders>
              <w:top w:val="single" w:sz="4" w:space="0" w:color="auto"/>
              <w:bottom w:val="single" w:sz="4" w:space="0" w:color="auto"/>
              <w:right w:val="none" w:sz="0" w:space="0" w:color="auto"/>
            </w:tcBorders>
          </w:tcPr>
          <w:p w14:paraId="2A82A3DC" w14:textId="77777777" w:rsidR="005D76DA" w:rsidRPr="002F5148" w:rsidRDefault="005D76DA" w:rsidP="005D76DA">
            <w:pPr>
              <w:jc w:val="left"/>
              <w:rPr>
                <w:rFonts w:ascii="Times New Roman" w:hAnsi="Times New Roman" w:cs="Times New Roman"/>
                <w:color w:val="000000" w:themeColor="text1"/>
                <w:sz w:val="20"/>
                <w:szCs w:val="20"/>
              </w:rPr>
            </w:pPr>
            <w:r w:rsidRPr="002F5148">
              <w:rPr>
                <w:rFonts w:ascii="Times New Roman" w:hAnsi="Times New Roman" w:cs="Times New Roman"/>
                <w:color w:val="000000" w:themeColor="text1"/>
                <w:sz w:val="20"/>
                <w:szCs w:val="20"/>
              </w:rPr>
              <w:t xml:space="preserve">Notes: Socio-demographic, betting environment and online betting statistics from 2012. Equine statistics from 2013. </w:t>
            </w:r>
            <w:r w:rsidRPr="002F5148">
              <w:rPr>
                <w:rFonts w:ascii="Times New Roman" w:hAnsi="Times New Roman" w:cs="Times New Roman"/>
                <w:color w:val="000000" w:themeColor="text1"/>
                <w:sz w:val="24"/>
                <w:szCs w:val="24"/>
              </w:rPr>
              <w:t xml:space="preserve"> </w:t>
            </w:r>
            <w:r w:rsidRPr="002F5148">
              <w:rPr>
                <w:rFonts w:ascii="Times New Roman" w:hAnsi="Times New Roman" w:cs="Times New Roman"/>
                <w:color w:val="000000" w:themeColor="text1"/>
                <w:sz w:val="20"/>
                <w:szCs w:val="20"/>
              </w:rPr>
              <w:t>There were five missing values in the municipality data and two missing in the equine data.</w:t>
            </w:r>
          </w:p>
        </w:tc>
      </w:tr>
    </w:tbl>
    <w:p w14:paraId="7F0FA092" w14:textId="77777777" w:rsidR="001A07BA" w:rsidRPr="0078472B" w:rsidRDefault="001A07BA" w:rsidP="001A07BA">
      <w:pPr>
        <w:spacing w:after="0" w:line="240" w:lineRule="auto"/>
        <w:jc w:val="both"/>
        <w:rPr>
          <w:rFonts w:ascii="Times New Roman" w:eastAsia="Calibri" w:hAnsi="Times New Roman" w:cs="Times New Roman"/>
          <w:b/>
          <w:color w:val="000000" w:themeColor="text1"/>
          <w:sz w:val="24"/>
          <w:szCs w:val="24"/>
          <w:lang w:val="en-US"/>
        </w:rPr>
      </w:pPr>
    </w:p>
    <w:p w14:paraId="48018F59" w14:textId="6552CEDD" w:rsidR="001A07BA" w:rsidRDefault="001A07BA" w:rsidP="001A07BA">
      <w:pPr>
        <w:spacing w:after="0" w:line="240" w:lineRule="auto"/>
        <w:jc w:val="both"/>
        <w:rPr>
          <w:rFonts w:ascii="Times New Roman" w:eastAsia="Calibri" w:hAnsi="Times New Roman" w:cs="Times New Roman"/>
          <w:b/>
          <w:color w:val="000000" w:themeColor="text1"/>
          <w:sz w:val="24"/>
          <w:szCs w:val="24"/>
        </w:rPr>
      </w:pPr>
    </w:p>
    <w:p w14:paraId="34D6EA99" w14:textId="33F2C227" w:rsidR="004070DC" w:rsidRDefault="004070DC" w:rsidP="001A07BA">
      <w:pPr>
        <w:spacing w:after="0" w:line="240" w:lineRule="auto"/>
        <w:jc w:val="both"/>
        <w:rPr>
          <w:rFonts w:ascii="Times New Roman" w:eastAsia="Calibri" w:hAnsi="Times New Roman" w:cs="Times New Roman"/>
          <w:b/>
          <w:color w:val="000000" w:themeColor="text1"/>
          <w:sz w:val="24"/>
          <w:szCs w:val="24"/>
        </w:rPr>
      </w:pPr>
    </w:p>
    <w:p w14:paraId="030F3274" w14:textId="790F4F46" w:rsidR="004070DC" w:rsidRDefault="004070DC" w:rsidP="001A07BA">
      <w:pPr>
        <w:spacing w:after="0" w:line="240" w:lineRule="auto"/>
        <w:jc w:val="both"/>
        <w:rPr>
          <w:rFonts w:ascii="Times New Roman" w:eastAsia="Calibri" w:hAnsi="Times New Roman" w:cs="Times New Roman"/>
          <w:b/>
          <w:color w:val="000000" w:themeColor="text1"/>
          <w:sz w:val="24"/>
          <w:szCs w:val="24"/>
        </w:rPr>
      </w:pPr>
    </w:p>
    <w:p w14:paraId="5B61270B" w14:textId="3923B015" w:rsidR="004070DC" w:rsidRDefault="004070DC" w:rsidP="001A07BA">
      <w:pPr>
        <w:spacing w:after="0" w:line="240" w:lineRule="auto"/>
        <w:jc w:val="both"/>
        <w:rPr>
          <w:rFonts w:ascii="Times New Roman" w:eastAsia="Calibri" w:hAnsi="Times New Roman" w:cs="Times New Roman"/>
          <w:b/>
          <w:color w:val="000000" w:themeColor="text1"/>
          <w:sz w:val="24"/>
          <w:szCs w:val="24"/>
        </w:rPr>
      </w:pPr>
    </w:p>
    <w:p w14:paraId="2926DC5D" w14:textId="52E0A13E" w:rsidR="004070DC" w:rsidRDefault="004070DC" w:rsidP="001A07BA">
      <w:pPr>
        <w:spacing w:after="0" w:line="240" w:lineRule="auto"/>
        <w:jc w:val="both"/>
        <w:rPr>
          <w:rFonts w:ascii="Times New Roman" w:eastAsia="Calibri" w:hAnsi="Times New Roman" w:cs="Times New Roman"/>
          <w:b/>
          <w:color w:val="000000" w:themeColor="text1"/>
          <w:sz w:val="24"/>
          <w:szCs w:val="24"/>
        </w:rPr>
      </w:pPr>
    </w:p>
    <w:p w14:paraId="0E96AFFA" w14:textId="45E9C53D" w:rsidR="004070DC" w:rsidRDefault="004070DC" w:rsidP="001A07BA">
      <w:pPr>
        <w:spacing w:after="0" w:line="240" w:lineRule="auto"/>
        <w:jc w:val="both"/>
        <w:rPr>
          <w:rFonts w:ascii="Times New Roman" w:eastAsia="Calibri" w:hAnsi="Times New Roman" w:cs="Times New Roman"/>
          <w:b/>
          <w:color w:val="000000" w:themeColor="text1"/>
          <w:sz w:val="24"/>
          <w:szCs w:val="24"/>
        </w:rPr>
      </w:pPr>
    </w:p>
    <w:p w14:paraId="34409093" w14:textId="2BF721F5" w:rsidR="004070DC" w:rsidRDefault="004070DC" w:rsidP="001A07BA">
      <w:pPr>
        <w:spacing w:after="0" w:line="240" w:lineRule="auto"/>
        <w:jc w:val="both"/>
        <w:rPr>
          <w:rFonts w:ascii="Times New Roman" w:eastAsia="Calibri" w:hAnsi="Times New Roman" w:cs="Times New Roman"/>
          <w:b/>
          <w:color w:val="000000" w:themeColor="text1"/>
          <w:sz w:val="24"/>
          <w:szCs w:val="24"/>
        </w:rPr>
      </w:pPr>
    </w:p>
    <w:p w14:paraId="42DE8394" w14:textId="6D6A9ADB" w:rsidR="004070DC" w:rsidRDefault="004070DC" w:rsidP="001A07BA">
      <w:pPr>
        <w:spacing w:after="0" w:line="240" w:lineRule="auto"/>
        <w:jc w:val="both"/>
        <w:rPr>
          <w:rFonts w:ascii="Times New Roman" w:eastAsia="Calibri" w:hAnsi="Times New Roman" w:cs="Times New Roman"/>
          <w:b/>
          <w:color w:val="000000" w:themeColor="text1"/>
          <w:sz w:val="24"/>
          <w:szCs w:val="24"/>
        </w:rPr>
      </w:pPr>
    </w:p>
    <w:p w14:paraId="2DC3B873" w14:textId="4887D50A" w:rsidR="004070DC" w:rsidRDefault="004070DC" w:rsidP="001A07BA">
      <w:pPr>
        <w:spacing w:after="0" w:line="240" w:lineRule="auto"/>
        <w:jc w:val="both"/>
        <w:rPr>
          <w:rFonts w:ascii="Times New Roman" w:eastAsia="Calibri" w:hAnsi="Times New Roman" w:cs="Times New Roman"/>
          <w:b/>
          <w:color w:val="000000" w:themeColor="text1"/>
          <w:sz w:val="24"/>
          <w:szCs w:val="24"/>
        </w:rPr>
      </w:pPr>
    </w:p>
    <w:p w14:paraId="1E04C27E" w14:textId="37A617CB" w:rsidR="004070DC" w:rsidRDefault="004070DC" w:rsidP="001A07BA">
      <w:pPr>
        <w:spacing w:after="0" w:line="240" w:lineRule="auto"/>
        <w:jc w:val="both"/>
        <w:rPr>
          <w:rFonts w:ascii="Times New Roman" w:eastAsia="Calibri" w:hAnsi="Times New Roman" w:cs="Times New Roman"/>
          <w:b/>
          <w:color w:val="000000" w:themeColor="text1"/>
          <w:sz w:val="24"/>
          <w:szCs w:val="24"/>
        </w:rPr>
      </w:pPr>
    </w:p>
    <w:p w14:paraId="79EB8D2D" w14:textId="7EF3440C" w:rsidR="004070DC" w:rsidRDefault="004070DC" w:rsidP="001A07BA">
      <w:pPr>
        <w:spacing w:after="0" w:line="240" w:lineRule="auto"/>
        <w:jc w:val="both"/>
        <w:rPr>
          <w:rFonts w:ascii="Times New Roman" w:eastAsia="Calibri" w:hAnsi="Times New Roman" w:cs="Times New Roman"/>
          <w:b/>
          <w:color w:val="000000" w:themeColor="text1"/>
          <w:sz w:val="24"/>
          <w:szCs w:val="24"/>
        </w:rPr>
      </w:pPr>
    </w:p>
    <w:p w14:paraId="55867C37" w14:textId="23582D90" w:rsidR="00156AD7" w:rsidRDefault="00156AD7" w:rsidP="001A07BA">
      <w:pPr>
        <w:spacing w:after="0" w:line="240" w:lineRule="auto"/>
        <w:jc w:val="both"/>
        <w:rPr>
          <w:rFonts w:ascii="Times New Roman" w:eastAsia="Calibri" w:hAnsi="Times New Roman" w:cs="Times New Roman"/>
          <w:b/>
          <w:color w:val="000000" w:themeColor="text1"/>
          <w:sz w:val="24"/>
          <w:szCs w:val="24"/>
        </w:rPr>
      </w:pPr>
    </w:p>
    <w:p w14:paraId="08D8B027" w14:textId="7BEA7C8A" w:rsidR="00156AD7" w:rsidRDefault="00156AD7" w:rsidP="001A07BA">
      <w:pPr>
        <w:spacing w:after="0" w:line="240" w:lineRule="auto"/>
        <w:jc w:val="both"/>
        <w:rPr>
          <w:rFonts w:ascii="Times New Roman" w:eastAsia="Calibri" w:hAnsi="Times New Roman" w:cs="Times New Roman"/>
          <w:b/>
          <w:color w:val="000000" w:themeColor="text1"/>
          <w:sz w:val="24"/>
          <w:szCs w:val="24"/>
        </w:rPr>
      </w:pPr>
    </w:p>
    <w:p w14:paraId="6DB8B90F" w14:textId="62A06943" w:rsidR="00156AD7" w:rsidRDefault="00156AD7" w:rsidP="001A07BA">
      <w:pPr>
        <w:spacing w:after="0" w:line="240" w:lineRule="auto"/>
        <w:jc w:val="both"/>
        <w:rPr>
          <w:rFonts w:ascii="Times New Roman" w:eastAsia="Calibri" w:hAnsi="Times New Roman" w:cs="Times New Roman"/>
          <w:b/>
          <w:color w:val="000000" w:themeColor="text1"/>
          <w:sz w:val="24"/>
          <w:szCs w:val="24"/>
        </w:rPr>
      </w:pPr>
    </w:p>
    <w:p w14:paraId="3EF31013" w14:textId="0DBC6F7D" w:rsidR="00156AD7" w:rsidRDefault="00156AD7" w:rsidP="001A07BA">
      <w:pPr>
        <w:spacing w:after="0" w:line="240" w:lineRule="auto"/>
        <w:jc w:val="both"/>
        <w:rPr>
          <w:rFonts w:ascii="Times New Roman" w:eastAsia="Calibri" w:hAnsi="Times New Roman" w:cs="Times New Roman"/>
          <w:b/>
          <w:color w:val="000000" w:themeColor="text1"/>
          <w:sz w:val="24"/>
          <w:szCs w:val="24"/>
        </w:rPr>
      </w:pPr>
    </w:p>
    <w:p w14:paraId="110DC5EF" w14:textId="586F2C27" w:rsidR="00156AD7" w:rsidRDefault="00156AD7" w:rsidP="001A07BA">
      <w:pPr>
        <w:spacing w:after="0" w:line="240" w:lineRule="auto"/>
        <w:jc w:val="both"/>
        <w:rPr>
          <w:rFonts w:ascii="Times New Roman" w:eastAsia="Calibri" w:hAnsi="Times New Roman" w:cs="Times New Roman"/>
          <w:b/>
          <w:color w:val="000000" w:themeColor="text1"/>
          <w:sz w:val="24"/>
          <w:szCs w:val="24"/>
        </w:rPr>
      </w:pPr>
    </w:p>
    <w:p w14:paraId="6095F885" w14:textId="5D3FDE6D" w:rsidR="001A07BA" w:rsidRPr="0078472B" w:rsidRDefault="001A07BA" w:rsidP="001A07BA">
      <w:pPr>
        <w:spacing w:after="0" w:line="240" w:lineRule="auto"/>
        <w:jc w:val="both"/>
        <w:rPr>
          <w:rFonts w:ascii="Times New Roman" w:eastAsia="Times New Roman" w:hAnsi="Times New Roman" w:cs="Times New Roman"/>
          <w:color w:val="000000" w:themeColor="text1"/>
          <w:sz w:val="24"/>
          <w:szCs w:val="24"/>
        </w:rPr>
      </w:pPr>
      <w:r w:rsidRPr="0078472B">
        <w:rPr>
          <w:rFonts w:ascii="Times New Roman" w:eastAsia="Calibri" w:hAnsi="Times New Roman" w:cs="Times New Roman"/>
          <w:b/>
          <w:color w:val="000000" w:themeColor="text1"/>
          <w:sz w:val="24"/>
          <w:szCs w:val="24"/>
          <w:lang w:val="en-US"/>
        </w:rPr>
        <w:lastRenderedPageBreak/>
        <w:t>Table 2.</w:t>
      </w:r>
      <w:r w:rsidRPr="0078472B">
        <w:rPr>
          <w:rFonts w:ascii="Times New Roman" w:eastAsia="Calibri" w:hAnsi="Times New Roman" w:cs="Times New Roman"/>
          <w:color w:val="000000" w:themeColor="text1"/>
          <w:sz w:val="24"/>
          <w:szCs w:val="24"/>
          <w:lang w:val="en-US"/>
        </w:rPr>
        <w:t xml:space="preserve"> OLS regression results for the number of online bettors and online betting volume.</w:t>
      </w:r>
      <w:r w:rsidRPr="0078472B">
        <w:rPr>
          <w:rFonts w:ascii="Times New Roman" w:eastAsia="Calibri" w:hAnsi="Times New Roman"/>
          <w:color w:val="000000" w:themeColor="text1"/>
        </w:rPr>
        <w:t xml:space="preserve"> </w:t>
      </w:r>
    </w:p>
    <w:p w14:paraId="553BAD47" w14:textId="77777777" w:rsidR="001A07BA" w:rsidRPr="0078472B" w:rsidRDefault="001A07BA" w:rsidP="001A07BA">
      <w:pPr>
        <w:spacing w:after="0" w:line="240" w:lineRule="auto"/>
        <w:jc w:val="both"/>
        <w:rPr>
          <w:rFonts w:ascii="Times New Roman" w:eastAsia="Calibri" w:hAnsi="Times New Roman" w:cs="Times New Roman"/>
          <w:b/>
          <w:color w:val="000000" w:themeColor="text1"/>
          <w:sz w:val="24"/>
          <w:szCs w:val="24"/>
        </w:rPr>
      </w:pPr>
    </w:p>
    <w:tbl>
      <w:tblPr>
        <w:tblStyle w:val="TableGrid"/>
        <w:tblpPr w:leftFromText="141" w:rightFromText="141" w:vertAnchor="text" w:horzAnchor="margin" w:tblpXSpec="center" w:tblpY="15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1276"/>
        <w:gridCol w:w="850"/>
        <w:gridCol w:w="1276"/>
        <w:gridCol w:w="1134"/>
      </w:tblGrid>
      <w:tr w:rsidR="005D76DA" w:rsidRPr="0078472B" w14:paraId="0D68B6B1" w14:textId="77777777" w:rsidTr="0020170F">
        <w:tc>
          <w:tcPr>
            <w:tcW w:w="4820" w:type="dxa"/>
            <w:tcBorders>
              <w:top w:val="single" w:sz="4" w:space="0" w:color="auto"/>
              <w:right w:val="single" w:sz="4" w:space="0" w:color="auto"/>
            </w:tcBorders>
          </w:tcPr>
          <w:p w14:paraId="7B9E730D" w14:textId="77777777" w:rsidR="005D76DA" w:rsidRPr="0078472B" w:rsidRDefault="005D76DA" w:rsidP="0020170F">
            <w:pPr>
              <w:rPr>
                <w:rFonts w:ascii="Times New Roman" w:eastAsia="Calibri" w:hAnsi="Times New Roman"/>
                <w:color w:val="000000" w:themeColor="text1"/>
              </w:rPr>
            </w:pPr>
          </w:p>
        </w:tc>
        <w:tc>
          <w:tcPr>
            <w:tcW w:w="2126" w:type="dxa"/>
            <w:gridSpan w:val="2"/>
            <w:vMerge w:val="restart"/>
            <w:tcBorders>
              <w:top w:val="single" w:sz="4" w:space="0" w:color="auto"/>
              <w:left w:val="single" w:sz="4" w:space="0" w:color="auto"/>
              <w:right w:val="single" w:sz="4" w:space="0" w:color="auto"/>
            </w:tcBorders>
          </w:tcPr>
          <w:p w14:paraId="08B0C64B" w14:textId="77777777" w:rsidR="005D76DA" w:rsidRPr="0078472B" w:rsidRDefault="005D76DA" w:rsidP="0020170F">
            <w:pPr>
              <w:jc w:val="center"/>
              <w:rPr>
                <w:rFonts w:ascii="Times New Roman" w:eastAsia="Calibri" w:hAnsi="Times New Roman"/>
                <w:color w:val="000000" w:themeColor="text1"/>
              </w:rPr>
            </w:pPr>
            <w:r w:rsidRPr="0078472B">
              <w:rPr>
                <w:rFonts w:ascii="Times New Roman" w:eastAsia="Calibri" w:hAnsi="Times New Roman"/>
                <w:color w:val="000000" w:themeColor="text1"/>
              </w:rPr>
              <w:t>Number of online bettors per</w:t>
            </w:r>
          </w:p>
          <w:p w14:paraId="00B3D56F" w14:textId="77777777" w:rsidR="005D76DA" w:rsidRPr="0078472B" w:rsidRDefault="005D76DA" w:rsidP="0020170F">
            <w:pPr>
              <w:jc w:val="center"/>
              <w:rPr>
                <w:rFonts w:ascii="Times New Roman" w:eastAsia="Calibri" w:hAnsi="Times New Roman"/>
                <w:color w:val="000000" w:themeColor="text1"/>
              </w:rPr>
            </w:pPr>
            <w:r w:rsidRPr="0078472B">
              <w:rPr>
                <w:rFonts w:ascii="Times New Roman" w:eastAsia="Calibri" w:hAnsi="Times New Roman"/>
                <w:color w:val="000000" w:themeColor="text1"/>
              </w:rPr>
              <w:t>1,000 inhabitants</w:t>
            </w:r>
          </w:p>
        </w:tc>
        <w:tc>
          <w:tcPr>
            <w:tcW w:w="2410" w:type="dxa"/>
            <w:gridSpan w:val="2"/>
            <w:vMerge w:val="restart"/>
            <w:tcBorders>
              <w:top w:val="single" w:sz="4" w:space="0" w:color="auto"/>
              <w:left w:val="single" w:sz="4" w:space="0" w:color="auto"/>
            </w:tcBorders>
          </w:tcPr>
          <w:p w14:paraId="0E0FC0EB" w14:textId="77777777" w:rsidR="005D76DA" w:rsidRPr="0078472B" w:rsidRDefault="005D76DA" w:rsidP="0020170F">
            <w:pPr>
              <w:jc w:val="center"/>
              <w:rPr>
                <w:rFonts w:ascii="Times New Roman" w:eastAsia="Calibri" w:hAnsi="Times New Roman"/>
                <w:color w:val="000000" w:themeColor="text1"/>
              </w:rPr>
            </w:pPr>
            <w:r w:rsidRPr="0078472B">
              <w:rPr>
                <w:rFonts w:ascii="Times New Roman" w:eastAsia="Calibri" w:hAnsi="Times New Roman"/>
                <w:color w:val="000000" w:themeColor="text1"/>
              </w:rPr>
              <w:t>Online betting volume (euros) per 1,000 inhabitants</w:t>
            </w:r>
          </w:p>
        </w:tc>
      </w:tr>
      <w:tr w:rsidR="005D76DA" w:rsidRPr="0078472B" w14:paraId="20AC1C40" w14:textId="77777777" w:rsidTr="0020170F">
        <w:tc>
          <w:tcPr>
            <w:tcW w:w="4820" w:type="dxa"/>
            <w:tcBorders>
              <w:right w:val="single" w:sz="4" w:space="0" w:color="auto"/>
            </w:tcBorders>
          </w:tcPr>
          <w:p w14:paraId="05354F93" w14:textId="77777777" w:rsidR="005D76DA" w:rsidRPr="0078472B" w:rsidRDefault="005D76DA" w:rsidP="0020170F">
            <w:pPr>
              <w:rPr>
                <w:rFonts w:ascii="Times New Roman" w:eastAsia="Calibri" w:hAnsi="Times New Roman"/>
                <w:color w:val="000000" w:themeColor="text1"/>
              </w:rPr>
            </w:pPr>
            <w:r w:rsidRPr="0078472B">
              <w:rPr>
                <w:rFonts w:ascii="Times New Roman" w:eastAsia="Calibri" w:hAnsi="Times New Roman"/>
                <w:color w:val="000000" w:themeColor="text1"/>
              </w:rPr>
              <w:t>Dependent variable</w:t>
            </w:r>
          </w:p>
        </w:tc>
        <w:tc>
          <w:tcPr>
            <w:tcW w:w="2126" w:type="dxa"/>
            <w:gridSpan w:val="2"/>
            <w:vMerge/>
            <w:tcBorders>
              <w:left w:val="single" w:sz="4" w:space="0" w:color="auto"/>
              <w:bottom w:val="single" w:sz="4" w:space="0" w:color="auto"/>
              <w:right w:val="single" w:sz="4" w:space="0" w:color="auto"/>
            </w:tcBorders>
          </w:tcPr>
          <w:p w14:paraId="693A7D20" w14:textId="77777777" w:rsidR="005D76DA" w:rsidRPr="0078472B" w:rsidRDefault="005D76DA" w:rsidP="0020170F">
            <w:pPr>
              <w:jc w:val="center"/>
              <w:rPr>
                <w:rFonts w:ascii="Times New Roman" w:eastAsia="Calibri" w:hAnsi="Times New Roman"/>
                <w:b/>
                <w:color w:val="000000" w:themeColor="text1"/>
              </w:rPr>
            </w:pPr>
          </w:p>
        </w:tc>
        <w:tc>
          <w:tcPr>
            <w:tcW w:w="2410" w:type="dxa"/>
            <w:gridSpan w:val="2"/>
            <w:vMerge/>
            <w:tcBorders>
              <w:left w:val="single" w:sz="4" w:space="0" w:color="auto"/>
              <w:bottom w:val="single" w:sz="4" w:space="0" w:color="auto"/>
            </w:tcBorders>
          </w:tcPr>
          <w:p w14:paraId="03DF1819" w14:textId="77777777" w:rsidR="005D76DA" w:rsidRPr="0078472B" w:rsidRDefault="005D76DA" w:rsidP="0020170F">
            <w:pPr>
              <w:jc w:val="center"/>
              <w:rPr>
                <w:rFonts w:ascii="Times New Roman" w:eastAsia="Calibri" w:hAnsi="Times New Roman"/>
                <w:b/>
                <w:color w:val="000000" w:themeColor="text1"/>
              </w:rPr>
            </w:pPr>
          </w:p>
        </w:tc>
      </w:tr>
      <w:tr w:rsidR="005D76DA" w:rsidRPr="0078472B" w14:paraId="7B0702B5" w14:textId="77777777" w:rsidTr="0020170F">
        <w:tc>
          <w:tcPr>
            <w:tcW w:w="4820" w:type="dxa"/>
            <w:tcBorders>
              <w:bottom w:val="single" w:sz="4" w:space="0" w:color="auto"/>
              <w:right w:val="single" w:sz="4" w:space="0" w:color="auto"/>
            </w:tcBorders>
            <w:vAlign w:val="bottom"/>
          </w:tcPr>
          <w:p w14:paraId="05C47A54" w14:textId="77777777" w:rsidR="005D76DA" w:rsidRPr="0078472B" w:rsidRDefault="005D76DA" w:rsidP="0020170F">
            <w:pPr>
              <w:rPr>
                <w:rFonts w:ascii="Times New Roman" w:eastAsia="Calibri" w:hAnsi="Times New Roman"/>
                <w:color w:val="000000" w:themeColor="text1"/>
              </w:rPr>
            </w:pPr>
            <w:r w:rsidRPr="0078472B">
              <w:rPr>
                <w:rFonts w:ascii="Times New Roman" w:eastAsia="Calibri" w:hAnsi="Times New Roman"/>
                <w:color w:val="000000" w:themeColor="text1"/>
              </w:rPr>
              <w:t>Independent variables</w:t>
            </w:r>
          </w:p>
        </w:tc>
        <w:tc>
          <w:tcPr>
            <w:tcW w:w="1276" w:type="dxa"/>
            <w:tcBorders>
              <w:top w:val="single" w:sz="4" w:space="0" w:color="auto"/>
              <w:left w:val="single" w:sz="4" w:space="0" w:color="auto"/>
              <w:bottom w:val="single" w:sz="4" w:space="0" w:color="auto"/>
            </w:tcBorders>
          </w:tcPr>
          <w:p w14:paraId="5D958908" w14:textId="77777777" w:rsidR="005D76DA" w:rsidRPr="0078472B" w:rsidRDefault="005D76DA" w:rsidP="0020170F">
            <w:pPr>
              <w:jc w:val="center"/>
              <w:rPr>
                <w:rFonts w:ascii="Times New Roman" w:eastAsia="Calibri" w:hAnsi="Times New Roman"/>
                <w:color w:val="000000" w:themeColor="text1"/>
              </w:rPr>
            </w:pPr>
            <w:r w:rsidRPr="0078472B">
              <w:rPr>
                <w:rFonts w:ascii="Times New Roman" w:eastAsia="Calibri" w:hAnsi="Times New Roman"/>
                <w:color w:val="000000" w:themeColor="text1"/>
              </w:rPr>
              <w:t>Coef.</w:t>
            </w:r>
          </w:p>
        </w:tc>
        <w:tc>
          <w:tcPr>
            <w:tcW w:w="850" w:type="dxa"/>
            <w:tcBorders>
              <w:top w:val="single" w:sz="4" w:space="0" w:color="auto"/>
              <w:bottom w:val="single" w:sz="4" w:space="0" w:color="auto"/>
              <w:right w:val="single" w:sz="4" w:space="0" w:color="auto"/>
            </w:tcBorders>
          </w:tcPr>
          <w:p w14:paraId="4CB6F1AA" w14:textId="77777777" w:rsidR="005D76DA" w:rsidRPr="0078472B" w:rsidRDefault="005D76DA" w:rsidP="0020170F">
            <w:pPr>
              <w:jc w:val="center"/>
              <w:rPr>
                <w:rFonts w:ascii="Times New Roman" w:eastAsia="Calibri" w:hAnsi="Times New Roman"/>
                <w:color w:val="000000" w:themeColor="text1"/>
              </w:rPr>
            </w:pPr>
            <w:r w:rsidRPr="0078472B">
              <w:rPr>
                <w:rFonts w:ascii="Times New Roman" w:eastAsia="Calibri" w:hAnsi="Times New Roman"/>
                <w:color w:val="000000" w:themeColor="text1"/>
              </w:rPr>
              <w:t>S.E.</w:t>
            </w:r>
          </w:p>
        </w:tc>
        <w:tc>
          <w:tcPr>
            <w:tcW w:w="1276" w:type="dxa"/>
            <w:tcBorders>
              <w:top w:val="single" w:sz="4" w:space="0" w:color="auto"/>
              <w:left w:val="single" w:sz="4" w:space="0" w:color="auto"/>
              <w:bottom w:val="single" w:sz="4" w:space="0" w:color="auto"/>
            </w:tcBorders>
          </w:tcPr>
          <w:p w14:paraId="2161E6F8" w14:textId="77777777" w:rsidR="005D76DA" w:rsidRPr="0078472B" w:rsidRDefault="005D76DA" w:rsidP="0020170F">
            <w:pPr>
              <w:jc w:val="center"/>
              <w:rPr>
                <w:rFonts w:ascii="Times New Roman" w:eastAsia="Calibri" w:hAnsi="Times New Roman"/>
                <w:color w:val="000000" w:themeColor="text1"/>
              </w:rPr>
            </w:pPr>
            <w:r w:rsidRPr="0078472B">
              <w:rPr>
                <w:rFonts w:ascii="Times New Roman" w:eastAsia="Calibri" w:hAnsi="Times New Roman"/>
                <w:color w:val="000000" w:themeColor="text1"/>
              </w:rPr>
              <w:t>Coef.</w:t>
            </w:r>
          </w:p>
        </w:tc>
        <w:tc>
          <w:tcPr>
            <w:tcW w:w="1134" w:type="dxa"/>
            <w:tcBorders>
              <w:top w:val="single" w:sz="4" w:space="0" w:color="auto"/>
              <w:bottom w:val="single" w:sz="4" w:space="0" w:color="auto"/>
            </w:tcBorders>
          </w:tcPr>
          <w:p w14:paraId="43E67443" w14:textId="77777777" w:rsidR="005D76DA" w:rsidRPr="0078472B" w:rsidRDefault="005D76DA" w:rsidP="0020170F">
            <w:pPr>
              <w:jc w:val="center"/>
              <w:rPr>
                <w:rFonts w:ascii="Times New Roman" w:eastAsia="Calibri" w:hAnsi="Times New Roman"/>
                <w:color w:val="000000" w:themeColor="text1"/>
              </w:rPr>
            </w:pPr>
            <w:r w:rsidRPr="0078472B">
              <w:rPr>
                <w:rFonts w:ascii="Times New Roman" w:eastAsia="Calibri" w:hAnsi="Times New Roman"/>
                <w:color w:val="000000" w:themeColor="text1"/>
              </w:rPr>
              <w:t>S.E.</w:t>
            </w:r>
          </w:p>
        </w:tc>
      </w:tr>
      <w:tr w:rsidR="005D76DA" w:rsidRPr="0078472B" w14:paraId="2DA1BD0D" w14:textId="77777777" w:rsidTr="0020170F">
        <w:tc>
          <w:tcPr>
            <w:tcW w:w="9356" w:type="dxa"/>
            <w:gridSpan w:val="5"/>
            <w:tcBorders>
              <w:top w:val="single" w:sz="4" w:space="0" w:color="auto"/>
              <w:bottom w:val="single" w:sz="4" w:space="0" w:color="auto"/>
            </w:tcBorders>
            <w:vAlign w:val="bottom"/>
          </w:tcPr>
          <w:p w14:paraId="56FFC7D3"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rPr>
              <w:t>Offline betting environment</w:t>
            </w:r>
          </w:p>
        </w:tc>
      </w:tr>
      <w:tr w:rsidR="005D76DA" w:rsidRPr="0078472B" w14:paraId="2EF2F245" w14:textId="77777777" w:rsidTr="0020170F">
        <w:tc>
          <w:tcPr>
            <w:tcW w:w="4820" w:type="dxa"/>
            <w:tcBorders>
              <w:right w:val="single" w:sz="4" w:space="0" w:color="auto"/>
            </w:tcBorders>
          </w:tcPr>
          <w:p w14:paraId="30DE5592" w14:textId="77777777" w:rsidR="005D76DA" w:rsidRPr="0078472B" w:rsidRDefault="005D76DA" w:rsidP="0020170F">
            <w:pPr>
              <w:rPr>
                <w:rFonts w:ascii="Times New Roman" w:eastAsia="Calibri" w:hAnsi="Times New Roman"/>
                <w:color w:val="000000" w:themeColor="text1"/>
              </w:rPr>
            </w:pPr>
            <w:r w:rsidRPr="0078472B">
              <w:rPr>
                <w:rFonts w:ascii="Times New Roman" w:eastAsia="Calibri" w:hAnsi="Times New Roman"/>
                <w:color w:val="000000" w:themeColor="text1"/>
              </w:rPr>
              <w:t>Race meetings at the local racetrack in a month</w:t>
            </w:r>
          </w:p>
        </w:tc>
        <w:tc>
          <w:tcPr>
            <w:tcW w:w="1276" w:type="dxa"/>
            <w:tcBorders>
              <w:left w:val="single" w:sz="4" w:space="0" w:color="auto"/>
            </w:tcBorders>
          </w:tcPr>
          <w:p w14:paraId="5C857E34"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0.422**</w:t>
            </w:r>
          </w:p>
        </w:tc>
        <w:tc>
          <w:tcPr>
            <w:tcW w:w="850" w:type="dxa"/>
            <w:tcBorders>
              <w:right w:val="single" w:sz="4" w:space="0" w:color="auto"/>
            </w:tcBorders>
          </w:tcPr>
          <w:p w14:paraId="08478BA0"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0.176</w:t>
            </w:r>
          </w:p>
        </w:tc>
        <w:tc>
          <w:tcPr>
            <w:tcW w:w="1276" w:type="dxa"/>
            <w:tcBorders>
              <w:left w:val="single" w:sz="4" w:space="0" w:color="auto"/>
            </w:tcBorders>
          </w:tcPr>
          <w:p w14:paraId="3BC440D5"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298.387**</w:t>
            </w:r>
          </w:p>
        </w:tc>
        <w:tc>
          <w:tcPr>
            <w:tcW w:w="1134" w:type="dxa"/>
            <w:tcBorders>
              <w:top w:val="single" w:sz="4" w:space="0" w:color="auto"/>
            </w:tcBorders>
          </w:tcPr>
          <w:p w14:paraId="72F7FEB2"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122.258</w:t>
            </w:r>
          </w:p>
        </w:tc>
      </w:tr>
      <w:tr w:rsidR="005D76DA" w:rsidRPr="0078472B" w14:paraId="2BF76199" w14:textId="77777777" w:rsidTr="0020170F">
        <w:tc>
          <w:tcPr>
            <w:tcW w:w="4820" w:type="dxa"/>
            <w:tcBorders>
              <w:right w:val="single" w:sz="4" w:space="0" w:color="auto"/>
            </w:tcBorders>
          </w:tcPr>
          <w:p w14:paraId="3945016E" w14:textId="77777777" w:rsidR="005D76DA" w:rsidRPr="0078472B" w:rsidRDefault="005D76DA" w:rsidP="0020170F">
            <w:pPr>
              <w:rPr>
                <w:rFonts w:ascii="Times New Roman" w:eastAsia="Calibri" w:hAnsi="Times New Roman"/>
                <w:color w:val="000000" w:themeColor="text1"/>
              </w:rPr>
            </w:pPr>
            <w:r w:rsidRPr="0078472B">
              <w:rPr>
                <w:rFonts w:ascii="Times New Roman" w:eastAsia="Calibri" w:hAnsi="Times New Roman"/>
                <w:color w:val="000000" w:themeColor="text1"/>
              </w:rPr>
              <w:t>Racetrack in a neighbouring municipality ( = 1)</w:t>
            </w:r>
          </w:p>
        </w:tc>
        <w:tc>
          <w:tcPr>
            <w:tcW w:w="1276" w:type="dxa"/>
            <w:tcBorders>
              <w:left w:val="single" w:sz="4" w:space="0" w:color="auto"/>
            </w:tcBorders>
          </w:tcPr>
          <w:p w14:paraId="2754B3ED"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0.851***</w:t>
            </w:r>
          </w:p>
        </w:tc>
        <w:tc>
          <w:tcPr>
            <w:tcW w:w="850" w:type="dxa"/>
            <w:tcBorders>
              <w:right w:val="single" w:sz="4" w:space="0" w:color="auto"/>
            </w:tcBorders>
          </w:tcPr>
          <w:p w14:paraId="77875234"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0.255</w:t>
            </w:r>
          </w:p>
        </w:tc>
        <w:tc>
          <w:tcPr>
            <w:tcW w:w="1276" w:type="dxa"/>
            <w:tcBorders>
              <w:left w:val="single" w:sz="4" w:space="0" w:color="auto"/>
            </w:tcBorders>
          </w:tcPr>
          <w:p w14:paraId="1D697D31"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354.274**</w:t>
            </w:r>
          </w:p>
        </w:tc>
        <w:tc>
          <w:tcPr>
            <w:tcW w:w="1134" w:type="dxa"/>
          </w:tcPr>
          <w:p w14:paraId="72F494A5"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146.409</w:t>
            </w:r>
          </w:p>
        </w:tc>
      </w:tr>
      <w:tr w:rsidR="005D76DA" w:rsidRPr="0078472B" w14:paraId="759FF4D2" w14:textId="77777777" w:rsidTr="0020170F">
        <w:tc>
          <w:tcPr>
            <w:tcW w:w="4820" w:type="dxa"/>
            <w:tcBorders>
              <w:right w:val="single" w:sz="4" w:space="0" w:color="auto"/>
            </w:tcBorders>
            <w:vAlign w:val="bottom"/>
          </w:tcPr>
          <w:p w14:paraId="4C67F489" w14:textId="77777777" w:rsidR="005D76DA" w:rsidRPr="0078472B" w:rsidRDefault="005D76DA" w:rsidP="0020170F">
            <w:pPr>
              <w:rPr>
                <w:rFonts w:ascii="Times New Roman" w:eastAsia="Calibri" w:hAnsi="Times New Roman"/>
                <w:color w:val="000000" w:themeColor="text1"/>
              </w:rPr>
            </w:pPr>
            <w:r w:rsidRPr="0078472B">
              <w:rPr>
                <w:rFonts w:ascii="Times New Roman" w:eastAsia="Calibri" w:hAnsi="Times New Roman"/>
                <w:color w:val="000000" w:themeColor="text1"/>
              </w:rPr>
              <w:t>Off-track betting venues per 1,000 inhabitants</w:t>
            </w:r>
          </w:p>
        </w:tc>
        <w:tc>
          <w:tcPr>
            <w:tcW w:w="1276" w:type="dxa"/>
            <w:tcBorders>
              <w:left w:val="single" w:sz="4" w:space="0" w:color="auto"/>
            </w:tcBorders>
          </w:tcPr>
          <w:p w14:paraId="4B1D1053"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1.707*</w:t>
            </w:r>
          </w:p>
        </w:tc>
        <w:tc>
          <w:tcPr>
            <w:tcW w:w="850" w:type="dxa"/>
            <w:tcBorders>
              <w:right w:val="single" w:sz="4" w:space="0" w:color="auto"/>
            </w:tcBorders>
          </w:tcPr>
          <w:p w14:paraId="350810DA"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0.929</w:t>
            </w:r>
          </w:p>
        </w:tc>
        <w:tc>
          <w:tcPr>
            <w:tcW w:w="1276" w:type="dxa"/>
            <w:tcBorders>
              <w:left w:val="single" w:sz="4" w:space="0" w:color="auto"/>
            </w:tcBorders>
          </w:tcPr>
          <w:p w14:paraId="117B46BA"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194.479</w:t>
            </w:r>
          </w:p>
        </w:tc>
        <w:tc>
          <w:tcPr>
            <w:tcW w:w="1134" w:type="dxa"/>
            <w:tcBorders>
              <w:bottom w:val="single" w:sz="4" w:space="0" w:color="auto"/>
            </w:tcBorders>
          </w:tcPr>
          <w:p w14:paraId="415504A5"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639.131</w:t>
            </w:r>
          </w:p>
        </w:tc>
      </w:tr>
      <w:tr w:rsidR="005D76DA" w:rsidRPr="0078472B" w14:paraId="10DAAAA5" w14:textId="77777777" w:rsidTr="0020170F">
        <w:tc>
          <w:tcPr>
            <w:tcW w:w="9356" w:type="dxa"/>
            <w:gridSpan w:val="5"/>
            <w:tcBorders>
              <w:top w:val="single" w:sz="4" w:space="0" w:color="auto"/>
              <w:bottom w:val="single" w:sz="4" w:space="0" w:color="auto"/>
            </w:tcBorders>
            <w:vAlign w:val="bottom"/>
          </w:tcPr>
          <w:p w14:paraId="1480160D"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rPr>
              <w:t>Equine interest</w:t>
            </w:r>
          </w:p>
        </w:tc>
      </w:tr>
      <w:tr w:rsidR="005D76DA" w:rsidRPr="0078472B" w14:paraId="420E0E82" w14:textId="77777777" w:rsidTr="0020170F">
        <w:tc>
          <w:tcPr>
            <w:tcW w:w="4820" w:type="dxa"/>
            <w:tcBorders>
              <w:top w:val="single" w:sz="4" w:space="0" w:color="auto"/>
              <w:right w:val="single" w:sz="4" w:space="0" w:color="auto"/>
            </w:tcBorders>
            <w:vAlign w:val="bottom"/>
          </w:tcPr>
          <w:p w14:paraId="2FD13F14" w14:textId="77777777" w:rsidR="005D76DA" w:rsidRPr="0078472B" w:rsidRDefault="005D76DA" w:rsidP="0020170F">
            <w:pPr>
              <w:rPr>
                <w:rFonts w:ascii="Times New Roman" w:eastAsia="Calibri" w:hAnsi="Times New Roman"/>
                <w:color w:val="000000" w:themeColor="text1"/>
              </w:rPr>
            </w:pPr>
            <w:r w:rsidRPr="0078472B">
              <w:rPr>
                <w:rFonts w:ascii="Times New Roman" w:eastAsia="Calibri" w:hAnsi="Times New Roman"/>
                <w:color w:val="000000" w:themeColor="text1"/>
              </w:rPr>
              <w:t>Horse owners per 1,000 inhabitants</w:t>
            </w:r>
          </w:p>
        </w:tc>
        <w:tc>
          <w:tcPr>
            <w:tcW w:w="1276" w:type="dxa"/>
            <w:tcBorders>
              <w:top w:val="single" w:sz="4" w:space="0" w:color="auto"/>
              <w:left w:val="single" w:sz="4" w:space="0" w:color="auto"/>
            </w:tcBorders>
          </w:tcPr>
          <w:p w14:paraId="096DB284"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0.113***</w:t>
            </w:r>
          </w:p>
        </w:tc>
        <w:tc>
          <w:tcPr>
            <w:tcW w:w="850" w:type="dxa"/>
            <w:tcBorders>
              <w:top w:val="single" w:sz="4" w:space="0" w:color="auto"/>
              <w:right w:val="single" w:sz="4" w:space="0" w:color="auto"/>
            </w:tcBorders>
          </w:tcPr>
          <w:p w14:paraId="50663A09"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0.032</w:t>
            </w:r>
          </w:p>
        </w:tc>
        <w:tc>
          <w:tcPr>
            <w:tcW w:w="1276" w:type="dxa"/>
            <w:tcBorders>
              <w:top w:val="single" w:sz="4" w:space="0" w:color="auto"/>
              <w:left w:val="single" w:sz="4" w:space="0" w:color="auto"/>
            </w:tcBorders>
          </w:tcPr>
          <w:p w14:paraId="7CCD3B11"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47.698**</w:t>
            </w:r>
          </w:p>
        </w:tc>
        <w:tc>
          <w:tcPr>
            <w:tcW w:w="1134" w:type="dxa"/>
            <w:tcBorders>
              <w:top w:val="single" w:sz="4" w:space="0" w:color="auto"/>
            </w:tcBorders>
          </w:tcPr>
          <w:p w14:paraId="685FE62C"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22.304</w:t>
            </w:r>
          </w:p>
        </w:tc>
      </w:tr>
      <w:tr w:rsidR="005D76DA" w:rsidRPr="0078472B" w14:paraId="478E9246" w14:textId="77777777" w:rsidTr="0020170F">
        <w:tc>
          <w:tcPr>
            <w:tcW w:w="4820" w:type="dxa"/>
            <w:tcBorders>
              <w:right w:val="single" w:sz="4" w:space="0" w:color="auto"/>
            </w:tcBorders>
          </w:tcPr>
          <w:p w14:paraId="304F79FA" w14:textId="77777777" w:rsidR="005D76DA" w:rsidRPr="0078472B" w:rsidRDefault="005D76DA" w:rsidP="0020170F">
            <w:pPr>
              <w:rPr>
                <w:rFonts w:ascii="Times New Roman" w:eastAsia="Calibri" w:hAnsi="Times New Roman"/>
                <w:color w:val="000000" w:themeColor="text1"/>
              </w:rPr>
            </w:pPr>
            <w:r w:rsidRPr="0078472B">
              <w:rPr>
                <w:rFonts w:ascii="Times New Roman" w:eastAsia="Calibri" w:hAnsi="Times New Roman"/>
                <w:color w:val="000000" w:themeColor="text1"/>
              </w:rPr>
              <w:t>Warmblood horses per 1,000 inhabitants</w:t>
            </w:r>
          </w:p>
        </w:tc>
        <w:tc>
          <w:tcPr>
            <w:tcW w:w="1276" w:type="dxa"/>
            <w:tcBorders>
              <w:left w:val="single" w:sz="4" w:space="0" w:color="auto"/>
            </w:tcBorders>
          </w:tcPr>
          <w:p w14:paraId="7407431C"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0.107**</w:t>
            </w:r>
          </w:p>
        </w:tc>
        <w:tc>
          <w:tcPr>
            <w:tcW w:w="850" w:type="dxa"/>
            <w:tcBorders>
              <w:right w:val="single" w:sz="4" w:space="0" w:color="auto"/>
            </w:tcBorders>
          </w:tcPr>
          <w:p w14:paraId="55A67A76"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0.052</w:t>
            </w:r>
          </w:p>
        </w:tc>
        <w:tc>
          <w:tcPr>
            <w:tcW w:w="1276" w:type="dxa"/>
            <w:tcBorders>
              <w:left w:val="single" w:sz="4" w:space="0" w:color="auto"/>
            </w:tcBorders>
          </w:tcPr>
          <w:p w14:paraId="6EB4F348"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30.020</w:t>
            </w:r>
          </w:p>
        </w:tc>
        <w:tc>
          <w:tcPr>
            <w:tcW w:w="1134" w:type="dxa"/>
          </w:tcPr>
          <w:p w14:paraId="2EE5F902"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29.077</w:t>
            </w:r>
          </w:p>
        </w:tc>
      </w:tr>
      <w:tr w:rsidR="005D76DA" w:rsidRPr="0078472B" w14:paraId="476DF641" w14:textId="77777777" w:rsidTr="0020170F">
        <w:tc>
          <w:tcPr>
            <w:tcW w:w="4820" w:type="dxa"/>
            <w:tcBorders>
              <w:bottom w:val="single" w:sz="4" w:space="0" w:color="auto"/>
              <w:right w:val="single" w:sz="4" w:space="0" w:color="auto"/>
            </w:tcBorders>
          </w:tcPr>
          <w:p w14:paraId="438E6B62" w14:textId="77777777" w:rsidR="005D76DA" w:rsidRPr="0078472B" w:rsidRDefault="005D76DA" w:rsidP="0020170F">
            <w:pPr>
              <w:rPr>
                <w:rFonts w:ascii="Times New Roman" w:eastAsia="Calibri" w:hAnsi="Times New Roman"/>
                <w:color w:val="000000" w:themeColor="text1"/>
              </w:rPr>
            </w:pPr>
            <w:r w:rsidRPr="0078472B">
              <w:rPr>
                <w:rFonts w:ascii="Times New Roman" w:eastAsia="Calibri" w:hAnsi="Times New Roman"/>
                <w:color w:val="000000" w:themeColor="text1"/>
              </w:rPr>
              <w:t>Riding horses per 1,000 inhabitants</w:t>
            </w:r>
          </w:p>
        </w:tc>
        <w:tc>
          <w:tcPr>
            <w:tcW w:w="1276" w:type="dxa"/>
            <w:tcBorders>
              <w:left w:val="single" w:sz="4" w:space="0" w:color="auto"/>
              <w:bottom w:val="single" w:sz="4" w:space="0" w:color="auto"/>
            </w:tcBorders>
          </w:tcPr>
          <w:p w14:paraId="49BA7447"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-0.086**</w:t>
            </w:r>
          </w:p>
        </w:tc>
        <w:tc>
          <w:tcPr>
            <w:tcW w:w="850" w:type="dxa"/>
            <w:tcBorders>
              <w:bottom w:val="single" w:sz="4" w:space="0" w:color="auto"/>
              <w:right w:val="single" w:sz="4" w:space="0" w:color="auto"/>
            </w:tcBorders>
          </w:tcPr>
          <w:p w14:paraId="110BB44B"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0.034</w:t>
            </w:r>
          </w:p>
        </w:tc>
        <w:tc>
          <w:tcPr>
            <w:tcW w:w="1276" w:type="dxa"/>
            <w:tcBorders>
              <w:left w:val="single" w:sz="4" w:space="0" w:color="auto"/>
              <w:bottom w:val="single" w:sz="4" w:space="0" w:color="auto"/>
            </w:tcBorders>
          </w:tcPr>
          <w:p w14:paraId="09105553"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-53.475**</w:t>
            </w:r>
          </w:p>
        </w:tc>
        <w:tc>
          <w:tcPr>
            <w:tcW w:w="1134" w:type="dxa"/>
            <w:tcBorders>
              <w:bottom w:val="single" w:sz="4" w:space="0" w:color="auto"/>
            </w:tcBorders>
          </w:tcPr>
          <w:p w14:paraId="52A60DD8"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24.001</w:t>
            </w:r>
          </w:p>
        </w:tc>
      </w:tr>
      <w:tr w:rsidR="005D76DA" w:rsidRPr="0078472B" w14:paraId="1966A3B0" w14:textId="77777777" w:rsidTr="0020170F">
        <w:tc>
          <w:tcPr>
            <w:tcW w:w="9356" w:type="dxa"/>
            <w:gridSpan w:val="5"/>
            <w:tcBorders>
              <w:top w:val="single" w:sz="4" w:space="0" w:color="auto"/>
            </w:tcBorders>
            <w:vAlign w:val="bottom"/>
          </w:tcPr>
          <w:p w14:paraId="608CECD5"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rPr>
              <w:t>Socio-demographic variables</w:t>
            </w:r>
          </w:p>
        </w:tc>
      </w:tr>
      <w:tr w:rsidR="005D76DA" w:rsidRPr="0078472B" w14:paraId="5B374DA2" w14:textId="77777777" w:rsidTr="0020170F">
        <w:tc>
          <w:tcPr>
            <w:tcW w:w="4820" w:type="dxa"/>
            <w:tcBorders>
              <w:top w:val="single" w:sz="4" w:space="0" w:color="auto"/>
              <w:right w:val="single" w:sz="4" w:space="0" w:color="auto"/>
            </w:tcBorders>
            <w:vAlign w:val="bottom"/>
          </w:tcPr>
          <w:p w14:paraId="11A25787" w14:textId="77777777" w:rsidR="005D76DA" w:rsidRPr="0078472B" w:rsidRDefault="005D76DA" w:rsidP="0020170F">
            <w:pPr>
              <w:rPr>
                <w:rFonts w:ascii="Times New Roman" w:eastAsia="Calibri" w:hAnsi="Times New Roman"/>
                <w:color w:val="000000" w:themeColor="text1"/>
              </w:rPr>
            </w:pPr>
            <w:r w:rsidRPr="0078472B">
              <w:rPr>
                <w:rFonts w:ascii="Times New Roman" w:eastAsia="Calibri" w:hAnsi="Times New Roman"/>
                <w:color w:val="000000" w:themeColor="text1"/>
              </w:rPr>
              <w:t>Average age (years)</w:t>
            </w:r>
          </w:p>
        </w:tc>
        <w:tc>
          <w:tcPr>
            <w:tcW w:w="1276" w:type="dxa"/>
            <w:tcBorders>
              <w:top w:val="single" w:sz="4" w:space="0" w:color="auto"/>
              <w:left w:val="single" w:sz="4" w:space="0" w:color="auto"/>
            </w:tcBorders>
          </w:tcPr>
          <w:p w14:paraId="1C049F8D"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-0.062</w:t>
            </w:r>
          </w:p>
        </w:tc>
        <w:tc>
          <w:tcPr>
            <w:tcW w:w="850" w:type="dxa"/>
            <w:tcBorders>
              <w:top w:val="single" w:sz="4" w:space="0" w:color="auto"/>
              <w:right w:val="single" w:sz="4" w:space="0" w:color="auto"/>
            </w:tcBorders>
          </w:tcPr>
          <w:p w14:paraId="78699EF7"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0.042</w:t>
            </w:r>
          </w:p>
        </w:tc>
        <w:tc>
          <w:tcPr>
            <w:tcW w:w="1276" w:type="dxa"/>
            <w:tcBorders>
              <w:top w:val="single" w:sz="4" w:space="0" w:color="auto"/>
              <w:left w:val="single" w:sz="4" w:space="0" w:color="auto"/>
            </w:tcBorders>
          </w:tcPr>
          <w:p w14:paraId="07045329"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47.136</w:t>
            </w:r>
          </w:p>
        </w:tc>
        <w:tc>
          <w:tcPr>
            <w:tcW w:w="1134" w:type="dxa"/>
            <w:tcBorders>
              <w:top w:val="single" w:sz="4" w:space="0" w:color="auto"/>
            </w:tcBorders>
          </w:tcPr>
          <w:p w14:paraId="4BF6EEE3"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32.763</w:t>
            </w:r>
          </w:p>
        </w:tc>
      </w:tr>
      <w:tr w:rsidR="005D76DA" w:rsidRPr="0078472B" w14:paraId="3308D61E" w14:textId="77777777" w:rsidTr="0020170F">
        <w:tc>
          <w:tcPr>
            <w:tcW w:w="4820" w:type="dxa"/>
            <w:tcBorders>
              <w:right w:val="single" w:sz="4" w:space="0" w:color="auto"/>
            </w:tcBorders>
            <w:vAlign w:val="bottom"/>
          </w:tcPr>
          <w:p w14:paraId="73AA3184" w14:textId="0EB7F684" w:rsidR="005D76DA" w:rsidRPr="0078472B" w:rsidRDefault="005D76DA" w:rsidP="0020170F">
            <w:pPr>
              <w:rPr>
                <w:rFonts w:ascii="Times New Roman" w:eastAsia="Calibri" w:hAnsi="Times New Roman"/>
                <w:color w:val="000000" w:themeColor="text1"/>
              </w:rPr>
            </w:pPr>
            <w:r w:rsidRPr="0078472B">
              <w:rPr>
                <w:rFonts w:ascii="Times New Roman" w:eastAsia="Calibri" w:hAnsi="Times New Roman"/>
                <w:color w:val="000000" w:themeColor="text1"/>
              </w:rPr>
              <w:t>Average net income (</w:t>
            </w:r>
            <w:r w:rsidR="00A01DCF">
              <w:rPr>
                <w:rFonts w:ascii="Times New Roman" w:eastAsia="Calibri" w:hAnsi="Times New Roman"/>
                <w:color w:val="000000" w:themeColor="text1"/>
              </w:rPr>
              <w:t xml:space="preserve">1,000 </w:t>
            </w:r>
            <w:r w:rsidRPr="0078472B">
              <w:rPr>
                <w:rFonts w:ascii="Times New Roman" w:eastAsia="Calibri" w:hAnsi="Times New Roman"/>
                <w:color w:val="000000" w:themeColor="text1"/>
              </w:rPr>
              <w:t>euros) per</w:t>
            </w:r>
            <w:r w:rsidR="00A01DCF">
              <w:rPr>
                <w:rFonts w:ascii="Times New Roman" w:eastAsia="Calibri" w:hAnsi="Times New Roman"/>
                <w:color w:val="000000" w:themeColor="text1"/>
              </w:rPr>
              <w:t xml:space="preserve"> capita</w:t>
            </w:r>
          </w:p>
        </w:tc>
        <w:tc>
          <w:tcPr>
            <w:tcW w:w="1276" w:type="dxa"/>
            <w:tcBorders>
              <w:left w:val="single" w:sz="4" w:space="0" w:color="auto"/>
            </w:tcBorders>
          </w:tcPr>
          <w:p w14:paraId="633A83D8"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-0.063</w:t>
            </w:r>
          </w:p>
        </w:tc>
        <w:tc>
          <w:tcPr>
            <w:tcW w:w="850" w:type="dxa"/>
            <w:tcBorders>
              <w:right w:val="single" w:sz="4" w:space="0" w:color="auto"/>
            </w:tcBorders>
          </w:tcPr>
          <w:p w14:paraId="56E0EF14"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0.104</w:t>
            </w:r>
          </w:p>
        </w:tc>
        <w:tc>
          <w:tcPr>
            <w:tcW w:w="1276" w:type="dxa"/>
            <w:tcBorders>
              <w:left w:val="single" w:sz="4" w:space="0" w:color="auto"/>
            </w:tcBorders>
          </w:tcPr>
          <w:p w14:paraId="0E40A48A"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49.910</w:t>
            </w:r>
          </w:p>
        </w:tc>
        <w:tc>
          <w:tcPr>
            <w:tcW w:w="1134" w:type="dxa"/>
          </w:tcPr>
          <w:p w14:paraId="60F5068A"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62.338</w:t>
            </w:r>
          </w:p>
        </w:tc>
      </w:tr>
      <w:tr w:rsidR="005D76DA" w:rsidRPr="0078472B" w14:paraId="7A42C04D" w14:textId="77777777" w:rsidTr="0020170F">
        <w:tc>
          <w:tcPr>
            <w:tcW w:w="4820" w:type="dxa"/>
            <w:tcBorders>
              <w:right w:val="single" w:sz="4" w:space="0" w:color="auto"/>
            </w:tcBorders>
          </w:tcPr>
          <w:p w14:paraId="750B0BA5" w14:textId="77777777" w:rsidR="005D76DA" w:rsidRPr="0078472B" w:rsidRDefault="005D76DA" w:rsidP="0020170F">
            <w:pPr>
              <w:rPr>
                <w:rFonts w:ascii="Times New Roman" w:eastAsia="Calibri" w:hAnsi="Times New Roman"/>
                <w:color w:val="000000" w:themeColor="text1"/>
              </w:rPr>
            </w:pPr>
            <w:r w:rsidRPr="0078472B">
              <w:rPr>
                <w:rFonts w:ascii="Times New Roman" w:eastAsia="Calibri" w:hAnsi="Times New Roman"/>
                <w:color w:val="000000" w:themeColor="text1"/>
              </w:rPr>
              <w:t xml:space="preserve">Education index </w:t>
            </w:r>
          </w:p>
        </w:tc>
        <w:tc>
          <w:tcPr>
            <w:tcW w:w="1276" w:type="dxa"/>
            <w:tcBorders>
              <w:left w:val="single" w:sz="4" w:space="0" w:color="auto"/>
            </w:tcBorders>
          </w:tcPr>
          <w:p w14:paraId="43CAB579"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0.008</w:t>
            </w:r>
          </w:p>
        </w:tc>
        <w:tc>
          <w:tcPr>
            <w:tcW w:w="850" w:type="dxa"/>
            <w:tcBorders>
              <w:right w:val="single" w:sz="4" w:space="0" w:color="auto"/>
            </w:tcBorders>
          </w:tcPr>
          <w:p w14:paraId="52A0B899"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0.005</w:t>
            </w:r>
          </w:p>
        </w:tc>
        <w:tc>
          <w:tcPr>
            <w:tcW w:w="1276" w:type="dxa"/>
            <w:tcBorders>
              <w:left w:val="single" w:sz="4" w:space="0" w:color="auto"/>
            </w:tcBorders>
          </w:tcPr>
          <w:p w14:paraId="7AD6B705"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4.470</w:t>
            </w:r>
          </w:p>
        </w:tc>
        <w:tc>
          <w:tcPr>
            <w:tcW w:w="1134" w:type="dxa"/>
          </w:tcPr>
          <w:p w14:paraId="1A383B2C"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2.922</w:t>
            </w:r>
          </w:p>
        </w:tc>
      </w:tr>
      <w:tr w:rsidR="005D76DA" w:rsidRPr="0078472B" w14:paraId="3EC3FA05" w14:textId="77777777" w:rsidTr="0020170F">
        <w:tc>
          <w:tcPr>
            <w:tcW w:w="4820" w:type="dxa"/>
            <w:tcBorders>
              <w:right w:val="single" w:sz="4" w:space="0" w:color="auto"/>
            </w:tcBorders>
          </w:tcPr>
          <w:p w14:paraId="6DD84873" w14:textId="6B733C66" w:rsidR="005D76DA" w:rsidRPr="0078472B" w:rsidRDefault="00D81EFC" w:rsidP="0020170F">
            <w:pPr>
              <w:rPr>
                <w:rFonts w:ascii="Times New Roman" w:eastAsia="Calibri" w:hAnsi="Times New Roman"/>
                <w:color w:val="000000" w:themeColor="text1"/>
              </w:rPr>
            </w:pPr>
            <w:r w:rsidRPr="0078472B">
              <w:rPr>
                <w:rFonts w:ascii="Times New Roman" w:hAnsi="Times New Roman" w:cs="Times New Roman"/>
                <w:color w:val="000000" w:themeColor="text1"/>
              </w:rPr>
              <w:t>Unemployment rate</w:t>
            </w:r>
            <w:r w:rsidR="005D76DA" w:rsidRPr="0078472B">
              <w:rPr>
                <w:rFonts w:ascii="Times New Roman" w:hAnsi="Times New Roman" w:cs="Times New Roman"/>
                <w:color w:val="000000" w:themeColor="text1"/>
              </w:rPr>
              <w:t xml:space="preserve"> (percentage points)</w:t>
            </w:r>
          </w:p>
        </w:tc>
        <w:tc>
          <w:tcPr>
            <w:tcW w:w="1276" w:type="dxa"/>
            <w:tcBorders>
              <w:left w:val="single" w:sz="4" w:space="0" w:color="auto"/>
            </w:tcBorders>
          </w:tcPr>
          <w:p w14:paraId="1D6054FF"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0.013</w:t>
            </w:r>
          </w:p>
        </w:tc>
        <w:tc>
          <w:tcPr>
            <w:tcW w:w="850" w:type="dxa"/>
            <w:tcBorders>
              <w:right w:val="single" w:sz="4" w:space="0" w:color="auto"/>
            </w:tcBorders>
          </w:tcPr>
          <w:p w14:paraId="13A97FCC"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0.058</w:t>
            </w:r>
          </w:p>
        </w:tc>
        <w:tc>
          <w:tcPr>
            <w:tcW w:w="1276" w:type="dxa"/>
            <w:tcBorders>
              <w:left w:val="single" w:sz="4" w:space="0" w:color="auto"/>
            </w:tcBorders>
          </w:tcPr>
          <w:p w14:paraId="689881AF"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-26.011</w:t>
            </w:r>
          </w:p>
        </w:tc>
        <w:tc>
          <w:tcPr>
            <w:tcW w:w="1134" w:type="dxa"/>
          </w:tcPr>
          <w:p w14:paraId="3DB408D7"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26.179</w:t>
            </w:r>
          </w:p>
        </w:tc>
      </w:tr>
      <w:tr w:rsidR="005D76DA" w:rsidRPr="0078472B" w14:paraId="2AB8DB55" w14:textId="77777777" w:rsidTr="0020170F">
        <w:tc>
          <w:tcPr>
            <w:tcW w:w="4820" w:type="dxa"/>
            <w:tcBorders>
              <w:right w:val="single" w:sz="4" w:space="0" w:color="auto"/>
            </w:tcBorders>
          </w:tcPr>
          <w:p w14:paraId="7F5B6A74" w14:textId="77777777" w:rsidR="005D76DA" w:rsidRPr="0078472B" w:rsidRDefault="005D76DA" w:rsidP="0020170F">
            <w:pPr>
              <w:rPr>
                <w:rFonts w:ascii="Times New Roman" w:eastAsia="Calibri" w:hAnsi="Times New Roman"/>
                <w:color w:val="000000" w:themeColor="text1"/>
              </w:rPr>
            </w:pPr>
            <w:r w:rsidRPr="0078472B">
              <w:rPr>
                <w:rFonts w:ascii="Times New Roman" w:eastAsia="Calibri" w:hAnsi="Times New Roman"/>
                <w:color w:val="000000" w:themeColor="text1"/>
              </w:rPr>
              <w:t>Share of Swedish speakers (percentage points)</w:t>
            </w:r>
          </w:p>
        </w:tc>
        <w:tc>
          <w:tcPr>
            <w:tcW w:w="1276" w:type="dxa"/>
            <w:tcBorders>
              <w:left w:val="single" w:sz="4" w:space="0" w:color="auto"/>
            </w:tcBorders>
          </w:tcPr>
          <w:p w14:paraId="710FDFC5"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-0.035***</w:t>
            </w:r>
          </w:p>
        </w:tc>
        <w:tc>
          <w:tcPr>
            <w:tcW w:w="850" w:type="dxa"/>
            <w:tcBorders>
              <w:right w:val="single" w:sz="4" w:space="0" w:color="auto"/>
            </w:tcBorders>
          </w:tcPr>
          <w:p w14:paraId="09087DAF"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0.006</w:t>
            </w:r>
          </w:p>
        </w:tc>
        <w:tc>
          <w:tcPr>
            <w:tcW w:w="1276" w:type="dxa"/>
            <w:tcBorders>
              <w:left w:val="single" w:sz="4" w:space="0" w:color="auto"/>
            </w:tcBorders>
          </w:tcPr>
          <w:p w14:paraId="25CA5275"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-12.702***</w:t>
            </w:r>
          </w:p>
        </w:tc>
        <w:tc>
          <w:tcPr>
            <w:tcW w:w="1134" w:type="dxa"/>
          </w:tcPr>
          <w:p w14:paraId="5DCA089A"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3.009</w:t>
            </w:r>
          </w:p>
        </w:tc>
      </w:tr>
      <w:tr w:rsidR="005D76DA" w:rsidRPr="0078472B" w14:paraId="56FFC44E" w14:textId="77777777" w:rsidTr="0020170F">
        <w:tc>
          <w:tcPr>
            <w:tcW w:w="4820" w:type="dxa"/>
            <w:tcBorders>
              <w:right w:val="single" w:sz="4" w:space="0" w:color="auto"/>
            </w:tcBorders>
          </w:tcPr>
          <w:p w14:paraId="10C30820" w14:textId="77777777" w:rsidR="005D76DA" w:rsidRPr="0078472B" w:rsidRDefault="005D76DA" w:rsidP="0020170F">
            <w:pPr>
              <w:rPr>
                <w:rFonts w:ascii="Times New Roman" w:eastAsia="Calibri" w:hAnsi="Times New Roman"/>
                <w:color w:val="000000" w:themeColor="text1"/>
              </w:rPr>
            </w:pPr>
            <w:r w:rsidRPr="0078472B">
              <w:rPr>
                <w:rFonts w:ascii="Times New Roman" w:eastAsia="Calibri" w:hAnsi="Times New Roman"/>
                <w:color w:val="000000" w:themeColor="text1"/>
              </w:rPr>
              <w:t>City ( = 1)</w:t>
            </w:r>
          </w:p>
        </w:tc>
        <w:tc>
          <w:tcPr>
            <w:tcW w:w="1276" w:type="dxa"/>
            <w:tcBorders>
              <w:left w:val="single" w:sz="4" w:space="0" w:color="auto"/>
            </w:tcBorders>
          </w:tcPr>
          <w:p w14:paraId="251B689A"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0.585**</w:t>
            </w:r>
          </w:p>
        </w:tc>
        <w:tc>
          <w:tcPr>
            <w:tcW w:w="850" w:type="dxa"/>
            <w:tcBorders>
              <w:right w:val="single" w:sz="4" w:space="0" w:color="auto"/>
            </w:tcBorders>
          </w:tcPr>
          <w:p w14:paraId="27889F88"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0.269</w:t>
            </w:r>
          </w:p>
        </w:tc>
        <w:tc>
          <w:tcPr>
            <w:tcW w:w="1276" w:type="dxa"/>
            <w:tcBorders>
              <w:left w:val="single" w:sz="4" w:space="0" w:color="auto"/>
            </w:tcBorders>
          </w:tcPr>
          <w:p w14:paraId="3F5CF81A"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331.516**</w:t>
            </w:r>
          </w:p>
        </w:tc>
        <w:tc>
          <w:tcPr>
            <w:tcW w:w="1134" w:type="dxa"/>
          </w:tcPr>
          <w:p w14:paraId="6CA6D329"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136.746</w:t>
            </w:r>
          </w:p>
        </w:tc>
      </w:tr>
      <w:tr w:rsidR="005D76DA" w:rsidRPr="0078472B" w14:paraId="2BDDE36C" w14:textId="77777777" w:rsidTr="0020170F">
        <w:tc>
          <w:tcPr>
            <w:tcW w:w="4820" w:type="dxa"/>
            <w:tcBorders>
              <w:bottom w:val="single" w:sz="4" w:space="0" w:color="auto"/>
              <w:right w:val="single" w:sz="4" w:space="0" w:color="auto"/>
            </w:tcBorders>
          </w:tcPr>
          <w:p w14:paraId="2D1ABA48" w14:textId="77777777" w:rsidR="005D76DA" w:rsidRPr="0078472B" w:rsidRDefault="005D76DA" w:rsidP="0020170F">
            <w:pPr>
              <w:rPr>
                <w:rFonts w:ascii="Times New Roman" w:eastAsia="Calibri" w:hAnsi="Times New Roman"/>
                <w:color w:val="000000" w:themeColor="text1"/>
              </w:rPr>
            </w:pPr>
            <w:r w:rsidRPr="0078472B">
              <w:rPr>
                <w:rFonts w:ascii="Times New Roman" w:eastAsia="Calibri" w:hAnsi="Times New Roman"/>
                <w:color w:val="000000" w:themeColor="text1"/>
              </w:rPr>
              <w:t xml:space="preserve">Inter-municipal net migration per 1,000 inhabitants </w:t>
            </w:r>
          </w:p>
        </w:tc>
        <w:tc>
          <w:tcPr>
            <w:tcW w:w="1276" w:type="dxa"/>
            <w:tcBorders>
              <w:left w:val="single" w:sz="4" w:space="0" w:color="auto"/>
              <w:bottom w:val="single" w:sz="4" w:space="0" w:color="auto"/>
            </w:tcBorders>
          </w:tcPr>
          <w:p w14:paraId="75691CBE"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-0.016</w:t>
            </w:r>
          </w:p>
        </w:tc>
        <w:tc>
          <w:tcPr>
            <w:tcW w:w="850" w:type="dxa"/>
            <w:tcBorders>
              <w:bottom w:val="single" w:sz="4" w:space="0" w:color="auto"/>
              <w:right w:val="single" w:sz="4" w:space="0" w:color="auto"/>
            </w:tcBorders>
          </w:tcPr>
          <w:p w14:paraId="5C8094E4"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0.014</w:t>
            </w:r>
          </w:p>
        </w:tc>
        <w:tc>
          <w:tcPr>
            <w:tcW w:w="1276" w:type="dxa"/>
            <w:tcBorders>
              <w:left w:val="single" w:sz="4" w:space="0" w:color="auto"/>
              <w:bottom w:val="single" w:sz="4" w:space="0" w:color="auto"/>
            </w:tcBorders>
          </w:tcPr>
          <w:p w14:paraId="4BDCD002"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4.042</w:t>
            </w:r>
          </w:p>
        </w:tc>
        <w:tc>
          <w:tcPr>
            <w:tcW w:w="1134" w:type="dxa"/>
            <w:tcBorders>
              <w:bottom w:val="single" w:sz="4" w:space="0" w:color="auto"/>
            </w:tcBorders>
          </w:tcPr>
          <w:p w14:paraId="7124CD1E"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7.350</w:t>
            </w:r>
          </w:p>
        </w:tc>
      </w:tr>
      <w:tr w:rsidR="005D76DA" w:rsidRPr="0078472B" w14:paraId="08371B78" w14:textId="77777777" w:rsidTr="0020170F">
        <w:tc>
          <w:tcPr>
            <w:tcW w:w="4820" w:type="dxa"/>
            <w:tcBorders>
              <w:top w:val="single" w:sz="4" w:space="0" w:color="auto"/>
              <w:bottom w:val="single" w:sz="4" w:space="0" w:color="auto"/>
              <w:right w:val="single" w:sz="4" w:space="0" w:color="auto"/>
            </w:tcBorders>
            <w:vAlign w:val="bottom"/>
          </w:tcPr>
          <w:p w14:paraId="7A6A72E2" w14:textId="77777777" w:rsidR="005D76DA" w:rsidRPr="0078472B" w:rsidRDefault="005D76DA" w:rsidP="0020170F">
            <w:pPr>
              <w:rPr>
                <w:rFonts w:ascii="Times New Roman" w:eastAsia="Calibri" w:hAnsi="Times New Roman"/>
                <w:color w:val="000000" w:themeColor="text1"/>
              </w:rPr>
            </w:pPr>
            <w:r w:rsidRPr="0078472B">
              <w:rPr>
                <w:rFonts w:ascii="Times New Roman" w:eastAsia="Calibri" w:hAnsi="Times New Roman"/>
                <w:color w:val="000000" w:themeColor="text1"/>
              </w:rPr>
              <w:t>Constant</w:t>
            </w:r>
          </w:p>
        </w:tc>
        <w:tc>
          <w:tcPr>
            <w:tcW w:w="1276" w:type="dxa"/>
            <w:tcBorders>
              <w:top w:val="single" w:sz="4" w:space="0" w:color="auto"/>
              <w:left w:val="single" w:sz="4" w:space="0" w:color="auto"/>
              <w:bottom w:val="single" w:sz="4" w:space="0" w:color="auto"/>
            </w:tcBorders>
          </w:tcPr>
          <w:p w14:paraId="60C64155"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2.860</w:t>
            </w:r>
          </w:p>
        </w:tc>
        <w:tc>
          <w:tcPr>
            <w:tcW w:w="850" w:type="dxa"/>
            <w:tcBorders>
              <w:top w:val="single" w:sz="4" w:space="0" w:color="auto"/>
              <w:bottom w:val="single" w:sz="4" w:space="0" w:color="auto"/>
              <w:right w:val="single" w:sz="4" w:space="0" w:color="auto"/>
            </w:tcBorders>
          </w:tcPr>
          <w:p w14:paraId="30C55630"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3.653</w:t>
            </w:r>
          </w:p>
        </w:tc>
        <w:tc>
          <w:tcPr>
            <w:tcW w:w="1276" w:type="dxa"/>
            <w:tcBorders>
              <w:top w:val="single" w:sz="4" w:space="0" w:color="auto"/>
              <w:left w:val="single" w:sz="4" w:space="0" w:color="auto"/>
              <w:bottom w:val="single" w:sz="4" w:space="0" w:color="auto"/>
            </w:tcBorders>
          </w:tcPr>
          <w:p w14:paraId="1D883007"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-4038.490</w:t>
            </w:r>
          </w:p>
        </w:tc>
        <w:tc>
          <w:tcPr>
            <w:tcW w:w="1134" w:type="dxa"/>
            <w:tcBorders>
              <w:top w:val="single" w:sz="4" w:space="0" w:color="auto"/>
              <w:bottom w:val="single" w:sz="4" w:space="0" w:color="auto"/>
            </w:tcBorders>
          </w:tcPr>
          <w:p w14:paraId="0CA7460D" w14:textId="77777777" w:rsidR="005D76DA" w:rsidRPr="0078472B" w:rsidRDefault="005D76DA" w:rsidP="0020170F">
            <w:pPr>
              <w:jc w:val="center"/>
              <w:rPr>
                <w:rFonts w:ascii="Times New Roman" w:eastAsia="Calibri" w:hAnsi="Times New Roman"/>
                <w:color w:val="000000" w:themeColor="text1"/>
                <w:lang w:val="fi-FI"/>
              </w:rPr>
            </w:pPr>
            <w:r w:rsidRPr="0078472B">
              <w:rPr>
                <w:rFonts w:ascii="Times New Roman" w:eastAsia="Calibri" w:hAnsi="Times New Roman"/>
                <w:color w:val="000000" w:themeColor="text1"/>
                <w:lang w:val="fi-FI"/>
              </w:rPr>
              <w:t>2562.151</w:t>
            </w:r>
          </w:p>
        </w:tc>
      </w:tr>
      <w:tr w:rsidR="005D76DA" w:rsidRPr="0078472B" w14:paraId="693DEC20" w14:textId="77777777" w:rsidTr="0020170F">
        <w:tc>
          <w:tcPr>
            <w:tcW w:w="4820" w:type="dxa"/>
            <w:tcBorders>
              <w:top w:val="single" w:sz="4" w:space="0" w:color="auto"/>
              <w:right w:val="single" w:sz="4" w:space="0" w:color="auto"/>
            </w:tcBorders>
            <w:vAlign w:val="bottom"/>
          </w:tcPr>
          <w:p w14:paraId="45258DA8" w14:textId="77777777" w:rsidR="005D76DA" w:rsidRPr="0078472B" w:rsidRDefault="005D76DA" w:rsidP="0020170F">
            <w:pPr>
              <w:rPr>
                <w:rFonts w:ascii="Times New Roman" w:eastAsia="Calibri" w:hAnsi="Times New Roman"/>
                <w:color w:val="000000" w:themeColor="text1"/>
              </w:rPr>
            </w:pPr>
            <w:r w:rsidRPr="0078472B">
              <w:rPr>
                <w:rFonts w:ascii="Times New Roman" w:eastAsia="Calibri" w:hAnsi="Times New Roman"/>
                <w:color w:val="000000" w:themeColor="text1"/>
              </w:rPr>
              <w:t>Obs.</w:t>
            </w:r>
          </w:p>
        </w:tc>
        <w:tc>
          <w:tcPr>
            <w:tcW w:w="2126" w:type="dxa"/>
            <w:gridSpan w:val="2"/>
            <w:tcBorders>
              <w:top w:val="single" w:sz="4" w:space="0" w:color="auto"/>
              <w:left w:val="single" w:sz="4" w:space="0" w:color="auto"/>
              <w:right w:val="single" w:sz="4" w:space="0" w:color="auto"/>
            </w:tcBorders>
          </w:tcPr>
          <w:p w14:paraId="4CB82F50" w14:textId="77777777" w:rsidR="005D76DA" w:rsidRPr="0078472B" w:rsidRDefault="005D76DA" w:rsidP="0020170F">
            <w:pPr>
              <w:jc w:val="center"/>
              <w:rPr>
                <w:rFonts w:ascii="Times New Roman" w:eastAsia="Calibri" w:hAnsi="Times New Roman"/>
                <w:color w:val="000000" w:themeColor="text1"/>
              </w:rPr>
            </w:pPr>
            <w:r w:rsidRPr="0078472B">
              <w:rPr>
                <w:rFonts w:ascii="Times New Roman" w:eastAsia="Calibri" w:hAnsi="Times New Roman"/>
                <w:color w:val="000000" w:themeColor="text1"/>
              </w:rPr>
              <w:t>315</w:t>
            </w:r>
          </w:p>
        </w:tc>
        <w:tc>
          <w:tcPr>
            <w:tcW w:w="2410" w:type="dxa"/>
            <w:gridSpan w:val="2"/>
            <w:tcBorders>
              <w:top w:val="single" w:sz="4" w:space="0" w:color="auto"/>
              <w:left w:val="single" w:sz="4" w:space="0" w:color="auto"/>
            </w:tcBorders>
          </w:tcPr>
          <w:p w14:paraId="50FBDC44" w14:textId="77777777" w:rsidR="005D76DA" w:rsidRPr="0078472B" w:rsidRDefault="005D76DA" w:rsidP="0020170F">
            <w:pPr>
              <w:jc w:val="center"/>
              <w:rPr>
                <w:rFonts w:ascii="Times New Roman" w:eastAsia="Calibri" w:hAnsi="Times New Roman"/>
                <w:color w:val="000000" w:themeColor="text1"/>
              </w:rPr>
            </w:pPr>
            <w:r w:rsidRPr="0078472B">
              <w:rPr>
                <w:rFonts w:ascii="Times New Roman" w:eastAsia="Calibri" w:hAnsi="Times New Roman"/>
                <w:color w:val="000000" w:themeColor="text1"/>
              </w:rPr>
              <w:t>315</w:t>
            </w:r>
          </w:p>
        </w:tc>
      </w:tr>
      <w:tr w:rsidR="005D76DA" w:rsidRPr="0078472B" w14:paraId="7FA792F6" w14:textId="77777777" w:rsidTr="0020170F">
        <w:tc>
          <w:tcPr>
            <w:tcW w:w="4820" w:type="dxa"/>
            <w:tcBorders>
              <w:right w:val="single" w:sz="4" w:space="0" w:color="auto"/>
            </w:tcBorders>
            <w:vAlign w:val="bottom"/>
          </w:tcPr>
          <w:p w14:paraId="07987626" w14:textId="77777777" w:rsidR="005D76DA" w:rsidRPr="0078472B" w:rsidRDefault="005D76DA" w:rsidP="0020170F">
            <w:pPr>
              <w:rPr>
                <w:rFonts w:ascii="Times New Roman" w:eastAsia="Calibri" w:hAnsi="Times New Roman"/>
                <w:color w:val="000000" w:themeColor="text1"/>
              </w:rPr>
            </w:pPr>
            <w:r w:rsidRPr="0078472B">
              <w:rPr>
                <w:rFonts w:ascii="Times New Roman" w:eastAsia="Calibri" w:hAnsi="Times New Roman"/>
                <w:color w:val="000000" w:themeColor="text1"/>
              </w:rPr>
              <w:t>F-statistic</w:t>
            </w:r>
          </w:p>
        </w:tc>
        <w:tc>
          <w:tcPr>
            <w:tcW w:w="2126" w:type="dxa"/>
            <w:gridSpan w:val="2"/>
            <w:tcBorders>
              <w:left w:val="single" w:sz="4" w:space="0" w:color="auto"/>
              <w:right w:val="single" w:sz="4" w:space="0" w:color="auto"/>
            </w:tcBorders>
          </w:tcPr>
          <w:p w14:paraId="7EF94034" w14:textId="77777777" w:rsidR="005D76DA" w:rsidRPr="0078472B" w:rsidRDefault="005D76DA" w:rsidP="0020170F">
            <w:pPr>
              <w:jc w:val="center"/>
              <w:rPr>
                <w:rFonts w:ascii="Times New Roman" w:eastAsia="Calibri" w:hAnsi="Times New Roman"/>
                <w:color w:val="000000" w:themeColor="text1"/>
              </w:rPr>
            </w:pPr>
            <w:r w:rsidRPr="0078472B">
              <w:rPr>
                <w:rFonts w:ascii="Times New Roman" w:eastAsia="Calibri" w:hAnsi="Times New Roman"/>
                <w:color w:val="000000" w:themeColor="text1"/>
              </w:rPr>
              <w:t>18.08***</w:t>
            </w:r>
          </w:p>
        </w:tc>
        <w:tc>
          <w:tcPr>
            <w:tcW w:w="2410" w:type="dxa"/>
            <w:gridSpan w:val="2"/>
            <w:tcBorders>
              <w:left w:val="single" w:sz="4" w:space="0" w:color="auto"/>
            </w:tcBorders>
          </w:tcPr>
          <w:p w14:paraId="3B211822" w14:textId="77777777" w:rsidR="005D76DA" w:rsidRPr="0078472B" w:rsidRDefault="005D76DA" w:rsidP="0020170F">
            <w:pPr>
              <w:jc w:val="center"/>
              <w:rPr>
                <w:rFonts w:ascii="Times New Roman" w:eastAsia="Calibri" w:hAnsi="Times New Roman"/>
                <w:color w:val="000000" w:themeColor="text1"/>
              </w:rPr>
            </w:pPr>
            <w:r w:rsidRPr="0078472B">
              <w:rPr>
                <w:rFonts w:ascii="Times New Roman" w:eastAsia="Calibri" w:hAnsi="Times New Roman"/>
                <w:color w:val="000000" w:themeColor="text1"/>
              </w:rPr>
              <w:t>7.97***</w:t>
            </w:r>
          </w:p>
        </w:tc>
      </w:tr>
      <w:tr w:rsidR="005D76DA" w:rsidRPr="0078472B" w14:paraId="3D8B2B50" w14:textId="77777777" w:rsidTr="0020170F">
        <w:tc>
          <w:tcPr>
            <w:tcW w:w="4820" w:type="dxa"/>
            <w:tcBorders>
              <w:right w:val="single" w:sz="4" w:space="0" w:color="auto"/>
            </w:tcBorders>
          </w:tcPr>
          <w:p w14:paraId="5ABDD390" w14:textId="77777777" w:rsidR="005D76DA" w:rsidRPr="0078472B" w:rsidRDefault="005D76DA" w:rsidP="0020170F">
            <w:pPr>
              <w:rPr>
                <w:rFonts w:ascii="Times New Roman" w:eastAsia="Calibri" w:hAnsi="Times New Roman"/>
                <w:color w:val="000000" w:themeColor="text1"/>
              </w:rPr>
            </w:pPr>
            <w:r w:rsidRPr="0078472B">
              <w:rPr>
                <w:rFonts w:ascii="Times New Roman" w:eastAsia="Calibri" w:hAnsi="Times New Roman"/>
                <w:color w:val="000000" w:themeColor="text1"/>
              </w:rPr>
              <w:t>R</w:t>
            </w:r>
            <w:r w:rsidRPr="0078472B">
              <w:rPr>
                <w:rFonts w:ascii="Times New Roman" w:eastAsia="Calibri" w:hAnsi="Times New Roman"/>
                <w:color w:val="000000" w:themeColor="text1"/>
                <w:vertAlign w:val="superscript"/>
              </w:rPr>
              <w:t>2</w:t>
            </w:r>
          </w:p>
        </w:tc>
        <w:tc>
          <w:tcPr>
            <w:tcW w:w="2126" w:type="dxa"/>
            <w:gridSpan w:val="2"/>
            <w:tcBorders>
              <w:left w:val="single" w:sz="4" w:space="0" w:color="auto"/>
              <w:right w:val="single" w:sz="4" w:space="0" w:color="auto"/>
            </w:tcBorders>
          </w:tcPr>
          <w:p w14:paraId="3F6A203E" w14:textId="77777777" w:rsidR="005D76DA" w:rsidRPr="0078472B" w:rsidRDefault="005D76DA" w:rsidP="0020170F">
            <w:pPr>
              <w:jc w:val="center"/>
              <w:rPr>
                <w:rFonts w:ascii="Times New Roman" w:eastAsia="Calibri" w:hAnsi="Times New Roman"/>
                <w:color w:val="000000" w:themeColor="text1"/>
              </w:rPr>
            </w:pPr>
            <w:r w:rsidRPr="0078472B">
              <w:rPr>
                <w:rFonts w:ascii="Times New Roman" w:eastAsia="Calibri" w:hAnsi="Times New Roman"/>
                <w:color w:val="000000" w:themeColor="text1"/>
              </w:rPr>
              <w:t>0.583</w:t>
            </w:r>
          </w:p>
        </w:tc>
        <w:tc>
          <w:tcPr>
            <w:tcW w:w="2410" w:type="dxa"/>
            <w:gridSpan w:val="2"/>
            <w:tcBorders>
              <w:left w:val="single" w:sz="4" w:space="0" w:color="auto"/>
            </w:tcBorders>
          </w:tcPr>
          <w:p w14:paraId="6563B7B3" w14:textId="77777777" w:rsidR="005D76DA" w:rsidRPr="0078472B" w:rsidRDefault="005D76DA" w:rsidP="0020170F">
            <w:pPr>
              <w:jc w:val="center"/>
              <w:rPr>
                <w:rFonts w:ascii="Times New Roman" w:eastAsia="Calibri" w:hAnsi="Times New Roman"/>
                <w:color w:val="000000" w:themeColor="text1"/>
              </w:rPr>
            </w:pPr>
            <w:r w:rsidRPr="0078472B">
              <w:rPr>
                <w:rFonts w:ascii="Times New Roman" w:eastAsia="Calibri" w:hAnsi="Times New Roman"/>
                <w:color w:val="000000" w:themeColor="text1"/>
              </w:rPr>
              <w:t>0.296</w:t>
            </w:r>
          </w:p>
        </w:tc>
      </w:tr>
      <w:tr w:rsidR="005D76DA" w:rsidRPr="0078472B" w14:paraId="47A0DFEA" w14:textId="77777777" w:rsidTr="0020170F">
        <w:tc>
          <w:tcPr>
            <w:tcW w:w="4820" w:type="dxa"/>
            <w:tcBorders>
              <w:bottom w:val="single" w:sz="4" w:space="0" w:color="auto"/>
              <w:right w:val="single" w:sz="4" w:space="0" w:color="auto"/>
            </w:tcBorders>
          </w:tcPr>
          <w:p w14:paraId="1F097B60" w14:textId="77777777" w:rsidR="005D76DA" w:rsidRPr="0078472B" w:rsidRDefault="005D76DA" w:rsidP="0020170F">
            <w:pPr>
              <w:rPr>
                <w:rFonts w:ascii="Times New Roman" w:eastAsia="Calibri" w:hAnsi="Times New Roman"/>
                <w:color w:val="000000" w:themeColor="text1"/>
              </w:rPr>
            </w:pPr>
            <w:r w:rsidRPr="0078472B">
              <w:rPr>
                <w:rFonts w:ascii="Times New Roman" w:eastAsia="Calibri" w:hAnsi="Times New Roman"/>
                <w:color w:val="000000" w:themeColor="text1"/>
              </w:rPr>
              <w:t>VIF range (mean)</w:t>
            </w:r>
          </w:p>
        </w:tc>
        <w:tc>
          <w:tcPr>
            <w:tcW w:w="2126" w:type="dxa"/>
            <w:gridSpan w:val="2"/>
            <w:tcBorders>
              <w:left w:val="single" w:sz="4" w:space="0" w:color="auto"/>
              <w:bottom w:val="single" w:sz="4" w:space="0" w:color="auto"/>
              <w:right w:val="single" w:sz="4" w:space="0" w:color="auto"/>
            </w:tcBorders>
          </w:tcPr>
          <w:p w14:paraId="49CEC726" w14:textId="77777777" w:rsidR="005D76DA" w:rsidRPr="0078472B" w:rsidRDefault="005D76DA" w:rsidP="0020170F">
            <w:pPr>
              <w:jc w:val="center"/>
              <w:rPr>
                <w:rFonts w:ascii="Times New Roman" w:eastAsia="Calibri" w:hAnsi="Times New Roman"/>
                <w:color w:val="000000" w:themeColor="text1"/>
              </w:rPr>
            </w:pPr>
            <w:r w:rsidRPr="0078472B">
              <w:rPr>
                <w:rFonts w:ascii="Times New Roman" w:eastAsia="Calibri" w:hAnsi="Times New Roman"/>
                <w:color w:val="000000" w:themeColor="text1"/>
              </w:rPr>
              <w:t>1.16 -7.48 (2.96)</w:t>
            </w:r>
          </w:p>
        </w:tc>
        <w:tc>
          <w:tcPr>
            <w:tcW w:w="2410" w:type="dxa"/>
            <w:gridSpan w:val="2"/>
            <w:tcBorders>
              <w:left w:val="single" w:sz="4" w:space="0" w:color="auto"/>
              <w:bottom w:val="single" w:sz="4" w:space="0" w:color="auto"/>
            </w:tcBorders>
          </w:tcPr>
          <w:p w14:paraId="1CBADC44" w14:textId="77777777" w:rsidR="005D76DA" w:rsidRPr="0078472B" w:rsidRDefault="005D76DA" w:rsidP="0020170F">
            <w:pPr>
              <w:jc w:val="center"/>
              <w:rPr>
                <w:rFonts w:ascii="Times New Roman" w:eastAsia="Calibri" w:hAnsi="Times New Roman"/>
                <w:color w:val="000000" w:themeColor="text1"/>
              </w:rPr>
            </w:pPr>
            <w:r w:rsidRPr="0078472B">
              <w:rPr>
                <w:rFonts w:ascii="Times New Roman" w:eastAsia="Calibri" w:hAnsi="Times New Roman"/>
                <w:color w:val="000000" w:themeColor="text1"/>
              </w:rPr>
              <w:t>1.16 -7.48 (2.96)</w:t>
            </w:r>
          </w:p>
        </w:tc>
      </w:tr>
      <w:tr w:rsidR="005D76DA" w:rsidRPr="0078472B" w14:paraId="7ADED407" w14:textId="77777777" w:rsidTr="0020170F">
        <w:tc>
          <w:tcPr>
            <w:tcW w:w="9356" w:type="dxa"/>
            <w:gridSpan w:val="5"/>
            <w:tcBorders>
              <w:top w:val="single" w:sz="4" w:space="0" w:color="auto"/>
              <w:bottom w:val="single" w:sz="4" w:space="0" w:color="auto"/>
            </w:tcBorders>
          </w:tcPr>
          <w:p w14:paraId="01BAEB3A" w14:textId="77777777" w:rsidR="005D76DA" w:rsidRPr="002F5148" w:rsidRDefault="005D76DA" w:rsidP="0020170F">
            <w:pPr>
              <w:rPr>
                <w:rFonts w:ascii="Times New Roman" w:eastAsia="Calibri" w:hAnsi="Times New Roman"/>
                <w:i/>
                <w:iCs/>
                <w:color w:val="000000" w:themeColor="text1"/>
              </w:rPr>
            </w:pPr>
            <w:r w:rsidRPr="002F5148">
              <w:rPr>
                <w:rFonts w:ascii="Times New Roman" w:eastAsia="Calibri" w:hAnsi="Times New Roman"/>
                <w:i/>
                <w:iCs/>
                <w:color w:val="000000" w:themeColor="text1"/>
              </w:rPr>
              <w:t>Notes: Robust standard errors applied due to heteroskedasticity. Statistical significance: *** p-value &lt; 0.01; ** p-value &lt; 0.05.</w:t>
            </w:r>
          </w:p>
        </w:tc>
      </w:tr>
    </w:tbl>
    <w:p w14:paraId="3E0C76EA" w14:textId="5AAC49E2" w:rsidR="0093244E" w:rsidRDefault="0093244E" w:rsidP="001A07BA">
      <w:pPr>
        <w:spacing w:after="0" w:line="240" w:lineRule="auto"/>
        <w:jc w:val="both"/>
        <w:rPr>
          <w:rFonts w:ascii="Times New Roman" w:eastAsia="Calibri" w:hAnsi="Times New Roman" w:cs="Times New Roman"/>
          <w:b/>
          <w:color w:val="000000" w:themeColor="text1"/>
          <w:sz w:val="24"/>
          <w:szCs w:val="24"/>
          <w:lang w:val="en-US"/>
        </w:rPr>
      </w:pPr>
    </w:p>
    <w:p w14:paraId="1E9B487B" w14:textId="4638674E" w:rsidR="004070DC" w:rsidRDefault="004070DC" w:rsidP="001A07BA">
      <w:pPr>
        <w:spacing w:after="0" w:line="240" w:lineRule="auto"/>
        <w:jc w:val="both"/>
        <w:rPr>
          <w:rFonts w:ascii="Times New Roman" w:eastAsia="Calibri" w:hAnsi="Times New Roman" w:cs="Times New Roman"/>
          <w:b/>
          <w:color w:val="000000" w:themeColor="text1"/>
          <w:sz w:val="24"/>
          <w:szCs w:val="24"/>
          <w:lang w:val="en-US"/>
        </w:rPr>
      </w:pPr>
    </w:p>
    <w:p w14:paraId="7CE00641" w14:textId="395CF389" w:rsidR="004070DC" w:rsidRDefault="004070DC" w:rsidP="001A07BA">
      <w:pPr>
        <w:spacing w:after="0" w:line="240" w:lineRule="auto"/>
        <w:jc w:val="both"/>
        <w:rPr>
          <w:rFonts w:ascii="Times New Roman" w:eastAsia="Calibri" w:hAnsi="Times New Roman" w:cs="Times New Roman"/>
          <w:b/>
          <w:color w:val="000000" w:themeColor="text1"/>
          <w:sz w:val="24"/>
          <w:szCs w:val="24"/>
          <w:lang w:val="en-US"/>
        </w:rPr>
      </w:pPr>
    </w:p>
    <w:p w14:paraId="3DF7956D" w14:textId="5E2C5B73" w:rsidR="004070DC" w:rsidRDefault="004070DC" w:rsidP="001A07BA">
      <w:pPr>
        <w:spacing w:after="0" w:line="240" w:lineRule="auto"/>
        <w:jc w:val="both"/>
        <w:rPr>
          <w:rFonts w:ascii="Times New Roman" w:eastAsia="Calibri" w:hAnsi="Times New Roman" w:cs="Times New Roman"/>
          <w:b/>
          <w:color w:val="000000" w:themeColor="text1"/>
          <w:sz w:val="24"/>
          <w:szCs w:val="24"/>
          <w:lang w:val="en-US"/>
        </w:rPr>
      </w:pPr>
    </w:p>
    <w:p w14:paraId="66BD3759" w14:textId="040132BE" w:rsidR="004070DC" w:rsidRDefault="004070DC" w:rsidP="001A07BA">
      <w:pPr>
        <w:spacing w:after="0" w:line="240" w:lineRule="auto"/>
        <w:jc w:val="both"/>
        <w:rPr>
          <w:rFonts w:ascii="Times New Roman" w:eastAsia="Calibri" w:hAnsi="Times New Roman" w:cs="Times New Roman"/>
          <w:b/>
          <w:color w:val="000000" w:themeColor="text1"/>
          <w:sz w:val="24"/>
          <w:szCs w:val="24"/>
          <w:lang w:val="en-US"/>
        </w:rPr>
      </w:pPr>
    </w:p>
    <w:p w14:paraId="3D045B98" w14:textId="6B3AB560" w:rsidR="004070DC" w:rsidRDefault="004070DC" w:rsidP="001A07BA">
      <w:pPr>
        <w:spacing w:after="0" w:line="240" w:lineRule="auto"/>
        <w:jc w:val="both"/>
        <w:rPr>
          <w:rFonts w:ascii="Times New Roman" w:eastAsia="Calibri" w:hAnsi="Times New Roman" w:cs="Times New Roman"/>
          <w:b/>
          <w:color w:val="000000" w:themeColor="text1"/>
          <w:sz w:val="24"/>
          <w:szCs w:val="24"/>
          <w:lang w:val="en-US"/>
        </w:rPr>
      </w:pPr>
    </w:p>
    <w:p w14:paraId="464D17F0" w14:textId="169C39F7" w:rsidR="004070DC" w:rsidRDefault="004070DC" w:rsidP="001A07BA">
      <w:pPr>
        <w:spacing w:after="0" w:line="240" w:lineRule="auto"/>
        <w:jc w:val="both"/>
        <w:rPr>
          <w:rFonts w:ascii="Times New Roman" w:eastAsia="Calibri" w:hAnsi="Times New Roman" w:cs="Times New Roman"/>
          <w:b/>
          <w:color w:val="000000" w:themeColor="text1"/>
          <w:sz w:val="24"/>
          <w:szCs w:val="24"/>
          <w:lang w:val="en-US"/>
        </w:rPr>
      </w:pPr>
    </w:p>
    <w:p w14:paraId="0268822A" w14:textId="7E563908" w:rsidR="004070DC" w:rsidRDefault="004070DC" w:rsidP="001A07BA">
      <w:pPr>
        <w:spacing w:after="0" w:line="240" w:lineRule="auto"/>
        <w:jc w:val="both"/>
        <w:rPr>
          <w:rFonts w:ascii="Times New Roman" w:eastAsia="Calibri" w:hAnsi="Times New Roman" w:cs="Times New Roman"/>
          <w:b/>
          <w:color w:val="000000" w:themeColor="text1"/>
          <w:sz w:val="24"/>
          <w:szCs w:val="24"/>
          <w:lang w:val="en-US"/>
        </w:rPr>
      </w:pPr>
    </w:p>
    <w:p w14:paraId="4CD6D574" w14:textId="68C7A31F" w:rsidR="004070DC" w:rsidRDefault="004070DC" w:rsidP="001A07BA">
      <w:pPr>
        <w:spacing w:after="0" w:line="240" w:lineRule="auto"/>
        <w:jc w:val="both"/>
        <w:rPr>
          <w:rFonts w:ascii="Times New Roman" w:eastAsia="Calibri" w:hAnsi="Times New Roman" w:cs="Times New Roman"/>
          <w:b/>
          <w:color w:val="000000" w:themeColor="text1"/>
          <w:sz w:val="24"/>
          <w:szCs w:val="24"/>
          <w:lang w:val="en-US"/>
        </w:rPr>
      </w:pPr>
    </w:p>
    <w:p w14:paraId="4DC9D040" w14:textId="524707FB" w:rsidR="004070DC" w:rsidRDefault="004070DC" w:rsidP="001A07BA">
      <w:pPr>
        <w:spacing w:after="0" w:line="240" w:lineRule="auto"/>
        <w:jc w:val="both"/>
        <w:rPr>
          <w:rFonts w:ascii="Times New Roman" w:eastAsia="Calibri" w:hAnsi="Times New Roman" w:cs="Times New Roman"/>
          <w:b/>
          <w:color w:val="000000" w:themeColor="text1"/>
          <w:sz w:val="24"/>
          <w:szCs w:val="24"/>
          <w:lang w:val="en-US"/>
        </w:rPr>
      </w:pPr>
    </w:p>
    <w:p w14:paraId="0A0A1522" w14:textId="3FD970E0" w:rsidR="004070DC" w:rsidRDefault="004070DC" w:rsidP="001A07BA">
      <w:pPr>
        <w:spacing w:after="0" w:line="240" w:lineRule="auto"/>
        <w:jc w:val="both"/>
        <w:rPr>
          <w:rFonts w:ascii="Times New Roman" w:eastAsia="Calibri" w:hAnsi="Times New Roman" w:cs="Times New Roman"/>
          <w:b/>
          <w:color w:val="000000" w:themeColor="text1"/>
          <w:sz w:val="24"/>
          <w:szCs w:val="24"/>
          <w:lang w:val="en-US"/>
        </w:rPr>
      </w:pPr>
    </w:p>
    <w:p w14:paraId="13CC0BB5" w14:textId="15E9D96D" w:rsidR="004070DC" w:rsidRDefault="004070DC" w:rsidP="001A07BA">
      <w:pPr>
        <w:spacing w:after="0" w:line="240" w:lineRule="auto"/>
        <w:jc w:val="both"/>
        <w:rPr>
          <w:rFonts w:ascii="Times New Roman" w:eastAsia="Calibri" w:hAnsi="Times New Roman" w:cs="Times New Roman"/>
          <w:b/>
          <w:color w:val="000000" w:themeColor="text1"/>
          <w:sz w:val="24"/>
          <w:szCs w:val="24"/>
          <w:lang w:val="en-US"/>
        </w:rPr>
      </w:pPr>
    </w:p>
    <w:p w14:paraId="4746E6B1" w14:textId="060CE1B5" w:rsidR="004070DC" w:rsidRDefault="004070DC" w:rsidP="001A07BA">
      <w:pPr>
        <w:spacing w:after="0" w:line="240" w:lineRule="auto"/>
        <w:jc w:val="both"/>
        <w:rPr>
          <w:rFonts w:ascii="Times New Roman" w:eastAsia="Calibri" w:hAnsi="Times New Roman" w:cs="Times New Roman"/>
          <w:b/>
          <w:color w:val="000000" w:themeColor="text1"/>
          <w:sz w:val="24"/>
          <w:szCs w:val="24"/>
          <w:lang w:val="en-US"/>
        </w:rPr>
      </w:pPr>
    </w:p>
    <w:p w14:paraId="373B8238" w14:textId="00FF714B" w:rsidR="004070DC" w:rsidRDefault="004070DC" w:rsidP="001A07BA">
      <w:pPr>
        <w:spacing w:after="0" w:line="240" w:lineRule="auto"/>
        <w:jc w:val="both"/>
        <w:rPr>
          <w:rFonts w:ascii="Times New Roman" w:eastAsia="Calibri" w:hAnsi="Times New Roman" w:cs="Times New Roman"/>
          <w:b/>
          <w:color w:val="000000" w:themeColor="text1"/>
          <w:sz w:val="24"/>
          <w:szCs w:val="24"/>
          <w:lang w:val="en-US"/>
        </w:rPr>
      </w:pPr>
    </w:p>
    <w:p w14:paraId="62AA00A4" w14:textId="2EE78ED6" w:rsidR="004070DC" w:rsidRDefault="004070DC" w:rsidP="001A07BA">
      <w:pPr>
        <w:spacing w:after="0" w:line="240" w:lineRule="auto"/>
        <w:jc w:val="both"/>
        <w:rPr>
          <w:rFonts w:ascii="Times New Roman" w:eastAsia="Calibri" w:hAnsi="Times New Roman" w:cs="Times New Roman"/>
          <w:b/>
          <w:color w:val="000000" w:themeColor="text1"/>
          <w:sz w:val="24"/>
          <w:szCs w:val="24"/>
          <w:lang w:val="en-US"/>
        </w:rPr>
      </w:pPr>
    </w:p>
    <w:p w14:paraId="045F8555" w14:textId="5F8ABC55" w:rsidR="004070DC" w:rsidRDefault="004070DC" w:rsidP="001A07BA">
      <w:pPr>
        <w:spacing w:after="0" w:line="240" w:lineRule="auto"/>
        <w:jc w:val="both"/>
        <w:rPr>
          <w:rFonts w:ascii="Times New Roman" w:eastAsia="Calibri" w:hAnsi="Times New Roman" w:cs="Times New Roman"/>
          <w:b/>
          <w:color w:val="000000" w:themeColor="text1"/>
          <w:sz w:val="24"/>
          <w:szCs w:val="24"/>
          <w:lang w:val="en-US"/>
        </w:rPr>
      </w:pPr>
    </w:p>
    <w:p w14:paraId="6867FA65" w14:textId="77FDD5A5" w:rsidR="004070DC" w:rsidRDefault="004070DC" w:rsidP="001A07BA">
      <w:pPr>
        <w:spacing w:after="0" w:line="240" w:lineRule="auto"/>
        <w:jc w:val="both"/>
        <w:rPr>
          <w:rFonts w:ascii="Times New Roman" w:eastAsia="Calibri" w:hAnsi="Times New Roman" w:cs="Times New Roman"/>
          <w:b/>
          <w:color w:val="000000" w:themeColor="text1"/>
          <w:sz w:val="24"/>
          <w:szCs w:val="24"/>
          <w:lang w:val="en-US"/>
        </w:rPr>
      </w:pPr>
    </w:p>
    <w:p w14:paraId="51C1E340" w14:textId="43FCDF5B" w:rsidR="0093244E" w:rsidRPr="0078472B" w:rsidRDefault="0093244E" w:rsidP="001A07BA">
      <w:pPr>
        <w:spacing w:after="0" w:line="240" w:lineRule="auto"/>
        <w:jc w:val="both"/>
        <w:rPr>
          <w:rFonts w:ascii="Times New Roman" w:hAnsi="Times New Roman" w:cs="Times New Roman"/>
          <w:b/>
          <w:color w:val="000000" w:themeColor="text1"/>
          <w:sz w:val="24"/>
          <w:szCs w:val="24"/>
        </w:rPr>
      </w:pPr>
      <w:r w:rsidRPr="0078472B">
        <w:rPr>
          <w:rFonts w:ascii="Times New Roman" w:hAnsi="Times New Roman" w:cs="Times New Roman"/>
          <w:b/>
          <w:color w:val="000000" w:themeColor="text1"/>
          <w:sz w:val="24"/>
          <w:szCs w:val="24"/>
        </w:rPr>
        <w:t>Figures</w:t>
      </w:r>
    </w:p>
    <w:p w14:paraId="5711722F" w14:textId="5E49BE4D" w:rsidR="0093244E" w:rsidRPr="0078472B" w:rsidRDefault="0093244E" w:rsidP="001A07BA">
      <w:pPr>
        <w:spacing w:after="0" w:line="240" w:lineRule="auto"/>
        <w:jc w:val="both"/>
        <w:rPr>
          <w:rFonts w:ascii="Times New Roman" w:hAnsi="Times New Roman" w:cs="Times New Roman"/>
          <w:b/>
          <w:color w:val="000000" w:themeColor="text1"/>
          <w:sz w:val="24"/>
          <w:szCs w:val="24"/>
        </w:rPr>
      </w:pPr>
    </w:p>
    <w:p w14:paraId="5C17EBD2" w14:textId="3F09BEE6" w:rsidR="0093244E" w:rsidRPr="0078472B" w:rsidRDefault="00D63F02" w:rsidP="001A07B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8472B">
        <w:rPr>
          <w:rFonts w:ascii="Times New Roman" w:hAnsi="Times New Roman" w:cs="Times New Roman"/>
          <w:noProof/>
          <w:color w:val="000000" w:themeColor="text1"/>
          <w:sz w:val="24"/>
          <w:szCs w:val="24"/>
          <w:lang w:eastAsia="en-GB"/>
        </w:rPr>
        <w:drawing>
          <wp:inline distT="0" distB="0" distL="0" distR="0" wp14:anchorId="73ED603B" wp14:editId="7491C01A">
            <wp:extent cx="3002642" cy="4557369"/>
            <wp:effectExtent l="0" t="0" r="7620" b="0"/>
            <wp:docPr id="1"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artta_sininen_spektri_racetrack.png"/>
                    <pic:cNvPicPr/>
                  </pic:nvPicPr>
                  <pic:blipFill>
                    <a:blip r:embed="rId18">
                      <a:grayscl/>
                      <a:extLst>
                        <a:ext uri="{28A0092B-C50C-407E-A947-70E740481C1C}">
                          <a14:useLocalDpi xmlns:a14="http://schemas.microsoft.com/office/drawing/2010/main" val="0"/>
                        </a:ext>
                      </a:extLst>
                    </a:blip>
                    <a:stretch>
                      <a:fillRect/>
                    </a:stretch>
                  </pic:blipFill>
                  <pic:spPr>
                    <a:xfrm>
                      <a:off x="0" y="0"/>
                      <a:ext cx="3007405" cy="4564599"/>
                    </a:xfrm>
                    <a:prstGeom prst="rect">
                      <a:avLst/>
                    </a:prstGeom>
                  </pic:spPr>
                </pic:pic>
              </a:graphicData>
            </a:graphic>
          </wp:inline>
        </w:drawing>
      </w:r>
    </w:p>
    <w:p w14:paraId="1CBEB2A1" w14:textId="77777777" w:rsidR="0093244E" w:rsidRPr="0078472B" w:rsidRDefault="0093244E" w:rsidP="001A07BA">
      <w:pPr>
        <w:autoSpaceDE w:val="0"/>
        <w:autoSpaceDN w:val="0"/>
        <w:adjustRightInd w:val="0"/>
        <w:spacing w:after="0" w:line="240" w:lineRule="auto"/>
        <w:rPr>
          <w:rFonts w:ascii="Times New Roman" w:hAnsi="Times New Roman" w:cs="Times New Roman"/>
          <w:color w:val="000000" w:themeColor="text1"/>
          <w:sz w:val="24"/>
          <w:szCs w:val="24"/>
        </w:rPr>
      </w:pPr>
      <w:r w:rsidRPr="0078472B">
        <w:rPr>
          <w:rFonts w:ascii="Times New Roman" w:hAnsi="Times New Roman" w:cs="Times New Roman"/>
          <w:b/>
          <w:color w:val="000000" w:themeColor="text1"/>
          <w:sz w:val="24"/>
          <w:szCs w:val="24"/>
        </w:rPr>
        <w:t>Figure 1.</w:t>
      </w:r>
      <w:r w:rsidRPr="0078472B">
        <w:rPr>
          <w:rFonts w:ascii="Times New Roman" w:hAnsi="Times New Roman" w:cs="Times New Roman"/>
          <w:color w:val="000000" w:themeColor="text1"/>
          <w:sz w:val="24"/>
          <w:szCs w:val="24"/>
        </w:rPr>
        <w:t xml:space="preserve"> Average wagering in each municipality in August 2012.</w:t>
      </w:r>
    </w:p>
    <w:p w14:paraId="4E168B3B" w14:textId="77777777" w:rsidR="0093244E" w:rsidRPr="0078472B" w:rsidRDefault="0093244E" w:rsidP="001A07BA">
      <w:pPr>
        <w:spacing w:after="0" w:line="240" w:lineRule="auto"/>
        <w:jc w:val="both"/>
        <w:rPr>
          <w:rFonts w:ascii="Times New Roman" w:hAnsi="Times New Roman" w:cs="Times New Roman"/>
          <w:b/>
          <w:color w:val="000000" w:themeColor="text1"/>
          <w:sz w:val="24"/>
          <w:szCs w:val="24"/>
        </w:rPr>
      </w:pPr>
    </w:p>
    <w:p w14:paraId="7A6B2D5A" w14:textId="22734C1A" w:rsidR="00965C39" w:rsidRPr="0078472B" w:rsidRDefault="00965C39" w:rsidP="001A07BA">
      <w:pPr>
        <w:spacing w:after="0" w:line="240" w:lineRule="auto"/>
        <w:jc w:val="both"/>
        <w:rPr>
          <w:rFonts w:ascii="Times New Roman" w:hAnsi="Times New Roman" w:cs="Times New Roman"/>
          <w:b/>
          <w:color w:val="000000" w:themeColor="text1"/>
          <w:sz w:val="24"/>
          <w:szCs w:val="24"/>
        </w:rPr>
      </w:pPr>
    </w:p>
    <w:p w14:paraId="3C3B427C" w14:textId="48725BFF" w:rsidR="0020170F" w:rsidRPr="0078472B" w:rsidRDefault="0020170F" w:rsidP="001A07BA">
      <w:pPr>
        <w:spacing w:after="0" w:line="240" w:lineRule="auto"/>
        <w:jc w:val="both"/>
        <w:rPr>
          <w:rFonts w:ascii="Times New Roman" w:hAnsi="Times New Roman" w:cs="Times New Roman"/>
          <w:b/>
          <w:color w:val="000000" w:themeColor="text1"/>
          <w:sz w:val="24"/>
          <w:szCs w:val="24"/>
        </w:rPr>
      </w:pPr>
    </w:p>
    <w:p w14:paraId="66403461" w14:textId="482658E9" w:rsidR="0020170F" w:rsidRPr="0078472B" w:rsidRDefault="0020170F" w:rsidP="001A07BA">
      <w:pPr>
        <w:spacing w:after="0" w:line="240" w:lineRule="auto"/>
        <w:jc w:val="both"/>
        <w:rPr>
          <w:rFonts w:ascii="Times New Roman" w:hAnsi="Times New Roman" w:cs="Times New Roman"/>
          <w:b/>
          <w:color w:val="000000" w:themeColor="text1"/>
          <w:sz w:val="24"/>
          <w:szCs w:val="24"/>
        </w:rPr>
      </w:pPr>
    </w:p>
    <w:p w14:paraId="022DBD29" w14:textId="2FBE918E" w:rsidR="0020170F" w:rsidRPr="0078472B" w:rsidRDefault="0020170F" w:rsidP="001A07BA">
      <w:pPr>
        <w:spacing w:after="0" w:line="240" w:lineRule="auto"/>
        <w:jc w:val="both"/>
        <w:rPr>
          <w:rFonts w:ascii="Times New Roman" w:hAnsi="Times New Roman" w:cs="Times New Roman"/>
          <w:b/>
          <w:color w:val="000000" w:themeColor="text1"/>
          <w:sz w:val="24"/>
          <w:szCs w:val="24"/>
        </w:rPr>
      </w:pPr>
    </w:p>
    <w:p w14:paraId="3CE2CF41" w14:textId="6435B2D9" w:rsidR="0020170F" w:rsidRPr="0078472B" w:rsidRDefault="0020170F" w:rsidP="001A07BA">
      <w:pPr>
        <w:spacing w:after="0" w:line="240" w:lineRule="auto"/>
        <w:jc w:val="both"/>
        <w:rPr>
          <w:rFonts w:ascii="Times New Roman" w:hAnsi="Times New Roman" w:cs="Times New Roman"/>
          <w:b/>
          <w:color w:val="000000" w:themeColor="text1"/>
          <w:sz w:val="24"/>
          <w:szCs w:val="24"/>
        </w:rPr>
      </w:pPr>
    </w:p>
    <w:p w14:paraId="7B1B1E8C" w14:textId="5A6FDA64" w:rsidR="0020170F" w:rsidRPr="0078472B" w:rsidRDefault="0020170F" w:rsidP="001A07BA">
      <w:pPr>
        <w:spacing w:after="0" w:line="240" w:lineRule="auto"/>
        <w:jc w:val="both"/>
        <w:rPr>
          <w:rFonts w:ascii="Times New Roman" w:hAnsi="Times New Roman" w:cs="Times New Roman"/>
          <w:b/>
          <w:color w:val="000000" w:themeColor="text1"/>
          <w:sz w:val="24"/>
          <w:szCs w:val="24"/>
        </w:rPr>
      </w:pPr>
    </w:p>
    <w:p w14:paraId="101A2026" w14:textId="555001E8" w:rsidR="0020170F" w:rsidRPr="0078472B" w:rsidRDefault="0020170F" w:rsidP="001A07BA">
      <w:pPr>
        <w:spacing w:after="0" w:line="240" w:lineRule="auto"/>
        <w:jc w:val="both"/>
        <w:rPr>
          <w:rFonts w:ascii="Times New Roman" w:hAnsi="Times New Roman" w:cs="Times New Roman"/>
          <w:b/>
          <w:color w:val="000000" w:themeColor="text1"/>
          <w:sz w:val="24"/>
          <w:szCs w:val="24"/>
        </w:rPr>
      </w:pPr>
    </w:p>
    <w:p w14:paraId="796612A5" w14:textId="5BE63D53" w:rsidR="0020170F" w:rsidRPr="0078472B" w:rsidRDefault="0020170F" w:rsidP="001A07BA">
      <w:pPr>
        <w:spacing w:after="0" w:line="240" w:lineRule="auto"/>
        <w:jc w:val="both"/>
        <w:rPr>
          <w:rFonts w:ascii="Times New Roman" w:hAnsi="Times New Roman" w:cs="Times New Roman"/>
          <w:b/>
          <w:color w:val="000000" w:themeColor="text1"/>
          <w:sz w:val="24"/>
          <w:szCs w:val="24"/>
        </w:rPr>
      </w:pPr>
    </w:p>
    <w:p w14:paraId="2ACB7CE2" w14:textId="5B82BADF" w:rsidR="0020170F" w:rsidRPr="0078472B" w:rsidRDefault="0020170F" w:rsidP="001A07BA">
      <w:pPr>
        <w:spacing w:after="0" w:line="240" w:lineRule="auto"/>
        <w:jc w:val="both"/>
        <w:rPr>
          <w:rFonts w:ascii="Times New Roman" w:hAnsi="Times New Roman" w:cs="Times New Roman"/>
          <w:b/>
          <w:color w:val="000000" w:themeColor="text1"/>
          <w:sz w:val="24"/>
          <w:szCs w:val="24"/>
        </w:rPr>
      </w:pPr>
    </w:p>
    <w:p w14:paraId="4147F5DF" w14:textId="00B04555" w:rsidR="0020170F" w:rsidRPr="0078472B" w:rsidRDefault="0020170F" w:rsidP="001A07BA">
      <w:pPr>
        <w:spacing w:after="0" w:line="240" w:lineRule="auto"/>
        <w:jc w:val="both"/>
        <w:rPr>
          <w:rFonts w:ascii="Times New Roman" w:hAnsi="Times New Roman" w:cs="Times New Roman"/>
          <w:b/>
          <w:color w:val="000000" w:themeColor="text1"/>
          <w:sz w:val="24"/>
          <w:szCs w:val="24"/>
        </w:rPr>
      </w:pPr>
    </w:p>
    <w:p w14:paraId="05606EC7" w14:textId="5F8671CE" w:rsidR="0020170F" w:rsidRPr="0078472B" w:rsidRDefault="0020170F" w:rsidP="001A07BA">
      <w:pPr>
        <w:spacing w:after="0" w:line="240" w:lineRule="auto"/>
        <w:jc w:val="both"/>
        <w:rPr>
          <w:rFonts w:ascii="Times New Roman" w:hAnsi="Times New Roman" w:cs="Times New Roman"/>
          <w:b/>
          <w:color w:val="000000" w:themeColor="text1"/>
          <w:sz w:val="24"/>
          <w:szCs w:val="24"/>
        </w:rPr>
      </w:pPr>
    </w:p>
    <w:p w14:paraId="43C8C2EF" w14:textId="07EB3646" w:rsidR="0020170F" w:rsidRPr="0078472B" w:rsidRDefault="0020170F" w:rsidP="001A07BA">
      <w:pPr>
        <w:spacing w:after="0" w:line="240" w:lineRule="auto"/>
        <w:jc w:val="both"/>
        <w:rPr>
          <w:rFonts w:ascii="Times New Roman" w:hAnsi="Times New Roman" w:cs="Times New Roman"/>
          <w:b/>
          <w:color w:val="000000" w:themeColor="text1"/>
          <w:sz w:val="24"/>
          <w:szCs w:val="24"/>
        </w:rPr>
      </w:pPr>
    </w:p>
    <w:p w14:paraId="658DE109" w14:textId="0EFF0CA9" w:rsidR="0020170F" w:rsidRPr="0078472B" w:rsidRDefault="0020170F" w:rsidP="001A07BA">
      <w:pPr>
        <w:spacing w:after="0" w:line="240" w:lineRule="auto"/>
        <w:jc w:val="both"/>
        <w:rPr>
          <w:rFonts w:ascii="Times New Roman" w:hAnsi="Times New Roman" w:cs="Times New Roman"/>
          <w:b/>
          <w:color w:val="000000" w:themeColor="text1"/>
          <w:sz w:val="24"/>
          <w:szCs w:val="24"/>
        </w:rPr>
      </w:pPr>
    </w:p>
    <w:p w14:paraId="69956291" w14:textId="22F35734" w:rsidR="0020170F" w:rsidRPr="0078472B" w:rsidRDefault="0020170F" w:rsidP="001A07BA">
      <w:pPr>
        <w:spacing w:after="0" w:line="240" w:lineRule="auto"/>
        <w:jc w:val="both"/>
        <w:rPr>
          <w:rFonts w:ascii="Times New Roman" w:hAnsi="Times New Roman" w:cs="Times New Roman"/>
          <w:b/>
          <w:color w:val="000000" w:themeColor="text1"/>
          <w:sz w:val="24"/>
          <w:szCs w:val="24"/>
        </w:rPr>
      </w:pPr>
    </w:p>
    <w:sectPr w:rsidR="0020170F" w:rsidRPr="0078472B" w:rsidSect="00A540E5">
      <w:footerReference w:type="default" r:id="rId19"/>
      <w:pgSz w:w="11906" w:h="16838"/>
      <w:pgMar w:top="2160" w:right="2160" w:bottom="2160" w:left="21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9B36A" w14:textId="77777777" w:rsidR="00997F8C" w:rsidRDefault="00997F8C" w:rsidP="00F14902">
      <w:pPr>
        <w:spacing w:after="0" w:line="240" w:lineRule="auto"/>
      </w:pPr>
      <w:r>
        <w:separator/>
      </w:r>
    </w:p>
  </w:endnote>
  <w:endnote w:type="continuationSeparator" w:id="0">
    <w:p w14:paraId="66065903" w14:textId="77777777" w:rsidR="00997F8C" w:rsidRDefault="00997F8C" w:rsidP="00F1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984908"/>
      <w:docPartObj>
        <w:docPartGallery w:val="Page Numbers (Bottom of Page)"/>
        <w:docPartUnique/>
      </w:docPartObj>
    </w:sdtPr>
    <w:sdtEndPr>
      <w:rPr>
        <w:noProof/>
      </w:rPr>
    </w:sdtEndPr>
    <w:sdtContent>
      <w:p w14:paraId="6E1E3DE9" w14:textId="196422FE" w:rsidR="000967B6" w:rsidRDefault="000967B6">
        <w:pPr>
          <w:pStyle w:val="Footer"/>
          <w:jc w:val="right"/>
        </w:pPr>
        <w:r>
          <w:fldChar w:fldCharType="begin"/>
        </w:r>
        <w:r>
          <w:instrText xml:space="preserve"> PAGE   \* MERGEFORMAT </w:instrText>
        </w:r>
        <w:r>
          <w:fldChar w:fldCharType="separate"/>
        </w:r>
        <w:r w:rsidR="009741AA">
          <w:rPr>
            <w:noProof/>
          </w:rPr>
          <w:t>1</w:t>
        </w:r>
        <w:r>
          <w:rPr>
            <w:noProof/>
          </w:rPr>
          <w:fldChar w:fldCharType="end"/>
        </w:r>
      </w:p>
    </w:sdtContent>
  </w:sdt>
  <w:p w14:paraId="0846C0FB" w14:textId="77777777" w:rsidR="000967B6" w:rsidRDefault="00096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AE018" w14:textId="77777777" w:rsidR="00997F8C" w:rsidRDefault="00997F8C" w:rsidP="00F14902">
      <w:pPr>
        <w:spacing w:after="0" w:line="240" w:lineRule="auto"/>
      </w:pPr>
      <w:r>
        <w:separator/>
      </w:r>
    </w:p>
  </w:footnote>
  <w:footnote w:type="continuationSeparator" w:id="0">
    <w:p w14:paraId="1DE87C5D" w14:textId="77777777" w:rsidR="00997F8C" w:rsidRDefault="00997F8C" w:rsidP="00F14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01D3"/>
    <w:multiLevelType w:val="hybridMultilevel"/>
    <w:tmpl w:val="52667D54"/>
    <w:lvl w:ilvl="0" w:tplc="EE48CD7A">
      <w:start w:val="19"/>
      <w:numFmt w:val="bullet"/>
      <w:lvlText w:val=""/>
      <w:lvlJc w:val="left"/>
      <w:pPr>
        <w:ind w:left="720" w:hanging="360"/>
      </w:pPr>
      <w:rPr>
        <w:rFonts w:ascii="Symbol" w:eastAsiaTheme="majorEastAsia" w:hAnsi="Symbol" w:cs="Times New Roman"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DD7BEF"/>
    <w:multiLevelType w:val="hybridMultilevel"/>
    <w:tmpl w:val="75D012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0164B0"/>
    <w:multiLevelType w:val="hybridMultilevel"/>
    <w:tmpl w:val="FED621CA"/>
    <w:lvl w:ilvl="0" w:tplc="DCF2F33C">
      <w:start w:val="1"/>
      <w:numFmt w:val="bullet"/>
      <w:lvlText w:val=""/>
      <w:lvlJc w:val="left"/>
      <w:pPr>
        <w:ind w:left="720" w:hanging="360"/>
      </w:pPr>
      <w:rPr>
        <w:rFonts w:ascii="Wingdings" w:eastAsiaTheme="minorHAnsi"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6B4CD8"/>
    <w:multiLevelType w:val="hybridMultilevel"/>
    <w:tmpl w:val="0A76A59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4361049"/>
    <w:multiLevelType w:val="hybridMultilevel"/>
    <w:tmpl w:val="C8BC6E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4506BD2"/>
    <w:multiLevelType w:val="hybridMultilevel"/>
    <w:tmpl w:val="6936C0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3EC49C7"/>
    <w:multiLevelType w:val="hybridMultilevel"/>
    <w:tmpl w:val="690662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460241A"/>
    <w:multiLevelType w:val="hybridMultilevel"/>
    <w:tmpl w:val="55E468DA"/>
    <w:lvl w:ilvl="0" w:tplc="B39ACB6A">
      <w:start w:val="19"/>
      <w:numFmt w:val="bullet"/>
      <w:lvlText w:val=""/>
      <w:lvlJc w:val="left"/>
      <w:pPr>
        <w:ind w:left="720" w:hanging="360"/>
      </w:pPr>
      <w:rPr>
        <w:rFonts w:ascii="Symbol" w:eastAsiaTheme="majorEastAsia"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35E0C77"/>
    <w:multiLevelType w:val="hybridMultilevel"/>
    <w:tmpl w:val="7298C3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6607A57"/>
    <w:multiLevelType w:val="hybridMultilevel"/>
    <w:tmpl w:val="CE94B9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0B6726E"/>
    <w:multiLevelType w:val="hybridMultilevel"/>
    <w:tmpl w:val="3CFAA5D6"/>
    <w:lvl w:ilvl="0" w:tplc="0866AF80">
      <w:start w:val="19"/>
      <w:numFmt w:val="bullet"/>
      <w:lvlText w:val=""/>
      <w:lvlJc w:val="left"/>
      <w:pPr>
        <w:ind w:left="720" w:hanging="360"/>
      </w:pPr>
      <w:rPr>
        <w:rFonts w:ascii="Symbol" w:eastAsiaTheme="majorEastAsia"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82C361D"/>
    <w:multiLevelType w:val="hybridMultilevel"/>
    <w:tmpl w:val="3F305D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3"/>
  </w:num>
  <w:num w:numId="5">
    <w:abstractNumId w:val="1"/>
  </w:num>
  <w:num w:numId="6">
    <w:abstractNumId w:val="11"/>
  </w:num>
  <w:num w:numId="7">
    <w:abstractNumId w:val="5"/>
  </w:num>
  <w:num w:numId="8">
    <w:abstractNumId w:val="6"/>
  </w:num>
  <w:num w:numId="9">
    <w:abstractNumId w:val="8"/>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fi-FI"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i-FI"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02"/>
    <w:rsid w:val="000001B1"/>
    <w:rsid w:val="0000192F"/>
    <w:rsid w:val="00001C13"/>
    <w:rsid w:val="0000231A"/>
    <w:rsid w:val="00002ECF"/>
    <w:rsid w:val="00003ED9"/>
    <w:rsid w:val="000055B9"/>
    <w:rsid w:val="000059D0"/>
    <w:rsid w:val="00005F2D"/>
    <w:rsid w:val="00010CAA"/>
    <w:rsid w:val="00012672"/>
    <w:rsid w:val="00012835"/>
    <w:rsid w:val="00013550"/>
    <w:rsid w:val="00013AD5"/>
    <w:rsid w:val="00014998"/>
    <w:rsid w:val="00015E90"/>
    <w:rsid w:val="00020376"/>
    <w:rsid w:val="00021FF5"/>
    <w:rsid w:val="000235E6"/>
    <w:rsid w:val="00024371"/>
    <w:rsid w:val="000255D7"/>
    <w:rsid w:val="00032B95"/>
    <w:rsid w:val="000408D5"/>
    <w:rsid w:val="00041915"/>
    <w:rsid w:val="00042D11"/>
    <w:rsid w:val="00042FB2"/>
    <w:rsid w:val="00044715"/>
    <w:rsid w:val="00050C80"/>
    <w:rsid w:val="00051619"/>
    <w:rsid w:val="00051B37"/>
    <w:rsid w:val="00053038"/>
    <w:rsid w:val="00055CC1"/>
    <w:rsid w:val="00057349"/>
    <w:rsid w:val="00057656"/>
    <w:rsid w:val="00057898"/>
    <w:rsid w:val="00060E3F"/>
    <w:rsid w:val="000641C4"/>
    <w:rsid w:val="0006423B"/>
    <w:rsid w:val="00064FEC"/>
    <w:rsid w:val="000700D6"/>
    <w:rsid w:val="00070883"/>
    <w:rsid w:val="000710A0"/>
    <w:rsid w:val="0007739D"/>
    <w:rsid w:val="00077E10"/>
    <w:rsid w:val="000830CF"/>
    <w:rsid w:val="00083E6E"/>
    <w:rsid w:val="000850BC"/>
    <w:rsid w:val="00086121"/>
    <w:rsid w:val="000900CD"/>
    <w:rsid w:val="000901FA"/>
    <w:rsid w:val="00091168"/>
    <w:rsid w:val="000925C9"/>
    <w:rsid w:val="00092CDE"/>
    <w:rsid w:val="00094017"/>
    <w:rsid w:val="000945C5"/>
    <w:rsid w:val="00094989"/>
    <w:rsid w:val="000967B6"/>
    <w:rsid w:val="0009686E"/>
    <w:rsid w:val="00096D19"/>
    <w:rsid w:val="00096D5C"/>
    <w:rsid w:val="00097979"/>
    <w:rsid w:val="00097EAE"/>
    <w:rsid w:val="000A088D"/>
    <w:rsid w:val="000A367F"/>
    <w:rsid w:val="000A54A4"/>
    <w:rsid w:val="000A5801"/>
    <w:rsid w:val="000A5B96"/>
    <w:rsid w:val="000A7244"/>
    <w:rsid w:val="000A73FF"/>
    <w:rsid w:val="000B0D79"/>
    <w:rsid w:val="000B2919"/>
    <w:rsid w:val="000B407D"/>
    <w:rsid w:val="000B48A4"/>
    <w:rsid w:val="000B4F9A"/>
    <w:rsid w:val="000B55C8"/>
    <w:rsid w:val="000B5BA3"/>
    <w:rsid w:val="000B6DD5"/>
    <w:rsid w:val="000B725A"/>
    <w:rsid w:val="000C07BF"/>
    <w:rsid w:val="000C320C"/>
    <w:rsid w:val="000C3239"/>
    <w:rsid w:val="000C3703"/>
    <w:rsid w:val="000C3EE7"/>
    <w:rsid w:val="000C4906"/>
    <w:rsid w:val="000C5C9D"/>
    <w:rsid w:val="000C6600"/>
    <w:rsid w:val="000C67E3"/>
    <w:rsid w:val="000D022B"/>
    <w:rsid w:val="000D0D02"/>
    <w:rsid w:val="000D16FF"/>
    <w:rsid w:val="000D287A"/>
    <w:rsid w:val="000D2EE7"/>
    <w:rsid w:val="000D33C3"/>
    <w:rsid w:val="000D3C97"/>
    <w:rsid w:val="000D4936"/>
    <w:rsid w:val="000D49C0"/>
    <w:rsid w:val="000D50B2"/>
    <w:rsid w:val="000D612E"/>
    <w:rsid w:val="000D7736"/>
    <w:rsid w:val="000D7B64"/>
    <w:rsid w:val="000E1759"/>
    <w:rsid w:val="000E3DC5"/>
    <w:rsid w:val="000E4795"/>
    <w:rsid w:val="000E5EE2"/>
    <w:rsid w:val="000E7B46"/>
    <w:rsid w:val="000F1597"/>
    <w:rsid w:val="000F256E"/>
    <w:rsid w:val="000F447E"/>
    <w:rsid w:val="000F48D2"/>
    <w:rsid w:val="00102074"/>
    <w:rsid w:val="00102F50"/>
    <w:rsid w:val="00103956"/>
    <w:rsid w:val="00103D66"/>
    <w:rsid w:val="00103FC4"/>
    <w:rsid w:val="00104467"/>
    <w:rsid w:val="0010514A"/>
    <w:rsid w:val="00107A33"/>
    <w:rsid w:val="00110BB3"/>
    <w:rsid w:val="00111BE1"/>
    <w:rsid w:val="00112BF3"/>
    <w:rsid w:val="00116DE8"/>
    <w:rsid w:val="0011760F"/>
    <w:rsid w:val="0012516B"/>
    <w:rsid w:val="00130AA7"/>
    <w:rsid w:val="00137A04"/>
    <w:rsid w:val="001413D9"/>
    <w:rsid w:val="00141930"/>
    <w:rsid w:val="00141E8C"/>
    <w:rsid w:val="00144B00"/>
    <w:rsid w:val="0014545B"/>
    <w:rsid w:val="001462ED"/>
    <w:rsid w:val="00147FFD"/>
    <w:rsid w:val="001502C2"/>
    <w:rsid w:val="00150A80"/>
    <w:rsid w:val="00151E06"/>
    <w:rsid w:val="001525A5"/>
    <w:rsid w:val="00152C27"/>
    <w:rsid w:val="00154593"/>
    <w:rsid w:val="00154A7D"/>
    <w:rsid w:val="0015531D"/>
    <w:rsid w:val="001565F2"/>
    <w:rsid w:val="00156AD7"/>
    <w:rsid w:val="00157B2D"/>
    <w:rsid w:val="00161B69"/>
    <w:rsid w:val="00161DBF"/>
    <w:rsid w:val="0016297E"/>
    <w:rsid w:val="00163777"/>
    <w:rsid w:val="0016429A"/>
    <w:rsid w:val="00165BAA"/>
    <w:rsid w:val="00165BDD"/>
    <w:rsid w:val="001662E7"/>
    <w:rsid w:val="00174033"/>
    <w:rsid w:val="00177BA6"/>
    <w:rsid w:val="00182B81"/>
    <w:rsid w:val="00184A80"/>
    <w:rsid w:val="00185519"/>
    <w:rsid w:val="0019158E"/>
    <w:rsid w:val="001916A4"/>
    <w:rsid w:val="001918A1"/>
    <w:rsid w:val="00191A3E"/>
    <w:rsid w:val="00191FC0"/>
    <w:rsid w:val="00192041"/>
    <w:rsid w:val="00197400"/>
    <w:rsid w:val="001A07BA"/>
    <w:rsid w:val="001A0EB7"/>
    <w:rsid w:val="001A49AD"/>
    <w:rsid w:val="001A5B35"/>
    <w:rsid w:val="001A7661"/>
    <w:rsid w:val="001B39B7"/>
    <w:rsid w:val="001B63E6"/>
    <w:rsid w:val="001C111B"/>
    <w:rsid w:val="001C25FA"/>
    <w:rsid w:val="001C2C4E"/>
    <w:rsid w:val="001C2DE6"/>
    <w:rsid w:val="001C4266"/>
    <w:rsid w:val="001C445F"/>
    <w:rsid w:val="001C4A17"/>
    <w:rsid w:val="001C6CE4"/>
    <w:rsid w:val="001D0361"/>
    <w:rsid w:val="001D2141"/>
    <w:rsid w:val="001D3B47"/>
    <w:rsid w:val="001D5E4B"/>
    <w:rsid w:val="001D6123"/>
    <w:rsid w:val="001D7A29"/>
    <w:rsid w:val="001E11A4"/>
    <w:rsid w:val="001E20C0"/>
    <w:rsid w:val="001E48B5"/>
    <w:rsid w:val="001E4CD5"/>
    <w:rsid w:val="001E6576"/>
    <w:rsid w:val="001E6CB5"/>
    <w:rsid w:val="001E78E4"/>
    <w:rsid w:val="001F0038"/>
    <w:rsid w:val="001F181D"/>
    <w:rsid w:val="001F1BBE"/>
    <w:rsid w:val="001F38F4"/>
    <w:rsid w:val="001F445A"/>
    <w:rsid w:val="001F7456"/>
    <w:rsid w:val="00200651"/>
    <w:rsid w:val="002010B1"/>
    <w:rsid w:val="0020170F"/>
    <w:rsid w:val="00201E61"/>
    <w:rsid w:val="002021CD"/>
    <w:rsid w:val="002023F0"/>
    <w:rsid w:val="00202883"/>
    <w:rsid w:val="0020321A"/>
    <w:rsid w:val="00205784"/>
    <w:rsid w:val="00205D75"/>
    <w:rsid w:val="002131A0"/>
    <w:rsid w:val="00216061"/>
    <w:rsid w:val="00216479"/>
    <w:rsid w:val="00221C78"/>
    <w:rsid w:val="002232BF"/>
    <w:rsid w:val="002256C6"/>
    <w:rsid w:val="0022655C"/>
    <w:rsid w:val="0022787E"/>
    <w:rsid w:val="00231651"/>
    <w:rsid w:val="00232066"/>
    <w:rsid w:val="00232F7B"/>
    <w:rsid w:val="002331DB"/>
    <w:rsid w:val="0023442F"/>
    <w:rsid w:val="0023596D"/>
    <w:rsid w:val="002361CE"/>
    <w:rsid w:val="00240631"/>
    <w:rsid w:val="00240D6D"/>
    <w:rsid w:val="00241CE7"/>
    <w:rsid w:val="00243530"/>
    <w:rsid w:val="00246591"/>
    <w:rsid w:val="00247AD8"/>
    <w:rsid w:val="00250227"/>
    <w:rsid w:val="0025074A"/>
    <w:rsid w:val="00251B98"/>
    <w:rsid w:val="002544D0"/>
    <w:rsid w:val="002555A3"/>
    <w:rsid w:val="0025628E"/>
    <w:rsid w:val="00260EB4"/>
    <w:rsid w:val="002614E7"/>
    <w:rsid w:val="00262F57"/>
    <w:rsid w:val="0026310F"/>
    <w:rsid w:val="0026496F"/>
    <w:rsid w:val="00264E61"/>
    <w:rsid w:val="00267330"/>
    <w:rsid w:val="00270D03"/>
    <w:rsid w:val="00270E98"/>
    <w:rsid w:val="00271A25"/>
    <w:rsid w:val="00271DCC"/>
    <w:rsid w:val="0027338C"/>
    <w:rsid w:val="002749A2"/>
    <w:rsid w:val="002757F3"/>
    <w:rsid w:val="0027590F"/>
    <w:rsid w:val="00276A0E"/>
    <w:rsid w:val="00277813"/>
    <w:rsid w:val="002809D6"/>
    <w:rsid w:val="00280D04"/>
    <w:rsid w:val="00282468"/>
    <w:rsid w:val="0028260B"/>
    <w:rsid w:val="0028263C"/>
    <w:rsid w:val="00283412"/>
    <w:rsid w:val="00283F83"/>
    <w:rsid w:val="00284DF4"/>
    <w:rsid w:val="00286B8F"/>
    <w:rsid w:val="0028759F"/>
    <w:rsid w:val="00287C0B"/>
    <w:rsid w:val="002912BA"/>
    <w:rsid w:val="00292655"/>
    <w:rsid w:val="002963F7"/>
    <w:rsid w:val="00297293"/>
    <w:rsid w:val="0029762E"/>
    <w:rsid w:val="002A0803"/>
    <w:rsid w:val="002A0CA0"/>
    <w:rsid w:val="002A2134"/>
    <w:rsid w:val="002A2CFC"/>
    <w:rsid w:val="002A3719"/>
    <w:rsid w:val="002A4B87"/>
    <w:rsid w:val="002A58F7"/>
    <w:rsid w:val="002A6868"/>
    <w:rsid w:val="002A6D64"/>
    <w:rsid w:val="002A74F1"/>
    <w:rsid w:val="002B028F"/>
    <w:rsid w:val="002B0384"/>
    <w:rsid w:val="002B08EA"/>
    <w:rsid w:val="002B0C9F"/>
    <w:rsid w:val="002B24A7"/>
    <w:rsid w:val="002B3845"/>
    <w:rsid w:val="002B3A83"/>
    <w:rsid w:val="002B57B2"/>
    <w:rsid w:val="002C0291"/>
    <w:rsid w:val="002C40FE"/>
    <w:rsid w:val="002C4198"/>
    <w:rsid w:val="002C53B5"/>
    <w:rsid w:val="002C55B6"/>
    <w:rsid w:val="002C5D82"/>
    <w:rsid w:val="002C645B"/>
    <w:rsid w:val="002C6EA9"/>
    <w:rsid w:val="002C6FE8"/>
    <w:rsid w:val="002C7463"/>
    <w:rsid w:val="002D0EDF"/>
    <w:rsid w:val="002D0EFE"/>
    <w:rsid w:val="002D2313"/>
    <w:rsid w:val="002D2465"/>
    <w:rsid w:val="002D3D3F"/>
    <w:rsid w:val="002D404A"/>
    <w:rsid w:val="002D405C"/>
    <w:rsid w:val="002D71AE"/>
    <w:rsid w:val="002D77EB"/>
    <w:rsid w:val="002D78A3"/>
    <w:rsid w:val="002E1A65"/>
    <w:rsid w:val="002E1C42"/>
    <w:rsid w:val="002E2115"/>
    <w:rsid w:val="002E38B1"/>
    <w:rsid w:val="002E58C5"/>
    <w:rsid w:val="002F0463"/>
    <w:rsid w:val="002F3FCF"/>
    <w:rsid w:val="002F5148"/>
    <w:rsid w:val="002F5312"/>
    <w:rsid w:val="002F657D"/>
    <w:rsid w:val="00300440"/>
    <w:rsid w:val="0030060F"/>
    <w:rsid w:val="00301A2B"/>
    <w:rsid w:val="003028BF"/>
    <w:rsid w:val="00303150"/>
    <w:rsid w:val="003031E3"/>
    <w:rsid w:val="003044E8"/>
    <w:rsid w:val="003044F4"/>
    <w:rsid w:val="00310471"/>
    <w:rsid w:val="003108D0"/>
    <w:rsid w:val="00310E2F"/>
    <w:rsid w:val="003139FA"/>
    <w:rsid w:val="0031667A"/>
    <w:rsid w:val="0031701A"/>
    <w:rsid w:val="0032456D"/>
    <w:rsid w:val="003266A0"/>
    <w:rsid w:val="003268A5"/>
    <w:rsid w:val="003269BB"/>
    <w:rsid w:val="00326F1A"/>
    <w:rsid w:val="003273C2"/>
    <w:rsid w:val="003275EA"/>
    <w:rsid w:val="00330BEC"/>
    <w:rsid w:val="00332192"/>
    <w:rsid w:val="00333754"/>
    <w:rsid w:val="0033410B"/>
    <w:rsid w:val="003346FB"/>
    <w:rsid w:val="003355B0"/>
    <w:rsid w:val="00335FE0"/>
    <w:rsid w:val="00336D97"/>
    <w:rsid w:val="00340034"/>
    <w:rsid w:val="0034050D"/>
    <w:rsid w:val="0034050E"/>
    <w:rsid w:val="00341E76"/>
    <w:rsid w:val="003423D7"/>
    <w:rsid w:val="00342FD7"/>
    <w:rsid w:val="003472D8"/>
    <w:rsid w:val="003472F5"/>
    <w:rsid w:val="00347462"/>
    <w:rsid w:val="00347A22"/>
    <w:rsid w:val="00350B4C"/>
    <w:rsid w:val="00353833"/>
    <w:rsid w:val="003600C7"/>
    <w:rsid w:val="003623FA"/>
    <w:rsid w:val="003632C7"/>
    <w:rsid w:val="00364F3F"/>
    <w:rsid w:val="0036680F"/>
    <w:rsid w:val="00366DF4"/>
    <w:rsid w:val="0037006A"/>
    <w:rsid w:val="00372429"/>
    <w:rsid w:val="00372B10"/>
    <w:rsid w:val="003734F3"/>
    <w:rsid w:val="0037368A"/>
    <w:rsid w:val="00376208"/>
    <w:rsid w:val="003763A4"/>
    <w:rsid w:val="00376FB6"/>
    <w:rsid w:val="00377367"/>
    <w:rsid w:val="00381F5D"/>
    <w:rsid w:val="00383053"/>
    <w:rsid w:val="0038720A"/>
    <w:rsid w:val="003908D4"/>
    <w:rsid w:val="003942DF"/>
    <w:rsid w:val="00394AC5"/>
    <w:rsid w:val="003A147E"/>
    <w:rsid w:val="003A318A"/>
    <w:rsid w:val="003A681D"/>
    <w:rsid w:val="003A7D30"/>
    <w:rsid w:val="003B31BD"/>
    <w:rsid w:val="003B3399"/>
    <w:rsid w:val="003B422F"/>
    <w:rsid w:val="003B60A4"/>
    <w:rsid w:val="003B6E5E"/>
    <w:rsid w:val="003C07AE"/>
    <w:rsid w:val="003C0F3C"/>
    <w:rsid w:val="003C1F5B"/>
    <w:rsid w:val="003C3111"/>
    <w:rsid w:val="003C38A4"/>
    <w:rsid w:val="003C5FED"/>
    <w:rsid w:val="003C61A1"/>
    <w:rsid w:val="003C74BF"/>
    <w:rsid w:val="003D3720"/>
    <w:rsid w:val="003D4A5F"/>
    <w:rsid w:val="003D5388"/>
    <w:rsid w:val="003D67D4"/>
    <w:rsid w:val="003D7FD6"/>
    <w:rsid w:val="003E0B00"/>
    <w:rsid w:val="003E2579"/>
    <w:rsid w:val="003E513B"/>
    <w:rsid w:val="003E5BED"/>
    <w:rsid w:val="003E7016"/>
    <w:rsid w:val="003F0CD4"/>
    <w:rsid w:val="003F0ED8"/>
    <w:rsid w:val="003F164C"/>
    <w:rsid w:val="003F17A0"/>
    <w:rsid w:val="003F1FA3"/>
    <w:rsid w:val="003F221E"/>
    <w:rsid w:val="003F5085"/>
    <w:rsid w:val="003F564F"/>
    <w:rsid w:val="004007B2"/>
    <w:rsid w:val="00401F3D"/>
    <w:rsid w:val="00403D5B"/>
    <w:rsid w:val="00404793"/>
    <w:rsid w:val="00406CC1"/>
    <w:rsid w:val="004070DC"/>
    <w:rsid w:val="00410A92"/>
    <w:rsid w:val="004115DC"/>
    <w:rsid w:val="00411CE7"/>
    <w:rsid w:val="00412734"/>
    <w:rsid w:val="0041384B"/>
    <w:rsid w:val="004148A5"/>
    <w:rsid w:val="00414900"/>
    <w:rsid w:val="004157D2"/>
    <w:rsid w:val="00416C7C"/>
    <w:rsid w:val="00417492"/>
    <w:rsid w:val="00421439"/>
    <w:rsid w:val="004222AF"/>
    <w:rsid w:val="0042240B"/>
    <w:rsid w:val="004242AA"/>
    <w:rsid w:val="004250E7"/>
    <w:rsid w:val="004258E0"/>
    <w:rsid w:val="00426835"/>
    <w:rsid w:val="0042697B"/>
    <w:rsid w:val="0043011C"/>
    <w:rsid w:val="004310B6"/>
    <w:rsid w:val="00431C45"/>
    <w:rsid w:val="00434B9A"/>
    <w:rsid w:val="00434DBE"/>
    <w:rsid w:val="00435098"/>
    <w:rsid w:val="00435A01"/>
    <w:rsid w:val="00436A87"/>
    <w:rsid w:val="00436AC4"/>
    <w:rsid w:val="00436EEA"/>
    <w:rsid w:val="00441862"/>
    <w:rsid w:val="0044341F"/>
    <w:rsid w:val="0044383A"/>
    <w:rsid w:val="00444E82"/>
    <w:rsid w:val="00455CEA"/>
    <w:rsid w:val="004574E6"/>
    <w:rsid w:val="00462788"/>
    <w:rsid w:val="004640F8"/>
    <w:rsid w:val="00464489"/>
    <w:rsid w:val="00466834"/>
    <w:rsid w:val="00467FC3"/>
    <w:rsid w:val="0047339B"/>
    <w:rsid w:val="004737CB"/>
    <w:rsid w:val="0047581F"/>
    <w:rsid w:val="00475A4E"/>
    <w:rsid w:val="0047642A"/>
    <w:rsid w:val="00476F02"/>
    <w:rsid w:val="004775F4"/>
    <w:rsid w:val="00481C68"/>
    <w:rsid w:val="004840A5"/>
    <w:rsid w:val="004844C5"/>
    <w:rsid w:val="0048513D"/>
    <w:rsid w:val="004853BE"/>
    <w:rsid w:val="00485446"/>
    <w:rsid w:val="0048726C"/>
    <w:rsid w:val="00487369"/>
    <w:rsid w:val="00490BCC"/>
    <w:rsid w:val="00491F7B"/>
    <w:rsid w:val="00493444"/>
    <w:rsid w:val="0049457B"/>
    <w:rsid w:val="00494708"/>
    <w:rsid w:val="00494FC1"/>
    <w:rsid w:val="00495053"/>
    <w:rsid w:val="004A0CD5"/>
    <w:rsid w:val="004A122C"/>
    <w:rsid w:val="004A1907"/>
    <w:rsid w:val="004A1E8B"/>
    <w:rsid w:val="004A62C7"/>
    <w:rsid w:val="004B0135"/>
    <w:rsid w:val="004B08AC"/>
    <w:rsid w:val="004B0A9B"/>
    <w:rsid w:val="004B21C9"/>
    <w:rsid w:val="004B3451"/>
    <w:rsid w:val="004B34A5"/>
    <w:rsid w:val="004B385E"/>
    <w:rsid w:val="004B5306"/>
    <w:rsid w:val="004B6654"/>
    <w:rsid w:val="004C08BD"/>
    <w:rsid w:val="004C10C8"/>
    <w:rsid w:val="004C1334"/>
    <w:rsid w:val="004C306C"/>
    <w:rsid w:val="004C4104"/>
    <w:rsid w:val="004C479B"/>
    <w:rsid w:val="004C6943"/>
    <w:rsid w:val="004D0F3A"/>
    <w:rsid w:val="004D0FA0"/>
    <w:rsid w:val="004D381E"/>
    <w:rsid w:val="004D3E40"/>
    <w:rsid w:val="004D5560"/>
    <w:rsid w:val="004D5663"/>
    <w:rsid w:val="004D5841"/>
    <w:rsid w:val="004D5C08"/>
    <w:rsid w:val="004E0955"/>
    <w:rsid w:val="004E0B9C"/>
    <w:rsid w:val="004E2F46"/>
    <w:rsid w:val="004E4A7E"/>
    <w:rsid w:val="004F0975"/>
    <w:rsid w:val="004F0C1A"/>
    <w:rsid w:val="004F2FAB"/>
    <w:rsid w:val="004F3DE8"/>
    <w:rsid w:val="004F4CC5"/>
    <w:rsid w:val="004F5331"/>
    <w:rsid w:val="004F64E3"/>
    <w:rsid w:val="00500581"/>
    <w:rsid w:val="00500C78"/>
    <w:rsid w:val="005014CC"/>
    <w:rsid w:val="00501D3D"/>
    <w:rsid w:val="005025D4"/>
    <w:rsid w:val="00503357"/>
    <w:rsid w:val="00503C81"/>
    <w:rsid w:val="005059D6"/>
    <w:rsid w:val="00506317"/>
    <w:rsid w:val="00510E97"/>
    <w:rsid w:val="00511189"/>
    <w:rsid w:val="005119BC"/>
    <w:rsid w:val="00511A29"/>
    <w:rsid w:val="00512616"/>
    <w:rsid w:val="0051465E"/>
    <w:rsid w:val="00516EF9"/>
    <w:rsid w:val="0051774E"/>
    <w:rsid w:val="00520A4E"/>
    <w:rsid w:val="005220B2"/>
    <w:rsid w:val="0052290D"/>
    <w:rsid w:val="00522DDB"/>
    <w:rsid w:val="00524DF1"/>
    <w:rsid w:val="00525F6D"/>
    <w:rsid w:val="0052646E"/>
    <w:rsid w:val="00527F2D"/>
    <w:rsid w:val="0053062A"/>
    <w:rsid w:val="005310A4"/>
    <w:rsid w:val="0053171A"/>
    <w:rsid w:val="00533B48"/>
    <w:rsid w:val="00536B67"/>
    <w:rsid w:val="005377CA"/>
    <w:rsid w:val="00537FB0"/>
    <w:rsid w:val="00541DF2"/>
    <w:rsid w:val="0054205F"/>
    <w:rsid w:val="005425A1"/>
    <w:rsid w:val="005436EA"/>
    <w:rsid w:val="00543A6E"/>
    <w:rsid w:val="005449A5"/>
    <w:rsid w:val="00547EAF"/>
    <w:rsid w:val="00550EA1"/>
    <w:rsid w:val="00550EBC"/>
    <w:rsid w:val="00550FC2"/>
    <w:rsid w:val="00551C48"/>
    <w:rsid w:val="00555145"/>
    <w:rsid w:val="00555CFF"/>
    <w:rsid w:val="00562003"/>
    <w:rsid w:val="00562464"/>
    <w:rsid w:val="00562995"/>
    <w:rsid w:val="00564838"/>
    <w:rsid w:val="00570E84"/>
    <w:rsid w:val="00572DBA"/>
    <w:rsid w:val="00573377"/>
    <w:rsid w:val="00573E37"/>
    <w:rsid w:val="005744B9"/>
    <w:rsid w:val="00574535"/>
    <w:rsid w:val="0058345B"/>
    <w:rsid w:val="0058580E"/>
    <w:rsid w:val="00585C13"/>
    <w:rsid w:val="00586A9B"/>
    <w:rsid w:val="005916D7"/>
    <w:rsid w:val="00594FAF"/>
    <w:rsid w:val="00595934"/>
    <w:rsid w:val="0059598C"/>
    <w:rsid w:val="00596F05"/>
    <w:rsid w:val="005A0957"/>
    <w:rsid w:val="005A191D"/>
    <w:rsid w:val="005A25FE"/>
    <w:rsid w:val="005A3B28"/>
    <w:rsid w:val="005A4A96"/>
    <w:rsid w:val="005B103C"/>
    <w:rsid w:val="005B156A"/>
    <w:rsid w:val="005B2BFA"/>
    <w:rsid w:val="005B3024"/>
    <w:rsid w:val="005B61D7"/>
    <w:rsid w:val="005B6B0C"/>
    <w:rsid w:val="005B6CA0"/>
    <w:rsid w:val="005C03EE"/>
    <w:rsid w:val="005C12A6"/>
    <w:rsid w:val="005C3222"/>
    <w:rsid w:val="005C37CF"/>
    <w:rsid w:val="005C74B0"/>
    <w:rsid w:val="005C7A37"/>
    <w:rsid w:val="005D0129"/>
    <w:rsid w:val="005D078C"/>
    <w:rsid w:val="005D08A5"/>
    <w:rsid w:val="005D165C"/>
    <w:rsid w:val="005D1E5D"/>
    <w:rsid w:val="005D2BEF"/>
    <w:rsid w:val="005D3AD6"/>
    <w:rsid w:val="005D3D90"/>
    <w:rsid w:val="005D76DA"/>
    <w:rsid w:val="005E05BE"/>
    <w:rsid w:val="005E11DE"/>
    <w:rsid w:val="005E1658"/>
    <w:rsid w:val="005E1D66"/>
    <w:rsid w:val="005E2224"/>
    <w:rsid w:val="005E28FB"/>
    <w:rsid w:val="005E3856"/>
    <w:rsid w:val="005E4A38"/>
    <w:rsid w:val="005E6CA8"/>
    <w:rsid w:val="005F233A"/>
    <w:rsid w:val="005F2679"/>
    <w:rsid w:val="005F4717"/>
    <w:rsid w:val="005F618E"/>
    <w:rsid w:val="00600164"/>
    <w:rsid w:val="00601AFA"/>
    <w:rsid w:val="00601BE5"/>
    <w:rsid w:val="006024D1"/>
    <w:rsid w:val="00603E1D"/>
    <w:rsid w:val="00604584"/>
    <w:rsid w:val="00605BBA"/>
    <w:rsid w:val="0061037C"/>
    <w:rsid w:val="00612800"/>
    <w:rsid w:val="00612B25"/>
    <w:rsid w:val="00614DCA"/>
    <w:rsid w:val="00616865"/>
    <w:rsid w:val="00616AEB"/>
    <w:rsid w:val="006177AC"/>
    <w:rsid w:val="00620AD4"/>
    <w:rsid w:val="0062236C"/>
    <w:rsid w:val="00623096"/>
    <w:rsid w:val="0062336E"/>
    <w:rsid w:val="006240FF"/>
    <w:rsid w:val="006247BC"/>
    <w:rsid w:val="00624A21"/>
    <w:rsid w:val="00625754"/>
    <w:rsid w:val="00631EBA"/>
    <w:rsid w:val="00632A11"/>
    <w:rsid w:val="00633CE6"/>
    <w:rsid w:val="0063452D"/>
    <w:rsid w:val="00634A31"/>
    <w:rsid w:val="00635301"/>
    <w:rsid w:val="00636C39"/>
    <w:rsid w:val="0064166F"/>
    <w:rsid w:val="00641907"/>
    <w:rsid w:val="00642E0B"/>
    <w:rsid w:val="00643C08"/>
    <w:rsid w:val="00644039"/>
    <w:rsid w:val="00645349"/>
    <w:rsid w:val="00646B98"/>
    <w:rsid w:val="006473AE"/>
    <w:rsid w:val="00652893"/>
    <w:rsid w:val="00653094"/>
    <w:rsid w:val="006544A0"/>
    <w:rsid w:val="00654C82"/>
    <w:rsid w:val="0065652C"/>
    <w:rsid w:val="006571DA"/>
    <w:rsid w:val="00657C96"/>
    <w:rsid w:val="00660B0C"/>
    <w:rsid w:val="00661213"/>
    <w:rsid w:val="00661D26"/>
    <w:rsid w:val="00662867"/>
    <w:rsid w:val="00662DA8"/>
    <w:rsid w:val="00663991"/>
    <w:rsid w:val="00671A78"/>
    <w:rsid w:val="00672872"/>
    <w:rsid w:val="00673AB9"/>
    <w:rsid w:val="00673C98"/>
    <w:rsid w:val="00673F0F"/>
    <w:rsid w:val="0067424F"/>
    <w:rsid w:val="00677639"/>
    <w:rsid w:val="0068094B"/>
    <w:rsid w:val="006814DC"/>
    <w:rsid w:val="006827F0"/>
    <w:rsid w:val="00683C83"/>
    <w:rsid w:val="0068538E"/>
    <w:rsid w:val="00687A04"/>
    <w:rsid w:val="00692FD3"/>
    <w:rsid w:val="0069385E"/>
    <w:rsid w:val="0069387D"/>
    <w:rsid w:val="00693CE7"/>
    <w:rsid w:val="00693D68"/>
    <w:rsid w:val="006959E7"/>
    <w:rsid w:val="0069680D"/>
    <w:rsid w:val="00696E6D"/>
    <w:rsid w:val="006A008B"/>
    <w:rsid w:val="006A088D"/>
    <w:rsid w:val="006A1318"/>
    <w:rsid w:val="006A2292"/>
    <w:rsid w:val="006A2ECF"/>
    <w:rsid w:val="006A2FCF"/>
    <w:rsid w:val="006A3AC6"/>
    <w:rsid w:val="006A535A"/>
    <w:rsid w:val="006A5E05"/>
    <w:rsid w:val="006A729C"/>
    <w:rsid w:val="006A7728"/>
    <w:rsid w:val="006B0EBD"/>
    <w:rsid w:val="006B156D"/>
    <w:rsid w:val="006B398A"/>
    <w:rsid w:val="006B4259"/>
    <w:rsid w:val="006B5632"/>
    <w:rsid w:val="006B5E26"/>
    <w:rsid w:val="006B6906"/>
    <w:rsid w:val="006B6A4C"/>
    <w:rsid w:val="006B7381"/>
    <w:rsid w:val="006C04A6"/>
    <w:rsid w:val="006C3927"/>
    <w:rsid w:val="006D048D"/>
    <w:rsid w:val="006D1D76"/>
    <w:rsid w:val="006D22FE"/>
    <w:rsid w:val="006D2CA2"/>
    <w:rsid w:val="006D38F1"/>
    <w:rsid w:val="006D3E7A"/>
    <w:rsid w:val="006D4317"/>
    <w:rsid w:val="006D5540"/>
    <w:rsid w:val="006D72E2"/>
    <w:rsid w:val="006D7604"/>
    <w:rsid w:val="006D7C18"/>
    <w:rsid w:val="006E1457"/>
    <w:rsid w:val="006E14DE"/>
    <w:rsid w:val="006E23CC"/>
    <w:rsid w:val="006E3000"/>
    <w:rsid w:val="006E30DE"/>
    <w:rsid w:val="006E546F"/>
    <w:rsid w:val="006E63BE"/>
    <w:rsid w:val="006E71C7"/>
    <w:rsid w:val="006F07E8"/>
    <w:rsid w:val="006F1C6A"/>
    <w:rsid w:val="006F6BC5"/>
    <w:rsid w:val="006F7EB4"/>
    <w:rsid w:val="00700236"/>
    <w:rsid w:val="00700B1E"/>
    <w:rsid w:val="007019B8"/>
    <w:rsid w:val="007019FA"/>
    <w:rsid w:val="00702D0B"/>
    <w:rsid w:val="00704DA8"/>
    <w:rsid w:val="00705F05"/>
    <w:rsid w:val="00707A20"/>
    <w:rsid w:val="00710E9D"/>
    <w:rsid w:val="00710F7F"/>
    <w:rsid w:val="00712423"/>
    <w:rsid w:val="00712665"/>
    <w:rsid w:val="007131EE"/>
    <w:rsid w:val="0071471A"/>
    <w:rsid w:val="00714ABB"/>
    <w:rsid w:val="00715977"/>
    <w:rsid w:val="00715B12"/>
    <w:rsid w:val="00715D5F"/>
    <w:rsid w:val="007172C6"/>
    <w:rsid w:val="00721570"/>
    <w:rsid w:val="0072223C"/>
    <w:rsid w:val="007254C7"/>
    <w:rsid w:val="00726043"/>
    <w:rsid w:val="00726C01"/>
    <w:rsid w:val="00731B14"/>
    <w:rsid w:val="00736A07"/>
    <w:rsid w:val="00741756"/>
    <w:rsid w:val="00743186"/>
    <w:rsid w:val="0074336C"/>
    <w:rsid w:val="00745F9A"/>
    <w:rsid w:val="00747117"/>
    <w:rsid w:val="00747C6D"/>
    <w:rsid w:val="007518C4"/>
    <w:rsid w:val="00751F28"/>
    <w:rsid w:val="00753108"/>
    <w:rsid w:val="00755A87"/>
    <w:rsid w:val="00761623"/>
    <w:rsid w:val="0076162B"/>
    <w:rsid w:val="0076180E"/>
    <w:rsid w:val="00763D3F"/>
    <w:rsid w:val="0076474B"/>
    <w:rsid w:val="00765454"/>
    <w:rsid w:val="00766678"/>
    <w:rsid w:val="007671DA"/>
    <w:rsid w:val="0076732E"/>
    <w:rsid w:val="00770278"/>
    <w:rsid w:val="007708F6"/>
    <w:rsid w:val="007718A2"/>
    <w:rsid w:val="00772933"/>
    <w:rsid w:val="00772A9D"/>
    <w:rsid w:val="00773E0B"/>
    <w:rsid w:val="0077743E"/>
    <w:rsid w:val="00777A21"/>
    <w:rsid w:val="00777C43"/>
    <w:rsid w:val="00780CA5"/>
    <w:rsid w:val="007824D6"/>
    <w:rsid w:val="00782FB4"/>
    <w:rsid w:val="00783C2C"/>
    <w:rsid w:val="0078472B"/>
    <w:rsid w:val="007847DB"/>
    <w:rsid w:val="00784D78"/>
    <w:rsid w:val="00785E6F"/>
    <w:rsid w:val="007874C8"/>
    <w:rsid w:val="00787DDF"/>
    <w:rsid w:val="007908B0"/>
    <w:rsid w:val="007911DA"/>
    <w:rsid w:val="007922EF"/>
    <w:rsid w:val="00792F5B"/>
    <w:rsid w:val="007937AA"/>
    <w:rsid w:val="007955F6"/>
    <w:rsid w:val="007962FF"/>
    <w:rsid w:val="00796318"/>
    <w:rsid w:val="007A1613"/>
    <w:rsid w:val="007A1A65"/>
    <w:rsid w:val="007A28A8"/>
    <w:rsid w:val="007A32D7"/>
    <w:rsid w:val="007A4AE1"/>
    <w:rsid w:val="007A4D1D"/>
    <w:rsid w:val="007A5843"/>
    <w:rsid w:val="007A6B53"/>
    <w:rsid w:val="007A79EF"/>
    <w:rsid w:val="007B03D1"/>
    <w:rsid w:val="007B0847"/>
    <w:rsid w:val="007B2C0C"/>
    <w:rsid w:val="007B3E13"/>
    <w:rsid w:val="007B453D"/>
    <w:rsid w:val="007B606F"/>
    <w:rsid w:val="007B6C5F"/>
    <w:rsid w:val="007B7142"/>
    <w:rsid w:val="007B7E80"/>
    <w:rsid w:val="007C04E3"/>
    <w:rsid w:val="007C0F76"/>
    <w:rsid w:val="007C4523"/>
    <w:rsid w:val="007C7295"/>
    <w:rsid w:val="007D082E"/>
    <w:rsid w:val="007D0BE0"/>
    <w:rsid w:val="007D1211"/>
    <w:rsid w:val="007D49E7"/>
    <w:rsid w:val="007D5EBC"/>
    <w:rsid w:val="007D6F53"/>
    <w:rsid w:val="007D70F7"/>
    <w:rsid w:val="007E1CCA"/>
    <w:rsid w:val="007E2638"/>
    <w:rsid w:val="007E263B"/>
    <w:rsid w:val="007E46B6"/>
    <w:rsid w:val="007E4F1F"/>
    <w:rsid w:val="007E580C"/>
    <w:rsid w:val="007E5AE8"/>
    <w:rsid w:val="007E5C77"/>
    <w:rsid w:val="007E64AB"/>
    <w:rsid w:val="007E6F32"/>
    <w:rsid w:val="007F0909"/>
    <w:rsid w:val="007F11BF"/>
    <w:rsid w:val="007F2255"/>
    <w:rsid w:val="007F2A44"/>
    <w:rsid w:val="007F68A5"/>
    <w:rsid w:val="007F702E"/>
    <w:rsid w:val="007F77F2"/>
    <w:rsid w:val="007F7F68"/>
    <w:rsid w:val="00800217"/>
    <w:rsid w:val="0080096E"/>
    <w:rsid w:val="00800D53"/>
    <w:rsid w:val="0080362A"/>
    <w:rsid w:val="008073B8"/>
    <w:rsid w:val="00807C43"/>
    <w:rsid w:val="00807C74"/>
    <w:rsid w:val="008126FF"/>
    <w:rsid w:val="008139C9"/>
    <w:rsid w:val="00814225"/>
    <w:rsid w:val="00816BCB"/>
    <w:rsid w:val="00816C7A"/>
    <w:rsid w:val="00821566"/>
    <w:rsid w:val="00822544"/>
    <w:rsid w:val="00822781"/>
    <w:rsid w:val="008229C3"/>
    <w:rsid w:val="00826B2B"/>
    <w:rsid w:val="00830A64"/>
    <w:rsid w:val="0083126E"/>
    <w:rsid w:val="008333A2"/>
    <w:rsid w:val="008338C7"/>
    <w:rsid w:val="0083511C"/>
    <w:rsid w:val="008351A5"/>
    <w:rsid w:val="0083635A"/>
    <w:rsid w:val="00836A8A"/>
    <w:rsid w:val="00836D6C"/>
    <w:rsid w:val="00841F05"/>
    <w:rsid w:val="00846B3D"/>
    <w:rsid w:val="00847472"/>
    <w:rsid w:val="00847CAD"/>
    <w:rsid w:val="008523C0"/>
    <w:rsid w:val="0085332D"/>
    <w:rsid w:val="00854D1B"/>
    <w:rsid w:val="00856A7E"/>
    <w:rsid w:val="00860E41"/>
    <w:rsid w:val="00860E93"/>
    <w:rsid w:val="008632F0"/>
    <w:rsid w:val="008636FF"/>
    <w:rsid w:val="008644E0"/>
    <w:rsid w:val="00865142"/>
    <w:rsid w:val="00865DDF"/>
    <w:rsid w:val="008672F4"/>
    <w:rsid w:val="008709E1"/>
    <w:rsid w:val="00871038"/>
    <w:rsid w:val="00873847"/>
    <w:rsid w:val="008745CC"/>
    <w:rsid w:val="00876ABA"/>
    <w:rsid w:val="008778BB"/>
    <w:rsid w:val="008826C6"/>
    <w:rsid w:val="008850EE"/>
    <w:rsid w:val="0088609B"/>
    <w:rsid w:val="008863AF"/>
    <w:rsid w:val="00886A9A"/>
    <w:rsid w:val="00886C79"/>
    <w:rsid w:val="00887ECA"/>
    <w:rsid w:val="008910D2"/>
    <w:rsid w:val="008913E0"/>
    <w:rsid w:val="00892749"/>
    <w:rsid w:val="008939B5"/>
    <w:rsid w:val="008971E9"/>
    <w:rsid w:val="0089748E"/>
    <w:rsid w:val="00897B9C"/>
    <w:rsid w:val="008A05BA"/>
    <w:rsid w:val="008A3B2C"/>
    <w:rsid w:val="008A5DED"/>
    <w:rsid w:val="008A5F41"/>
    <w:rsid w:val="008A6196"/>
    <w:rsid w:val="008A67D8"/>
    <w:rsid w:val="008A78D1"/>
    <w:rsid w:val="008B0DE5"/>
    <w:rsid w:val="008B0F6E"/>
    <w:rsid w:val="008B1514"/>
    <w:rsid w:val="008B2E94"/>
    <w:rsid w:val="008B43EB"/>
    <w:rsid w:val="008B4962"/>
    <w:rsid w:val="008B593C"/>
    <w:rsid w:val="008B7210"/>
    <w:rsid w:val="008B7981"/>
    <w:rsid w:val="008C1982"/>
    <w:rsid w:val="008C1C4F"/>
    <w:rsid w:val="008C24E1"/>
    <w:rsid w:val="008C28EC"/>
    <w:rsid w:val="008C2B2E"/>
    <w:rsid w:val="008C304E"/>
    <w:rsid w:val="008C512D"/>
    <w:rsid w:val="008C5ADB"/>
    <w:rsid w:val="008D186A"/>
    <w:rsid w:val="008E0A78"/>
    <w:rsid w:val="008E0F8B"/>
    <w:rsid w:val="008E14A0"/>
    <w:rsid w:val="008E25CB"/>
    <w:rsid w:val="008E3C9B"/>
    <w:rsid w:val="008E681A"/>
    <w:rsid w:val="008E6D89"/>
    <w:rsid w:val="008E734C"/>
    <w:rsid w:val="008F08FD"/>
    <w:rsid w:val="008F3889"/>
    <w:rsid w:val="008F43CB"/>
    <w:rsid w:val="008F4697"/>
    <w:rsid w:val="008F4878"/>
    <w:rsid w:val="008F565F"/>
    <w:rsid w:val="008F6350"/>
    <w:rsid w:val="008F6853"/>
    <w:rsid w:val="008F6AAB"/>
    <w:rsid w:val="00900520"/>
    <w:rsid w:val="009005E2"/>
    <w:rsid w:val="00902B1A"/>
    <w:rsid w:val="00904C3B"/>
    <w:rsid w:val="009067C6"/>
    <w:rsid w:val="00907529"/>
    <w:rsid w:val="00911946"/>
    <w:rsid w:val="00913627"/>
    <w:rsid w:val="00914909"/>
    <w:rsid w:val="009158F9"/>
    <w:rsid w:val="009164CD"/>
    <w:rsid w:val="00916630"/>
    <w:rsid w:val="00917A5C"/>
    <w:rsid w:val="00920CF7"/>
    <w:rsid w:val="0092105A"/>
    <w:rsid w:val="0092226B"/>
    <w:rsid w:val="00922D33"/>
    <w:rsid w:val="00923CCB"/>
    <w:rsid w:val="009243F8"/>
    <w:rsid w:val="00924BB0"/>
    <w:rsid w:val="0092718E"/>
    <w:rsid w:val="00931CEF"/>
    <w:rsid w:val="0093244E"/>
    <w:rsid w:val="009355C8"/>
    <w:rsid w:val="00935AA0"/>
    <w:rsid w:val="00936623"/>
    <w:rsid w:val="009371C7"/>
    <w:rsid w:val="00940DEC"/>
    <w:rsid w:val="009435AB"/>
    <w:rsid w:val="00944D13"/>
    <w:rsid w:val="00945EE1"/>
    <w:rsid w:val="00947C6C"/>
    <w:rsid w:val="00950CF3"/>
    <w:rsid w:val="00950F64"/>
    <w:rsid w:val="00951730"/>
    <w:rsid w:val="009538E1"/>
    <w:rsid w:val="00953D9C"/>
    <w:rsid w:val="00955598"/>
    <w:rsid w:val="00957461"/>
    <w:rsid w:val="00960807"/>
    <w:rsid w:val="00962293"/>
    <w:rsid w:val="00965C39"/>
    <w:rsid w:val="00966CED"/>
    <w:rsid w:val="00971A4F"/>
    <w:rsid w:val="009741AA"/>
    <w:rsid w:val="009749C1"/>
    <w:rsid w:val="00974E83"/>
    <w:rsid w:val="009775B0"/>
    <w:rsid w:val="00977BB3"/>
    <w:rsid w:val="00977EC1"/>
    <w:rsid w:val="00984622"/>
    <w:rsid w:val="009856A2"/>
    <w:rsid w:val="009857D3"/>
    <w:rsid w:val="00990631"/>
    <w:rsid w:val="00990D4E"/>
    <w:rsid w:val="0099512D"/>
    <w:rsid w:val="00997D11"/>
    <w:rsid w:val="00997F8C"/>
    <w:rsid w:val="009A15CF"/>
    <w:rsid w:val="009A2798"/>
    <w:rsid w:val="009A3E82"/>
    <w:rsid w:val="009A440A"/>
    <w:rsid w:val="009A4967"/>
    <w:rsid w:val="009A4FB0"/>
    <w:rsid w:val="009A5019"/>
    <w:rsid w:val="009A58B4"/>
    <w:rsid w:val="009B0403"/>
    <w:rsid w:val="009B67E1"/>
    <w:rsid w:val="009B73B2"/>
    <w:rsid w:val="009B7E65"/>
    <w:rsid w:val="009C1B44"/>
    <w:rsid w:val="009C2B46"/>
    <w:rsid w:val="009C45CA"/>
    <w:rsid w:val="009C5968"/>
    <w:rsid w:val="009D012F"/>
    <w:rsid w:val="009D182E"/>
    <w:rsid w:val="009D1C9D"/>
    <w:rsid w:val="009D6437"/>
    <w:rsid w:val="009D71C7"/>
    <w:rsid w:val="009D72FC"/>
    <w:rsid w:val="009D73CA"/>
    <w:rsid w:val="009D7721"/>
    <w:rsid w:val="009E10BE"/>
    <w:rsid w:val="009E1B8A"/>
    <w:rsid w:val="009E20C2"/>
    <w:rsid w:val="009E2D16"/>
    <w:rsid w:val="009E4BD2"/>
    <w:rsid w:val="009E5BC7"/>
    <w:rsid w:val="009E5FB3"/>
    <w:rsid w:val="009F02C2"/>
    <w:rsid w:val="009F25F0"/>
    <w:rsid w:val="009F4842"/>
    <w:rsid w:val="009F61DB"/>
    <w:rsid w:val="009F6CE6"/>
    <w:rsid w:val="009F7693"/>
    <w:rsid w:val="00A0015A"/>
    <w:rsid w:val="00A006A2"/>
    <w:rsid w:val="00A00A80"/>
    <w:rsid w:val="00A01DCF"/>
    <w:rsid w:val="00A04164"/>
    <w:rsid w:val="00A057B3"/>
    <w:rsid w:val="00A05FAC"/>
    <w:rsid w:val="00A06B41"/>
    <w:rsid w:val="00A06F85"/>
    <w:rsid w:val="00A10CCC"/>
    <w:rsid w:val="00A128D6"/>
    <w:rsid w:val="00A20066"/>
    <w:rsid w:val="00A2362D"/>
    <w:rsid w:val="00A23AFD"/>
    <w:rsid w:val="00A26B47"/>
    <w:rsid w:val="00A27BF1"/>
    <w:rsid w:val="00A3125C"/>
    <w:rsid w:val="00A3340D"/>
    <w:rsid w:val="00A340D0"/>
    <w:rsid w:val="00A356FF"/>
    <w:rsid w:val="00A35A13"/>
    <w:rsid w:val="00A368BC"/>
    <w:rsid w:val="00A376DA"/>
    <w:rsid w:val="00A3779E"/>
    <w:rsid w:val="00A41E79"/>
    <w:rsid w:val="00A41F55"/>
    <w:rsid w:val="00A429CE"/>
    <w:rsid w:val="00A42A08"/>
    <w:rsid w:val="00A4352B"/>
    <w:rsid w:val="00A43BD9"/>
    <w:rsid w:val="00A4457D"/>
    <w:rsid w:val="00A45CCB"/>
    <w:rsid w:val="00A46E29"/>
    <w:rsid w:val="00A47141"/>
    <w:rsid w:val="00A50AF6"/>
    <w:rsid w:val="00A51437"/>
    <w:rsid w:val="00A5236F"/>
    <w:rsid w:val="00A5254A"/>
    <w:rsid w:val="00A52A82"/>
    <w:rsid w:val="00A533E4"/>
    <w:rsid w:val="00A535EC"/>
    <w:rsid w:val="00A53E39"/>
    <w:rsid w:val="00A540E5"/>
    <w:rsid w:val="00A552E3"/>
    <w:rsid w:val="00A570A5"/>
    <w:rsid w:val="00A6007E"/>
    <w:rsid w:val="00A61644"/>
    <w:rsid w:val="00A61BA3"/>
    <w:rsid w:val="00A61E8F"/>
    <w:rsid w:val="00A642A4"/>
    <w:rsid w:val="00A6591C"/>
    <w:rsid w:val="00A7189C"/>
    <w:rsid w:val="00A72C39"/>
    <w:rsid w:val="00A73E60"/>
    <w:rsid w:val="00A73F21"/>
    <w:rsid w:val="00A75F63"/>
    <w:rsid w:val="00A80300"/>
    <w:rsid w:val="00A81708"/>
    <w:rsid w:val="00A85882"/>
    <w:rsid w:val="00A86806"/>
    <w:rsid w:val="00A87F1D"/>
    <w:rsid w:val="00A91EFD"/>
    <w:rsid w:val="00A9322F"/>
    <w:rsid w:val="00A9496E"/>
    <w:rsid w:val="00A9527A"/>
    <w:rsid w:val="00A95A2C"/>
    <w:rsid w:val="00A9730E"/>
    <w:rsid w:val="00A975B1"/>
    <w:rsid w:val="00AA1C32"/>
    <w:rsid w:val="00AA1CFD"/>
    <w:rsid w:val="00AA4454"/>
    <w:rsid w:val="00AA4668"/>
    <w:rsid w:val="00AA5053"/>
    <w:rsid w:val="00AB040B"/>
    <w:rsid w:val="00AB1D5B"/>
    <w:rsid w:val="00AB3B9D"/>
    <w:rsid w:val="00AB5404"/>
    <w:rsid w:val="00AB608C"/>
    <w:rsid w:val="00AB6287"/>
    <w:rsid w:val="00AC0EF2"/>
    <w:rsid w:val="00AC10AB"/>
    <w:rsid w:val="00AC124E"/>
    <w:rsid w:val="00AC5A41"/>
    <w:rsid w:val="00AC7EBB"/>
    <w:rsid w:val="00AD4892"/>
    <w:rsid w:val="00AD4DD1"/>
    <w:rsid w:val="00AD6B5F"/>
    <w:rsid w:val="00AD7350"/>
    <w:rsid w:val="00AD760D"/>
    <w:rsid w:val="00AE145A"/>
    <w:rsid w:val="00AE192A"/>
    <w:rsid w:val="00AE1D1C"/>
    <w:rsid w:val="00AE24DC"/>
    <w:rsid w:val="00AE550E"/>
    <w:rsid w:val="00AF0A00"/>
    <w:rsid w:val="00AF271E"/>
    <w:rsid w:val="00AF398E"/>
    <w:rsid w:val="00AF436C"/>
    <w:rsid w:val="00AF5F08"/>
    <w:rsid w:val="00AF6BB0"/>
    <w:rsid w:val="00B00524"/>
    <w:rsid w:val="00B00641"/>
    <w:rsid w:val="00B00AE4"/>
    <w:rsid w:val="00B04021"/>
    <w:rsid w:val="00B04216"/>
    <w:rsid w:val="00B04CDF"/>
    <w:rsid w:val="00B051E2"/>
    <w:rsid w:val="00B05E3B"/>
    <w:rsid w:val="00B06CF9"/>
    <w:rsid w:val="00B1018E"/>
    <w:rsid w:val="00B102D6"/>
    <w:rsid w:val="00B12C3A"/>
    <w:rsid w:val="00B12CBF"/>
    <w:rsid w:val="00B12DC5"/>
    <w:rsid w:val="00B1456D"/>
    <w:rsid w:val="00B14C98"/>
    <w:rsid w:val="00B16A59"/>
    <w:rsid w:val="00B21B4D"/>
    <w:rsid w:val="00B21D7D"/>
    <w:rsid w:val="00B2422F"/>
    <w:rsid w:val="00B24BF7"/>
    <w:rsid w:val="00B27134"/>
    <w:rsid w:val="00B30036"/>
    <w:rsid w:val="00B31AC6"/>
    <w:rsid w:val="00B323DE"/>
    <w:rsid w:val="00B344B2"/>
    <w:rsid w:val="00B35797"/>
    <w:rsid w:val="00B4062C"/>
    <w:rsid w:val="00B408D1"/>
    <w:rsid w:val="00B40E81"/>
    <w:rsid w:val="00B42C13"/>
    <w:rsid w:val="00B43754"/>
    <w:rsid w:val="00B438E1"/>
    <w:rsid w:val="00B43E02"/>
    <w:rsid w:val="00B455D6"/>
    <w:rsid w:val="00B46721"/>
    <w:rsid w:val="00B47CC4"/>
    <w:rsid w:val="00B51556"/>
    <w:rsid w:val="00B5367F"/>
    <w:rsid w:val="00B53F45"/>
    <w:rsid w:val="00B563C2"/>
    <w:rsid w:val="00B570B9"/>
    <w:rsid w:val="00B578B0"/>
    <w:rsid w:val="00B606BA"/>
    <w:rsid w:val="00B613F1"/>
    <w:rsid w:val="00B619D9"/>
    <w:rsid w:val="00B65370"/>
    <w:rsid w:val="00B6655A"/>
    <w:rsid w:val="00B670DE"/>
    <w:rsid w:val="00B677AD"/>
    <w:rsid w:val="00B67F06"/>
    <w:rsid w:val="00B7172B"/>
    <w:rsid w:val="00B73D4A"/>
    <w:rsid w:val="00B74C9E"/>
    <w:rsid w:val="00B75DD3"/>
    <w:rsid w:val="00B764EE"/>
    <w:rsid w:val="00B801DA"/>
    <w:rsid w:val="00B819BD"/>
    <w:rsid w:val="00B837BC"/>
    <w:rsid w:val="00B83F25"/>
    <w:rsid w:val="00B842E1"/>
    <w:rsid w:val="00B85D89"/>
    <w:rsid w:val="00B952D5"/>
    <w:rsid w:val="00B9573E"/>
    <w:rsid w:val="00B96198"/>
    <w:rsid w:val="00BA1CD1"/>
    <w:rsid w:val="00BA25D3"/>
    <w:rsid w:val="00BA50BE"/>
    <w:rsid w:val="00BA5CE0"/>
    <w:rsid w:val="00BA5D52"/>
    <w:rsid w:val="00BA5EF9"/>
    <w:rsid w:val="00BA7E1F"/>
    <w:rsid w:val="00BB034E"/>
    <w:rsid w:val="00BB4788"/>
    <w:rsid w:val="00BB6600"/>
    <w:rsid w:val="00BC0CAE"/>
    <w:rsid w:val="00BC1ADB"/>
    <w:rsid w:val="00BC4CD6"/>
    <w:rsid w:val="00BC6C34"/>
    <w:rsid w:val="00BC6DB8"/>
    <w:rsid w:val="00BC79F4"/>
    <w:rsid w:val="00BD33C4"/>
    <w:rsid w:val="00BD4773"/>
    <w:rsid w:val="00BD55DB"/>
    <w:rsid w:val="00BD7140"/>
    <w:rsid w:val="00BE0857"/>
    <w:rsid w:val="00BE29B5"/>
    <w:rsid w:val="00BE32AD"/>
    <w:rsid w:val="00BE39FC"/>
    <w:rsid w:val="00BE3C56"/>
    <w:rsid w:val="00BE419A"/>
    <w:rsid w:val="00BE78B3"/>
    <w:rsid w:val="00BF0962"/>
    <w:rsid w:val="00BF2032"/>
    <w:rsid w:val="00BF539D"/>
    <w:rsid w:val="00C055AA"/>
    <w:rsid w:val="00C06128"/>
    <w:rsid w:val="00C06902"/>
    <w:rsid w:val="00C10225"/>
    <w:rsid w:val="00C12BFE"/>
    <w:rsid w:val="00C1330E"/>
    <w:rsid w:val="00C17363"/>
    <w:rsid w:val="00C17E07"/>
    <w:rsid w:val="00C20159"/>
    <w:rsid w:val="00C2091A"/>
    <w:rsid w:val="00C20F85"/>
    <w:rsid w:val="00C21244"/>
    <w:rsid w:val="00C220CE"/>
    <w:rsid w:val="00C2235D"/>
    <w:rsid w:val="00C22403"/>
    <w:rsid w:val="00C2359A"/>
    <w:rsid w:val="00C23704"/>
    <w:rsid w:val="00C26250"/>
    <w:rsid w:val="00C305DF"/>
    <w:rsid w:val="00C3321A"/>
    <w:rsid w:val="00C355F0"/>
    <w:rsid w:val="00C366C4"/>
    <w:rsid w:val="00C36A9A"/>
    <w:rsid w:val="00C407E3"/>
    <w:rsid w:val="00C416D3"/>
    <w:rsid w:val="00C421ED"/>
    <w:rsid w:val="00C42F26"/>
    <w:rsid w:val="00C43157"/>
    <w:rsid w:val="00C45805"/>
    <w:rsid w:val="00C45C28"/>
    <w:rsid w:val="00C45D60"/>
    <w:rsid w:val="00C51FB6"/>
    <w:rsid w:val="00C521B2"/>
    <w:rsid w:val="00C52596"/>
    <w:rsid w:val="00C52E40"/>
    <w:rsid w:val="00C539EC"/>
    <w:rsid w:val="00C54289"/>
    <w:rsid w:val="00C543FE"/>
    <w:rsid w:val="00C54610"/>
    <w:rsid w:val="00C54FF0"/>
    <w:rsid w:val="00C55959"/>
    <w:rsid w:val="00C572FF"/>
    <w:rsid w:val="00C574AD"/>
    <w:rsid w:val="00C60ED9"/>
    <w:rsid w:val="00C610FC"/>
    <w:rsid w:val="00C61B5A"/>
    <w:rsid w:val="00C61D17"/>
    <w:rsid w:val="00C63A3C"/>
    <w:rsid w:val="00C6415A"/>
    <w:rsid w:val="00C64F61"/>
    <w:rsid w:val="00C65440"/>
    <w:rsid w:val="00C708A7"/>
    <w:rsid w:val="00C710B6"/>
    <w:rsid w:val="00C71359"/>
    <w:rsid w:val="00C71583"/>
    <w:rsid w:val="00C73A05"/>
    <w:rsid w:val="00C74E6B"/>
    <w:rsid w:val="00C7587C"/>
    <w:rsid w:val="00C76184"/>
    <w:rsid w:val="00C77387"/>
    <w:rsid w:val="00C7785C"/>
    <w:rsid w:val="00C77CED"/>
    <w:rsid w:val="00C8044A"/>
    <w:rsid w:val="00C83A5C"/>
    <w:rsid w:val="00C87536"/>
    <w:rsid w:val="00C9035F"/>
    <w:rsid w:val="00C90EDD"/>
    <w:rsid w:val="00C9236B"/>
    <w:rsid w:val="00C92B2A"/>
    <w:rsid w:val="00C94810"/>
    <w:rsid w:val="00C95B29"/>
    <w:rsid w:val="00CA0794"/>
    <w:rsid w:val="00CA30D3"/>
    <w:rsid w:val="00CA3ABE"/>
    <w:rsid w:val="00CA3E67"/>
    <w:rsid w:val="00CA5FE1"/>
    <w:rsid w:val="00CA6D29"/>
    <w:rsid w:val="00CA78F5"/>
    <w:rsid w:val="00CB05D1"/>
    <w:rsid w:val="00CB078F"/>
    <w:rsid w:val="00CB14DE"/>
    <w:rsid w:val="00CB38DC"/>
    <w:rsid w:val="00CB6D23"/>
    <w:rsid w:val="00CB7446"/>
    <w:rsid w:val="00CB7E82"/>
    <w:rsid w:val="00CC0235"/>
    <w:rsid w:val="00CC2832"/>
    <w:rsid w:val="00CC2849"/>
    <w:rsid w:val="00CC4613"/>
    <w:rsid w:val="00CC46BA"/>
    <w:rsid w:val="00CC5A22"/>
    <w:rsid w:val="00CC6299"/>
    <w:rsid w:val="00CD0931"/>
    <w:rsid w:val="00CD2E02"/>
    <w:rsid w:val="00CD3C77"/>
    <w:rsid w:val="00CD3F5C"/>
    <w:rsid w:val="00CD41FA"/>
    <w:rsid w:val="00CD659F"/>
    <w:rsid w:val="00CD66DC"/>
    <w:rsid w:val="00CD7410"/>
    <w:rsid w:val="00CE178E"/>
    <w:rsid w:val="00CE2CA0"/>
    <w:rsid w:val="00CE45C2"/>
    <w:rsid w:val="00CE45DB"/>
    <w:rsid w:val="00CE4CB3"/>
    <w:rsid w:val="00CE5CD7"/>
    <w:rsid w:val="00CE7488"/>
    <w:rsid w:val="00CE7F84"/>
    <w:rsid w:val="00CF1ACD"/>
    <w:rsid w:val="00CF1FB7"/>
    <w:rsid w:val="00CF2077"/>
    <w:rsid w:val="00CF35CB"/>
    <w:rsid w:val="00CF371E"/>
    <w:rsid w:val="00CF4775"/>
    <w:rsid w:val="00CF64B8"/>
    <w:rsid w:val="00CF72FC"/>
    <w:rsid w:val="00D022E8"/>
    <w:rsid w:val="00D0246E"/>
    <w:rsid w:val="00D045B5"/>
    <w:rsid w:val="00D15DE8"/>
    <w:rsid w:val="00D17427"/>
    <w:rsid w:val="00D206A4"/>
    <w:rsid w:val="00D20C4A"/>
    <w:rsid w:val="00D20D68"/>
    <w:rsid w:val="00D2318B"/>
    <w:rsid w:val="00D23585"/>
    <w:rsid w:val="00D2444C"/>
    <w:rsid w:val="00D24C8E"/>
    <w:rsid w:val="00D24D08"/>
    <w:rsid w:val="00D26A5F"/>
    <w:rsid w:val="00D27C5D"/>
    <w:rsid w:val="00D30145"/>
    <w:rsid w:val="00D312D7"/>
    <w:rsid w:val="00D34FB5"/>
    <w:rsid w:val="00D3699B"/>
    <w:rsid w:val="00D37D51"/>
    <w:rsid w:val="00D37F8A"/>
    <w:rsid w:val="00D40893"/>
    <w:rsid w:val="00D41DBD"/>
    <w:rsid w:val="00D41FF5"/>
    <w:rsid w:val="00D420C4"/>
    <w:rsid w:val="00D4314C"/>
    <w:rsid w:val="00D44401"/>
    <w:rsid w:val="00D446E9"/>
    <w:rsid w:val="00D44A8C"/>
    <w:rsid w:val="00D45AF4"/>
    <w:rsid w:val="00D467D7"/>
    <w:rsid w:val="00D4692E"/>
    <w:rsid w:val="00D475DC"/>
    <w:rsid w:val="00D5231C"/>
    <w:rsid w:val="00D53A12"/>
    <w:rsid w:val="00D5713D"/>
    <w:rsid w:val="00D57D05"/>
    <w:rsid w:val="00D61382"/>
    <w:rsid w:val="00D61C33"/>
    <w:rsid w:val="00D61E09"/>
    <w:rsid w:val="00D62475"/>
    <w:rsid w:val="00D62EB7"/>
    <w:rsid w:val="00D63F02"/>
    <w:rsid w:val="00D63F5D"/>
    <w:rsid w:val="00D67B59"/>
    <w:rsid w:val="00D72F80"/>
    <w:rsid w:val="00D73750"/>
    <w:rsid w:val="00D73FEA"/>
    <w:rsid w:val="00D74400"/>
    <w:rsid w:val="00D7544F"/>
    <w:rsid w:val="00D80040"/>
    <w:rsid w:val="00D81326"/>
    <w:rsid w:val="00D81EFC"/>
    <w:rsid w:val="00D82C3F"/>
    <w:rsid w:val="00D831D1"/>
    <w:rsid w:val="00D83A6A"/>
    <w:rsid w:val="00D86378"/>
    <w:rsid w:val="00D86DCD"/>
    <w:rsid w:val="00D92595"/>
    <w:rsid w:val="00D937FB"/>
    <w:rsid w:val="00D93D8B"/>
    <w:rsid w:val="00D9402D"/>
    <w:rsid w:val="00D97FE6"/>
    <w:rsid w:val="00DA05D6"/>
    <w:rsid w:val="00DA278C"/>
    <w:rsid w:val="00DA27B9"/>
    <w:rsid w:val="00DA3217"/>
    <w:rsid w:val="00DA4DAF"/>
    <w:rsid w:val="00DA5214"/>
    <w:rsid w:val="00DA570E"/>
    <w:rsid w:val="00DA64C8"/>
    <w:rsid w:val="00DA7A68"/>
    <w:rsid w:val="00DB08A2"/>
    <w:rsid w:val="00DB269A"/>
    <w:rsid w:val="00DB3356"/>
    <w:rsid w:val="00DB4671"/>
    <w:rsid w:val="00DB49EF"/>
    <w:rsid w:val="00DB5489"/>
    <w:rsid w:val="00DB6254"/>
    <w:rsid w:val="00DB6C83"/>
    <w:rsid w:val="00DB7043"/>
    <w:rsid w:val="00DC0CC4"/>
    <w:rsid w:val="00DC0D0F"/>
    <w:rsid w:val="00DC0EE9"/>
    <w:rsid w:val="00DC237B"/>
    <w:rsid w:val="00DC23A9"/>
    <w:rsid w:val="00DC2E62"/>
    <w:rsid w:val="00DC3B41"/>
    <w:rsid w:val="00DD0190"/>
    <w:rsid w:val="00DD28E6"/>
    <w:rsid w:val="00DD52A5"/>
    <w:rsid w:val="00DD5C9F"/>
    <w:rsid w:val="00DD71AB"/>
    <w:rsid w:val="00DD73E8"/>
    <w:rsid w:val="00DE1A94"/>
    <w:rsid w:val="00DE3612"/>
    <w:rsid w:val="00DE3CC6"/>
    <w:rsid w:val="00DE6453"/>
    <w:rsid w:val="00DE7310"/>
    <w:rsid w:val="00DF0E06"/>
    <w:rsid w:val="00DF4956"/>
    <w:rsid w:val="00DF59C8"/>
    <w:rsid w:val="00E0192D"/>
    <w:rsid w:val="00E01B08"/>
    <w:rsid w:val="00E02BAE"/>
    <w:rsid w:val="00E0303C"/>
    <w:rsid w:val="00E03B3D"/>
    <w:rsid w:val="00E04818"/>
    <w:rsid w:val="00E05C62"/>
    <w:rsid w:val="00E11C88"/>
    <w:rsid w:val="00E11E86"/>
    <w:rsid w:val="00E15E22"/>
    <w:rsid w:val="00E15F5B"/>
    <w:rsid w:val="00E17E60"/>
    <w:rsid w:val="00E20439"/>
    <w:rsid w:val="00E20C6F"/>
    <w:rsid w:val="00E214BF"/>
    <w:rsid w:val="00E22D7D"/>
    <w:rsid w:val="00E2333B"/>
    <w:rsid w:val="00E245EE"/>
    <w:rsid w:val="00E25DBC"/>
    <w:rsid w:val="00E26DEA"/>
    <w:rsid w:val="00E27F9A"/>
    <w:rsid w:val="00E37B30"/>
    <w:rsid w:val="00E37E2A"/>
    <w:rsid w:val="00E40511"/>
    <w:rsid w:val="00E40D84"/>
    <w:rsid w:val="00E40D86"/>
    <w:rsid w:val="00E40F2F"/>
    <w:rsid w:val="00E4296B"/>
    <w:rsid w:val="00E43FEB"/>
    <w:rsid w:val="00E44F44"/>
    <w:rsid w:val="00E468B5"/>
    <w:rsid w:val="00E5036A"/>
    <w:rsid w:val="00E51025"/>
    <w:rsid w:val="00E523D8"/>
    <w:rsid w:val="00E5248D"/>
    <w:rsid w:val="00E536D1"/>
    <w:rsid w:val="00E57087"/>
    <w:rsid w:val="00E607D2"/>
    <w:rsid w:val="00E60CBB"/>
    <w:rsid w:val="00E62CE9"/>
    <w:rsid w:val="00E67010"/>
    <w:rsid w:val="00E6790E"/>
    <w:rsid w:val="00E7096A"/>
    <w:rsid w:val="00E7128D"/>
    <w:rsid w:val="00E73B32"/>
    <w:rsid w:val="00E7578C"/>
    <w:rsid w:val="00E764CF"/>
    <w:rsid w:val="00E7654E"/>
    <w:rsid w:val="00E80217"/>
    <w:rsid w:val="00E8166C"/>
    <w:rsid w:val="00E81C5E"/>
    <w:rsid w:val="00E81F76"/>
    <w:rsid w:val="00E847C6"/>
    <w:rsid w:val="00E85F4E"/>
    <w:rsid w:val="00E87E96"/>
    <w:rsid w:val="00E91FEF"/>
    <w:rsid w:val="00E9462C"/>
    <w:rsid w:val="00E946E5"/>
    <w:rsid w:val="00E94B5C"/>
    <w:rsid w:val="00E96C61"/>
    <w:rsid w:val="00EA0189"/>
    <w:rsid w:val="00EA0ABA"/>
    <w:rsid w:val="00EA0E5A"/>
    <w:rsid w:val="00EA32F7"/>
    <w:rsid w:val="00EA3705"/>
    <w:rsid w:val="00EA37D7"/>
    <w:rsid w:val="00EA3CA1"/>
    <w:rsid w:val="00EA4BF9"/>
    <w:rsid w:val="00EA5C82"/>
    <w:rsid w:val="00EA7A83"/>
    <w:rsid w:val="00EB1149"/>
    <w:rsid w:val="00EB1FE2"/>
    <w:rsid w:val="00EB2C9C"/>
    <w:rsid w:val="00EB30E8"/>
    <w:rsid w:val="00EB3478"/>
    <w:rsid w:val="00EB40C6"/>
    <w:rsid w:val="00EB4A33"/>
    <w:rsid w:val="00EB4FD3"/>
    <w:rsid w:val="00EB5347"/>
    <w:rsid w:val="00EB6A01"/>
    <w:rsid w:val="00EB791F"/>
    <w:rsid w:val="00EC176B"/>
    <w:rsid w:val="00EC232F"/>
    <w:rsid w:val="00EC25C5"/>
    <w:rsid w:val="00EC51BE"/>
    <w:rsid w:val="00ED3A72"/>
    <w:rsid w:val="00ED3C15"/>
    <w:rsid w:val="00ED405E"/>
    <w:rsid w:val="00ED42AB"/>
    <w:rsid w:val="00ED75C2"/>
    <w:rsid w:val="00ED79D6"/>
    <w:rsid w:val="00EE1EA9"/>
    <w:rsid w:val="00EE2682"/>
    <w:rsid w:val="00EE390B"/>
    <w:rsid w:val="00EE3A0E"/>
    <w:rsid w:val="00EE49E3"/>
    <w:rsid w:val="00EE6E7B"/>
    <w:rsid w:val="00EF1443"/>
    <w:rsid w:val="00EF172D"/>
    <w:rsid w:val="00EF1844"/>
    <w:rsid w:val="00EF1F38"/>
    <w:rsid w:val="00EF2FE4"/>
    <w:rsid w:val="00EF49C4"/>
    <w:rsid w:val="00EF5AD3"/>
    <w:rsid w:val="00F0031F"/>
    <w:rsid w:val="00F0089A"/>
    <w:rsid w:val="00F011A4"/>
    <w:rsid w:val="00F01464"/>
    <w:rsid w:val="00F014F1"/>
    <w:rsid w:val="00F015B6"/>
    <w:rsid w:val="00F0295B"/>
    <w:rsid w:val="00F0411F"/>
    <w:rsid w:val="00F067A7"/>
    <w:rsid w:val="00F10220"/>
    <w:rsid w:val="00F108B7"/>
    <w:rsid w:val="00F14902"/>
    <w:rsid w:val="00F14949"/>
    <w:rsid w:val="00F1640A"/>
    <w:rsid w:val="00F166FF"/>
    <w:rsid w:val="00F1681D"/>
    <w:rsid w:val="00F16B95"/>
    <w:rsid w:val="00F17142"/>
    <w:rsid w:val="00F17432"/>
    <w:rsid w:val="00F219E1"/>
    <w:rsid w:val="00F237DF"/>
    <w:rsid w:val="00F24288"/>
    <w:rsid w:val="00F24F7D"/>
    <w:rsid w:val="00F26E25"/>
    <w:rsid w:val="00F3073C"/>
    <w:rsid w:val="00F309FB"/>
    <w:rsid w:val="00F31685"/>
    <w:rsid w:val="00F36340"/>
    <w:rsid w:val="00F3710C"/>
    <w:rsid w:val="00F377CD"/>
    <w:rsid w:val="00F406EB"/>
    <w:rsid w:val="00F40C04"/>
    <w:rsid w:val="00F4255A"/>
    <w:rsid w:val="00F4599F"/>
    <w:rsid w:val="00F476A4"/>
    <w:rsid w:val="00F50A69"/>
    <w:rsid w:val="00F52E6C"/>
    <w:rsid w:val="00F5374E"/>
    <w:rsid w:val="00F551EB"/>
    <w:rsid w:val="00F55248"/>
    <w:rsid w:val="00F602E5"/>
    <w:rsid w:val="00F605A5"/>
    <w:rsid w:val="00F609C2"/>
    <w:rsid w:val="00F62BC4"/>
    <w:rsid w:val="00F638BD"/>
    <w:rsid w:val="00F64A09"/>
    <w:rsid w:val="00F64B53"/>
    <w:rsid w:val="00F66A0B"/>
    <w:rsid w:val="00F67680"/>
    <w:rsid w:val="00F720F5"/>
    <w:rsid w:val="00F72D7F"/>
    <w:rsid w:val="00F739C3"/>
    <w:rsid w:val="00F75DED"/>
    <w:rsid w:val="00F773A5"/>
    <w:rsid w:val="00F77709"/>
    <w:rsid w:val="00F80745"/>
    <w:rsid w:val="00F80A18"/>
    <w:rsid w:val="00F8551F"/>
    <w:rsid w:val="00F9001B"/>
    <w:rsid w:val="00F91BC7"/>
    <w:rsid w:val="00F91F6D"/>
    <w:rsid w:val="00F9239F"/>
    <w:rsid w:val="00F95AAC"/>
    <w:rsid w:val="00F97C1C"/>
    <w:rsid w:val="00FA158D"/>
    <w:rsid w:val="00FA1AD7"/>
    <w:rsid w:val="00FA3FF4"/>
    <w:rsid w:val="00FA6258"/>
    <w:rsid w:val="00FA6AA2"/>
    <w:rsid w:val="00FA6D41"/>
    <w:rsid w:val="00FB1F93"/>
    <w:rsid w:val="00FB23B4"/>
    <w:rsid w:val="00FB2F7C"/>
    <w:rsid w:val="00FB316B"/>
    <w:rsid w:val="00FB3429"/>
    <w:rsid w:val="00FB4184"/>
    <w:rsid w:val="00FB5094"/>
    <w:rsid w:val="00FC09FA"/>
    <w:rsid w:val="00FC1467"/>
    <w:rsid w:val="00FC202C"/>
    <w:rsid w:val="00FC56A5"/>
    <w:rsid w:val="00FC5F17"/>
    <w:rsid w:val="00FC7359"/>
    <w:rsid w:val="00FC782D"/>
    <w:rsid w:val="00FD064F"/>
    <w:rsid w:val="00FD22C5"/>
    <w:rsid w:val="00FD33F3"/>
    <w:rsid w:val="00FD4901"/>
    <w:rsid w:val="00FD4CA6"/>
    <w:rsid w:val="00FD4DA6"/>
    <w:rsid w:val="00FE0AF0"/>
    <w:rsid w:val="00FE109B"/>
    <w:rsid w:val="00FE263A"/>
    <w:rsid w:val="00FE3CE8"/>
    <w:rsid w:val="00FE3E20"/>
    <w:rsid w:val="00FF26AC"/>
    <w:rsid w:val="00FF2BCC"/>
    <w:rsid w:val="00FF3D1F"/>
    <w:rsid w:val="00FF5DCB"/>
    <w:rsid w:val="00FF7A7C"/>
    <w:rsid w:val="7B37257C"/>
    <w:rsid w:val="7C3E6A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44019"/>
  <w15:docId w15:val="{3102B9B6-EED9-40FA-A981-0C23401D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02"/>
    <w:rPr>
      <w:lang w:val="en-GB"/>
    </w:rPr>
  </w:style>
  <w:style w:type="paragraph" w:styleId="Heading1">
    <w:name w:val="heading 1"/>
    <w:basedOn w:val="Normal"/>
    <w:next w:val="Normal"/>
    <w:link w:val="Heading1Char"/>
    <w:uiPriority w:val="9"/>
    <w:qFormat/>
    <w:rsid w:val="006419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14902"/>
    <w:pPr>
      <w:spacing w:after="0" w:line="240" w:lineRule="auto"/>
    </w:pPr>
    <w:rPr>
      <w:rFonts w:eastAsiaTheme="minorEastAsia" w:cs="Times New Roman"/>
      <w:sz w:val="20"/>
      <w:szCs w:val="20"/>
      <w:lang w:eastAsia="fi-FI"/>
    </w:rPr>
  </w:style>
  <w:style w:type="character" w:customStyle="1" w:styleId="FootnoteTextChar">
    <w:name w:val="Footnote Text Char"/>
    <w:basedOn w:val="DefaultParagraphFont"/>
    <w:link w:val="FootnoteText"/>
    <w:uiPriority w:val="99"/>
    <w:rsid w:val="00F14902"/>
    <w:rPr>
      <w:rFonts w:eastAsiaTheme="minorEastAsia" w:cs="Times New Roman"/>
      <w:sz w:val="20"/>
      <w:szCs w:val="20"/>
      <w:lang w:val="en-GB" w:eastAsia="fi-FI"/>
    </w:rPr>
  </w:style>
  <w:style w:type="character" w:styleId="Hyperlink">
    <w:name w:val="Hyperlink"/>
    <w:basedOn w:val="DefaultParagraphFont"/>
    <w:uiPriority w:val="99"/>
    <w:unhideWhenUsed/>
    <w:rsid w:val="00F14902"/>
    <w:rPr>
      <w:rFonts w:cs="Times New Roman"/>
      <w:color w:val="0563C1" w:themeColor="hyperlink"/>
      <w:u w:val="single"/>
    </w:rPr>
  </w:style>
  <w:style w:type="character" w:styleId="FootnoteReference">
    <w:name w:val="footnote reference"/>
    <w:basedOn w:val="DefaultParagraphFont"/>
    <w:uiPriority w:val="99"/>
    <w:semiHidden/>
    <w:unhideWhenUsed/>
    <w:rsid w:val="00F14902"/>
    <w:rPr>
      <w:vertAlign w:val="superscript"/>
    </w:rPr>
  </w:style>
  <w:style w:type="paragraph" w:styleId="BalloonText">
    <w:name w:val="Balloon Text"/>
    <w:basedOn w:val="Normal"/>
    <w:link w:val="BalloonTextChar"/>
    <w:uiPriority w:val="99"/>
    <w:semiHidden/>
    <w:unhideWhenUsed/>
    <w:rsid w:val="00635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301"/>
    <w:rPr>
      <w:rFonts w:ascii="Segoe UI" w:hAnsi="Segoe UI" w:cs="Segoe UI"/>
      <w:sz w:val="18"/>
      <w:szCs w:val="18"/>
      <w:lang w:val="en-GB"/>
    </w:rPr>
  </w:style>
  <w:style w:type="table" w:customStyle="1" w:styleId="PlainTable51">
    <w:name w:val="Plain Table 51"/>
    <w:basedOn w:val="TableNormal"/>
    <w:uiPriority w:val="45"/>
    <w:rsid w:val="00B455D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736A07"/>
    <w:pPr>
      <w:ind w:left="720"/>
      <w:contextualSpacing/>
    </w:pPr>
  </w:style>
  <w:style w:type="paragraph" w:styleId="Header">
    <w:name w:val="header"/>
    <w:basedOn w:val="Normal"/>
    <w:link w:val="HeaderChar"/>
    <w:uiPriority w:val="99"/>
    <w:unhideWhenUsed/>
    <w:rsid w:val="00CD0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931"/>
    <w:rPr>
      <w:lang w:val="en-GB"/>
    </w:rPr>
  </w:style>
  <w:style w:type="paragraph" w:styleId="Footer">
    <w:name w:val="footer"/>
    <w:basedOn w:val="Normal"/>
    <w:link w:val="FooterChar"/>
    <w:uiPriority w:val="99"/>
    <w:unhideWhenUsed/>
    <w:rsid w:val="00CD0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931"/>
    <w:rPr>
      <w:lang w:val="en-GB"/>
    </w:rPr>
  </w:style>
  <w:style w:type="table" w:styleId="TableGrid">
    <w:name w:val="Table Grid"/>
    <w:basedOn w:val="TableNormal"/>
    <w:uiPriority w:val="39"/>
    <w:rsid w:val="00585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1CE7"/>
    <w:rPr>
      <w:sz w:val="16"/>
      <w:szCs w:val="16"/>
    </w:rPr>
  </w:style>
  <w:style w:type="paragraph" w:styleId="CommentText">
    <w:name w:val="annotation text"/>
    <w:basedOn w:val="Normal"/>
    <w:link w:val="CommentTextChar"/>
    <w:uiPriority w:val="99"/>
    <w:semiHidden/>
    <w:unhideWhenUsed/>
    <w:rsid w:val="00241CE7"/>
    <w:pPr>
      <w:spacing w:line="240" w:lineRule="auto"/>
    </w:pPr>
    <w:rPr>
      <w:sz w:val="20"/>
      <w:szCs w:val="20"/>
    </w:rPr>
  </w:style>
  <w:style w:type="character" w:customStyle="1" w:styleId="CommentTextChar">
    <w:name w:val="Comment Text Char"/>
    <w:basedOn w:val="DefaultParagraphFont"/>
    <w:link w:val="CommentText"/>
    <w:uiPriority w:val="99"/>
    <w:semiHidden/>
    <w:rsid w:val="00241CE7"/>
    <w:rPr>
      <w:sz w:val="20"/>
      <w:szCs w:val="20"/>
      <w:lang w:val="en-GB"/>
    </w:rPr>
  </w:style>
  <w:style w:type="paragraph" w:styleId="CommentSubject">
    <w:name w:val="annotation subject"/>
    <w:basedOn w:val="CommentText"/>
    <w:next w:val="CommentText"/>
    <w:link w:val="CommentSubjectChar"/>
    <w:uiPriority w:val="99"/>
    <w:semiHidden/>
    <w:unhideWhenUsed/>
    <w:rsid w:val="00241CE7"/>
    <w:rPr>
      <w:b/>
      <w:bCs/>
    </w:rPr>
  </w:style>
  <w:style w:type="character" w:customStyle="1" w:styleId="CommentSubjectChar">
    <w:name w:val="Comment Subject Char"/>
    <w:basedOn w:val="CommentTextChar"/>
    <w:link w:val="CommentSubject"/>
    <w:uiPriority w:val="99"/>
    <w:semiHidden/>
    <w:rsid w:val="00241CE7"/>
    <w:rPr>
      <w:b/>
      <w:bCs/>
      <w:sz w:val="20"/>
      <w:szCs w:val="20"/>
      <w:lang w:val="en-GB"/>
    </w:rPr>
  </w:style>
  <w:style w:type="paragraph" w:styleId="EndnoteText">
    <w:name w:val="endnote text"/>
    <w:basedOn w:val="Normal"/>
    <w:link w:val="EndnoteTextChar"/>
    <w:uiPriority w:val="99"/>
    <w:semiHidden/>
    <w:unhideWhenUsed/>
    <w:rsid w:val="00A50A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0AF6"/>
    <w:rPr>
      <w:sz w:val="20"/>
      <w:szCs w:val="20"/>
      <w:lang w:val="en-GB"/>
    </w:rPr>
  </w:style>
  <w:style w:type="character" w:styleId="EndnoteReference">
    <w:name w:val="endnote reference"/>
    <w:basedOn w:val="DefaultParagraphFont"/>
    <w:uiPriority w:val="99"/>
    <w:semiHidden/>
    <w:unhideWhenUsed/>
    <w:rsid w:val="00A50AF6"/>
    <w:rPr>
      <w:vertAlign w:val="superscript"/>
    </w:rPr>
  </w:style>
  <w:style w:type="character" w:customStyle="1" w:styleId="Heading1Char">
    <w:name w:val="Heading 1 Char"/>
    <w:basedOn w:val="DefaultParagraphFont"/>
    <w:link w:val="Heading1"/>
    <w:uiPriority w:val="9"/>
    <w:rsid w:val="00641907"/>
    <w:rPr>
      <w:rFonts w:asciiTheme="majorHAnsi" w:eastAsiaTheme="majorEastAsia" w:hAnsiTheme="majorHAnsi" w:cstheme="majorBidi"/>
      <w:color w:val="2E74B5" w:themeColor="accent1" w:themeShade="BF"/>
      <w:sz w:val="32"/>
      <w:szCs w:val="32"/>
      <w:lang w:val="en-GB"/>
    </w:rPr>
  </w:style>
  <w:style w:type="character" w:styleId="FollowedHyperlink">
    <w:name w:val="FollowedHyperlink"/>
    <w:basedOn w:val="DefaultParagraphFont"/>
    <w:uiPriority w:val="99"/>
    <w:semiHidden/>
    <w:unhideWhenUsed/>
    <w:rsid w:val="00221C78"/>
    <w:rPr>
      <w:color w:val="954F72" w:themeColor="followedHyperlink"/>
      <w:u w:val="single"/>
    </w:rPr>
  </w:style>
  <w:style w:type="character" w:customStyle="1" w:styleId="Ratkaisematonmaininta1">
    <w:name w:val="Ratkaisematon maininta1"/>
    <w:basedOn w:val="DefaultParagraphFont"/>
    <w:uiPriority w:val="99"/>
    <w:semiHidden/>
    <w:unhideWhenUsed/>
    <w:rsid w:val="00CA6D29"/>
    <w:rPr>
      <w:color w:val="605E5C"/>
      <w:shd w:val="clear" w:color="auto" w:fill="E1DFDD"/>
    </w:rPr>
  </w:style>
  <w:style w:type="character" w:customStyle="1" w:styleId="UnresolvedMention">
    <w:name w:val="Unresolved Mention"/>
    <w:basedOn w:val="DefaultParagraphFont"/>
    <w:uiPriority w:val="99"/>
    <w:semiHidden/>
    <w:unhideWhenUsed/>
    <w:rsid w:val="00D40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2360">
      <w:bodyDiv w:val="1"/>
      <w:marLeft w:val="0"/>
      <w:marRight w:val="0"/>
      <w:marTop w:val="0"/>
      <w:marBottom w:val="0"/>
      <w:divBdr>
        <w:top w:val="none" w:sz="0" w:space="0" w:color="auto"/>
        <w:left w:val="none" w:sz="0" w:space="0" w:color="auto"/>
        <w:bottom w:val="none" w:sz="0" w:space="0" w:color="auto"/>
        <w:right w:val="none" w:sz="0" w:space="0" w:color="auto"/>
      </w:divBdr>
      <w:divsChild>
        <w:div w:id="931084886">
          <w:marLeft w:val="0"/>
          <w:marRight w:val="0"/>
          <w:marTop w:val="0"/>
          <w:marBottom w:val="0"/>
          <w:divBdr>
            <w:top w:val="none" w:sz="0" w:space="0" w:color="auto"/>
            <w:left w:val="none" w:sz="0" w:space="0" w:color="auto"/>
            <w:bottom w:val="none" w:sz="0" w:space="0" w:color="auto"/>
            <w:right w:val="none" w:sz="0" w:space="0" w:color="auto"/>
          </w:divBdr>
        </w:div>
      </w:divsChild>
    </w:div>
    <w:div w:id="1667123996">
      <w:bodyDiv w:val="1"/>
      <w:marLeft w:val="0"/>
      <w:marRight w:val="0"/>
      <w:marTop w:val="0"/>
      <w:marBottom w:val="0"/>
      <w:divBdr>
        <w:top w:val="none" w:sz="0" w:space="0" w:color="auto"/>
        <w:left w:val="none" w:sz="0" w:space="0" w:color="auto"/>
        <w:bottom w:val="none" w:sz="0" w:space="0" w:color="auto"/>
        <w:right w:val="none" w:sz="0" w:space="0" w:color="auto"/>
      </w:divBdr>
    </w:div>
    <w:div w:id="1783377764">
      <w:bodyDiv w:val="1"/>
      <w:marLeft w:val="0"/>
      <w:marRight w:val="0"/>
      <w:marTop w:val="0"/>
      <w:marBottom w:val="0"/>
      <w:divBdr>
        <w:top w:val="none" w:sz="0" w:space="0" w:color="auto"/>
        <w:left w:val="none" w:sz="0" w:space="0" w:color="auto"/>
        <w:bottom w:val="none" w:sz="0" w:space="0" w:color="auto"/>
        <w:right w:val="none" w:sz="0" w:space="0" w:color="auto"/>
      </w:divBdr>
      <w:divsChild>
        <w:div w:id="74673105">
          <w:marLeft w:val="0"/>
          <w:marRight w:val="0"/>
          <w:marTop w:val="0"/>
          <w:marBottom w:val="0"/>
          <w:divBdr>
            <w:top w:val="none" w:sz="0" w:space="0" w:color="auto"/>
            <w:left w:val="none" w:sz="0" w:space="0" w:color="auto"/>
            <w:bottom w:val="none" w:sz="0" w:space="0" w:color="auto"/>
            <w:right w:val="none" w:sz="0" w:space="0" w:color="auto"/>
          </w:divBdr>
        </w:div>
      </w:divsChild>
    </w:div>
    <w:div w:id="2145734158">
      <w:bodyDiv w:val="1"/>
      <w:marLeft w:val="0"/>
      <w:marRight w:val="0"/>
      <w:marTop w:val="0"/>
      <w:marBottom w:val="0"/>
      <w:divBdr>
        <w:top w:val="none" w:sz="0" w:space="0" w:color="auto"/>
        <w:left w:val="none" w:sz="0" w:space="0" w:color="auto"/>
        <w:bottom w:val="none" w:sz="0" w:space="0" w:color="auto"/>
        <w:right w:val="none" w:sz="0" w:space="0" w:color="auto"/>
      </w:divBdr>
      <w:divsChild>
        <w:div w:id="1881941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aastamoinen@uef.fi" TargetMode="External"/><Relationship Id="rId13" Type="http://schemas.openxmlformats.org/officeDocument/2006/relationships/hyperlink" Target="https://www.hippos.fi/files/14454/Hevostalous_lukuina_2015.pdf"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ippos.fi/files/11501/Hevostalous_lukuina_2014.pdf" TargetMode="External"/><Relationship Id="rId17" Type="http://schemas.openxmlformats.org/officeDocument/2006/relationships/hyperlink" Target="http://www.trav.dk/media/1665/uet_annual_report2017.pdf" TargetMode="External"/><Relationship Id="rId2" Type="http://schemas.openxmlformats.org/officeDocument/2006/relationships/numbering" Target="numbering.xml"/><Relationship Id="rId16" Type="http://schemas.openxmlformats.org/officeDocument/2006/relationships/hyperlink" Target="http://www.hippos.fi/files/18522/hippos_vuosikertomus2016_valmi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Forrest@liverpool.ac.uk" TargetMode="External"/><Relationship Id="rId5" Type="http://schemas.openxmlformats.org/officeDocument/2006/relationships/webSettings" Target="webSettings.xml"/><Relationship Id="rId15" Type="http://schemas.openxmlformats.org/officeDocument/2006/relationships/hyperlink" Target="http://www.hippos.fi/files/12384/hippos_vuosikertomus_2014_lowres20052015.pdf" TargetMode="External"/><Relationship Id="rId10" Type="http://schemas.openxmlformats.org/officeDocument/2006/relationships/hyperlink" Target="mailto:tuomo.kainulainen@uef.f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ko.suhonen@uef.fi" TargetMode="External"/><Relationship Id="rId14" Type="http://schemas.openxmlformats.org/officeDocument/2006/relationships/hyperlink" Target="http://www.hippos.fi/files/599/hippos09vuosikertomus.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C8D1F-EF6B-45A6-9FA7-57F98018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7362</Words>
  <Characters>41965</Characters>
  <Application>Microsoft Office Word</Application>
  <DocSecurity>0</DocSecurity>
  <Lines>349</Lines>
  <Paragraphs>98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Eastern Finland</Company>
  <LinksUpToDate>false</LinksUpToDate>
  <CharactersWithSpaces>49229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d.k.forrest</cp:lastModifiedBy>
  <cp:revision>2</cp:revision>
  <cp:lastPrinted>2017-09-14T05:28:00Z</cp:lastPrinted>
  <dcterms:created xsi:type="dcterms:W3CDTF">2020-08-17T12:44:00Z</dcterms:created>
  <dcterms:modified xsi:type="dcterms:W3CDTF">2020-08-17T12:44:00Z</dcterms:modified>
</cp:coreProperties>
</file>