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26624" w14:textId="6949FF4B" w:rsidR="000D048C" w:rsidRPr="00711CD2" w:rsidRDefault="000D048C" w:rsidP="000D048C">
      <w:pPr>
        <w:spacing w:line="360" w:lineRule="auto"/>
        <w:jc w:val="center"/>
        <w:rPr>
          <w:b/>
          <w:bCs/>
          <w:color w:val="44546A" w:themeColor="text2"/>
        </w:rPr>
      </w:pPr>
      <w:r w:rsidRPr="00711CD2">
        <w:rPr>
          <w:b/>
          <w:bCs/>
          <w:color w:val="44546A" w:themeColor="text2"/>
        </w:rPr>
        <w:t>The GDPR, AI and the NHS</w:t>
      </w:r>
      <w:r>
        <w:rPr>
          <w:b/>
          <w:bCs/>
          <w:color w:val="44546A" w:themeColor="text2"/>
        </w:rPr>
        <w:t xml:space="preserve"> Code of Conduct </w:t>
      </w:r>
      <w:r w:rsidRPr="000272CC">
        <w:rPr>
          <w:b/>
          <w:bCs/>
          <w:color w:val="44546A" w:themeColor="text2"/>
        </w:rPr>
        <w:t>for data driven health and care technology</w:t>
      </w:r>
      <w:r w:rsidR="00E40CAA">
        <w:rPr>
          <w:rStyle w:val="FootnoteReference"/>
          <w:b/>
          <w:bCs/>
          <w:color w:val="44546A" w:themeColor="text2"/>
        </w:rPr>
        <w:footnoteReference w:customMarkFollows="1" w:id="1"/>
        <w:t>†</w:t>
      </w:r>
    </w:p>
    <w:p w14:paraId="53B55FE0" w14:textId="77777777" w:rsidR="000D048C" w:rsidRPr="00711CD2" w:rsidRDefault="000D048C" w:rsidP="000D048C">
      <w:pPr>
        <w:spacing w:line="360" w:lineRule="auto"/>
        <w:rPr>
          <w:color w:val="44546A" w:themeColor="text2"/>
        </w:rPr>
      </w:pPr>
    </w:p>
    <w:p w14:paraId="702BE452" w14:textId="77777777" w:rsidR="000D048C" w:rsidRPr="00711CD2" w:rsidRDefault="000D048C" w:rsidP="000D048C">
      <w:pPr>
        <w:spacing w:line="360" w:lineRule="auto"/>
        <w:rPr>
          <w:color w:val="44546A" w:themeColor="text2"/>
        </w:rPr>
      </w:pPr>
    </w:p>
    <w:p w14:paraId="48EB97A4" w14:textId="77777777" w:rsidR="000D048C" w:rsidRDefault="000D048C" w:rsidP="000D048C">
      <w:pPr>
        <w:spacing w:line="360" w:lineRule="auto"/>
        <w:jc w:val="both"/>
        <w:rPr>
          <w:color w:val="44546A" w:themeColor="text2"/>
        </w:rPr>
      </w:pPr>
    </w:p>
    <w:p w14:paraId="11253FA7" w14:textId="77777777" w:rsidR="000D048C" w:rsidRPr="00711CD2" w:rsidRDefault="000D048C" w:rsidP="000D048C">
      <w:pPr>
        <w:spacing w:line="360" w:lineRule="auto"/>
        <w:jc w:val="both"/>
        <w:rPr>
          <w:color w:val="44546A" w:themeColor="text2"/>
        </w:rPr>
      </w:pPr>
    </w:p>
    <w:p w14:paraId="5D07B1AC" w14:textId="77777777" w:rsidR="000D048C" w:rsidRPr="00711CD2" w:rsidRDefault="000D048C" w:rsidP="000D048C">
      <w:pPr>
        <w:spacing w:line="360" w:lineRule="auto"/>
        <w:jc w:val="both"/>
        <w:rPr>
          <w:b/>
          <w:bCs/>
          <w:color w:val="44546A" w:themeColor="text2"/>
        </w:rPr>
      </w:pPr>
      <w:r w:rsidRPr="00711CD2">
        <w:rPr>
          <w:b/>
          <w:bCs/>
          <w:color w:val="44546A" w:themeColor="text2"/>
        </w:rPr>
        <w:t>I. Introduction</w:t>
      </w:r>
    </w:p>
    <w:p w14:paraId="0B3802AE" w14:textId="77777777" w:rsidR="000D048C" w:rsidRPr="00711CD2" w:rsidRDefault="000D048C" w:rsidP="000D048C">
      <w:pPr>
        <w:spacing w:line="360" w:lineRule="auto"/>
        <w:rPr>
          <w:color w:val="44546A" w:themeColor="text2"/>
        </w:rPr>
      </w:pPr>
      <w:r w:rsidRPr="00711CD2">
        <w:rPr>
          <w:color w:val="44546A" w:themeColor="text2"/>
        </w:rPr>
        <w:t xml:space="preserve">The potential of artificial intelligence (AI) and machine learning (AI) to revolutionise </w:t>
      </w:r>
      <w:r>
        <w:rPr>
          <w:color w:val="44546A" w:themeColor="text2"/>
        </w:rPr>
        <w:t xml:space="preserve">the delivery of </w:t>
      </w:r>
      <w:r w:rsidRPr="00711CD2">
        <w:rPr>
          <w:color w:val="44546A" w:themeColor="text2"/>
        </w:rPr>
        <w:t>healthcare in the National Health Service (NHS) has brought the General Data Protection Regulation 2016 (GDPR) into mainstream information governance debates</w:t>
      </w:r>
      <w:r>
        <w:rPr>
          <w:color w:val="44546A" w:themeColor="text2"/>
        </w:rPr>
        <w:t>.</w:t>
      </w:r>
      <w:r>
        <w:rPr>
          <w:rStyle w:val="FootnoteReference"/>
          <w:color w:val="44546A" w:themeColor="text2"/>
        </w:rPr>
        <w:footnoteReference w:id="2"/>
      </w:r>
      <w:r>
        <w:rPr>
          <w:color w:val="44546A" w:themeColor="text2"/>
        </w:rPr>
        <w:t xml:space="preserve"> As part of its strategy for harnessing the “potential of cutting-edge technologies to support preventative, predictive and personalised care” solutions, the Government has called for a reassessment of the type of governance mechanisms that will help bring to fruition the political goals set out in the </w:t>
      </w:r>
      <w:r w:rsidRPr="00D0764B">
        <w:rPr>
          <w:i/>
          <w:iCs/>
          <w:color w:val="44546A" w:themeColor="text2"/>
        </w:rPr>
        <w:t>Next Steps on the NHS Five Year Forward View</w:t>
      </w:r>
      <w:r>
        <w:rPr>
          <w:color w:val="44546A" w:themeColor="text2"/>
        </w:rPr>
        <w:t>.</w:t>
      </w:r>
      <w:r w:rsidRPr="000272CC">
        <w:rPr>
          <w:rStyle w:val="FootnoteReference"/>
          <w:color w:val="44546A" w:themeColor="text2"/>
        </w:rPr>
        <w:t xml:space="preserve"> </w:t>
      </w:r>
      <w:r>
        <w:rPr>
          <w:rStyle w:val="FootnoteReference"/>
          <w:color w:val="44546A" w:themeColor="text2"/>
        </w:rPr>
        <w:footnoteReference w:id="3"/>
      </w:r>
      <w:r>
        <w:rPr>
          <w:color w:val="44546A" w:themeColor="text2"/>
        </w:rPr>
        <w:t xml:space="preserve">  It is particularly striking to note that a crucial plank to ushering the transition to a “radical new [governance] approach to technology” involves the reorientation of existing data protection rules governing the collection, use and sharing of personal information in the age of AI systems and big data analytics.</w:t>
      </w:r>
      <w:r>
        <w:rPr>
          <w:rStyle w:val="FootnoteReference"/>
          <w:color w:val="44546A" w:themeColor="text2"/>
        </w:rPr>
        <w:footnoteReference w:id="4"/>
      </w:r>
      <w:r>
        <w:rPr>
          <w:color w:val="44546A" w:themeColor="text2"/>
        </w:rPr>
        <w:t xml:space="preserve"> The </w:t>
      </w:r>
      <w:r w:rsidRPr="00711CD2">
        <w:rPr>
          <w:color w:val="44546A" w:themeColor="text2"/>
        </w:rPr>
        <w:t>code of conduct for data driven health and care technology (Code of Conduct)</w:t>
      </w:r>
      <w:r>
        <w:rPr>
          <w:color w:val="44546A" w:themeColor="text2"/>
        </w:rPr>
        <w:t xml:space="preserve"> is presented as the mechanism through which the regulatory discourse targeting those “pain points” that create barriers to innovation.</w:t>
      </w:r>
      <w:r>
        <w:rPr>
          <w:rStyle w:val="FootnoteReference"/>
          <w:color w:val="44546A" w:themeColor="text2"/>
        </w:rPr>
        <w:footnoteReference w:id="5"/>
      </w:r>
      <w:r>
        <w:rPr>
          <w:color w:val="44546A" w:themeColor="text2"/>
        </w:rPr>
        <w:t xml:space="preserve"> In light of this logic, one may be led to assume that the immediate outcome of the principles based approach would be to enable the NHS to draw on the knowledge and expertise of clinicians, designers of digital health infrastructure providers and healthcare professionals to help clarify and develop common understandings of data protection rules, adapt these where appropriate, and </w:t>
      </w:r>
      <w:r>
        <w:rPr>
          <w:color w:val="44546A" w:themeColor="text2"/>
        </w:rPr>
        <w:lastRenderedPageBreak/>
        <w:t>implement and monitor their application in diverse healthcare settings.</w:t>
      </w:r>
      <w:r>
        <w:rPr>
          <w:rStyle w:val="FootnoteReference"/>
          <w:color w:val="44546A" w:themeColor="text2"/>
        </w:rPr>
        <w:footnoteReference w:id="6"/>
      </w:r>
      <w:r>
        <w:rPr>
          <w:color w:val="44546A" w:themeColor="text2"/>
        </w:rPr>
        <w:t xml:space="preserve"> Arguably, codes of conduct are preferable as an information governance mechanism, when compared with the time consuming and costly task of enacting a comprehensive set of statutory rules governing the integration of AI into the healthcare environment.</w:t>
      </w:r>
      <w:r w:rsidRPr="00EA4846">
        <w:rPr>
          <w:rStyle w:val="FootnoteReference"/>
          <w:color w:val="44546A" w:themeColor="text2"/>
        </w:rPr>
        <w:t xml:space="preserve"> </w:t>
      </w:r>
      <w:r>
        <w:rPr>
          <w:rStyle w:val="FootnoteReference"/>
          <w:color w:val="44546A" w:themeColor="text2"/>
        </w:rPr>
        <w:footnoteReference w:id="7"/>
      </w:r>
      <w:r>
        <w:rPr>
          <w:color w:val="44546A" w:themeColor="text2"/>
        </w:rPr>
        <w:t xml:space="preserve"> Enacting another set of rules would also create additional challenges for compliance given the existence of a dense framework of regulations and bodies monitoring compliance of healthcare professionals and utilization of digital devices and innovative solutions for diagnosis and treatment of patients.</w:t>
      </w:r>
      <w:r>
        <w:rPr>
          <w:rStyle w:val="FootnoteReference"/>
          <w:color w:val="44546A" w:themeColor="text2"/>
        </w:rPr>
        <w:footnoteReference w:id="8"/>
      </w:r>
      <w:r>
        <w:rPr>
          <w:color w:val="44546A" w:themeColor="text2"/>
        </w:rPr>
        <w:t xml:space="preserve"> There is also unlikely to be much disagreement that a centralised ‘command and control’ regulatory framework will lack the agility in grappling with the dynamic and transformative reach of AI and complex data driven processes. The need for a responsive framework managing disruptions ushered in by new and innovative technologies it should be said is not a new one and clearly not unique to healthcare.</w:t>
      </w:r>
      <w:r>
        <w:rPr>
          <w:rStyle w:val="FootnoteReference"/>
          <w:color w:val="44546A" w:themeColor="text2"/>
        </w:rPr>
        <w:footnoteReference w:id="9"/>
      </w:r>
      <w:r>
        <w:rPr>
          <w:color w:val="44546A" w:themeColor="text2"/>
        </w:rPr>
        <w:t xml:space="preserve"> The aim of this chapter is to engage with two specific problems with assumptions made about the role and significance of the Code of Conduct’s principles based approach as critical to the Government’s vision for modernising healthcare. First, it questions the implication that data protection law unlike the Code of Conduct is a monolithic centralised framework of rigid rules which constrain the ability of relevant parties to tailor regulations to the novel use of technologies and data driven processes in discharging their responsibilities towards patients.</w:t>
      </w:r>
      <w:r>
        <w:rPr>
          <w:rStyle w:val="FootnoteReference"/>
          <w:color w:val="44546A" w:themeColor="text2"/>
        </w:rPr>
        <w:footnoteReference w:id="10"/>
      </w:r>
      <w:r>
        <w:rPr>
          <w:color w:val="44546A" w:themeColor="text2"/>
        </w:rPr>
        <w:t xml:space="preserve"> Second, a close examination of the Code of Conduct suggests that the GDPR already provides a legal infrastructure aimed at promoting a bottom-up approach of spontaneous ‘regulatory conversations’ with a view to speeding up access to personal information and minimise obstacles to collection, pave the way towards harnessing insights from the use of big data analytical systems and provide assurances of data quality </w:t>
      </w:r>
      <w:r>
        <w:rPr>
          <w:color w:val="44546A" w:themeColor="text2"/>
        </w:rPr>
        <w:lastRenderedPageBreak/>
        <w:t>and trustworthiness.</w:t>
      </w:r>
      <w:r w:rsidRPr="00776462">
        <w:rPr>
          <w:rStyle w:val="FootnoteReference"/>
          <w:color w:val="44546A" w:themeColor="text2"/>
        </w:rPr>
        <w:t xml:space="preserve"> </w:t>
      </w:r>
      <w:r>
        <w:rPr>
          <w:rStyle w:val="FootnoteReference"/>
          <w:color w:val="44546A" w:themeColor="text2"/>
        </w:rPr>
        <w:footnoteReference w:id="11"/>
      </w:r>
      <w:r>
        <w:rPr>
          <w:color w:val="44546A" w:themeColor="text2"/>
        </w:rPr>
        <w:t xml:space="preserve">  It will be argued that many of the principles in the Code of Conduct which are perceived as being responsive to the challenges clinicians face in dynamic settings originate in the law’s </w:t>
      </w:r>
      <w:r w:rsidRPr="006141F0">
        <w:rPr>
          <w:color w:val="44546A" w:themeColor="text2"/>
        </w:rPr>
        <w:t xml:space="preserve">reflexive and flexible </w:t>
      </w:r>
      <w:r>
        <w:rPr>
          <w:color w:val="44546A" w:themeColor="text2"/>
        </w:rPr>
        <w:t>framework that is polycentric and which provides mechanisms for steering actors processing health data at multiple levels with the aim of ensuring that collective understandings of norms and practices being developed and operationalised are consistent with the GDPR.</w:t>
      </w:r>
      <w:r>
        <w:rPr>
          <w:rStyle w:val="FootnoteReference"/>
          <w:color w:val="44546A" w:themeColor="text2"/>
        </w:rPr>
        <w:footnoteReference w:id="12"/>
      </w:r>
      <w:r>
        <w:rPr>
          <w:color w:val="44546A" w:themeColor="text2"/>
        </w:rPr>
        <w:t xml:space="preserve"> </w:t>
      </w:r>
      <w:r w:rsidRPr="00711CD2">
        <w:rPr>
          <w:color w:val="44546A" w:themeColor="text2"/>
        </w:rPr>
        <w:t xml:space="preserve">The chapter is structured as follows. Section II sets the context by outlining how the integration of AI systems into healthcare holds the prospect for radically transforming the means and ways through which decisions are made. </w:t>
      </w:r>
      <w:r>
        <w:rPr>
          <w:color w:val="44546A" w:themeColor="text2"/>
        </w:rPr>
        <w:t xml:space="preserve">The discussion then turns to data protection law’s </w:t>
      </w:r>
      <w:r w:rsidRPr="00711CD2">
        <w:rPr>
          <w:color w:val="44546A" w:themeColor="text2"/>
        </w:rPr>
        <w:t xml:space="preserve">response </w:t>
      </w:r>
      <w:r>
        <w:rPr>
          <w:color w:val="44546A" w:themeColor="text2"/>
        </w:rPr>
        <w:t>to</w:t>
      </w:r>
      <w:r w:rsidRPr="00711CD2">
        <w:rPr>
          <w:color w:val="44546A" w:themeColor="text2"/>
        </w:rPr>
        <w:t xml:space="preserve"> the transformations being ushered in by AI, specifically, the collection, </w:t>
      </w:r>
      <w:r>
        <w:rPr>
          <w:color w:val="44546A" w:themeColor="text2"/>
        </w:rPr>
        <w:t>manipulation</w:t>
      </w:r>
      <w:r w:rsidRPr="00711CD2">
        <w:rPr>
          <w:color w:val="44546A" w:themeColor="text2"/>
        </w:rPr>
        <w:t xml:space="preserve"> and use of personal data. Two questions</w:t>
      </w:r>
      <w:r>
        <w:rPr>
          <w:color w:val="44546A" w:themeColor="text2"/>
        </w:rPr>
        <w:t xml:space="preserve"> form the focus of the discussion</w:t>
      </w:r>
      <w:r w:rsidRPr="00711CD2">
        <w:rPr>
          <w:color w:val="44546A" w:themeColor="text2"/>
        </w:rPr>
        <w:t xml:space="preserve">: first, how data protection law </w:t>
      </w:r>
      <w:r>
        <w:rPr>
          <w:color w:val="44546A" w:themeColor="text2"/>
        </w:rPr>
        <w:t xml:space="preserve">enables actors in the dynamic healthcare environment to apply their knowledge, expertise and skills when using novel data driven processes for prediction, treatment and diagnosis; </w:t>
      </w:r>
      <w:r w:rsidRPr="00711CD2">
        <w:rPr>
          <w:color w:val="44546A" w:themeColor="text2"/>
        </w:rPr>
        <w:t xml:space="preserve">and second, </w:t>
      </w:r>
      <w:r>
        <w:rPr>
          <w:color w:val="44546A" w:themeColor="text2"/>
        </w:rPr>
        <w:t>what significance is to be attached to the</w:t>
      </w:r>
      <w:r w:rsidRPr="00711CD2">
        <w:rPr>
          <w:color w:val="44546A" w:themeColor="text2"/>
        </w:rPr>
        <w:t xml:space="preserve"> Code of Conduct.</w:t>
      </w:r>
      <w:r>
        <w:rPr>
          <w:color w:val="44546A" w:themeColor="text2"/>
        </w:rPr>
        <w:t xml:space="preserve"> Section III considers the first question and </w:t>
      </w:r>
      <w:r w:rsidRPr="00711CD2">
        <w:rPr>
          <w:color w:val="44546A" w:themeColor="text2"/>
        </w:rPr>
        <w:t>Section IV</w:t>
      </w:r>
      <w:r>
        <w:rPr>
          <w:color w:val="44546A" w:themeColor="text2"/>
        </w:rPr>
        <w:t xml:space="preserve"> the second</w:t>
      </w:r>
      <w:r w:rsidRPr="00711CD2">
        <w:rPr>
          <w:color w:val="44546A" w:themeColor="text2"/>
        </w:rPr>
        <w:t>.</w:t>
      </w:r>
    </w:p>
    <w:p w14:paraId="7ECB95F6" w14:textId="77777777" w:rsidR="000D048C" w:rsidRPr="00711CD2" w:rsidRDefault="000D048C" w:rsidP="000D048C">
      <w:pPr>
        <w:spacing w:line="360" w:lineRule="auto"/>
        <w:rPr>
          <w:color w:val="44546A" w:themeColor="text2"/>
        </w:rPr>
      </w:pPr>
    </w:p>
    <w:p w14:paraId="63450CE1" w14:textId="77777777" w:rsidR="000D048C" w:rsidRPr="00711CD2" w:rsidRDefault="000D048C" w:rsidP="000D048C">
      <w:pPr>
        <w:spacing w:line="360" w:lineRule="auto"/>
        <w:jc w:val="both"/>
        <w:rPr>
          <w:color w:val="44546A" w:themeColor="text2"/>
        </w:rPr>
      </w:pPr>
    </w:p>
    <w:p w14:paraId="6B0C0028" w14:textId="77777777" w:rsidR="000D048C" w:rsidRPr="00711CD2" w:rsidRDefault="000D048C" w:rsidP="000D048C">
      <w:pPr>
        <w:spacing w:line="360" w:lineRule="auto"/>
        <w:jc w:val="both"/>
        <w:rPr>
          <w:b/>
          <w:bCs/>
          <w:color w:val="44546A" w:themeColor="text2"/>
        </w:rPr>
      </w:pPr>
      <w:r w:rsidRPr="00711CD2">
        <w:rPr>
          <w:b/>
          <w:bCs/>
          <w:color w:val="44546A" w:themeColor="text2"/>
        </w:rPr>
        <w:t>II. AI and Healthcare</w:t>
      </w:r>
    </w:p>
    <w:p w14:paraId="466EF85D" w14:textId="77777777" w:rsidR="000D048C" w:rsidRDefault="000D048C" w:rsidP="000D048C">
      <w:pPr>
        <w:spacing w:line="360" w:lineRule="auto"/>
        <w:jc w:val="both"/>
        <w:rPr>
          <w:color w:val="44546A" w:themeColor="text2"/>
        </w:rPr>
      </w:pPr>
    </w:p>
    <w:p w14:paraId="2A3AEF1D" w14:textId="77777777" w:rsidR="000D048C" w:rsidRDefault="000D048C" w:rsidP="000D048C">
      <w:pPr>
        <w:spacing w:line="360" w:lineRule="auto"/>
        <w:jc w:val="both"/>
        <w:rPr>
          <w:color w:val="44546A" w:themeColor="text2"/>
        </w:rPr>
      </w:pPr>
      <w:r>
        <w:rPr>
          <w:color w:val="44546A" w:themeColor="text2"/>
        </w:rPr>
        <w:t>In order to understand and grapple with the data protection issues that arise in the data driven healthcare environment a brief account of AI, machine learning processes and big data analytics and its application to the healthcare context will be provided.</w:t>
      </w:r>
    </w:p>
    <w:p w14:paraId="31F3F185" w14:textId="77777777" w:rsidR="000D048C" w:rsidRDefault="000D048C" w:rsidP="000D048C">
      <w:pPr>
        <w:spacing w:line="360" w:lineRule="auto"/>
        <w:jc w:val="both"/>
        <w:rPr>
          <w:color w:val="44546A" w:themeColor="text2"/>
        </w:rPr>
      </w:pPr>
    </w:p>
    <w:p w14:paraId="768547D1" w14:textId="77777777" w:rsidR="000D048C" w:rsidRPr="00711CD2" w:rsidRDefault="000D048C" w:rsidP="000D048C">
      <w:pPr>
        <w:spacing w:line="360" w:lineRule="auto"/>
        <w:jc w:val="both"/>
        <w:rPr>
          <w:i/>
          <w:iCs/>
          <w:color w:val="44546A" w:themeColor="text2"/>
        </w:rPr>
      </w:pPr>
      <w:r w:rsidRPr="00711CD2">
        <w:rPr>
          <w:i/>
          <w:iCs/>
          <w:color w:val="44546A" w:themeColor="text2"/>
        </w:rPr>
        <w:t>Artificial Intelligence: A working definition</w:t>
      </w:r>
    </w:p>
    <w:p w14:paraId="72210838" w14:textId="77777777" w:rsidR="000D048C" w:rsidRPr="00711CD2" w:rsidRDefault="000D048C" w:rsidP="000D048C">
      <w:pPr>
        <w:spacing w:before="100" w:beforeAutospacing="1" w:after="100" w:afterAutospacing="1" w:line="360" w:lineRule="auto"/>
        <w:rPr>
          <w:color w:val="44546A" w:themeColor="text2"/>
        </w:rPr>
      </w:pPr>
      <w:r w:rsidRPr="00711CD2">
        <w:rPr>
          <w:color w:val="44546A" w:themeColor="text2"/>
        </w:rPr>
        <w:t xml:space="preserve">Artificial intelligence can be described as a computational process which enables machines to “to perceive, reason, and act”. </w:t>
      </w:r>
      <w:r w:rsidRPr="00711CD2">
        <w:rPr>
          <w:rStyle w:val="FootnoteReference"/>
          <w:color w:val="44546A" w:themeColor="text2"/>
        </w:rPr>
        <w:footnoteReference w:id="13"/>
      </w:r>
      <w:r w:rsidRPr="00711CD2">
        <w:rPr>
          <w:color w:val="44546A" w:themeColor="text2"/>
        </w:rPr>
        <w:t xml:space="preserve"> </w:t>
      </w:r>
      <w:r>
        <w:rPr>
          <w:color w:val="44546A" w:themeColor="text2"/>
        </w:rPr>
        <w:t xml:space="preserve">The significance of the speed with which machines can process vast amounts of data and undertake </w:t>
      </w:r>
      <w:r w:rsidRPr="00711CD2">
        <w:rPr>
          <w:color w:val="44546A" w:themeColor="text2"/>
        </w:rPr>
        <w:t xml:space="preserve">tasks commonly associated with human </w:t>
      </w:r>
      <w:r w:rsidRPr="00711CD2">
        <w:rPr>
          <w:color w:val="44546A" w:themeColor="text2"/>
        </w:rPr>
        <w:lastRenderedPageBreak/>
        <w:t>knowledge and reasoning</w:t>
      </w:r>
      <w:r>
        <w:rPr>
          <w:color w:val="44546A" w:themeColor="text2"/>
        </w:rPr>
        <w:t xml:space="preserve"> does not of itself make them a disruptive technology</w:t>
      </w:r>
      <w:r w:rsidRPr="00711CD2">
        <w:rPr>
          <w:color w:val="44546A" w:themeColor="text2"/>
        </w:rPr>
        <w:t>. AI systems</w:t>
      </w:r>
      <w:r>
        <w:rPr>
          <w:color w:val="44546A" w:themeColor="text2"/>
        </w:rPr>
        <w:t xml:space="preserve"> are not simply data processing </w:t>
      </w:r>
      <w:proofErr w:type="gramStart"/>
      <w:r>
        <w:rPr>
          <w:color w:val="44546A" w:themeColor="text2"/>
        </w:rPr>
        <w:t>tools</w:t>
      </w:r>
      <w:proofErr w:type="gramEnd"/>
      <w:r>
        <w:rPr>
          <w:color w:val="44546A" w:themeColor="text2"/>
        </w:rPr>
        <w:t xml:space="preserve"> but they can be regarded as</w:t>
      </w:r>
      <w:r w:rsidRPr="00711CD2">
        <w:rPr>
          <w:color w:val="44546A" w:themeColor="text2"/>
        </w:rPr>
        <w:t>:</w:t>
      </w:r>
      <w:r w:rsidRPr="00711CD2">
        <w:rPr>
          <w:rStyle w:val="FootnoteReference"/>
          <w:color w:val="44546A" w:themeColor="text2"/>
        </w:rPr>
        <w:footnoteReference w:id="14"/>
      </w:r>
      <w:r w:rsidRPr="00711CD2">
        <w:rPr>
          <w:color w:val="44546A" w:themeColor="text2"/>
        </w:rPr>
        <w:t xml:space="preserve"> </w:t>
      </w:r>
    </w:p>
    <w:p w14:paraId="784550BD" w14:textId="77777777" w:rsidR="000D048C" w:rsidRPr="00711CD2" w:rsidRDefault="000D048C" w:rsidP="000D048C">
      <w:pPr>
        <w:spacing w:before="100" w:beforeAutospacing="1" w:after="100" w:afterAutospacing="1" w:line="360" w:lineRule="auto"/>
        <w:rPr>
          <w:color w:val="44546A" w:themeColor="text2"/>
        </w:rPr>
      </w:pPr>
      <w:r w:rsidRPr="00711CD2">
        <w:rPr>
          <w:color w:val="44546A" w:themeColor="text2"/>
        </w:rPr>
        <w:t>“agents that can form representations of the world, use a process of inference to derive new representations about the world, and use these new representations to deduce what to do.”</w:t>
      </w:r>
    </w:p>
    <w:p w14:paraId="1637615E" w14:textId="77777777" w:rsidR="000D048C" w:rsidRDefault="000D048C" w:rsidP="000D048C">
      <w:pPr>
        <w:spacing w:before="100" w:beforeAutospacing="1" w:after="100" w:afterAutospacing="1" w:line="360" w:lineRule="auto"/>
        <w:rPr>
          <w:color w:val="44546A" w:themeColor="text2"/>
        </w:rPr>
      </w:pPr>
      <w:r>
        <w:rPr>
          <w:color w:val="44546A" w:themeColor="text2"/>
        </w:rPr>
        <w:t>With the rise of ubiquitous computing, cheap processing, increased storage capacities, sensors can now capture raw data created by individuals and the environment to produce results that can be measured. AI systems have decision making and self-learning capabilities that enable them to operate as analytical models classify outputs, detect hidden patterns and reach decisions without human input</w:t>
      </w:r>
      <w:r w:rsidRPr="00711CD2">
        <w:rPr>
          <w:color w:val="44546A" w:themeColor="text2"/>
        </w:rPr>
        <w:t>.</w:t>
      </w:r>
      <w:r w:rsidRPr="00711CD2">
        <w:rPr>
          <w:rStyle w:val="FootnoteReference"/>
          <w:color w:val="44546A" w:themeColor="text2"/>
        </w:rPr>
        <w:footnoteReference w:id="15"/>
      </w:r>
      <w:r w:rsidRPr="00711CD2">
        <w:rPr>
          <w:color w:val="44546A" w:themeColor="text2"/>
        </w:rPr>
        <w:t xml:space="preserve"> </w:t>
      </w:r>
    </w:p>
    <w:p w14:paraId="659F0C9E" w14:textId="77777777" w:rsidR="000D048C" w:rsidRPr="00711CD2" w:rsidRDefault="000D048C" w:rsidP="000D048C">
      <w:pPr>
        <w:pStyle w:val="Heading2"/>
        <w:spacing w:line="360" w:lineRule="auto"/>
        <w:rPr>
          <w:rFonts w:ascii="Times New Roman" w:hAnsi="Times New Roman" w:cs="Times New Roman"/>
          <w:i/>
          <w:iCs/>
          <w:color w:val="44546A" w:themeColor="text2"/>
          <w:sz w:val="24"/>
          <w:szCs w:val="24"/>
        </w:rPr>
      </w:pPr>
    </w:p>
    <w:p w14:paraId="21B3EF74" w14:textId="77777777" w:rsidR="000D048C" w:rsidRPr="00711CD2" w:rsidRDefault="000D048C" w:rsidP="000D048C">
      <w:pPr>
        <w:pStyle w:val="Heading2"/>
        <w:spacing w:line="360" w:lineRule="auto"/>
        <w:rPr>
          <w:rFonts w:ascii="Times New Roman" w:hAnsi="Times New Roman" w:cs="Times New Roman"/>
          <w:i/>
          <w:iCs/>
          <w:color w:val="44546A" w:themeColor="text2"/>
          <w:sz w:val="24"/>
          <w:szCs w:val="24"/>
        </w:rPr>
      </w:pPr>
      <w:r w:rsidRPr="00711CD2">
        <w:rPr>
          <w:rFonts w:ascii="Times New Roman" w:hAnsi="Times New Roman" w:cs="Times New Roman"/>
          <w:i/>
          <w:iCs/>
          <w:color w:val="44546A" w:themeColor="text2"/>
          <w:sz w:val="24"/>
          <w:szCs w:val="24"/>
        </w:rPr>
        <w:t>AI and Healthcare</w:t>
      </w:r>
    </w:p>
    <w:p w14:paraId="0EF5F7C1" w14:textId="77777777" w:rsidR="000D048C" w:rsidRDefault="000D048C" w:rsidP="000D048C">
      <w:pPr>
        <w:spacing w:line="360" w:lineRule="auto"/>
        <w:jc w:val="both"/>
        <w:rPr>
          <w:color w:val="44546A" w:themeColor="text2"/>
        </w:rPr>
      </w:pPr>
      <w:r>
        <w:rPr>
          <w:color w:val="44546A" w:themeColor="text2"/>
        </w:rPr>
        <w:t xml:space="preserve">Knowledge discovery from mining data from databases have long been used in healthcare – from detecting fraud to precision targeting of public health strategies and differential diagnosis of chronic health conditions. As noted above AI tools offer clinicians and the NHS that is unprecedented. Data captured by sensors can be now be used to inform diagnosis </w:t>
      </w:r>
      <w:r w:rsidRPr="00711CD2">
        <w:rPr>
          <w:color w:val="44546A" w:themeColor="text2"/>
        </w:rPr>
        <w:t>and predict onset of health or related problems.</w:t>
      </w:r>
      <w:r w:rsidRPr="00711CD2">
        <w:rPr>
          <w:rStyle w:val="FootnoteReference"/>
          <w:color w:val="44546A" w:themeColor="text2"/>
        </w:rPr>
        <w:footnoteReference w:id="16"/>
      </w:r>
      <w:r w:rsidRPr="00711CD2">
        <w:rPr>
          <w:color w:val="44546A" w:themeColor="text2"/>
        </w:rPr>
        <w:t xml:space="preserve"> </w:t>
      </w:r>
      <w:r>
        <w:rPr>
          <w:color w:val="44546A" w:themeColor="text2"/>
        </w:rPr>
        <w:t>For example, the mobile phone applications can now be used to capture and transmit information to clinicians so that they can analyse the health condition of patients with kidney disease and detect the onset of kidney failure.</w:t>
      </w:r>
      <w:r>
        <w:rPr>
          <w:rStyle w:val="FootnoteReference"/>
          <w:color w:val="44546A" w:themeColor="text2"/>
        </w:rPr>
        <w:footnoteReference w:id="17"/>
      </w:r>
      <w:r>
        <w:rPr>
          <w:color w:val="44546A" w:themeColor="text2"/>
        </w:rPr>
        <w:t xml:space="preserve"> Opportunities for enhancing health outcomes are not limited to patients suffering with chronic kidney disease. </w:t>
      </w:r>
      <w:r w:rsidRPr="00711CD2">
        <w:rPr>
          <w:color w:val="44546A" w:themeColor="text2"/>
        </w:rPr>
        <w:t xml:space="preserve">AI technologies and systems </w:t>
      </w:r>
      <w:r>
        <w:rPr>
          <w:color w:val="44546A" w:themeColor="text2"/>
        </w:rPr>
        <w:t>are being used to offer p</w:t>
      </w:r>
      <w:r w:rsidRPr="00711CD2">
        <w:rPr>
          <w:color w:val="44546A" w:themeColor="text2"/>
        </w:rPr>
        <w:t>ersonalised treatments such as screening for breast cancer</w:t>
      </w:r>
      <w:r>
        <w:rPr>
          <w:rStyle w:val="FootnoteReference"/>
          <w:color w:val="44546A" w:themeColor="text2"/>
        </w:rPr>
        <w:footnoteReference w:id="18"/>
      </w:r>
      <w:r w:rsidRPr="00711CD2">
        <w:rPr>
          <w:color w:val="44546A" w:themeColor="text2"/>
        </w:rPr>
        <w:t>, eye diseases</w:t>
      </w:r>
      <w:r>
        <w:rPr>
          <w:rStyle w:val="FootnoteReference"/>
          <w:color w:val="44546A" w:themeColor="text2"/>
        </w:rPr>
        <w:footnoteReference w:id="19"/>
      </w:r>
      <w:r w:rsidRPr="00711CD2">
        <w:rPr>
          <w:color w:val="44546A" w:themeColor="text2"/>
        </w:rPr>
        <w:t xml:space="preserve"> as well</w:t>
      </w:r>
      <w:r>
        <w:rPr>
          <w:color w:val="44546A" w:themeColor="text2"/>
        </w:rPr>
        <w:t xml:space="preserve"> as augmenting the</w:t>
      </w:r>
      <w:r w:rsidRPr="00711CD2">
        <w:rPr>
          <w:color w:val="44546A" w:themeColor="text2"/>
        </w:rPr>
        <w:t xml:space="preserve"> skills and expertise of clinicians.</w:t>
      </w:r>
      <w:r w:rsidRPr="00711CD2">
        <w:rPr>
          <w:rStyle w:val="FootnoteReference"/>
          <w:color w:val="44546A" w:themeColor="text2"/>
        </w:rPr>
        <w:footnoteReference w:id="20"/>
      </w:r>
      <w:r>
        <w:rPr>
          <w:color w:val="44546A" w:themeColor="text2"/>
        </w:rPr>
        <w:t xml:space="preserve"> In addition, AI systems are also being used for preventative health purposes in non-communicable diseases, such as offering recommendations based on the analysis of patterns </w:t>
      </w:r>
      <w:r>
        <w:rPr>
          <w:color w:val="44546A" w:themeColor="text2"/>
        </w:rPr>
        <w:lastRenderedPageBreak/>
        <w:t>detected from behavioural data.</w:t>
      </w:r>
      <w:r>
        <w:rPr>
          <w:rStyle w:val="FootnoteReference"/>
          <w:color w:val="44546A" w:themeColor="text2"/>
        </w:rPr>
        <w:footnoteReference w:id="21"/>
      </w:r>
      <w:r>
        <w:rPr>
          <w:color w:val="44546A" w:themeColor="text2"/>
        </w:rPr>
        <w:t xml:space="preserve"> AI neural networks have been used to identify skin lesions to help </w:t>
      </w:r>
      <w:r w:rsidRPr="00711CD2">
        <w:rPr>
          <w:color w:val="44546A" w:themeColor="text2"/>
        </w:rPr>
        <w:t xml:space="preserve">optimise clinical decision making and </w:t>
      </w:r>
      <w:r>
        <w:rPr>
          <w:color w:val="44546A" w:themeColor="text2"/>
        </w:rPr>
        <w:t>facilitate exchange of ideas and information to advance medical treatments.</w:t>
      </w:r>
      <w:r>
        <w:rPr>
          <w:rStyle w:val="FootnoteReference"/>
          <w:color w:val="44546A" w:themeColor="text2"/>
        </w:rPr>
        <w:footnoteReference w:id="22"/>
      </w:r>
      <w:r w:rsidRPr="00711CD2">
        <w:rPr>
          <w:color w:val="44546A" w:themeColor="text2"/>
        </w:rPr>
        <w:t xml:space="preserve"> and medications.</w:t>
      </w:r>
      <w:r w:rsidRPr="00711CD2">
        <w:rPr>
          <w:rStyle w:val="FootnoteReference"/>
          <w:color w:val="44546A" w:themeColor="text2"/>
        </w:rPr>
        <w:footnoteReference w:id="23"/>
      </w:r>
      <w:r w:rsidRPr="00711CD2">
        <w:rPr>
          <w:color w:val="44546A" w:themeColor="text2"/>
        </w:rPr>
        <w:t xml:space="preserve"> </w:t>
      </w:r>
      <w:r>
        <w:rPr>
          <w:color w:val="44546A" w:themeColor="text2"/>
        </w:rPr>
        <w:t>Standardised assessment of AI based health solutions are being developed to support medical diagnostics.</w:t>
      </w:r>
      <w:r>
        <w:rPr>
          <w:rStyle w:val="FootnoteReference"/>
          <w:color w:val="44546A" w:themeColor="text2"/>
        </w:rPr>
        <w:footnoteReference w:id="24"/>
      </w:r>
      <w:r>
        <w:rPr>
          <w:color w:val="44546A" w:themeColor="text2"/>
        </w:rPr>
        <w:t xml:space="preserve"> Increasingly, AI based health solutions are being used in clinical settings to enhance the quality of decision making through the analysis of information from diverse databases which include images, text and patient data.</w:t>
      </w:r>
      <w:r>
        <w:rPr>
          <w:rStyle w:val="FootnoteReference"/>
          <w:color w:val="44546A" w:themeColor="text2"/>
        </w:rPr>
        <w:footnoteReference w:id="25"/>
      </w:r>
      <w:r>
        <w:rPr>
          <w:color w:val="44546A" w:themeColor="text2"/>
        </w:rPr>
        <w:t xml:space="preserve"> Innovations in digital health infrastructures have also enabled clinicians and those engaged in primary care to track and monitor patients health conditions, with real-time medical diagnosing and treatments taking place</w:t>
      </w:r>
      <w:r w:rsidRPr="00711CD2">
        <w:rPr>
          <w:color w:val="44546A" w:themeColor="text2"/>
        </w:rPr>
        <w:t>.</w:t>
      </w:r>
      <w:r w:rsidRPr="00711CD2">
        <w:rPr>
          <w:rStyle w:val="FootnoteReference"/>
          <w:color w:val="44546A" w:themeColor="text2"/>
        </w:rPr>
        <w:footnoteReference w:id="26"/>
      </w:r>
      <w:r w:rsidRPr="00711CD2">
        <w:rPr>
          <w:color w:val="44546A" w:themeColor="text2"/>
        </w:rPr>
        <w:t xml:space="preserve"> Recent developments in blockchain technologies and applications have seen systems developed with technological management of the delivery and information stewardship processes.</w:t>
      </w:r>
      <w:r w:rsidRPr="00711CD2">
        <w:rPr>
          <w:rStyle w:val="FootnoteReference"/>
          <w:color w:val="44546A" w:themeColor="text2"/>
        </w:rPr>
        <w:footnoteReference w:id="27"/>
      </w:r>
      <w:r>
        <w:rPr>
          <w:color w:val="44546A" w:themeColor="text2"/>
        </w:rPr>
        <w:t xml:space="preserve"> With advances in AI based health solutions taking place with such pace, for organizations like the NHS, new opportunities for data driven innovations integrating the entire health and social care sector.</w:t>
      </w:r>
      <w:r>
        <w:rPr>
          <w:rStyle w:val="FootnoteReference"/>
          <w:color w:val="44546A" w:themeColor="text2"/>
        </w:rPr>
        <w:footnoteReference w:id="28"/>
      </w:r>
    </w:p>
    <w:p w14:paraId="0D2E6CF3" w14:textId="77777777" w:rsidR="000D048C" w:rsidRDefault="000D048C" w:rsidP="000D048C">
      <w:pPr>
        <w:spacing w:line="360" w:lineRule="auto"/>
        <w:jc w:val="both"/>
        <w:rPr>
          <w:color w:val="44546A" w:themeColor="text2"/>
        </w:rPr>
      </w:pPr>
    </w:p>
    <w:p w14:paraId="491664D8" w14:textId="77777777" w:rsidR="000D048C" w:rsidRPr="00FB5527" w:rsidRDefault="000D048C" w:rsidP="000D048C"/>
    <w:p w14:paraId="7B277FA4" w14:textId="77777777" w:rsidR="000D048C" w:rsidRPr="00711CD2" w:rsidRDefault="000D048C" w:rsidP="000D048C">
      <w:pPr>
        <w:spacing w:line="360" w:lineRule="auto"/>
        <w:jc w:val="both"/>
        <w:rPr>
          <w:i/>
          <w:iCs/>
          <w:color w:val="44546A" w:themeColor="text2"/>
        </w:rPr>
      </w:pPr>
      <w:r w:rsidRPr="00711CD2">
        <w:rPr>
          <w:i/>
          <w:iCs/>
          <w:color w:val="44546A" w:themeColor="text2"/>
        </w:rPr>
        <w:t>Conclusion: AI and Dynamic Healthcare Environment</w:t>
      </w:r>
    </w:p>
    <w:p w14:paraId="3558BA3A" w14:textId="77777777" w:rsidR="000D048C" w:rsidRPr="00711CD2" w:rsidRDefault="000D048C" w:rsidP="000D048C">
      <w:pPr>
        <w:spacing w:line="360" w:lineRule="auto"/>
        <w:jc w:val="both"/>
        <w:rPr>
          <w:color w:val="44546A" w:themeColor="text2"/>
        </w:rPr>
      </w:pPr>
    </w:p>
    <w:p w14:paraId="27ED2275" w14:textId="77777777" w:rsidR="000D048C" w:rsidRDefault="000D048C" w:rsidP="000D048C">
      <w:pPr>
        <w:spacing w:line="360" w:lineRule="auto"/>
        <w:jc w:val="both"/>
        <w:rPr>
          <w:color w:val="44546A" w:themeColor="text2"/>
        </w:rPr>
      </w:pPr>
      <w:r>
        <w:rPr>
          <w:color w:val="44546A" w:themeColor="text2"/>
        </w:rPr>
        <w:t>Data driven innovation as a public health strategy offers considerable value for individuals, the NHS and society.</w:t>
      </w:r>
      <w:r>
        <w:rPr>
          <w:rStyle w:val="FootnoteReference"/>
          <w:color w:val="44546A" w:themeColor="text2"/>
        </w:rPr>
        <w:footnoteReference w:id="29"/>
      </w:r>
      <w:r>
        <w:rPr>
          <w:color w:val="44546A" w:themeColor="text2"/>
        </w:rPr>
        <w:t xml:space="preserve"> Growing expectation of the benefits to be derived from rapid deployment of AI and machine learning systems into the NHS has renewed Government’s interest in developing a governance mechanism  that enables actors from both the public and commercial </w:t>
      </w:r>
      <w:r>
        <w:rPr>
          <w:color w:val="44546A" w:themeColor="text2"/>
        </w:rPr>
        <w:lastRenderedPageBreak/>
        <w:t>sector to help realising the strategic and public health goals.</w:t>
      </w:r>
      <w:r>
        <w:rPr>
          <w:rStyle w:val="FootnoteReference"/>
          <w:color w:val="44546A" w:themeColor="text2"/>
        </w:rPr>
        <w:footnoteReference w:id="30"/>
      </w:r>
      <w:r>
        <w:rPr>
          <w:color w:val="44546A" w:themeColor="text2"/>
        </w:rPr>
        <w:t xml:space="preserve"> Trustworthiness, management of consent and data stewardship are critical to the development, design and implementation of a “digital architecture of the health and care system”.</w:t>
      </w:r>
      <w:r>
        <w:rPr>
          <w:rStyle w:val="FootnoteReference"/>
          <w:color w:val="44546A" w:themeColor="text2"/>
        </w:rPr>
        <w:footnoteReference w:id="31"/>
      </w:r>
      <w:r>
        <w:rPr>
          <w:color w:val="44546A" w:themeColor="text2"/>
        </w:rPr>
        <w:t xml:space="preserve"> The distributed nature of decision making processes, the range of actors involved in the provision of AI systems, sensitivities surrounding consent to the use of personal information and allocating responsibility raise important questions for the design of an information governance framework that maintains trust in a data driven healthcare environment.  It comes as no surprise that the strategy for a data driven innovation in healthcare requires translating questions such as what is personal data, who can access the data and how and when it can be used in the context of AI based health systems and solutions into clinical settings.</w:t>
      </w:r>
      <w:r>
        <w:rPr>
          <w:rStyle w:val="FootnoteReference"/>
          <w:color w:val="44546A" w:themeColor="text2"/>
        </w:rPr>
        <w:footnoteReference w:id="32"/>
      </w:r>
      <w:r>
        <w:rPr>
          <w:color w:val="44546A" w:themeColor="text2"/>
        </w:rPr>
        <w:t xml:space="preserve"> With data driven innovation being tied up with continued access to vast amounts of personal sensitive data and the ease with which such data can be distributed across disparate healthcare platforms, and the lifecycle of personal data being extended through AI based optimisation tools, maintaining trust will require coordination amongst those with direct expertise and knowledge to assess the suitability of data driven processes and manage privacy risks and develop mechanisms necessary to subject human behaviour and practices to the governance of rules.</w:t>
      </w:r>
      <w:r>
        <w:rPr>
          <w:rStyle w:val="FootnoteReference"/>
          <w:color w:val="44546A" w:themeColor="text2"/>
        </w:rPr>
        <w:footnoteReference w:id="33"/>
      </w:r>
      <w:r>
        <w:rPr>
          <w:color w:val="44546A" w:themeColor="text2"/>
        </w:rPr>
        <w:t xml:space="preserve"> Before we turn to a consideration of the likely significance of the Code of Conduct, it may be useful to describe and explain </w:t>
      </w:r>
      <w:r w:rsidRPr="00711CD2">
        <w:rPr>
          <w:color w:val="44546A" w:themeColor="text2"/>
        </w:rPr>
        <w:t xml:space="preserve">how data protection law </w:t>
      </w:r>
      <w:r>
        <w:rPr>
          <w:color w:val="44546A" w:themeColor="text2"/>
        </w:rPr>
        <w:t>plays a critical role in mobilising relevant parties using novel data driven processes for prediction, treatment and diagnosis in a way that helps them manage compliance risks.</w:t>
      </w:r>
      <w:r>
        <w:rPr>
          <w:rStyle w:val="FootnoteReference"/>
          <w:color w:val="44546A" w:themeColor="text2"/>
        </w:rPr>
        <w:footnoteReference w:id="34"/>
      </w:r>
      <w:r>
        <w:rPr>
          <w:color w:val="44546A" w:themeColor="text2"/>
        </w:rPr>
        <w:t xml:space="preserve"> </w:t>
      </w:r>
    </w:p>
    <w:p w14:paraId="4F4F9EBF" w14:textId="77777777" w:rsidR="000D048C" w:rsidRDefault="000D048C" w:rsidP="000D048C">
      <w:pPr>
        <w:spacing w:line="360" w:lineRule="auto"/>
        <w:jc w:val="both"/>
        <w:rPr>
          <w:color w:val="44546A" w:themeColor="text2"/>
        </w:rPr>
      </w:pPr>
    </w:p>
    <w:p w14:paraId="3C89E0BA" w14:textId="77777777" w:rsidR="000D048C" w:rsidRPr="00711CD2" w:rsidRDefault="000D048C" w:rsidP="000D048C">
      <w:pPr>
        <w:spacing w:line="360" w:lineRule="auto"/>
        <w:jc w:val="both"/>
        <w:rPr>
          <w:color w:val="44546A" w:themeColor="text2"/>
        </w:rPr>
      </w:pPr>
    </w:p>
    <w:p w14:paraId="107F0329" w14:textId="77777777" w:rsidR="000D048C" w:rsidRPr="00711CD2" w:rsidRDefault="000D048C" w:rsidP="000D048C">
      <w:pPr>
        <w:spacing w:line="360" w:lineRule="auto"/>
        <w:jc w:val="both"/>
        <w:rPr>
          <w:b/>
          <w:bCs/>
          <w:color w:val="44546A" w:themeColor="text2"/>
        </w:rPr>
      </w:pPr>
      <w:r w:rsidRPr="00711CD2">
        <w:rPr>
          <w:b/>
          <w:bCs/>
          <w:color w:val="44546A" w:themeColor="text2"/>
        </w:rPr>
        <w:t xml:space="preserve">III. Data </w:t>
      </w:r>
      <w:r>
        <w:rPr>
          <w:b/>
          <w:bCs/>
          <w:color w:val="44546A" w:themeColor="text2"/>
        </w:rPr>
        <w:t xml:space="preserve">Protection Law </w:t>
      </w:r>
      <w:r w:rsidRPr="00711CD2">
        <w:rPr>
          <w:b/>
          <w:bCs/>
          <w:color w:val="44546A" w:themeColor="text2"/>
        </w:rPr>
        <w:t xml:space="preserve">and the Evolving Complexion of Regulatory </w:t>
      </w:r>
      <w:r>
        <w:rPr>
          <w:b/>
          <w:bCs/>
          <w:color w:val="44546A" w:themeColor="text2"/>
        </w:rPr>
        <w:t>Conversations.</w:t>
      </w:r>
    </w:p>
    <w:p w14:paraId="73A8E939" w14:textId="77777777" w:rsidR="000D048C" w:rsidRPr="00711CD2" w:rsidRDefault="000D048C" w:rsidP="000D048C">
      <w:pPr>
        <w:spacing w:line="360" w:lineRule="auto"/>
        <w:jc w:val="both"/>
        <w:rPr>
          <w:color w:val="44546A" w:themeColor="text2"/>
        </w:rPr>
      </w:pPr>
    </w:p>
    <w:p w14:paraId="32082BCA" w14:textId="77777777" w:rsidR="000D048C" w:rsidRDefault="000D048C" w:rsidP="000D048C">
      <w:pPr>
        <w:spacing w:line="360" w:lineRule="auto"/>
        <w:jc w:val="both"/>
        <w:rPr>
          <w:color w:val="44546A" w:themeColor="text2"/>
        </w:rPr>
      </w:pPr>
      <w:r>
        <w:rPr>
          <w:color w:val="44546A" w:themeColor="text2"/>
        </w:rPr>
        <w:t>A conventional way to understanding the interaction between information governance in healthcare and data protection law would be through a description of the rights, interests and obligations of relevant parties coupled with an account of authoritative opinions and judicial interpretations.</w:t>
      </w:r>
      <w:r>
        <w:rPr>
          <w:rStyle w:val="FootnoteReference"/>
          <w:color w:val="44546A" w:themeColor="text2"/>
        </w:rPr>
        <w:footnoteReference w:id="35"/>
      </w:r>
      <w:r>
        <w:rPr>
          <w:color w:val="44546A" w:themeColor="text2"/>
        </w:rPr>
        <w:t xml:space="preserve"> However, given the significance attached to the Code of Conduct as </w:t>
      </w:r>
      <w:r>
        <w:rPr>
          <w:color w:val="44546A" w:themeColor="text2"/>
        </w:rPr>
        <w:lastRenderedPageBreak/>
        <w:t>establishing the ground rules</w:t>
      </w:r>
      <w:r>
        <w:rPr>
          <w:rStyle w:val="FootnoteReference"/>
          <w:color w:val="44546A" w:themeColor="text2"/>
        </w:rPr>
        <w:footnoteReference w:id="36"/>
      </w:r>
      <w:r>
        <w:rPr>
          <w:color w:val="44546A" w:themeColor="text2"/>
        </w:rPr>
        <w:t>for providers and users of data driven processes and innovation</w:t>
      </w:r>
      <w:r>
        <w:rPr>
          <w:rStyle w:val="FootnoteReference"/>
          <w:color w:val="44546A" w:themeColor="text2"/>
        </w:rPr>
        <w:footnoteReference w:id="37"/>
      </w:r>
      <w:r>
        <w:rPr>
          <w:color w:val="44546A" w:themeColor="text2"/>
        </w:rPr>
        <w:t xml:space="preserve"> or that it subject the use of AI in a way that is safe and responsible,</w:t>
      </w:r>
      <w:r>
        <w:rPr>
          <w:rStyle w:val="FootnoteReference"/>
          <w:color w:val="44546A" w:themeColor="text2"/>
        </w:rPr>
        <w:footnoteReference w:id="38"/>
      </w:r>
      <w:r>
        <w:rPr>
          <w:color w:val="44546A" w:themeColor="text2"/>
        </w:rPr>
        <w:t xml:space="preserve"> it is important that we take into account the GDPR, not just because its rules regulate the type of processing activity we are concerned but because </w:t>
      </w:r>
      <w:proofErr w:type="spellStart"/>
      <w:r>
        <w:rPr>
          <w:color w:val="44546A" w:themeColor="text2"/>
        </w:rPr>
        <w:t>its</w:t>
      </w:r>
      <w:proofErr w:type="spellEnd"/>
      <w:r>
        <w:rPr>
          <w:color w:val="44546A" w:themeColor="text2"/>
        </w:rPr>
        <w:t xml:space="preserve"> also provides a framework where parties can organise their behaviours and practices when “</w:t>
      </w:r>
      <w:r w:rsidRPr="0008662F">
        <w:rPr>
          <w:color w:val="44546A" w:themeColor="text2"/>
        </w:rPr>
        <w:t>thinking about the risks to data subjects and how to mitigate</w:t>
      </w:r>
      <w:r>
        <w:rPr>
          <w:color w:val="44546A" w:themeColor="text2"/>
        </w:rPr>
        <w:t xml:space="preserve">” </w:t>
      </w:r>
      <w:r w:rsidRPr="00960486">
        <w:rPr>
          <w:color w:val="44546A" w:themeColor="text2"/>
        </w:rPr>
        <w:t>privacy, personal data and security</w:t>
      </w:r>
      <w:r>
        <w:rPr>
          <w:color w:val="44546A" w:themeColor="text2"/>
        </w:rPr>
        <w:t xml:space="preserve"> concerns.</w:t>
      </w:r>
      <w:r>
        <w:rPr>
          <w:rStyle w:val="FootnoteReference"/>
          <w:color w:val="44546A" w:themeColor="text2"/>
        </w:rPr>
        <w:footnoteReference w:id="39"/>
      </w:r>
      <w:r>
        <w:rPr>
          <w:color w:val="44546A" w:themeColor="text2"/>
        </w:rPr>
        <w:t xml:space="preserve"> As the European Data Protection Board recently observed, the GDPR provides a:</w:t>
      </w:r>
      <w:r>
        <w:rPr>
          <w:rStyle w:val="FootnoteReference"/>
          <w:color w:val="44546A" w:themeColor="text2"/>
        </w:rPr>
        <w:footnoteReference w:id="40"/>
      </w:r>
    </w:p>
    <w:p w14:paraId="7E84B66D" w14:textId="77777777" w:rsidR="000D048C" w:rsidRDefault="000D048C" w:rsidP="000D048C">
      <w:pPr>
        <w:spacing w:line="360" w:lineRule="auto"/>
        <w:jc w:val="both"/>
        <w:rPr>
          <w:color w:val="44546A" w:themeColor="text2"/>
        </w:rPr>
      </w:pPr>
      <w:r>
        <w:rPr>
          <w:color w:val="44546A" w:themeColor="text2"/>
        </w:rPr>
        <w:t>“</w:t>
      </w:r>
      <w:r w:rsidRPr="00A2032A">
        <w:rPr>
          <w:color w:val="44546A" w:themeColor="text2"/>
        </w:rPr>
        <w:t>rulebook for controllers and processors who design and implement GDPR compliant data processing activities which give operational meaning to the principles of data protection set out in European and National law.</w:t>
      </w:r>
      <w:r>
        <w:rPr>
          <w:color w:val="44546A" w:themeColor="text2"/>
        </w:rPr>
        <w:t>”</w:t>
      </w:r>
    </w:p>
    <w:p w14:paraId="44576FD4" w14:textId="77777777" w:rsidR="000D048C" w:rsidRDefault="000D048C" w:rsidP="000D048C">
      <w:pPr>
        <w:spacing w:line="360" w:lineRule="auto"/>
        <w:jc w:val="both"/>
        <w:rPr>
          <w:color w:val="44546A" w:themeColor="text2"/>
        </w:rPr>
      </w:pPr>
    </w:p>
    <w:p w14:paraId="6969F825" w14:textId="77777777" w:rsidR="000D048C" w:rsidRDefault="000D048C" w:rsidP="000D048C">
      <w:pPr>
        <w:spacing w:line="360" w:lineRule="auto"/>
        <w:jc w:val="both"/>
        <w:rPr>
          <w:color w:val="44546A" w:themeColor="text2"/>
        </w:rPr>
      </w:pPr>
      <w:r>
        <w:rPr>
          <w:color w:val="44546A" w:themeColor="text2"/>
        </w:rPr>
        <w:t xml:space="preserve">Two points need to be emphasised here with regard to the standard setting role of data protection law in managing societies transition into an increasingly data driven environment. First, since data driven decision in the healthcare setting involves multi-layered technological infrastructures and involvement of various actors, data protection manages these interactions by embedding questions that inevitably arise with regard to legitimacy, accountability and fairness to the governance of rules. Additionally, guidance can be obtained from a diverse range of sources such as data protection authorities and sector specific organisations and regulatory authorities when novel forms of data processing are undertaken through the use of innovative solutions and technological infrastructures being integrated into the healthcare environment data. Second, data protection framework is cognizant of the reality that shaping privacy respecting behaviours not only requires clarity and flexibility, but that weight be attached to the judgment and expertise of providers of data processing systems and those utilising these when operationalising the law. Even though the GDPR does not provide specific standardized methodology, processing decisions taken must be capable of being justified and reconciled with existing rules, duties and principles. Black views </w:t>
      </w:r>
      <w:proofErr w:type="gramStart"/>
      <w:r>
        <w:rPr>
          <w:color w:val="44546A" w:themeColor="text2"/>
        </w:rPr>
        <w:t>these decision</w:t>
      </w:r>
      <w:proofErr w:type="gramEnd"/>
      <w:r>
        <w:rPr>
          <w:color w:val="44546A" w:themeColor="text2"/>
        </w:rPr>
        <w:t xml:space="preserve"> making and rule compliance practices as “regulatory conversations” which involve “</w:t>
      </w:r>
      <w:r w:rsidRPr="008B7771">
        <w:rPr>
          <w:color w:val="44546A" w:themeColor="text2"/>
        </w:rPr>
        <w:t>continual interpretation, adjustment, and discussion</w:t>
      </w:r>
      <w:r>
        <w:rPr>
          <w:color w:val="44546A" w:themeColor="text2"/>
        </w:rPr>
        <w:t xml:space="preserve">”. There are three crucial ways the GDPR helps empower relevant actors in the healthcare environment, including those responsible for designing healthcare </w:t>
      </w:r>
      <w:r>
        <w:rPr>
          <w:color w:val="44546A" w:themeColor="text2"/>
        </w:rPr>
        <w:lastRenderedPageBreak/>
        <w:t>infrastructures to embed data protection standards  and mitigate the uncertainties that may arise when using AI systems and novel processes for collection and decision making: (</w:t>
      </w:r>
      <w:proofErr w:type="spellStart"/>
      <w:r>
        <w:rPr>
          <w:color w:val="44546A" w:themeColor="text2"/>
        </w:rPr>
        <w:t>i</w:t>
      </w:r>
      <w:proofErr w:type="spellEnd"/>
      <w:r>
        <w:rPr>
          <w:color w:val="44546A" w:themeColor="text2"/>
        </w:rPr>
        <w:t>) framing the subjects and objects of regulation, (ii) providing mechanisms for determining transparency, accountability and legitimacy (iii) and enhancing the ideals of responsiveness through processes for managing risks from the use of digital health solutions.</w:t>
      </w:r>
      <w:r>
        <w:rPr>
          <w:rStyle w:val="FootnoteReference"/>
          <w:color w:val="44546A" w:themeColor="text2"/>
        </w:rPr>
        <w:footnoteReference w:id="41"/>
      </w:r>
      <w:r>
        <w:rPr>
          <w:color w:val="44546A" w:themeColor="text2"/>
        </w:rPr>
        <w:t xml:space="preserve"> </w:t>
      </w:r>
    </w:p>
    <w:p w14:paraId="2161A55F" w14:textId="77777777" w:rsidR="000D048C" w:rsidRDefault="000D048C" w:rsidP="000D048C">
      <w:pPr>
        <w:spacing w:line="360" w:lineRule="auto"/>
        <w:jc w:val="both"/>
        <w:rPr>
          <w:color w:val="44546A" w:themeColor="text2"/>
        </w:rPr>
      </w:pPr>
    </w:p>
    <w:p w14:paraId="3A11DFA4" w14:textId="77777777" w:rsidR="000D048C" w:rsidRDefault="000D048C" w:rsidP="000D048C">
      <w:pPr>
        <w:spacing w:line="360" w:lineRule="auto"/>
        <w:jc w:val="both"/>
        <w:rPr>
          <w:color w:val="44546A" w:themeColor="text2"/>
        </w:rPr>
      </w:pPr>
    </w:p>
    <w:p w14:paraId="5ABD5DE9" w14:textId="77777777" w:rsidR="000D048C" w:rsidRDefault="000D048C" w:rsidP="000D048C">
      <w:pPr>
        <w:spacing w:line="360" w:lineRule="auto"/>
        <w:jc w:val="both"/>
        <w:rPr>
          <w:i/>
          <w:iCs/>
          <w:color w:val="44546A" w:themeColor="text2"/>
        </w:rPr>
      </w:pPr>
      <w:r w:rsidRPr="00FF0550">
        <w:rPr>
          <w:i/>
          <w:iCs/>
          <w:color w:val="44546A" w:themeColor="text2"/>
        </w:rPr>
        <w:t>Framing Subjects</w:t>
      </w:r>
      <w:r>
        <w:rPr>
          <w:i/>
          <w:iCs/>
          <w:color w:val="44546A" w:themeColor="text2"/>
        </w:rPr>
        <w:t xml:space="preserve"> and Objects</w:t>
      </w:r>
      <w:r w:rsidRPr="00FF0550">
        <w:rPr>
          <w:i/>
          <w:iCs/>
          <w:color w:val="44546A" w:themeColor="text2"/>
        </w:rPr>
        <w:t xml:space="preserve"> of Regulation</w:t>
      </w:r>
    </w:p>
    <w:p w14:paraId="2DC88A7D" w14:textId="77777777" w:rsidR="000D048C" w:rsidRDefault="000D048C" w:rsidP="000D048C">
      <w:pPr>
        <w:spacing w:line="360" w:lineRule="auto"/>
        <w:jc w:val="both"/>
        <w:rPr>
          <w:color w:val="44546A" w:themeColor="text2"/>
        </w:rPr>
      </w:pPr>
    </w:p>
    <w:p w14:paraId="0175A4E5" w14:textId="77777777" w:rsidR="000D048C" w:rsidRDefault="000D048C" w:rsidP="000D048C">
      <w:pPr>
        <w:spacing w:line="360" w:lineRule="auto"/>
        <w:jc w:val="both"/>
        <w:rPr>
          <w:color w:val="44546A" w:themeColor="text2"/>
        </w:rPr>
      </w:pPr>
      <w:r>
        <w:rPr>
          <w:color w:val="44546A" w:themeColor="text2"/>
        </w:rPr>
        <w:t>In framing the objects and subjects of regulation, the law provides guidance to two questions encountered when personal information is processed: who is responsible for the processing activities and what data becomes subject to the obligations. Under the “accountability principle” data controllers are required to demarcate the specific responsibilities of those engaged in the processing of personal data, which include providers of digital health platforms, providers of mobile health applications, programmers and other operators.</w:t>
      </w:r>
      <w:r>
        <w:rPr>
          <w:rStyle w:val="FootnoteReference"/>
          <w:color w:val="44546A" w:themeColor="text2"/>
        </w:rPr>
        <w:footnoteReference w:id="42"/>
      </w:r>
      <w:r>
        <w:rPr>
          <w:color w:val="44546A" w:themeColor="text2"/>
        </w:rPr>
        <w:t xml:space="preserve"> Data controllers are vested with a number of obligations.</w:t>
      </w:r>
      <w:r w:rsidRPr="00E4288B">
        <w:rPr>
          <w:rStyle w:val="FootnoteReference"/>
          <w:color w:val="44546A" w:themeColor="text2"/>
        </w:rPr>
        <w:t xml:space="preserve"> </w:t>
      </w:r>
      <w:r>
        <w:rPr>
          <w:rStyle w:val="FootnoteReference"/>
          <w:color w:val="44546A" w:themeColor="text2"/>
        </w:rPr>
        <w:footnoteReference w:id="43"/>
      </w:r>
      <w:r>
        <w:rPr>
          <w:color w:val="44546A" w:themeColor="text2"/>
        </w:rPr>
        <w:t xml:space="preserve"> These include their responsibility for all data processing activity, demonstrating proactive implementation and compliance of the rules, identify all controllers and operations so that responsibilities can be correctly allocated, undertake data protection impact assessments, ensuring security and trustworthiness of systems</w:t>
      </w:r>
      <w:r w:rsidRPr="00B3084E">
        <w:rPr>
          <w:color w:val="44546A" w:themeColor="text2"/>
        </w:rPr>
        <w:t>.</w:t>
      </w:r>
      <w:r>
        <w:rPr>
          <w:rStyle w:val="FootnoteReference"/>
          <w:color w:val="44546A" w:themeColor="text2"/>
        </w:rPr>
        <w:footnoteReference w:id="44"/>
      </w:r>
      <w:r>
        <w:rPr>
          <w:color w:val="44546A" w:themeColor="text2"/>
        </w:rPr>
        <w:t xml:space="preserve"> The accountability principle is closely aligned with the requirement that data controllers adopt appropriate organizational and technical measures to mitigate privacy and data protection risks. </w:t>
      </w:r>
    </w:p>
    <w:p w14:paraId="1943A39C" w14:textId="77777777" w:rsidR="000D048C" w:rsidRDefault="000D048C" w:rsidP="000D048C">
      <w:pPr>
        <w:spacing w:line="360" w:lineRule="auto"/>
        <w:jc w:val="both"/>
        <w:rPr>
          <w:color w:val="44546A" w:themeColor="text2"/>
        </w:rPr>
      </w:pPr>
    </w:p>
    <w:p w14:paraId="52E856E9" w14:textId="77777777" w:rsidR="000D048C" w:rsidRDefault="000D048C" w:rsidP="000D048C">
      <w:pPr>
        <w:spacing w:line="360" w:lineRule="auto"/>
        <w:jc w:val="both"/>
        <w:rPr>
          <w:color w:val="44546A" w:themeColor="text2"/>
        </w:rPr>
      </w:pPr>
      <w:r>
        <w:rPr>
          <w:color w:val="44546A" w:themeColor="text2"/>
        </w:rPr>
        <w:t xml:space="preserve">Data driven health technologies </w:t>
      </w:r>
      <w:r w:rsidRPr="00876BE2">
        <w:rPr>
          <w:color w:val="44546A" w:themeColor="text2"/>
        </w:rPr>
        <w:t>such as artificial intelligence, machine learning, internet of things, and big data analy</w:t>
      </w:r>
      <w:r>
        <w:rPr>
          <w:color w:val="44546A" w:themeColor="text2"/>
        </w:rPr>
        <w:t>tics require access to personal information to facilitate medical treatment and diagnosis. Sharing of personal information is also critical to advancing knowledge and promoting innovations in healthcare.</w:t>
      </w:r>
      <w:r>
        <w:rPr>
          <w:rStyle w:val="FootnoteReference"/>
          <w:color w:val="44546A" w:themeColor="text2"/>
        </w:rPr>
        <w:footnoteReference w:id="45"/>
      </w:r>
      <w:r>
        <w:rPr>
          <w:color w:val="44546A" w:themeColor="text2"/>
        </w:rPr>
        <w:t xml:space="preserve"> Processing involves, the collection, storage, sharing and manipulation of personal data. The accountability of data controllers and risk management measures to be adopted depends on the type of personal data and risks </w:t>
      </w:r>
      <w:r>
        <w:rPr>
          <w:color w:val="44546A" w:themeColor="text2"/>
        </w:rPr>
        <w:lastRenderedPageBreak/>
        <w:t>associated with the type of processing involved. Data protection rules aim to balance opportunities for exchange of knowledge and ideas on the one hand and respect for the fundamental right to the protection of personal data.</w:t>
      </w:r>
      <w:r>
        <w:rPr>
          <w:rStyle w:val="FootnoteReference"/>
          <w:color w:val="44546A" w:themeColor="text2"/>
        </w:rPr>
        <w:footnoteReference w:id="46"/>
      </w:r>
      <w:r>
        <w:rPr>
          <w:color w:val="44546A" w:themeColor="text2"/>
        </w:rPr>
        <w:t xml:space="preserve"> It is true that the boundaries between personal and non-personal data are becoming blurred with the growing use of AI systems to generate insights from vast amounts of data stored in large datasets.</w:t>
      </w:r>
      <w:r>
        <w:rPr>
          <w:rStyle w:val="FootnoteReference"/>
          <w:color w:val="44546A" w:themeColor="text2"/>
        </w:rPr>
        <w:footnoteReference w:id="47"/>
      </w:r>
      <w:r>
        <w:rPr>
          <w:color w:val="44546A" w:themeColor="text2"/>
        </w:rPr>
        <w:t xml:space="preserve"> </w:t>
      </w:r>
      <w:r w:rsidRPr="00876BE2">
        <w:rPr>
          <w:color w:val="44546A" w:themeColor="text2"/>
        </w:rPr>
        <w:t>Article 4(1) of the GDPR defines personal data as</w:t>
      </w:r>
      <w:r>
        <w:rPr>
          <w:color w:val="44546A" w:themeColor="text2"/>
        </w:rPr>
        <w:t>:</w:t>
      </w:r>
    </w:p>
    <w:p w14:paraId="365B19AD" w14:textId="77777777" w:rsidR="000D048C" w:rsidRDefault="000D048C" w:rsidP="000D048C">
      <w:pPr>
        <w:spacing w:line="360" w:lineRule="auto"/>
        <w:jc w:val="both"/>
        <w:rPr>
          <w:color w:val="44546A" w:themeColor="text2"/>
        </w:rPr>
      </w:pPr>
      <w:r w:rsidRPr="00876BE2">
        <w:rPr>
          <w:color w:val="44546A" w:themeColor="text2"/>
        </w:rPr>
        <w:t xml:space="preserve"> “any information relating to an identified or identifiable natural person” and further specifies that “an identifiable natural person is one who can be identified, directly or indirectly, in particular by reference to an identifier such as name, an identification number, location data, an online identifier or to one or more factors specific to the physical, physiological, genetic, mental, economic, cultural or social identity of that natural person”.</w:t>
      </w:r>
    </w:p>
    <w:p w14:paraId="5FF4C8BA" w14:textId="77777777" w:rsidR="000D048C" w:rsidRDefault="000D048C" w:rsidP="000D048C">
      <w:pPr>
        <w:spacing w:line="360" w:lineRule="auto"/>
        <w:jc w:val="both"/>
        <w:rPr>
          <w:color w:val="44546A" w:themeColor="text2"/>
        </w:rPr>
      </w:pPr>
    </w:p>
    <w:p w14:paraId="4CC58154" w14:textId="77777777" w:rsidR="000D048C" w:rsidRDefault="000D048C" w:rsidP="000D048C">
      <w:pPr>
        <w:spacing w:line="360" w:lineRule="auto"/>
        <w:rPr>
          <w:color w:val="44546A" w:themeColor="text2"/>
        </w:rPr>
      </w:pPr>
      <w:r>
        <w:rPr>
          <w:color w:val="44546A" w:themeColor="text2"/>
        </w:rPr>
        <w:t>The GDPR provides a broad non-exhaustive definition of personal data, which expands the scope of protection to ensure that the risks to patient safety and privacy is not undermined by the ease with which large volumes of data can be collected, repurposed and new knowledge generated by data mining tools and analytics.</w:t>
      </w:r>
      <w:r>
        <w:rPr>
          <w:rStyle w:val="FootnoteReference"/>
          <w:color w:val="44546A" w:themeColor="text2"/>
        </w:rPr>
        <w:footnoteReference w:id="48"/>
      </w:r>
      <w:r>
        <w:rPr>
          <w:color w:val="44546A" w:themeColor="text2"/>
        </w:rPr>
        <w:t xml:space="preserve"> Any digital health device, AI system or image captured by an smartphone  will be brought within the law’s remit.</w:t>
      </w:r>
      <w:r>
        <w:rPr>
          <w:rStyle w:val="FootnoteReference"/>
          <w:color w:val="44546A" w:themeColor="text2"/>
        </w:rPr>
        <w:footnoteReference w:id="49"/>
      </w:r>
      <w:r>
        <w:rPr>
          <w:color w:val="44546A" w:themeColor="text2"/>
        </w:rPr>
        <w:t xml:space="preserve"> Article 4(15) states explicitly that the definition of health data will extend to any </w:t>
      </w:r>
      <w:r w:rsidRPr="00711CD2">
        <w:rPr>
          <w:color w:val="44546A" w:themeColor="text2"/>
        </w:rPr>
        <w:t xml:space="preserve">“personal data related to the physical or mental health of a natural person, including the provision of health care services, </w:t>
      </w:r>
      <w:r w:rsidRPr="00F75990">
        <w:rPr>
          <w:color w:val="44546A" w:themeColor="text2"/>
        </w:rPr>
        <w:t>which reveal information about his or her health status.”</w:t>
      </w:r>
      <w:r w:rsidRPr="00F75990">
        <w:rPr>
          <w:rStyle w:val="FootnoteReference"/>
          <w:color w:val="44546A" w:themeColor="text2"/>
        </w:rPr>
        <w:footnoteReference w:id="50"/>
      </w:r>
      <w:r w:rsidRPr="00F75990">
        <w:rPr>
          <w:color w:val="44546A" w:themeColor="text2"/>
        </w:rPr>
        <w:t xml:space="preserve"> Where the information is sufficiently anonymised and the data subject is not identifiable, the GDPR is not applicable.</w:t>
      </w:r>
      <w:r w:rsidRPr="00F75990">
        <w:rPr>
          <w:rStyle w:val="FootnoteReference"/>
          <w:color w:val="44546A" w:themeColor="text2"/>
        </w:rPr>
        <w:footnoteReference w:id="51"/>
      </w:r>
      <w:r w:rsidRPr="00F75990">
        <w:rPr>
          <w:color w:val="44546A" w:themeColor="text2"/>
        </w:rPr>
        <w:t xml:space="preserve"> However pseudonymous data is treated as personal data since the risks of re-identification are present if additional information is used.</w:t>
      </w:r>
      <w:r w:rsidRPr="00F75990">
        <w:rPr>
          <w:rStyle w:val="FootnoteReference"/>
          <w:color w:val="44546A" w:themeColor="text2"/>
        </w:rPr>
        <w:footnoteReference w:id="52"/>
      </w:r>
      <w:r w:rsidRPr="00F75990">
        <w:rPr>
          <w:color w:val="44546A" w:themeColor="text2"/>
        </w:rPr>
        <w:t xml:space="preserve"> Identifiability is a key feature in the concept of personal data and will include pseudonymous data.</w:t>
      </w:r>
      <w:r w:rsidRPr="00F75990">
        <w:rPr>
          <w:rStyle w:val="FootnoteReference"/>
          <w:color w:val="44546A" w:themeColor="text2"/>
        </w:rPr>
        <w:footnoteReference w:id="53"/>
      </w:r>
      <w:r w:rsidRPr="00F75990">
        <w:rPr>
          <w:color w:val="44546A" w:themeColor="text2"/>
        </w:rPr>
        <w:t xml:space="preserve"> Recital 26 also makes clear that where </w:t>
      </w:r>
      <w:r>
        <w:rPr>
          <w:color w:val="44546A" w:themeColor="text2"/>
        </w:rPr>
        <w:t xml:space="preserve">data analytics can be used to single out or re-identify individuals from otherwise </w:t>
      </w:r>
      <w:r>
        <w:rPr>
          <w:color w:val="44546A" w:themeColor="text2"/>
        </w:rPr>
        <w:lastRenderedPageBreak/>
        <w:t>pseudonymised or anonymised information, the data will be treated as personal</w:t>
      </w:r>
      <w:r w:rsidRPr="00711CD2">
        <w:rPr>
          <w:color w:val="44546A" w:themeColor="text2"/>
        </w:rPr>
        <w:t>.</w:t>
      </w:r>
      <w:r w:rsidRPr="00711CD2">
        <w:rPr>
          <w:rStyle w:val="FootnoteReference"/>
          <w:color w:val="44546A" w:themeColor="text2"/>
        </w:rPr>
        <w:footnoteReference w:id="54"/>
      </w:r>
      <w:r w:rsidRPr="00711CD2">
        <w:rPr>
          <w:color w:val="44546A" w:themeColor="text2"/>
        </w:rPr>
        <w:t xml:space="preserve"> </w:t>
      </w:r>
      <w:r>
        <w:rPr>
          <w:color w:val="44546A" w:themeColor="text2"/>
        </w:rPr>
        <w:t>Article 9 of the GDPR is intended to make clear to data controllers the expectation is that compliance with its high standards for processing sensitive personal data such as medical health data  is mandatory</w:t>
      </w:r>
      <w:r w:rsidRPr="00711CD2">
        <w:rPr>
          <w:color w:val="44546A" w:themeColor="text2"/>
        </w:rPr>
        <w:t>.</w:t>
      </w:r>
      <w:r>
        <w:rPr>
          <w:rStyle w:val="FootnoteReference"/>
          <w:color w:val="44546A" w:themeColor="text2"/>
        </w:rPr>
        <w:footnoteReference w:id="55"/>
      </w:r>
      <w:r w:rsidRPr="00711CD2">
        <w:rPr>
          <w:color w:val="44546A" w:themeColor="text2"/>
        </w:rPr>
        <w:t xml:space="preserve"> </w:t>
      </w:r>
    </w:p>
    <w:p w14:paraId="4FFF53B9" w14:textId="77777777" w:rsidR="000D048C" w:rsidRDefault="000D048C" w:rsidP="000D048C">
      <w:pPr>
        <w:spacing w:line="360" w:lineRule="auto"/>
        <w:rPr>
          <w:color w:val="44546A" w:themeColor="text2"/>
        </w:rPr>
      </w:pPr>
    </w:p>
    <w:p w14:paraId="113BC2BE" w14:textId="77777777" w:rsidR="000D048C" w:rsidRDefault="000D048C" w:rsidP="000D048C">
      <w:pPr>
        <w:spacing w:line="360" w:lineRule="auto"/>
        <w:rPr>
          <w:color w:val="44546A" w:themeColor="text2"/>
        </w:rPr>
      </w:pPr>
    </w:p>
    <w:p w14:paraId="3CAAA108" w14:textId="77777777" w:rsidR="000D048C" w:rsidRPr="00FF0550" w:rsidRDefault="000D048C" w:rsidP="000D048C">
      <w:pPr>
        <w:spacing w:line="360" w:lineRule="auto"/>
        <w:jc w:val="both"/>
        <w:rPr>
          <w:i/>
          <w:iCs/>
          <w:color w:val="44546A" w:themeColor="text2"/>
        </w:rPr>
      </w:pPr>
      <w:r w:rsidRPr="00FF0550">
        <w:rPr>
          <w:i/>
          <w:iCs/>
          <w:color w:val="44546A" w:themeColor="text2"/>
        </w:rPr>
        <w:t>Mechanisms for Accountability</w:t>
      </w:r>
      <w:r>
        <w:rPr>
          <w:i/>
          <w:iCs/>
          <w:color w:val="44546A" w:themeColor="text2"/>
        </w:rPr>
        <w:t>, Fairness and Lawfulness</w:t>
      </w:r>
    </w:p>
    <w:p w14:paraId="78F0779C" w14:textId="77777777" w:rsidR="000D048C" w:rsidRDefault="000D048C" w:rsidP="000D048C">
      <w:pPr>
        <w:spacing w:line="360" w:lineRule="auto"/>
        <w:rPr>
          <w:color w:val="44546A" w:themeColor="text2"/>
        </w:rPr>
      </w:pPr>
    </w:p>
    <w:p w14:paraId="3C29955B" w14:textId="77777777" w:rsidR="000D048C" w:rsidRDefault="000D048C" w:rsidP="000D048C">
      <w:pPr>
        <w:spacing w:line="360" w:lineRule="auto"/>
        <w:rPr>
          <w:color w:val="44546A" w:themeColor="text2"/>
        </w:rPr>
      </w:pPr>
      <w:r>
        <w:rPr>
          <w:color w:val="44546A" w:themeColor="text2"/>
        </w:rPr>
        <w:t>The seamless way AI systems continue to be integrated into healthcare environment pose important questions about accountability, fairness and lawfulness of the data driven innovations as the lifecycle of health data continues to be extended through computational processes which generate new or inferred information from manipulating volunteered information or through use of machine learning and probabilistic analytical tools.</w:t>
      </w:r>
      <w:r>
        <w:rPr>
          <w:rStyle w:val="FootnoteReference"/>
          <w:color w:val="44546A" w:themeColor="text2"/>
        </w:rPr>
        <w:footnoteReference w:id="56"/>
      </w:r>
      <w:r>
        <w:rPr>
          <w:color w:val="44546A" w:themeColor="text2"/>
        </w:rPr>
        <w:t xml:space="preserve"> The GDPR provides a standardised governance framework that enables data controllers to identify how their </w:t>
      </w:r>
      <w:r w:rsidRPr="008A690D">
        <w:rPr>
          <w:color w:val="44546A" w:themeColor="text2"/>
        </w:rPr>
        <w:t xml:space="preserve">data-related and process-related tasks </w:t>
      </w:r>
      <w:r>
        <w:rPr>
          <w:color w:val="44546A" w:themeColor="text2"/>
        </w:rPr>
        <w:t>can be structured in way that helps better manage complexity and uncertainty.</w:t>
      </w:r>
      <w:r>
        <w:rPr>
          <w:rStyle w:val="FootnoteReference"/>
          <w:color w:val="44546A" w:themeColor="text2"/>
        </w:rPr>
        <w:footnoteReference w:id="57"/>
      </w:r>
      <w:r>
        <w:rPr>
          <w:color w:val="44546A" w:themeColor="text2"/>
        </w:rPr>
        <w:t xml:space="preserve"> The governance framework mirrors the foundational values that already define the therapeutic relationship between physicians and patients on the one hand and balancing the public interest in harnessing the benefits of personal health information with respect for patients dignity and privacy on the other.</w:t>
      </w:r>
      <w:r>
        <w:rPr>
          <w:rStyle w:val="FootnoteReference"/>
          <w:color w:val="44546A" w:themeColor="text2"/>
        </w:rPr>
        <w:footnoteReference w:id="58"/>
      </w:r>
      <w:r>
        <w:rPr>
          <w:color w:val="44546A" w:themeColor="text2"/>
        </w:rPr>
        <w:t xml:space="preserve"> </w:t>
      </w:r>
      <w:r w:rsidRPr="00D80D43">
        <w:rPr>
          <w:color w:val="44546A" w:themeColor="text2"/>
        </w:rPr>
        <w:t xml:space="preserve">The GDPR sets down six principles </w:t>
      </w:r>
      <w:r>
        <w:rPr>
          <w:color w:val="44546A" w:themeColor="text2"/>
        </w:rPr>
        <w:t>that enable data controllers and those utilising data driven devices and technologies to exercise their discretion when calibrate processing practices with the principle of accountability</w:t>
      </w:r>
      <w:r w:rsidRPr="00D80D43">
        <w:rPr>
          <w:color w:val="44546A" w:themeColor="text2"/>
        </w:rPr>
        <w:t>: lawfulness, fairness and transparency; purpose limitation; data minimisation; accuracy; storage limitation; and integrity and confidentiality</w:t>
      </w:r>
      <w:r>
        <w:rPr>
          <w:color w:val="44546A" w:themeColor="text2"/>
        </w:rPr>
        <w:t>.</w:t>
      </w:r>
      <w:r>
        <w:rPr>
          <w:rStyle w:val="FootnoteReference"/>
          <w:color w:val="44546A" w:themeColor="text2"/>
        </w:rPr>
        <w:footnoteReference w:id="59"/>
      </w:r>
      <w:r>
        <w:rPr>
          <w:color w:val="44546A" w:themeColor="text2"/>
        </w:rPr>
        <w:t xml:space="preserve">  </w:t>
      </w:r>
      <w:r w:rsidRPr="00711CD2">
        <w:rPr>
          <w:color w:val="44546A" w:themeColor="text2"/>
        </w:rPr>
        <w:t>There are two aspects</w:t>
      </w:r>
      <w:r>
        <w:rPr>
          <w:color w:val="44546A" w:themeColor="text2"/>
        </w:rPr>
        <w:t xml:space="preserve"> to the ‘light touch’ data governance features in Article 5</w:t>
      </w:r>
      <w:r w:rsidRPr="00711CD2">
        <w:rPr>
          <w:color w:val="44546A" w:themeColor="text2"/>
        </w:rPr>
        <w:t>.</w:t>
      </w:r>
      <w:r>
        <w:rPr>
          <w:rStyle w:val="FootnoteReference"/>
          <w:color w:val="44546A" w:themeColor="text2"/>
        </w:rPr>
        <w:footnoteReference w:id="60"/>
      </w:r>
      <w:r w:rsidRPr="00711CD2">
        <w:rPr>
          <w:color w:val="44546A" w:themeColor="text2"/>
        </w:rPr>
        <w:t xml:space="preserve"> The first, </w:t>
      </w:r>
      <w:r>
        <w:rPr>
          <w:color w:val="44546A" w:themeColor="text2"/>
        </w:rPr>
        <w:t xml:space="preserve">provides a </w:t>
      </w:r>
      <w:r>
        <w:rPr>
          <w:color w:val="44546A" w:themeColor="text2"/>
        </w:rPr>
        <w:lastRenderedPageBreak/>
        <w:t>governance framework within which normative and practice issues arising from the collection and processing of personal information can be undertaken. Second, t</w:t>
      </w:r>
      <w:r w:rsidRPr="00711CD2">
        <w:rPr>
          <w:color w:val="44546A" w:themeColor="text2"/>
        </w:rPr>
        <w:t xml:space="preserve">he fair processing principles reflect an ideological belief that for the law to keep pace with rapid technological changes and avoid being overly prescriptive, </w:t>
      </w:r>
      <w:r>
        <w:rPr>
          <w:color w:val="44546A" w:themeColor="text2"/>
        </w:rPr>
        <w:t xml:space="preserve">physicians should be afforded the space to determine what types of data are necessary to the treatment and diagnosis while fulfilling their </w:t>
      </w:r>
      <w:r w:rsidRPr="00711CD2">
        <w:rPr>
          <w:color w:val="44546A" w:themeColor="text2"/>
        </w:rPr>
        <w:t>specific obligations to data subjects.</w:t>
      </w:r>
      <w:r w:rsidRPr="00711CD2">
        <w:rPr>
          <w:rStyle w:val="FootnoteReference"/>
          <w:color w:val="44546A" w:themeColor="text2"/>
        </w:rPr>
        <w:footnoteReference w:id="61"/>
      </w:r>
      <w:r w:rsidRPr="00711CD2">
        <w:rPr>
          <w:color w:val="44546A" w:themeColor="text2"/>
        </w:rPr>
        <w:t xml:space="preserve"> </w:t>
      </w:r>
      <w:r>
        <w:rPr>
          <w:color w:val="44546A" w:themeColor="text2"/>
        </w:rPr>
        <w:t>For example, it is right that clinicians expertise and judgment should be relied upon, in accordance with the guidance provided by the professional body when determining data the legitimacy, proportionality, necessity of gaining access to the information and compatibility in light of the purpose for which it was obtained. As the EUCJ noted in Digital Ireland that exercise of discretion is subject to judicial oversight:</w:t>
      </w:r>
      <w:r>
        <w:rPr>
          <w:rStyle w:val="FootnoteReference"/>
          <w:color w:val="44546A" w:themeColor="text2"/>
        </w:rPr>
        <w:footnoteReference w:id="62"/>
      </w:r>
      <w:r>
        <w:rPr>
          <w:color w:val="44546A" w:themeColor="text2"/>
        </w:rPr>
        <w:t xml:space="preserve"> </w:t>
      </w:r>
    </w:p>
    <w:p w14:paraId="22539D4D" w14:textId="77777777" w:rsidR="000D048C" w:rsidRDefault="000D048C" w:rsidP="000D048C">
      <w:pPr>
        <w:spacing w:line="360" w:lineRule="auto"/>
        <w:rPr>
          <w:color w:val="44546A" w:themeColor="text2"/>
        </w:rPr>
      </w:pPr>
      <w:r>
        <w:rPr>
          <w:color w:val="44546A" w:themeColor="text2"/>
        </w:rPr>
        <w:t>“</w:t>
      </w:r>
      <w:r w:rsidRPr="00F75990">
        <w:rPr>
          <w:color w:val="44546A" w:themeColor="text2"/>
        </w:rPr>
        <w:t>Article 52(1) of the Charter provides that any limitation on the exercise of the rights and freedoms laid down by the Charter must be provided for by law, respect their essence and, subject to the principle of proportionality, limitations may be made to those rights and freedoms only if they are necessary and genuinely meet objectives of general interest recognised by the Union or the need to protect the rights and freedoms of others.</w:t>
      </w:r>
      <w:r>
        <w:rPr>
          <w:color w:val="44546A" w:themeColor="text2"/>
        </w:rPr>
        <w:t>”</w:t>
      </w:r>
    </w:p>
    <w:p w14:paraId="7CC65342" w14:textId="77777777" w:rsidR="000D048C" w:rsidRDefault="000D048C" w:rsidP="000D048C">
      <w:pPr>
        <w:spacing w:line="360" w:lineRule="auto"/>
        <w:rPr>
          <w:color w:val="44546A" w:themeColor="text2"/>
        </w:rPr>
      </w:pPr>
    </w:p>
    <w:p w14:paraId="5F750555" w14:textId="77777777" w:rsidR="000D048C" w:rsidRDefault="000D048C" w:rsidP="000D048C">
      <w:pPr>
        <w:spacing w:line="360" w:lineRule="auto"/>
        <w:rPr>
          <w:color w:val="44546A" w:themeColor="text2"/>
        </w:rPr>
      </w:pPr>
      <w:r>
        <w:rPr>
          <w:color w:val="44546A" w:themeColor="text2"/>
        </w:rPr>
        <w:t>Another point worth highlighting in this regard is that cases where personal data is to be used for purposes other than immediate diagnosis or treatment (secondary purposes), data controllers have the obligation to demonstrate that any subsequent use is commensurate with the reasonable expectations of the data subject, the type of personal data involved, likely impact and that steps have been taken to ensure that appropriate safeguards have been put in place.</w:t>
      </w:r>
      <w:r>
        <w:rPr>
          <w:rStyle w:val="FootnoteReference"/>
          <w:color w:val="44546A" w:themeColor="text2"/>
        </w:rPr>
        <w:footnoteReference w:id="63"/>
      </w:r>
      <w:r>
        <w:rPr>
          <w:color w:val="44546A" w:themeColor="text2"/>
        </w:rPr>
        <w:t xml:space="preserve"> </w:t>
      </w:r>
      <w:r w:rsidRPr="00711CD2">
        <w:rPr>
          <w:color w:val="44546A" w:themeColor="text2"/>
        </w:rPr>
        <w:t>To ensure that risks to data subject</w:t>
      </w:r>
      <w:r>
        <w:rPr>
          <w:color w:val="44546A" w:themeColor="text2"/>
        </w:rPr>
        <w:t>s</w:t>
      </w:r>
      <w:r w:rsidRPr="00711CD2">
        <w:rPr>
          <w:color w:val="44546A" w:themeColor="text2"/>
        </w:rPr>
        <w:t xml:space="preserve"> are minimised, data controllers are required to </w:t>
      </w:r>
      <w:r>
        <w:rPr>
          <w:color w:val="44546A" w:themeColor="text2"/>
        </w:rPr>
        <w:t>design</w:t>
      </w:r>
      <w:r w:rsidRPr="00711CD2">
        <w:rPr>
          <w:color w:val="44546A" w:themeColor="text2"/>
        </w:rPr>
        <w:t xml:space="preserve"> systems </w:t>
      </w:r>
      <w:r>
        <w:rPr>
          <w:color w:val="44546A" w:themeColor="text2"/>
        </w:rPr>
        <w:t xml:space="preserve">that </w:t>
      </w:r>
      <w:r w:rsidRPr="00711CD2">
        <w:rPr>
          <w:color w:val="44546A" w:themeColor="text2"/>
        </w:rPr>
        <w:t xml:space="preserve">are secure, </w:t>
      </w:r>
      <w:r>
        <w:rPr>
          <w:color w:val="44546A" w:themeColor="text2"/>
        </w:rPr>
        <w:t>implement organizational framework ensuring that information being used are accurate and updated</w:t>
      </w:r>
      <w:r w:rsidRPr="00711CD2">
        <w:rPr>
          <w:color w:val="44546A" w:themeColor="text2"/>
        </w:rPr>
        <w:t>, data used for processing is no more than needed for the task and not stored for a period longer than necessary.</w:t>
      </w:r>
      <w:r>
        <w:rPr>
          <w:rStyle w:val="FootnoteReference"/>
          <w:color w:val="44546A" w:themeColor="text2"/>
        </w:rPr>
        <w:footnoteReference w:id="64"/>
      </w:r>
      <w:r w:rsidRPr="00711CD2">
        <w:rPr>
          <w:color w:val="44546A" w:themeColor="text2"/>
        </w:rPr>
        <w:t xml:space="preserve"> </w:t>
      </w:r>
      <w:r>
        <w:rPr>
          <w:color w:val="44546A" w:themeColor="text2"/>
        </w:rPr>
        <w:t>In summary, the</w:t>
      </w:r>
      <w:r w:rsidRPr="00711CD2">
        <w:rPr>
          <w:color w:val="44546A" w:themeColor="text2"/>
        </w:rPr>
        <w:t xml:space="preserve"> data quality</w:t>
      </w:r>
      <w:r>
        <w:rPr>
          <w:color w:val="44546A" w:themeColor="text2"/>
        </w:rPr>
        <w:t>, compatibility and necessity</w:t>
      </w:r>
      <w:r w:rsidRPr="00711CD2">
        <w:rPr>
          <w:color w:val="44546A" w:themeColor="text2"/>
        </w:rPr>
        <w:t xml:space="preserve"> principle</w:t>
      </w:r>
      <w:r>
        <w:rPr>
          <w:color w:val="44546A" w:themeColor="text2"/>
        </w:rPr>
        <w:t xml:space="preserve">s see to ensure that data controllers can implement measures and processes that can be audited, justified and evaluated continuously. </w:t>
      </w:r>
      <w:r>
        <w:rPr>
          <w:color w:val="44546A" w:themeColor="text2"/>
        </w:rPr>
        <w:lastRenderedPageBreak/>
        <w:t>Within this context, data controllers have the obligation to ensure that the personal data being processed is accurate and steps to be taken if a request has been made to erase or rectify the information</w:t>
      </w:r>
      <w:r w:rsidRPr="00711CD2">
        <w:rPr>
          <w:color w:val="44546A" w:themeColor="text2"/>
        </w:rPr>
        <w:t>.</w:t>
      </w:r>
      <w:r w:rsidRPr="00711CD2">
        <w:rPr>
          <w:rStyle w:val="FootnoteReference"/>
          <w:color w:val="44546A" w:themeColor="text2"/>
        </w:rPr>
        <w:footnoteReference w:id="65"/>
      </w:r>
      <w:r w:rsidRPr="00711CD2">
        <w:rPr>
          <w:color w:val="44546A" w:themeColor="text2"/>
        </w:rPr>
        <w:t xml:space="preserve">  </w:t>
      </w:r>
    </w:p>
    <w:p w14:paraId="275A7F8C" w14:textId="77777777" w:rsidR="000D048C" w:rsidRDefault="000D048C" w:rsidP="000D048C">
      <w:pPr>
        <w:spacing w:line="360" w:lineRule="auto"/>
        <w:jc w:val="both"/>
        <w:rPr>
          <w:color w:val="44546A" w:themeColor="text2"/>
        </w:rPr>
      </w:pPr>
    </w:p>
    <w:p w14:paraId="55DBE664" w14:textId="77777777" w:rsidR="000D048C" w:rsidRPr="00711CD2" w:rsidRDefault="000D048C" w:rsidP="000D048C">
      <w:pPr>
        <w:spacing w:line="360" w:lineRule="auto"/>
        <w:jc w:val="both"/>
        <w:rPr>
          <w:color w:val="44546A" w:themeColor="text2"/>
        </w:rPr>
      </w:pPr>
      <w:r>
        <w:rPr>
          <w:color w:val="44546A" w:themeColor="text2"/>
        </w:rPr>
        <w:t>The GDPR does not only provide a framework drawing on the input of relevant parties to demonstrate that their use of AI systems and big data analytics is compliant with its principles for fair and lawful processing but it stipulates that a legal basis is a pre-condition to the processing of personal data</w:t>
      </w:r>
      <w:r w:rsidRPr="00711CD2">
        <w:rPr>
          <w:color w:val="44546A" w:themeColor="text2"/>
        </w:rPr>
        <w:t>.</w:t>
      </w:r>
      <w:r w:rsidRPr="00711CD2">
        <w:rPr>
          <w:rStyle w:val="FootnoteReference"/>
          <w:color w:val="44546A" w:themeColor="text2"/>
        </w:rPr>
        <w:footnoteReference w:id="66"/>
      </w:r>
      <w:r w:rsidRPr="00711CD2">
        <w:rPr>
          <w:color w:val="44546A" w:themeColor="text2"/>
        </w:rPr>
        <w:t xml:space="preserve"> </w:t>
      </w:r>
      <w:r>
        <w:rPr>
          <w:color w:val="44546A" w:themeColor="text2"/>
        </w:rPr>
        <w:t>Article 6(1) requires that data controllers establish at the outset which of the six lawful grounds being relied upon. In addition to satisfying Article 6(1), there is the additional requirement for data controllers to comply with additional safeguards provided for the processing of sensitive health data in Article 9.</w:t>
      </w:r>
      <w:r>
        <w:rPr>
          <w:rStyle w:val="FootnoteReference"/>
          <w:color w:val="44546A" w:themeColor="text2"/>
        </w:rPr>
        <w:footnoteReference w:id="67"/>
      </w:r>
      <w:r>
        <w:rPr>
          <w:color w:val="44546A" w:themeColor="text2"/>
        </w:rPr>
        <w:t xml:space="preserve"> The requirement for a legal basis needs to be considered in light of the dual objectives of data protection law, which is to balance public interest in accessing personal information with that of a data subjects rise to withhold consent.</w:t>
      </w:r>
      <w:r>
        <w:rPr>
          <w:rStyle w:val="FootnoteReference"/>
          <w:color w:val="44546A" w:themeColor="text2"/>
        </w:rPr>
        <w:footnoteReference w:id="68"/>
      </w:r>
      <w:r>
        <w:rPr>
          <w:color w:val="44546A" w:themeColor="text2"/>
        </w:rPr>
        <w:t xml:space="preserve"> Sensitive personal data can for example be lawfully processed if it is necessary to “</w:t>
      </w:r>
      <w:r w:rsidRPr="00711CD2">
        <w:rPr>
          <w:color w:val="44546A" w:themeColor="text2"/>
        </w:rPr>
        <w:t xml:space="preserve">protect the vital interests of the data subject or of another natural person where the data subject is physically or legally incapable of giving consent.” </w:t>
      </w:r>
      <w:r>
        <w:rPr>
          <w:rStyle w:val="FootnoteReference"/>
          <w:color w:val="44546A" w:themeColor="text2"/>
        </w:rPr>
        <w:footnoteReference w:id="69"/>
      </w:r>
      <w:r>
        <w:rPr>
          <w:color w:val="44546A" w:themeColor="text2"/>
        </w:rPr>
        <w:t xml:space="preserve"> Another legal basis is the processing of sensitive personal data for the purposes of medical diagnosis, treatment or the management of health or social care treatment and systems.</w:t>
      </w:r>
      <w:r>
        <w:rPr>
          <w:rStyle w:val="FootnoteReference"/>
          <w:color w:val="44546A" w:themeColor="text2"/>
        </w:rPr>
        <w:footnoteReference w:id="70"/>
      </w:r>
      <w:r>
        <w:rPr>
          <w:color w:val="44546A" w:themeColor="text2"/>
        </w:rPr>
        <w:t xml:space="preserve"> Processing of such data would also be lawful where it is necessary for reasons of public interest in the area of public health or where it is necessary for scientific research.</w:t>
      </w:r>
      <w:r>
        <w:rPr>
          <w:rStyle w:val="FootnoteReference"/>
          <w:color w:val="44546A" w:themeColor="text2"/>
        </w:rPr>
        <w:footnoteReference w:id="71"/>
      </w:r>
    </w:p>
    <w:p w14:paraId="70225D92" w14:textId="77777777" w:rsidR="000D048C" w:rsidRDefault="000D048C" w:rsidP="000D048C">
      <w:pPr>
        <w:spacing w:line="360" w:lineRule="auto"/>
        <w:rPr>
          <w:color w:val="44546A" w:themeColor="text2"/>
        </w:rPr>
      </w:pPr>
    </w:p>
    <w:p w14:paraId="716CA2AC" w14:textId="77777777" w:rsidR="000D048C" w:rsidRDefault="000D048C" w:rsidP="000D048C">
      <w:pPr>
        <w:spacing w:line="360" w:lineRule="auto"/>
        <w:jc w:val="both"/>
        <w:rPr>
          <w:color w:val="44546A" w:themeColor="text2"/>
        </w:rPr>
      </w:pPr>
      <w:r>
        <w:rPr>
          <w:color w:val="44546A" w:themeColor="text2"/>
        </w:rPr>
        <w:t>A major area of considerable discussion with regard to the processing of personal sensitive information concerns the requirement for explicit consent.</w:t>
      </w:r>
      <w:r>
        <w:rPr>
          <w:rStyle w:val="FootnoteReference"/>
          <w:color w:val="44546A" w:themeColor="text2"/>
        </w:rPr>
        <w:footnoteReference w:id="72"/>
      </w:r>
      <w:r>
        <w:rPr>
          <w:color w:val="44546A" w:themeColor="text2"/>
        </w:rPr>
        <w:t xml:space="preserve"> Article </w:t>
      </w:r>
      <w:r w:rsidRPr="00711CD2">
        <w:rPr>
          <w:color w:val="44546A" w:themeColor="text2"/>
        </w:rPr>
        <w:t>9(2)(a)</w:t>
      </w:r>
      <w:r>
        <w:rPr>
          <w:color w:val="44546A" w:themeColor="text2"/>
        </w:rPr>
        <w:t xml:space="preserve"> provides that </w:t>
      </w:r>
      <w:r w:rsidRPr="00711CD2">
        <w:rPr>
          <w:color w:val="44546A" w:themeColor="text2"/>
        </w:rPr>
        <w:t>sensitive personal data may be processed if “the data subject has given explicit consent to the processing of those personal data for one or more specified purposes</w:t>
      </w:r>
      <w:r>
        <w:rPr>
          <w:color w:val="44546A" w:themeColor="text2"/>
        </w:rPr>
        <w:t xml:space="preserve">…” Member States, it </w:t>
      </w:r>
      <w:r>
        <w:rPr>
          <w:color w:val="44546A" w:themeColor="text2"/>
        </w:rPr>
        <w:lastRenderedPageBreak/>
        <w:t xml:space="preserve">should be noted are permitted to enact laws which </w:t>
      </w:r>
      <w:r w:rsidRPr="00711CD2">
        <w:rPr>
          <w:color w:val="44546A" w:themeColor="text2"/>
        </w:rPr>
        <w:t xml:space="preserve">restrict </w:t>
      </w:r>
      <w:r>
        <w:rPr>
          <w:color w:val="44546A" w:themeColor="text2"/>
        </w:rPr>
        <w:t>the circumstances when explicit consent is required or introduce conditions limiting its scope.</w:t>
      </w:r>
      <w:r>
        <w:rPr>
          <w:rStyle w:val="FootnoteReference"/>
          <w:color w:val="44546A" w:themeColor="text2"/>
        </w:rPr>
        <w:footnoteReference w:id="73"/>
      </w:r>
      <w:r>
        <w:rPr>
          <w:color w:val="44546A" w:themeColor="text2"/>
        </w:rPr>
        <w:t xml:space="preserve"> </w:t>
      </w:r>
      <w:r w:rsidRPr="00711CD2">
        <w:rPr>
          <w:color w:val="44546A" w:themeColor="text2"/>
        </w:rPr>
        <w:t>As a number of scholars have observed, judicial rulings, guidance on the application of legal rules and principles provided by data protection supervisory authorities and evolution of stewardship type obligations have played an important role to help ensure that careful balances are struck to minimise the adverse impacts of technology on society.</w:t>
      </w:r>
      <w:r w:rsidRPr="00711CD2">
        <w:rPr>
          <w:rStyle w:val="FootnoteReference"/>
          <w:color w:val="44546A" w:themeColor="text2"/>
        </w:rPr>
        <w:footnoteReference w:id="74"/>
      </w:r>
      <w:r w:rsidRPr="00711CD2">
        <w:rPr>
          <w:color w:val="44546A" w:themeColor="text2"/>
        </w:rPr>
        <w:t xml:space="preserve"> </w:t>
      </w:r>
    </w:p>
    <w:p w14:paraId="6FA98B68" w14:textId="77777777" w:rsidR="000D048C" w:rsidRDefault="000D048C" w:rsidP="000D048C">
      <w:pPr>
        <w:spacing w:line="360" w:lineRule="auto"/>
        <w:jc w:val="both"/>
        <w:rPr>
          <w:color w:val="44546A" w:themeColor="text2"/>
        </w:rPr>
      </w:pPr>
    </w:p>
    <w:p w14:paraId="5655F669" w14:textId="77777777" w:rsidR="000D048C" w:rsidRPr="008B1290" w:rsidRDefault="000D048C" w:rsidP="000D048C">
      <w:pPr>
        <w:spacing w:line="360" w:lineRule="auto"/>
        <w:jc w:val="both"/>
        <w:rPr>
          <w:color w:val="44546A" w:themeColor="text2"/>
        </w:rPr>
      </w:pPr>
      <w:r>
        <w:rPr>
          <w:color w:val="44546A" w:themeColor="text2"/>
        </w:rPr>
        <w:t>Within the healthcare care context, the requirement for a legal basis enables personal information to be processed, even in the absence of explicit consent, where it is vital to provide life-saving treatment. The availability of a wide range of legal basis for processing personal information provides data controllers with grounds that may be suited to particular contexts and objectives. Viewed together, the pr</w:t>
      </w:r>
      <w:r w:rsidRPr="008B1290">
        <w:rPr>
          <w:color w:val="44546A" w:themeColor="text2"/>
        </w:rPr>
        <w:t xml:space="preserve">ovisions in Articles 5, 6 and 9 enables relevant parties to determine which purposes for which the personal data is being used, the reasonable and appropriate situations where information can be shared and with whom and provides data subjects opportunities to express their agreement or refusal. </w:t>
      </w:r>
    </w:p>
    <w:p w14:paraId="3ADB0E0F" w14:textId="77777777" w:rsidR="000D048C" w:rsidRDefault="000D048C" w:rsidP="000D048C">
      <w:pPr>
        <w:spacing w:line="360" w:lineRule="auto"/>
        <w:jc w:val="both"/>
        <w:rPr>
          <w:color w:val="44546A" w:themeColor="text2"/>
        </w:rPr>
      </w:pPr>
    </w:p>
    <w:p w14:paraId="00B72F38" w14:textId="77777777" w:rsidR="000D048C" w:rsidRPr="00C92200" w:rsidRDefault="000D048C" w:rsidP="000D048C">
      <w:pPr>
        <w:spacing w:line="360" w:lineRule="auto"/>
        <w:jc w:val="both"/>
        <w:rPr>
          <w:i/>
          <w:iCs/>
          <w:color w:val="44546A" w:themeColor="text2"/>
        </w:rPr>
      </w:pPr>
      <w:r w:rsidRPr="00C92200">
        <w:rPr>
          <w:i/>
          <w:iCs/>
          <w:color w:val="44546A" w:themeColor="text2"/>
        </w:rPr>
        <w:t>Responsive Mechanisms for Managing Risks and Impact</w:t>
      </w:r>
    </w:p>
    <w:p w14:paraId="0E9B1BB0" w14:textId="77777777" w:rsidR="000D048C" w:rsidRDefault="000D048C" w:rsidP="000D048C">
      <w:pPr>
        <w:spacing w:line="360" w:lineRule="auto"/>
        <w:jc w:val="both"/>
        <w:rPr>
          <w:color w:val="44546A" w:themeColor="text2"/>
        </w:rPr>
      </w:pPr>
    </w:p>
    <w:p w14:paraId="6F81E615" w14:textId="51ADCF81" w:rsidR="000D048C" w:rsidRDefault="000D048C" w:rsidP="000D048C">
      <w:pPr>
        <w:spacing w:line="360" w:lineRule="auto"/>
        <w:jc w:val="both"/>
        <w:rPr>
          <w:color w:val="44546A" w:themeColor="text2"/>
        </w:rPr>
      </w:pPr>
      <w:r>
        <w:rPr>
          <w:color w:val="44546A" w:themeColor="text2"/>
        </w:rPr>
        <w:t xml:space="preserve">Regulatory conversations about </w:t>
      </w:r>
      <w:r w:rsidRPr="00881F70">
        <w:rPr>
          <w:color w:val="44546A" w:themeColor="text2"/>
        </w:rPr>
        <w:t xml:space="preserve">data controllers’ obligations regarding </w:t>
      </w:r>
      <w:r>
        <w:rPr>
          <w:color w:val="44546A" w:themeColor="text2"/>
        </w:rPr>
        <w:t xml:space="preserve">the protection of patients’ privacy </w:t>
      </w:r>
      <w:r w:rsidRPr="00881F70">
        <w:rPr>
          <w:color w:val="44546A" w:themeColor="text2"/>
        </w:rPr>
        <w:t>and personal data protection</w:t>
      </w:r>
      <w:r>
        <w:rPr>
          <w:color w:val="44546A" w:themeColor="text2"/>
        </w:rPr>
        <w:t xml:space="preserve"> also involve the broader challenge of identifying, assessing and managing in a “proactive and responsible manner”.</w:t>
      </w:r>
      <w:r>
        <w:rPr>
          <w:rStyle w:val="FootnoteReference"/>
          <w:color w:val="44546A" w:themeColor="text2"/>
        </w:rPr>
        <w:footnoteReference w:id="75"/>
      </w:r>
      <w:r>
        <w:rPr>
          <w:color w:val="44546A" w:themeColor="text2"/>
        </w:rPr>
        <w:t xml:space="preserve"> The mechanisms for managing risks associated with the processing of personal information need to be seen alongside the way the principle of accountability interacts with the rights provided to data subjects.</w:t>
      </w:r>
      <w:r w:rsidR="00AC18AB">
        <w:rPr>
          <w:rStyle w:val="FootnoteReference"/>
          <w:color w:val="44546A" w:themeColor="text2"/>
        </w:rPr>
        <w:footnoteReference w:id="76"/>
      </w:r>
      <w:r>
        <w:rPr>
          <w:color w:val="44546A" w:themeColor="text2"/>
        </w:rPr>
        <w:t xml:space="preserve"> For example, data controllers undertake to provide data subjects with relevant information about their processing activity so that the information rights can be exercised in a </w:t>
      </w:r>
      <w:r>
        <w:rPr>
          <w:color w:val="44546A" w:themeColor="text2"/>
        </w:rPr>
        <w:lastRenderedPageBreak/>
        <w:t>meaningful way.</w:t>
      </w:r>
      <w:r>
        <w:rPr>
          <w:rStyle w:val="FootnoteReference"/>
          <w:color w:val="44546A" w:themeColor="text2"/>
        </w:rPr>
        <w:footnoteReference w:id="77"/>
      </w:r>
      <w:r>
        <w:rPr>
          <w:color w:val="44546A" w:themeColor="text2"/>
        </w:rPr>
        <w:t xml:space="preserve"> These rights include access to personal data which have been directly or indirectly obtained </w:t>
      </w:r>
      <w:r>
        <w:rPr>
          <w:rStyle w:val="FootnoteReference"/>
          <w:color w:val="44546A" w:themeColor="text2"/>
        </w:rPr>
        <w:footnoteReference w:id="78"/>
      </w:r>
      <w:r>
        <w:rPr>
          <w:color w:val="44546A" w:themeColor="text2"/>
        </w:rPr>
        <w:t>, the purposes for which the information has been proposed and the way it has been classified</w:t>
      </w:r>
      <w:r>
        <w:rPr>
          <w:rStyle w:val="FootnoteReference"/>
          <w:color w:val="44546A" w:themeColor="text2"/>
        </w:rPr>
        <w:footnoteReference w:id="79"/>
      </w:r>
      <w:r>
        <w:rPr>
          <w:color w:val="44546A" w:themeColor="text2"/>
        </w:rPr>
        <w:t>, rectification</w:t>
      </w:r>
      <w:r>
        <w:rPr>
          <w:rStyle w:val="FootnoteReference"/>
          <w:color w:val="44546A" w:themeColor="text2"/>
        </w:rPr>
        <w:footnoteReference w:id="80"/>
      </w:r>
      <w:r>
        <w:rPr>
          <w:color w:val="44546A" w:themeColor="text2"/>
        </w:rPr>
        <w:t>, erasure when the purpose for which information has been obtained has ceased to be relevant or consent withdrawn</w:t>
      </w:r>
      <w:r>
        <w:rPr>
          <w:rStyle w:val="FootnoteReference"/>
          <w:color w:val="44546A" w:themeColor="text2"/>
        </w:rPr>
        <w:footnoteReference w:id="81"/>
      </w:r>
      <w:r>
        <w:rPr>
          <w:color w:val="44546A" w:themeColor="text2"/>
        </w:rPr>
        <w:t>, objection when there are no legitimate grounds for processing</w:t>
      </w:r>
      <w:r>
        <w:rPr>
          <w:rStyle w:val="FootnoteReference"/>
          <w:color w:val="44546A" w:themeColor="text2"/>
        </w:rPr>
        <w:footnoteReference w:id="82"/>
      </w:r>
      <w:r>
        <w:rPr>
          <w:color w:val="44546A" w:themeColor="text2"/>
        </w:rPr>
        <w:t>, and right to have automated decision making which give rise to significant legal effects subjected to review.</w:t>
      </w:r>
      <w:r>
        <w:rPr>
          <w:rStyle w:val="FootnoteReference"/>
          <w:color w:val="44546A" w:themeColor="text2"/>
        </w:rPr>
        <w:footnoteReference w:id="83"/>
      </w:r>
      <w:r>
        <w:rPr>
          <w:color w:val="44546A" w:themeColor="text2"/>
        </w:rPr>
        <w:t xml:space="preserve"> These rights lead to the focus being directed towards addressing concerns expressed with the role of the law framing the issues to be addressed and the justifications needed for continued processing of personal information. The exercise of the rights enjoyed by data subjects can be seen as a way of structuring conversations that take into account the specific circumstances and help reconcile any conflicts in expectations with regard to the processing operation.</w:t>
      </w:r>
    </w:p>
    <w:p w14:paraId="6564B358" w14:textId="77777777" w:rsidR="000D048C" w:rsidRDefault="000D048C" w:rsidP="000D048C">
      <w:pPr>
        <w:spacing w:line="360" w:lineRule="auto"/>
        <w:jc w:val="both"/>
        <w:rPr>
          <w:color w:val="44546A" w:themeColor="text2"/>
        </w:rPr>
      </w:pPr>
    </w:p>
    <w:p w14:paraId="63411500" w14:textId="48E48BD5" w:rsidR="000D048C" w:rsidRDefault="000D048C" w:rsidP="000D048C">
      <w:pPr>
        <w:spacing w:line="360" w:lineRule="auto"/>
        <w:jc w:val="both"/>
        <w:rPr>
          <w:color w:val="44546A" w:themeColor="text2"/>
        </w:rPr>
      </w:pPr>
      <w:r>
        <w:rPr>
          <w:color w:val="44546A" w:themeColor="text2"/>
        </w:rPr>
        <w:t xml:space="preserve">There is another category of governance </w:t>
      </w:r>
      <w:proofErr w:type="gramStart"/>
      <w:r>
        <w:rPr>
          <w:color w:val="44546A" w:themeColor="text2"/>
        </w:rPr>
        <w:t>challenges</w:t>
      </w:r>
      <w:proofErr w:type="gramEnd"/>
      <w:r>
        <w:rPr>
          <w:color w:val="44546A" w:themeColor="text2"/>
        </w:rPr>
        <w:t xml:space="preserve"> that should be discussed.  This relates to a digital health infrastructure predicated by AI based health solutions that automate decision making and creates profiles of individuals from processing sensitive personal data to a high level of specificity.</w:t>
      </w:r>
      <w:r>
        <w:rPr>
          <w:rStyle w:val="FootnoteReference"/>
          <w:color w:val="44546A" w:themeColor="text2"/>
        </w:rPr>
        <w:footnoteReference w:id="84"/>
      </w:r>
      <w:r>
        <w:rPr>
          <w:color w:val="44546A" w:themeColor="text2"/>
        </w:rPr>
        <w:t xml:space="preserve"> To take as an example consider the problems of transparency, accountability and legitimacy that may arise, when algorithms are programmed to capture, process, analyse and share raw data captured from mobile sensors, applications and information about a group of patients suffering chronic health conditions.</w:t>
      </w:r>
      <w:r>
        <w:rPr>
          <w:rStyle w:val="FootnoteReference"/>
          <w:color w:val="44546A" w:themeColor="text2"/>
        </w:rPr>
        <w:footnoteReference w:id="85"/>
      </w:r>
      <w:r>
        <w:rPr>
          <w:color w:val="44546A" w:themeColor="text2"/>
        </w:rPr>
        <w:t xml:space="preserve"> Data points from the sensitive personal data can be generated from volunteered personal data, which may include blood samples, scans, medical history, </w:t>
      </w:r>
      <w:r w:rsidR="00E60491">
        <w:rPr>
          <w:color w:val="44546A" w:themeColor="text2"/>
        </w:rPr>
        <w:t>and prescriptions, all of which when combined</w:t>
      </w:r>
      <w:r>
        <w:rPr>
          <w:color w:val="44546A" w:themeColor="text2"/>
        </w:rPr>
        <w:t xml:space="preserve"> will provide the raw data for the AI system. Machine learning tools can be utilized for example to synthesise data in combination with other structured or unstructured data to measure, predict and create risk models revealing, life expectancies, diagnosis and treatment options, generate hidden patterns and develop new insights.</w:t>
      </w:r>
      <w:r w:rsidRPr="00711CD2">
        <w:rPr>
          <w:rStyle w:val="FootnoteReference"/>
          <w:color w:val="44546A" w:themeColor="text2"/>
        </w:rPr>
        <w:footnoteReference w:id="86"/>
      </w:r>
      <w:r>
        <w:rPr>
          <w:color w:val="44546A" w:themeColor="text2"/>
        </w:rPr>
        <w:t xml:space="preserve"> </w:t>
      </w:r>
      <w:r w:rsidR="00E60491">
        <w:rPr>
          <w:color w:val="44546A" w:themeColor="text2"/>
        </w:rPr>
        <w:t xml:space="preserve">Natural language </w:t>
      </w:r>
      <w:r w:rsidR="00A11563">
        <w:rPr>
          <w:color w:val="44546A" w:themeColor="text2"/>
        </w:rPr>
        <w:t xml:space="preserve">processes enable </w:t>
      </w:r>
      <w:r>
        <w:rPr>
          <w:color w:val="44546A" w:themeColor="text2"/>
        </w:rPr>
        <w:t xml:space="preserve">AI systems to analyse </w:t>
      </w:r>
      <w:r>
        <w:rPr>
          <w:color w:val="44546A" w:themeColor="text2"/>
        </w:rPr>
        <w:lastRenderedPageBreak/>
        <w:t>complex data sets, draw inferences and modelling new approaches to the use of statistical modelling has provided the impetus for a paradigm shift in the way processes for drawing correlations and generating new health, behavioural, lifestyle and mental insights with sufficient degree of specificity have become important drivers of data driven innovation.</w:t>
      </w:r>
      <w:r>
        <w:rPr>
          <w:rStyle w:val="FootnoteReference"/>
          <w:color w:val="44546A" w:themeColor="text2"/>
        </w:rPr>
        <w:footnoteReference w:id="87"/>
      </w:r>
      <w:r>
        <w:rPr>
          <w:color w:val="44546A" w:themeColor="text2"/>
        </w:rPr>
        <w:t xml:space="preserve"> These problem solving and predictive capabilities also introduce an epistemological aspect into the regulatory conversation – as the boundaries between AI system and clinician decision making become blurred, how will risks be conceptualised, justified and managed?</w:t>
      </w:r>
      <w:r>
        <w:rPr>
          <w:rStyle w:val="FootnoteReference"/>
          <w:color w:val="44546A" w:themeColor="text2"/>
        </w:rPr>
        <w:footnoteReference w:id="88"/>
      </w:r>
      <w:r>
        <w:rPr>
          <w:color w:val="44546A" w:themeColor="text2"/>
        </w:rPr>
        <w:t xml:space="preserve"> Uncertainties about AI decision making processes, risks of values and biases being introduced into the system, the range and quality of training and unstructured data, verification standards and adverse implications for patients from misdiagnosis by machine learning processes require careful assessment of risks and benefits.</w:t>
      </w:r>
      <w:r>
        <w:rPr>
          <w:rStyle w:val="FootnoteReference"/>
          <w:color w:val="44546A" w:themeColor="text2"/>
        </w:rPr>
        <w:footnoteReference w:id="89"/>
      </w:r>
      <w:r>
        <w:rPr>
          <w:color w:val="44546A" w:themeColor="text2"/>
        </w:rPr>
        <w:t xml:space="preserve"> It is also worth noting that risks to patients safety, dignity and privacy can also arise even where processing is lawful.</w:t>
      </w:r>
      <w:r>
        <w:rPr>
          <w:rStyle w:val="FootnoteReference"/>
          <w:color w:val="44546A" w:themeColor="text2"/>
        </w:rPr>
        <w:footnoteReference w:id="90"/>
      </w:r>
      <w:r>
        <w:rPr>
          <w:color w:val="44546A" w:themeColor="text2"/>
        </w:rPr>
        <w:t xml:space="preserve">  The example provided suggests that the management of the dynamics of risk will not be straightforward. It is not surprising that questions have arisen with regard to risks of bias, discrimination and problems with understanding the way decisions are reached by AI systems.</w:t>
      </w:r>
      <w:r>
        <w:rPr>
          <w:rStyle w:val="FootnoteReference"/>
          <w:color w:val="44546A" w:themeColor="text2"/>
        </w:rPr>
        <w:footnoteReference w:id="91"/>
      </w:r>
      <w:r>
        <w:rPr>
          <w:color w:val="44546A" w:themeColor="text2"/>
        </w:rPr>
        <w:t xml:space="preserve">  However, irrespective of the debates being generated, the important point to be highlighted here is that even though novel use is made of AI processes, data protection law focuses on how issues arising in clinical settings can be addressed by those subject to its regulation. Floridi’s view of governance as </w:t>
      </w:r>
      <w:r w:rsidR="00A11563">
        <w:rPr>
          <w:color w:val="44546A" w:themeColor="text2"/>
        </w:rPr>
        <w:t xml:space="preserve">a </w:t>
      </w:r>
      <w:r>
        <w:rPr>
          <w:color w:val="44546A" w:themeColor="text2"/>
        </w:rPr>
        <w:t xml:space="preserve">collaborative process through which parties develop common understandings of standards, practices and compliance corresponds very much with the ongoing role of data protection law in providing </w:t>
      </w:r>
      <w:r w:rsidRPr="00BE6B3F">
        <w:rPr>
          <w:i/>
          <w:iCs/>
          <w:color w:val="44546A" w:themeColor="text2"/>
        </w:rPr>
        <w:t>ex ante</w:t>
      </w:r>
      <w:r>
        <w:rPr>
          <w:color w:val="44546A" w:themeColor="text2"/>
        </w:rPr>
        <w:t xml:space="preserve"> mechanisms which structure the way decisions about managing the type </w:t>
      </w:r>
      <w:r>
        <w:rPr>
          <w:color w:val="44546A" w:themeColor="text2"/>
        </w:rPr>
        <w:lastRenderedPageBreak/>
        <w:t>of risks we are concerned with are made.</w:t>
      </w:r>
      <w:r>
        <w:rPr>
          <w:rStyle w:val="FootnoteReference"/>
          <w:color w:val="44546A" w:themeColor="text2"/>
        </w:rPr>
        <w:footnoteReference w:id="92"/>
      </w:r>
      <w:r>
        <w:rPr>
          <w:color w:val="44546A" w:themeColor="text2"/>
        </w:rPr>
        <w:t xml:space="preserve"> As the European Data Protection Supervisor recently observed, data protection law aims to provide the:</w:t>
      </w:r>
      <w:r>
        <w:rPr>
          <w:rStyle w:val="FootnoteReference"/>
          <w:color w:val="44546A" w:themeColor="text2"/>
        </w:rPr>
        <w:footnoteReference w:id="93"/>
      </w:r>
      <w:r>
        <w:rPr>
          <w:color w:val="44546A" w:themeColor="text2"/>
        </w:rPr>
        <w:t xml:space="preserve"> </w:t>
      </w:r>
    </w:p>
    <w:p w14:paraId="52CF9FA1" w14:textId="77777777" w:rsidR="000D048C" w:rsidRDefault="000D048C" w:rsidP="000D048C">
      <w:pPr>
        <w:spacing w:line="360" w:lineRule="auto"/>
        <w:jc w:val="both"/>
        <w:rPr>
          <w:color w:val="44546A" w:themeColor="text2"/>
        </w:rPr>
      </w:pPr>
    </w:p>
    <w:p w14:paraId="022BBC48" w14:textId="77777777" w:rsidR="000D048C" w:rsidRDefault="000D048C" w:rsidP="000D048C">
      <w:pPr>
        <w:spacing w:line="360" w:lineRule="auto"/>
        <w:jc w:val="both"/>
        <w:rPr>
          <w:color w:val="44546A" w:themeColor="text2"/>
        </w:rPr>
      </w:pPr>
      <w:r>
        <w:rPr>
          <w:color w:val="44546A" w:themeColor="text2"/>
        </w:rPr>
        <w:t>“</w:t>
      </w:r>
      <w:r w:rsidRPr="00C4047F">
        <w:rPr>
          <w:color w:val="44546A" w:themeColor="text2"/>
        </w:rPr>
        <w:t>assurance that controllers (here represented by you as a person responsible on behalf of the controller / business owner) adequately address privacy and data protection risks of ‘risky’ processing operations. By providing a structured way of thinking about the risks to data subjects and how to mitigate them, DPIAs help organisations to comply with the requirement of ‘data protection by design’ where it is needed the most, i.e. for ‘risky’ processing operations.</w:t>
      </w:r>
      <w:r>
        <w:rPr>
          <w:color w:val="44546A" w:themeColor="text2"/>
        </w:rPr>
        <w:t>”</w:t>
      </w:r>
    </w:p>
    <w:p w14:paraId="62E2D2FF" w14:textId="77777777" w:rsidR="000D048C" w:rsidRDefault="000D048C" w:rsidP="000D048C">
      <w:pPr>
        <w:spacing w:line="360" w:lineRule="auto"/>
        <w:jc w:val="both"/>
        <w:rPr>
          <w:color w:val="44546A" w:themeColor="text2"/>
        </w:rPr>
      </w:pPr>
    </w:p>
    <w:p w14:paraId="32C56D5C" w14:textId="77777777" w:rsidR="000D048C" w:rsidRDefault="000D048C" w:rsidP="000D048C">
      <w:pPr>
        <w:spacing w:line="360" w:lineRule="auto"/>
        <w:jc w:val="both"/>
        <w:rPr>
          <w:color w:val="44546A" w:themeColor="text2"/>
        </w:rPr>
      </w:pPr>
      <w:r>
        <w:rPr>
          <w:color w:val="44546A" w:themeColor="text2"/>
        </w:rPr>
        <w:t>The data protection impact assessment and privacy by design provisions in the GDPR are particularly relevant here.</w:t>
      </w:r>
      <w:r>
        <w:rPr>
          <w:rStyle w:val="FootnoteReference"/>
          <w:color w:val="44546A" w:themeColor="text2"/>
        </w:rPr>
        <w:footnoteReference w:id="94"/>
      </w:r>
      <w:r>
        <w:rPr>
          <w:color w:val="44546A" w:themeColor="text2"/>
        </w:rPr>
        <w:t xml:space="preserve"> Both sets of provisions seek to provide “assurance” through authoritative interpretations as well as increasing incentives for parties to comply with the law by providing a “structured way of thinking” about risks. Regulated parties and organizations can, a result also draw on their knowledge and expertise to identify the specific “risks to data subjects” encountered in the clinic setting and take steps to “mitigate them” against the background of data protection rules. The framework provided serve as a template requiring data controllers and operators to contextualise, prioritize and target privacy and safety concerns.</w:t>
      </w:r>
      <w:r>
        <w:rPr>
          <w:rStyle w:val="FootnoteReference"/>
          <w:color w:val="44546A" w:themeColor="text2"/>
        </w:rPr>
        <w:footnoteReference w:id="95"/>
      </w:r>
      <w:r>
        <w:rPr>
          <w:color w:val="44546A" w:themeColor="text2"/>
        </w:rPr>
        <w:t xml:space="preserve"> </w:t>
      </w:r>
    </w:p>
    <w:p w14:paraId="5B014267" w14:textId="77777777" w:rsidR="000D048C" w:rsidRDefault="000D048C" w:rsidP="000D048C">
      <w:pPr>
        <w:spacing w:line="360" w:lineRule="auto"/>
        <w:jc w:val="both"/>
        <w:rPr>
          <w:color w:val="44546A" w:themeColor="text2"/>
        </w:rPr>
      </w:pPr>
    </w:p>
    <w:p w14:paraId="5A5D5D68" w14:textId="77777777" w:rsidR="000D048C" w:rsidRDefault="000D048C" w:rsidP="000D048C">
      <w:pPr>
        <w:spacing w:line="360" w:lineRule="auto"/>
        <w:jc w:val="both"/>
        <w:rPr>
          <w:color w:val="44546A" w:themeColor="text2"/>
        </w:rPr>
      </w:pPr>
      <w:r>
        <w:rPr>
          <w:color w:val="44546A" w:themeColor="text2"/>
        </w:rPr>
        <w:t>There is more to the data protection risk governance model. Article 35 for example prescribes the context and processes involved even where new technologies are not used in the processing of personal information.</w:t>
      </w:r>
      <w:r>
        <w:rPr>
          <w:rStyle w:val="FootnoteReference"/>
          <w:color w:val="44546A" w:themeColor="text2"/>
        </w:rPr>
        <w:footnoteReference w:id="96"/>
      </w:r>
      <w:r>
        <w:rPr>
          <w:color w:val="44546A" w:themeColor="text2"/>
        </w:rPr>
        <w:t xml:space="preserve"> For example, data controllers are required to clearly stipulate t</w:t>
      </w:r>
      <w:r w:rsidRPr="00422FB2">
        <w:rPr>
          <w:color w:val="44546A" w:themeColor="text2"/>
        </w:rPr>
        <w:t xml:space="preserve">he </w:t>
      </w:r>
      <w:r w:rsidRPr="00422FB2">
        <w:rPr>
          <w:color w:val="44546A" w:themeColor="text2"/>
        </w:rPr>
        <w:lastRenderedPageBreak/>
        <w:t>nature, scope, context and purposes of the processing</w:t>
      </w:r>
      <w:r>
        <w:rPr>
          <w:color w:val="44546A" w:themeColor="text2"/>
        </w:rPr>
        <w:t>. By focusing on the context, the law aims to ensure that data controllers identify and assess the likelihood of  “</w:t>
      </w:r>
      <w:r w:rsidRPr="00F71F0C">
        <w:rPr>
          <w:color w:val="44546A" w:themeColor="text2"/>
        </w:rPr>
        <w:t>high risk to the rights and freedoms of natural persons</w:t>
      </w:r>
      <w:r>
        <w:rPr>
          <w:color w:val="44546A" w:themeColor="text2"/>
        </w:rPr>
        <w:t>” and then proceed to undertake an “</w:t>
      </w:r>
      <w:r w:rsidRPr="00F71F0C">
        <w:rPr>
          <w:color w:val="44546A" w:themeColor="text2"/>
        </w:rPr>
        <w:t>assessment of the impact of the envisaged processing operations on the protection of personal data</w:t>
      </w:r>
      <w:r>
        <w:rPr>
          <w:color w:val="44546A" w:themeColor="text2"/>
        </w:rPr>
        <w:t>”</w:t>
      </w:r>
      <w:r w:rsidRPr="00F71F0C">
        <w:rPr>
          <w:color w:val="44546A" w:themeColor="text2"/>
        </w:rPr>
        <w:t>.</w:t>
      </w:r>
      <w:r>
        <w:rPr>
          <w:color w:val="44546A" w:themeColor="text2"/>
        </w:rPr>
        <w:t xml:space="preserve"> Data controllers are required to provide a justification by explaining “</w:t>
      </w:r>
      <w:r w:rsidRPr="00CF214F">
        <w:rPr>
          <w:color w:val="44546A" w:themeColor="text2"/>
        </w:rPr>
        <w:t>the necessity and proportionality of the processing operations</w:t>
      </w:r>
      <w:r>
        <w:rPr>
          <w:color w:val="44546A" w:themeColor="text2"/>
        </w:rPr>
        <w:t xml:space="preserve">”, the measures taken to </w:t>
      </w:r>
      <w:r w:rsidRPr="00CF214F">
        <w:rPr>
          <w:color w:val="44546A" w:themeColor="text2"/>
        </w:rPr>
        <w:t xml:space="preserve"> </w:t>
      </w:r>
      <w:r>
        <w:rPr>
          <w:color w:val="44546A" w:themeColor="text2"/>
        </w:rPr>
        <w:t>“</w:t>
      </w:r>
      <w:r w:rsidRPr="00CF214F">
        <w:rPr>
          <w:color w:val="44546A" w:themeColor="text2"/>
        </w:rPr>
        <w:t>address the risks, including safeguards, security measures and mechanisms</w:t>
      </w:r>
      <w:r>
        <w:rPr>
          <w:color w:val="44546A" w:themeColor="text2"/>
        </w:rPr>
        <w:t xml:space="preserve">”, that they have taken into </w:t>
      </w:r>
      <w:r w:rsidRPr="00CF214F">
        <w:rPr>
          <w:color w:val="44546A" w:themeColor="text2"/>
        </w:rPr>
        <w:t xml:space="preserve"> </w:t>
      </w:r>
      <w:r>
        <w:rPr>
          <w:color w:val="44546A" w:themeColor="text2"/>
        </w:rPr>
        <w:t>“</w:t>
      </w:r>
      <w:r w:rsidRPr="00CF214F">
        <w:rPr>
          <w:color w:val="44546A" w:themeColor="text2"/>
        </w:rPr>
        <w:t>the rights and legitimate interests of data subjects and other persons concerned</w:t>
      </w:r>
      <w:r>
        <w:rPr>
          <w:color w:val="44546A" w:themeColor="text2"/>
        </w:rPr>
        <w:t>” and can demonstrate compliance.</w:t>
      </w:r>
      <w:r>
        <w:rPr>
          <w:rStyle w:val="FootnoteReference"/>
          <w:color w:val="44546A" w:themeColor="text2"/>
        </w:rPr>
        <w:footnoteReference w:id="97"/>
      </w:r>
      <w:r>
        <w:rPr>
          <w:color w:val="44546A" w:themeColor="text2"/>
        </w:rPr>
        <w:t xml:space="preserve"> An impact assessment audit must comprise “</w:t>
      </w:r>
      <w:r w:rsidRPr="00CF214F">
        <w:rPr>
          <w:color w:val="44546A" w:themeColor="text2"/>
        </w:rPr>
        <w:t>a systematic and extensive evaluation of personal aspects relating to natural persons</w:t>
      </w:r>
      <w:r>
        <w:rPr>
          <w:color w:val="44546A" w:themeColor="text2"/>
        </w:rPr>
        <w:t xml:space="preserve">” where processing is automated, profiles generated and which results in decisions </w:t>
      </w:r>
      <w:r w:rsidRPr="00CF214F">
        <w:rPr>
          <w:color w:val="44546A" w:themeColor="text2"/>
        </w:rPr>
        <w:t xml:space="preserve"> </w:t>
      </w:r>
      <w:r>
        <w:rPr>
          <w:color w:val="44546A" w:themeColor="text2"/>
        </w:rPr>
        <w:t>“</w:t>
      </w:r>
      <w:r w:rsidRPr="00CF214F">
        <w:rPr>
          <w:color w:val="44546A" w:themeColor="text2"/>
        </w:rPr>
        <w:t>that produce legal effects concerning the natural person or similarly significantly affect the natural person</w:t>
      </w:r>
      <w:r>
        <w:rPr>
          <w:color w:val="44546A" w:themeColor="text2"/>
        </w:rPr>
        <w:t>.”</w:t>
      </w:r>
      <w:r>
        <w:rPr>
          <w:rStyle w:val="FootnoteReference"/>
          <w:color w:val="44546A" w:themeColor="text2"/>
        </w:rPr>
        <w:footnoteReference w:id="98"/>
      </w:r>
    </w:p>
    <w:p w14:paraId="4AD53F83" w14:textId="77777777" w:rsidR="000D048C" w:rsidRDefault="000D048C" w:rsidP="000D048C">
      <w:pPr>
        <w:spacing w:line="360" w:lineRule="auto"/>
        <w:jc w:val="both"/>
        <w:rPr>
          <w:color w:val="44546A" w:themeColor="text2"/>
        </w:rPr>
      </w:pPr>
    </w:p>
    <w:p w14:paraId="71F27188" w14:textId="77777777" w:rsidR="000D048C" w:rsidRDefault="000D048C" w:rsidP="000D048C">
      <w:pPr>
        <w:spacing w:line="360" w:lineRule="auto"/>
        <w:jc w:val="both"/>
        <w:rPr>
          <w:color w:val="44546A" w:themeColor="text2"/>
        </w:rPr>
      </w:pPr>
      <w:r>
        <w:rPr>
          <w:color w:val="44546A" w:themeColor="text2"/>
        </w:rPr>
        <w:t xml:space="preserve">The effect of requiring data controllers to contextualise, prioritize and assess the likely risks and impact on specific privacy concerns highlights the role of law in constructing understandings of what type of </w:t>
      </w:r>
      <w:r w:rsidRPr="00CF214F">
        <w:rPr>
          <w:i/>
          <w:iCs/>
          <w:color w:val="44546A" w:themeColor="text2"/>
        </w:rPr>
        <w:t>ex ante</w:t>
      </w:r>
      <w:r>
        <w:rPr>
          <w:color w:val="44546A" w:themeColor="text2"/>
        </w:rPr>
        <w:t xml:space="preserve"> behaviours and organizational processes need to be put in place.</w:t>
      </w:r>
      <w:r>
        <w:rPr>
          <w:rStyle w:val="FootnoteReference"/>
          <w:color w:val="44546A" w:themeColor="text2"/>
        </w:rPr>
        <w:footnoteReference w:id="99"/>
      </w:r>
      <w:r>
        <w:rPr>
          <w:color w:val="44546A" w:themeColor="text2"/>
        </w:rPr>
        <w:t xml:space="preserve"> Processing activities that will be regarded as “high risk” involve those concerning the e</w:t>
      </w:r>
      <w:r w:rsidRPr="00115B35">
        <w:rPr>
          <w:color w:val="44546A" w:themeColor="text2"/>
        </w:rPr>
        <w:t xml:space="preserve">valuation or scoring, including profiling and predicting; </w:t>
      </w:r>
      <w:r>
        <w:rPr>
          <w:color w:val="44546A" w:themeColor="text2"/>
        </w:rPr>
        <w:t>automated decision making that will give rise to significant legal or similar effects or outcomes; large scale systematic surveillance and monitoring; the integration of personal sensitive information; manipulation or combination of datasets; personal data of data subjects who categorised as being vulnerable; mosaic operations involving combination of facial, text, biological processes and technologies.</w:t>
      </w:r>
      <w:r>
        <w:rPr>
          <w:rStyle w:val="FootnoteReference"/>
          <w:color w:val="44546A" w:themeColor="text2"/>
        </w:rPr>
        <w:footnoteReference w:id="100"/>
      </w:r>
      <w:r>
        <w:rPr>
          <w:color w:val="44546A" w:themeColor="text2"/>
        </w:rPr>
        <w:t xml:space="preserve"> The references to the rights and interests of data subjects and importance of consultation also relates the obligations owed by data controllers in ensuring that risks to the processing of personal data are mitigated and that fair processing principles are complied with.</w:t>
      </w:r>
      <w:r>
        <w:rPr>
          <w:rStyle w:val="FootnoteReference"/>
          <w:color w:val="44546A" w:themeColor="text2"/>
        </w:rPr>
        <w:footnoteReference w:id="101"/>
      </w:r>
      <w:r>
        <w:rPr>
          <w:color w:val="44546A" w:themeColor="text2"/>
        </w:rPr>
        <w:t xml:space="preserve"> Admittedly, Article 35 is not free of arguments arising from the discretion being devolved to data controllers and reconciling data controllers interests and data subjects reasonable expectations, and interpretation difficulties, will be an ongoing governance challenge.</w:t>
      </w:r>
      <w:r>
        <w:rPr>
          <w:rStyle w:val="FootnoteReference"/>
          <w:color w:val="44546A" w:themeColor="text2"/>
        </w:rPr>
        <w:footnoteReference w:id="102"/>
      </w:r>
    </w:p>
    <w:p w14:paraId="7CFA72A7" w14:textId="77777777" w:rsidR="000D048C" w:rsidRDefault="000D048C" w:rsidP="000D048C">
      <w:pPr>
        <w:spacing w:line="360" w:lineRule="auto"/>
        <w:jc w:val="both"/>
        <w:rPr>
          <w:color w:val="44546A" w:themeColor="text2"/>
        </w:rPr>
      </w:pPr>
    </w:p>
    <w:p w14:paraId="2F0D6170" w14:textId="77777777" w:rsidR="000D048C" w:rsidRDefault="000D048C" w:rsidP="000D048C">
      <w:pPr>
        <w:spacing w:line="360" w:lineRule="auto"/>
        <w:jc w:val="both"/>
        <w:rPr>
          <w:color w:val="44546A" w:themeColor="text2"/>
        </w:rPr>
      </w:pPr>
      <w:r>
        <w:rPr>
          <w:color w:val="44546A" w:themeColor="text2"/>
        </w:rPr>
        <w:t xml:space="preserve">Another </w:t>
      </w:r>
      <w:proofErr w:type="spellStart"/>
      <w:r w:rsidRPr="00CF214F">
        <w:rPr>
          <w:i/>
          <w:iCs/>
          <w:color w:val="44546A" w:themeColor="text2"/>
        </w:rPr>
        <w:t>ex ante</w:t>
      </w:r>
      <w:proofErr w:type="spellEnd"/>
      <w:r>
        <w:rPr>
          <w:color w:val="44546A" w:themeColor="text2"/>
        </w:rPr>
        <w:t xml:space="preserve"> feature of the risk-based governance framework can be seen in the role of the law in mandating the use of organizational and engineering solutions.</w:t>
      </w:r>
      <w:r>
        <w:rPr>
          <w:rStyle w:val="FootnoteReference"/>
          <w:color w:val="44546A" w:themeColor="text2"/>
        </w:rPr>
        <w:footnoteReference w:id="103"/>
      </w:r>
      <w:r>
        <w:rPr>
          <w:color w:val="44546A" w:themeColor="text2"/>
        </w:rPr>
        <w:t xml:space="preserve"> Even though the data protection by design and by default principle has been well-discussed area, it is striking to note that the analysis often revolve around the privacy risks faced by data subjects in an environment of ubiquitous computing and AI processes.</w:t>
      </w:r>
      <w:r>
        <w:rPr>
          <w:rStyle w:val="FootnoteReference"/>
          <w:color w:val="44546A" w:themeColor="text2"/>
        </w:rPr>
        <w:footnoteReference w:id="104"/>
      </w:r>
      <w:r>
        <w:rPr>
          <w:color w:val="44546A" w:themeColor="text2"/>
        </w:rPr>
        <w:t xml:space="preserve"> Article 25 requires data controllers:</w:t>
      </w:r>
    </w:p>
    <w:p w14:paraId="2F5FC767" w14:textId="77777777" w:rsidR="000D048C" w:rsidRDefault="000D048C" w:rsidP="000D048C">
      <w:pPr>
        <w:spacing w:line="360" w:lineRule="auto"/>
        <w:jc w:val="both"/>
        <w:rPr>
          <w:color w:val="44546A" w:themeColor="text2"/>
        </w:rPr>
      </w:pPr>
      <w:r>
        <w:rPr>
          <w:color w:val="44546A" w:themeColor="text2"/>
        </w:rPr>
        <w:t>“</w:t>
      </w:r>
      <w:r w:rsidRPr="005E3BF3">
        <w:rPr>
          <w:color w:val="44546A" w:themeColor="text2"/>
        </w:rPr>
        <w:t>implement appropriate technical and organisational measures, such as pseudonymisation, which are designed to implement data-protection principles, such as data minimisation, in an effective manner and to integrate the necessary safeguards into the processing in order to meet the requirements of this Regulation and protect the rights of data subjects.</w:t>
      </w:r>
      <w:r>
        <w:rPr>
          <w:color w:val="44546A" w:themeColor="text2"/>
        </w:rPr>
        <w:t>”</w:t>
      </w:r>
    </w:p>
    <w:p w14:paraId="0871795D" w14:textId="77777777" w:rsidR="000D048C" w:rsidRDefault="000D048C" w:rsidP="000D048C">
      <w:pPr>
        <w:spacing w:line="360" w:lineRule="auto"/>
        <w:jc w:val="both"/>
        <w:rPr>
          <w:color w:val="44546A" w:themeColor="text2"/>
        </w:rPr>
      </w:pPr>
    </w:p>
    <w:p w14:paraId="04498815" w14:textId="77777777" w:rsidR="000D048C" w:rsidRDefault="000D048C" w:rsidP="000D048C">
      <w:pPr>
        <w:spacing w:line="360" w:lineRule="auto"/>
        <w:jc w:val="both"/>
        <w:rPr>
          <w:color w:val="44546A" w:themeColor="text2"/>
        </w:rPr>
      </w:pPr>
      <w:r>
        <w:rPr>
          <w:color w:val="44546A" w:themeColor="text2"/>
        </w:rPr>
        <w:t xml:space="preserve">The strategy of allocating data controllers with the responsibility of considering the level and type of processing activity that complies with fair processing and accountability principles mirrors approach taken in Article 35.  From a regulatory perspective, Article 25 can be seen an </w:t>
      </w:r>
      <w:r w:rsidRPr="00C7748A">
        <w:rPr>
          <w:i/>
          <w:iCs/>
          <w:color w:val="44546A" w:themeColor="text2"/>
        </w:rPr>
        <w:t>ex ante</w:t>
      </w:r>
      <w:r>
        <w:rPr>
          <w:color w:val="44546A" w:themeColor="text2"/>
        </w:rPr>
        <w:t xml:space="preserve"> governance mechanism requiring data controllers to view compliance as an ongoing process.</w:t>
      </w:r>
      <w:r w:rsidRPr="00740BC9">
        <w:rPr>
          <w:rStyle w:val="FootnoteReference"/>
          <w:color w:val="44546A" w:themeColor="text2"/>
        </w:rPr>
        <w:t xml:space="preserve"> </w:t>
      </w:r>
      <w:r>
        <w:rPr>
          <w:rStyle w:val="FootnoteReference"/>
          <w:color w:val="44546A" w:themeColor="text2"/>
        </w:rPr>
        <w:footnoteReference w:id="105"/>
      </w:r>
      <w:r>
        <w:rPr>
          <w:color w:val="44546A" w:themeColor="text2"/>
        </w:rPr>
        <w:t xml:space="preserve"> Given that sensitive personal data can be easily captured, distributed and manipulated in ways without consent being obtained or its subsequent use can result in unintended consequences, data controllers are expected to be proactive in the design of systems in a way that demonstrates adherence to standards of fairness, security and transparency. A recurring privacy concern relates to the exchange and processing of information from multiple databases involving a number of actors, and multiple purposes. Article 25 requires the data controller to articulate the rationale of the processing activity and compatibility of the operation with the reasonable expectations of data subjects.</w:t>
      </w:r>
    </w:p>
    <w:p w14:paraId="13F62FF3" w14:textId="77777777" w:rsidR="000D048C" w:rsidRDefault="000D048C" w:rsidP="000D048C">
      <w:pPr>
        <w:spacing w:line="360" w:lineRule="auto"/>
        <w:jc w:val="both"/>
        <w:rPr>
          <w:color w:val="44546A" w:themeColor="text2"/>
        </w:rPr>
      </w:pPr>
    </w:p>
    <w:p w14:paraId="669A3818" w14:textId="77777777" w:rsidR="000D048C" w:rsidRDefault="000D048C" w:rsidP="000D048C">
      <w:pPr>
        <w:spacing w:line="360" w:lineRule="auto"/>
        <w:jc w:val="both"/>
        <w:rPr>
          <w:color w:val="44546A" w:themeColor="text2"/>
        </w:rPr>
      </w:pPr>
      <w:r>
        <w:rPr>
          <w:color w:val="44546A" w:themeColor="text2"/>
        </w:rPr>
        <w:t xml:space="preserve">Both provisions underline the responsive nature of the risk governance model for anticipating, designing and mobilising clinicians, organizations and providers of AI health based </w:t>
      </w:r>
      <w:r>
        <w:rPr>
          <w:color w:val="44546A" w:themeColor="text2"/>
        </w:rPr>
        <w:lastRenderedPageBreak/>
        <w:t>solutions.</w:t>
      </w:r>
      <w:r>
        <w:rPr>
          <w:rStyle w:val="FootnoteReference"/>
          <w:color w:val="44546A" w:themeColor="text2"/>
        </w:rPr>
        <w:footnoteReference w:id="106"/>
      </w:r>
      <w:r>
        <w:rPr>
          <w:color w:val="44546A" w:themeColor="text2"/>
        </w:rPr>
        <w:t xml:space="preserve"> Data protection law provides a framework through which human operators are allocated with responsibility for designing of digital health infrastructures and tools through which data is classified, selected and ordered </w:t>
      </w:r>
      <w:r w:rsidRPr="0094617D">
        <w:rPr>
          <w:color w:val="44546A" w:themeColor="text2"/>
        </w:rPr>
        <w:t>.</w:t>
      </w:r>
      <w:r>
        <w:rPr>
          <w:rStyle w:val="FootnoteReference"/>
          <w:color w:val="44546A" w:themeColor="text2"/>
        </w:rPr>
        <w:footnoteReference w:id="107"/>
      </w:r>
      <w:r w:rsidRPr="0094617D">
        <w:rPr>
          <w:color w:val="44546A" w:themeColor="text2"/>
        </w:rPr>
        <w:t xml:space="preserve"> </w:t>
      </w:r>
      <w:r>
        <w:rPr>
          <w:color w:val="44546A" w:themeColor="text2"/>
        </w:rPr>
        <w:t>It also requires processing decisions and choices made in the type of data being collected to be evaluated against the background of its rules on fairness, transparency and safeguards need in the context of sensitive personal data</w:t>
      </w:r>
      <w:r w:rsidRPr="0094617D">
        <w:rPr>
          <w:color w:val="44546A" w:themeColor="text2"/>
        </w:rPr>
        <w:t>.</w:t>
      </w:r>
      <w:r>
        <w:rPr>
          <w:rStyle w:val="FootnoteReference"/>
          <w:color w:val="44546A" w:themeColor="text2"/>
        </w:rPr>
        <w:footnoteReference w:id="108"/>
      </w:r>
      <w:r w:rsidRPr="0094617D">
        <w:rPr>
          <w:color w:val="44546A" w:themeColor="text2"/>
        </w:rPr>
        <w:t xml:space="preserve"> </w:t>
      </w:r>
      <w:r>
        <w:rPr>
          <w:color w:val="44546A" w:themeColor="text2"/>
        </w:rPr>
        <w:t>Finally, that where decisions and risk scores are automated, the responsibility for managing risks to data subjects fundamental rights is vested with data controllers to ensure that robust data protection by default governance processes are in place</w:t>
      </w:r>
      <w:r w:rsidRPr="0094617D">
        <w:rPr>
          <w:color w:val="44546A" w:themeColor="text2"/>
        </w:rPr>
        <w:t>.</w:t>
      </w:r>
      <w:r>
        <w:rPr>
          <w:rStyle w:val="FootnoteReference"/>
          <w:color w:val="44546A" w:themeColor="text2"/>
        </w:rPr>
        <w:footnoteReference w:id="109"/>
      </w:r>
      <w:r w:rsidRPr="0094617D">
        <w:rPr>
          <w:color w:val="44546A" w:themeColor="text2"/>
        </w:rPr>
        <w:t xml:space="preserve"> </w:t>
      </w:r>
    </w:p>
    <w:p w14:paraId="4566E11C" w14:textId="77777777" w:rsidR="000D048C" w:rsidRDefault="000D048C" w:rsidP="000D048C">
      <w:pPr>
        <w:spacing w:line="360" w:lineRule="auto"/>
        <w:jc w:val="both"/>
        <w:rPr>
          <w:color w:val="44546A" w:themeColor="text2"/>
        </w:rPr>
      </w:pPr>
    </w:p>
    <w:p w14:paraId="16D6DAB2" w14:textId="77777777" w:rsidR="000D048C" w:rsidRPr="00711CD2" w:rsidRDefault="000D048C" w:rsidP="000D048C">
      <w:pPr>
        <w:spacing w:line="360" w:lineRule="auto"/>
        <w:jc w:val="both"/>
        <w:rPr>
          <w:color w:val="44546A" w:themeColor="text2"/>
        </w:rPr>
      </w:pPr>
    </w:p>
    <w:p w14:paraId="4B90AB3E" w14:textId="77777777" w:rsidR="000D048C" w:rsidRPr="00711CD2" w:rsidRDefault="000D048C" w:rsidP="000D048C">
      <w:pPr>
        <w:spacing w:line="360" w:lineRule="auto"/>
        <w:jc w:val="both"/>
        <w:rPr>
          <w:b/>
          <w:bCs/>
          <w:color w:val="44546A" w:themeColor="text2"/>
        </w:rPr>
      </w:pPr>
      <w:r w:rsidRPr="00711CD2">
        <w:rPr>
          <w:b/>
          <w:bCs/>
          <w:color w:val="44546A" w:themeColor="text2"/>
        </w:rPr>
        <w:t xml:space="preserve">IV. Code of </w:t>
      </w:r>
      <w:r>
        <w:rPr>
          <w:b/>
          <w:bCs/>
          <w:color w:val="44546A" w:themeColor="text2"/>
        </w:rPr>
        <w:t>Con</w:t>
      </w:r>
      <w:r w:rsidRPr="00711CD2">
        <w:rPr>
          <w:b/>
          <w:bCs/>
          <w:color w:val="44546A" w:themeColor="text2"/>
        </w:rPr>
        <w:t>duct</w:t>
      </w:r>
      <w:r>
        <w:rPr>
          <w:b/>
          <w:bCs/>
          <w:color w:val="44546A" w:themeColor="text2"/>
        </w:rPr>
        <w:t>: Principles and Commentary</w:t>
      </w:r>
      <w:r w:rsidRPr="00711CD2">
        <w:rPr>
          <w:b/>
          <w:bCs/>
          <w:color w:val="44546A" w:themeColor="text2"/>
        </w:rPr>
        <w:t>.</w:t>
      </w:r>
    </w:p>
    <w:p w14:paraId="0806356E" w14:textId="77777777" w:rsidR="000D048C" w:rsidRDefault="000D048C" w:rsidP="000D048C">
      <w:pPr>
        <w:spacing w:line="360" w:lineRule="auto"/>
        <w:rPr>
          <w:color w:val="44546A" w:themeColor="text2"/>
        </w:rPr>
      </w:pPr>
    </w:p>
    <w:p w14:paraId="713C7082" w14:textId="77777777" w:rsidR="000D048C" w:rsidRPr="00711CD2" w:rsidRDefault="000D048C" w:rsidP="000D048C">
      <w:pPr>
        <w:spacing w:line="360" w:lineRule="auto"/>
        <w:rPr>
          <w:color w:val="44546A" w:themeColor="text2"/>
        </w:rPr>
      </w:pPr>
      <w:r w:rsidRPr="00711CD2">
        <w:rPr>
          <w:color w:val="44546A" w:themeColor="text2"/>
        </w:rPr>
        <w:t>The Code of Conduct operates</w:t>
      </w:r>
      <w:r>
        <w:rPr>
          <w:color w:val="44546A" w:themeColor="text2"/>
        </w:rPr>
        <w:t xml:space="preserve"> within an institutional framework governed by the </w:t>
      </w:r>
      <w:r w:rsidRPr="00711CD2">
        <w:rPr>
          <w:color w:val="44546A" w:themeColor="text2"/>
        </w:rPr>
        <w:t>NHS constitution:</w:t>
      </w:r>
      <w:r w:rsidRPr="00711CD2">
        <w:rPr>
          <w:rStyle w:val="FootnoteReference"/>
          <w:color w:val="44546A" w:themeColor="text2"/>
        </w:rPr>
        <w:footnoteReference w:id="110"/>
      </w:r>
      <w:r w:rsidRPr="00711CD2">
        <w:rPr>
          <w:color w:val="44546A" w:themeColor="text2"/>
        </w:rPr>
        <w:t xml:space="preserve"> </w:t>
      </w:r>
    </w:p>
    <w:p w14:paraId="36B52A3B" w14:textId="77777777" w:rsidR="000D048C" w:rsidRDefault="000D048C" w:rsidP="000D048C">
      <w:pPr>
        <w:spacing w:line="360" w:lineRule="auto"/>
        <w:rPr>
          <w:color w:val="44546A" w:themeColor="text2"/>
        </w:rPr>
      </w:pPr>
      <w:r w:rsidRPr="00711CD2">
        <w:rPr>
          <w:color w:val="44546A" w:themeColor="text2"/>
        </w:rPr>
        <w:t>“The ultimate ambition is that the code is complementary to the health research, medical device regulations and the CE mark process as well as other regulatory approvals. When used as part of an overarching strategy it will help to create a trusted environment that supports innovation of data-driven technologies while being: (</w:t>
      </w:r>
      <w:proofErr w:type="spellStart"/>
      <w:r w:rsidRPr="00711CD2">
        <w:rPr>
          <w:color w:val="44546A" w:themeColor="text2"/>
        </w:rPr>
        <w:t>i</w:t>
      </w:r>
      <w:proofErr w:type="spellEnd"/>
      <w:r w:rsidRPr="00711CD2">
        <w:rPr>
          <w:color w:val="44546A" w:themeColor="text2"/>
        </w:rPr>
        <w:t>) the safest in the world, (ii) appropriately responsive to progress in innovation, (iii) ethical, legal, transparent and accountable, (iv) evidence-based, (v) competitive and collaborative, (v) in alignment with the NHS Constitution”</w:t>
      </w:r>
    </w:p>
    <w:p w14:paraId="5F21EEC6" w14:textId="6FD17567" w:rsidR="000D048C" w:rsidRDefault="000D048C" w:rsidP="000D048C">
      <w:pPr>
        <w:spacing w:line="360" w:lineRule="auto"/>
        <w:rPr>
          <w:color w:val="44546A" w:themeColor="text2"/>
        </w:rPr>
      </w:pPr>
    </w:p>
    <w:p w14:paraId="33D21DDD" w14:textId="3B1EF0C2" w:rsidR="000D048C" w:rsidRDefault="00534673" w:rsidP="00D52474">
      <w:pPr>
        <w:spacing w:line="360" w:lineRule="auto"/>
        <w:rPr>
          <w:color w:val="44546A" w:themeColor="text2"/>
        </w:rPr>
      </w:pPr>
      <w:r>
        <w:rPr>
          <w:color w:val="44546A" w:themeColor="text2"/>
        </w:rPr>
        <w:t xml:space="preserve">The drafting and ultimate release of the Code of Conduct was not the result of a public consultation exercise but seems to have evolved organically building on best practices and interactions with key stakeholders within the context of healthcare.  </w:t>
      </w:r>
      <w:r w:rsidR="00D52474">
        <w:rPr>
          <w:color w:val="44546A" w:themeColor="text2"/>
        </w:rPr>
        <w:t xml:space="preserve">The Code of Conduct can be seen as being consistent with the strategic and public health ambitions set out in the extract above as well as realising the political goals of the UK government. </w:t>
      </w:r>
      <w:r w:rsidR="000D048C">
        <w:rPr>
          <w:color w:val="44546A" w:themeColor="text2"/>
        </w:rPr>
        <w:t xml:space="preserve">The </w:t>
      </w:r>
      <w:r w:rsidR="000D048C" w:rsidRPr="00711CD2">
        <w:rPr>
          <w:color w:val="44546A" w:themeColor="text2"/>
        </w:rPr>
        <w:t xml:space="preserve">Personalised </w:t>
      </w:r>
      <w:r w:rsidR="000D048C" w:rsidRPr="00711CD2">
        <w:rPr>
          <w:color w:val="44546A" w:themeColor="text2"/>
        </w:rPr>
        <w:lastRenderedPageBreak/>
        <w:t>Health and Care 2020</w:t>
      </w:r>
      <w:r w:rsidR="000D048C">
        <w:rPr>
          <w:color w:val="44546A" w:themeColor="text2"/>
        </w:rPr>
        <w:t xml:space="preserve">, it will be recalled, reinforces the commitment to revolutionise healthcare as set out in the </w:t>
      </w:r>
      <w:r w:rsidR="000D048C" w:rsidRPr="0073770D">
        <w:rPr>
          <w:color w:val="44546A" w:themeColor="text2"/>
        </w:rPr>
        <w:t xml:space="preserve">NHS England’s </w:t>
      </w:r>
      <w:proofErr w:type="gramStart"/>
      <w:r w:rsidR="000D048C" w:rsidRPr="0073770D">
        <w:rPr>
          <w:i/>
          <w:iCs/>
          <w:color w:val="44546A" w:themeColor="text2"/>
        </w:rPr>
        <w:t>Five Year</w:t>
      </w:r>
      <w:proofErr w:type="gramEnd"/>
      <w:r w:rsidR="000D048C" w:rsidRPr="0073770D">
        <w:rPr>
          <w:i/>
          <w:iCs/>
          <w:color w:val="44546A" w:themeColor="text2"/>
        </w:rPr>
        <w:t xml:space="preserve"> Forward View</w:t>
      </w:r>
      <w:r w:rsidR="000D048C">
        <w:rPr>
          <w:color w:val="44546A" w:themeColor="text2"/>
        </w:rPr>
        <w:t>.</w:t>
      </w:r>
      <w:r w:rsidR="000D048C" w:rsidRPr="00540288">
        <w:rPr>
          <w:rStyle w:val="FootnoteReference"/>
          <w:color w:val="44546A" w:themeColor="text2"/>
        </w:rPr>
        <w:t xml:space="preserve"> </w:t>
      </w:r>
      <w:r w:rsidR="000D048C">
        <w:rPr>
          <w:rStyle w:val="FootnoteReference"/>
          <w:color w:val="44546A" w:themeColor="text2"/>
        </w:rPr>
        <w:footnoteReference w:id="111"/>
      </w:r>
      <w:r w:rsidR="000D048C" w:rsidRPr="00711CD2">
        <w:rPr>
          <w:color w:val="44546A" w:themeColor="text2"/>
        </w:rPr>
        <w:t xml:space="preserve"> </w:t>
      </w:r>
      <w:r w:rsidR="000D048C">
        <w:rPr>
          <w:color w:val="44546A" w:themeColor="text2"/>
        </w:rPr>
        <w:t xml:space="preserve"> </w:t>
      </w:r>
      <w:r w:rsidR="000D048C" w:rsidRPr="00711CD2">
        <w:rPr>
          <w:color w:val="44546A" w:themeColor="text2"/>
        </w:rPr>
        <w:t>The</w:t>
      </w:r>
      <w:r w:rsidR="00663DFB">
        <w:rPr>
          <w:color w:val="44546A" w:themeColor="text2"/>
        </w:rPr>
        <w:t xml:space="preserve"> Code of Conduct produced by the Department of Health and Social mirrors this commitment</w:t>
      </w:r>
      <w:r w:rsidR="00D9405A">
        <w:rPr>
          <w:color w:val="44546A" w:themeColor="text2"/>
        </w:rPr>
        <w:t xml:space="preserve">. The principles is specifies the type of practices and conduct to be engaged in by </w:t>
      </w:r>
      <w:r w:rsidR="000D048C">
        <w:rPr>
          <w:color w:val="44546A" w:themeColor="text2"/>
        </w:rPr>
        <w:t xml:space="preserve">NHS healthcare professionals and services providers from the public and commercial sector </w:t>
      </w:r>
      <w:r w:rsidR="00D9405A">
        <w:rPr>
          <w:color w:val="44546A" w:themeColor="text2"/>
        </w:rPr>
        <w:t>when using</w:t>
      </w:r>
      <w:r w:rsidR="000D048C">
        <w:rPr>
          <w:color w:val="44546A" w:themeColor="text2"/>
        </w:rPr>
        <w:t xml:space="preserve"> AI syst</w:t>
      </w:r>
      <w:r w:rsidR="00D9405A">
        <w:rPr>
          <w:color w:val="44546A" w:themeColor="text2"/>
        </w:rPr>
        <w:t>ems and data driven innovations</w:t>
      </w:r>
      <w:r w:rsidR="000D048C">
        <w:rPr>
          <w:color w:val="44546A" w:themeColor="text2"/>
        </w:rPr>
        <w:t>.</w:t>
      </w:r>
      <w:r w:rsidR="000D048C" w:rsidRPr="00711CD2">
        <w:rPr>
          <w:rStyle w:val="FootnoteReference"/>
          <w:color w:val="44546A" w:themeColor="text2"/>
        </w:rPr>
        <w:footnoteReference w:id="112"/>
      </w:r>
      <w:r w:rsidR="000D048C" w:rsidRPr="00711CD2">
        <w:rPr>
          <w:color w:val="44546A" w:themeColor="text2"/>
        </w:rPr>
        <w:t xml:space="preserve"> </w:t>
      </w:r>
      <w:r w:rsidR="000D048C">
        <w:rPr>
          <w:color w:val="44546A" w:themeColor="text2"/>
        </w:rPr>
        <w:t>The</w:t>
      </w:r>
      <w:r w:rsidR="00D9405A">
        <w:rPr>
          <w:color w:val="44546A" w:themeColor="text2"/>
        </w:rPr>
        <w:t xml:space="preserve"> range of governance issues that AI enhanced devices generate in health care has also seen a widening of the regulatory discourse. The </w:t>
      </w:r>
      <w:r w:rsidR="000D048C">
        <w:rPr>
          <w:color w:val="44546A" w:themeColor="text2"/>
        </w:rPr>
        <w:t xml:space="preserve"> ‘state of the nation’ report</w:t>
      </w:r>
      <w:r w:rsidR="00D9405A">
        <w:rPr>
          <w:color w:val="44546A" w:themeColor="text2"/>
        </w:rPr>
        <w:t xml:space="preserve"> can be seen as part of the dialogue to create a normative and contextual basis for information governance and problem solving through the provision of </w:t>
      </w:r>
      <w:r w:rsidR="000D048C">
        <w:rPr>
          <w:color w:val="44546A" w:themeColor="text2"/>
        </w:rPr>
        <w:t>a “</w:t>
      </w:r>
      <w:r w:rsidR="000D048C" w:rsidRPr="003326A7">
        <w:rPr>
          <w:color w:val="44546A" w:themeColor="text2"/>
        </w:rPr>
        <w:t>national set of ‘rules of engagement’ for any NHS organisation entering into a partnership with an AI developer.</w:t>
      </w:r>
      <w:r w:rsidR="000D048C">
        <w:rPr>
          <w:color w:val="44546A" w:themeColor="text2"/>
        </w:rPr>
        <w:t>”</w:t>
      </w:r>
      <w:r w:rsidR="000D048C">
        <w:rPr>
          <w:rStyle w:val="FootnoteReference"/>
          <w:color w:val="44546A" w:themeColor="text2"/>
        </w:rPr>
        <w:footnoteReference w:id="113"/>
      </w:r>
      <w:r w:rsidR="000D048C">
        <w:rPr>
          <w:color w:val="44546A" w:themeColor="text2"/>
        </w:rPr>
        <w:t xml:space="preserve"> </w:t>
      </w:r>
    </w:p>
    <w:p w14:paraId="1ED06B66" w14:textId="77777777" w:rsidR="000D048C" w:rsidRDefault="000D048C" w:rsidP="000D048C">
      <w:pPr>
        <w:spacing w:line="360" w:lineRule="auto"/>
        <w:jc w:val="both"/>
        <w:rPr>
          <w:color w:val="44546A" w:themeColor="text2"/>
        </w:rPr>
      </w:pPr>
    </w:p>
    <w:p w14:paraId="3CB4DFCD" w14:textId="30C3E741" w:rsidR="000D048C" w:rsidRDefault="00D9405A" w:rsidP="000D048C">
      <w:pPr>
        <w:spacing w:line="360" w:lineRule="auto"/>
        <w:jc w:val="both"/>
        <w:rPr>
          <w:color w:val="44546A" w:themeColor="text2"/>
        </w:rPr>
      </w:pPr>
      <w:r>
        <w:rPr>
          <w:color w:val="44546A" w:themeColor="text2"/>
        </w:rPr>
        <w:t xml:space="preserve">Some general observations can be provided </w:t>
      </w:r>
      <w:r w:rsidR="00861031">
        <w:rPr>
          <w:color w:val="44546A" w:themeColor="text2"/>
        </w:rPr>
        <w:t>with regard to the 10 foundational principles in t</w:t>
      </w:r>
      <w:r w:rsidR="000D048C">
        <w:rPr>
          <w:color w:val="44546A" w:themeColor="text2"/>
        </w:rPr>
        <w:t xml:space="preserve">he Code of Conduct: </w:t>
      </w:r>
    </w:p>
    <w:p w14:paraId="01FA9AB6" w14:textId="77777777" w:rsidR="000D048C" w:rsidRPr="00711CD2" w:rsidRDefault="000D048C" w:rsidP="000D048C">
      <w:pPr>
        <w:spacing w:before="100" w:beforeAutospacing="1" w:after="100" w:afterAutospacing="1" w:line="360" w:lineRule="auto"/>
        <w:outlineLvl w:val="1"/>
        <w:rPr>
          <w:b/>
          <w:bCs/>
          <w:color w:val="44546A" w:themeColor="text2"/>
        </w:rPr>
      </w:pPr>
      <w:r w:rsidRPr="00711CD2">
        <w:rPr>
          <w:b/>
          <w:bCs/>
          <w:color w:val="44546A" w:themeColor="text2"/>
        </w:rPr>
        <w:t>Principle 1: Understand users, their needs and the context</w:t>
      </w:r>
    </w:p>
    <w:p w14:paraId="060DE66D" w14:textId="77777777" w:rsidR="000D048C" w:rsidRDefault="000D048C" w:rsidP="000D048C">
      <w:pPr>
        <w:spacing w:before="100" w:beforeAutospacing="1" w:after="100" w:afterAutospacing="1" w:line="360" w:lineRule="auto"/>
      </w:pPr>
      <w:r>
        <w:rPr>
          <w:color w:val="44546A" w:themeColor="text2"/>
        </w:rPr>
        <w:t xml:space="preserve">Since the integration of data driven innovation into the health and care environment marks an important paradigm, this principle describes the importance of situational awareness, engaging end users and managing expectations in order to promote trust in the use of AI processes and innovative health solutions.  </w:t>
      </w:r>
    </w:p>
    <w:p w14:paraId="5E4DA0D1" w14:textId="77777777" w:rsidR="000D048C" w:rsidRPr="00711CD2" w:rsidRDefault="000D048C" w:rsidP="000D048C">
      <w:pPr>
        <w:spacing w:before="100" w:beforeAutospacing="1" w:after="100" w:afterAutospacing="1" w:line="360" w:lineRule="auto"/>
        <w:outlineLvl w:val="1"/>
        <w:rPr>
          <w:b/>
          <w:bCs/>
          <w:color w:val="44546A" w:themeColor="text2"/>
        </w:rPr>
      </w:pPr>
      <w:r w:rsidRPr="00711CD2">
        <w:rPr>
          <w:b/>
          <w:bCs/>
          <w:color w:val="44546A" w:themeColor="text2"/>
        </w:rPr>
        <w:t>Principle 2: Define the outcome and how the technology will contribute to it</w:t>
      </w:r>
    </w:p>
    <w:p w14:paraId="631F4BC1" w14:textId="77777777" w:rsidR="000D048C" w:rsidRPr="00711CD2" w:rsidRDefault="000D048C" w:rsidP="000D048C">
      <w:pPr>
        <w:spacing w:before="100" w:beforeAutospacing="1" w:after="100" w:afterAutospacing="1" w:line="360" w:lineRule="auto"/>
        <w:rPr>
          <w:color w:val="44546A" w:themeColor="text2"/>
        </w:rPr>
      </w:pPr>
      <w:r>
        <w:rPr>
          <w:color w:val="44546A" w:themeColor="text2"/>
        </w:rPr>
        <w:t xml:space="preserve">Confidence in the adoption and uptake of AI based health solutions and devices are unlikely to enhanced if the benefits to be derived cannot be demonstrated. The benefits in terms of enhanced care and health outcomes can include early detection of diseases, identifying positive health outcomes and improvements to patient experience. </w:t>
      </w:r>
    </w:p>
    <w:p w14:paraId="42AA13DD" w14:textId="77777777" w:rsidR="000D048C" w:rsidRPr="00711CD2" w:rsidRDefault="000D048C" w:rsidP="000D048C">
      <w:pPr>
        <w:spacing w:before="100" w:beforeAutospacing="1" w:after="100" w:afterAutospacing="1" w:line="360" w:lineRule="auto"/>
        <w:outlineLvl w:val="1"/>
        <w:rPr>
          <w:b/>
          <w:bCs/>
          <w:color w:val="44546A" w:themeColor="text2"/>
        </w:rPr>
      </w:pPr>
      <w:r w:rsidRPr="00711CD2">
        <w:rPr>
          <w:b/>
          <w:bCs/>
          <w:color w:val="44546A" w:themeColor="text2"/>
        </w:rPr>
        <w:lastRenderedPageBreak/>
        <w:t>Principle 3: Use data that is in line with appropriate guidelines for the purpose for which it is being used</w:t>
      </w:r>
    </w:p>
    <w:p w14:paraId="11C8DC94" w14:textId="77777777" w:rsidR="000D048C" w:rsidRDefault="000D048C" w:rsidP="000D048C">
      <w:pPr>
        <w:spacing w:before="100" w:beforeAutospacing="1" w:after="100" w:afterAutospacing="1" w:line="360" w:lineRule="auto"/>
        <w:rPr>
          <w:color w:val="44546A" w:themeColor="text2"/>
        </w:rPr>
      </w:pPr>
      <w:r>
        <w:rPr>
          <w:color w:val="44546A" w:themeColor="text2"/>
        </w:rPr>
        <w:t>Where data is used in clinical settings, there should be processes in place that document compliance with data protection regulations or sector specific standards such as the Data Ethics Framework.</w:t>
      </w:r>
      <w:r>
        <w:rPr>
          <w:rStyle w:val="FootnoteReference"/>
          <w:color w:val="44546A" w:themeColor="text2"/>
        </w:rPr>
        <w:footnoteReference w:id="114"/>
      </w:r>
      <w:r>
        <w:rPr>
          <w:color w:val="44546A" w:themeColor="text2"/>
        </w:rPr>
        <w:t xml:space="preserve"> Compliance with these standards should be clearly communicated to the patient so that concerns can be identified at the outset and addressed with regard to the collection and processing of personal sensitive information. For example, when data is collected, steps must be taken to communicate to the patient the lawfulness of the collection, and that it is both proportionate and necessary.  Where data is collected for secondary purposes other than primary care, such as healthcare research or testing digital health solutions, this information should be clearly communicated.</w:t>
      </w:r>
      <w:r>
        <w:rPr>
          <w:rStyle w:val="FootnoteReference"/>
          <w:color w:val="44546A" w:themeColor="text2"/>
        </w:rPr>
        <w:footnoteReference w:id="115"/>
      </w:r>
    </w:p>
    <w:p w14:paraId="61C2E4B1" w14:textId="77777777" w:rsidR="000D048C" w:rsidRPr="00711CD2" w:rsidRDefault="000D048C" w:rsidP="000D048C">
      <w:pPr>
        <w:spacing w:before="100" w:beforeAutospacing="1" w:after="100" w:afterAutospacing="1" w:line="360" w:lineRule="auto"/>
        <w:outlineLvl w:val="1"/>
        <w:rPr>
          <w:b/>
          <w:bCs/>
          <w:color w:val="44546A" w:themeColor="text2"/>
        </w:rPr>
      </w:pPr>
      <w:r w:rsidRPr="00711CD2">
        <w:rPr>
          <w:b/>
          <w:bCs/>
          <w:color w:val="44546A" w:themeColor="text2"/>
        </w:rPr>
        <w:t>Principle 4: Be fair, transparent and accountable about what data is being used</w:t>
      </w:r>
    </w:p>
    <w:p w14:paraId="0CCC4CB8" w14:textId="77777777" w:rsidR="000D048C" w:rsidRDefault="000D048C" w:rsidP="000D048C">
      <w:pPr>
        <w:spacing w:before="100" w:beforeAutospacing="1" w:after="100" w:afterAutospacing="1" w:line="360" w:lineRule="auto"/>
        <w:rPr>
          <w:color w:val="44546A" w:themeColor="text2"/>
        </w:rPr>
      </w:pPr>
      <w:r w:rsidRPr="00711CD2">
        <w:rPr>
          <w:color w:val="44546A" w:themeColor="text2"/>
        </w:rPr>
        <w:t>Th</w:t>
      </w:r>
      <w:r>
        <w:rPr>
          <w:color w:val="44546A" w:themeColor="text2"/>
        </w:rPr>
        <w:t xml:space="preserve">is standard overlaps with existing data protection rules (such as fair processing, data protection impact assessment and data protection by design and by default) and aims to ensure consistency in the standards for collection, processing and use of personal sensitive information. The NHS provides an online self-assessment </w:t>
      </w:r>
      <w:r w:rsidRPr="00874CDE">
        <w:rPr>
          <w:color w:val="44546A" w:themeColor="text2"/>
        </w:rPr>
        <w:t xml:space="preserve">tool that enables </w:t>
      </w:r>
      <w:r>
        <w:rPr>
          <w:color w:val="44546A" w:themeColor="text2"/>
        </w:rPr>
        <w:t>data controllers and organisations to determine if their processing operations comply with data protection rules and the</w:t>
      </w:r>
      <w:r w:rsidRPr="00874CDE">
        <w:rPr>
          <w:color w:val="44546A" w:themeColor="text2"/>
        </w:rPr>
        <w:t xml:space="preserve"> National Data Guardian</w:t>
      </w:r>
      <w:r>
        <w:rPr>
          <w:color w:val="44546A" w:themeColor="text2"/>
        </w:rPr>
        <w:t>’</w:t>
      </w:r>
      <w:r w:rsidRPr="00874CDE">
        <w:rPr>
          <w:color w:val="44546A" w:themeColor="text2"/>
        </w:rPr>
        <w:t>s ten data security standards.</w:t>
      </w:r>
      <w:r>
        <w:rPr>
          <w:rStyle w:val="FootnoteReference"/>
          <w:color w:val="44546A" w:themeColor="text2"/>
        </w:rPr>
        <w:footnoteReference w:id="116"/>
      </w:r>
    </w:p>
    <w:p w14:paraId="14A7F056" w14:textId="77777777" w:rsidR="000D048C" w:rsidRPr="00711CD2" w:rsidRDefault="000D048C" w:rsidP="000D048C">
      <w:pPr>
        <w:spacing w:before="100" w:beforeAutospacing="1" w:after="100" w:afterAutospacing="1" w:line="360" w:lineRule="auto"/>
        <w:outlineLvl w:val="1"/>
        <w:rPr>
          <w:b/>
          <w:bCs/>
          <w:color w:val="44546A" w:themeColor="text2"/>
        </w:rPr>
      </w:pPr>
      <w:r w:rsidRPr="00711CD2">
        <w:rPr>
          <w:b/>
          <w:bCs/>
          <w:color w:val="44546A" w:themeColor="text2"/>
        </w:rPr>
        <w:t>Principle 5: Make use of open standards</w:t>
      </w:r>
    </w:p>
    <w:p w14:paraId="09BBBD48" w14:textId="77777777" w:rsidR="000D048C" w:rsidRPr="00DB1CAA" w:rsidRDefault="000D048C" w:rsidP="000D048C">
      <w:pPr>
        <w:spacing w:before="100" w:beforeAutospacing="1" w:after="100" w:afterAutospacing="1" w:line="360" w:lineRule="auto"/>
        <w:rPr>
          <w:color w:val="44546A" w:themeColor="text2"/>
        </w:rPr>
      </w:pPr>
      <w:r>
        <w:rPr>
          <w:color w:val="44546A" w:themeColor="text2"/>
        </w:rPr>
        <w:t xml:space="preserve">The emphasis on open standards is consistent with the government’s policy to enable suppliers with equal access to government contracts, ensure effective data sharing across NHS systems, facilitate interoperability across AI based systems and maintain information </w:t>
      </w:r>
      <w:r>
        <w:rPr>
          <w:color w:val="44546A" w:themeColor="text2"/>
        </w:rPr>
        <w:lastRenderedPageBreak/>
        <w:t>security, clinical safety and data processing standards throughout the digital health infrastructure.</w:t>
      </w:r>
      <w:r>
        <w:rPr>
          <w:rStyle w:val="FootnoteReference"/>
          <w:color w:val="44546A" w:themeColor="text2"/>
        </w:rPr>
        <w:footnoteReference w:id="117"/>
      </w:r>
    </w:p>
    <w:p w14:paraId="025922D1" w14:textId="77777777" w:rsidR="000D048C" w:rsidRPr="00711CD2" w:rsidRDefault="000D048C" w:rsidP="000D048C">
      <w:pPr>
        <w:spacing w:before="100" w:beforeAutospacing="1" w:after="100" w:afterAutospacing="1" w:line="360" w:lineRule="auto"/>
        <w:outlineLvl w:val="1"/>
        <w:rPr>
          <w:b/>
          <w:bCs/>
          <w:color w:val="44546A" w:themeColor="text2"/>
        </w:rPr>
      </w:pPr>
      <w:r w:rsidRPr="00711CD2">
        <w:rPr>
          <w:b/>
          <w:bCs/>
          <w:color w:val="44546A" w:themeColor="text2"/>
        </w:rPr>
        <w:t>Principle 6: Be transparent about the limitations of the data used</w:t>
      </w:r>
    </w:p>
    <w:p w14:paraId="30994D1F" w14:textId="77777777" w:rsidR="000D048C" w:rsidRPr="00DB1CAA" w:rsidRDefault="000D048C" w:rsidP="000D048C">
      <w:pPr>
        <w:spacing w:before="100" w:beforeAutospacing="1" w:after="100" w:afterAutospacing="1" w:line="360" w:lineRule="auto"/>
        <w:rPr>
          <w:color w:val="44546A" w:themeColor="text2"/>
        </w:rPr>
      </w:pPr>
      <w:r w:rsidRPr="00711CD2">
        <w:rPr>
          <w:color w:val="44546A" w:themeColor="text2"/>
        </w:rPr>
        <w:t>Th</w:t>
      </w:r>
      <w:r>
        <w:rPr>
          <w:color w:val="44546A" w:themeColor="text2"/>
        </w:rPr>
        <w:t xml:space="preserve">is principle is designed to improve the quality and precision of data driven decision making capabilities of AI based health systems. Precision and growing use of </w:t>
      </w:r>
      <w:proofErr w:type="gramStart"/>
      <w:r>
        <w:rPr>
          <w:color w:val="44546A" w:themeColor="text2"/>
        </w:rPr>
        <w:t>large scale</w:t>
      </w:r>
      <w:proofErr w:type="gramEnd"/>
      <w:r>
        <w:rPr>
          <w:color w:val="44546A" w:themeColor="text2"/>
        </w:rPr>
        <w:t xml:space="preserve"> data mining operations will place demands for clinicians and consultants as they seek to use AI processes for decision making and development of risk models. Increased precision and utilization of AI systems for diagnosis, treatment and prediction also require risks associated with opacity of computational decision making to be fully understood, and managed. </w:t>
      </w:r>
    </w:p>
    <w:p w14:paraId="043063A7" w14:textId="77777777" w:rsidR="000D048C" w:rsidRPr="000E7677" w:rsidRDefault="000D048C" w:rsidP="000D048C">
      <w:pPr>
        <w:spacing w:before="100" w:beforeAutospacing="1" w:after="100" w:afterAutospacing="1" w:line="360" w:lineRule="auto"/>
        <w:rPr>
          <w:b/>
          <w:bCs/>
          <w:color w:val="44546A" w:themeColor="text2"/>
        </w:rPr>
      </w:pPr>
      <w:r w:rsidRPr="000E7677">
        <w:rPr>
          <w:b/>
          <w:bCs/>
          <w:color w:val="44546A" w:themeColor="text2"/>
        </w:rPr>
        <w:t>Principle 7: Show what type of algorithm is being developed or deployed, the ethical examination of how the data is used, how its performance will be validated and how it will be integrated into health and care provision</w:t>
      </w:r>
    </w:p>
    <w:p w14:paraId="4F6BA96D" w14:textId="77777777" w:rsidR="000D048C" w:rsidRDefault="000D048C" w:rsidP="000D048C">
      <w:pPr>
        <w:spacing w:before="100" w:beforeAutospacing="1" w:after="100" w:afterAutospacing="1" w:line="360" w:lineRule="auto"/>
        <w:outlineLvl w:val="2"/>
        <w:rPr>
          <w:color w:val="44546A" w:themeColor="text2"/>
        </w:rPr>
      </w:pPr>
      <w:r>
        <w:rPr>
          <w:color w:val="44546A" w:themeColor="text2"/>
        </w:rPr>
        <w:t>See above.</w:t>
      </w:r>
    </w:p>
    <w:p w14:paraId="704F976E" w14:textId="77777777" w:rsidR="000D048C" w:rsidRPr="00DB1CAA" w:rsidRDefault="000D048C" w:rsidP="000D048C">
      <w:pPr>
        <w:spacing w:before="100" w:beforeAutospacing="1" w:after="100" w:afterAutospacing="1" w:line="360" w:lineRule="auto"/>
        <w:outlineLvl w:val="2"/>
        <w:rPr>
          <w:color w:val="44546A" w:themeColor="text2"/>
        </w:rPr>
      </w:pPr>
      <w:r>
        <w:rPr>
          <w:color w:val="44546A" w:themeColor="text2"/>
        </w:rPr>
        <w:t>Increased automation in the delivery of health and care services has an epistemological dimension (see previous discussion)</w:t>
      </w:r>
    </w:p>
    <w:p w14:paraId="38715930" w14:textId="77777777" w:rsidR="000D048C" w:rsidRPr="00711CD2" w:rsidRDefault="000D048C" w:rsidP="000D048C">
      <w:pPr>
        <w:spacing w:before="100" w:beforeAutospacing="1" w:after="100" w:afterAutospacing="1" w:line="360" w:lineRule="auto"/>
        <w:outlineLvl w:val="1"/>
        <w:rPr>
          <w:b/>
          <w:bCs/>
          <w:color w:val="44546A" w:themeColor="text2"/>
        </w:rPr>
      </w:pPr>
      <w:r w:rsidRPr="00711CD2">
        <w:rPr>
          <w:b/>
          <w:bCs/>
          <w:color w:val="44546A" w:themeColor="text2"/>
        </w:rPr>
        <w:t>Principle 8: Generate evidence of effectiveness for the intended use and value for money</w:t>
      </w:r>
    </w:p>
    <w:p w14:paraId="6F775496" w14:textId="77777777" w:rsidR="000D048C" w:rsidRPr="00711CD2" w:rsidRDefault="000D048C" w:rsidP="000D048C">
      <w:pPr>
        <w:spacing w:before="100" w:beforeAutospacing="1" w:after="100" w:afterAutospacing="1" w:line="360" w:lineRule="auto"/>
        <w:rPr>
          <w:color w:val="44546A" w:themeColor="text2"/>
        </w:rPr>
      </w:pPr>
      <w:r>
        <w:rPr>
          <w:color w:val="44546A" w:themeColor="text2"/>
        </w:rPr>
        <w:t xml:space="preserve">This principle serves as a reminder of the </w:t>
      </w:r>
      <w:proofErr w:type="gramStart"/>
      <w:r>
        <w:rPr>
          <w:color w:val="44546A" w:themeColor="text2"/>
        </w:rPr>
        <w:t>ever present</w:t>
      </w:r>
      <w:proofErr w:type="gramEnd"/>
      <w:r>
        <w:rPr>
          <w:color w:val="44546A" w:themeColor="text2"/>
        </w:rPr>
        <w:t xml:space="preserve"> financial pressures and the strategic value of harnessing innovation opportunities.   The National Institute for Health and Care Excellent has recently developed an evidence standards framework for digital health technologies. It is beyond the scope of this chapter to assess this standard setting framework. </w:t>
      </w:r>
    </w:p>
    <w:p w14:paraId="4FF4E9A4" w14:textId="77777777" w:rsidR="000D048C" w:rsidRPr="00711CD2" w:rsidRDefault="000D048C" w:rsidP="000D048C">
      <w:pPr>
        <w:spacing w:before="100" w:beforeAutospacing="1" w:after="100" w:afterAutospacing="1" w:line="360" w:lineRule="auto"/>
        <w:outlineLvl w:val="1"/>
        <w:rPr>
          <w:b/>
          <w:bCs/>
          <w:color w:val="44546A" w:themeColor="text2"/>
        </w:rPr>
      </w:pPr>
      <w:r w:rsidRPr="00711CD2">
        <w:rPr>
          <w:b/>
          <w:bCs/>
          <w:color w:val="44546A" w:themeColor="text2"/>
        </w:rPr>
        <w:t>Principle 9: Make security integral to the design</w:t>
      </w:r>
    </w:p>
    <w:p w14:paraId="01B408D5" w14:textId="77777777" w:rsidR="000D048C" w:rsidRDefault="000D048C" w:rsidP="000D048C">
      <w:pPr>
        <w:spacing w:before="100" w:beforeAutospacing="1" w:after="100" w:afterAutospacing="1" w:line="360" w:lineRule="auto"/>
        <w:rPr>
          <w:color w:val="44546A" w:themeColor="text2"/>
        </w:rPr>
      </w:pPr>
      <w:r>
        <w:rPr>
          <w:color w:val="44546A" w:themeColor="text2"/>
        </w:rPr>
        <w:t>See previous discussion and comments in Principle 5.</w:t>
      </w:r>
    </w:p>
    <w:p w14:paraId="72C37518" w14:textId="77777777" w:rsidR="000D048C" w:rsidRPr="00711CD2" w:rsidRDefault="000D048C" w:rsidP="000D048C">
      <w:pPr>
        <w:spacing w:before="100" w:beforeAutospacing="1" w:after="100" w:afterAutospacing="1" w:line="360" w:lineRule="auto"/>
        <w:outlineLvl w:val="1"/>
        <w:rPr>
          <w:b/>
          <w:bCs/>
          <w:color w:val="44546A" w:themeColor="text2"/>
        </w:rPr>
      </w:pPr>
      <w:r w:rsidRPr="00711CD2">
        <w:rPr>
          <w:b/>
          <w:bCs/>
          <w:color w:val="44546A" w:themeColor="text2"/>
        </w:rPr>
        <w:t>Principle 10: Define the commercial strategy</w:t>
      </w:r>
    </w:p>
    <w:p w14:paraId="4F700FE2" w14:textId="77777777" w:rsidR="000D048C" w:rsidRDefault="000D048C" w:rsidP="000D048C">
      <w:pPr>
        <w:spacing w:line="360" w:lineRule="auto"/>
        <w:jc w:val="both"/>
        <w:rPr>
          <w:color w:val="44546A" w:themeColor="text2"/>
        </w:rPr>
      </w:pPr>
      <w:r>
        <w:rPr>
          <w:color w:val="44546A" w:themeColor="text2"/>
        </w:rPr>
        <w:t>See comment on Principle 8</w:t>
      </w:r>
    </w:p>
    <w:p w14:paraId="191E2CBE" w14:textId="77777777" w:rsidR="000D048C" w:rsidRDefault="000D048C" w:rsidP="000D048C">
      <w:pPr>
        <w:spacing w:line="360" w:lineRule="auto"/>
        <w:jc w:val="both"/>
        <w:rPr>
          <w:color w:val="44546A" w:themeColor="text2"/>
        </w:rPr>
      </w:pPr>
    </w:p>
    <w:p w14:paraId="35A72E1F" w14:textId="77777777" w:rsidR="000D048C" w:rsidRDefault="000D048C" w:rsidP="000D048C">
      <w:pPr>
        <w:spacing w:line="360" w:lineRule="auto"/>
        <w:jc w:val="both"/>
        <w:rPr>
          <w:color w:val="44546A" w:themeColor="text2"/>
        </w:rPr>
      </w:pPr>
    </w:p>
    <w:p w14:paraId="69A11E78" w14:textId="77777777" w:rsidR="000D048C" w:rsidRDefault="000D048C" w:rsidP="000D048C">
      <w:pPr>
        <w:spacing w:line="360" w:lineRule="auto"/>
        <w:jc w:val="both"/>
        <w:rPr>
          <w:color w:val="44546A" w:themeColor="text2"/>
        </w:rPr>
      </w:pPr>
      <w:r>
        <w:rPr>
          <w:color w:val="44546A" w:themeColor="text2"/>
        </w:rPr>
        <w:t>The 10 principles are presented as a framework guiding clinicians and digital health solutions service providers tasked with the responsibility of developing and using them with a framework for problem solving and decision making.</w:t>
      </w:r>
      <w:r>
        <w:rPr>
          <w:rStyle w:val="FootnoteReference"/>
          <w:color w:val="44546A" w:themeColor="text2"/>
        </w:rPr>
        <w:footnoteReference w:id="118"/>
      </w:r>
      <w:r>
        <w:rPr>
          <w:color w:val="44546A" w:themeColor="text2"/>
        </w:rPr>
        <w:t xml:space="preserve"> Given the speed of advances in medicine and technological innovation, the expectation is that the principles will create a process and </w:t>
      </w:r>
      <w:proofErr w:type="spellStart"/>
      <w:r>
        <w:rPr>
          <w:color w:val="44546A" w:themeColor="text2"/>
        </w:rPr>
        <w:t>focum</w:t>
      </w:r>
      <w:proofErr w:type="spellEnd"/>
      <w:r>
        <w:rPr>
          <w:color w:val="44546A" w:themeColor="text2"/>
        </w:rPr>
        <w:t xml:space="preserve"> for participation and deliberation .</w:t>
      </w:r>
      <w:r>
        <w:rPr>
          <w:rStyle w:val="FootnoteReference"/>
          <w:color w:val="44546A" w:themeColor="text2"/>
        </w:rPr>
        <w:footnoteReference w:id="119"/>
      </w:r>
      <w:r>
        <w:rPr>
          <w:color w:val="44546A" w:themeColor="text2"/>
        </w:rPr>
        <w:t xml:space="preserve"> The obligation to focus on the need to </w:t>
      </w:r>
      <w:r w:rsidRPr="0056073F">
        <w:rPr>
          <w:color w:val="44546A" w:themeColor="text2"/>
        </w:rPr>
        <w:t>define “the outcome and how the technology will contribute to it</w:t>
      </w:r>
      <w:r>
        <w:rPr>
          <w:color w:val="44546A" w:themeColor="text2"/>
        </w:rPr>
        <w:t>” does more than entail consultation with a check-list but permits its use but only after an impact assessment is undertaken.</w:t>
      </w:r>
      <w:r>
        <w:rPr>
          <w:rStyle w:val="FootnoteReference"/>
          <w:color w:val="44546A" w:themeColor="text2"/>
        </w:rPr>
        <w:footnoteReference w:id="120"/>
      </w:r>
      <w:r>
        <w:rPr>
          <w:color w:val="44546A" w:themeColor="text2"/>
        </w:rPr>
        <w:t xml:space="preserve"> Principle 3 serves as a reminder clinicians will play an important role in interpreting and implementing data use practices that are relevant and appropriate to the particular context.</w:t>
      </w:r>
      <w:r>
        <w:rPr>
          <w:rStyle w:val="FootnoteReference"/>
          <w:color w:val="44546A" w:themeColor="text2"/>
        </w:rPr>
        <w:footnoteReference w:id="121"/>
      </w:r>
      <w:r>
        <w:rPr>
          <w:color w:val="44546A" w:themeColor="text2"/>
        </w:rPr>
        <w:t xml:space="preserve"> Given the diverse situations and increased use of patient data in the delivery of healthcare, principle 4 proposes the use of data protection by design principles that create an audit trail, complemented by statements that all aspects of data protection law have been considered. The mirroring of data protection standards such as security, data quality, principles of proportionality, necessity and fairness and management of risks through impact assessment and technical processes are reinforced by principles 6, 7 and 9</w:t>
      </w:r>
      <w:r w:rsidRPr="00711CD2">
        <w:rPr>
          <w:color w:val="44546A" w:themeColor="text2"/>
        </w:rPr>
        <w:t>.</w:t>
      </w:r>
      <w:r>
        <w:rPr>
          <w:rStyle w:val="FootnoteReference"/>
          <w:color w:val="44546A" w:themeColor="text2"/>
        </w:rPr>
        <w:footnoteReference w:id="122"/>
      </w:r>
      <w:r>
        <w:rPr>
          <w:color w:val="44546A" w:themeColor="text2"/>
        </w:rPr>
        <w:t xml:space="preserve"> </w:t>
      </w:r>
    </w:p>
    <w:p w14:paraId="651ADF2C" w14:textId="77777777" w:rsidR="000D048C" w:rsidRPr="00711CD2" w:rsidRDefault="000D048C" w:rsidP="000D048C">
      <w:pPr>
        <w:spacing w:line="360" w:lineRule="auto"/>
        <w:jc w:val="both"/>
        <w:rPr>
          <w:color w:val="44546A" w:themeColor="text2"/>
        </w:rPr>
      </w:pPr>
    </w:p>
    <w:p w14:paraId="52F0854F" w14:textId="77777777" w:rsidR="000D048C" w:rsidRPr="00FA2FE5" w:rsidRDefault="000D048C" w:rsidP="000D048C">
      <w:pPr>
        <w:spacing w:line="360" w:lineRule="auto"/>
        <w:rPr>
          <w:b/>
          <w:bCs/>
          <w:color w:val="44546A" w:themeColor="text2"/>
        </w:rPr>
      </w:pPr>
      <w:r>
        <w:rPr>
          <w:b/>
          <w:bCs/>
          <w:color w:val="44546A" w:themeColor="text2"/>
        </w:rPr>
        <w:t xml:space="preserve">V. </w:t>
      </w:r>
      <w:r w:rsidRPr="00FA2FE5">
        <w:rPr>
          <w:b/>
          <w:bCs/>
          <w:color w:val="44546A" w:themeColor="text2"/>
        </w:rPr>
        <w:t>Conclusion.</w:t>
      </w:r>
    </w:p>
    <w:p w14:paraId="07D00D7E" w14:textId="135961C7" w:rsidR="000D048C" w:rsidRDefault="000D048C" w:rsidP="000D048C">
      <w:pPr>
        <w:spacing w:line="360" w:lineRule="auto"/>
        <w:rPr>
          <w:color w:val="44546A" w:themeColor="text2"/>
        </w:rPr>
      </w:pPr>
      <w:r>
        <w:rPr>
          <w:color w:val="44546A" w:themeColor="text2"/>
        </w:rPr>
        <w:t xml:space="preserve">The Code of Conduct has been presented as </w:t>
      </w:r>
      <w:r w:rsidR="00157E04">
        <w:rPr>
          <w:color w:val="44546A" w:themeColor="text2"/>
        </w:rPr>
        <w:t>a critical</w:t>
      </w:r>
      <w:r>
        <w:rPr>
          <w:color w:val="44546A" w:themeColor="text2"/>
        </w:rPr>
        <w:t xml:space="preserve"> framework that will </w:t>
      </w:r>
      <w:r w:rsidR="00157E04">
        <w:rPr>
          <w:color w:val="44546A" w:themeColor="text2"/>
        </w:rPr>
        <w:t xml:space="preserve">provide the momentum for </w:t>
      </w:r>
      <w:r>
        <w:rPr>
          <w:color w:val="44546A" w:themeColor="text2"/>
        </w:rPr>
        <w:t>a radical period of innovation and improvement of healthcare in the United Kingdom. It is particularly striking in this debate that the Code of Conduct</w:t>
      </w:r>
      <w:r w:rsidR="00157E04">
        <w:rPr>
          <w:color w:val="44546A" w:themeColor="text2"/>
        </w:rPr>
        <w:t xml:space="preserve">’s strategic value is premised on its ability to mobilise and guide key stakeholders </w:t>
      </w:r>
      <w:r>
        <w:rPr>
          <w:color w:val="44546A" w:themeColor="text2"/>
        </w:rPr>
        <w:t xml:space="preserve">in the provision of healthcare. </w:t>
      </w:r>
      <w:r w:rsidR="00157E04">
        <w:rPr>
          <w:color w:val="44546A" w:themeColor="text2"/>
        </w:rPr>
        <w:t xml:space="preserve">Situating </w:t>
      </w:r>
      <w:r w:rsidR="00016691">
        <w:rPr>
          <w:color w:val="44546A" w:themeColor="text2"/>
        </w:rPr>
        <w:t>data protection</w:t>
      </w:r>
      <w:r w:rsidR="00157E04">
        <w:rPr>
          <w:color w:val="44546A" w:themeColor="text2"/>
        </w:rPr>
        <w:t xml:space="preserve"> rules</w:t>
      </w:r>
      <w:r w:rsidR="00016691">
        <w:rPr>
          <w:color w:val="44546A" w:themeColor="text2"/>
        </w:rPr>
        <w:t xml:space="preserve"> as a </w:t>
      </w:r>
      <w:r w:rsidR="00016691" w:rsidRPr="006141F0">
        <w:rPr>
          <w:color w:val="44546A" w:themeColor="text2"/>
        </w:rPr>
        <w:t xml:space="preserve">reflexive and flexible </w:t>
      </w:r>
      <w:r w:rsidR="00016691">
        <w:rPr>
          <w:color w:val="44546A" w:themeColor="text2"/>
        </w:rPr>
        <w:t>framework</w:t>
      </w:r>
      <w:r w:rsidR="00157E04">
        <w:rPr>
          <w:color w:val="44546A" w:themeColor="text2"/>
        </w:rPr>
        <w:t xml:space="preserve"> within the governance debates revolving around the integration of AI into the healthcare environment serves</w:t>
      </w:r>
      <w:r w:rsidR="00016691">
        <w:rPr>
          <w:color w:val="44546A" w:themeColor="text2"/>
        </w:rPr>
        <w:t xml:space="preserve"> three purposes. First, it</w:t>
      </w:r>
      <w:r w:rsidR="00157E04">
        <w:rPr>
          <w:color w:val="44546A" w:themeColor="text2"/>
        </w:rPr>
        <w:t xml:space="preserve"> allows us to better understand its pivotal</w:t>
      </w:r>
      <w:r w:rsidR="00016691">
        <w:rPr>
          <w:color w:val="44546A" w:themeColor="text2"/>
        </w:rPr>
        <w:t xml:space="preserve"> role as a standard setting instrument that</w:t>
      </w:r>
      <w:r w:rsidR="00157E04">
        <w:rPr>
          <w:color w:val="44546A" w:themeColor="text2"/>
        </w:rPr>
        <w:t xml:space="preserve"> has inbuilt mechanisms that are responsive to </w:t>
      </w:r>
      <w:r w:rsidR="00016691">
        <w:rPr>
          <w:color w:val="44546A" w:themeColor="text2"/>
        </w:rPr>
        <w:t>the</w:t>
      </w:r>
      <w:r w:rsidR="00157E04">
        <w:rPr>
          <w:color w:val="44546A" w:themeColor="text2"/>
        </w:rPr>
        <w:t xml:space="preserve"> challenges clinicians and providers of AI enhanced devices and services encounter</w:t>
      </w:r>
      <w:r w:rsidR="00016691">
        <w:rPr>
          <w:color w:val="44546A" w:themeColor="text2"/>
        </w:rPr>
        <w:t xml:space="preserve"> </w:t>
      </w:r>
      <w:r w:rsidR="00157E04">
        <w:rPr>
          <w:color w:val="44546A" w:themeColor="text2"/>
        </w:rPr>
        <w:t xml:space="preserve">in </w:t>
      </w:r>
      <w:r w:rsidR="00016691">
        <w:rPr>
          <w:color w:val="44546A" w:themeColor="text2"/>
        </w:rPr>
        <w:t>polycentric</w:t>
      </w:r>
      <w:r w:rsidR="00157E04">
        <w:rPr>
          <w:color w:val="44546A" w:themeColor="text2"/>
        </w:rPr>
        <w:t xml:space="preserve"> settings</w:t>
      </w:r>
      <w:r w:rsidR="00016691">
        <w:rPr>
          <w:color w:val="44546A" w:themeColor="text2"/>
        </w:rPr>
        <w:t xml:space="preserve">: </w:t>
      </w:r>
      <w:r w:rsidR="00CE7482">
        <w:rPr>
          <w:color w:val="44546A" w:themeColor="text2"/>
        </w:rPr>
        <w:t xml:space="preserve">its governance mechanisms prescribe the </w:t>
      </w:r>
      <w:r>
        <w:rPr>
          <w:color w:val="44546A" w:themeColor="text2"/>
        </w:rPr>
        <w:t xml:space="preserve">objects of regulation, </w:t>
      </w:r>
      <w:r w:rsidR="00CE7482">
        <w:rPr>
          <w:color w:val="44546A" w:themeColor="text2"/>
        </w:rPr>
        <w:t xml:space="preserve">identify </w:t>
      </w:r>
      <w:r>
        <w:rPr>
          <w:color w:val="44546A" w:themeColor="text2"/>
        </w:rPr>
        <w:t xml:space="preserve">the rights, interests and duties of relevant parties and </w:t>
      </w:r>
      <w:r w:rsidR="00CE7482">
        <w:rPr>
          <w:color w:val="44546A" w:themeColor="text2"/>
        </w:rPr>
        <w:t xml:space="preserve">techniques through </w:t>
      </w:r>
      <w:r>
        <w:rPr>
          <w:color w:val="44546A" w:themeColor="text2"/>
        </w:rPr>
        <w:t xml:space="preserve">which decisions regarding the use of </w:t>
      </w:r>
      <w:r>
        <w:rPr>
          <w:color w:val="44546A" w:themeColor="text2"/>
        </w:rPr>
        <w:lastRenderedPageBreak/>
        <w:t xml:space="preserve">personal information and risks are to be identified and managed. </w:t>
      </w:r>
      <w:r w:rsidR="00016691">
        <w:rPr>
          <w:color w:val="44546A" w:themeColor="text2"/>
        </w:rPr>
        <w:t xml:space="preserve">Second, since the dynamic </w:t>
      </w:r>
      <w:r w:rsidR="00016691" w:rsidRPr="002520BB">
        <w:rPr>
          <w:color w:val="44546A" w:themeColor="text2"/>
        </w:rPr>
        <w:t xml:space="preserve">healthcare settings involve </w:t>
      </w:r>
      <w:r w:rsidRPr="002520BB">
        <w:rPr>
          <w:color w:val="44546A" w:themeColor="text2"/>
        </w:rPr>
        <w:t>end users (patients), clinicians and consultants, corporate actors (providers of AI systems and technological infrastructures) and organizations monitoring their implementation and adaptation (UK Caldicott Guardian Council, National Institute for Health and Care Excellence, Care Quality Commission)</w:t>
      </w:r>
      <w:r w:rsidR="00157E04" w:rsidRPr="002520BB">
        <w:rPr>
          <w:color w:val="44546A" w:themeColor="text2"/>
        </w:rPr>
        <w:t xml:space="preserve"> have different expectations and roles</w:t>
      </w:r>
      <w:r w:rsidR="002520BB" w:rsidRPr="002520BB">
        <w:rPr>
          <w:color w:val="44546A" w:themeColor="text2"/>
        </w:rPr>
        <w:t xml:space="preserve">, the model of information governance enable these actors to </w:t>
      </w:r>
      <w:r w:rsidR="002520BB">
        <w:rPr>
          <w:color w:val="44546A" w:themeColor="text2"/>
        </w:rPr>
        <w:t>identify</w:t>
      </w:r>
      <w:r w:rsidR="002520BB" w:rsidRPr="002520BB">
        <w:rPr>
          <w:color w:val="44546A" w:themeColor="text2"/>
        </w:rPr>
        <w:t xml:space="preserve"> specific </w:t>
      </w:r>
      <w:r w:rsidR="00016691" w:rsidRPr="002520BB">
        <w:rPr>
          <w:color w:val="44546A" w:themeColor="text2"/>
        </w:rPr>
        <w:t xml:space="preserve">privacy and data protection challenges </w:t>
      </w:r>
      <w:r w:rsidR="00F01813" w:rsidRPr="002520BB">
        <w:rPr>
          <w:color w:val="44546A" w:themeColor="text2"/>
        </w:rPr>
        <w:t xml:space="preserve">the utilization of AI </w:t>
      </w:r>
      <w:r w:rsidR="002520BB" w:rsidRPr="002520BB">
        <w:rPr>
          <w:color w:val="44546A" w:themeColor="text2"/>
        </w:rPr>
        <w:t xml:space="preserve">enhanced devices </w:t>
      </w:r>
      <w:r w:rsidR="00F01813" w:rsidRPr="002520BB">
        <w:rPr>
          <w:color w:val="44546A" w:themeColor="text2"/>
        </w:rPr>
        <w:t xml:space="preserve">generate. Third, that </w:t>
      </w:r>
      <w:r w:rsidR="002520BB">
        <w:rPr>
          <w:color w:val="44546A" w:themeColor="text2"/>
        </w:rPr>
        <w:t>data protection values rather than its prescriptions</w:t>
      </w:r>
      <w:r w:rsidR="00F01813" w:rsidRPr="002520BB">
        <w:rPr>
          <w:color w:val="44546A" w:themeColor="text2"/>
        </w:rPr>
        <w:t xml:space="preserve"> will continue to provide the foundation for </w:t>
      </w:r>
      <w:r w:rsidR="002520BB">
        <w:rPr>
          <w:color w:val="44546A" w:themeColor="text2"/>
        </w:rPr>
        <w:t>practical problem solving</w:t>
      </w:r>
      <w:r>
        <w:rPr>
          <w:color w:val="44546A" w:themeColor="text2"/>
        </w:rPr>
        <w:t xml:space="preserve">. Lon Fuller </w:t>
      </w:r>
      <w:r w:rsidR="002520BB">
        <w:rPr>
          <w:color w:val="44546A" w:themeColor="text2"/>
        </w:rPr>
        <w:t xml:space="preserve">famously </w:t>
      </w:r>
      <w:r>
        <w:rPr>
          <w:color w:val="44546A" w:themeColor="text2"/>
        </w:rPr>
        <w:t xml:space="preserve">observed that law is the “enterprise of subjecting human conduct to the governance of rules”. </w:t>
      </w:r>
      <w:r w:rsidR="002520BB">
        <w:rPr>
          <w:color w:val="44546A" w:themeColor="text2"/>
        </w:rPr>
        <w:t>To this we can add that d</w:t>
      </w:r>
      <w:r>
        <w:rPr>
          <w:color w:val="44546A" w:themeColor="text2"/>
        </w:rPr>
        <w:t xml:space="preserve">ata protection law serves as a reminder that </w:t>
      </w:r>
      <w:r w:rsidR="00F01813">
        <w:rPr>
          <w:color w:val="44546A" w:themeColor="text2"/>
        </w:rPr>
        <w:t xml:space="preserve">as big data, AI and machine learning introduce complexity and uncertainty into dynamic settings such as the healthcare environment, </w:t>
      </w:r>
      <w:r>
        <w:rPr>
          <w:color w:val="44546A" w:themeColor="text2"/>
        </w:rPr>
        <w:t xml:space="preserve">its regulatory project remains the same – </w:t>
      </w:r>
      <w:r w:rsidR="002520BB">
        <w:rPr>
          <w:color w:val="44546A" w:themeColor="text2"/>
        </w:rPr>
        <w:t xml:space="preserve">which is </w:t>
      </w:r>
      <w:r>
        <w:rPr>
          <w:color w:val="44546A" w:themeColor="text2"/>
        </w:rPr>
        <w:t xml:space="preserve">to </w:t>
      </w:r>
      <w:r w:rsidR="00F01813">
        <w:rPr>
          <w:color w:val="44546A" w:themeColor="text2"/>
        </w:rPr>
        <w:t xml:space="preserve">enable </w:t>
      </w:r>
      <w:r>
        <w:rPr>
          <w:color w:val="44546A" w:themeColor="text2"/>
        </w:rPr>
        <w:t>people and organizations</w:t>
      </w:r>
      <w:r w:rsidR="00977237">
        <w:rPr>
          <w:color w:val="44546A" w:themeColor="text2"/>
        </w:rPr>
        <w:t>, when responding to the privacy challenges</w:t>
      </w:r>
      <w:r w:rsidR="002520BB">
        <w:rPr>
          <w:color w:val="44546A" w:themeColor="text2"/>
        </w:rPr>
        <w:t>,</w:t>
      </w:r>
      <w:r w:rsidR="00977237">
        <w:rPr>
          <w:color w:val="44546A" w:themeColor="text2"/>
        </w:rPr>
        <w:t xml:space="preserve"> to subject</w:t>
      </w:r>
      <w:r>
        <w:rPr>
          <w:color w:val="44546A" w:themeColor="text2"/>
        </w:rPr>
        <w:t xml:space="preserve"> their practices to the governance of rules.</w:t>
      </w:r>
    </w:p>
    <w:p w14:paraId="53A24867" w14:textId="77777777" w:rsidR="000D048C" w:rsidRPr="00711CD2" w:rsidRDefault="000D048C" w:rsidP="000D048C">
      <w:pPr>
        <w:spacing w:line="360" w:lineRule="auto"/>
        <w:rPr>
          <w:color w:val="44546A" w:themeColor="text2"/>
        </w:rPr>
      </w:pPr>
    </w:p>
    <w:p w14:paraId="12FAB773" w14:textId="77777777" w:rsidR="005A10CD" w:rsidRDefault="005A10CD"/>
    <w:sectPr w:rsidR="005A10CD" w:rsidSect="005A5B3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F28EE" w14:textId="77777777" w:rsidR="00C7391D" w:rsidRDefault="00C7391D" w:rsidP="000D048C">
      <w:r>
        <w:separator/>
      </w:r>
    </w:p>
  </w:endnote>
  <w:endnote w:type="continuationSeparator" w:id="0">
    <w:p w14:paraId="24237EA1" w14:textId="77777777" w:rsidR="00C7391D" w:rsidRDefault="00C7391D" w:rsidP="000D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3C991" w14:textId="77777777" w:rsidR="00C7391D" w:rsidRDefault="00C7391D" w:rsidP="000D048C">
      <w:r>
        <w:separator/>
      </w:r>
    </w:p>
  </w:footnote>
  <w:footnote w:type="continuationSeparator" w:id="0">
    <w:p w14:paraId="69437A43" w14:textId="77777777" w:rsidR="00C7391D" w:rsidRDefault="00C7391D" w:rsidP="000D048C">
      <w:r>
        <w:continuationSeparator/>
      </w:r>
    </w:p>
  </w:footnote>
  <w:footnote w:id="1">
    <w:p w14:paraId="56D3BC8F" w14:textId="472A1CD5" w:rsidR="00E40CAA" w:rsidRPr="00E40CAA" w:rsidRDefault="00E40CAA">
      <w:pPr>
        <w:pStyle w:val="FootnoteText"/>
        <w:rPr>
          <w:sz w:val="16"/>
          <w:szCs w:val="16"/>
        </w:rPr>
      </w:pPr>
      <w:r>
        <w:rPr>
          <w:rStyle w:val="FootnoteReference"/>
        </w:rPr>
        <w:t>†</w:t>
      </w:r>
      <w:r>
        <w:t xml:space="preserve"> </w:t>
      </w:r>
      <w:r>
        <w:rPr>
          <w:sz w:val="16"/>
          <w:szCs w:val="16"/>
        </w:rPr>
        <w:t xml:space="preserve">Thanks to Maria Tzanou and the anonymous reviewers. Particular thanks to Barbara </w:t>
      </w:r>
      <w:proofErr w:type="spellStart"/>
      <w:r>
        <w:rPr>
          <w:sz w:val="16"/>
          <w:szCs w:val="16"/>
        </w:rPr>
        <w:t>Prainsack</w:t>
      </w:r>
      <w:proofErr w:type="spellEnd"/>
      <w:r>
        <w:rPr>
          <w:sz w:val="16"/>
          <w:szCs w:val="16"/>
        </w:rPr>
        <w:t xml:space="preserve">, Frederik Borgesius, Margot Kaminski, </w:t>
      </w:r>
      <w:proofErr w:type="spellStart"/>
      <w:r>
        <w:rPr>
          <w:sz w:val="16"/>
          <w:szCs w:val="16"/>
        </w:rPr>
        <w:t>Gianclaudio</w:t>
      </w:r>
      <w:proofErr w:type="spellEnd"/>
      <w:r>
        <w:rPr>
          <w:sz w:val="16"/>
          <w:szCs w:val="16"/>
        </w:rPr>
        <w:t xml:space="preserve"> </w:t>
      </w:r>
      <w:proofErr w:type="spellStart"/>
      <w:r>
        <w:rPr>
          <w:sz w:val="16"/>
          <w:szCs w:val="16"/>
        </w:rPr>
        <w:t>Malgieri</w:t>
      </w:r>
      <w:proofErr w:type="spellEnd"/>
      <w:r>
        <w:rPr>
          <w:sz w:val="16"/>
          <w:szCs w:val="16"/>
        </w:rPr>
        <w:t xml:space="preserve">, Lina </w:t>
      </w:r>
      <w:proofErr w:type="spellStart"/>
      <w:r>
        <w:rPr>
          <w:sz w:val="16"/>
          <w:szCs w:val="16"/>
        </w:rPr>
        <w:t>Dencik</w:t>
      </w:r>
      <w:proofErr w:type="spellEnd"/>
      <w:r>
        <w:rPr>
          <w:sz w:val="16"/>
          <w:szCs w:val="16"/>
        </w:rPr>
        <w:t xml:space="preserve">, Damian Clifford, Phil Booth of Medical Confidential and </w:t>
      </w:r>
      <w:r w:rsidR="00B270BB">
        <w:rPr>
          <w:sz w:val="16"/>
          <w:szCs w:val="16"/>
        </w:rPr>
        <w:t>Natalie Banner of Understanding Patient Data. Usual caveats apply.</w:t>
      </w:r>
      <w:bookmarkStart w:id="0" w:name="_GoBack"/>
      <w:bookmarkEnd w:id="0"/>
      <w:r>
        <w:rPr>
          <w:sz w:val="16"/>
          <w:szCs w:val="16"/>
        </w:rPr>
        <w:t xml:space="preserve"> </w:t>
      </w:r>
    </w:p>
  </w:footnote>
  <w:footnote w:id="2">
    <w:p w14:paraId="13C08903" w14:textId="05741C61"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Department of Health &amp; Social Care, ‘The Future of Healthcare: Our Vision for Digital, Data and Technology in Health and Care’ (2018) &lt;www.gov.uk/government/publications/the-future-of-healthcare-our- vision-for-digital-data-and-technology-in-health-and-care/the-future-of-healthcare-our-vision-for- digital-data-and-technology-in-health-and-care&gt;, Future Advocacy and </w:t>
      </w:r>
      <w:proofErr w:type="spellStart"/>
      <w:r w:rsidRPr="00AC18AB">
        <w:rPr>
          <w:sz w:val="16"/>
          <w:szCs w:val="16"/>
        </w:rPr>
        <w:t>Wellcome</w:t>
      </w:r>
      <w:proofErr w:type="spellEnd"/>
      <w:r w:rsidRPr="00AC18AB">
        <w:rPr>
          <w:sz w:val="16"/>
          <w:szCs w:val="16"/>
        </w:rPr>
        <w:t xml:space="preserve">, ‘Ethical, Social and Political Challenges of Artificial Intelligence in Health’ (2018) </w:t>
      </w:r>
      <w:hyperlink r:id="rId1" w:history="1">
        <w:r w:rsidRPr="00AC18AB">
          <w:rPr>
            <w:rStyle w:val="Hyperlink"/>
            <w:sz w:val="16"/>
            <w:szCs w:val="16"/>
          </w:rPr>
          <w:t>https://wellcome.ac.uk/sites/default/files/ai-in-health-ethical-social-political- challenges.pdf</w:t>
        </w:r>
      </w:hyperlink>
      <w:r w:rsidRPr="00AC18AB">
        <w:rPr>
          <w:sz w:val="16"/>
          <w:szCs w:val="16"/>
        </w:rPr>
        <w:t xml:space="preserve">, House of Commons Science and Technology Committee, </w:t>
      </w:r>
      <w:r w:rsidRPr="00AC18AB">
        <w:rPr>
          <w:i/>
          <w:iCs/>
          <w:sz w:val="16"/>
          <w:szCs w:val="16"/>
        </w:rPr>
        <w:t>Algorithms in decision-making</w:t>
      </w:r>
      <w:r w:rsidRPr="00AC18AB">
        <w:rPr>
          <w:sz w:val="16"/>
          <w:szCs w:val="16"/>
        </w:rPr>
        <w:t xml:space="preserve"> (HC 351, 2018) and  </w:t>
      </w:r>
      <w:hyperlink r:id="rId2" w:history="1">
        <w:r w:rsidRPr="00AC18AB">
          <w:rPr>
            <w:rStyle w:val="Hyperlink"/>
            <w:sz w:val="16"/>
            <w:szCs w:val="16"/>
          </w:rPr>
          <w:t>https://publications.parliament.uk/pa/cm201719/cmselect/cmsctech/351/351.pdf</w:t>
        </w:r>
      </w:hyperlink>
      <w:r w:rsidRPr="00AC18AB">
        <w:rPr>
          <w:sz w:val="16"/>
          <w:szCs w:val="16"/>
        </w:rPr>
        <w:t xml:space="preserve">, National Advisory Group on Health Information Technology in England, ‘Making IT Work: Harnessing the Power of Health Information Technology to Improve Care in England’ (2018) </w:t>
      </w:r>
      <w:r w:rsidR="00567FCC">
        <w:rPr>
          <w:sz w:val="16"/>
          <w:szCs w:val="16"/>
        </w:rPr>
        <w:t>&lt;</w:t>
      </w:r>
      <w:hyperlink r:id="rId3" w:history="1">
        <w:r w:rsidR="00567FCC" w:rsidRPr="003A251F">
          <w:rPr>
            <w:rStyle w:val="Hyperlink"/>
            <w:sz w:val="16"/>
            <w:szCs w:val="16"/>
          </w:rPr>
          <w:t xml:space="preserve">https://www.gov.uk/government/publications/using-information-technology-to-improve-the-nhs </w:t>
        </w:r>
      </w:hyperlink>
      <w:r w:rsidR="00567FCC">
        <w:rPr>
          <w:sz w:val="16"/>
          <w:szCs w:val="16"/>
        </w:rPr>
        <w:t>&gt;</w:t>
      </w:r>
      <w:r w:rsidRPr="00AC18AB">
        <w:rPr>
          <w:sz w:val="16"/>
          <w:szCs w:val="16"/>
        </w:rPr>
        <w:t xml:space="preserve">.  </w:t>
      </w:r>
    </w:p>
  </w:footnote>
  <w:footnote w:id="3">
    <w:p w14:paraId="5C54F9A7" w14:textId="76A92735"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Pr="00AC18AB">
        <w:rPr>
          <w:i/>
          <w:iCs/>
          <w:sz w:val="16"/>
          <w:szCs w:val="16"/>
        </w:rPr>
        <w:t>Department of Health and Social Care</w:t>
      </w:r>
      <w:r w:rsidRPr="00AC18AB">
        <w:rPr>
          <w:sz w:val="16"/>
          <w:szCs w:val="16"/>
        </w:rPr>
        <w:t xml:space="preserve"> (n 1). See for example National Data Guardian, ‘National Data Guardian for health and care 2017 report: Impact and influence for patients and service users’ (2017) &lt; </w:t>
      </w:r>
      <w:hyperlink r:id="rId4" w:history="1">
        <w:r w:rsidRPr="00AC18AB">
          <w:rPr>
            <w:rStyle w:val="Hyperlink"/>
            <w:sz w:val="16"/>
            <w:szCs w:val="16"/>
          </w:rPr>
          <w:t>https://www.gov.uk/government/publications/national-data-guardian-2017-report</w:t>
        </w:r>
      </w:hyperlink>
      <w:r w:rsidRPr="00AC18AB">
        <w:rPr>
          <w:sz w:val="16"/>
          <w:szCs w:val="16"/>
        </w:rPr>
        <w:t>&gt; .</w:t>
      </w:r>
    </w:p>
  </w:footnote>
  <w:footnote w:id="4">
    <w:p w14:paraId="42FA5309" w14:textId="7AFFA1DD"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Department of Health and Social Care (n1)</w:t>
      </w:r>
    </w:p>
  </w:footnote>
  <w:footnote w:id="5">
    <w:p w14:paraId="1850522B" w14:textId="1534F99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NHSx, ‘Artificial Intelligence: How to get it right: Putting policy into practice for safe data-driven innovation in health and care’ (2019) &lt; https://www.nhsx.nhs.uk/assets/NHSX_AI_report.pdf &gt; 37-39.</w:t>
      </w:r>
    </w:p>
  </w:footnote>
  <w:footnote w:id="6">
    <w:p w14:paraId="5C6D038D" w14:textId="3BBD782C"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Ibid 27.</w:t>
      </w:r>
    </w:p>
  </w:footnote>
  <w:footnote w:id="7">
    <w:p w14:paraId="5D2E2072" w14:textId="7F50119B"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Luciano Floridi, ‘Soft Ethics, the Governance of the Digital and the General Data Protection Regulation’ (2018) 376 Philosophical Transactions of the Royal Society A: Mathematical, Physical and Engineering Sciences 20180081, Alan FT Winfield and Marina </w:t>
      </w:r>
      <w:proofErr w:type="spellStart"/>
      <w:r w:rsidRPr="00AC18AB">
        <w:rPr>
          <w:sz w:val="16"/>
          <w:szCs w:val="16"/>
        </w:rPr>
        <w:t>Jirotka</w:t>
      </w:r>
      <w:proofErr w:type="spellEnd"/>
      <w:r w:rsidRPr="00AC18AB">
        <w:rPr>
          <w:sz w:val="16"/>
          <w:szCs w:val="16"/>
        </w:rPr>
        <w:t>, ‘Ethical Governance Is Essential to Building Trust in Robotics and Artificial Intelligence Systems’ (2018) 376 Philosophical Transactions of the Royal Society A: Mathematical, Physical and Engineering Sciences 20180085.</w:t>
      </w:r>
    </w:p>
  </w:footnote>
  <w:footnote w:id="8">
    <w:p w14:paraId="4D9FA8A7" w14:textId="46BDD56B"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The principal bodies engaged with developing information governance policies include the Care Quality Commission, the Information Commissioner’s Office, the General Medical Council, the Health Research Authority and the Medicines and Healthcare products Regulatory Agency. In addition to these organizations another set of bodies which provide governance oversight: National Data Guardians, NHS Digital, NHS England &amp; Improvement and the National Institute for Health and Care Excellence. </w:t>
      </w:r>
    </w:p>
  </w:footnote>
  <w:footnote w:id="9">
    <w:p w14:paraId="0115F673" w14:textId="2F3B9F4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René von </w:t>
      </w:r>
      <w:proofErr w:type="spellStart"/>
      <w:r w:rsidRPr="00AC18AB">
        <w:rPr>
          <w:sz w:val="16"/>
          <w:szCs w:val="16"/>
        </w:rPr>
        <w:t>Schomberg</w:t>
      </w:r>
      <w:proofErr w:type="spellEnd"/>
      <w:r w:rsidRPr="00AC18AB">
        <w:rPr>
          <w:sz w:val="16"/>
          <w:szCs w:val="16"/>
        </w:rPr>
        <w:t xml:space="preserve"> and </w:t>
      </w:r>
      <w:proofErr w:type="spellStart"/>
      <w:r w:rsidRPr="00AC18AB">
        <w:rPr>
          <w:sz w:val="16"/>
          <w:szCs w:val="16"/>
        </w:rPr>
        <w:t>Europäisches</w:t>
      </w:r>
      <w:proofErr w:type="spellEnd"/>
      <w:r w:rsidRPr="00AC18AB">
        <w:rPr>
          <w:sz w:val="16"/>
          <w:szCs w:val="16"/>
        </w:rPr>
        <w:t xml:space="preserve"> </w:t>
      </w:r>
      <w:proofErr w:type="spellStart"/>
      <w:r w:rsidRPr="00AC18AB">
        <w:rPr>
          <w:sz w:val="16"/>
          <w:szCs w:val="16"/>
        </w:rPr>
        <w:t>Parlament</w:t>
      </w:r>
      <w:proofErr w:type="spellEnd"/>
      <w:r w:rsidRPr="00AC18AB">
        <w:rPr>
          <w:sz w:val="16"/>
          <w:szCs w:val="16"/>
        </w:rPr>
        <w:t xml:space="preserve"> (eds), </w:t>
      </w:r>
      <w:r w:rsidRPr="00AC18AB">
        <w:rPr>
          <w:i/>
          <w:iCs/>
          <w:sz w:val="16"/>
          <w:szCs w:val="16"/>
        </w:rPr>
        <w:t>Towards Responsible Research and Innovation in the Information and Communication Technologies and Security Technologies Fields: Presentations Made at a Workshop Hosted by the Scientific and Technological Assessment Unit of the European Parliament in November 2010</w:t>
      </w:r>
      <w:r w:rsidRPr="00AC18AB">
        <w:rPr>
          <w:sz w:val="16"/>
          <w:szCs w:val="16"/>
        </w:rPr>
        <w:t xml:space="preserve"> (Public Office of the European Union 2011), British Academy &amp; Royal Society, ‘Data management and use: Governance in the 21st century’, (2017) &lt;https://royalsociety.org/~/media/policy/projects/data-governance/data-management- governance.pdf&gt;, Academy of Medical Sciences &amp; Royal Academy of Engineering, ‘Health apps: regulation and quality control’ (2015) &lt;https://acmedsci.ac.uk/file-download/37073-552cc937dcfb4.pdf&gt; , National Data Guardian for Health and Care, ‘Review of Data Security, Consent and Opt-Outs’ (2016) &lt;https://www.gov.uk/government/publications/review-of-data-security-consent-and-opt-outs&gt; , House of Lords Select Committee on Artificial Intelligence, </w:t>
      </w:r>
      <w:r w:rsidRPr="00AC18AB">
        <w:rPr>
          <w:i/>
          <w:iCs/>
          <w:sz w:val="16"/>
          <w:szCs w:val="16"/>
        </w:rPr>
        <w:t>AI in the UK: ready, willing and able?</w:t>
      </w:r>
      <w:r w:rsidRPr="00AC18AB">
        <w:rPr>
          <w:sz w:val="16"/>
          <w:szCs w:val="16"/>
        </w:rPr>
        <w:t xml:space="preserve"> (HL Paper 100, 2018) </w:t>
      </w:r>
      <w:proofErr w:type="spellStart"/>
      <w:r w:rsidRPr="00AC18AB">
        <w:rPr>
          <w:sz w:val="16"/>
          <w:szCs w:val="16"/>
        </w:rPr>
        <w:t>ch</w:t>
      </w:r>
      <w:proofErr w:type="spellEnd"/>
      <w:r w:rsidRPr="00AC18AB">
        <w:rPr>
          <w:sz w:val="16"/>
          <w:szCs w:val="16"/>
        </w:rPr>
        <w:t xml:space="preserve"> 1-6 and Nuffield Council on Bioethics, ‘Bioethics briefing note: Artificial intelligence (AI) in healthcare and research</w:t>
      </w:r>
      <w:proofErr w:type="gramStart"/>
      <w:r w:rsidRPr="00AC18AB">
        <w:rPr>
          <w:sz w:val="16"/>
          <w:szCs w:val="16"/>
        </w:rPr>
        <w:t>’  (</w:t>
      </w:r>
      <w:proofErr w:type="gramEnd"/>
      <w:r w:rsidRPr="00AC18AB">
        <w:rPr>
          <w:sz w:val="16"/>
          <w:szCs w:val="16"/>
        </w:rPr>
        <w:t>2018) &lt;http://nuffieldbioethics.org/wp-content/uploads/Artificial-Intelligence-AI-in- healthcare-and-research.pdf&gt; .</w:t>
      </w:r>
    </w:p>
  </w:footnote>
  <w:footnote w:id="10">
    <w:p w14:paraId="429C3CD8" w14:textId="2D095900"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It should be noted that Article 40 GDPR permits the design and use of “codes of conduct, or amend or extend such codes, for the purpose of specifying the application of this Regulation...” but for specified purposes. See also Robert Baldwin, Martin Cave and Martin Lodge, Understanding Regulation: Theory, Strategy, and Practice (Oxford University Press 2011) chapters 2–3.</w:t>
      </w:r>
    </w:p>
  </w:footnote>
  <w:footnote w:id="11">
    <w:p w14:paraId="7ED7049B" w14:textId="16623EFC"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for example European Data Protection Supervisor (EDPS), ‘Opinion 8/2016, Coherent Enforcement of Fundamental Rights in the Age of Big Data’,  23 September 2016,  ‘Opinion 4/2015, Towards a New Digital Ethics: Data, Dignity and Technology’, September 2015 and  Julia Black, ‘Talking about Regulation’ [1998] Public Law 77, 78. </w:t>
      </w:r>
    </w:p>
  </w:footnote>
  <w:footnote w:id="12">
    <w:p w14:paraId="2797B5C1" w14:textId="5B5FB3C5"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Recital 13 and Article 5(2) of the General Data Protection Regulation 2016 (GDPR). Also consider Articles 24(3), 28(5) and 32(3) GPDR. It should be noted that Article 40 GDPR permits the design and use of “codes of conduct, or amend or extend such codes, for the purpose of specifying the application of this Regulation...” but for specified purposes. See EDPS, ‘Preliminary Opinion, Privacy and competitiveness in the age of big data: The interplay between data protection, competition law and consumer protection in the Digital Economy’, March 2014 and ‘Opinion, on the Communication from the Commission on 'eHealth Action Plan 2012-2020 - Innovative healthcare for the 21st century, 27 March 2013. See also European Commission, eHealth Action Plan 2012-2020 - Innovative healthcare for the 21st century COM (2012) 736 final.</w:t>
      </w:r>
    </w:p>
  </w:footnote>
  <w:footnote w:id="13">
    <w:p w14:paraId="0224731A" w14:textId="1A56CF2F"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Patrick Henry Winston, </w:t>
      </w:r>
      <w:r w:rsidRPr="00AC18AB">
        <w:rPr>
          <w:i/>
          <w:iCs/>
          <w:sz w:val="16"/>
          <w:szCs w:val="16"/>
        </w:rPr>
        <w:t>Artificial Intelligence</w:t>
      </w:r>
      <w:r w:rsidRPr="00AC18AB">
        <w:rPr>
          <w:sz w:val="16"/>
          <w:szCs w:val="16"/>
        </w:rPr>
        <w:t xml:space="preserve"> (3rd ed, Addison-Wesley Pub Co 1992) 5.</w:t>
      </w:r>
    </w:p>
  </w:footnote>
  <w:footnote w:id="14">
    <w:p w14:paraId="4B605295" w14:textId="3D1A0D4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Stuart J Russell and Peter </w:t>
      </w:r>
      <w:proofErr w:type="spellStart"/>
      <w:r w:rsidRPr="00AC18AB">
        <w:rPr>
          <w:sz w:val="16"/>
          <w:szCs w:val="16"/>
        </w:rPr>
        <w:t>Norvig</w:t>
      </w:r>
      <w:proofErr w:type="spellEnd"/>
      <w:r w:rsidRPr="00AC18AB">
        <w:rPr>
          <w:sz w:val="16"/>
          <w:szCs w:val="16"/>
        </w:rPr>
        <w:t xml:space="preserve">, </w:t>
      </w:r>
      <w:r w:rsidRPr="00AC18AB">
        <w:rPr>
          <w:i/>
          <w:iCs/>
          <w:sz w:val="16"/>
          <w:szCs w:val="16"/>
        </w:rPr>
        <w:t>Artificial Intelligence: A Modern Approach </w:t>
      </w:r>
      <w:r w:rsidRPr="00AC18AB">
        <w:rPr>
          <w:sz w:val="16"/>
          <w:szCs w:val="16"/>
        </w:rPr>
        <w:t>(2</w:t>
      </w:r>
      <w:r w:rsidRPr="00AC18AB">
        <w:rPr>
          <w:sz w:val="16"/>
          <w:szCs w:val="16"/>
          <w:vertAlign w:val="superscript"/>
        </w:rPr>
        <w:t>nd</w:t>
      </w:r>
      <w:r w:rsidRPr="00AC18AB">
        <w:rPr>
          <w:sz w:val="16"/>
          <w:szCs w:val="16"/>
        </w:rPr>
        <w:t xml:space="preserve"> ed., Prentice Hall 2003) 194.</w:t>
      </w:r>
    </w:p>
  </w:footnote>
  <w:footnote w:id="15">
    <w:p w14:paraId="494D096E" w14:textId="5E8B6FBA" w:rsidR="00980E14" w:rsidRPr="00AC18AB" w:rsidRDefault="00980E14" w:rsidP="000B4684">
      <w:pPr>
        <w:pStyle w:val="FootnoteText"/>
        <w:rPr>
          <w:i/>
          <w:iCs/>
          <w:sz w:val="16"/>
          <w:szCs w:val="16"/>
        </w:rPr>
      </w:pPr>
      <w:r w:rsidRPr="00AC18AB">
        <w:rPr>
          <w:rStyle w:val="FootnoteReference"/>
          <w:sz w:val="16"/>
          <w:szCs w:val="16"/>
        </w:rPr>
        <w:footnoteRef/>
      </w:r>
      <w:r w:rsidRPr="00AC18AB">
        <w:rPr>
          <w:sz w:val="16"/>
          <w:szCs w:val="16"/>
        </w:rPr>
        <w:t xml:space="preserve"> Organisation for Economic Cooperation and Development, </w:t>
      </w:r>
      <w:r w:rsidRPr="00AC18AB">
        <w:rPr>
          <w:i/>
          <w:iCs/>
          <w:sz w:val="16"/>
          <w:szCs w:val="16"/>
        </w:rPr>
        <w:t xml:space="preserve">Recommendation of the Council on Artificial Intelligence, OECD/LEGAL/0449 </w:t>
      </w:r>
      <w:r w:rsidRPr="00AC18AB">
        <w:rPr>
          <w:sz w:val="16"/>
          <w:szCs w:val="16"/>
        </w:rPr>
        <w:t>(2019).</w:t>
      </w:r>
    </w:p>
  </w:footnote>
  <w:footnote w:id="16">
    <w:p w14:paraId="2B6F8FA3" w14:textId="7877766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Fei Jiang and others, ‘Artificial Intelligence in Healthcare: Past, Present and Future’ (2017) 2 Stroke and Vascular Neurology 230.</w:t>
      </w:r>
    </w:p>
  </w:footnote>
  <w:footnote w:id="17">
    <w:p w14:paraId="71E62F69" w14:textId="7F7158DB"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Julia </w:t>
      </w:r>
      <w:proofErr w:type="spellStart"/>
      <w:r w:rsidRPr="00AC18AB">
        <w:rPr>
          <w:sz w:val="16"/>
          <w:szCs w:val="16"/>
        </w:rPr>
        <w:t>Schnatz</w:t>
      </w:r>
      <w:proofErr w:type="spellEnd"/>
      <w:r w:rsidRPr="00AC18AB">
        <w:rPr>
          <w:sz w:val="16"/>
          <w:szCs w:val="16"/>
        </w:rPr>
        <w:t>, ‘NHS England’s Smartphone App for Identifying Acute Kidney Injury’ (2016) &lt;https://www.centreforpublicimpact.org/case-study/nhs-englands-smartphone-app-identifying-acute-kidney-injury-2016-2018/&gt; accessed 11 January 2020.</w:t>
      </w:r>
    </w:p>
  </w:footnote>
  <w:footnote w:id="18">
    <w:p w14:paraId="26B5CF20" w14:textId="3CBC7C12"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Scott Mayer McKinney and others, ‘International Evaluation of an AI System for Breast Cancer Screening’ (2020) 577 Nature 89,  </w:t>
      </w:r>
      <w:proofErr w:type="spellStart"/>
      <w:r w:rsidRPr="00AC18AB">
        <w:rPr>
          <w:sz w:val="16"/>
          <w:szCs w:val="16"/>
        </w:rPr>
        <w:t>Anabik</w:t>
      </w:r>
      <w:proofErr w:type="spellEnd"/>
      <w:r w:rsidRPr="00AC18AB">
        <w:rPr>
          <w:sz w:val="16"/>
          <w:szCs w:val="16"/>
        </w:rPr>
        <w:t xml:space="preserve"> Pal and others, ‘Psoriasis Skin Biopsy Image Segmentation Using Deep Convolutional Neural Network’ (2018) 159 Computer Methods and Programs in Biomedicine 59 and Stacy M Carter and others, ‘The Ethical, Legal and Social Implications of Using Artificial Intelligence Systems in Breast Cancer Care’ (2020) 49 The Breast 25.</w:t>
      </w:r>
    </w:p>
  </w:footnote>
  <w:footnote w:id="19">
    <w:p w14:paraId="27D7BB65" w14:textId="6DE5912C"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Daniel Shu Wei Ting and others, ‘Artificial Intelligence and Deep Learning in Ophthalmology’ (2019) 103 British Journal of Ophthalmology 167.</w:t>
      </w:r>
    </w:p>
  </w:footnote>
  <w:footnote w:id="20">
    <w:p w14:paraId="1A3CD115" w14:textId="1AFF403E"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proofErr w:type="spellStart"/>
      <w:r w:rsidRPr="00AC18AB">
        <w:rPr>
          <w:sz w:val="16"/>
          <w:szCs w:val="16"/>
        </w:rPr>
        <w:t>Kun-Hsing</w:t>
      </w:r>
      <w:proofErr w:type="spellEnd"/>
      <w:r w:rsidRPr="00AC18AB">
        <w:rPr>
          <w:sz w:val="16"/>
          <w:szCs w:val="16"/>
        </w:rPr>
        <w:t xml:space="preserve"> Yu, Andrew L Beam and Isaac S </w:t>
      </w:r>
      <w:proofErr w:type="spellStart"/>
      <w:r w:rsidRPr="00AC18AB">
        <w:rPr>
          <w:sz w:val="16"/>
          <w:szCs w:val="16"/>
        </w:rPr>
        <w:t>Kohane</w:t>
      </w:r>
      <w:proofErr w:type="spellEnd"/>
      <w:r w:rsidRPr="00AC18AB">
        <w:rPr>
          <w:sz w:val="16"/>
          <w:szCs w:val="16"/>
        </w:rPr>
        <w:t>, ‘Artificial Intelligence in Healthcare’ (2018) 2 Nature Biomedical Engineering 719.</w:t>
      </w:r>
    </w:p>
  </w:footnote>
  <w:footnote w:id="21">
    <w:p w14:paraId="2A2DDFBB" w14:textId="4BD19939"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Orlando Simpson and Sergio G </w:t>
      </w:r>
      <w:proofErr w:type="spellStart"/>
      <w:r w:rsidRPr="00AC18AB">
        <w:rPr>
          <w:sz w:val="16"/>
          <w:szCs w:val="16"/>
        </w:rPr>
        <w:t>Camorlinga</w:t>
      </w:r>
      <w:proofErr w:type="spellEnd"/>
      <w:r w:rsidRPr="00AC18AB">
        <w:rPr>
          <w:sz w:val="16"/>
          <w:szCs w:val="16"/>
        </w:rPr>
        <w:t xml:space="preserve">, ‘A Framework to Study the Emergence of Non-Communicable Diseases’ (2017) 114 Procedia Computer Science 116, Abrar </w:t>
      </w:r>
      <w:proofErr w:type="spellStart"/>
      <w:r w:rsidRPr="00AC18AB">
        <w:rPr>
          <w:sz w:val="16"/>
          <w:szCs w:val="16"/>
        </w:rPr>
        <w:t>Alturkistani</w:t>
      </w:r>
      <w:proofErr w:type="spellEnd"/>
      <w:r w:rsidRPr="00AC18AB">
        <w:rPr>
          <w:sz w:val="16"/>
          <w:szCs w:val="16"/>
        </w:rPr>
        <w:t xml:space="preserve"> and others, ‘Health Information Technology Uses for Primary Prevention in Preventive Medicine: A Scoping Review Protocol’ (2018) 8 BMJ open e023428 and François </w:t>
      </w:r>
      <w:proofErr w:type="spellStart"/>
      <w:r w:rsidRPr="00AC18AB">
        <w:rPr>
          <w:sz w:val="16"/>
          <w:szCs w:val="16"/>
        </w:rPr>
        <w:t>Bastardot</w:t>
      </w:r>
      <w:proofErr w:type="spellEnd"/>
      <w:r w:rsidRPr="00AC18AB">
        <w:rPr>
          <w:sz w:val="16"/>
          <w:szCs w:val="16"/>
        </w:rPr>
        <w:t xml:space="preserve"> and David </w:t>
      </w:r>
      <w:proofErr w:type="spellStart"/>
      <w:r w:rsidRPr="00AC18AB">
        <w:rPr>
          <w:sz w:val="16"/>
          <w:szCs w:val="16"/>
        </w:rPr>
        <w:t>Gachoud</w:t>
      </w:r>
      <w:proofErr w:type="spellEnd"/>
      <w:r w:rsidRPr="00AC18AB">
        <w:rPr>
          <w:sz w:val="16"/>
          <w:szCs w:val="16"/>
        </w:rPr>
        <w:t xml:space="preserve">, ‘Visual diagnosis: between medical education and advances in artificial intelligence’ (2019) 15 Revue </w:t>
      </w:r>
      <w:proofErr w:type="spellStart"/>
      <w:r w:rsidRPr="00AC18AB">
        <w:rPr>
          <w:sz w:val="16"/>
          <w:szCs w:val="16"/>
        </w:rPr>
        <w:t>Medicale</w:t>
      </w:r>
      <w:proofErr w:type="spellEnd"/>
      <w:r w:rsidRPr="00AC18AB">
        <w:rPr>
          <w:sz w:val="16"/>
          <w:szCs w:val="16"/>
        </w:rPr>
        <w:t xml:space="preserve"> Suisse 2145. &lt;http://www.sciencedirect.com/science/article/pii/S1877050917318203&gt; accessed 11 January 2020. See also Department of Health and Social Care, ‘Prevention is better than cure’ (2018) &lt;https://assets.publishing.service.gov.uk/government/uploads/system/uploads/attachment_data/file/753688/Prevention_is_better_than_cure_5-11.pdf&gt; 12-13.</w:t>
      </w:r>
    </w:p>
  </w:footnote>
  <w:footnote w:id="22">
    <w:p w14:paraId="3CECDF40" w14:textId="42EFFC52"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Andre </w:t>
      </w:r>
      <w:proofErr w:type="spellStart"/>
      <w:r w:rsidRPr="00AC18AB">
        <w:rPr>
          <w:sz w:val="16"/>
          <w:szCs w:val="16"/>
        </w:rPr>
        <w:t>Esteva</w:t>
      </w:r>
      <w:proofErr w:type="spellEnd"/>
      <w:r w:rsidRPr="00AC18AB">
        <w:rPr>
          <w:sz w:val="16"/>
          <w:szCs w:val="16"/>
        </w:rPr>
        <w:t xml:space="preserve"> and others, ‘Dermatologist-Level Classification of Skin Cancer with Deep Neural Networks’ (2017) 542 Nature 115.</w:t>
      </w:r>
    </w:p>
  </w:footnote>
  <w:footnote w:id="23">
    <w:p w14:paraId="663D7DAE" w14:textId="356E4BBB"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Abrar </w:t>
      </w:r>
      <w:proofErr w:type="spellStart"/>
      <w:r w:rsidRPr="00AC18AB">
        <w:rPr>
          <w:sz w:val="16"/>
          <w:szCs w:val="16"/>
        </w:rPr>
        <w:t>Alturkistani</w:t>
      </w:r>
      <w:proofErr w:type="spellEnd"/>
      <w:r w:rsidRPr="00AC18AB">
        <w:rPr>
          <w:sz w:val="16"/>
          <w:szCs w:val="16"/>
        </w:rPr>
        <w:t xml:space="preserve"> and others, ‘Health Information Technology Uses for Primary Prevention in Preventive Medicine: A Scoping Review Protocol’ (n 20) and François </w:t>
      </w:r>
      <w:proofErr w:type="spellStart"/>
      <w:r w:rsidRPr="00AC18AB">
        <w:rPr>
          <w:sz w:val="16"/>
          <w:szCs w:val="16"/>
        </w:rPr>
        <w:t>Bastardot</w:t>
      </w:r>
      <w:proofErr w:type="spellEnd"/>
      <w:r w:rsidRPr="00AC18AB">
        <w:rPr>
          <w:sz w:val="16"/>
          <w:szCs w:val="16"/>
        </w:rPr>
        <w:t xml:space="preserve"> and David </w:t>
      </w:r>
      <w:proofErr w:type="spellStart"/>
      <w:r w:rsidRPr="00AC18AB">
        <w:rPr>
          <w:sz w:val="16"/>
          <w:szCs w:val="16"/>
        </w:rPr>
        <w:t>Gachoud</w:t>
      </w:r>
      <w:proofErr w:type="spellEnd"/>
      <w:r w:rsidRPr="00AC18AB">
        <w:rPr>
          <w:sz w:val="16"/>
          <w:szCs w:val="16"/>
        </w:rPr>
        <w:t>, ‘Visual diagnosis: between medical education and advances in artificial intelligence’ (n 20).</w:t>
      </w:r>
    </w:p>
  </w:footnote>
  <w:footnote w:id="24">
    <w:p w14:paraId="600B5779" w14:textId="635C1973"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Geraldine M Clarke and others, ‘Evaluating the Impact of Healthcare Interventions Using Routine Data’ (2019) 365 BMJ.</w:t>
      </w:r>
    </w:p>
  </w:footnote>
  <w:footnote w:id="25">
    <w:p w14:paraId="2E279FF0" w14:textId="5152D945"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Gary Marcus and Ernest Davis, </w:t>
      </w:r>
      <w:r w:rsidRPr="00AC18AB">
        <w:rPr>
          <w:i/>
          <w:iCs/>
          <w:sz w:val="16"/>
          <w:szCs w:val="16"/>
        </w:rPr>
        <w:t>Rebooting AI: Building Artificial Intelligence We Can Trust</w:t>
      </w:r>
      <w:r w:rsidRPr="00AC18AB">
        <w:rPr>
          <w:sz w:val="16"/>
          <w:szCs w:val="16"/>
        </w:rPr>
        <w:t xml:space="preserve"> (First edition, Pantheon Books 2019) 5-10. Royal Society, ‘Digital Healthcare: The Impact of Information and Communication Technologies on Health and Healthcare’ (2006) Ch 4.</w:t>
      </w:r>
    </w:p>
  </w:footnote>
  <w:footnote w:id="26">
    <w:p w14:paraId="412F9201" w14:textId="7777777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D Warner, J Sale and E </w:t>
      </w:r>
      <w:proofErr w:type="spellStart"/>
      <w:r w:rsidRPr="00AC18AB">
        <w:rPr>
          <w:sz w:val="16"/>
          <w:szCs w:val="16"/>
        </w:rPr>
        <w:t>Viirre</w:t>
      </w:r>
      <w:proofErr w:type="spellEnd"/>
      <w:r w:rsidRPr="00AC18AB">
        <w:rPr>
          <w:sz w:val="16"/>
          <w:szCs w:val="16"/>
        </w:rPr>
        <w:t>, ‘Distributed Medical Intelligence. A Systems Approach for Developing and Integrative Health Care Information Distribution Infrastructure’ (1996) 29 Studies in Health Technology and Informatics 80.</w:t>
      </w:r>
    </w:p>
  </w:footnote>
  <w:footnote w:id="27">
    <w:p w14:paraId="590105B5" w14:textId="3251387C"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Tim K Mackey and others, ‘“Fit-for-Purpose?” - Challenges and Opportunities for Applications of Blockchain Technology in the Future of Healthcare’ (2019) 17 BMC medicine 68,  Gary Leeming, James Cunningham and John Ainsworth, ‘A Ledger of Me: Personalizing Healthcare Using Blockchain Technology’ (2019) 6 Frontiers in Medicine 171 and Dee Luo and others, ‘Mobile Apps for Individuals With Rheumatoid Arthritis: A Systematic Review’ (2019) 25 Journal of Clinical Rheumatology: Practical Reports on Rheumatic &amp; Musculoskeletal Diseases 133.</w:t>
      </w:r>
    </w:p>
  </w:footnote>
  <w:footnote w:id="28">
    <w:p w14:paraId="1744C653" w14:textId="70F0B9D9"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Naomi J </w:t>
      </w:r>
      <w:proofErr w:type="spellStart"/>
      <w:r w:rsidRPr="00AC18AB">
        <w:rPr>
          <w:sz w:val="16"/>
          <w:szCs w:val="16"/>
        </w:rPr>
        <w:t>Fulop</w:t>
      </w:r>
      <w:proofErr w:type="spellEnd"/>
      <w:r w:rsidRPr="00AC18AB">
        <w:rPr>
          <w:sz w:val="16"/>
          <w:szCs w:val="16"/>
        </w:rPr>
        <w:t xml:space="preserve"> and Angus IG Ramsay, ‘How Organisations Contribute to Improving the Quality of Healthcare’ (2019) 365 BMJ.</w:t>
      </w:r>
    </w:p>
  </w:footnote>
  <w:footnote w:id="29">
    <w:p w14:paraId="44792243" w14:textId="020F71CD"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David J Duffy, ‘Problems, Challenges and Promises: Perspectives on Precision Medicine’ (2016) 17 Briefings in Bioinformatics 494 and Aisling McMahon, Alena </w:t>
      </w:r>
      <w:proofErr w:type="spellStart"/>
      <w:r w:rsidRPr="00AC18AB">
        <w:rPr>
          <w:sz w:val="16"/>
          <w:szCs w:val="16"/>
        </w:rPr>
        <w:t>Buyx</w:t>
      </w:r>
      <w:proofErr w:type="spellEnd"/>
      <w:r w:rsidRPr="00AC18AB">
        <w:rPr>
          <w:sz w:val="16"/>
          <w:szCs w:val="16"/>
        </w:rPr>
        <w:t xml:space="preserve"> and Barbara </w:t>
      </w:r>
      <w:proofErr w:type="spellStart"/>
      <w:r w:rsidRPr="00AC18AB">
        <w:rPr>
          <w:sz w:val="16"/>
          <w:szCs w:val="16"/>
        </w:rPr>
        <w:t>Prainsack</w:t>
      </w:r>
      <w:proofErr w:type="spellEnd"/>
      <w:r w:rsidRPr="00AC18AB">
        <w:rPr>
          <w:sz w:val="16"/>
          <w:szCs w:val="16"/>
        </w:rPr>
        <w:t>, ‘Big Data Governance Needs More Collective Responsibility: The Role of Harm Mitigation in the Governance of Data Use in Medicine and Beyond’ [2019] Medical Law Review 1, 2-5.</w:t>
      </w:r>
    </w:p>
  </w:footnote>
  <w:footnote w:id="30">
    <w:p w14:paraId="76244272" w14:textId="163C6645"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Cameron Holley, Neil </w:t>
      </w:r>
      <w:proofErr w:type="spellStart"/>
      <w:r w:rsidRPr="00AC18AB">
        <w:rPr>
          <w:sz w:val="16"/>
          <w:szCs w:val="16"/>
        </w:rPr>
        <w:t>Gunningham</w:t>
      </w:r>
      <w:proofErr w:type="spellEnd"/>
      <w:r w:rsidRPr="00AC18AB">
        <w:rPr>
          <w:sz w:val="16"/>
          <w:szCs w:val="16"/>
        </w:rPr>
        <w:t xml:space="preserve"> and Clifford D Shearing, The New Environmental Governance (Earthscan 2012) 4-7.</w:t>
      </w:r>
    </w:p>
  </w:footnote>
  <w:footnote w:id="31">
    <w:p w14:paraId="68161502" w14:textId="04B65E2C"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Department of Health and Social Care, </w:t>
      </w:r>
      <w:r w:rsidRPr="00AC18AB">
        <w:rPr>
          <w:i/>
          <w:iCs/>
          <w:sz w:val="16"/>
          <w:szCs w:val="16"/>
        </w:rPr>
        <w:t>The future of healthcare: our vision for digital, data and technology in health and care</w:t>
      </w:r>
      <w:r w:rsidRPr="00AC18AB">
        <w:rPr>
          <w:sz w:val="16"/>
          <w:szCs w:val="16"/>
        </w:rPr>
        <w:t xml:space="preserve"> (n 1).</w:t>
      </w:r>
    </w:p>
  </w:footnote>
  <w:footnote w:id="32">
    <w:p w14:paraId="3230E8D6" w14:textId="4119767B"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EDPS, ‘A Preliminary Opinion on data protection and scientific research’, 6 January 2020.</w:t>
      </w:r>
    </w:p>
  </w:footnote>
  <w:footnote w:id="33">
    <w:p w14:paraId="19611DEE" w14:textId="6D718E43"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Lon Fuller, </w:t>
      </w:r>
      <w:r w:rsidRPr="00AC18AB">
        <w:rPr>
          <w:i/>
          <w:iCs/>
          <w:sz w:val="16"/>
          <w:szCs w:val="16"/>
        </w:rPr>
        <w:t>The Morality of Law</w:t>
      </w:r>
      <w:r w:rsidRPr="00AC18AB">
        <w:rPr>
          <w:sz w:val="16"/>
          <w:szCs w:val="16"/>
        </w:rPr>
        <w:t xml:space="preserve"> (Yale University Press; Revised edition </w:t>
      </w:r>
      <w:proofErr w:type="spellStart"/>
      <w:r w:rsidRPr="00AC18AB">
        <w:rPr>
          <w:sz w:val="16"/>
          <w:szCs w:val="16"/>
        </w:rPr>
        <w:t>edition</w:t>
      </w:r>
      <w:proofErr w:type="spellEnd"/>
      <w:r w:rsidRPr="00AC18AB">
        <w:rPr>
          <w:sz w:val="16"/>
          <w:szCs w:val="16"/>
        </w:rPr>
        <w:t>, 1977) 106. See also EDPS, ‘Opinion 5/2018 Preliminary Opinion on privacy by design’, 31 May 2018, 10 and EDPS ‘Opinion 7/2015, Meeting the Challenges of Big Data: A Call for transparency, user control, data protection by design and accountability’, 19 November 2015, 16-17.</w:t>
      </w:r>
    </w:p>
  </w:footnote>
  <w:footnote w:id="34">
    <w:p w14:paraId="3DC5F22D" w14:textId="6BD35476" w:rsidR="00980E14" w:rsidRPr="00AC18AB" w:rsidRDefault="00980E14" w:rsidP="000D048C">
      <w:pPr>
        <w:rPr>
          <w:sz w:val="16"/>
          <w:szCs w:val="16"/>
        </w:rPr>
      </w:pPr>
      <w:r w:rsidRPr="00AC18AB">
        <w:rPr>
          <w:rStyle w:val="FootnoteReference"/>
          <w:sz w:val="16"/>
          <w:szCs w:val="16"/>
        </w:rPr>
        <w:footnoteRef/>
      </w:r>
      <w:r w:rsidRPr="00AC18AB">
        <w:rPr>
          <w:sz w:val="16"/>
          <w:szCs w:val="16"/>
        </w:rPr>
        <w:t xml:space="preserve"> EDPS, ‘Accountability on the ground Part II: Data Protection Impact Assessments &amp; Prior Consultation’ (v1.9 July 2019), 5</w:t>
      </w:r>
    </w:p>
  </w:footnote>
  <w:footnote w:id="35">
    <w:p w14:paraId="6DE88375" w14:textId="32FE90C6"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Orla Lynskey, The foundations of EU data protection law (OUP, 2015) Ch 3 and Gloria González </w:t>
      </w:r>
      <w:proofErr w:type="spellStart"/>
      <w:r w:rsidRPr="00AC18AB">
        <w:rPr>
          <w:sz w:val="16"/>
          <w:szCs w:val="16"/>
        </w:rPr>
        <w:t>Fuster</w:t>
      </w:r>
      <w:proofErr w:type="spellEnd"/>
      <w:r w:rsidRPr="00AC18AB">
        <w:rPr>
          <w:sz w:val="16"/>
          <w:szCs w:val="16"/>
        </w:rPr>
        <w:t xml:space="preserve">, </w:t>
      </w:r>
      <w:r w:rsidRPr="00AC18AB">
        <w:rPr>
          <w:i/>
          <w:iCs/>
          <w:sz w:val="16"/>
          <w:szCs w:val="16"/>
        </w:rPr>
        <w:t>The Emergence of Personal Data Protection as a Fundamental Right of the EU</w:t>
      </w:r>
      <w:r w:rsidRPr="00AC18AB">
        <w:rPr>
          <w:sz w:val="16"/>
          <w:szCs w:val="16"/>
        </w:rPr>
        <w:t xml:space="preserve"> (Springer 2014) Ch 2.</w:t>
      </w:r>
    </w:p>
  </w:footnote>
  <w:footnote w:id="36">
    <w:p w14:paraId="0C081AEA" w14:textId="00FF7368"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Claudia Martínez Imogen Farhan, ‘Making the right choices: Using data-driven technology to transform mental healthcare’ (2018) &lt; https://reform.co.uk/index.php/research/data-driven-healthcare-regulation-regulators&gt; 31-39.</w:t>
      </w:r>
    </w:p>
  </w:footnote>
  <w:footnote w:id="37">
    <w:p w14:paraId="2DFD3CC7" w14:textId="7654B284"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Academy of Royal Medical Colleges, ‘Artificial Intelligence in Healthcare’ (2019) 23.</w:t>
      </w:r>
    </w:p>
  </w:footnote>
  <w:footnote w:id="38">
    <w:p w14:paraId="671179DA" w14:textId="6ECE722F"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NHSx, ‘Artificial Intelligence: How to get it right Putting policy into practice for safe data-driven innovation in health and care’ (n 4) 28-36.</w:t>
      </w:r>
    </w:p>
  </w:footnote>
  <w:footnote w:id="39">
    <w:p w14:paraId="247C9F0D" w14:textId="03AF2FCC"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EDPS, ‘Accountability on the ground Part II: Data Protection Impact Assessments &amp; Prior Consultation’ (n 33) 5.</w:t>
      </w:r>
    </w:p>
  </w:footnote>
  <w:footnote w:id="40">
    <w:p w14:paraId="5BEE7D0E" w14:textId="7DFAF430"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European Data Protection Board, ‘Guidelines 1/2019 on Codes of Conduct and Monitoring Bodies under Regulation 2016/679, adopted 12 February 2019, para 7.</w:t>
      </w:r>
    </w:p>
  </w:footnote>
  <w:footnote w:id="41">
    <w:p w14:paraId="674058ED" w14:textId="06A1CAFD"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Tony Prosser, The Regulatory Enterprise: Government, Regulation, and Legitimacy (OUP, 2010) 2-3.</w:t>
      </w:r>
    </w:p>
  </w:footnote>
  <w:footnote w:id="42">
    <w:p w14:paraId="2AA069F2" w14:textId="2DC840C0"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for example ECtHR, I v Finland, No. 20511/03, 17 July 2008, paragraph 38 and ECHR 25 November 2008, 2010] ECHR 2229, 36919/02, paragraph 40.</w:t>
      </w:r>
    </w:p>
  </w:footnote>
  <w:footnote w:id="43">
    <w:p w14:paraId="670D2754" w14:textId="03272982"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for example EDPS Opinion on the Commission proposals for a Regulation on medical devices, and amending Directive 2001/83/EC, Regulation (EC) No 178/2002 and Regulation (EC) No 1223/2009 and a Regulation on in vitro diagnostic medical devices, 8 February 2013, para 4-13. Also see Article 29 Working </w:t>
      </w:r>
      <w:proofErr w:type="gramStart"/>
      <w:r w:rsidRPr="00AC18AB">
        <w:rPr>
          <w:sz w:val="16"/>
          <w:szCs w:val="16"/>
        </w:rPr>
        <w:t>Party,  ‘</w:t>
      </w:r>
      <w:proofErr w:type="gramEnd"/>
      <w:r w:rsidRPr="00AC18AB">
        <w:rPr>
          <w:sz w:val="16"/>
          <w:szCs w:val="16"/>
        </w:rPr>
        <w:t>Opinion on apps on smart devices’, adopted 27 February 2013 (WP 202</w:t>
      </w:r>
      <w:r w:rsidR="00F25535" w:rsidRPr="00AC18AB">
        <w:rPr>
          <w:sz w:val="16"/>
          <w:szCs w:val="16"/>
        </w:rPr>
        <w:t>)</w:t>
      </w:r>
      <w:r w:rsidRPr="00AC18AB">
        <w:rPr>
          <w:sz w:val="16"/>
          <w:szCs w:val="16"/>
        </w:rPr>
        <w:t>.</w:t>
      </w:r>
    </w:p>
  </w:footnote>
  <w:footnote w:id="44">
    <w:p w14:paraId="7EAAA71D" w14:textId="071B710D"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Article 29 Working Party</w:t>
      </w:r>
      <w:r w:rsidR="00F25535" w:rsidRPr="00AC18AB">
        <w:rPr>
          <w:sz w:val="16"/>
          <w:szCs w:val="16"/>
        </w:rPr>
        <w:t>,</w:t>
      </w:r>
      <w:r w:rsidRPr="00AC18AB">
        <w:rPr>
          <w:sz w:val="16"/>
          <w:szCs w:val="16"/>
        </w:rPr>
        <w:t xml:space="preserve"> </w:t>
      </w:r>
      <w:r w:rsidR="00F25535" w:rsidRPr="00AC18AB">
        <w:rPr>
          <w:sz w:val="16"/>
          <w:szCs w:val="16"/>
        </w:rPr>
        <w:t>‘</w:t>
      </w:r>
      <w:r w:rsidRPr="00AC18AB">
        <w:rPr>
          <w:sz w:val="16"/>
          <w:szCs w:val="16"/>
        </w:rPr>
        <w:t xml:space="preserve">Opinion 1/2010 on the concepts of "controller" and "processor", </w:t>
      </w:r>
      <w:r w:rsidR="00F25535" w:rsidRPr="00AC18AB">
        <w:rPr>
          <w:sz w:val="16"/>
          <w:szCs w:val="16"/>
        </w:rPr>
        <w:t>adopted on 16 February 2010) (</w:t>
      </w:r>
      <w:r w:rsidRPr="00AC18AB">
        <w:rPr>
          <w:sz w:val="16"/>
          <w:szCs w:val="16"/>
        </w:rPr>
        <w:t>WP 169</w:t>
      </w:r>
      <w:r w:rsidR="00F25535" w:rsidRPr="00AC18AB">
        <w:rPr>
          <w:sz w:val="16"/>
          <w:szCs w:val="16"/>
        </w:rPr>
        <w:t>)</w:t>
      </w:r>
      <w:r w:rsidRPr="00AC18AB">
        <w:rPr>
          <w:sz w:val="16"/>
          <w:szCs w:val="16"/>
        </w:rPr>
        <w:t>.</w:t>
      </w:r>
    </w:p>
  </w:footnote>
  <w:footnote w:id="45">
    <w:p w14:paraId="73DA0F6C" w14:textId="54BD4E2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Menno Mostert et al, ‘From Privacy to Data Protection in the EU: Implications for Big Data Health Research’ (2017)</w:t>
      </w:r>
      <w:r w:rsidR="00F25535" w:rsidRPr="00AC18AB">
        <w:rPr>
          <w:sz w:val="16"/>
          <w:szCs w:val="16"/>
        </w:rPr>
        <w:t xml:space="preserve"> </w:t>
      </w:r>
      <w:r w:rsidRPr="00AC18AB">
        <w:rPr>
          <w:sz w:val="16"/>
          <w:szCs w:val="16"/>
        </w:rPr>
        <w:t>25(1) European Journal of Health Law 43, 44.</w:t>
      </w:r>
    </w:p>
  </w:footnote>
  <w:footnote w:id="46">
    <w:p w14:paraId="0F8EA73C" w14:textId="7777777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It is beyond the scope of this chapter to assess if the appropriate balance has been struck.</w:t>
      </w:r>
    </w:p>
  </w:footnote>
  <w:footnote w:id="47">
    <w:p w14:paraId="6EB26C28" w14:textId="7A3DB03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w:t>
      </w:r>
      <w:r w:rsidR="00F25535" w:rsidRPr="00AC18AB">
        <w:rPr>
          <w:sz w:val="16"/>
          <w:szCs w:val="16"/>
        </w:rPr>
        <w:t>EDPS</w:t>
      </w:r>
      <w:r w:rsidRPr="00AC18AB">
        <w:rPr>
          <w:sz w:val="16"/>
          <w:szCs w:val="16"/>
        </w:rPr>
        <w:t xml:space="preserve">, </w:t>
      </w:r>
      <w:r w:rsidR="00F25535" w:rsidRPr="00AC18AB">
        <w:rPr>
          <w:sz w:val="16"/>
          <w:szCs w:val="16"/>
        </w:rPr>
        <w:t>‘</w:t>
      </w:r>
      <w:r w:rsidRPr="00AC18AB">
        <w:rPr>
          <w:sz w:val="16"/>
          <w:szCs w:val="16"/>
        </w:rPr>
        <w:t>Comments of the EDPS on a Proposal for a Regulation of the European Parliament and of the Council on a framework for the free-flow of non-personal data in the European Union</w:t>
      </w:r>
      <w:r w:rsidR="00F25535" w:rsidRPr="00AC18AB">
        <w:rPr>
          <w:sz w:val="16"/>
          <w:szCs w:val="16"/>
        </w:rPr>
        <w:t xml:space="preserve">’, 8 June 2018, &lt; https://edps.europa.eu/data-protection/our-work/publications/comments/edps-comments-framework-free-flow-non-personal-data_en &gt; 2-6. </w:t>
      </w:r>
      <w:proofErr w:type="gramStart"/>
      <w:r w:rsidR="00F25535" w:rsidRPr="00AC18AB">
        <w:rPr>
          <w:sz w:val="16"/>
          <w:szCs w:val="16"/>
        </w:rPr>
        <w:t>Also</w:t>
      </w:r>
      <w:proofErr w:type="gramEnd"/>
      <w:r w:rsidR="00F25535" w:rsidRPr="00AC18AB">
        <w:rPr>
          <w:sz w:val="16"/>
          <w:szCs w:val="16"/>
        </w:rPr>
        <w:t xml:space="preserve"> Nadezhda </w:t>
      </w:r>
      <w:proofErr w:type="spellStart"/>
      <w:r w:rsidR="00F25535" w:rsidRPr="00AC18AB">
        <w:rPr>
          <w:sz w:val="16"/>
          <w:szCs w:val="16"/>
        </w:rPr>
        <w:t>Purtova</w:t>
      </w:r>
      <w:proofErr w:type="spellEnd"/>
      <w:r w:rsidR="00F25535" w:rsidRPr="00AC18AB">
        <w:rPr>
          <w:sz w:val="16"/>
          <w:szCs w:val="16"/>
        </w:rPr>
        <w:t>, ‘</w:t>
      </w:r>
      <w:r w:rsidRPr="00AC18AB">
        <w:rPr>
          <w:sz w:val="16"/>
          <w:szCs w:val="16"/>
        </w:rPr>
        <w:t>The law of everything. Broad concept of personal data and future of EU data protection law</w:t>
      </w:r>
      <w:r w:rsidR="00F25535" w:rsidRPr="00AC18AB">
        <w:rPr>
          <w:sz w:val="16"/>
          <w:szCs w:val="16"/>
        </w:rPr>
        <w:t xml:space="preserve">’ (2018) </w:t>
      </w:r>
      <w:r w:rsidRPr="00AC18AB">
        <w:rPr>
          <w:sz w:val="16"/>
          <w:szCs w:val="16"/>
        </w:rPr>
        <w:t xml:space="preserve">Law, Innovation and Technology 10(1) 40-81 </w:t>
      </w:r>
      <w:r w:rsidR="00F25535" w:rsidRPr="00AC18AB">
        <w:rPr>
          <w:sz w:val="16"/>
          <w:szCs w:val="16"/>
        </w:rPr>
        <w:t xml:space="preserve">Tal </w:t>
      </w:r>
      <w:r w:rsidRPr="00AC18AB">
        <w:rPr>
          <w:sz w:val="16"/>
          <w:szCs w:val="16"/>
        </w:rPr>
        <w:t xml:space="preserve">Zarsky </w:t>
      </w:r>
      <w:r w:rsidR="00F25535" w:rsidRPr="00AC18AB">
        <w:rPr>
          <w:sz w:val="16"/>
          <w:szCs w:val="16"/>
        </w:rPr>
        <w:t>‘</w:t>
      </w:r>
      <w:r w:rsidRPr="00AC18AB">
        <w:rPr>
          <w:sz w:val="16"/>
          <w:szCs w:val="16"/>
        </w:rPr>
        <w:t>Incompatible: The GDPR in the age of big data</w:t>
      </w:r>
      <w:r w:rsidR="00F25535" w:rsidRPr="00AC18AB">
        <w:rPr>
          <w:sz w:val="16"/>
          <w:szCs w:val="16"/>
        </w:rPr>
        <w:t>’ (2016)</w:t>
      </w:r>
      <w:r w:rsidRPr="00AC18AB">
        <w:rPr>
          <w:sz w:val="16"/>
          <w:szCs w:val="16"/>
        </w:rPr>
        <w:t xml:space="preserve"> Seton Hall L. Rev 47</w:t>
      </w:r>
      <w:r w:rsidR="00F25535" w:rsidRPr="00AC18AB">
        <w:rPr>
          <w:sz w:val="16"/>
          <w:szCs w:val="16"/>
        </w:rPr>
        <w:t xml:space="preserve"> and</w:t>
      </w:r>
      <w:r w:rsidRPr="00AC18AB">
        <w:rPr>
          <w:sz w:val="16"/>
          <w:szCs w:val="16"/>
        </w:rPr>
        <w:t xml:space="preserve"> </w:t>
      </w:r>
      <w:r w:rsidR="00F25535" w:rsidRPr="00AC18AB">
        <w:rPr>
          <w:sz w:val="16"/>
          <w:szCs w:val="16"/>
        </w:rPr>
        <w:t>Raphaël Gellert, ‘</w:t>
      </w:r>
      <w:r w:rsidRPr="00AC18AB">
        <w:rPr>
          <w:sz w:val="16"/>
          <w:szCs w:val="16"/>
        </w:rPr>
        <w:t>Understanding the notion of risk in the General Data Protection Regulation</w:t>
      </w:r>
      <w:r w:rsidR="00F25535" w:rsidRPr="00AC18AB">
        <w:rPr>
          <w:sz w:val="16"/>
          <w:szCs w:val="16"/>
        </w:rPr>
        <w:t xml:space="preserve">’ (2018) </w:t>
      </w:r>
      <w:r w:rsidRPr="00AC18AB">
        <w:rPr>
          <w:sz w:val="16"/>
          <w:szCs w:val="16"/>
        </w:rPr>
        <w:t>Computer Law &amp; Security Review 34(2) 279-288.</w:t>
      </w:r>
    </w:p>
  </w:footnote>
  <w:footnote w:id="48">
    <w:p w14:paraId="4DEC1FAF" w14:textId="797528E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Boston Consulting Group, ‘The Value of our Digital Identity’</w:t>
      </w:r>
      <w:r w:rsidR="00F25535" w:rsidRPr="00AC18AB">
        <w:rPr>
          <w:sz w:val="16"/>
          <w:szCs w:val="16"/>
        </w:rPr>
        <w:t xml:space="preserve"> (</w:t>
      </w:r>
      <w:r w:rsidRPr="00AC18AB">
        <w:rPr>
          <w:sz w:val="16"/>
          <w:szCs w:val="16"/>
        </w:rPr>
        <w:t>2012</w:t>
      </w:r>
      <w:r w:rsidR="00F25535" w:rsidRPr="00AC18AB">
        <w:rPr>
          <w:sz w:val="16"/>
          <w:szCs w:val="16"/>
        </w:rPr>
        <w:t>) &lt;</w:t>
      </w:r>
      <w:r w:rsidRPr="00AC18AB">
        <w:rPr>
          <w:sz w:val="16"/>
          <w:szCs w:val="16"/>
        </w:rPr>
        <w:t>http://www.libertyglobal.com/PDF/public-policy/The-Value-of-Our-Digital-Identity.pdf</w:t>
      </w:r>
      <w:proofErr w:type="gramStart"/>
      <w:r w:rsidR="00F25535" w:rsidRPr="00AC18AB">
        <w:rPr>
          <w:sz w:val="16"/>
          <w:szCs w:val="16"/>
        </w:rPr>
        <w:t>&gt;</w:t>
      </w:r>
      <w:r w:rsidRPr="00AC18AB">
        <w:rPr>
          <w:sz w:val="16"/>
          <w:szCs w:val="16"/>
        </w:rPr>
        <w:t xml:space="preserve"> .</w:t>
      </w:r>
      <w:proofErr w:type="gramEnd"/>
    </w:p>
  </w:footnote>
  <w:footnote w:id="49">
    <w:p w14:paraId="76885ECD" w14:textId="1EAF9A1D"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Michael Phillips and others, ‘Assessment of Accuracy of an Artificial Intelligence Algorithm to Detect Melanoma in Images of Skin Lesions’ (2019) 2 JAMA Network Open e1913436.</w:t>
      </w:r>
    </w:p>
  </w:footnote>
  <w:footnote w:id="50">
    <w:p w14:paraId="68A9E3B1" w14:textId="36A771CD"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also Recital 35</w:t>
      </w:r>
      <w:r w:rsidR="00F25535" w:rsidRPr="00AC18AB">
        <w:rPr>
          <w:sz w:val="16"/>
          <w:szCs w:val="16"/>
        </w:rPr>
        <w:t xml:space="preserve"> GDPR.</w:t>
      </w:r>
    </w:p>
  </w:footnote>
  <w:footnote w:id="51">
    <w:p w14:paraId="5890FC01" w14:textId="0408491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Recital 26</w:t>
      </w:r>
      <w:r w:rsidR="00F25535" w:rsidRPr="00AC18AB">
        <w:rPr>
          <w:sz w:val="16"/>
          <w:szCs w:val="16"/>
        </w:rPr>
        <w:t xml:space="preserve"> GDPR.</w:t>
      </w:r>
    </w:p>
  </w:footnote>
  <w:footnote w:id="52">
    <w:p w14:paraId="4D20921F" w14:textId="3A9A7806"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4(5) and Recital 26</w:t>
      </w:r>
      <w:r w:rsidR="00F25535" w:rsidRPr="00AC18AB">
        <w:rPr>
          <w:sz w:val="16"/>
          <w:szCs w:val="16"/>
        </w:rPr>
        <w:t xml:space="preserve"> GDPR</w:t>
      </w:r>
      <w:r w:rsidRPr="00AC18AB">
        <w:rPr>
          <w:sz w:val="16"/>
          <w:szCs w:val="16"/>
        </w:rPr>
        <w:t xml:space="preserve">. Miranda </w:t>
      </w:r>
      <w:proofErr w:type="spellStart"/>
      <w:r w:rsidRPr="00AC18AB">
        <w:rPr>
          <w:sz w:val="16"/>
          <w:szCs w:val="16"/>
        </w:rPr>
        <w:t>Mourby</w:t>
      </w:r>
      <w:proofErr w:type="spellEnd"/>
      <w:r w:rsidRPr="00AC18AB">
        <w:rPr>
          <w:sz w:val="16"/>
          <w:szCs w:val="16"/>
        </w:rPr>
        <w:t xml:space="preserve"> and others, ‘Are “Pseudonymised” Data Always Personal Data? Implications of the GDPR for Administrative Data Research in the UK’ (2018) 34 Computer Law &amp; Security Review 222</w:t>
      </w:r>
      <w:r w:rsidR="00F25535" w:rsidRPr="00AC18AB">
        <w:rPr>
          <w:sz w:val="16"/>
          <w:szCs w:val="16"/>
        </w:rPr>
        <w:t>.</w:t>
      </w:r>
    </w:p>
  </w:footnote>
  <w:footnote w:id="53">
    <w:p w14:paraId="75928E58" w14:textId="3C9F2186"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Nadezhda </w:t>
      </w:r>
      <w:proofErr w:type="spellStart"/>
      <w:r w:rsidRPr="00AC18AB">
        <w:rPr>
          <w:sz w:val="16"/>
          <w:szCs w:val="16"/>
        </w:rPr>
        <w:t>Purtova</w:t>
      </w:r>
      <w:proofErr w:type="spellEnd"/>
      <w:r w:rsidRPr="00AC18AB">
        <w:rPr>
          <w:sz w:val="16"/>
          <w:szCs w:val="16"/>
        </w:rPr>
        <w:t xml:space="preserve">, </w:t>
      </w:r>
      <w:r w:rsidR="00F25535" w:rsidRPr="00AC18AB">
        <w:rPr>
          <w:sz w:val="16"/>
          <w:szCs w:val="16"/>
        </w:rPr>
        <w:t>‘</w:t>
      </w:r>
      <w:r w:rsidRPr="00AC18AB">
        <w:rPr>
          <w:sz w:val="16"/>
          <w:szCs w:val="16"/>
        </w:rPr>
        <w:t>Property Rights in Personal Data: Learning from the American Discourse</w:t>
      </w:r>
      <w:r w:rsidR="00F25535" w:rsidRPr="00AC18AB">
        <w:rPr>
          <w:sz w:val="16"/>
          <w:szCs w:val="16"/>
        </w:rPr>
        <w:t xml:space="preserve">’ (2009) </w:t>
      </w:r>
      <w:r w:rsidRPr="00AC18AB">
        <w:rPr>
          <w:sz w:val="16"/>
          <w:szCs w:val="16"/>
        </w:rPr>
        <w:t>Computer Law &amp; Security Review 25</w:t>
      </w:r>
      <w:r w:rsidR="00F25535" w:rsidRPr="00AC18AB">
        <w:rPr>
          <w:sz w:val="16"/>
          <w:szCs w:val="16"/>
        </w:rPr>
        <w:t xml:space="preserve"> (</w:t>
      </w:r>
      <w:r w:rsidRPr="00AC18AB">
        <w:rPr>
          <w:sz w:val="16"/>
          <w:szCs w:val="16"/>
        </w:rPr>
        <w:t>6</w:t>
      </w:r>
      <w:r w:rsidR="00F25535" w:rsidRPr="00AC18AB">
        <w:rPr>
          <w:sz w:val="16"/>
          <w:szCs w:val="16"/>
        </w:rPr>
        <w:t>)</w:t>
      </w:r>
      <w:r w:rsidRPr="00AC18AB">
        <w:rPr>
          <w:sz w:val="16"/>
          <w:szCs w:val="16"/>
        </w:rPr>
        <w:t xml:space="preserve"> 507-521</w:t>
      </w:r>
      <w:r w:rsidR="00F25535" w:rsidRPr="00AC18AB">
        <w:rPr>
          <w:sz w:val="16"/>
          <w:szCs w:val="16"/>
        </w:rPr>
        <w:t>.</w:t>
      </w:r>
      <w:r w:rsidRPr="00AC18AB">
        <w:rPr>
          <w:sz w:val="16"/>
          <w:szCs w:val="16"/>
        </w:rPr>
        <w:t xml:space="preserve"> </w:t>
      </w:r>
    </w:p>
  </w:footnote>
  <w:footnote w:id="54">
    <w:p w14:paraId="126BB311" w14:textId="713845FC"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F25535" w:rsidRPr="00AC18AB">
        <w:rPr>
          <w:sz w:val="16"/>
          <w:szCs w:val="16"/>
        </w:rPr>
        <w:t xml:space="preserve">For identifiability and </w:t>
      </w:r>
      <w:r w:rsidRPr="00AC18AB">
        <w:rPr>
          <w:sz w:val="16"/>
          <w:szCs w:val="16"/>
        </w:rPr>
        <w:t xml:space="preserve">dynamic IP addresses, see </w:t>
      </w:r>
      <w:r w:rsidR="00144B47" w:rsidRPr="00AC18AB">
        <w:rPr>
          <w:sz w:val="16"/>
          <w:szCs w:val="16"/>
        </w:rPr>
        <w:t xml:space="preserve">CJEU, C-582/14, Patrick </w:t>
      </w:r>
      <w:proofErr w:type="spellStart"/>
      <w:r w:rsidR="00144B47" w:rsidRPr="00AC18AB">
        <w:rPr>
          <w:sz w:val="16"/>
          <w:szCs w:val="16"/>
        </w:rPr>
        <w:t>Breyer</w:t>
      </w:r>
      <w:proofErr w:type="spellEnd"/>
      <w:r w:rsidR="00144B47" w:rsidRPr="00AC18AB">
        <w:rPr>
          <w:sz w:val="16"/>
          <w:szCs w:val="16"/>
        </w:rPr>
        <w:t xml:space="preserve"> v. </w:t>
      </w:r>
      <w:proofErr w:type="spellStart"/>
      <w:r w:rsidR="00144B47" w:rsidRPr="00AC18AB">
        <w:rPr>
          <w:sz w:val="16"/>
          <w:szCs w:val="16"/>
        </w:rPr>
        <w:t>Bundesrepublik</w:t>
      </w:r>
      <w:proofErr w:type="spellEnd"/>
      <w:r w:rsidR="00144B47" w:rsidRPr="00AC18AB">
        <w:rPr>
          <w:sz w:val="16"/>
          <w:szCs w:val="16"/>
        </w:rPr>
        <w:t xml:space="preserve"> Deutschland, 19 October 2016. </w:t>
      </w:r>
      <w:proofErr w:type="gramStart"/>
      <w:r w:rsidR="00144B47" w:rsidRPr="00AC18AB">
        <w:rPr>
          <w:sz w:val="16"/>
          <w:szCs w:val="16"/>
        </w:rPr>
        <w:t>Also</w:t>
      </w:r>
      <w:proofErr w:type="gramEnd"/>
      <w:r w:rsidR="00144B47" w:rsidRPr="00AC18AB">
        <w:rPr>
          <w:sz w:val="16"/>
          <w:szCs w:val="16"/>
        </w:rPr>
        <w:t xml:space="preserve"> observations in CJEU, C-70/10, Scarlet Extended SA v. Société </w:t>
      </w:r>
      <w:proofErr w:type="spellStart"/>
      <w:r w:rsidR="00144B47" w:rsidRPr="00AC18AB">
        <w:rPr>
          <w:sz w:val="16"/>
          <w:szCs w:val="16"/>
        </w:rPr>
        <w:t>belge</w:t>
      </w:r>
      <w:proofErr w:type="spellEnd"/>
      <w:r w:rsidR="00144B47" w:rsidRPr="00AC18AB">
        <w:rPr>
          <w:sz w:val="16"/>
          <w:szCs w:val="16"/>
        </w:rPr>
        <w:t xml:space="preserve"> des auteurs, </w:t>
      </w:r>
      <w:proofErr w:type="spellStart"/>
      <w:r w:rsidR="00144B47" w:rsidRPr="00AC18AB">
        <w:rPr>
          <w:sz w:val="16"/>
          <w:szCs w:val="16"/>
        </w:rPr>
        <w:t>compositeurs</w:t>
      </w:r>
      <w:proofErr w:type="spellEnd"/>
      <w:r w:rsidR="00144B47" w:rsidRPr="00AC18AB">
        <w:rPr>
          <w:sz w:val="16"/>
          <w:szCs w:val="16"/>
        </w:rPr>
        <w:t xml:space="preserve"> et </w:t>
      </w:r>
      <w:proofErr w:type="spellStart"/>
      <w:r w:rsidR="00144B47" w:rsidRPr="00AC18AB">
        <w:rPr>
          <w:sz w:val="16"/>
          <w:szCs w:val="16"/>
        </w:rPr>
        <w:t>éditeurs</w:t>
      </w:r>
      <w:proofErr w:type="spellEnd"/>
      <w:r w:rsidR="00144B47" w:rsidRPr="00AC18AB">
        <w:rPr>
          <w:sz w:val="16"/>
          <w:szCs w:val="16"/>
        </w:rPr>
        <w:t xml:space="preserve"> SCRL (SABAM), 24 November 2011 para 51</w:t>
      </w:r>
      <w:r w:rsidRPr="00AC18AB">
        <w:rPr>
          <w:sz w:val="16"/>
          <w:szCs w:val="16"/>
        </w:rPr>
        <w:t>.</w:t>
      </w:r>
    </w:p>
  </w:footnote>
  <w:footnote w:id="55">
    <w:p w14:paraId="48C158A2" w14:textId="165BE758"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144B47" w:rsidRPr="00AC18AB">
        <w:rPr>
          <w:sz w:val="16"/>
          <w:szCs w:val="16"/>
        </w:rPr>
        <w:t xml:space="preserve">ECtHR, </w:t>
      </w:r>
      <w:proofErr w:type="spellStart"/>
      <w:r w:rsidR="00144B47" w:rsidRPr="00AC18AB">
        <w:rPr>
          <w:sz w:val="16"/>
          <w:szCs w:val="16"/>
        </w:rPr>
        <w:t>Szuluk</w:t>
      </w:r>
      <w:proofErr w:type="spellEnd"/>
      <w:r w:rsidR="00144B47" w:rsidRPr="00AC18AB">
        <w:rPr>
          <w:sz w:val="16"/>
          <w:szCs w:val="16"/>
        </w:rPr>
        <w:t xml:space="preserve"> v the United Kingdom, No. 36936/05, 2 June 2009</w:t>
      </w:r>
      <w:r w:rsidR="00932281" w:rsidRPr="00AC18AB">
        <w:rPr>
          <w:sz w:val="16"/>
          <w:szCs w:val="16"/>
        </w:rPr>
        <w:t xml:space="preserve"> and</w:t>
      </w:r>
      <w:r w:rsidR="00144B47" w:rsidRPr="00AC18AB">
        <w:rPr>
          <w:sz w:val="16"/>
          <w:szCs w:val="16"/>
        </w:rPr>
        <w:t xml:space="preserve"> ‘Letter from Chair of Article 29 Working Party on new draft code of conduct’, 11 April 2018 &lt;https://ec.europa.eu/newsroom/article29/item-detail.cfm?item_id=625391</w:t>
      </w:r>
      <w:proofErr w:type="gramStart"/>
      <w:r w:rsidR="00144B47" w:rsidRPr="00AC18AB">
        <w:rPr>
          <w:sz w:val="16"/>
          <w:szCs w:val="16"/>
        </w:rPr>
        <w:t>&gt; .</w:t>
      </w:r>
      <w:proofErr w:type="gramEnd"/>
      <w:r w:rsidR="00144B47" w:rsidRPr="00AC18AB">
        <w:rPr>
          <w:sz w:val="16"/>
          <w:szCs w:val="16"/>
        </w:rPr>
        <w:t xml:space="preserve"> </w:t>
      </w:r>
    </w:p>
  </w:footnote>
  <w:footnote w:id="56">
    <w:p w14:paraId="3C72274D" w14:textId="055A8CE9"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Giovanni </w:t>
      </w:r>
      <w:proofErr w:type="spellStart"/>
      <w:r w:rsidRPr="00AC18AB">
        <w:rPr>
          <w:sz w:val="16"/>
          <w:szCs w:val="16"/>
        </w:rPr>
        <w:t>Comandè</w:t>
      </w:r>
      <w:proofErr w:type="spellEnd"/>
      <w:r w:rsidRPr="00AC18AB">
        <w:rPr>
          <w:sz w:val="16"/>
          <w:szCs w:val="16"/>
        </w:rPr>
        <w:t xml:space="preserve"> and Giulia Schneider, ‘Regulatory Challenges of Data Mining Practices: The Case of the Never-Ending Lifecycles of “Health Data”’ (2018) 25 European Journal of Health Law 284</w:t>
      </w:r>
      <w:r w:rsidR="00932281" w:rsidRPr="00AC18AB">
        <w:rPr>
          <w:sz w:val="16"/>
          <w:szCs w:val="16"/>
        </w:rPr>
        <w:t xml:space="preserve"> and </w:t>
      </w:r>
      <w:r w:rsidRPr="00AC18AB">
        <w:rPr>
          <w:sz w:val="16"/>
          <w:szCs w:val="16"/>
        </w:rPr>
        <w:t xml:space="preserve">OECD, </w:t>
      </w:r>
      <w:r w:rsidR="00932281" w:rsidRPr="00AC18AB">
        <w:rPr>
          <w:sz w:val="16"/>
          <w:szCs w:val="16"/>
        </w:rPr>
        <w:t>‘</w:t>
      </w:r>
      <w:r w:rsidRPr="00AC18AB">
        <w:rPr>
          <w:sz w:val="16"/>
          <w:szCs w:val="16"/>
        </w:rPr>
        <w:t>Data-Driven Innovation: Big Data for Growth and Well-Being</w:t>
      </w:r>
      <w:r w:rsidR="00932281" w:rsidRPr="00AC18AB">
        <w:rPr>
          <w:sz w:val="16"/>
          <w:szCs w:val="16"/>
        </w:rPr>
        <w:t>’, (2015)</w:t>
      </w:r>
      <w:r w:rsidRPr="00AC18AB">
        <w:rPr>
          <w:sz w:val="16"/>
          <w:szCs w:val="16"/>
        </w:rPr>
        <w:t xml:space="preserve"> &lt;https://www.oecd-ilibrary.org/science-and-technology/data-driven-innovation_9789264229358-en</w:t>
      </w:r>
      <w:proofErr w:type="gramStart"/>
      <w:r w:rsidRPr="00AC18AB">
        <w:rPr>
          <w:sz w:val="16"/>
          <w:szCs w:val="16"/>
        </w:rPr>
        <w:t>&gt; .</w:t>
      </w:r>
      <w:proofErr w:type="gramEnd"/>
      <w:r w:rsidRPr="00AC18AB">
        <w:rPr>
          <w:sz w:val="16"/>
          <w:szCs w:val="16"/>
        </w:rPr>
        <w:t xml:space="preserve"> </w:t>
      </w:r>
    </w:p>
  </w:footnote>
  <w:footnote w:id="57">
    <w:p w14:paraId="025A96C2" w14:textId="1056498C"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w:t>
      </w:r>
      <w:r w:rsidR="00932281" w:rsidRPr="00AC18AB">
        <w:rPr>
          <w:sz w:val="16"/>
          <w:szCs w:val="16"/>
        </w:rPr>
        <w:t xml:space="preserve"> Jaap-Henk </w:t>
      </w:r>
      <w:proofErr w:type="spellStart"/>
      <w:r w:rsidR="00932281" w:rsidRPr="00AC18AB">
        <w:rPr>
          <w:sz w:val="16"/>
          <w:szCs w:val="16"/>
        </w:rPr>
        <w:t>Hoepman</w:t>
      </w:r>
      <w:proofErr w:type="spellEnd"/>
      <w:r w:rsidR="00932281" w:rsidRPr="00AC18AB">
        <w:rPr>
          <w:sz w:val="16"/>
          <w:szCs w:val="16"/>
        </w:rPr>
        <w:t>, ‘Privacy Design Strategies (The Little Blue Book)’ (2019) &lt;</w:t>
      </w:r>
      <w:r w:rsidRPr="00AC18AB">
        <w:rPr>
          <w:sz w:val="16"/>
          <w:szCs w:val="16"/>
        </w:rPr>
        <w:t>https://www.cs.ru.nl/~jhh/publications/pds-booklet.pdf</w:t>
      </w:r>
      <w:r w:rsidR="00932281" w:rsidRPr="00AC18AB">
        <w:rPr>
          <w:sz w:val="16"/>
          <w:szCs w:val="16"/>
        </w:rPr>
        <w:t>&gt;.</w:t>
      </w:r>
    </w:p>
  </w:footnote>
  <w:footnote w:id="58">
    <w:p w14:paraId="68564586" w14:textId="44EBDB18"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European Commission</w:t>
      </w:r>
      <w:r w:rsidR="00932281" w:rsidRPr="00AC18AB">
        <w:rPr>
          <w:sz w:val="16"/>
          <w:szCs w:val="16"/>
        </w:rPr>
        <w:t>,</w:t>
      </w:r>
      <w:r w:rsidRPr="00AC18AB">
        <w:rPr>
          <w:sz w:val="16"/>
          <w:szCs w:val="16"/>
        </w:rPr>
        <w:t xml:space="preserve"> Communication on enabling the digital transformation of health and care in the Digital Single Market; empowering citizens and building a healthier society</w:t>
      </w:r>
      <w:r w:rsidR="00932281" w:rsidRPr="00AC18AB">
        <w:rPr>
          <w:sz w:val="16"/>
          <w:szCs w:val="16"/>
        </w:rPr>
        <w:t xml:space="preserve">, </w:t>
      </w:r>
      <w:r w:rsidRPr="00AC18AB">
        <w:rPr>
          <w:sz w:val="16"/>
          <w:szCs w:val="16"/>
        </w:rPr>
        <w:t>COM</w:t>
      </w:r>
      <w:r w:rsidR="00932281" w:rsidRPr="00AC18AB">
        <w:rPr>
          <w:sz w:val="16"/>
          <w:szCs w:val="16"/>
        </w:rPr>
        <w:t xml:space="preserve"> </w:t>
      </w:r>
      <w:r w:rsidRPr="00AC18AB">
        <w:rPr>
          <w:sz w:val="16"/>
          <w:szCs w:val="16"/>
        </w:rPr>
        <w:t>(2018)</w:t>
      </w:r>
      <w:r w:rsidR="00932281" w:rsidRPr="00AC18AB">
        <w:rPr>
          <w:sz w:val="16"/>
          <w:szCs w:val="16"/>
        </w:rPr>
        <w:t xml:space="preserve"> </w:t>
      </w:r>
      <w:r w:rsidRPr="00AC18AB">
        <w:rPr>
          <w:sz w:val="16"/>
          <w:szCs w:val="16"/>
        </w:rPr>
        <w:t xml:space="preserve">233. </w:t>
      </w:r>
      <w:r w:rsidR="00932281" w:rsidRPr="00AC18AB">
        <w:rPr>
          <w:sz w:val="16"/>
          <w:szCs w:val="16"/>
        </w:rPr>
        <w:t xml:space="preserve">See Simon </w:t>
      </w:r>
      <w:r w:rsidRPr="00AC18AB">
        <w:rPr>
          <w:sz w:val="16"/>
          <w:szCs w:val="16"/>
        </w:rPr>
        <w:t>Woo</w:t>
      </w:r>
      <w:r w:rsidR="00932281" w:rsidRPr="00AC18AB">
        <w:rPr>
          <w:sz w:val="16"/>
          <w:szCs w:val="16"/>
        </w:rPr>
        <w:t>ds, ‘</w:t>
      </w:r>
      <w:r w:rsidRPr="00AC18AB">
        <w:rPr>
          <w:sz w:val="16"/>
          <w:szCs w:val="16"/>
        </w:rPr>
        <w:t>Big Data Governance: Solidarity and the Patient Voice</w:t>
      </w:r>
      <w:r w:rsidR="00932281" w:rsidRPr="00AC18AB">
        <w:rPr>
          <w:sz w:val="16"/>
          <w:szCs w:val="16"/>
        </w:rPr>
        <w:t xml:space="preserve">’ in Brent Daniel </w:t>
      </w:r>
      <w:proofErr w:type="spellStart"/>
      <w:r w:rsidR="00932281" w:rsidRPr="00AC18AB">
        <w:rPr>
          <w:sz w:val="16"/>
          <w:szCs w:val="16"/>
        </w:rPr>
        <w:t>Mittelstadt</w:t>
      </w:r>
      <w:proofErr w:type="spellEnd"/>
      <w:r w:rsidR="00932281" w:rsidRPr="00AC18AB">
        <w:rPr>
          <w:sz w:val="16"/>
          <w:szCs w:val="16"/>
        </w:rPr>
        <w:t xml:space="preserve"> and Luciano Floridi (eds),</w:t>
      </w:r>
      <w:r w:rsidRPr="00AC18AB">
        <w:rPr>
          <w:sz w:val="16"/>
          <w:szCs w:val="16"/>
        </w:rPr>
        <w:t xml:space="preserve"> </w:t>
      </w:r>
      <w:r w:rsidRPr="00AC18AB">
        <w:rPr>
          <w:i/>
          <w:iCs/>
          <w:sz w:val="16"/>
          <w:szCs w:val="16"/>
        </w:rPr>
        <w:t>The Ethics of Biomedical Big Data</w:t>
      </w:r>
      <w:r w:rsidR="00932281" w:rsidRPr="00AC18AB">
        <w:rPr>
          <w:sz w:val="16"/>
          <w:szCs w:val="16"/>
        </w:rPr>
        <w:t xml:space="preserve"> (</w:t>
      </w:r>
      <w:r w:rsidRPr="00AC18AB">
        <w:rPr>
          <w:sz w:val="16"/>
          <w:szCs w:val="16"/>
        </w:rPr>
        <w:t>Springer, 2016</w:t>
      </w:r>
      <w:r w:rsidR="00932281" w:rsidRPr="00AC18AB">
        <w:rPr>
          <w:sz w:val="16"/>
          <w:szCs w:val="16"/>
        </w:rPr>
        <w:t xml:space="preserve">) </w:t>
      </w:r>
      <w:r w:rsidRPr="00AC18AB">
        <w:rPr>
          <w:sz w:val="16"/>
          <w:szCs w:val="16"/>
        </w:rPr>
        <w:t>221</w:t>
      </w:r>
      <w:r w:rsidR="00932281" w:rsidRPr="00AC18AB">
        <w:rPr>
          <w:sz w:val="16"/>
          <w:szCs w:val="16"/>
        </w:rPr>
        <w:t>-238 and</w:t>
      </w:r>
      <w:r w:rsidRPr="00AC18AB">
        <w:rPr>
          <w:sz w:val="16"/>
          <w:szCs w:val="16"/>
        </w:rPr>
        <w:t xml:space="preserve"> </w:t>
      </w:r>
      <w:r w:rsidR="00932281" w:rsidRPr="00AC18AB">
        <w:rPr>
          <w:sz w:val="16"/>
          <w:szCs w:val="16"/>
        </w:rPr>
        <w:t xml:space="preserve">Annemarie </w:t>
      </w:r>
      <w:r w:rsidRPr="00AC18AB">
        <w:rPr>
          <w:sz w:val="16"/>
          <w:szCs w:val="16"/>
        </w:rPr>
        <w:t>Mol</w:t>
      </w:r>
      <w:r w:rsidR="00932281" w:rsidRPr="00AC18AB">
        <w:rPr>
          <w:sz w:val="16"/>
          <w:szCs w:val="16"/>
        </w:rPr>
        <w:t xml:space="preserve">, </w:t>
      </w:r>
      <w:r w:rsidRPr="00AC18AB">
        <w:rPr>
          <w:i/>
          <w:iCs/>
          <w:sz w:val="16"/>
          <w:szCs w:val="16"/>
        </w:rPr>
        <w:t>The logic of care. Health and the problem of patient choice</w:t>
      </w:r>
      <w:r w:rsidR="00932281" w:rsidRPr="00AC18AB">
        <w:rPr>
          <w:sz w:val="16"/>
          <w:szCs w:val="16"/>
        </w:rPr>
        <w:t xml:space="preserve"> (</w:t>
      </w:r>
      <w:r w:rsidRPr="00AC18AB">
        <w:rPr>
          <w:sz w:val="16"/>
          <w:szCs w:val="16"/>
        </w:rPr>
        <w:t>Oxon: Routledge</w:t>
      </w:r>
      <w:r w:rsidR="00932281" w:rsidRPr="00AC18AB">
        <w:rPr>
          <w:sz w:val="16"/>
          <w:szCs w:val="16"/>
        </w:rPr>
        <w:t>,</w:t>
      </w:r>
      <w:r w:rsidRPr="00AC18AB">
        <w:rPr>
          <w:sz w:val="16"/>
          <w:szCs w:val="16"/>
        </w:rPr>
        <w:t xml:space="preserve"> 2008</w:t>
      </w:r>
      <w:r w:rsidR="00932281" w:rsidRPr="00AC18AB">
        <w:rPr>
          <w:sz w:val="16"/>
          <w:szCs w:val="16"/>
        </w:rPr>
        <w:t xml:space="preserve">) who argues how regulations frame choices </w:t>
      </w:r>
      <w:r w:rsidR="00851531" w:rsidRPr="00AC18AB">
        <w:rPr>
          <w:sz w:val="16"/>
          <w:szCs w:val="16"/>
        </w:rPr>
        <w:t>and create the impression of autonomy and freedom</w:t>
      </w:r>
      <w:r w:rsidRPr="00AC18AB">
        <w:rPr>
          <w:sz w:val="16"/>
          <w:szCs w:val="16"/>
        </w:rPr>
        <w:t>.</w:t>
      </w:r>
    </w:p>
  </w:footnote>
  <w:footnote w:id="59">
    <w:p w14:paraId="50B61699" w14:textId="303B9E6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CJEU, </w:t>
      </w:r>
      <w:proofErr w:type="gramStart"/>
      <w:r w:rsidRPr="00AC18AB">
        <w:rPr>
          <w:sz w:val="16"/>
          <w:szCs w:val="16"/>
        </w:rPr>
        <w:t>Joined</w:t>
      </w:r>
      <w:proofErr w:type="gramEnd"/>
      <w:r w:rsidRPr="00AC18AB">
        <w:rPr>
          <w:sz w:val="16"/>
          <w:szCs w:val="16"/>
        </w:rPr>
        <w:t xml:space="preserve"> cases C-92/09 and C-93/09, Volker und Markus Schecke GbR and Hartmut Eifert v Land Hessen [GC], 9 November 2010, para 48</w:t>
      </w:r>
      <w:r w:rsidR="00851531" w:rsidRPr="00AC18AB">
        <w:rPr>
          <w:sz w:val="16"/>
          <w:szCs w:val="16"/>
        </w:rPr>
        <w:t xml:space="preserve"> and </w:t>
      </w:r>
      <w:r w:rsidRPr="00AC18AB">
        <w:rPr>
          <w:sz w:val="16"/>
          <w:szCs w:val="16"/>
        </w:rPr>
        <w:t>Alvin Liu, ‘Smartphone-Based, Artificial Intelligence–Enabled Diabetic Retinopathy Screening’ (2019) 137 JAMA Ophthalmology 1188.</w:t>
      </w:r>
    </w:p>
  </w:footnote>
  <w:footnote w:id="60">
    <w:p w14:paraId="748DD228" w14:textId="155BD0B8"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w:t>
      </w:r>
      <w:r w:rsidR="00851531" w:rsidRPr="00AC18AB">
        <w:rPr>
          <w:sz w:val="16"/>
          <w:szCs w:val="16"/>
        </w:rPr>
        <w:t>EDPS, ‘Guidelines on a</w:t>
      </w:r>
      <w:r w:rsidRPr="00AC18AB">
        <w:rPr>
          <w:sz w:val="16"/>
          <w:szCs w:val="16"/>
        </w:rPr>
        <w:t>ssessing the proportionality of measures that limit the fundamental rights to privacy and to the protection of personal data</w:t>
      </w:r>
      <w:r w:rsidR="00851531" w:rsidRPr="00AC18AB">
        <w:rPr>
          <w:sz w:val="16"/>
          <w:szCs w:val="16"/>
        </w:rPr>
        <w:t>’ 19 December 2019, 6-12</w:t>
      </w:r>
      <w:r w:rsidRPr="00AC18AB">
        <w:rPr>
          <w:sz w:val="16"/>
          <w:szCs w:val="16"/>
        </w:rPr>
        <w:t>.</w:t>
      </w:r>
    </w:p>
  </w:footnote>
  <w:footnote w:id="61">
    <w:p w14:paraId="263B9C16" w14:textId="36EF1B44"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Lee A. Bygrave, </w:t>
      </w:r>
      <w:r w:rsidRPr="00AC18AB">
        <w:rPr>
          <w:i/>
          <w:iCs/>
          <w:sz w:val="16"/>
          <w:szCs w:val="16"/>
        </w:rPr>
        <w:t>Data Protection Law: Approaching Its Rationale, Logic and Limits</w:t>
      </w:r>
      <w:r w:rsidRPr="00AC18AB">
        <w:rPr>
          <w:sz w:val="16"/>
          <w:szCs w:val="16"/>
        </w:rPr>
        <w:t xml:space="preserve"> (The Hague, Kluwer Law International</w:t>
      </w:r>
      <w:r w:rsidR="00851531" w:rsidRPr="00AC18AB">
        <w:rPr>
          <w:sz w:val="16"/>
          <w:szCs w:val="16"/>
        </w:rPr>
        <w:t xml:space="preserve">, </w:t>
      </w:r>
      <w:r w:rsidRPr="00AC18AB">
        <w:rPr>
          <w:sz w:val="16"/>
          <w:szCs w:val="16"/>
        </w:rPr>
        <w:t xml:space="preserve">2002), 50-52. See also </w:t>
      </w:r>
      <w:r w:rsidR="00851531" w:rsidRPr="00AC18AB">
        <w:rPr>
          <w:sz w:val="16"/>
          <w:szCs w:val="16"/>
        </w:rPr>
        <w:t xml:space="preserve">CJEU, C-543/09, Deutsche Telekom AG v. </w:t>
      </w:r>
      <w:proofErr w:type="spellStart"/>
      <w:r w:rsidR="00851531" w:rsidRPr="00AC18AB">
        <w:rPr>
          <w:sz w:val="16"/>
          <w:szCs w:val="16"/>
        </w:rPr>
        <w:t>Bundesrepublik</w:t>
      </w:r>
      <w:proofErr w:type="spellEnd"/>
      <w:r w:rsidR="00851531" w:rsidRPr="00AC18AB">
        <w:rPr>
          <w:sz w:val="16"/>
          <w:szCs w:val="16"/>
        </w:rPr>
        <w:t xml:space="preserve"> Deutschland, 5 May 2011</w:t>
      </w:r>
      <w:r w:rsidRPr="00AC18AB">
        <w:rPr>
          <w:sz w:val="16"/>
          <w:szCs w:val="16"/>
        </w:rPr>
        <w:t>,</w:t>
      </w:r>
      <w:r w:rsidR="00851531" w:rsidRPr="00AC18AB">
        <w:rPr>
          <w:sz w:val="16"/>
          <w:szCs w:val="16"/>
        </w:rPr>
        <w:t xml:space="preserve"> para 51-52 on the balancing requirements.</w:t>
      </w:r>
    </w:p>
  </w:footnote>
  <w:footnote w:id="62">
    <w:p w14:paraId="57DFB941" w14:textId="7777777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CJEU, Joined Cases C-293/12 and C-594/12, Digital Rights Ireland Ltd v. Minister for Communications, Marine and Natural Resources and Others and </w:t>
      </w:r>
      <w:proofErr w:type="spellStart"/>
      <w:r w:rsidRPr="00AC18AB">
        <w:rPr>
          <w:sz w:val="16"/>
          <w:szCs w:val="16"/>
        </w:rPr>
        <w:t>Kärntner</w:t>
      </w:r>
      <w:proofErr w:type="spellEnd"/>
      <w:r w:rsidRPr="00AC18AB">
        <w:rPr>
          <w:sz w:val="16"/>
          <w:szCs w:val="16"/>
        </w:rPr>
        <w:t xml:space="preserve"> </w:t>
      </w:r>
      <w:proofErr w:type="spellStart"/>
      <w:r w:rsidRPr="00AC18AB">
        <w:rPr>
          <w:sz w:val="16"/>
          <w:szCs w:val="16"/>
        </w:rPr>
        <w:t>Landesregierung</w:t>
      </w:r>
      <w:proofErr w:type="spellEnd"/>
      <w:r w:rsidRPr="00AC18AB">
        <w:rPr>
          <w:sz w:val="16"/>
          <w:szCs w:val="16"/>
        </w:rPr>
        <w:t xml:space="preserve"> and Others [GC], 8 April 2014, para. 38.</w:t>
      </w:r>
    </w:p>
  </w:footnote>
  <w:footnote w:id="63">
    <w:p w14:paraId="3CD2D478" w14:textId="49623259"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CJEU, C-73/07, Tietosuojavaltuutettu v. Satakunnan </w:t>
      </w:r>
      <w:proofErr w:type="spellStart"/>
      <w:r w:rsidRPr="00AC18AB">
        <w:rPr>
          <w:sz w:val="16"/>
          <w:szCs w:val="16"/>
        </w:rPr>
        <w:t>Markkinapörssi</w:t>
      </w:r>
      <w:proofErr w:type="spellEnd"/>
      <w:r w:rsidRPr="00AC18AB">
        <w:rPr>
          <w:sz w:val="16"/>
          <w:szCs w:val="16"/>
        </w:rPr>
        <w:t xml:space="preserve"> Oy and Satamedia Oy [GC], 16 December 2008, para 54-56. Article 29 Working Party</w:t>
      </w:r>
      <w:r w:rsidR="005B2CC6" w:rsidRPr="00AC18AB">
        <w:rPr>
          <w:sz w:val="16"/>
          <w:szCs w:val="16"/>
        </w:rPr>
        <w:t>,</w:t>
      </w:r>
      <w:r w:rsidRPr="00AC18AB">
        <w:rPr>
          <w:sz w:val="16"/>
          <w:szCs w:val="16"/>
        </w:rPr>
        <w:t xml:space="preserve"> </w:t>
      </w:r>
      <w:r w:rsidR="005B2CC6" w:rsidRPr="00AC18AB">
        <w:rPr>
          <w:sz w:val="16"/>
          <w:szCs w:val="16"/>
        </w:rPr>
        <w:t>‘</w:t>
      </w:r>
      <w:r w:rsidRPr="00AC18AB">
        <w:rPr>
          <w:sz w:val="16"/>
          <w:szCs w:val="16"/>
        </w:rPr>
        <w:t>Opinion 03/2013 on purpose limitation</w:t>
      </w:r>
      <w:r w:rsidR="005B2CC6" w:rsidRPr="00AC18AB">
        <w:rPr>
          <w:sz w:val="16"/>
          <w:szCs w:val="16"/>
        </w:rPr>
        <w:t>’, adopted on 2 April 2013 (</w:t>
      </w:r>
      <w:r w:rsidRPr="00AC18AB">
        <w:rPr>
          <w:sz w:val="16"/>
          <w:szCs w:val="16"/>
        </w:rPr>
        <w:t>WP 203</w:t>
      </w:r>
      <w:r w:rsidR="005B2CC6" w:rsidRPr="00AC18AB">
        <w:rPr>
          <w:sz w:val="16"/>
          <w:szCs w:val="16"/>
        </w:rPr>
        <w:t>) para 45-47 and ‘</w:t>
      </w:r>
      <w:r w:rsidRPr="00AC18AB">
        <w:rPr>
          <w:sz w:val="16"/>
          <w:szCs w:val="16"/>
        </w:rPr>
        <w:t>Opinion 06/2014 on the notion of legitimate interests of the data controller under Article 7 of Directive 95/46/EC</w:t>
      </w:r>
      <w:r w:rsidR="005B2CC6" w:rsidRPr="00AC18AB">
        <w:rPr>
          <w:sz w:val="16"/>
          <w:szCs w:val="16"/>
        </w:rPr>
        <w:t>’</w:t>
      </w:r>
      <w:r w:rsidRPr="00AC18AB">
        <w:rPr>
          <w:sz w:val="16"/>
          <w:szCs w:val="16"/>
        </w:rPr>
        <w:t>,</w:t>
      </w:r>
      <w:r w:rsidR="005B2CC6" w:rsidRPr="00AC18AB">
        <w:rPr>
          <w:sz w:val="16"/>
          <w:szCs w:val="16"/>
        </w:rPr>
        <w:t xml:space="preserve"> adopted on 9 April 2014 (WP 217) para 9-11.</w:t>
      </w:r>
    </w:p>
  </w:footnote>
  <w:footnote w:id="64">
    <w:p w14:paraId="7F2DE1F9" w14:textId="3F4115F0"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29 Working Party, </w:t>
      </w:r>
      <w:r w:rsidR="00851531" w:rsidRPr="00AC18AB">
        <w:rPr>
          <w:sz w:val="16"/>
          <w:szCs w:val="16"/>
        </w:rPr>
        <w:t>‘</w:t>
      </w:r>
      <w:r w:rsidRPr="00AC18AB">
        <w:rPr>
          <w:sz w:val="16"/>
          <w:szCs w:val="16"/>
        </w:rPr>
        <w:t>Guidelines on automated individual decision-making and profiling for the purposes of Regulation 2016/679</w:t>
      </w:r>
      <w:r w:rsidR="00851531" w:rsidRPr="00AC18AB">
        <w:rPr>
          <w:sz w:val="16"/>
          <w:szCs w:val="16"/>
        </w:rPr>
        <w:t>’</w:t>
      </w:r>
      <w:r w:rsidRPr="00AC18AB">
        <w:rPr>
          <w:sz w:val="16"/>
          <w:szCs w:val="16"/>
        </w:rPr>
        <w:t>,</w:t>
      </w:r>
      <w:r w:rsidR="005B2CC6" w:rsidRPr="00AC18AB">
        <w:rPr>
          <w:sz w:val="16"/>
          <w:szCs w:val="16"/>
        </w:rPr>
        <w:t xml:space="preserve"> 3 October 2017 (WP 251)</w:t>
      </w:r>
      <w:r w:rsidRPr="00AC18AB">
        <w:rPr>
          <w:sz w:val="16"/>
          <w:szCs w:val="16"/>
        </w:rPr>
        <w:t xml:space="preserve"> 4.</w:t>
      </w:r>
    </w:p>
  </w:footnote>
  <w:footnote w:id="65">
    <w:p w14:paraId="1E42FA41" w14:textId="55EC3E8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5B2CC6" w:rsidRPr="00AC18AB">
        <w:rPr>
          <w:sz w:val="16"/>
          <w:szCs w:val="16"/>
        </w:rPr>
        <w:t xml:space="preserve">CJEU, C-131/12, Google Spain SL, Google Inc. v. Agencia Española de </w:t>
      </w:r>
      <w:proofErr w:type="spellStart"/>
      <w:r w:rsidR="005B2CC6" w:rsidRPr="00AC18AB">
        <w:rPr>
          <w:sz w:val="16"/>
          <w:szCs w:val="16"/>
        </w:rPr>
        <w:t>Protección</w:t>
      </w:r>
      <w:proofErr w:type="spellEnd"/>
      <w:r w:rsidR="005B2CC6" w:rsidRPr="00AC18AB">
        <w:rPr>
          <w:sz w:val="16"/>
          <w:szCs w:val="16"/>
        </w:rPr>
        <w:t xml:space="preserve"> de Datos (AEPD), Mario Costeja González [GC], 13 May 2014</w:t>
      </w:r>
      <w:r w:rsidR="007E25DD" w:rsidRPr="00AC18AB">
        <w:rPr>
          <w:sz w:val="16"/>
          <w:szCs w:val="16"/>
        </w:rPr>
        <w:t xml:space="preserve">, </w:t>
      </w:r>
      <w:r w:rsidRPr="00AC18AB">
        <w:rPr>
          <w:sz w:val="16"/>
          <w:szCs w:val="16"/>
        </w:rPr>
        <w:t xml:space="preserve">para </w:t>
      </w:r>
      <w:r w:rsidR="007E25DD" w:rsidRPr="00AC18AB">
        <w:rPr>
          <w:sz w:val="16"/>
          <w:szCs w:val="16"/>
        </w:rPr>
        <w:t xml:space="preserve">88 and Article 29 Working Party, ‘Guidelines on the implementation of the CJEU judgment on “Google Spain and Inc v. Agencia Española de </w:t>
      </w:r>
      <w:proofErr w:type="spellStart"/>
      <w:r w:rsidR="007E25DD" w:rsidRPr="00AC18AB">
        <w:rPr>
          <w:sz w:val="16"/>
          <w:szCs w:val="16"/>
        </w:rPr>
        <w:t>Protección</w:t>
      </w:r>
      <w:proofErr w:type="spellEnd"/>
      <w:r w:rsidR="007E25DD" w:rsidRPr="00AC18AB">
        <w:rPr>
          <w:sz w:val="16"/>
          <w:szCs w:val="16"/>
        </w:rPr>
        <w:t xml:space="preserve"> de Datos (AEPD) and Mario Costeja González” C-131/12, (WP 225)</w:t>
      </w:r>
      <w:r w:rsidR="005B2CC6" w:rsidRPr="00AC18AB">
        <w:rPr>
          <w:sz w:val="16"/>
          <w:szCs w:val="16"/>
        </w:rPr>
        <w:t>.</w:t>
      </w:r>
    </w:p>
  </w:footnote>
  <w:footnote w:id="66">
    <w:p w14:paraId="0A875F91" w14:textId="77777777" w:rsidR="00980E14" w:rsidRPr="00AC18AB" w:rsidRDefault="00980E14" w:rsidP="000D048C">
      <w:pPr>
        <w:pStyle w:val="FootnoteText"/>
        <w:contextualSpacing/>
        <w:rPr>
          <w:sz w:val="16"/>
          <w:szCs w:val="16"/>
        </w:rPr>
      </w:pPr>
      <w:r w:rsidRPr="00AC18AB">
        <w:rPr>
          <w:rStyle w:val="FootnoteReference"/>
          <w:sz w:val="16"/>
          <w:szCs w:val="16"/>
        </w:rPr>
        <w:footnoteRef/>
      </w:r>
      <w:r w:rsidRPr="00AC18AB">
        <w:rPr>
          <w:sz w:val="16"/>
          <w:szCs w:val="16"/>
        </w:rPr>
        <w:t xml:space="preserve"> Maria Tzanou, </w:t>
      </w:r>
      <w:r w:rsidRPr="00AC18AB">
        <w:rPr>
          <w:i/>
          <w:iCs/>
          <w:sz w:val="16"/>
          <w:szCs w:val="16"/>
        </w:rPr>
        <w:t>The Fundamental Right to Data Protection: Normative Value in the Context of Counter-Terrorism Surveillance</w:t>
      </w:r>
      <w:r w:rsidRPr="00AC18AB">
        <w:rPr>
          <w:sz w:val="16"/>
          <w:szCs w:val="16"/>
        </w:rPr>
        <w:t xml:space="preserve"> (Hart Publishing 2017).</w:t>
      </w:r>
    </w:p>
  </w:footnote>
  <w:footnote w:id="67">
    <w:p w14:paraId="0669E9E3" w14:textId="2092CCF3"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7E25DD" w:rsidRPr="00AC18AB">
        <w:rPr>
          <w:sz w:val="16"/>
          <w:szCs w:val="16"/>
        </w:rPr>
        <w:t xml:space="preserve">See Article 29 Working Party, ‘Statement on the role of a risk-based approach in data protection legal frameworks’, adopted 30 May 2014 3-4 and </w:t>
      </w:r>
      <w:r w:rsidRPr="00AC18AB">
        <w:rPr>
          <w:sz w:val="16"/>
          <w:szCs w:val="16"/>
        </w:rPr>
        <w:t>EDPB-EDPS</w:t>
      </w:r>
      <w:r w:rsidR="007E25DD" w:rsidRPr="00AC18AB">
        <w:rPr>
          <w:sz w:val="16"/>
          <w:szCs w:val="16"/>
        </w:rPr>
        <w:t>, ‘</w:t>
      </w:r>
      <w:r w:rsidRPr="00AC18AB">
        <w:rPr>
          <w:sz w:val="16"/>
          <w:szCs w:val="16"/>
        </w:rPr>
        <w:t>Joint Opinion 1/2019 on the processing of patients’ data and the role of the European Commission within the eHealth Digital Service Infrastructure (</w:t>
      </w:r>
      <w:proofErr w:type="spellStart"/>
      <w:r w:rsidRPr="00AC18AB">
        <w:rPr>
          <w:sz w:val="16"/>
          <w:szCs w:val="16"/>
        </w:rPr>
        <w:t>eHDSI</w:t>
      </w:r>
      <w:proofErr w:type="spellEnd"/>
      <w:r w:rsidRPr="00AC18AB">
        <w:rPr>
          <w:sz w:val="16"/>
          <w:szCs w:val="16"/>
        </w:rPr>
        <w:t>)</w:t>
      </w:r>
      <w:r w:rsidR="007E25DD" w:rsidRPr="00AC18AB">
        <w:rPr>
          <w:sz w:val="16"/>
          <w:szCs w:val="16"/>
        </w:rPr>
        <w:t>’ (2019) &lt;https://edpb.europa.eu/our-work-tools/our-documents/edpbedps-joint-opinion/edpb-edps-joint-opinion-12019-processing_en &gt;.</w:t>
      </w:r>
    </w:p>
  </w:footnote>
  <w:footnote w:id="68">
    <w:p w14:paraId="283E6363" w14:textId="3BE19996"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The satisfaction of the legal basis requirement does not absolve data controllers from fulfilling other obligations, such as those set out in Article 5: </w:t>
      </w:r>
      <w:r w:rsidR="007E25DD" w:rsidRPr="00AC18AB">
        <w:rPr>
          <w:sz w:val="16"/>
          <w:szCs w:val="16"/>
        </w:rPr>
        <w:t xml:space="preserve">See </w:t>
      </w:r>
      <w:r w:rsidRPr="00AC18AB">
        <w:rPr>
          <w:sz w:val="16"/>
          <w:szCs w:val="16"/>
        </w:rPr>
        <w:t>Article 29 Working Party</w:t>
      </w:r>
      <w:r w:rsidR="007E25DD" w:rsidRPr="00AC18AB">
        <w:rPr>
          <w:sz w:val="16"/>
          <w:szCs w:val="16"/>
        </w:rPr>
        <w:t>, ‘</w:t>
      </w:r>
      <w:r w:rsidRPr="00AC18AB">
        <w:rPr>
          <w:sz w:val="16"/>
          <w:szCs w:val="16"/>
        </w:rPr>
        <w:t>Opinion 03/2013 on purpose limitation</w:t>
      </w:r>
      <w:r w:rsidR="007E25DD" w:rsidRPr="00AC18AB">
        <w:rPr>
          <w:sz w:val="16"/>
          <w:szCs w:val="16"/>
        </w:rPr>
        <w:t>’</w:t>
      </w:r>
      <w:r w:rsidRPr="00AC18AB">
        <w:rPr>
          <w:sz w:val="16"/>
          <w:szCs w:val="16"/>
        </w:rPr>
        <w:t xml:space="preserve"> (WP203), 15–16.</w:t>
      </w:r>
    </w:p>
  </w:footnote>
  <w:footnote w:id="69">
    <w:p w14:paraId="7C779019" w14:textId="2863F31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9 (2)(c)</w:t>
      </w:r>
      <w:r w:rsidR="007E25DD" w:rsidRPr="00AC18AB">
        <w:rPr>
          <w:sz w:val="16"/>
          <w:szCs w:val="16"/>
        </w:rPr>
        <w:t xml:space="preserve"> GDPR.</w:t>
      </w:r>
    </w:p>
  </w:footnote>
  <w:footnote w:id="70">
    <w:p w14:paraId="11E005B2" w14:textId="4CED6B8E"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9 (2) (h)</w:t>
      </w:r>
      <w:r w:rsidR="007E25DD" w:rsidRPr="00AC18AB">
        <w:rPr>
          <w:sz w:val="16"/>
          <w:szCs w:val="16"/>
        </w:rPr>
        <w:t xml:space="preserve"> GDPR</w:t>
      </w:r>
    </w:p>
  </w:footnote>
  <w:footnote w:id="71">
    <w:p w14:paraId="5A4745D2" w14:textId="46FC5B9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9(2)(</w:t>
      </w:r>
      <w:proofErr w:type="spellStart"/>
      <w:r w:rsidRPr="00AC18AB">
        <w:rPr>
          <w:sz w:val="16"/>
          <w:szCs w:val="16"/>
        </w:rPr>
        <w:t>i</w:t>
      </w:r>
      <w:proofErr w:type="spellEnd"/>
      <w:r w:rsidRPr="00AC18AB">
        <w:rPr>
          <w:sz w:val="16"/>
          <w:szCs w:val="16"/>
        </w:rPr>
        <w:t>)</w:t>
      </w:r>
      <w:r w:rsidR="007E25DD" w:rsidRPr="00AC18AB">
        <w:rPr>
          <w:sz w:val="16"/>
          <w:szCs w:val="16"/>
        </w:rPr>
        <w:t xml:space="preserve"> GDPR</w:t>
      </w:r>
      <w:r w:rsidRPr="00AC18AB">
        <w:rPr>
          <w:sz w:val="16"/>
          <w:szCs w:val="16"/>
        </w:rPr>
        <w:t xml:space="preserve">. </w:t>
      </w:r>
      <w:proofErr w:type="gramStart"/>
      <w:r w:rsidR="007E25DD" w:rsidRPr="00AC18AB">
        <w:rPr>
          <w:sz w:val="16"/>
          <w:szCs w:val="16"/>
        </w:rPr>
        <w:t>However</w:t>
      </w:r>
      <w:proofErr w:type="gramEnd"/>
      <w:r w:rsidR="007E25DD" w:rsidRPr="00AC18AB">
        <w:rPr>
          <w:sz w:val="16"/>
          <w:szCs w:val="16"/>
        </w:rPr>
        <w:t xml:space="preserve"> see</w:t>
      </w:r>
      <w:r w:rsidRPr="00AC18AB">
        <w:rPr>
          <w:sz w:val="16"/>
          <w:szCs w:val="16"/>
        </w:rPr>
        <w:t xml:space="preserve"> Mary Donnelly and Maeve McDonagh, ‘Health Research, Consent and the GDPR Exemption’ (2019) 26 European Journal of Health Law 97</w:t>
      </w:r>
      <w:r w:rsidR="001D66C1" w:rsidRPr="00AC18AB">
        <w:rPr>
          <w:sz w:val="16"/>
          <w:szCs w:val="16"/>
        </w:rPr>
        <w:t xml:space="preserve"> does not take sufficient account of the contextual nature of problem solving and the risk-based approach which underpins data protection law</w:t>
      </w:r>
      <w:r w:rsidRPr="00AC18AB">
        <w:rPr>
          <w:sz w:val="16"/>
          <w:szCs w:val="16"/>
        </w:rPr>
        <w:t>.</w:t>
      </w:r>
    </w:p>
  </w:footnote>
  <w:footnote w:id="72">
    <w:p w14:paraId="7B4E600D" w14:textId="00AE9EE2"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It is important to reiterate that under the GDPR, explicit consent is only one lawful basis for processing. Additionally, Recital 26 for anonymous data.</w:t>
      </w:r>
    </w:p>
  </w:footnote>
  <w:footnote w:id="73">
    <w:p w14:paraId="08C7DFF7" w14:textId="5CA0511F"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E60491">
        <w:rPr>
          <w:sz w:val="16"/>
          <w:szCs w:val="16"/>
        </w:rPr>
        <w:t xml:space="preserve">As an </w:t>
      </w:r>
      <w:proofErr w:type="gramStart"/>
      <w:r w:rsidR="00E60491">
        <w:rPr>
          <w:sz w:val="16"/>
          <w:szCs w:val="16"/>
        </w:rPr>
        <w:t>example</w:t>
      </w:r>
      <w:proofErr w:type="gramEnd"/>
      <w:r w:rsidR="00E60491">
        <w:rPr>
          <w:sz w:val="16"/>
          <w:szCs w:val="16"/>
        </w:rPr>
        <w:t xml:space="preserve"> see</w:t>
      </w:r>
      <w:r w:rsidRPr="00AC18AB">
        <w:rPr>
          <w:sz w:val="16"/>
          <w:szCs w:val="16"/>
        </w:rPr>
        <w:t xml:space="preserve"> the information standard DCB3058 Compliance with National Data Opt-outs in light of section 250 of the Health and Social Care Act 2012</w:t>
      </w:r>
      <w:r w:rsidR="00E60491">
        <w:rPr>
          <w:sz w:val="16"/>
          <w:szCs w:val="16"/>
        </w:rPr>
        <w:t>.</w:t>
      </w:r>
    </w:p>
  </w:footnote>
  <w:footnote w:id="74">
    <w:p w14:paraId="2D1853E7" w14:textId="49023F5D" w:rsidR="00D77B0E" w:rsidRPr="00AC18AB" w:rsidRDefault="00980E14" w:rsidP="00D77B0E">
      <w:pPr>
        <w:pStyle w:val="FootnoteText"/>
        <w:rPr>
          <w:sz w:val="16"/>
          <w:szCs w:val="16"/>
        </w:rPr>
      </w:pPr>
      <w:r w:rsidRPr="00AC18AB">
        <w:rPr>
          <w:rStyle w:val="FootnoteReference"/>
          <w:sz w:val="16"/>
          <w:szCs w:val="16"/>
        </w:rPr>
        <w:footnoteRef/>
      </w:r>
      <w:r w:rsidRPr="00AC18AB">
        <w:rPr>
          <w:sz w:val="16"/>
          <w:szCs w:val="16"/>
        </w:rPr>
        <w:t xml:space="preserve"> </w:t>
      </w:r>
      <w:r w:rsidR="00D77B0E" w:rsidRPr="00AC18AB">
        <w:rPr>
          <w:sz w:val="16"/>
          <w:szCs w:val="16"/>
        </w:rPr>
        <w:t xml:space="preserve">Charlotte Bagger </w:t>
      </w:r>
      <w:proofErr w:type="spellStart"/>
      <w:r w:rsidR="00D77B0E" w:rsidRPr="00AC18AB">
        <w:rPr>
          <w:sz w:val="16"/>
          <w:szCs w:val="16"/>
        </w:rPr>
        <w:t>Tranberg</w:t>
      </w:r>
      <w:proofErr w:type="spellEnd"/>
      <w:r w:rsidR="00D77B0E" w:rsidRPr="00AC18AB">
        <w:rPr>
          <w:sz w:val="16"/>
          <w:szCs w:val="16"/>
        </w:rPr>
        <w:t>, ‘Proportionality and data protection in the case law of the European Court of</w:t>
      </w:r>
    </w:p>
    <w:p w14:paraId="76E7C957" w14:textId="51166FD0" w:rsidR="00980E14" w:rsidRPr="00AC18AB" w:rsidRDefault="00D77B0E" w:rsidP="00D77B0E">
      <w:pPr>
        <w:pStyle w:val="FootnoteText"/>
        <w:rPr>
          <w:sz w:val="16"/>
          <w:szCs w:val="16"/>
        </w:rPr>
      </w:pPr>
      <w:r w:rsidRPr="00AC18AB">
        <w:rPr>
          <w:sz w:val="16"/>
          <w:szCs w:val="16"/>
        </w:rPr>
        <w:t>Justice’ (2011) International Data Privacy Law 1(4) 239-248, Federico Ferretti, ‘Data Protection and the legitimate interest of data controllers: much ado about nothing or the winter of rights?, (2014) Common Law Market Review 51, 843-868, C</w:t>
      </w:r>
      <w:r w:rsidR="00AC18AB" w:rsidRPr="00AC18AB">
        <w:rPr>
          <w:sz w:val="16"/>
          <w:szCs w:val="16"/>
        </w:rPr>
        <w:t>hristopher</w:t>
      </w:r>
      <w:r w:rsidRPr="00AC18AB">
        <w:rPr>
          <w:sz w:val="16"/>
          <w:szCs w:val="16"/>
        </w:rPr>
        <w:t xml:space="preserve"> </w:t>
      </w:r>
      <w:proofErr w:type="spellStart"/>
      <w:r w:rsidRPr="00AC18AB">
        <w:rPr>
          <w:sz w:val="16"/>
          <w:szCs w:val="16"/>
        </w:rPr>
        <w:t>Docksey</w:t>
      </w:r>
      <w:proofErr w:type="spellEnd"/>
      <w:r w:rsidRPr="00AC18AB">
        <w:rPr>
          <w:sz w:val="16"/>
          <w:szCs w:val="16"/>
        </w:rPr>
        <w:t xml:space="preserve">, ‘Four Fundamental rights: finding the balance’ (2016) 6 International Data Privacy Law 2, </w:t>
      </w:r>
      <w:r w:rsidR="001D66C1" w:rsidRPr="00AC18AB">
        <w:rPr>
          <w:sz w:val="16"/>
          <w:szCs w:val="16"/>
        </w:rPr>
        <w:t xml:space="preserve">Irene Kamara and Paul De Hert, ‘Understanding the balancing act behind the legitimate interest of the controller ground. A pragmatic approach’ in Evan Selinger, Jules </w:t>
      </w:r>
      <w:proofErr w:type="spellStart"/>
      <w:r w:rsidR="001D66C1" w:rsidRPr="00AC18AB">
        <w:rPr>
          <w:sz w:val="16"/>
          <w:szCs w:val="16"/>
        </w:rPr>
        <w:t>Polonetsky</w:t>
      </w:r>
      <w:proofErr w:type="spellEnd"/>
      <w:r w:rsidR="001D66C1" w:rsidRPr="00AC18AB">
        <w:rPr>
          <w:sz w:val="16"/>
          <w:szCs w:val="16"/>
        </w:rPr>
        <w:t xml:space="preserve"> and Omer </w:t>
      </w:r>
      <w:proofErr w:type="spellStart"/>
      <w:r w:rsidR="001D66C1" w:rsidRPr="00AC18AB">
        <w:rPr>
          <w:sz w:val="16"/>
          <w:szCs w:val="16"/>
        </w:rPr>
        <w:t>Tene</w:t>
      </w:r>
      <w:proofErr w:type="spellEnd"/>
      <w:r w:rsidR="001D66C1" w:rsidRPr="00AC18AB">
        <w:rPr>
          <w:sz w:val="16"/>
          <w:szCs w:val="16"/>
        </w:rPr>
        <w:t xml:space="preserve"> (eds), </w:t>
      </w:r>
      <w:r w:rsidR="001D66C1" w:rsidRPr="00AC18AB">
        <w:rPr>
          <w:i/>
          <w:iCs/>
          <w:sz w:val="16"/>
          <w:szCs w:val="16"/>
        </w:rPr>
        <w:t>The Cambridge Handbook of Consumer Privacy</w:t>
      </w:r>
      <w:r w:rsidR="001D66C1" w:rsidRPr="00AC18AB">
        <w:rPr>
          <w:sz w:val="16"/>
          <w:szCs w:val="16"/>
        </w:rPr>
        <w:t xml:space="preserve"> (CUP, 2018)</w:t>
      </w:r>
      <w:r w:rsidRPr="00AC18AB">
        <w:rPr>
          <w:sz w:val="16"/>
          <w:szCs w:val="16"/>
        </w:rPr>
        <w:t xml:space="preserve"> and </w:t>
      </w:r>
      <w:r w:rsidR="001D66C1" w:rsidRPr="00AC18AB">
        <w:rPr>
          <w:sz w:val="16"/>
          <w:szCs w:val="16"/>
        </w:rPr>
        <w:t>Michael Veale and Lilian Edwards, ‘Clarity, surprises, and further questions in the Article 29 working party draft guidance on automated decision-making and profiling’ (2018) Comp Law Sec Rev 34(2) 398</w:t>
      </w:r>
      <w:r w:rsidRPr="00AC18AB">
        <w:rPr>
          <w:sz w:val="16"/>
          <w:szCs w:val="16"/>
        </w:rPr>
        <w:t>, See</w:t>
      </w:r>
      <w:r w:rsidR="001D66C1" w:rsidRPr="00AC18AB">
        <w:rPr>
          <w:sz w:val="16"/>
          <w:szCs w:val="16"/>
        </w:rPr>
        <w:t xml:space="preserve"> </w:t>
      </w:r>
      <w:r w:rsidR="00980E14" w:rsidRPr="00AC18AB">
        <w:rPr>
          <w:sz w:val="16"/>
          <w:szCs w:val="16"/>
        </w:rPr>
        <w:t xml:space="preserve">Joined cases C-468/10 and C-469/10, ASNEF, ECLI:EU:C:2011:777, paras. 28-29, Joined Cases C-465/00, C-138/01 and C-139/01, </w:t>
      </w:r>
      <w:proofErr w:type="spellStart"/>
      <w:r w:rsidR="00980E14" w:rsidRPr="00AC18AB">
        <w:rPr>
          <w:sz w:val="16"/>
          <w:szCs w:val="16"/>
        </w:rPr>
        <w:t>Österreichischer</w:t>
      </w:r>
      <w:proofErr w:type="spellEnd"/>
      <w:r w:rsidR="00980E14" w:rsidRPr="00AC18AB">
        <w:rPr>
          <w:sz w:val="16"/>
          <w:szCs w:val="16"/>
        </w:rPr>
        <w:t xml:space="preserve"> Rundfunk, ECLI:EU:C:2003:294, paras. 17-21, C‐275/06, Promusicae, ECLI:EU:C:2008:54, paras. 29-33. C‐73/07, Satamedia, ECLI:EU:C:2008:727, paras. 25-26. Joined Cases C‐92/09 and C‐93/09, Schecke, ECLI:EU:C:2010:662, paras. 26-29. Joined Cases C-293/12 and C-594/12, Digital Rights Ireland, ECLI:EU:C:2014:238, paras. 17 and 20.</w:t>
      </w:r>
      <w:r w:rsidRPr="00AC18AB">
        <w:rPr>
          <w:sz w:val="16"/>
          <w:szCs w:val="16"/>
        </w:rPr>
        <w:t xml:space="preserve"> Also EDPS, ‘Developing a toolkit for assessing the necessity of measures that interfere with fundamental rights’, 11 April 2017 &lt;https://edps.europa.eu/sites/ edp/files/publication/16-06-16_necessity_paper_for_consultation_en.pdf&gt; </w:t>
      </w:r>
      <w:r w:rsidR="00AC18AB" w:rsidRPr="00AC18AB">
        <w:rPr>
          <w:sz w:val="16"/>
          <w:szCs w:val="16"/>
        </w:rPr>
        <w:t>4-6.</w:t>
      </w:r>
    </w:p>
  </w:footnote>
  <w:footnote w:id="75">
    <w:p w14:paraId="3523FACE" w14:textId="640E7B69"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AC18AB" w:rsidRPr="00AC18AB">
        <w:rPr>
          <w:sz w:val="16"/>
          <w:szCs w:val="16"/>
        </w:rPr>
        <w:t>EDPS</w:t>
      </w:r>
      <w:r w:rsidRPr="00AC18AB">
        <w:rPr>
          <w:sz w:val="16"/>
          <w:szCs w:val="16"/>
        </w:rPr>
        <w:t xml:space="preserve">, </w:t>
      </w:r>
      <w:r w:rsidR="00AC18AB" w:rsidRPr="00AC18AB">
        <w:rPr>
          <w:sz w:val="16"/>
          <w:szCs w:val="16"/>
        </w:rPr>
        <w:t>‘</w:t>
      </w:r>
      <w:r w:rsidRPr="00AC18AB">
        <w:rPr>
          <w:sz w:val="16"/>
          <w:szCs w:val="16"/>
        </w:rPr>
        <w:t>Opinion 1/2015 Mobile Health Reconciling technological innovation with data protection</w:t>
      </w:r>
      <w:r w:rsidR="00AC18AB" w:rsidRPr="00AC18AB">
        <w:rPr>
          <w:sz w:val="16"/>
          <w:szCs w:val="16"/>
        </w:rPr>
        <w:t>’, 21 May 2015 para 57.</w:t>
      </w:r>
    </w:p>
  </w:footnote>
  <w:footnote w:id="76">
    <w:p w14:paraId="13FE5D0F" w14:textId="05108254" w:rsidR="00AC18AB" w:rsidRPr="00AC18AB" w:rsidRDefault="00AC18AB">
      <w:pPr>
        <w:pStyle w:val="FootnoteText"/>
        <w:rPr>
          <w:sz w:val="16"/>
          <w:szCs w:val="16"/>
        </w:rPr>
      </w:pPr>
      <w:r w:rsidRPr="00AC18AB">
        <w:rPr>
          <w:rStyle w:val="FootnoteReference"/>
          <w:sz w:val="16"/>
          <w:szCs w:val="16"/>
        </w:rPr>
        <w:footnoteRef/>
      </w:r>
      <w:r w:rsidRPr="00AC18AB">
        <w:rPr>
          <w:sz w:val="16"/>
          <w:szCs w:val="16"/>
        </w:rPr>
        <w:t xml:space="preserve"> </w:t>
      </w:r>
      <w:r>
        <w:rPr>
          <w:sz w:val="16"/>
          <w:szCs w:val="16"/>
        </w:rPr>
        <w:t>i</w:t>
      </w:r>
      <w:r w:rsidRPr="00AC18AB">
        <w:rPr>
          <w:sz w:val="16"/>
          <w:szCs w:val="16"/>
        </w:rPr>
        <w:t>bid. para 55-63.</w:t>
      </w:r>
    </w:p>
  </w:footnote>
  <w:footnote w:id="77">
    <w:p w14:paraId="40596F67" w14:textId="3592B95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12(1)</w:t>
      </w:r>
      <w:r w:rsidR="0015705B">
        <w:rPr>
          <w:sz w:val="16"/>
          <w:szCs w:val="16"/>
        </w:rPr>
        <w:t xml:space="preserve"> GDPR.</w:t>
      </w:r>
    </w:p>
  </w:footnote>
  <w:footnote w:id="78">
    <w:p w14:paraId="42138F98" w14:textId="58DD21CF"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Articles 13 and 14</w:t>
      </w:r>
      <w:r w:rsidR="0015705B">
        <w:rPr>
          <w:sz w:val="16"/>
          <w:szCs w:val="16"/>
        </w:rPr>
        <w:t xml:space="preserve"> GDPR.</w:t>
      </w:r>
    </w:p>
  </w:footnote>
  <w:footnote w:id="79">
    <w:p w14:paraId="03789782" w14:textId="55744AE4"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15</w:t>
      </w:r>
      <w:r w:rsidR="0015705B">
        <w:rPr>
          <w:sz w:val="16"/>
          <w:szCs w:val="16"/>
        </w:rPr>
        <w:t xml:space="preserve"> GDPR.</w:t>
      </w:r>
    </w:p>
  </w:footnote>
  <w:footnote w:id="80">
    <w:p w14:paraId="44590F2C" w14:textId="21A2DEB0"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16</w:t>
      </w:r>
      <w:r w:rsidR="0015705B">
        <w:rPr>
          <w:sz w:val="16"/>
          <w:szCs w:val="16"/>
        </w:rPr>
        <w:t xml:space="preserve"> GDPR.</w:t>
      </w:r>
    </w:p>
  </w:footnote>
  <w:footnote w:id="81">
    <w:p w14:paraId="27A7E6A0" w14:textId="10B588D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17</w:t>
      </w:r>
      <w:r w:rsidR="0015705B">
        <w:rPr>
          <w:sz w:val="16"/>
          <w:szCs w:val="16"/>
        </w:rPr>
        <w:t xml:space="preserve"> GDPR.</w:t>
      </w:r>
    </w:p>
  </w:footnote>
  <w:footnote w:id="82">
    <w:p w14:paraId="6F474138" w14:textId="53490BBB"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21</w:t>
      </w:r>
      <w:r w:rsidR="0015705B">
        <w:rPr>
          <w:sz w:val="16"/>
          <w:szCs w:val="16"/>
        </w:rPr>
        <w:t xml:space="preserve"> GDPR.</w:t>
      </w:r>
    </w:p>
  </w:footnote>
  <w:footnote w:id="83">
    <w:p w14:paraId="1B9DEAEC" w14:textId="0F3A5341"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22</w:t>
      </w:r>
      <w:r w:rsidR="0015705B">
        <w:rPr>
          <w:sz w:val="16"/>
          <w:szCs w:val="16"/>
        </w:rPr>
        <w:t xml:space="preserve"> GDPR.</w:t>
      </w:r>
    </w:p>
  </w:footnote>
  <w:footnote w:id="84">
    <w:p w14:paraId="144A10AA" w14:textId="01536C83" w:rsidR="00980E14" w:rsidRPr="00AC18AB" w:rsidRDefault="00980E14" w:rsidP="000D048C">
      <w:pPr>
        <w:rPr>
          <w:sz w:val="16"/>
          <w:szCs w:val="16"/>
        </w:rPr>
      </w:pPr>
      <w:r w:rsidRPr="00AC18AB">
        <w:rPr>
          <w:rStyle w:val="FootnoteReference"/>
          <w:sz w:val="16"/>
          <w:szCs w:val="16"/>
        </w:rPr>
        <w:footnoteRef/>
      </w:r>
      <w:r w:rsidRPr="00AC18AB">
        <w:rPr>
          <w:sz w:val="16"/>
          <w:szCs w:val="16"/>
        </w:rPr>
        <w:t xml:space="preserve"> OECD, </w:t>
      </w:r>
      <w:r w:rsidR="0015705B">
        <w:rPr>
          <w:sz w:val="16"/>
          <w:szCs w:val="16"/>
        </w:rPr>
        <w:t>‘</w:t>
      </w:r>
      <w:r w:rsidRPr="00AC18AB">
        <w:rPr>
          <w:sz w:val="16"/>
          <w:szCs w:val="16"/>
        </w:rPr>
        <w:t>Recommendation of the Council on Health Data Governance</w:t>
      </w:r>
      <w:r w:rsidR="0015705B">
        <w:rPr>
          <w:sz w:val="16"/>
          <w:szCs w:val="16"/>
        </w:rPr>
        <w:t>’</w:t>
      </w:r>
      <w:r w:rsidRPr="00AC18AB">
        <w:rPr>
          <w:sz w:val="16"/>
          <w:szCs w:val="16"/>
        </w:rPr>
        <w:t>, OECD/LEGAL/0433, Pratik Shah and others, ‘Artificial Intelligence and Machine Learning in Clinical Development: A Translational Perspective’ (2019) 2 Digital Medicine 1 &lt;https://www.nature.com/articles/s41746-019-0148-3&gt; accessed 11 January 2020.</w:t>
      </w:r>
    </w:p>
  </w:footnote>
  <w:footnote w:id="85">
    <w:p w14:paraId="786E14AF" w14:textId="65C01595"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proofErr w:type="spellStart"/>
      <w:r w:rsidRPr="00AC18AB">
        <w:rPr>
          <w:sz w:val="16"/>
          <w:szCs w:val="16"/>
        </w:rPr>
        <w:t>Trishan</w:t>
      </w:r>
      <w:proofErr w:type="spellEnd"/>
      <w:r w:rsidRPr="00AC18AB">
        <w:rPr>
          <w:sz w:val="16"/>
          <w:szCs w:val="16"/>
        </w:rPr>
        <w:t xml:space="preserve"> </w:t>
      </w:r>
      <w:proofErr w:type="spellStart"/>
      <w:r w:rsidRPr="00AC18AB">
        <w:rPr>
          <w:sz w:val="16"/>
          <w:szCs w:val="16"/>
        </w:rPr>
        <w:t>Panch</w:t>
      </w:r>
      <w:proofErr w:type="spellEnd"/>
      <w:r w:rsidRPr="00AC18AB">
        <w:rPr>
          <w:sz w:val="16"/>
          <w:szCs w:val="16"/>
        </w:rPr>
        <w:t xml:space="preserve"> and others, ‘Artificial Intelligence: Opportunities and Risks for Public Health’ (2019) 1 The Lancet Digital Health e13 &lt;https://www.thelancet.com/journals/landig/article/PIIS2589-7500(19)30002-0/abstract&gt; accessed 11 January 2020. Viet-</w:t>
      </w:r>
      <w:proofErr w:type="spellStart"/>
      <w:r w:rsidRPr="00AC18AB">
        <w:rPr>
          <w:sz w:val="16"/>
          <w:szCs w:val="16"/>
        </w:rPr>
        <w:t>Thi</w:t>
      </w:r>
      <w:proofErr w:type="spellEnd"/>
      <w:r w:rsidRPr="00AC18AB">
        <w:rPr>
          <w:sz w:val="16"/>
          <w:szCs w:val="16"/>
        </w:rPr>
        <w:t xml:space="preserve"> Tran, Carolina </w:t>
      </w:r>
      <w:proofErr w:type="spellStart"/>
      <w:r w:rsidRPr="00AC18AB">
        <w:rPr>
          <w:sz w:val="16"/>
          <w:szCs w:val="16"/>
        </w:rPr>
        <w:t>Riveros</w:t>
      </w:r>
      <w:proofErr w:type="spellEnd"/>
      <w:r w:rsidRPr="00AC18AB">
        <w:rPr>
          <w:sz w:val="16"/>
          <w:szCs w:val="16"/>
        </w:rPr>
        <w:t xml:space="preserve"> and Philippe </w:t>
      </w:r>
      <w:proofErr w:type="spellStart"/>
      <w:r w:rsidRPr="00AC18AB">
        <w:rPr>
          <w:sz w:val="16"/>
          <w:szCs w:val="16"/>
        </w:rPr>
        <w:t>Ravaud</w:t>
      </w:r>
      <w:proofErr w:type="spellEnd"/>
      <w:r w:rsidRPr="00AC18AB">
        <w:rPr>
          <w:sz w:val="16"/>
          <w:szCs w:val="16"/>
        </w:rPr>
        <w:t xml:space="preserve">, ‘Patients’ Views of Wearable Devices and AI in Healthcare: Findings from the </w:t>
      </w:r>
      <w:proofErr w:type="spellStart"/>
      <w:r w:rsidRPr="00AC18AB">
        <w:rPr>
          <w:sz w:val="16"/>
          <w:szCs w:val="16"/>
        </w:rPr>
        <w:t>ComPaRe</w:t>
      </w:r>
      <w:proofErr w:type="spellEnd"/>
      <w:r w:rsidRPr="00AC18AB">
        <w:rPr>
          <w:sz w:val="16"/>
          <w:szCs w:val="16"/>
        </w:rPr>
        <w:t xml:space="preserve"> e-Cohort’ (2019) 2 Digital Medicine 1 &lt;https://www.nature.com/articles/s41746-019-0132-y&gt; accessed 11 January 2020.</w:t>
      </w:r>
    </w:p>
  </w:footnote>
  <w:footnote w:id="86">
    <w:p w14:paraId="321C6FFE" w14:textId="7399FF9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15705B" w:rsidRPr="00AC18AB">
        <w:rPr>
          <w:sz w:val="16"/>
          <w:szCs w:val="16"/>
        </w:rPr>
        <w:t>NHSx, ‘Artificial Intelligence: How to get it right: Putting policy into practice for safe data-driven innovation in health and care’</w:t>
      </w:r>
      <w:r w:rsidR="00CD6968">
        <w:rPr>
          <w:sz w:val="16"/>
          <w:szCs w:val="16"/>
        </w:rPr>
        <w:t xml:space="preserve"> (n 4)</w:t>
      </w:r>
      <w:r w:rsidRPr="00AC18AB">
        <w:rPr>
          <w:sz w:val="16"/>
          <w:szCs w:val="16"/>
        </w:rPr>
        <w:t xml:space="preserve"> 17</w:t>
      </w:r>
      <w:r w:rsidR="00A11563">
        <w:rPr>
          <w:sz w:val="16"/>
          <w:szCs w:val="16"/>
        </w:rPr>
        <w:t xml:space="preserve"> and Ryan </w:t>
      </w:r>
      <w:r w:rsidR="00A11563" w:rsidRPr="00A11563">
        <w:rPr>
          <w:sz w:val="16"/>
          <w:szCs w:val="16"/>
        </w:rPr>
        <w:t>Poplin</w:t>
      </w:r>
      <w:r w:rsidR="00A11563">
        <w:rPr>
          <w:sz w:val="16"/>
          <w:szCs w:val="16"/>
        </w:rPr>
        <w:t xml:space="preserve"> and others,</w:t>
      </w:r>
      <w:r w:rsidR="00A11563" w:rsidRPr="00A11563">
        <w:rPr>
          <w:sz w:val="16"/>
          <w:szCs w:val="16"/>
        </w:rPr>
        <w:t xml:space="preserve"> </w:t>
      </w:r>
      <w:r w:rsidR="00A11563">
        <w:rPr>
          <w:sz w:val="16"/>
          <w:szCs w:val="16"/>
        </w:rPr>
        <w:t>‘</w:t>
      </w:r>
      <w:r w:rsidR="00A11563" w:rsidRPr="00A11563">
        <w:rPr>
          <w:sz w:val="16"/>
          <w:szCs w:val="16"/>
        </w:rPr>
        <w:t>Prediction of cardiovascular risk factors from retinal fundus photographs via deep learning</w:t>
      </w:r>
      <w:r w:rsidR="00A11563">
        <w:rPr>
          <w:sz w:val="16"/>
          <w:szCs w:val="16"/>
        </w:rPr>
        <w:t>’, (2018) 2</w:t>
      </w:r>
      <w:r w:rsidR="00A11563" w:rsidRPr="00A11563">
        <w:rPr>
          <w:sz w:val="16"/>
          <w:szCs w:val="16"/>
        </w:rPr>
        <w:t xml:space="preserve"> Nature Biomedical Engineering 158–164</w:t>
      </w:r>
      <w:r w:rsidR="00A11563">
        <w:rPr>
          <w:sz w:val="16"/>
          <w:szCs w:val="16"/>
        </w:rPr>
        <w:t>.</w:t>
      </w:r>
    </w:p>
  </w:footnote>
  <w:footnote w:id="87">
    <w:p w14:paraId="080124D7" w14:textId="0841825F"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CD6968">
        <w:rPr>
          <w:sz w:val="16"/>
          <w:szCs w:val="16"/>
        </w:rPr>
        <w:t>EDPS</w:t>
      </w:r>
      <w:r w:rsidRPr="00AC18AB">
        <w:rPr>
          <w:sz w:val="16"/>
          <w:szCs w:val="16"/>
        </w:rPr>
        <w:t>, Meeting the Challenges of big data, Opinion 7/2015</w:t>
      </w:r>
      <w:r w:rsidR="00CD6968">
        <w:rPr>
          <w:sz w:val="16"/>
          <w:szCs w:val="16"/>
        </w:rPr>
        <w:t xml:space="preserve"> (n 32) and</w:t>
      </w:r>
      <w:r w:rsidRPr="00AC18AB">
        <w:rPr>
          <w:sz w:val="16"/>
          <w:szCs w:val="16"/>
        </w:rPr>
        <w:t xml:space="preserve"> European Data Protection Supervisor (2016), Coherent enforcement of fundamental rights in the age of Big Data, Opinion 8/2016</w:t>
      </w:r>
      <w:r w:rsidR="00CD6968">
        <w:rPr>
          <w:sz w:val="16"/>
          <w:szCs w:val="16"/>
        </w:rPr>
        <w:t xml:space="preserve"> (n 10)</w:t>
      </w:r>
      <w:r w:rsidR="00A11563">
        <w:rPr>
          <w:sz w:val="16"/>
          <w:szCs w:val="16"/>
        </w:rPr>
        <w:t xml:space="preserve"> and </w:t>
      </w:r>
      <w:proofErr w:type="spellStart"/>
      <w:r w:rsidR="00A11563" w:rsidRPr="00A11563">
        <w:rPr>
          <w:sz w:val="16"/>
          <w:szCs w:val="16"/>
        </w:rPr>
        <w:t>Kun-Hsing</w:t>
      </w:r>
      <w:proofErr w:type="spellEnd"/>
      <w:r w:rsidR="00A11563" w:rsidRPr="00A11563">
        <w:rPr>
          <w:sz w:val="16"/>
          <w:szCs w:val="16"/>
        </w:rPr>
        <w:t xml:space="preserve"> Yu, Andrew L. Beam &amp; Isaac S. </w:t>
      </w:r>
      <w:proofErr w:type="spellStart"/>
      <w:r w:rsidR="00A11563" w:rsidRPr="00A11563">
        <w:rPr>
          <w:sz w:val="16"/>
          <w:szCs w:val="16"/>
        </w:rPr>
        <w:t>Kohane</w:t>
      </w:r>
      <w:proofErr w:type="spellEnd"/>
      <w:r w:rsidR="00A11563">
        <w:rPr>
          <w:sz w:val="16"/>
          <w:szCs w:val="16"/>
        </w:rPr>
        <w:t>, ‘</w:t>
      </w:r>
      <w:r w:rsidR="00A11563" w:rsidRPr="00A11563">
        <w:rPr>
          <w:sz w:val="16"/>
          <w:szCs w:val="16"/>
        </w:rPr>
        <w:t>Artificial intelligence in healthcare</w:t>
      </w:r>
      <w:r w:rsidR="00A11563">
        <w:rPr>
          <w:sz w:val="16"/>
          <w:szCs w:val="16"/>
        </w:rPr>
        <w:t xml:space="preserve">’ (2018) </w:t>
      </w:r>
      <w:r w:rsidR="00A11563" w:rsidRPr="00A11563">
        <w:rPr>
          <w:sz w:val="16"/>
          <w:szCs w:val="16"/>
        </w:rPr>
        <w:t xml:space="preserve">Nat Biomed </w:t>
      </w:r>
      <w:proofErr w:type="spellStart"/>
      <w:r w:rsidR="00A11563" w:rsidRPr="00A11563">
        <w:rPr>
          <w:sz w:val="16"/>
          <w:szCs w:val="16"/>
        </w:rPr>
        <w:t>Eng</w:t>
      </w:r>
      <w:proofErr w:type="spellEnd"/>
      <w:r w:rsidR="00A11563">
        <w:rPr>
          <w:sz w:val="16"/>
          <w:szCs w:val="16"/>
        </w:rPr>
        <w:t xml:space="preserve"> </w:t>
      </w:r>
      <w:r w:rsidR="00A11563" w:rsidRPr="00A11563">
        <w:rPr>
          <w:sz w:val="16"/>
          <w:szCs w:val="16"/>
        </w:rPr>
        <w:t>2, 719–731</w:t>
      </w:r>
      <w:r w:rsidR="00CD6968">
        <w:rPr>
          <w:sz w:val="16"/>
          <w:szCs w:val="16"/>
        </w:rPr>
        <w:t>.</w:t>
      </w:r>
    </w:p>
  </w:footnote>
  <w:footnote w:id="88">
    <w:p w14:paraId="2EEEFD1C" w14:textId="1F236790"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Michael V Hayes, ‘On the Epistemology of Risk: Language, Logic and Social Science’ (1992) 35 Social Science &amp; Medicine 401</w:t>
      </w:r>
      <w:r w:rsidR="00CD6968">
        <w:rPr>
          <w:sz w:val="16"/>
          <w:szCs w:val="16"/>
        </w:rPr>
        <w:t xml:space="preserve">, </w:t>
      </w:r>
      <w:r w:rsidRPr="00AC18AB">
        <w:rPr>
          <w:sz w:val="16"/>
          <w:szCs w:val="16"/>
        </w:rPr>
        <w:t xml:space="preserve">Michael Snyder and </w:t>
      </w:r>
      <w:proofErr w:type="spellStart"/>
      <w:r w:rsidRPr="00AC18AB">
        <w:rPr>
          <w:sz w:val="16"/>
          <w:szCs w:val="16"/>
        </w:rPr>
        <w:t>Wenyu</w:t>
      </w:r>
      <w:proofErr w:type="spellEnd"/>
      <w:r w:rsidRPr="00AC18AB">
        <w:rPr>
          <w:sz w:val="16"/>
          <w:szCs w:val="16"/>
        </w:rPr>
        <w:t xml:space="preserve"> Zhou, ‘Big Data and Health’ (2019) 1 The Lancet Digital Health e252</w:t>
      </w:r>
      <w:r w:rsidR="00CD6968">
        <w:rPr>
          <w:sz w:val="16"/>
          <w:szCs w:val="16"/>
        </w:rPr>
        <w:t xml:space="preserve">, </w:t>
      </w:r>
      <w:r w:rsidRPr="00AC18AB">
        <w:rPr>
          <w:sz w:val="16"/>
          <w:szCs w:val="16"/>
        </w:rPr>
        <w:t xml:space="preserve">Jessica Morley, </w:t>
      </w:r>
      <w:proofErr w:type="spellStart"/>
      <w:r w:rsidRPr="00AC18AB">
        <w:rPr>
          <w:sz w:val="16"/>
          <w:szCs w:val="16"/>
        </w:rPr>
        <w:t>Mariarosaria</w:t>
      </w:r>
      <w:proofErr w:type="spellEnd"/>
      <w:r w:rsidRPr="00AC18AB">
        <w:rPr>
          <w:sz w:val="16"/>
          <w:szCs w:val="16"/>
        </w:rPr>
        <w:t xml:space="preserve"> Taddeo and Luciano Floridi, ‘Google Health and the NHS: Overcoming the Trust Deficit’ (2019) 1 The Lancet Digital Health e389</w:t>
      </w:r>
      <w:r w:rsidR="00CD6968">
        <w:rPr>
          <w:sz w:val="16"/>
          <w:szCs w:val="16"/>
        </w:rPr>
        <w:t xml:space="preserve"> and </w:t>
      </w:r>
      <w:proofErr w:type="spellStart"/>
      <w:r w:rsidRPr="00AC18AB">
        <w:rPr>
          <w:sz w:val="16"/>
          <w:szCs w:val="16"/>
        </w:rPr>
        <w:t>Mariarosaria</w:t>
      </w:r>
      <w:proofErr w:type="spellEnd"/>
      <w:r w:rsidRPr="00AC18AB">
        <w:rPr>
          <w:sz w:val="16"/>
          <w:szCs w:val="16"/>
        </w:rPr>
        <w:t xml:space="preserve"> Taddeo, ‘Modelling Trust in Artificial Agents, A First Step Toward the Analysis of e-Trust’ (2010) 20 Minds and Machines 243 &lt;http://link.springer.com/10.1007/s11023-010-9201-3&gt;.</w:t>
      </w:r>
    </w:p>
  </w:footnote>
  <w:footnote w:id="89">
    <w:p w14:paraId="2170ED12" w14:textId="2C48B76F"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Saskia Hendriks and others, ‘Ethical Challenges of Risk, Informed Consent, and Posttrial Responsibilities in Human Research </w:t>
      </w:r>
      <w:proofErr w:type="gramStart"/>
      <w:r w:rsidRPr="00AC18AB">
        <w:rPr>
          <w:sz w:val="16"/>
          <w:szCs w:val="16"/>
        </w:rPr>
        <w:t>With</w:t>
      </w:r>
      <w:proofErr w:type="gramEnd"/>
      <w:r w:rsidRPr="00AC18AB">
        <w:rPr>
          <w:sz w:val="16"/>
          <w:szCs w:val="16"/>
        </w:rPr>
        <w:t xml:space="preserve"> Neural Devices: A Review’ (2019) 76 JAMA Neurology 1506.</w:t>
      </w:r>
    </w:p>
  </w:footnote>
  <w:footnote w:id="90">
    <w:p w14:paraId="04439379" w14:textId="09D30AF5"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Aisling McMahon, Alena </w:t>
      </w:r>
      <w:proofErr w:type="spellStart"/>
      <w:r w:rsidRPr="00AC18AB">
        <w:rPr>
          <w:sz w:val="16"/>
          <w:szCs w:val="16"/>
        </w:rPr>
        <w:t>Buyx</w:t>
      </w:r>
      <w:proofErr w:type="spellEnd"/>
      <w:r w:rsidRPr="00AC18AB">
        <w:rPr>
          <w:sz w:val="16"/>
          <w:szCs w:val="16"/>
        </w:rPr>
        <w:t xml:space="preserve"> and Barbara </w:t>
      </w:r>
      <w:proofErr w:type="spellStart"/>
      <w:r w:rsidRPr="00AC18AB">
        <w:rPr>
          <w:sz w:val="16"/>
          <w:szCs w:val="16"/>
        </w:rPr>
        <w:t>Prainsack</w:t>
      </w:r>
      <w:proofErr w:type="spellEnd"/>
      <w:r w:rsidRPr="00AC18AB">
        <w:rPr>
          <w:sz w:val="16"/>
          <w:szCs w:val="16"/>
        </w:rPr>
        <w:t xml:space="preserve">, ‘Big Data Governance Needs More Collective Responsibility: The Role of Harm Mitigation in the Governance of Data Use in Medicine and Beyond’ </w:t>
      </w:r>
      <w:r w:rsidR="00CD6968">
        <w:rPr>
          <w:sz w:val="16"/>
          <w:szCs w:val="16"/>
        </w:rPr>
        <w:t xml:space="preserve">(n 28) </w:t>
      </w:r>
      <w:r w:rsidRPr="00AC18AB">
        <w:rPr>
          <w:sz w:val="16"/>
          <w:szCs w:val="16"/>
        </w:rPr>
        <w:t>8</w:t>
      </w:r>
      <w:r w:rsidR="00CD6968">
        <w:rPr>
          <w:sz w:val="16"/>
          <w:szCs w:val="16"/>
        </w:rPr>
        <w:t xml:space="preserve"> and</w:t>
      </w:r>
      <w:r w:rsidRPr="00AC18AB">
        <w:rPr>
          <w:sz w:val="16"/>
          <w:szCs w:val="16"/>
        </w:rPr>
        <w:t xml:space="preserve"> Filippo </w:t>
      </w:r>
      <w:proofErr w:type="spellStart"/>
      <w:r w:rsidRPr="00AC18AB">
        <w:rPr>
          <w:sz w:val="16"/>
          <w:szCs w:val="16"/>
        </w:rPr>
        <w:t>Pesapane</w:t>
      </w:r>
      <w:proofErr w:type="spellEnd"/>
      <w:r w:rsidRPr="00AC18AB">
        <w:rPr>
          <w:sz w:val="16"/>
          <w:szCs w:val="16"/>
        </w:rPr>
        <w:t xml:space="preserve"> and others, ‘Artificial Intelligence as a Medical Device in Radiology: Ethical and Regulatory Issues in Europe and the United States’ (2018) 9 Insights into Imaging 745.</w:t>
      </w:r>
    </w:p>
  </w:footnote>
  <w:footnote w:id="91">
    <w:p w14:paraId="2F7D4AD2" w14:textId="00582104"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Raphaël Gellert, ‘Data Protection: A Risk Regulation? Between the Risk Management of Everything and the Precautionary Alternative’ (2015) 5 International Data Privacy Law 3</w:t>
      </w:r>
      <w:r w:rsidR="00CD6968">
        <w:rPr>
          <w:sz w:val="16"/>
          <w:szCs w:val="16"/>
        </w:rPr>
        <w:t>.</w:t>
      </w:r>
    </w:p>
  </w:footnote>
  <w:footnote w:id="92">
    <w:p w14:paraId="4A1903B1" w14:textId="0ABB0D1F"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Luciano Floridi, ‘Soft Ethics, the Governance of the Digital and the General Data Protection Regulation’ (2018) 376 Philosophical Transactions of the Royal Society A: Mathematical, Physical and Engineering Sciences 20180081</w:t>
      </w:r>
      <w:r w:rsidR="00CD6968">
        <w:rPr>
          <w:sz w:val="16"/>
          <w:szCs w:val="16"/>
        </w:rPr>
        <w:t xml:space="preserve">, </w:t>
      </w:r>
      <w:r w:rsidRPr="00AC18AB">
        <w:rPr>
          <w:sz w:val="16"/>
          <w:szCs w:val="16"/>
        </w:rPr>
        <w:t>Claudia Quelle, ‘Enhancing Compliance under the General Data Protection Regulation: The Risky Upshot of the Accountability- and Risk-Based Approach’ (2018) 9 European Journal of Risk Regulation 502</w:t>
      </w:r>
      <w:r w:rsidR="00CD6968">
        <w:rPr>
          <w:sz w:val="16"/>
          <w:szCs w:val="16"/>
        </w:rPr>
        <w:t xml:space="preserve"> and </w:t>
      </w:r>
      <w:r w:rsidRPr="00AC18AB">
        <w:rPr>
          <w:sz w:val="16"/>
          <w:szCs w:val="16"/>
        </w:rPr>
        <w:t xml:space="preserve">Michael Snyder and </w:t>
      </w:r>
      <w:proofErr w:type="spellStart"/>
      <w:r w:rsidRPr="00AC18AB">
        <w:rPr>
          <w:sz w:val="16"/>
          <w:szCs w:val="16"/>
        </w:rPr>
        <w:t>Wenyu</w:t>
      </w:r>
      <w:proofErr w:type="spellEnd"/>
      <w:r w:rsidRPr="00AC18AB">
        <w:rPr>
          <w:sz w:val="16"/>
          <w:szCs w:val="16"/>
        </w:rPr>
        <w:t xml:space="preserve"> Zhou, ‘Big Data and Health’ (2019) 1 The Lancet Digital Health e252. See also European Parliament and the Council of the European Union</w:t>
      </w:r>
      <w:r w:rsidR="00CD6968">
        <w:rPr>
          <w:sz w:val="16"/>
          <w:szCs w:val="16"/>
        </w:rPr>
        <w:t xml:space="preserve">, </w:t>
      </w:r>
      <w:r w:rsidRPr="00AC18AB">
        <w:rPr>
          <w:sz w:val="16"/>
          <w:szCs w:val="16"/>
        </w:rPr>
        <w:t xml:space="preserve">Regulation (EU) 2017/745 of the </w:t>
      </w:r>
      <w:r w:rsidR="00CD6968">
        <w:rPr>
          <w:sz w:val="16"/>
          <w:szCs w:val="16"/>
        </w:rPr>
        <w:t>E</w:t>
      </w:r>
      <w:r w:rsidRPr="00AC18AB">
        <w:rPr>
          <w:sz w:val="16"/>
          <w:szCs w:val="16"/>
        </w:rPr>
        <w:t xml:space="preserve">uropean </w:t>
      </w:r>
      <w:r w:rsidR="00CD6968">
        <w:rPr>
          <w:sz w:val="16"/>
          <w:szCs w:val="16"/>
        </w:rPr>
        <w:t>P</w:t>
      </w:r>
      <w:r w:rsidRPr="00AC18AB">
        <w:rPr>
          <w:sz w:val="16"/>
          <w:szCs w:val="16"/>
        </w:rPr>
        <w:t>arliament and of the Council on medical devices, amending directive 2001/83/EC, regulation (EC) No 178/2002 and regulation (EC) No 1223/2009 and repealing Council directives 90/385/EEC and 93/42/EEC</w:t>
      </w:r>
      <w:r w:rsidR="00CD6968">
        <w:rPr>
          <w:sz w:val="16"/>
          <w:szCs w:val="16"/>
        </w:rPr>
        <w:t xml:space="preserve">, </w:t>
      </w:r>
      <w:r w:rsidRPr="00AC18AB">
        <w:rPr>
          <w:sz w:val="16"/>
          <w:szCs w:val="16"/>
        </w:rPr>
        <w:t>Official Journal of the European Communities (2017) and European Parliament and the Council of the European Union</w:t>
      </w:r>
      <w:r w:rsidR="00CD6968">
        <w:rPr>
          <w:sz w:val="16"/>
          <w:szCs w:val="16"/>
        </w:rPr>
        <w:t xml:space="preserve"> </w:t>
      </w:r>
      <w:r w:rsidRPr="00AC18AB">
        <w:rPr>
          <w:sz w:val="16"/>
          <w:szCs w:val="16"/>
        </w:rPr>
        <w:t xml:space="preserve">Regulation (EU) 2017/746 of the </w:t>
      </w:r>
      <w:r w:rsidR="00CD6968">
        <w:rPr>
          <w:sz w:val="16"/>
          <w:szCs w:val="16"/>
        </w:rPr>
        <w:t>E</w:t>
      </w:r>
      <w:r w:rsidRPr="00AC18AB">
        <w:rPr>
          <w:sz w:val="16"/>
          <w:szCs w:val="16"/>
        </w:rPr>
        <w:t>uropean parliament and of the Council on in vitro diagnostic medical devices and repealing directive 98/79/EC and commission decision 2010/227/EU</w:t>
      </w:r>
      <w:r w:rsidR="00CD6968">
        <w:rPr>
          <w:sz w:val="16"/>
          <w:szCs w:val="16"/>
        </w:rPr>
        <w:t xml:space="preserve">, </w:t>
      </w:r>
      <w:r w:rsidRPr="00AC18AB">
        <w:rPr>
          <w:sz w:val="16"/>
          <w:szCs w:val="16"/>
        </w:rPr>
        <w:t>Official Journal of the European Communities (2017)</w:t>
      </w:r>
      <w:r w:rsidR="00CD6968">
        <w:rPr>
          <w:sz w:val="16"/>
          <w:szCs w:val="16"/>
        </w:rPr>
        <w:t>.</w:t>
      </w:r>
    </w:p>
  </w:footnote>
  <w:footnote w:id="93">
    <w:p w14:paraId="3CAF8D05" w14:textId="3F0B0A4B"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European Data Protection Supervisor (2019), Accountability on the ground Part II: Data Protection Impact Assessments &amp; Prior Consultation</w:t>
      </w:r>
      <w:r w:rsidR="00CD6968">
        <w:rPr>
          <w:sz w:val="16"/>
          <w:szCs w:val="16"/>
        </w:rPr>
        <w:t xml:space="preserve"> (n 33).</w:t>
      </w:r>
    </w:p>
  </w:footnote>
  <w:footnote w:id="94">
    <w:p w14:paraId="35C1CBFD" w14:textId="7777777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Lee A Bygrave, Data Protection Law—Approaching Its Rationale, Logic, and Its Limits (Kluwer, The Hague; London; New York 2002) pp 3-15, Raphaël Gellert, ‘Data Protection: A Risk Regulation? Between the Risk Management of Everything and the Precautionary Alternative’ (2015) 5 International Data Privacy Law 3</w:t>
      </w:r>
    </w:p>
  </w:footnote>
  <w:footnote w:id="95">
    <w:p w14:paraId="66BB7436" w14:textId="7777777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Ibid.</w:t>
      </w:r>
    </w:p>
  </w:footnote>
  <w:footnote w:id="96">
    <w:p w14:paraId="40662A83" w14:textId="43770CBF"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European Data Protection Board, </w:t>
      </w:r>
      <w:r w:rsidR="00CD6968">
        <w:rPr>
          <w:sz w:val="16"/>
          <w:szCs w:val="16"/>
        </w:rPr>
        <w:t>‘</w:t>
      </w:r>
      <w:r w:rsidRPr="00AC18AB">
        <w:rPr>
          <w:sz w:val="16"/>
          <w:szCs w:val="16"/>
        </w:rPr>
        <w:t>Opinion 22/2018 on the draft list of the competent supervisory authority of the United Kingdom Regarding the processing operations subject to the requirement of a data protection impact assessment (Article 35.4 GDPR)</w:t>
      </w:r>
      <w:r w:rsidR="00CD6968">
        <w:rPr>
          <w:sz w:val="16"/>
          <w:szCs w:val="16"/>
        </w:rPr>
        <w:t>’, 25 September 2018</w:t>
      </w:r>
      <w:r w:rsidR="009729FF">
        <w:rPr>
          <w:sz w:val="16"/>
          <w:szCs w:val="16"/>
        </w:rPr>
        <w:t>)</w:t>
      </w:r>
      <w:r w:rsidRPr="00AC18AB">
        <w:rPr>
          <w:sz w:val="16"/>
          <w:szCs w:val="16"/>
        </w:rPr>
        <w:t xml:space="preserve">. It endorses Article 29 Working Party, </w:t>
      </w:r>
      <w:r w:rsidR="009729FF">
        <w:rPr>
          <w:sz w:val="16"/>
          <w:szCs w:val="16"/>
        </w:rPr>
        <w:t>‘</w:t>
      </w:r>
      <w:r w:rsidRPr="00AC18AB">
        <w:rPr>
          <w:sz w:val="16"/>
          <w:szCs w:val="16"/>
        </w:rPr>
        <w:t>Guidelines on Data Protection Impact Assessment (DPIA) and determining whether processing is “likely to result in a high risk” for the purposes of Regulation 2016/679</w:t>
      </w:r>
      <w:r w:rsidR="009729FF">
        <w:rPr>
          <w:sz w:val="16"/>
          <w:szCs w:val="16"/>
        </w:rPr>
        <w:t>’ (</w:t>
      </w:r>
      <w:r w:rsidRPr="00AC18AB">
        <w:rPr>
          <w:sz w:val="16"/>
          <w:szCs w:val="16"/>
        </w:rPr>
        <w:t>WP 248</w:t>
      </w:r>
      <w:r w:rsidR="009729FF">
        <w:rPr>
          <w:sz w:val="16"/>
          <w:szCs w:val="16"/>
        </w:rPr>
        <w:t>)</w:t>
      </w:r>
      <w:r w:rsidRPr="00AC18AB">
        <w:rPr>
          <w:sz w:val="16"/>
          <w:szCs w:val="16"/>
        </w:rPr>
        <w:t xml:space="preserve">. See also Christopher Hood, Henry Rothstein, and Robert Baldwin, </w:t>
      </w:r>
      <w:r w:rsidRPr="009729FF">
        <w:rPr>
          <w:i/>
          <w:iCs/>
          <w:sz w:val="16"/>
          <w:szCs w:val="16"/>
        </w:rPr>
        <w:t>The Government of Risk—Understanding Risk Regulation Regimes</w:t>
      </w:r>
      <w:r w:rsidRPr="00AC18AB">
        <w:rPr>
          <w:sz w:val="16"/>
          <w:szCs w:val="16"/>
        </w:rPr>
        <w:t xml:space="preserve"> (Oxford University Press, Oxford, UK 2001) 3. They suggest that governance involves three interacting elements: standard-setting, information-gathering and behaviour-modification.</w:t>
      </w:r>
    </w:p>
  </w:footnote>
  <w:footnote w:id="97">
    <w:p w14:paraId="2A79B6D6" w14:textId="45F66124"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35(7)</w:t>
      </w:r>
      <w:r w:rsidR="009729FF">
        <w:rPr>
          <w:sz w:val="16"/>
          <w:szCs w:val="16"/>
        </w:rPr>
        <w:t xml:space="preserve"> GDPR.</w:t>
      </w:r>
    </w:p>
  </w:footnote>
  <w:footnote w:id="98">
    <w:p w14:paraId="1A680204" w14:textId="436EF8B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35 (3) (a) (b)</w:t>
      </w:r>
      <w:r w:rsidR="009729FF">
        <w:rPr>
          <w:sz w:val="16"/>
          <w:szCs w:val="16"/>
        </w:rPr>
        <w:t xml:space="preserve"> GDPR.</w:t>
      </w:r>
    </w:p>
  </w:footnote>
  <w:footnote w:id="99">
    <w:p w14:paraId="232217DD" w14:textId="1348D888"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Roger Clarke, ‘An Evaluation of Privacy Impact Assessment Guidance Documents’ (2011) 1 International Data Privacy Law 111</w:t>
      </w:r>
      <w:r w:rsidR="009729FF">
        <w:rPr>
          <w:sz w:val="16"/>
          <w:szCs w:val="16"/>
        </w:rPr>
        <w:t>.</w:t>
      </w:r>
    </w:p>
  </w:footnote>
  <w:footnote w:id="100">
    <w:p w14:paraId="6DFA4CE7" w14:textId="5A58708C"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European Data Protection Board endorses Article 29 Working Party, Guidelines on Data Protection Impact Assessment (DPIA) 9-11</w:t>
      </w:r>
      <w:r w:rsidR="009729FF">
        <w:rPr>
          <w:sz w:val="16"/>
          <w:szCs w:val="16"/>
        </w:rPr>
        <w:t>.</w:t>
      </w:r>
    </w:p>
  </w:footnote>
  <w:footnote w:id="101">
    <w:p w14:paraId="36652F08" w14:textId="50C2A1A4"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Article 36</w:t>
      </w:r>
      <w:r w:rsidR="009729FF">
        <w:rPr>
          <w:sz w:val="16"/>
          <w:szCs w:val="16"/>
        </w:rPr>
        <w:t xml:space="preserve"> GDPR.</w:t>
      </w:r>
    </w:p>
  </w:footnote>
  <w:footnote w:id="102">
    <w:p w14:paraId="62CA1C26" w14:textId="7ADB2C20"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Article 29 Working Party</w:t>
      </w:r>
      <w:r w:rsidR="009729FF">
        <w:rPr>
          <w:sz w:val="16"/>
          <w:szCs w:val="16"/>
        </w:rPr>
        <w:t>, ‘</w:t>
      </w:r>
      <w:r w:rsidRPr="00AC18AB">
        <w:rPr>
          <w:sz w:val="16"/>
          <w:szCs w:val="16"/>
        </w:rPr>
        <w:t>Guidelines on Data Protection Impact Assessment (DPIA) and determining whether processing is “likely to result in high risk” for the purposes of Regulation 2016/679</w:t>
      </w:r>
      <w:r w:rsidR="009729FF">
        <w:rPr>
          <w:sz w:val="16"/>
          <w:szCs w:val="16"/>
        </w:rPr>
        <w:t>’ (n 95)</w:t>
      </w:r>
      <w:r w:rsidRPr="00AC18AB">
        <w:rPr>
          <w:sz w:val="16"/>
          <w:szCs w:val="16"/>
        </w:rPr>
        <w:t>. See critique Reuben Binns, ‘Data Protection Impact Assessments: A Meta-Regulatory Approach’ (2017) 7 International Data Privacy Law 22</w:t>
      </w:r>
      <w:r w:rsidR="009729FF">
        <w:rPr>
          <w:sz w:val="16"/>
          <w:szCs w:val="16"/>
        </w:rPr>
        <w:t>.</w:t>
      </w:r>
    </w:p>
  </w:footnote>
  <w:footnote w:id="103">
    <w:p w14:paraId="7EA6BA43" w14:textId="6488F0F6"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Athena Bourka and others, </w:t>
      </w:r>
      <w:r w:rsidR="009729FF">
        <w:rPr>
          <w:sz w:val="16"/>
          <w:szCs w:val="16"/>
        </w:rPr>
        <w:t>‘</w:t>
      </w:r>
      <w:r w:rsidRPr="00AC18AB">
        <w:rPr>
          <w:sz w:val="16"/>
          <w:szCs w:val="16"/>
        </w:rPr>
        <w:t>Recommendations on Shaping Technology According to GDPR Provisions: Exploring the Notion of Data Protection by Default</w:t>
      </w:r>
      <w:r w:rsidR="009729FF">
        <w:rPr>
          <w:sz w:val="16"/>
          <w:szCs w:val="16"/>
        </w:rPr>
        <w:t xml:space="preserve">’ </w:t>
      </w:r>
      <w:r w:rsidRPr="00AC18AB">
        <w:rPr>
          <w:sz w:val="16"/>
          <w:szCs w:val="16"/>
        </w:rPr>
        <w:t xml:space="preserve">(2018) &lt;http://dx.publications.europa.eu/10.2824/518496&gt; accessed 9 January 2020. Henry Rothstein and others, ‘The Risks of Risk-Based Regulation: Insights from the Environmental Policy Domain’ (2006) 32 Environment International 1056, 1057. The Royal Society, </w:t>
      </w:r>
      <w:r w:rsidR="009729FF">
        <w:rPr>
          <w:sz w:val="16"/>
          <w:szCs w:val="16"/>
        </w:rPr>
        <w:t>‘</w:t>
      </w:r>
      <w:r w:rsidRPr="00AC18AB">
        <w:rPr>
          <w:sz w:val="16"/>
          <w:szCs w:val="16"/>
        </w:rPr>
        <w:t>Protecting Privacy in Practice: The Current Use, Development and Limits of Privacy Enhancing Technologies in Data Analysis</w:t>
      </w:r>
      <w:r w:rsidR="009729FF">
        <w:rPr>
          <w:sz w:val="16"/>
          <w:szCs w:val="16"/>
        </w:rPr>
        <w:t>’</w:t>
      </w:r>
      <w:r w:rsidRPr="00AC18AB">
        <w:rPr>
          <w:sz w:val="16"/>
          <w:szCs w:val="16"/>
        </w:rPr>
        <w:t xml:space="preserve"> (The Royal Society, 2019), 1</w:t>
      </w:r>
      <w:r w:rsidR="009729FF">
        <w:rPr>
          <w:sz w:val="16"/>
          <w:szCs w:val="16"/>
        </w:rPr>
        <w:t xml:space="preserve">, </w:t>
      </w:r>
      <w:r w:rsidRPr="00AC18AB">
        <w:rPr>
          <w:sz w:val="16"/>
          <w:szCs w:val="16"/>
        </w:rPr>
        <w:t xml:space="preserve"> L</w:t>
      </w:r>
      <w:r w:rsidR="009729FF">
        <w:rPr>
          <w:sz w:val="16"/>
          <w:szCs w:val="16"/>
        </w:rPr>
        <w:t xml:space="preserve">ee </w:t>
      </w:r>
      <w:r w:rsidRPr="00AC18AB">
        <w:rPr>
          <w:sz w:val="16"/>
          <w:szCs w:val="16"/>
        </w:rPr>
        <w:t xml:space="preserve">Bygrave, </w:t>
      </w:r>
      <w:r w:rsidR="009729FF">
        <w:rPr>
          <w:sz w:val="16"/>
          <w:szCs w:val="16"/>
        </w:rPr>
        <w:t>‘</w:t>
      </w:r>
      <w:r w:rsidRPr="00AC18AB">
        <w:rPr>
          <w:sz w:val="16"/>
          <w:szCs w:val="16"/>
        </w:rPr>
        <w:t>Data Protection by Design and by Default: Deciphering the EU’s Legislative Requirements</w:t>
      </w:r>
      <w:r w:rsidR="009729FF">
        <w:rPr>
          <w:sz w:val="16"/>
          <w:szCs w:val="16"/>
        </w:rPr>
        <w:t>’</w:t>
      </w:r>
      <w:r w:rsidRPr="00AC18AB">
        <w:rPr>
          <w:sz w:val="16"/>
          <w:szCs w:val="16"/>
        </w:rPr>
        <w:t xml:space="preserve">, </w:t>
      </w:r>
      <w:r w:rsidR="009729FF">
        <w:rPr>
          <w:sz w:val="16"/>
          <w:szCs w:val="16"/>
        </w:rPr>
        <w:t xml:space="preserve">(2017) </w:t>
      </w:r>
      <w:r w:rsidRPr="00AC18AB">
        <w:rPr>
          <w:sz w:val="16"/>
          <w:szCs w:val="16"/>
        </w:rPr>
        <w:t>Oslo Law Review 4</w:t>
      </w:r>
      <w:r w:rsidR="009729FF">
        <w:rPr>
          <w:sz w:val="16"/>
          <w:szCs w:val="16"/>
        </w:rPr>
        <w:t>(</w:t>
      </w:r>
      <w:r w:rsidRPr="00AC18AB">
        <w:rPr>
          <w:sz w:val="16"/>
          <w:szCs w:val="16"/>
        </w:rPr>
        <w:t>2</w:t>
      </w:r>
      <w:r w:rsidR="009729FF">
        <w:rPr>
          <w:sz w:val="16"/>
          <w:szCs w:val="16"/>
        </w:rPr>
        <w:t>)</w:t>
      </w:r>
      <w:r w:rsidRPr="00AC18AB">
        <w:rPr>
          <w:sz w:val="16"/>
          <w:szCs w:val="16"/>
        </w:rPr>
        <w:t xml:space="preserve"> 105-120. </w:t>
      </w:r>
    </w:p>
  </w:footnote>
  <w:footnote w:id="104">
    <w:p w14:paraId="5D44A216" w14:textId="02D55109" w:rsidR="00980E14" w:rsidRPr="00A11563" w:rsidRDefault="00980E14" w:rsidP="000D048C">
      <w:pPr>
        <w:pStyle w:val="FootnoteText"/>
        <w:rPr>
          <w:color w:val="000000" w:themeColor="text1"/>
          <w:sz w:val="16"/>
          <w:szCs w:val="16"/>
        </w:rPr>
      </w:pPr>
      <w:r w:rsidRPr="00A11563">
        <w:rPr>
          <w:rStyle w:val="FootnoteReference"/>
          <w:color w:val="000000" w:themeColor="text1"/>
          <w:sz w:val="16"/>
          <w:szCs w:val="16"/>
        </w:rPr>
        <w:footnoteRef/>
      </w:r>
      <w:r w:rsidRPr="00A11563">
        <w:rPr>
          <w:color w:val="000000" w:themeColor="text1"/>
          <w:sz w:val="16"/>
          <w:szCs w:val="16"/>
        </w:rPr>
        <w:t xml:space="preserve"> Dag Wiese </w:t>
      </w:r>
      <w:proofErr w:type="spellStart"/>
      <w:r w:rsidRPr="00A11563">
        <w:rPr>
          <w:color w:val="000000" w:themeColor="text1"/>
          <w:sz w:val="16"/>
          <w:szCs w:val="16"/>
        </w:rPr>
        <w:t>Schartum</w:t>
      </w:r>
      <w:proofErr w:type="spellEnd"/>
      <w:r w:rsidRPr="00A11563">
        <w:rPr>
          <w:color w:val="000000" w:themeColor="text1"/>
          <w:sz w:val="16"/>
          <w:szCs w:val="16"/>
        </w:rPr>
        <w:t xml:space="preserve">, ‘Making Privacy by Design Operative’ (2016) 24 International Journal of Law and Information Technology 151, Michael Veale, Reuben Binns and Jef Ausloos, ‘When Data Protection by Design and Data Subject Rights Clash’ (2018) 8 International Data Privacy Law 105, </w:t>
      </w:r>
      <w:proofErr w:type="spellStart"/>
      <w:r w:rsidRPr="00A11563">
        <w:rPr>
          <w:color w:val="000000" w:themeColor="text1"/>
          <w:sz w:val="16"/>
          <w:szCs w:val="16"/>
        </w:rPr>
        <w:t>Mélanie</w:t>
      </w:r>
      <w:proofErr w:type="spellEnd"/>
      <w:r w:rsidRPr="00A11563">
        <w:rPr>
          <w:color w:val="000000" w:themeColor="text1"/>
          <w:sz w:val="16"/>
          <w:szCs w:val="16"/>
        </w:rPr>
        <w:t xml:space="preserve"> Bourassa Forcier and others, ‘Integrating Artificial Intelligence into Health Care through Data Access: Can the GDPR Act as a Beacon for Policymakers?’ (2019) 6 Journal of Law and the Biosciences 317</w:t>
      </w:r>
      <w:r w:rsidR="00A11563" w:rsidRPr="00A11563">
        <w:rPr>
          <w:color w:val="000000" w:themeColor="text1"/>
          <w:sz w:val="16"/>
          <w:szCs w:val="16"/>
        </w:rPr>
        <w:t>.</w:t>
      </w:r>
    </w:p>
  </w:footnote>
  <w:footnote w:id="105">
    <w:p w14:paraId="2D0B08AD" w14:textId="32DF6F58"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​Royal Society Working Group</w:t>
      </w:r>
      <w:r w:rsidR="00A11563">
        <w:rPr>
          <w:sz w:val="16"/>
          <w:szCs w:val="16"/>
        </w:rPr>
        <w:t>, ‘</w:t>
      </w:r>
      <w:r w:rsidRPr="00AC18AB">
        <w:rPr>
          <w:sz w:val="16"/>
          <w:szCs w:val="16"/>
        </w:rPr>
        <w:t>Machine learning: the power and promise of computers that learn by example</w:t>
      </w:r>
      <w:r w:rsidR="00A11563">
        <w:rPr>
          <w:sz w:val="16"/>
          <w:szCs w:val="16"/>
        </w:rPr>
        <w:t xml:space="preserve">’ </w:t>
      </w:r>
      <w:r w:rsidR="00A541D0">
        <w:rPr>
          <w:sz w:val="16"/>
          <w:szCs w:val="16"/>
        </w:rPr>
        <w:t>(2017)  &lt;</w:t>
      </w:r>
      <w:r w:rsidR="00A541D0" w:rsidRPr="00A541D0">
        <w:rPr>
          <w:sz w:val="16"/>
          <w:szCs w:val="16"/>
        </w:rPr>
        <w:t xml:space="preserve">https://royalsociety.org/-/media/policy/projects/machine-learning/publications/machine-learning-report.pdf </w:t>
      </w:r>
      <w:r w:rsidR="00A541D0">
        <w:rPr>
          <w:sz w:val="16"/>
          <w:szCs w:val="16"/>
        </w:rPr>
        <w:t>&gt; and</w:t>
      </w:r>
      <w:r w:rsidRPr="00AC18AB">
        <w:rPr>
          <w:sz w:val="16"/>
          <w:szCs w:val="16"/>
        </w:rPr>
        <w:t xml:space="preserve"> </w:t>
      </w:r>
      <w:proofErr w:type="spellStart"/>
      <w:r w:rsidR="00860B96" w:rsidRPr="00860B96">
        <w:rPr>
          <w:sz w:val="16"/>
          <w:szCs w:val="16"/>
        </w:rPr>
        <w:t>Sicco</w:t>
      </w:r>
      <w:proofErr w:type="spellEnd"/>
      <w:r w:rsidR="00860B96" w:rsidRPr="00860B96">
        <w:rPr>
          <w:sz w:val="16"/>
          <w:szCs w:val="16"/>
        </w:rPr>
        <w:t xml:space="preserve"> </w:t>
      </w:r>
      <w:proofErr w:type="spellStart"/>
      <w:r w:rsidR="00860B96" w:rsidRPr="00860B96">
        <w:rPr>
          <w:sz w:val="16"/>
          <w:szCs w:val="16"/>
        </w:rPr>
        <w:t>Verwer</w:t>
      </w:r>
      <w:proofErr w:type="spellEnd"/>
      <w:r w:rsidR="00860B96" w:rsidRPr="00860B96">
        <w:rPr>
          <w:sz w:val="16"/>
          <w:szCs w:val="16"/>
        </w:rPr>
        <w:t xml:space="preserve"> </w:t>
      </w:r>
      <w:r w:rsidR="00860B96">
        <w:rPr>
          <w:sz w:val="16"/>
          <w:szCs w:val="16"/>
        </w:rPr>
        <w:t xml:space="preserve">and Toon </w:t>
      </w:r>
      <w:proofErr w:type="spellStart"/>
      <w:r w:rsidRPr="00AC18AB">
        <w:rPr>
          <w:sz w:val="16"/>
          <w:szCs w:val="16"/>
        </w:rPr>
        <w:t>Calders</w:t>
      </w:r>
      <w:proofErr w:type="spellEnd"/>
      <w:r w:rsidRPr="00AC18AB">
        <w:rPr>
          <w:sz w:val="16"/>
          <w:szCs w:val="16"/>
        </w:rPr>
        <w:t xml:space="preserve">, </w:t>
      </w:r>
      <w:r w:rsidR="00860B96">
        <w:rPr>
          <w:sz w:val="16"/>
          <w:szCs w:val="16"/>
        </w:rPr>
        <w:t>‘</w:t>
      </w:r>
      <w:r w:rsidRPr="00AC18AB">
        <w:rPr>
          <w:sz w:val="16"/>
          <w:szCs w:val="16"/>
        </w:rPr>
        <w:t>Introducing Positive Discrimination in Predictive Models</w:t>
      </w:r>
      <w:r w:rsidR="00860B96">
        <w:rPr>
          <w:sz w:val="16"/>
          <w:szCs w:val="16"/>
        </w:rPr>
        <w:t>’ in</w:t>
      </w:r>
      <w:r w:rsidRPr="00AC18AB">
        <w:rPr>
          <w:sz w:val="16"/>
          <w:szCs w:val="16"/>
        </w:rPr>
        <w:t xml:space="preserve"> B</w:t>
      </w:r>
      <w:r w:rsidR="00860B96">
        <w:rPr>
          <w:sz w:val="16"/>
          <w:szCs w:val="16"/>
        </w:rPr>
        <w:t>art</w:t>
      </w:r>
      <w:r w:rsidRPr="00AC18AB">
        <w:rPr>
          <w:sz w:val="16"/>
          <w:szCs w:val="16"/>
        </w:rPr>
        <w:t xml:space="preserve"> </w:t>
      </w:r>
      <w:proofErr w:type="spellStart"/>
      <w:r w:rsidRPr="00AC18AB">
        <w:rPr>
          <w:sz w:val="16"/>
          <w:szCs w:val="16"/>
        </w:rPr>
        <w:t>Custers</w:t>
      </w:r>
      <w:proofErr w:type="spellEnd"/>
      <w:r w:rsidRPr="00AC18AB">
        <w:rPr>
          <w:sz w:val="16"/>
          <w:szCs w:val="16"/>
        </w:rPr>
        <w:t>, T</w:t>
      </w:r>
      <w:r w:rsidR="00860B96">
        <w:rPr>
          <w:sz w:val="16"/>
          <w:szCs w:val="16"/>
        </w:rPr>
        <w:t>oon</w:t>
      </w:r>
      <w:r w:rsidRPr="00AC18AB">
        <w:rPr>
          <w:sz w:val="16"/>
          <w:szCs w:val="16"/>
        </w:rPr>
        <w:t xml:space="preserve"> </w:t>
      </w:r>
      <w:proofErr w:type="spellStart"/>
      <w:r w:rsidRPr="00AC18AB">
        <w:rPr>
          <w:sz w:val="16"/>
          <w:szCs w:val="16"/>
        </w:rPr>
        <w:t>Calders</w:t>
      </w:r>
      <w:proofErr w:type="spellEnd"/>
      <w:r w:rsidRPr="00AC18AB">
        <w:rPr>
          <w:sz w:val="16"/>
          <w:szCs w:val="16"/>
        </w:rPr>
        <w:t>, B</w:t>
      </w:r>
      <w:r w:rsidR="00860B96">
        <w:rPr>
          <w:sz w:val="16"/>
          <w:szCs w:val="16"/>
        </w:rPr>
        <w:t>art</w:t>
      </w:r>
      <w:r w:rsidRPr="00AC18AB">
        <w:rPr>
          <w:sz w:val="16"/>
          <w:szCs w:val="16"/>
        </w:rPr>
        <w:t xml:space="preserve"> </w:t>
      </w:r>
      <w:proofErr w:type="spellStart"/>
      <w:r w:rsidRPr="00AC18AB">
        <w:rPr>
          <w:sz w:val="16"/>
          <w:szCs w:val="16"/>
        </w:rPr>
        <w:t>Schermer</w:t>
      </w:r>
      <w:proofErr w:type="spellEnd"/>
      <w:r w:rsidR="00860B96">
        <w:rPr>
          <w:sz w:val="16"/>
          <w:szCs w:val="16"/>
        </w:rPr>
        <w:t xml:space="preserve"> and Tal</w:t>
      </w:r>
      <w:r w:rsidRPr="00AC18AB">
        <w:rPr>
          <w:sz w:val="16"/>
          <w:szCs w:val="16"/>
        </w:rPr>
        <w:t xml:space="preserve"> Zarsky (Eds.) ​</w:t>
      </w:r>
      <w:r w:rsidRPr="00860B96">
        <w:rPr>
          <w:i/>
          <w:iCs/>
          <w:sz w:val="16"/>
          <w:szCs w:val="16"/>
        </w:rPr>
        <w:t>Discrimination and Privacy in the Information Society: Data Mining and Profiling in Large Databases​</w:t>
      </w:r>
      <w:r w:rsidRPr="00AC18AB">
        <w:rPr>
          <w:sz w:val="16"/>
          <w:szCs w:val="16"/>
        </w:rPr>
        <w:t xml:space="preserve"> </w:t>
      </w:r>
      <w:r w:rsidR="00860B96">
        <w:rPr>
          <w:sz w:val="16"/>
          <w:szCs w:val="16"/>
        </w:rPr>
        <w:t>(Springer, 2013)</w:t>
      </w:r>
      <w:r w:rsidRPr="00AC18AB">
        <w:rPr>
          <w:sz w:val="16"/>
          <w:szCs w:val="16"/>
        </w:rPr>
        <w:t xml:space="preserve"> 255–270</w:t>
      </w:r>
      <w:r w:rsidR="00860B96">
        <w:rPr>
          <w:sz w:val="16"/>
          <w:szCs w:val="16"/>
        </w:rPr>
        <w:t>.</w:t>
      </w:r>
    </w:p>
  </w:footnote>
  <w:footnote w:id="106">
    <w:p w14:paraId="2FB77B36" w14:textId="7633FE59"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860B96">
        <w:rPr>
          <w:sz w:val="16"/>
          <w:szCs w:val="16"/>
        </w:rPr>
        <w:t xml:space="preserve">Isak </w:t>
      </w:r>
      <w:r w:rsidRPr="00AC18AB">
        <w:rPr>
          <w:sz w:val="16"/>
          <w:szCs w:val="16"/>
        </w:rPr>
        <w:t>Mendoza</w:t>
      </w:r>
      <w:r w:rsidR="00860B96">
        <w:rPr>
          <w:sz w:val="16"/>
          <w:szCs w:val="16"/>
        </w:rPr>
        <w:t xml:space="preserve"> and Lee</w:t>
      </w:r>
      <w:r w:rsidRPr="00AC18AB">
        <w:rPr>
          <w:sz w:val="16"/>
          <w:szCs w:val="16"/>
        </w:rPr>
        <w:t xml:space="preserve"> Bygrave</w:t>
      </w:r>
      <w:r w:rsidR="00860B96">
        <w:rPr>
          <w:sz w:val="16"/>
          <w:szCs w:val="16"/>
        </w:rPr>
        <w:t>, ‘</w:t>
      </w:r>
      <w:r w:rsidRPr="00AC18AB">
        <w:rPr>
          <w:sz w:val="16"/>
          <w:szCs w:val="16"/>
        </w:rPr>
        <w:t>The right not to be subject to automated decisions based on profiling</w:t>
      </w:r>
      <w:r w:rsidR="00860B96">
        <w:rPr>
          <w:sz w:val="16"/>
          <w:szCs w:val="16"/>
        </w:rPr>
        <w:t xml:space="preserve">’ in </w:t>
      </w:r>
      <w:proofErr w:type="spellStart"/>
      <w:r w:rsidR="00860B96" w:rsidRPr="00860B96">
        <w:rPr>
          <w:sz w:val="16"/>
          <w:szCs w:val="16"/>
        </w:rPr>
        <w:t>Tatiani</w:t>
      </w:r>
      <w:proofErr w:type="spellEnd"/>
      <w:r w:rsidR="00860B96" w:rsidRPr="00860B96">
        <w:rPr>
          <w:sz w:val="16"/>
          <w:szCs w:val="16"/>
        </w:rPr>
        <w:t xml:space="preserve"> Synodinou, Philippe Jougleux, Christiana Markou, Thalia Prastitou (eds) </w:t>
      </w:r>
      <w:r w:rsidR="00860B96" w:rsidRPr="00860B96">
        <w:rPr>
          <w:i/>
          <w:iCs/>
          <w:sz w:val="16"/>
          <w:szCs w:val="16"/>
        </w:rPr>
        <w:t>EU Internet Law: Regulation and Enforcement</w:t>
      </w:r>
      <w:r w:rsidR="00860B96">
        <w:rPr>
          <w:sz w:val="16"/>
          <w:szCs w:val="16"/>
        </w:rPr>
        <w:t xml:space="preserve"> (Springer, 2017) 77-98 and </w:t>
      </w:r>
      <w:r w:rsidRPr="00AC18AB">
        <w:rPr>
          <w:sz w:val="16"/>
          <w:szCs w:val="16"/>
        </w:rPr>
        <w:t xml:space="preserve">Sandra Wachter and </w:t>
      </w:r>
      <w:proofErr w:type="spellStart"/>
      <w:r w:rsidRPr="00AC18AB">
        <w:rPr>
          <w:sz w:val="16"/>
          <w:szCs w:val="16"/>
        </w:rPr>
        <w:t>Mittelstadt</w:t>
      </w:r>
      <w:proofErr w:type="spellEnd"/>
      <w:r w:rsidRPr="00AC18AB">
        <w:rPr>
          <w:sz w:val="16"/>
          <w:szCs w:val="16"/>
        </w:rPr>
        <w:t xml:space="preserve"> Brent, ‘A Right to Reasonable Inferences: Re-Thinking Data Protection Law in the Age of Big Data and AI’, </w:t>
      </w:r>
      <w:r w:rsidR="00860B96">
        <w:rPr>
          <w:sz w:val="16"/>
          <w:szCs w:val="16"/>
        </w:rPr>
        <w:t xml:space="preserve">(2019) </w:t>
      </w:r>
      <w:r w:rsidRPr="00AC18AB">
        <w:rPr>
          <w:sz w:val="16"/>
          <w:szCs w:val="16"/>
        </w:rPr>
        <w:t xml:space="preserve">Columbia Business Law Review, </w:t>
      </w:r>
      <w:r w:rsidR="00860B96">
        <w:rPr>
          <w:sz w:val="16"/>
          <w:szCs w:val="16"/>
        </w:rPr>
        <w:t>495</w:t>
      </w:r>
      <w:r w:rsidRPr="00AC18AB">
        <w:rPr>
          <w:sz w:val="16"/>
          <w:szCs w:val="16"/>
        </w:rPr>
        <w:t>.</w:t>
      </w:r>
    </w:p>
  </w:footnote>
  <w:footnote w:id="107">
    <w:p w14:paraId="2CFE9AB0" w14:textId="6227A13D"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860B96" w:rsidRPr="00860B96">
        <w:rPr>
          <w:sz w:val="16"/>
          <w:szCs w:val="16"/>
        </w:rPr>
        <w:t xml:space="preserve">Nicholas </w:t>
      </w:r>
      <w:proofErr w:type="spellStart"/>
      <w:r w:rsidR="00860B96" w:rsidRPr="00860B96">
        <w:rPr>
          <w:sz w:val="16"/>
          <w:szCs w:val="16"/>
        </w:rPr>
        <w:t>Diakopoulos</w:t>
      </w:r>
      <w:proofErr w:type="spellEnd"/>
      <w:r w:rsidR="00860B96" w:rsidRPr="00860B96">
        <w:rPr>
          <w:sz w:val="16"/>
          <w:szCs w:val="16"/>
        </w:rPr>
        <w:t xml:space="preserve"> </w:t>
      </w:r>
      <w:r w:rsidR="00F52758">
        <w:rPr>
          <w:sz w:val="16"/>
          <w:szCs w:val="16"/>
        </w:rPr>
        <w:t>and others, ‘</w:t>
      </w:r>
      <w:r w:rsidRPr="00AC18AB">
        <w:rPr>
          <w:sz w:val="16"/>
          <w:szCs w:val="16"/>
        </w:rPr>
        <w:t>Principles for accountable algorithms and a social impact statement for algorithms</w:t>
      </w:r>
      <w:r w:rsidR="00F52758">
        <w:rPr>
          <w:sz w:val="16"/>
          <w:szCs w:val="16"/>
        </w:rPr>
        <w:t>’ (</w:t>
      </w:r>
      <w:proofErr w:type="spellStart"/>
      <w:r w:rsidR="00F52758">
        <w:rPr>
          <w:sz w:val="16"/>
          <w:szCs w:val="16"/>
        </w:rPr>
        <w:t>nd</w:t>
      </w:r>
      <w:proofErr w:type="spellEnd"/>
      <w:r w:rsidR="00F52758">
        <w:rPr>
          <w:sz w:val="16"/>
          <w:szCs w:val="16"/>
        </w:rPr>
        <w:t>) &lt;</w:t>
      </w:r>
      <w:r w:rsidRPr="00AC18AB">
        <w:rPr>
          <w:sz w:val="16"/>
          <w:szCs w:val="16"/>
        </w:rPr>
        <w:t>http://www.fatml.org/resources/principles-for- accountable-algorithms</w:t>
      </w:r>
      <w:r w:rsidR="00F52758">
        <w:rPr>
          <w:sz w:val="16"/>
          <w:szCs w:val="16"/>
        </w:rPr>
        <w:t>&gt;.</w:t>
      </w:r>
    </w:p>
  </w:footnote>
  <w:footnote w:id="108">
    <w:p w14:paraId="3E812422" w14:textId="6CEF6A1D"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F52758" w:rsidRPr="00F52758">
        <w:rPr>
          <w:sz w:val="16"/>
          <w:szCs w:val="16"/>
        </w:rPr>
        <w:t>Dillon Reisman, Jason Schultz, Kate Crawford, Meredith Whittaker</w:t>
      </w:r>
      <w:r w:rsidR="00F52758">
        <w:rPr>
          <w:sz w:val="16"/>
          <w:szCs w:val="16"/>
        </w:rPr>
        <w:t>, ‘</w:t>
      </w:r>
      <w:r w:rsidRPr="00AC18AB">
        <w:rPr>
          <w:sz w:val="16"/>
          <w:szCs w:val="16"/>
        </w:rPr>
        <w:t>Algorithmic impact assessments: A practical framework for public agency accountability</w:t>
      </w:r>
      <w:r w:rsidR="00F52758">
        <w:rPr>
          <w:sz w:val="16"/>
          <w:szCs w:val="16"/>
        </w:rPr>
        <w:t>’ (2018) &lt;</w:t>
      </w:r>
      <w:r w:rsidRPr="00AC18AB">
        <w:rPr>
          <w:sz w:val="16"/>
          <w:szCs w:val="16"/>
        </w:rPr>
        <w:t>https://ainowinstitute.org /aiareport2018.pdf</w:t>
      </w:r>
      <w:r w:rsidR="00F52758">
        <w:rPr>
          <w:sz w:val="16"/>
          <w:szCs w:val="16"/>
        </w:rPr>
        <w:t>&gt;.</w:t>
      </w:r>
    </w:p>
  </w:footnote>
  <w:footnote w:id="109">
    <w:p w14:paraId="62FCA645" w14:textId="7BFA383F"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F52758">
        <w:rPr>
          <w:sz w:val="16"/>
          <w:szCs w:val="16"/>
        </w:rPr>
        <w:t xml:space="preserve">Sharon </w:t>
      </w:r>
      <w:proofErr w:type="spellStart"/>
      <w:r w:rsidRPr="00AC18AB">
        <w:rPr>
          <w:sz w:val="16"/>
          <w:szCs w:val="16"/>
        </w:rPr>
        <w:t>Vallor</w:t>
      </w:r>
      <w:proofErr w:type="spellEnd"/>
      <w:r w:rsidRPr="00AC18AB">
        <w:rPr>
          <w:sz w:val="16"/>
          <w:szCs w:val="16"/>
        </w:rPr>
        <w:t xml:space="preserve">, </w:t>
      </w:r>
      <w:r w:rsidR="00F52758">
        <w:rPr>
          <w:sz w:val="16"/>
          <w:szCs w:val="16"/>
        </w:rPr>
        <w:t>‘</w:t>
      </w:r>
      <w:r w:rsidRPr="00AC18AB">
        <w:rPr>
          <w:sz w:val="16"/>
          <w:szCs w:val="16"/>
        </w:rPr>
        <w:t>An ethical toolkit for engineering/design practice</w:t>
      </w:r>
      <w:r w:rsidR="00F52758">
        <w:rPr>
          <w:sz w:val="16"/>
          <w:szCs w:val="16"/>
        </w:rPr>
        <w:t>’ (2018) &lt;</w:t>
      </w:r>
      <w:r w:rsidRPr="00AC18AB">
        <w:rPr>
          <w:sz w:val="16"/>
          <w:szCs w:val="16"/>
        </w:rPr>
        <w:t>https://www.scu.edu/ethics-in-technology-practice/ethical-toolkit/</w:t>
      </w:r>
      <w:r w:rsidR="00F52758">
        <w:rPr>
          <w:sz w:val="16"/>
          <w:szCs w:val="16"/>
        </w:rPr>
        <w:t>&gt;.</w:t>
      </w:r>
    </w:p>
  </w:footnote>
  <w:footnote w:id="110">
    <w:p w14:paraId="118399E2" w14:textId="6635E28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w:t>
      </w:r>
      <w:r w:rsidR="00F52758">
        <w:rPr>
          <w:sz w:val="16"/>
          <w:szCs w:val="16"/>
        </w:rPr>
        <w:t>Department of Health and Social Care, ‘</w:t>
      </w:r>
      <w:r w:rsidRPr="00AC18AB">
        <w:rPr>
          <w:sz w:val="16"/>
          <w:szCs w:val="16"/>
        </w:rPr>
        <w:t>NHS Constitution for England</w:t>
      </w:r>
      <w:r w:rsidR="00F52758">
        <w:rPr>
          <w:sz w:val="16"/>
          <w:szCs w:val="16"/>
        </w:rPr>
        <w:t>’ (2015) &lt;</w:t>
      </w:r>
      <w:r w:rsidR="00F52758" w:rsidRPr="00F52758">
        <w:t xml:space="preserve"> </w:t>
      </w:r>
      <w:r w:rsidR="00F52758" w:rsidRPr="00F52758">
        <w:rPr>
          <w:sz w:val="16"/>
          <w:szCs w:val="16"/>
        </w:rPr>
        <w:t xml:space="preserve">https://www.gov.uk/government/publications/the-nhs-constitution-for-england </w:t>
      </w:r>
      <w:r w:rsidR="00F52758">
        <w:rPr>
          <w:sz w:val="16"/>
          <w:szCs w:val="16"/>
        </w:rPr>
        <w:t>&gt;.</w:t>
      </w:r>
    </w:p>
  </w:footnote>
  <w:footnote w:id="111">
    <w:p w14:paraId="00B32D66" w14:textId="59FFD3F6"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National Information Board, ‘Framework for action’ entitled Personalised Health and Care 2020: Using Data and Technology to Transform Outcomes for Patients and Citizens</w:t>
      </w:r>
      <w:r w:rsidR="00F52758">
        <w:rPr>
          <w:sz w:val="16"/>
          <w:szCs w:val="16"/>
        </w:rPr>
        <w:t>’, (2014) &lt;</w:t>
      </w:r>
      <w:r w:rsidR="00F52758" w:rsidRPr="00F52758">
        <w:t xml:space="preserve"> </w:t>
      </w:r>
      <w:r w:rsidR="00F52758" w:rsidRPr="00F52758">
        <w:rPr>
          <w:sz w:val="16"/>
          <w:szCs w:val="16"/>
        </w:rPr>
        <w:t>https://www.gov.uk/government/publications/personalised-health-and-care-2020</w:t>
      </w:r>
      <w:r w:rsidR="00F52758">
        <w:rPr>
          <w:sz w:val="16"/>
          <w:szCs w:val="16"/>
        </w:rPr>
        <w:t>&gt;.</w:t>
      </w:r>
    </w:p>
  </w:footnote>
  <w:footnote w:id="112">
    <w:p w14:paraId="74E161AA" w14:textId="109CD360"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for example Department for Business, Innovation and Skills</w:t>
      </w:r>
      <w:r w:rsidR="00F52758">
        <w:rPr>
          <w:sz w:val="16"/>
          <w:szCs w:val="16"/>
        </w:rPr>
        <w:t>, ‘</w:t>
      </w:r>
      <w:r w:rsidRPr="00AC18AB">
        <w:rPr>
          <w:sz w:val="16"/>
          <w:szCs w:val="16"/>
        </w:rPr>
        <w:t>Better Regulation Delivery Office, Regulators’ Code</w:t>
      </w:r>
      <w:r w:rsidR="00F52758">
        <w:rPr>
          <w:sz w:val="16"/>
          <w:szCs w:val="16"/>
        </w:rPr>
        <w:t>’ (2014) &lt;</w:t>
      </w:r>
      <w:r w:rsidR="00F52758" w:rsidRPr="00F52758">
        <w:rPr>
          <w:sz w:val="16"/>
          <w:szCs w:val="16"/>
        </w:rPr>
        <w:t xml:space="preserve">https://www.gov.uk/government/publications/regulators-code </w:t>
      </w:r>
      <w:r w:rsidR="00F52758">
        <w:rPr>
          <w:sz w:val="16"/>
          <w:szCs w:val="16"/>
        </w:rPr>
        <w:t xml:space="preserve">&gt; </w:t>
      </w:r>
      <w:r w:rsidRPr="00AC18AB">
        <w:rPr>
          <w:sz w:val="16"/>
          <w:szCs w:val="16"/>
        </w:rPr>
        <w:t>and sections 21 and s22 of the Legislative and Regulatory Reform Act 2006</w:t>
      </w:r>
      <w:r w:rsidR="00F52758">
        <w:rPr>
          <w:sz w:val="16"/>
          <w:szCs w:val="16"/>
        </w:rPr>
        <w:t>.</w:t>
      </w:r>
    </w:p>
  </w:footnote>
  <w:footnote w:id="113">
    <w:p w14:paraId="056CBF22" w14:textId="668B7F3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AHSN Network, </w:t>
      </w:r>
      <w:r w:rsidR="00410595">
        <w:rPr>
          <w:sz w:val="16"/>
          <w:szCs w:val="16"/>
        </w:rPr>
        <w:t>‘</w:t>
      </w:r>
      <w:r w:rsidRPr="00AC18AB">
        <w:rPr>
          <w:sz w:val="16"/>
          <w:szCs w:val="16"/>
        </w:rPr>
        <w:t>Accelerating Artificial Intelligence in health and care: results from a state of the nation survey</w:t>
      </w:r>
      <w:r w:rsidR="00410595">
        <w:rPr>
          <w:sz w:val="16"/>
          <w:szCs w:val="16"/>
        </w:rPr>
        <w:t>’ (</w:t>
      </w:r>
      <w:r w:rsidRPr="00AC18AB">
        <w:rPr>
          <w:sz w:val="16"/>
          <w:szCs w:val="16"/>
        </w:rPr>
        <w:t>2018)</w:t>
      </w:r>
      <w:r w:rsidR="00410595">
        <w:rPr>
          <w:sz w:val="16"/>
          <w:szCs w:val="16"/>
        </w:rPr>
        <w:t xml:space="preserve"> &lt;</w:t>
      </w:r>
      <w:r w:rsidR="00410595" w:rsidRPr="00410595">
        <w:rPr>
          <w:sz w:val="16"/>
          <w:szCs w:val="16"/>
        </w:rPr>
        <w:t>https://www.ahsnnetwork.com/</w:t>
      </w:r>
      <w:r w:rsidR="00410595">
        <w:rPr>
          <w:sz w:val="16"/>
          <w:szCs w:val="16"/>
        </w:rPr>
        <w:t>&gt;</w:t>
      </w:r>
      <w:r w:rsidRPr="00AC18AB">
        <w:rPr>
          <w:sz w:val="16"/>
          <w:szCs w:val="16"/>
        </w:rPr>
        <w:t xml:space="preserve"> 7</w:t>
      </w:r>
      <w:r w:rsidR="00410595">
        <w:rPr>
          <w:sz w:val="16"/>
          <w:szCs w:val="16"/>
        </w:rPr>
        <w:t>.</w:t>
      </w:r>
      <w:r w:rsidRPr="00AC18AB">
        <w:rPr>
          <w:sz w:val="16"/>
          <w:szCs w:val="16"/>
        </w:rPr>
        <w:t xml:space="preserve"> </w:t>
      </w:r>
    </w:p>
  </w:footnote>
  <w:footnote w:id="114">
    <w:p w14:paraId="37ED2A7B" w14:textId="41049949"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Department for Digital, Culture, Media &amp; Sport, ‘Data Ethics Framework’ </w:t>
      </w:r>
      <w:r w:rsidR="00410595">
        <w:rPr>
          <w:sz w:val="16"/>
          <w:szCs w:val="16"/>
        </w:rPr>
        <w:t xml:space="preserve">(2018) </w:t>
      </w:r>
      <w:r w:rsidRPr="00AC18AB">
        <w:rPr>
          <w:sz w:val="16"/>
          <w:szCs w:val="16"/>
        </w:rPr>
        <w:t>&lt;https://www.gov.uk/government/publications/data-ethics-framework/data-ethics-framework&gt;.</w:t>
      </w:r>
    </w:p>
  </w:footnote>
  <w:footnote w:id="115">
    <w:p w14:paraId="20839431" w14:textId="6659DC75"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for example Health Research Authority and the UK Health Departments, ‘UK Policy Framework for Health and Social Care Research’</w:t>
      </w:r>
      <w:r w:rsidR="00410595">
        <w:rPr>
          <w:sz w:val="16"/>
          <w:szCs w:val="16"/>
        </w:rPr>
        <w:t xml:space="preserve"> (2017)</w:t>
      </w:r>
      <w:r w:rsidRPr="00AC18AB">
        <w:rPr>
          <w:sz w:val="16"/>
          <w:szCs w:val="16"/>
        </w:rPr>
        <w:t xml:space="preserve"> &lt;/planning-and-improving-research/policies-standards-legislation/uk-policy-framework-health-social-care-research/&gt;. Where identifiable sensitive personal data is used data protection rules on lawful basis must be complied with. Additionally, the provisions under section 251 of the NHS Act 2006 and Health Service (Control of Patient Information) Regulations 2002 must be complied with. For AI based medical devices, the Medical Devices (Amendment etc.) (EU Exit) Regulations 2019 should be complied with in addition to </w:t>
      </w:r>
      <w:r w:rsidR="00410595">
        <w:rPr>
          <w:sz w:val="16"/>
          <w:szCs w:val="16"/>
        </w:rPr>
        <w:t xml:space="preserve">fulfilling </w:t>
      </w:r>
      <w:r w:rsidRPr="00AC18AB">
        <w:rPr>
          <w:sz w:val="16"/>
          <w:szCs w:val="16"/>
        </w:rPr>
        <w:t>the guidance provided by the Medicines and Healthcare Products Regulatory Agency.</w:t>
      </w:r>
    </w:p>
  </w:footnote>
  <w:footnote w:id="116">
    <w:p w14:paraId="72D8D7AA" w14:textId="2C4155D8"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NHS Digital, ‘Data Security and Protection Toolkit’ (</w:t>
      </w:r>
      <w:r w:rsidR="00410595">
        <w:rPr>
          <w:sz w:val="16"/>
          <w:szCs w:val="16"/>
        </w:rPr>
        <w:t>2018</w:t>
      </w:r>
      <w:r w:rsidRPr="00AC18AB">
        <w:rPr>
          <w:sz w:val="16"/>
          <w:szCs w:val="16"/>
        </w:rPr>
        <w:t>) &lt;https://digital.nhs.uk/data-and-information/looking-after-information/data-security-and-information-governance/data-security-and-protection-toolkit&gt;.</w:t>
      </w:r>
    </w:p>
  </w:footnote>
  <w:footnote w:id="117">
    <w:p w14:paraId="03D699FC" w14:textId="7777777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See Section 250 Health and Social Care Act 2012 definition of standards and DCB0160: Clinical Risk Management: its Application in the Deployment and Use of Health IT Systems. The UK Caldicott Guardian Council provides regulatory oversight with regard to the protection and use of sensitive personal information of individuals when providing health and care services.</w:t>
      </w:r>
    </w:p>
  </w:footnote>
  <w:footnote w:id="118">
    <w:p w14:paraId="5ADE0A86" w14:textId="6186FCD5"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Julia Black, ‘Paradoxes and Failures: “New Governance” Techniques and the Financial Crisis’ (2012) 75 The Modern Law Review 1037.</w:t>
      </w:r>
    </w:p>
  </w:footnote>
  <w:footnote w:id="119">
    <w:p w14:paraId="13469671" w14:textId="746C6517"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Principle 1 Code of Conduct</w:t>
      </w:r>
      <w:r w:rsidR="00410595">
        <w:rPr>
          <w:sz w:val="16"/>
          <w:szCs w:val="16"/>
        </w:rPr>
        <w:t>.</w:t>
      </w:r>
    </w:p>
  </w:footnote>
  <w:footnote w:id="120">
    <w:p w14:paraId="160625C6" w14:textId="5DD55636"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Principle 2 Code of Conduct</w:t>
      </w:r>
      <w:r w:rsidR="00410595">
        <w:rPr>
          <w:sz w:val="16"/>
          <w:szCs w:val="16"/>
        </w:rPr>
        <w:t>.</w:t>
      </w:r>
    </w:p>
  </w:footnote>
  <w:footnote w:id="121">
    <w:p w14:paraId="04E3E3AA" w14:textId="7C6B3B2A"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Graeme Laurie and </w:t>
      </w:r>
      <w:proofErr w:type="spellStart"/>
      <w:r w:rsidRPr="00AC18AB">
        <w:rPr>
          <w:sz w:val="16"/>
          <w:szCs w:val="16"/>
        </w:rPr>
        <w:t>Nayha</w:t>
      </w:r>
      <w:proofErr w:type="spellEnd"/>
      <w:r w:rsidRPr="00AC18AB">
        <w:rPr>
          <w:sz w:val="16"/>
          <w:szCs w:val="16"/>
        </w:rPr>
        <w:t xml:space="preserve"> </w:t>
      </w:r>
      <w:proofErr w:type="spellStart"/>
      <w:r w:rsidRPr="00AC18AB">
        <w:rPr>
          <w:sz w:val="16"/>
          <w:szCs w:val="16"/>
        </w:rPr>
        <w:t>Sethi</w:t>
      </w:r>
      <w:proofErr w:type="spellEnd"/>
      <w:r w:rsidRPr="00AC18AB">
        <w:rPr>
          <w:sz w:val="16"/>
          <w:szCs w:val="16"/>
        </w:rPr>
        <w:t>, ‘Towards Principles–Based Approaches to Governance of Health–Related Research Using Personal Data’ (2013) 4 European Journal of Risk Regulation 43.</w:t>
      </w:r>
    </w:p>
  </w:footnote>
  <w:footnote w:id="122">
    <w:p w14:paraId="35A1B638" w14:textId="6680F606" w:rsidR="00980E14" w:rsidRPr="00AC18AB" w:rsidRDefault="00980E14" w:rsidP="000D048C">
      <w:pPr>
        <w:pStyle w:val="FootnoteText"/>
        <w:rPr>
          <w:sz w:val="16"/>
          <w:szCs w:val="16"/>
        </w:rPr>
      </w:pPr>
      <w:r w:rsidRPr="00AC18AB">
        <w:rPr>
          <w:rStyle w:val="FootnoteReference"/>
          <w:sz w:val="16"/>
          <w:szCs w:val="16"/>
        </w:rPr>
        <w:footnoteRef/>
      </w:r>
      <w:r w:rsidRPr="00AC18AB">
        <w:rPr>
          <w:sz w:val="16"/>
          <w:szCs w:val="16"/>
        </w:rPr>
        <w:t xml:space="preserve"> Principle 9</w:t>
      </w:r>
      <w:r w:rsidR="00410595">
        <w:rPr>
          <w:sz w:val="16"/>
          <w:szCs w:val="16"/>
        </w:rPr>
        <w:t xml:space="preserve"> </w:t>
      </w:r>
      <w:r w:rsidR="00410595" w:rsidRPr="00AC18AB">
        <w:rPr>
          <w:sz w:val="16"/>
          <w:szCs w:val="16"/>
        </w:rPr>
        <w:t>Code of Conduct</w:t>
      </w:r>
      <w:r w:rsidR="00410595">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8C"/>
    <w:rsid w:val="00016691"/>
    <w:rsid w:val="000B4684"/>
    <w:rsid w:val="000D048C"/>
    <w:rsid w:val="00144B47"/>
    <w:rsid w:val="0015705B"/>
    <w:rsid w:val="00157E04"/>
    <w:rsid w:val="00174F08"/>
    <w:rsid w:val="001D66C1"/>
    <w:rsid w:val="002006DB"/>
    <w:rsid w:val="002520BB"/>
    <w:rsid w:val="002D1237"/>
    <w:rsid w:val="002E3AC0"/>
    <w:rsid w:val="002E5309"/>
    <w:rsid w:val="002F163F"/>
    <w:rsid w:val="003D4B16"/>
    <w:rsid w:val="003F58BA"/>
    <w:rsid w:val="003F6534"/>
    <w:rsid w:val="00410595"/>
    <w:rsid w:val="004828C6"/>
    <w:rsid w:val="004D2B0A"/>
    <w:rsid w:val="00534673"/>
    <w:rsid w:val="00567FCC"/>
    <w:rsid w:val="005A10CD"/>
    <w:rsid w:val="005A5B32"/>
    <w:rsid w:val="005B2CC6"/>
    <w:rsid w:val="005D788F"/>
    <w:rsid w:val="006134B0"/>
    <w:rsid w:val="00663DFB"/>
    <w:rsid w:val="007B3155"/>
    <w:rsid w:val="007E25DD"/>
    <w:rsid w:val="007E65C6"/>
    <w:rsid w:val="007F064D"/>
    <w:rsid w:val="007F693F"/>
    <w:rsid w:val="0082630B"/>
    <w:rsid w:val="00851531"/>
    <w:rsid w:val="00860B96"/>
    <w:rsid w:val="00861031"/>
    <w:rsid w:val="00932281"/>
    <w:rsid w:val="00933316"/>
    <w:rsid w:val="009729FF"/>
    <w:rsid w:val="00977237"/>
    <w:rsid w:val="00980E14"/>
    <w:rsid w:val="009E6B60"/>
    <w:rsid w:val="00A11563"/>
    <w:rsid w:val="00A541D0"/>
    <w:rsid w:val="00A77C70"/>
    <w:rsid w:val="00AC18AB"/>
    <w:rsid w:val="00B20C15"/>
    <w:rsid w:val="00B270BB"/>
    <w:rsid w:val="00C7391D"/>
    <w:rsid w:val="00CD6968"/>
    <w:rsid w:val="00CE60FC"/>
    <w:rsid w:val="00CE7482"/>
    <w:rsid w:val="00D52474"/>
    <w:rsid w:val="00D77B0E"/>
    <w:rsid w:val="00D9405A"/>
    <w:rsid w:val="00DF35AA"/>
    <w:rsid w:val="00E40CAA"/>
    <w:rsid w:val="00E60491"/>
    <w:rsid w:val="00F01813"/>
    <w:rsid w:val="00F25535"/>
    <w:rsid w:val="00F52758"/>
    <w:rsid w:val="00F8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593AC8"/>
  <w15:chartTrackingRefBased/>
  <w15:docId w15:val="{31514BEC-26C5-534C-B82C-C8708F78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8C"/>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D04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048C"/>
    <w:rPr>
      <w:rFonts w:asciiTheme="majorHAnsi" w:eastAsiaTheme="majorEastAsia" w:hAnsiTheme="majorHAnsi" w:cstheme="majorBidi"/>
      <w:color w:val="2F5496" w:themeColor="accent1" w:themeShade="BF"/>
      <w:sz w:val="26"/>
      <w:szCs w:val="26"/>
      <w:lang w:eastAsia="en-GB"/>
    </w:rPr>
  </w:style>
  <w:style w:type="character" w:styleId="Hyperlink">
    <w:name w:val="Hyperlink"/>
    <w:basedOn w:val="DefaultParagraphFont"/>
    <w:uiPriority w:val="99"/>
    <w:unhideWhenUsed/>
    <w:rsid w:val="000D048C"/>
    <w:rPr>
      <w:color w:val="0000FF"/>
      <w:u w:val="single"/>
    </w:rPr>
  </w:style>
  <w:style w:type="paragraph" w:styleId="FootnoteText">
    <w:name w:val="footnote text"/>
    <w:aliases w:val="PBO-Footnote Text,Voetnoottekst Char,ftx,Footnotetext,Footnotetext1,Footnotetext2,ftx1,Footnotetext3,ftx2,Footnotetext4,ftx3,Footnotetext5,ftx4,Footnotetext6,Footnotetext7,Footnotetext8,ftx5,Footnotetext11,Footnotetext21,ftx11"/>
    <w:basedOn w:val="Normal"/>
    <w:link w:val="FootnoteTextChar"/>
    <w:uiPriority w:val="99"/>
    <w:unhideWhenUsed/>
    <w:rsid w:val="000D048C"/>
    <w:rPr>
      <w:sz w:val="20"/>
      <w:szCs w:val="20"/>
    </w:rPr>
  </w:style>
  <w:style w:type="character" w:customStyle="1" w:styleId="FootnoteTextChar">
    <w:name w:val="Footnote Text Char"/>
    <w:aliases w:val="PBO-Footnote Text Char,Voetnoottekst Char Char,ftx Char,Footnotetext Char,Footnotetext1 Char,Footnotetext2 Char,ftx1 Char,Footnotetext3 Char,ftx2 Char,Footnotetext4 Char,ftx3 Char,Footnotetext5 Char,ftx4 Char,Footnotetext6 Char"/>
    <w:basedOn w:val="DefaultParagraphFont"/>
    <w:link w:val="FootnoteText"/>
    <w:uiPriority w:val="99"/>
    <w:rsid w:val="000D048C"/>
    <w:rPr>
      <w:rFonts w:ascii="Times New Roman" w:eastAsia="Times New Roman" w:hAnsi="Times New Roman" w:cs="Times New Roman"/>
      <w:sz w:val="20"/>
      <w:szCs w:val="20"/>
      <w:lang w:eastAsia="en-GB"/>
    </w:rPr>
  </w:style>
  <w:style w:type="character" w:styleId="FootnoteReference">
    <w:name w:val="footnote reference"/>
    <w:aliases w:val="PBO Footnote Reference,Appel note de bas de p,FR + (Complex) Arial,(Latin) 9 pt,(Complex) 10 pt + (Compl...,Footnote,(Complex) 9 pt + (Compl...,footnote ref,FR,Footnote symbol,PBO Footnote text,a Footnote Reference"/>
    <w:basedOn w:val="DefaultParagraphFont"/>
    <w:uiPriority w:val="99"/>
    <w:unhideWhenUsed/>
    <w:rsid w:val="000D048C"/>
    <w:rPr>
      <w:vertAlign w:val="superscript"/>
    </w:rPr>
  </w:style>
  <w:style w:type="character" w:styleId="FollowedHyperlink">
    <w:name w:val="FollowedHyperlink"/>
    <w:basedOn w:val="DefaultParagraphFont"/>
    <w:uiPriority w:val="99"/>
    <w:semiHidden/>
    <w:unhideWhenUsed/>
    <w:rsid w:val="003D4B16"/>
    <w:rPr>
      <w:color w:val="954F72" w:themeColor="followedHyperlink"/>
      <w:u w:val="single"/>
    </w:rPr>
  </w:style>
  <w:style w:type="character" w:styleId="UnresolvedMention">
    <w:name w:val="Unresolved Mention"/>
    <w:basedOn w:val="DefaultParagraphFont"/>
    <w:uiPriority w:val="99"/>
    <w:semiHidden/>
    <w:unhideWhenUsed/>
    <w:rsid w:val="003D4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using-information-technology-to-improve-the-nhs%20" TargetMode="External"/><Relationship Id="rId2" Type="http://schemas.openxmlformats.org/officeDocument/2006/relationships/hyperlink" Target="https://publications.parliament.uk/pa/cm201719/cmselect/cmsctech/351/351.pdf" TargetMode="External"/><Relationship Id="rId1" Type="http://schemas.openxmlformats.org/officeDocument/2006/relationships/hyperlink" Target="https://wellcome.ac.uk/sites/default/files/ai-in-health-ethical-social-political-%20challenges.pdf" TargetMode="External"/><Relationship Id="rId4" Type="http://schemas.openxmlformats.org/officeDocument/2006/relationships/hyperlink" Target="https://www.gov.uk/government/publications/national-data-guardian-2017-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24</Pages>
  <Words>7040</Words>
  <Characters>40131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Savirimuthu, Joseph</dc:creator>
  <cp:keywords/>
  <dc:description/>
  <cp:lastModifiedBy>Savirimuthu, Joseph</cp:lastModifiedBy>
  <cp:revision>8</cp:revision>
  <dcterms:created xsi:type="dcterms:W3CDTF">2020-01-27T07:09:00Z</dcterms:created>
  <dcterms:modified xsi:type="dcterms:W3CDTF">2020-02-07T09:30:00Z</dcterms:modified>
</cp:coreProperties>
</file>