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16234B" w14:textId="7CC807A3" w:rsidR="001F701C" w:rsidRPr="00795222" w:rsidRDefault="0051529C" w:rsidP="00657F6C">
      <w:pPr>
        <w:pStyle w:val="paragraph"/>
        <w:spacing w:before="0" w:beforeAutospacing="0" w:after="0" w:afterAutospacing="0" w:line="360" w:lineRule="auto"/>
        <w:jc w:val="both"/>
        <w:textAlignment w:val="baseline"/>
        <w:rPr>
          <w:rStyle w:val="normaltextrun"/>
          <w:rFonts w:asciiTheme="majorBidi" w:hAnsiTheme="majorBidi" w:cstheme="majorBidi"/>
          <w:b/>
          <w:bCs/>
          <w:sz w:val="28"/>
          <w:lang w:val="en-US"/>
        </w:rPr>
      </w:pPr>
      <w:bookmarkStart w:id="0" w:name="_Hlk40790444"/>
      <w:bookmarkStart w:id="1" w:name="_Hlk31114279"/>
      <w:r w:rsidRPr="00795222">
        <w:rPr>
          <w:rStyle w:val="normaltextrun"/>
          <w:rFonts w:asciiTheme="majorBidi" w:hAnsiTheme="majorBidi" w:cstheme="majorBidi"/>
          <w:b/>
          <w:bCs/>
          <w:sz w:val="28"/>
          <w:lang w:val="en-US"/>
        </w:rPr>
        <w:t>Optimization</w:t>
      </w:r>
      <w:r w:rsidR="001F701C" w:rsidRPr="00795222">
        <w:rPr>
          <w:rStyle w:val="normaltextrun"/>
          <w:rFonts w:asciiTheme="majorBidi" w:hAnsiTheme="majorBidi" w:cstheme="majorBidi"/>
          <w:b/>
          <w:bCs/>
          <w:sz w:val="28"/>
          <w:lang w:val="en-US"/>
        </w:rPr>
        <w:t xml:space="preserve"> of the Synthe</w:t>
      </w:r>
      <w:r w:rsidR="0073634C" w:rsidRPr="00795222">
        <w:rPr>
          <w:rStyle w:val="normaltextrun"/>
          <w:rFonts w:asciiTheme="majorBidi" w:hAnsiTheme="majorBidi" w:cstheme="majorBidi"/>
          <w:b/>
          <w:bCs/>
          <w:sz w:val="28"/>
          <w:lang w:val="en-US"/>
        </w:rPr>
        <w:t>tic</w:t>
      </w:r>
      <w:r w:rsidR="001F701C" w:rsidRPr="00795222">
        <w:rPr>
          <w:rStyle w:val="normaltextrun"/>
          <w:rFonts w:asciiTheme="majorBidi" w:hAnsiTheme="majorBidi" w:cstheme="majorBidi"/>
          <w:b/>
          <w:bCs/>
          <w:sz w:val="28"/>
          <w:lang w:val="en-US"/>
        </w:rPr>
        <w:t xml:space="preserve"> Parameters of Lipid Polymer Hybrid Nanoparticles </w:t>
      </w:r>
      <w:r w:rsidR="008F6BF0" w:rsidRPr="00795222">
        <w:rPr>
          <w:rStyle w:val="normaltextrun"/>
          <w:rFonts w:asciiTheme="majorBidi" w:hAnsiTheme="majorBidi" w:cstheme="majorBidi"/>
          <w:b/>
          <w:bCs/>
          <w:sz w:val="28"/>
          <w:lang w:val="en-US"/>
        </w:rPr>
        <w:t xml:space="preserve">Dual </w:t>
      </w:r>
      <w:r w:rsidR="001F701C" w:rsidRPr="00795222">
        <w:rPr>
          <w:rStyle w:val="normaltextrun"/>
          <w:rFonts w:asciiTheme="majorBidi" w:hAnsiTheme="majorBidi" w:cstheme="majorBidi"/>
          <w:b/>
          <w:bCs/>
          <w:sz w:val="28"/>
          <w:lang w:val="en-US"/>
        </w:rPr>
        <w:t>Loaded with Darunavir and Ritonavir for the Treatment of HIV</w:t>
      </w:r>
    </w:p>
    <w:bookmarkEnd w:id="0"/>
    <w:p w14:paraId="6DEC3F81" w14:textId="22372D0F" w:rsidR="006E2717" w:rsidRPr="00795222" w:rsidRDefault="006E2717" w:rsidP="00657F6C">
      <w:pPr>
        <w:spacing w:line="360" w:lineRule="auto"/>
        <w:jc w:val="both"/>
        <w:rPr>
          <w:rFonts w:asciiTheme="majorBidi" w:hAnsiTheme="majorBidi" w:cstheme="majorBidi"/>
          <w:b/>
          <w:sz w:val="24"/>
          <w:szCs w:val="24"/>
          <w:lang w:val="en-US"/>
        </w:rPr>
      </w:pPr>
      <w:r w:rsidRPr="00795222">
        <w:rPr>
          <w:rFonts w:asciiTheme="majorBidi" w:hAnsiTheme="majorBidi" w:cstheme="majorBidi"/>
          <w:b/>
          <w:sz w:val="24"/>
          <w:szCs w:val="24"/>
          <w:lang w:val="en-US"/>
        </w:rPr>
        <w:t>Heba Elkateb,</w:t>
      </w:r>
      <w:r w:rsidRPr="00795222">
        <w:rPr>
          <w:rFonts w:asciiTheme="majorBidi" w:hAnsiTheme="majorBidi" w:cstheme="majorBidi"/>
          <w:b/>
          <w:sz w:val="24"/>
          <w:szCs w:val="24"/>
          <w:vertAlign w:val="superscript"/>
          <w:lang w:val="en-US"/>
        </w:rPr>
        <w:t>1</w:t>
      </w:r>
      <w:r w:rsidR="00FB16DF" w:rsidRPr="00795222">
        <w:rPr>
          <w:rFonts w:asciiTheme="majorBidi" w:hAnsiTheme="majorBidi" w:cstheme="majorBidi"/>
          <w:b/>
          <w:sz w:val="24"/>
          <w:szCs w:val="24"/>
          <w:vertAlign w:val="superscript"/>
          <w:lang w:val="en-US"/>
        </w:rPr>
        <w:t>,2</w:t>
      </w:r>
      <w:r w:rsidRPr="00795222">
        <w:rPr>
          <w:rFonts w:asciiTheme="majorBidi" w:hAnsiTheme="majorBidi" w:cstheme="majorBidi"/>
          <w:b/>
          <w:sz w:val="24"/>
          <w:szCs w:val="24"/>
          <w:lang w:val="en-US"/>
        </w:rPr>
        <w:t xml:space="preserve"> Lee </w:t>
      </w:r>
      <w:r w:rsidR="00217DA2" w:rsidRPr="00795222">
        <w:rPr>
          <w:rFonts w:asciiTheme="majorBidi" w:hAnsiTheme="majorBidi" w:cstheme="majorBidi"/>
          <w:b/>
          <w:sz w:val="24"/>
          <w:szCs w:val="24"/>
          <w:lang w:val="en-US"/>
        </w:rPr>
        <w:t xml:space="preserve">M. </w:t>
      </w:r>
      <w:r w:rsidRPr="00795222">
        <w:rPr>
          <w:rFonts w:asciiTheme="majorBidi" w:hAnsiTheme="majorBidi" w:cstheme="majorBidi"/>
          <w:b/>
          <w:sz w:val="24"/>
          <w:szCs w:val="24"/>
          <w:lang w:val="en-US"/>
        </w:rPr>
        <w:t>Tatham,</w:t>
      </w:r>
      <w:r w:rsidR="00217DA2" w:rsidRPr="00795222">
        <w:rPr>
          <w:rFonts w:asciiTheme="majorBidi" w:hAnsiTheme="majorBidi" w:cstheme="majorBidi"/>
          <w:b/>
          <w:sz w:val="24"/>
          <w:szCs w:val="24"/>
          <w:vertAlign w:val="superscript"/>
          <w:lang w:val="en-US"/>
        </w:rPr>
        <w:t>3</w:t>
      </w:r>
      <w:r w:rsidR="00FB16DF" w:rsidRPr="00795222">
        <w:rPr>
          <w:rFonts w:asciiTheme="majorBidi" w:hAnsiTheme="majorBidi" w:cstheme="majorBidi"/>
          <w:b/>
          <w:sz w:val="24"/>
          <w:szCs w:val="24"/>
          <w:vertAlign w:val="superscript"/>
          <w:lang w:val="en-US"/>
        </w:rPr>
        <w:t>,4</w:t>
      </w:r>
      <w:r w:rsidR="001D6342" w:rsidRPr="00795222">
        <w:rPr>
          <w:rFonts w:asciiTheme="majorBidi" w:hAnsiTheme="majorBidi" w:cstheme="majorBidi"/>
          <w:b/>
          <w:sz w:val="24"/>
          <w:szCs w:val="24"/>
          <w:lang w:val="en-US"/>
        </w:rPr>
        <w:t xml:space="preserve"> Helen Cauldbeck,</w:t>
      </w:r>
      <w:r w:rsidR="001D6342" w:rsidRPr="00795222">
        <w:rPr>
          <w:rFonts w:asciiTheme="majorBidi" w:hAnsiTheme="majorBidi" w:cstheme="majorBidi"/>
          <w:b/>
          <w:sz w:val="24"/>
          <w:szCs w:val="24"/>
          <w:vertAlign w:val="superscript"/>
          <w:lang w:val="en-US"/>
        </w:rPr>
        <w:t>1</w:t>
      </w:r>
      <w:r w:rsidR="001D6342" w:rsidRPr="00795222">
        <w:rPr>
          <w:rFonts w:asciiTheme="majorBidi" w:hAnsiTheme="majorBidi" w:cstheme="majorBidi"/>
          <w:b/>
          <w:sz w:val="24"/>
          <w:szCs w:val="24"/>
          <w:lang w:val="en-US"/>
        </w:rPr>
        <w:t xml:space="preserve"> </w:t>
      </w:r>
      <w:r w:rsidRPr="00795222">
        <w:rPr>
          <w:rFonts w:asciiTheme="majorBidi" w:hAnsiTheme="majorBidi" w:cstheme="majorBidi"/>
          <w:b/>
          <w:sz w:val="24"/>
          <w:szCs w:val="24"/>
          <w:lang w:val="en-US"/>
        </w:rPr>
        <w:t>Edyta Niezabitowska,</w:t>
      </w:r>
      <w:r w:rsidR="00D8444A" w:rsidRPr="00795222">
        <w:rPr>
          <w:rFonts w:asciiTheme="majorBidi" w:hAnsiTheme="majorBidi" w:cstheme="majorBidi"/>
          <w:b/>
          <w:sz w:val="24"/>
          <w:szCs w:val="24"/>
          <w:vertAlign w:val="superscript"/>
          <w:lang w:val="en-US"/>
        </w:rPr>
        <w:t xml:space="preserve">1 </w:t>
      </w:r>
      <w:r w:rsidRPr="00795222">
        <w:rPr>
          <w:rFonts w:asciiTheme="majorBidi" w:hAnsiTheme="majorBidi" w:cstheme="majorBidi"/>
          <w:b/>
          <w:sz w:val="24"/>
          <w:szCs w:val="24"/>
          <w:lang w:val="en-US"/>
        </w:rPr>
        <w:t>Andrew Owen,</w:t>
      </w:r>
      <w:r w:rsidR="00FB16DF" w:rsidRPr="00795222">
        <w:rPr>
          <w:rFonts w:asciiTheme="majorBidi" w:hAnsiTheme="majorBidi" w:cstheme="majorBidi"/>
          <w:b/>
          <w:sz w:val="24"/>
          <w:szCs w:val="24"/>
          <w:vertAlign w:val="superscript"/>
          <w:lang w:val="en-US"/>
        </w:rPr>
        <w:t>3,4</w:t>
      </w:r>
      <w:r w:rsidRPr="00795222">
        <w:rPr>
          <w:rFonts w:asciiTheme="majorBidi" w:hAnsiTheme="majorBidi" w:cstheme="majorBidi"/>
          <w:b/>
          <w:sz w:val="24"/>
          <w:szCs w:val="24"/>
          <w:lang w:val="en-US"/>
        </w:rPr>
        <w:t xml:space="preserve"> Steve Rannard </w:t>
      </w:r>
      <w:r w:rsidR="00D8444A" w:rsidRPr="00795222">
        <w:rPr>
          <w:rFonts w:asciiTheme="majorBidi" w:hAnsiTheme="majorBidi" w:cstheme="majorBidi"/>
          <w:b/>
          <w:sz w:val="24"/>
          <w:szCs w:val="24"/>
          <w:vertAlign w:val="superscript"/>
          <w:lang w:val="en-US"/>
        </w:rPr>
        <w:t>1</w:t>
      </w:r>
      <w:r w:rsidR="00217DA2" w:rsidRPr="00795222">
        <w:rPr>
          <w:rFonts w:asciiTheme="majorBidi" w:hAnsiTheme="majorBidi" w:cstheme="majorBidi"/>
          <w:b/>
          <w:sz w:val="24"/>
          <w:szCs w:val="24"/>
          <w:vertAlign w:val="superscript"/>
          <w:lang w:val="en-US"/>
        </w:rPr>
        <w:t>,3</w:t>
      </w:r>
      <w:r w:rsidRPr="00795222">
        <w:rPr>
          <w:rFonts w:asciiTheme="majorBidi" w:hAnsiTheme="majorBidi" w:cstheme="majorBidi"/>
          <w:b/>
          <w:sz w:val="24"/>
          <w:szCs w:val="24"/>
          <w:lang w:val="en-US"/>
        </w:rPr>
        <w:t xml:space="preserve"> and Tom McDonald </w:t>
      </w:r>
      <w:r w:rsidR="008D4F04" w:rsidRPr="00795222">
        <w:rPr>
          <w:rFonts w:asciiTheme="majorBidi" w:hAnsiTheme="majorBidi" w:cstheme="majorBidi"/>
          <w:b/>
          <w:sz w:val="24"/>
          <w:szCs w:val="24"/>
          <w:vertAlign w:val="superscript"/>
          <w:lang w:val="en-US"/>
        </w:rPr>
        <w:t>1</w:t>
      </w:r>
      <w:r w:rsidR="00402320" w:rsidRPr="00795222">
        <w:rPr>
          <w:rFonts w:asciiTheme="majorBidi" w:hAnsiTheme="majorBidi" w:cstheme="majorBidi"/>
          <w:b/>
          <w:sz w:val="24"/>
          <w:szCs w:val="24"/>
          <w:vertAlign w:val="superscript"/>
          <w:lang w:val="en-US"/>
        </w:rPr>
        <w:t>*</w:t>
      </w:r>
    </w:p>
    <w:p w14:paraId="1B4D1766" w14:textId="0378B8E0" w:rsidR="006E2717" w:rsidRPr="00795222" w:rsidRDefault="006E2717" w:rsidP="00657F6C">
      <w:p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vertAlign w:val="superscript"/>
          <w:lang w:val="en-US"/>
        </w:rPr>
        <w:t>1</w:t>
      </w:r>
      <w:r w:rsidRPr="00795222">
        <w:rPr>
          <w:rFonts w:asciiTheme="majorBidi" w:hAnsiTheme="majorBidi" w:cstheme="majorBidi"/>
          <w:sz w:val="24"/>
          <w:szCs w:val="24"/>
          <w:lang w:val="en-US"/>
        </w:rPr>
        <w:t xml:space="preserve"> </w:t>
      </w:r>
      <w:r w:rsidR="008F6BF0" w:rsidRPr="00795222">
        <w:rPr>
          <w:rFonts w:asciiTheme="majorBidi" w:hAnsiTheme="majorBidi" w:cstheme="majorBidi"/>
          <w:sz w:val="24"/>
          <w:szCs w:val="24"/>
          <w:lang w:val="en-US"/>
        </w:rPr>
        <w:t xml:space="preserve">Department of </w:t>
      </w:r>
      <w:r w:rsidRPr="00795222">
        <w:rPr>
          <w:rFonts w:asciiTheme="majorBidi" w:hAnsiTheme="majorBidi" w:cstheme="majorBidi"/>
          <w:sz w:val="24"/>
          <w:szCs w:val="24"/>
          <w:lang w:val="en-US"/>
        </w:rPr>
        <w:t xml:space="preserve">Chemistry, University of Liverpool, Crown </w:t>
      </w:r>
      <w:r w:rsidR="008F6BF0" w:rsidRPr="00795222">
        <w:rPr>
          <w:rFonts w:asciiTheme="majorBidi" w:hAnsiTheme="majorBidi" w:cstheme="majorBidi"/>
          <w:sz w:val="24"/>
          <w:szCs w:val="24"/>
          <w:lang w:val="en-US"/>
        </w:rPr>
        <w:t>S</w:t>
      </w:r>
      <w:r w:rsidRPr="00795222">
        <w:rPr>
          <w:rFonts w:asciiTheme="majorBidi" w:hAnsiTheme="majorBidi" w:cstheme="majorBidi"/>
          <w:sz w:val="24"/>
          <w:szCs w:val="24"/>
          <w:lang w:val="en-US"/>
        </w:rPr>
        <w:t>treet, Liverpool, L69 7ZD</w:t>
      </w:r>
      <w:r w:rsidR="00AB7BAB" w:rsidRPr="00795222">
        <w:rPr>
          <w:rFonts w:asciiTheme="majorBidi" w:hAnsiTheme="majorBidi" w:cstheme="majorBidi"/>
          <w:sz w:val="24"/>
          <w:szCs w:val="24"/>
          <w:lang w:val="en-US"/>
        </w:rPr>
        <w:t>, UK</w:t>
      </w:r>
      <w:r w:rsidRPr="00795222">
        <w:rPr>
          <w:rFonts w:asciiTheme="majorBidi" w:hAnsiTheme="majorBidi" w:cstheme="majorBidi"/>
          <w:sz w:val="24"/>
          <w:szCs w:val="24"/>
          <w:lang w:val="en-US"/>
        </w:rPr>
        <w:t xml:space="preserve">. </w:t>
      </w:r>
    </w:p>
    <w:p w14:paraId="54871F1C" w14:textId="6A642D8B" w:rsidR="009F1F3F" w:rsidRPr="00795222" w:rsidRDefault="008D4F04" w:rsidP="00657F6C">
      <w:p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vertAlign w:val="superscript"/>
          <w:lang w:val="en-US"/>
        </w:rPr>
        <w:t>2</w:t>
      </w:r>
      <w:r w:rsidR="009F1F3F" w:rsidRPr="00795222">
        <w:rPr>
          <w:rFonts w:asciiTheme="majorBidi" w:hAnsiTheme="majorBidi" w:cstheme="majorBidi"/>
          <w:sz w:val="24"/>
          <w:szCs w:val="24"/>
          <w:vertAlign w:val="superscript"/>
          <w:lang w:val="en-US"/>
        </w:rPr>
        <w:t xml:space="preserve"> </w:t>
      </w:r>
      <w:r w:rsidR="00F55C0A" w:rsidRPr="00795222">
        <w:rPr>
          <w:rFonts w:asciiTheme="majorBidi" w:hAnsiTheme="majorBidi" w:cstheme="majorBidi"/>
          <w:sz w:val="24"/>
          <w:szCs w:val="24"/>
          <w:lang w:val="en-US"/>
        </w:rPr>
        <w:t xml:space="preserve">Department of Pharmaceutics, Faculty of Pharmacy, Mansoura University, </w:t>
      </w:r>
      <w:r w:rsidR="00FB0083" w:rsidRPr="00795222">
        <w:rPr>
          <w:rFonts w:asciiTheme="majorBidi" w:hAnsiTheme="majorBidi" w:cstheme="majorBidi"/>
          <w:sz w:val="24"/>
          <w:szCs w:val="24"/>
          <w:lang w:val="en-US"/>
        </w:rPr>
        <w:t xml:space="preserve">El </w:t>
      </w:r>
      <w:proofErr w:type="spellStart"/>
      <w:r w:rsidR="00FB0083" w:rsidRPr="00795222">
        <w:rPr>
          <w:rFonts w:asciiTheme="majorBidi" w:hAnsiTheme="majorBidi" w:cstheme="majorBidi"/>
          <w:sz w:val="24"/>
          <w:szCs w:val="24"/>
          <w:lang w:val="en-US"/>
        </w:rPr>
        <w:t>Gomhouria</w:t>
      </w:r>
      <w:proofErr w:type="spellEnd"/>
      <w:r w:rsidR="00FB0083" w:rsidRPr="00795222">
        <w:rPr>
          <w:rFonts w:asciiTheme="majorBidi" w:hAnsiTheme="majorBidi" w:cstheme="majorBidi"/>
          <w:sz w:val="24"/>
          <w:szCs w:val="24"/>
          <w:lang w:val="en-US"/>
        </w:rPr>
        <w:t xml:space="preserve"> </w:t>
      </w:r>
      <w:r w:rsidR="006F3B99" w:rsidRPr="00795222">
        <w:rPr>
          <w:rFonts w:asciiTheme="majorBidi" w:hAnsiTheme="majorBidi" w:cstheme="majorBidi"/>
          <w:sz w:val="24"/>
          <w:szCs w:val="24"/>
          <w:lang w:val="en-US"/>
        </w:rPr>
        <w:t xml:space="preserve">Street, </w:t>
      </w:r>
      <w:r w:rsidR="008F5F68" w:rsidRPr="00795222">
        <w:rPr>
          <w:rFonts w:asciiTheme="majorBidi" w:hAnsiTheme="majorBidi" w:cstheme="majorBidi"/>
          <w:sz w:val="24"/>
          <w:szCs w:val="24"/>
          <w:lang w:val="en-US"/>
        </w:rPr>
        <w:t xml:space="preserve">35516, </w:t>
      </w:r>
      <w:r w:rsidR="006F3B99" w:rsidRPr="00795222">
        <w:rPr>
          <w:rFonts w:asciiTheme="majorBidi" w:hAnsiTheme="majorBidi" w:cstheme="majorBidi"/>
          <w:sz w:val="24"/>
          <w:szCs w:val="24"/>
          <w:lang w:val="en-US"/>
        </w:rPr>
        <w:t>Egypt</w:t>
      </w:r>
      <w:r w:rsidR="008F5F68" w:rsidRPr="00795222">
        <w:rPr>
          <w:rFonts w:asciiTheme="majorBidi" w:hAnsiTheme="majorBidi" w:cstheme="majorBidi"/>
          <w:sz w:val="24"/>
          <w:szCs w:val="24"/>
          <w:lang w:val="en-US"/>
        </w:rPr>
        <w:t>.</w:t>
      </w:r>
      <w:r w:rsidR="006F3B99" w:rsidRPr="00795222">
        <w:rPr>
          <w:rFonts w:asciiTheme="majorBidi" w:hAnsiTheme="majorBidi" w:cstheme="majorBidi"/>
          <w:sz w:val="24"/>
          <w:szCs w:val="24"/>
          <w:lang w:val="en-US"/>
        </w:rPr>
        <w:t xml:space="preserve"> </w:t>
      </w:r>
    </w:p>
    <w:p w14:paraId="22B580FF" w14:textId="13D7B7E8" w:rsidR="00217DA2" w:rsidRPr="00795222" w:rsidRDefault="009D7D84" w:rsidP="00657F6C">
      <w:p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vertAlign w:val="superscript"/>
          <w:lang w:val="en-US"/>
        </w:rPr>
        <w:t xml:space="preserve"> </w:t>
      </w:r>
      <w:r w:rsidR="00234417" w:rsidRPr="00795222">
        <w:rPr>
          <w:rFonts w:asciiTheme="majorBidi" w:hAnsiTheme="majorBidi" w:cstheme="majorBidi"/>
          <w:sz w:val="24"/>
          <w:szCs w:val="24"/>
          <w:vertAlign w:val="superscript"/>
          <w:lang w:val="en-US"/>
        </w:rPr>
        <w:t>3</w:t>
      </w:r>
      <w:r w:rsidR="009E3742" w:rsidRPr="00795222">
        <w:rPr>
          <w:rFonts w:asciiTheme="majorBidi" w:hAnsiTheme="majorBidi" w:cstheme="majorBidi"/>
          <w:sz w:val="24"/>
          <w:szCs w:val="24"/>
          <w:vertAlign w:val="superscript"/>
          <w:lang w:val="en-US"/>
        </w:rPr>
        <w:t xml:space="preserve"> </w:t>
      </w:r>
      <w:r w:rsidR="00217DA2" w:rsidRPr="00795222">
        <w:rPr>
          <w:rFonts w:asciiTheme="majorBidi" w:hAnsiTheme="majorBidi" w:cstheme="majorBidi"/>
          <w:sz w:val="24"/>
          <w:szCs w:val="24"/>
          <w:lang w:val="en-US"/>
        </w:rPr>
        <w:t xml:space="preserve">Department of Molecular and Clinical Pharmacology, Materials Innovation Factory, University of Liverpool, Liverpool, L7 3NY, UK. </w:t>
      </w:r>
    </w:p>
    <w:p w14:paraId="31B20003" w14:textId="131184EF" w:rsidR="00217DA2" w:rsidRPr="00795222" w:rsidRDefault="00234417" w:rsidP="00657F6C">
      <w:p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vertAlign w:val="superscript"/>
          <w:lang w:val="en-US"/>
        </w:rPr>
        <w:t xml:space="preserve">4 </w:t>
      </w:r>
      <w:r w:rsidR="00217DA2" w:rsidRPr="00795222">
        <w:rPr>
          <w:rFonts w:asciiTheme="majorBidi" w:hAnsiTheme="majorBidi" w:cstheme="majorBidi"/>
          <w:sz w:val="24"/>
          <w:szCs w:val="24"/>
          <w:lang w:val="en-US"/>
        </w:rPr>
        <w:t>Tandem Nano Ltd., Liverpool, UK</w:t>
      </w:r>
    </w:p>
    <w:p w14:paraId="7764B2CC" w14:textId="2E065380" w:rsidR="00F347DC" w:rsidRPr="00795222" w:rsidRDefault="00402320" w:rsidP="00657F6C">
      <w:pPr>
        <w:spacing w:line="360" w:lineRule="auto"/>
        <w:jc w:val="both"/>
        <w:rPr>
          <w:rStyle w:val="normaltextrun"/>
          <w:rFonts w:asciiTheme="majorBidi" w:hAnsiTheme="majorBidi" w:cstheme="majorBidi"/>
          <w:sz w:val="24"/>
          <w:szCs w:val="24"/>
          <w:lang w:val="en-US"/>
        </w:rPr>
      </w:pPr>
      <w:r w:rsidRPr="00795222">
        <w:rPr>
          <w:rFonts w:asciiTheme="majorBidi" w:hAnsiTheme="majorBidi" w:cstheme="majorBidi"/>
          <w:sz w:val="24"/>
          <w:szCs w:val="24"/>
          <w:lang w:val="en-US"/>
        </w:rPr>
        <w:t>* email Thomas.McDonald@liverpool.ac.uk</w:t>
      </w:r>
      <w:bookmarkEnd w:id="1"/>
    </w:p>
    <w:p w14:paraId="745C4BB7" w14:textId="77777777" w:rsidR="001F701C" w:rsidRPr="00795222" w:rsidRDefault="001F701C" w:rsidP="00657F6C">
      <w:pPr>
        <w:spacing w:line="360" w:lineRule="auto"/>
        <w:jc w:val="both"/>
        <w:rPr>
          <w:rFonts w:asciiTheme="majorBidi" w:hAnsiTheme="majorBidi" w:cstheme="majorBidi"/>
          <w:b/>
          <w:bCs/>
          <w:sz w:val="24"/>
          <w:szCs w:val="24"/>
          <w:lang w:val="en-US"/>
        </w:rPr>
      </w:pPr>
      <w:r w:rsidRPr="00795222">
        <w:rPr>
          <w:rFonts w:asciiTheme="majorBidi" w:hAnsiTheme="majorBidi" w:cstheme="majorBidi"/>
          <w:b/>
          <w:bCs/>
          <w:sz w:val="24"/>
          <w:szCs w:val="24"/>
          <w:lang w:val="en-US"/>
        </w:rPr>
        <w:t>Abstract </w:t>
      </w:r>
    </w:p>
    <w:p w14:paraId="7D574DBF" w14:textId="44CFE0A1" w:rsidR="00EC0806" w:rsidRPr="00795222" w:rsidRDefault="00440829" w:rsidP="00657F6C">
      <w:pPr>
        <w:autoSpaceDE w:val="0"/>
        <w:autoSpaceDN w:val="0"/>
        <w:adjustRightInd w:val="0"/>
        <w:spacing w:after="0" w:line="360" w:lineRule="auto"/>
        <w:jc w:val="both"/>
        <w:rPr>
          <w:rFonts w:asciiTheme="majorBidi" w:hAnsiTheme="majorBidi" w:cstheme="majorBidi"/>
          <w:sz w:val="24"/>
          <w:szCs w:val="24"/>
          <w:lang w:val="en-US"/>
        </w:rPr>
      </w:pPr>
      <w:r w:rsidRPr="00795222">
        <w:rPr>
          <w:rFonts w:asciiTheme="majorBidi" w:hAnsiTheme="majorBidi" w:cstheme="majorBidi"/>
          <w:sz w:val="24"/>
          <w:szCs w:val="24"/>
          <w:lang w:val="en-US"/>
        </w:rPr>
        <w:t>Human Immunodeficiency Virus (</w:t>
      </w:r>
      <w:r w:rsidR="001F701C" w:rsidRPr="00795222">
        <w:rPr>
          <w:rFonts w:asciiTheme="majorBidi" w:hAnsiTheme="majorBidi" w:cstheme="majorBidi"/>
          <w:sz w:val="24"/>
          <w:szCs w:val="24"/>
          <w:lang w:val="en-US"/>
        </w:rPr>
        <w:t>HIV</w:t>
      </w:r>
      <w:r w:rsidRPr="00795222">
        <w:rPr>
          <w:rFonts w:asciiTheme="majorBidi" w:hAnsiTheme="majorBidi" w:cstheme="majorBidi"/>
          <w:sz w:val="24"/>
          <w:szCs w:val="24"/>
          <w:lang w:val="en-US"/>
        </w:rPr>
        <w:t>)</w:t>
      </w:r>
      <w:r w:rsidR="001F701C" w:rsidRPr="00795222">
        <w:rPr>
          <w:rFonts w:asciiTheme="majorBidi" w:hAnsiTheme="majorBidi" w:cstheme="majorBidi"/>
          <w:sz w:val="24"/>
          <w:szCs w:val="24"/>
          <w:lang w:val="en-US"/>
        </w:rPr>
        <w:t xml:space="preserve"> is a global health concern </w:t>
      </w:r>
      <w:r w:rsidR="001B6B54" w:rsidRPr="00795222">
        <w:rPr>
          <w:rFonts w:asciiTheme="majorBidi" w:hAnsiTheme="majorBidi" w:cstheme="majorBidi"/>
          <w:sz w:val="24"/>
          <w:szCs w:val="24"/>
          <w:lang w:val="en-US"/>
        </w:rPr>
        <w:t xml:space="preserve">to which </w:t>
      </w:r>
      <w:r w:rsidR="001F701C" w:rsidRPr="00795222">
        <w:rPr>
          <w:rFonts w:asciiTheme="majorBidi" w:hAnsiTheme="majorBidi" w:cstheme="majorBidi"/>
          <w:sz w:val="24"/>
          <w:szCs w:val="24"/>
          <w:lang w:val="en-US"/>
        </w:rPr>
        <w:t>nanomedicine</w:t>
      </w:r>
      <w:r w:rsidR="00C813F6" w:rsidRPr="00795222">
        <w:rPr>
          <w:rFonts w:asciiTheme="majorBidi" w:hAnsiTheme="majorBidi" w:cstheme="majorBidi"/>
          <w:sz w:val="24"/>
          <w:szCs w:val="24"/>
          <w:lang w:val="en-US"/>
        </w:rPr>
        <w:t xml:space="preserve"> approaches provide opportunit</w:t>
      </w:r>
      <w:r w:rsidR="001B6B54" w:rsidRPr="00795222">
        <w:rPr>
          <w:rFonts w:asciiTheme="majorBidi" w:hAnsiTheme="majorBidi" w:cstheme="majorBidi"/>
          <w:sz w:val="24"/>
          <w:szCs w:val="24"/>
          <w:lang w:val="en-US"/>
        </w:rPr>
        <w:t>ies</w:t>
      </w:r>
      <w:r w:rsidR="00C813F6" w:rsidRPr="00795222">
        <w:rPr>
          <w:rFonts w:asciiTheme="majorBidi" w:hAnsiTheme="majorBidi" w:cstheme="majorBidi"/>
          <w:sz w:val="24"/>
          <w:szCs w:val="24"/>
          <w:lang w:val="en-US"/>
        </w:rPr>
        <w:t xml:space="preserve"> </w:t>
      </w:r>
      <w:r w:rsidR="00D92B67" w:rsidRPr="00795222">
        <w:rPr>
          <w:rFonts w:asciiTheme="majorBidi" w:hAnsiTheme="majorBidi" w:cstheme="majorBidi"/>
          <w:sz w:val="24"/>
          <w:szCs w:val="24"/>
          <w:lang w:val="en-US"/>
        </w:rPr>
        <w:t>to improve</w:t>
      </w:r>
      <w:r w:rsidR="00C813F6" w:rsidRPr="00795222">
        <w:rPr>
          <w:rFonts w:asciiTheme="majorBidi" w:hAnsiTheme="majorBidi" w:cstheme="majorBidi"/>
          <w:sz w:val="24"/>
          <w:szCs w:val="24"/>
          <w:lang w:val="en-US"/>
        </w:rPr>
        <w:t xml:space="preserve"> the </w:t>
      </w:r>
      <w:r w:rsidR="001F701C" w:rsidRPr="00795222">
        <w:rPr>
          <w:rFonts w:asciiTheme="majorBidi" w:hAnsiTheme="majorBidi" w:cstheme="majorBidi"/>
          <w:sz w:val="24"/>
          <w:szCs w:val="24"/>
          <w:lang w:val="en-US"/>
        </w:rPr>
        <w:t>bioavailability of existing drugs</w:t>
      </w:r>
      <w:r w:rsidR="001E760F" w:rsidRPr="00795222">
        <w:rPr>
          <w:rFonts w:asciiTheme="majorBidi" w:hAnsiTheme="majorBidi" w:cstheme="majorBidi"/>
          <w:sz w:val="24"/>
          <w:szCs w:val="24"/>
          <w:lang w:val="en-US"/>
        </w:rPr>
        <w:t xml:space="preserve"> used to treat HIV</w:t>
      </w:r>
      <w:r w:rsidR="001F701C" w:rsidRPr="00795222">
        <w:rPr>
          <w:rFonts w:asciiTheme="majorBidi" w:hAnsiTheme="majorBidi" w:cstheme="majorBidi"/>
          <w:sz w:val="24"/>
          <w:szCs w:val="24"/>
          <w:lang w:val="en-US"/>
        </w:rPr>
        <w:t xml:space="preserve">. In this article, lipid polymer hybrid nanoparticles (LPHNs) were </w:t>
      </w:r>
      <w:r w:rsidR="008872B3" w:rsidRPr="00795222">
        <w:rPr>
          <w:rFonts w:asciiTheme="majorBidi" w:hAnsiTheme="majorBidi" w:cstheme="majorBidi"/>
          <w:sz w:val="24"/>
          <w:szCs w:val="24"/>
          <w:lang w:val="en-US"/>
        </w:rPr>
        <w:t xml:space="preserve">developed </w:t>
      </w:r>
      <w:r w:rsidR="001F701C" w:rsidRPr="00795222">
        <w:rPr>
          <w:rFonts w:asciiTheme="majorBidi" w:hAnsiTheme="majorBidi" w:cstheme="majorBidi"/>
          <w:sz w:val="24"/>
          <w:szCs w:val="24"/>
          <w:lang w:val="en-US"/>
        </w:rPr>
        <w:t xml:space="preserve">as </w:t>
      </w:r>
      <w:r w:rsidR="001E760F" w:rsidRPr="00795222">
        <w:rPr>
          <w:rFonts w:asciiTheme="majorBidi" w:hAnsiTheme="majorBidi" w:cstheme="majorBidi"/>
          <w:sz w:val="24"/>
          <w:szCs w:val="24"/>
          <w:lang w:val="en-US"/>
        </w:rPr>
        <w:t>a system to provide</w:t>
      </w:r>
      <w:r w:rsidR="0073634C" w:rsidRPr="00795222">
        <w:rPr>
          <w:rFonts w:asciiTheme="majorBidi" w:hAnsiTheme="majorBidi" w:cstheme="majorBidi"/>
          <w:sz w:val="24"/>
          <w:szCs w:val="24"/>
          <w:lang w:val="en-US"/>
        </w:rPr>
        <w:t xml:space="preserve"> a</w:t>
      </w:r>
      <w:r w:rsidR="001F701C" w:rsidRPr="00795222">
        <w:rPr>
          <w:rFonts w:asciiTheme="majorBidi" w:hAnsiTheme="majorBidi" w:cstheme="majorBidi"/>
          <w:sz w:val="24"/>
          <w:szCs w:val="24"/>
          <w:lang w:val="en-US"/>
        </w:rPr>
        <w:t xml:space="preserve"> </w:t>
      </w:r>
      <w:r w:rsidR="00CD2029" w:rsidRPr="00795222">
        <w:rPr>
          <w:rFonts w:asciiTheme="majorBidi" w:hAnsiTheme="majorBidi" w:cstheme="majorBidi"/>
          <w:sz w:val="24"/>
          <w:szCs w:val="24"/>
          <w:lang w:val="en-US"/>
        </w:rPr>
        <w:t>combination</w:t>
      </w:r>
      <w:r w:rsidR="001E760F" w:rsidRPr="00795222">
        <w:rPr>
          <w:rFonts w:asciiTheme="majorBidi" w:hAnsiTheme="majorBidi" w:cstheme="majorBidi"/>
          <w:sz w:val="24"/>
          <w:szCs w:val="24"/>
          <w:lang w:val="en-US"/>
        </w:rPr>
        <w:t xml:space="preserve"> drug delivery</w:t>
      </w:r>
      <w:r w:rsidR="00CD2029" w:rsidRPr="00795222">
        <w:rPr>
          <w:rFonts w:asciiTheme="majorBidi" w:hAnsiTheme="majorBidi" w:cstheme="majorBidi"/>
          <w:sz w:val="24"/>
          <w:szCs w:val="24"/>
          <w:lang w:val="en-US"/>
        </w:rPr>
        <w:t xml:space="preserve"> </w:t>
      </w:r>
      <w:r w:rsidR="001F701C" w:rsidRPr="00795222">
        <w:rPr>
          <w:rFonts w:asciiTheme="majorBidi" w:hAnsiTheme="majorBidi" w:cstheme="majorBidi"/>
          <w:sz w:val="24"/>
          <w:szCs w:val="24"/>
          <w:lang w:val="en-US"/>
        </w:rPr>
        <w:t>of two</w:t>
      </w:r>
      <w:r w:rsidR="006A1500" w:rsidRPr="00795222">
        <w:rPr>
          <w:rFonts w:asciiTheme="majorBidi" w:hAnsiTheme="majorBidi" w:cstheme="majorBidi"/>
          <w:sz w:val="24"/>
          <w:szCs w:val="24"/>
          <w:lang w:val="en-US"/>
        </w:rPr>
        <w:t xml:space="preserve"> leading</w:t>
      </w:r>
      <w:r w:rsidR="001F701C" w:rsidRPr="00795222">
        <w:rPr>
          <w:rFonts w:asciiTheme="majorBidi" w:hAnsiTheme="majorBidi" w:cstheme="majorBidi"/>
          <w:sz w:val="24"/>
          <w:szCs w:val="24"/>
          <w:lang w:val="en-US"/>
        </w:rPr>
        <w:t xml:space="preserve"> antiretroviral drugs; darunavir</w:t>
      </w:r>
      <w:r w:rsidR="00F953F8" w:rsidRPr="00795222">
        <w:rPr>
          <w:rFonts w:asciiTheme="majorBidi" w:hAnsiTheme="majorBidi" w:cstheme="majorBidi"/>
          <w:sz w:val="24"/>
          <w:szCs w:val="24"/>
          <w:lang w:val="en-US"/>
        </w:rPr>
        <w:t xml:space="preserve"> (DRV)</w:t>
      </w:r>
      <w:r w:rsidR="001F701C" w:rsidRPr="00795222">
        <w:rPr>
          <w:rFonts w:asciiTheme="majorBidi" w:hAnsiTheme="majorBidi" w:cstheme="majorBidi"/>
          <w:sz w:val="24"/>
          <w:szCs w:val="24"/>
          <w:lang w:val="en-US"/>
        </w:rPr>
        <w:t xml:space="preserve"> and its </w:t>
      </w:r>
      <w:r w:rsidR="00217DA2" w:rsidRPr="00795222">
        <w:rPr>
          <w:rFonts w:asciiTheme="majorBidi" w:hAnsiTheme="majorBidi" w:cstheme="majorBidi"/>
          <w:sz w:val="24"/>
          <w:szCs w:val="24"/>
          <w:lang w:val="en-US"/>
        </w:rPr>
        <w:t xml:space="preserve">pharmacokinetic enhancer </w:t>
      </w:r>
      <w:r w:rsidR="001F701C" w:rsidRPr="00795222">
        <w:rPr>
          <w:rFonts w:asciiTheme="majorBidi" w:hAnsiTheme="majorBidi" w:cstheme="majorBidi"/>
          <w:sz w:val="24"/>
          <w:szCs w:val="24"/>
          <w:lang w:val="en-US"/>
        </w:rPr>
        <w:t>ritonavir</w:t>
      </w:r>
      <w:r w:rsidR="00F953F8" w:rsidRPr="00795222">
        <w:rPr>
          <w:rFonts w:asciiTheme="majorBidi" w:hAnsiTheme="majorBidi" w:cstheme="majorBidi"/>
          <w:sz w:val="24"/>
          <w:szCs w:val="24"/>
          <w:lang w:val="en-US"/>
        </w:rPr>
        <w:t xml:space="preserve"> (RTV)</w:t>
      </w:r>
      <w:r w:rsidR="001F701C" w:rsidRPr="00795222">
        <w:rPr>
          <w:rFonts w:asciiTheme="majorBidi" w:hAnsiTheme="majorBidi" w:cstheme="majorBidi"/>
          <w:sz w:val="24"/>
          <w:szCs w:val="24"/>
          <w:lang w:val="en-US"/>
        </w:rPr>
        <w:t>. </w:t>
      </w:r>
      <w:r w:rsidR="006A1500" w:rsidRPr="00795222">
        <w:rPr>
          <w:rFonts w:asciiTheme="majorBidi" w:hAnsiTheme="majorBidi" w:cstheme="majorBidi"/>
          <w:sz w:val="24"/>
          <w:szCs w:val="24"/>
          <w:lang w:val="en-US"/>
        </w:rPr>
        <w:t>The LPHNs</w:t>
      </w:r>
      <w:r w:rsidR="00D92B67" w:rsidRPr="00795222">
        <w:rPr>
          <w:rFonts w:asciiTheme="majorBidi" w:hAnsiTheme="majorBidi" w:cstheme="majorBidi"/>
          <w:sz w:val="24"/>
          <w:szCs w:val="24"/>
          <w:lang w:val="en-US"/>
        </w:rPr>
        <w:t xml:space="preserve"> were designed with a </w:t>
      </w:r>
      <w:proofErr w:type="gramStart"/>
      <w:r w:rsidR="00D92B67" w:rsidRPr="00795222">
        <w:rPr>
          <w:rFonts w:asciiTheme="majorBidi" w:hAnsiTheme="majorBidi" w:cstheme="majorBidi"/>
          <w:sz w:val="24"/>
          <w:szCs w:val="24"/>
          <w:lang w:val="en-US"/>
        </w:rPr>
        <w:t>poly(</w:t>
      </w:r>
      <w:proofErr w:type="gramEnd"/>
      <w:r w:rsidR="008E7D8A" w:rsidRPr="00795222">
        <w:rPr>
          <w:rFonts w:asciiTheme="majorBidi" w:hAnsiTheme="majorBidi" w:cstheme="majorBidi"/>
          <w:sz w:val="24"/>
          <w:szCs w:val="24"/>
          <w:lang w:val="en-US"/>
        </w:rPr>
        <w:t>D, L</w:t>
      </w:r>
      <w:r w:rsidR="00D92B67" w:rsidRPr="00795222">
        <w:rPr>
          <w:rFonts w:asciiTheme="majorBidi" w:hAnsiTheme="majorBidi" w:cstheme="majorBidi"/>
          <w:sz w:val="24"/>
          <w:szCs w:val="24"/>
          <w:lang w:val="en-US"/>
        </w:rPr>
        <w:t>-lactide-</w:t>
      </w:r>
      <w:r w:rsidR="00D92B67" w:rsidRPr="00795222">
        <w:rPr>
          <w:rFonts w:asciiTheme="majorBidi" w:hAnsiTheme="majorBidi" w:cstheme="majorBidi"/>
          <w:i/>
          <w:sz w:val="24"/>
          <w:szCs w:val="24"/>
          <w:lang w:val="en-US"/>
        </w:rPr>
        <w:t>co</w:t>
      </w:r>
      <w:r w:rsidR="00D92B67" w:rsidRPr="00795222">
        <w:rPr>
          <w:rFonts w:asciiTheme="majorBidi" w:hAnsiTheme="majorBidi" w:cstheme="majorBidi"/>
          <w:sz w:val="24"/>
          <w:szCs w:val="24"/>
          <w:lang w:val="en-US"/>
        </w:rPr>
        <w:t>-</w:t>
      </w:r>
      <w:proofErr w:type="spellStart"/>
      <w:r w:rsidR="00D92B67" w:rsidRPr="00795222">
        <w:rPr>
          <w:rFonts w:asciiTheme="majorBidi" w:hAnsiTheme="majorBidi" w:cstheme="majorBidi"/>
          <w:sz w:val="24"/>
          <w:szCs w:val="24"/>
          <w:lang w:val="en-US"/>
        </w:rPr>
        <w:t>glycolide</w:t>
      </w:r>
      <w:proofErr w:type="spellEnd"/>
      <w:r w:rsidR="00D92B67" w:rsidRPr="00795222">
        <w:rPr>
          <w:rFonts w:asciiTheme="majorBidi" w:hAnsiTheme="majorBidi" w:cstheme="majorBidi"/>
          <w:sz w:val="24"/>
          <w:szCs w:val="24"/>
          <w:lang w:val="en-US"/>
        </w:rPr>
        <w:t xml:space="preserve">) </w:t>
      </w:r>
      <w:r w:rsidR="00AA23D5" w:rsidRPr="00795222">
        <w:rPr>
          <w:rFonts w:asciiTheme="majorBidi" w:hAnsiTheme="majorBidi" w:cstheme="majorBidi"/>
          <w:sz w:val="24"/>
          <w:szCs w:val="24"/>
          <w:lang w:val="en-US"/>
        </w:rPr>
        <w:t>(</w:t>
      </w:r>
      <w:r w:rsidR="009625E9" w:rsidRPr="00795222">
        <w:rPr>
          <w:rFonts w:asciiTheme="majorBidi" w:hAnsiTheme="majorBidi" w:cstheme="majorBidi"/>
          <w:sz w:val="24"/>
          <w:szCs w:val="24"/>
          <w:lang w:val="en-US"/>
        </w:rPr>
        <w:t>PLGA</w:t>
      </w:r>
      <w:r w:rsidR="00AA23D5" w:rsidRPr="00795222">
        <w:rPr>
          <w:rFonts w:asciiTheme="majorBidi" w:hAnsiTheme="majorBidi" w:cstheme="majorBidi"/>
          <w:sz w:val="24"/>
          <w:szCs w:val="24"/>
          <w:lang w:val="en-US"/>
        </w:rPr>
        <w:t>)</w:t>
      </w:r>
      <w:r w:rsidR="009625E9" w:rsidRPr="00795222">
        <w:rPr>
          <w:rFonts w:asciiTheme="majorBidi" w:hAnsiTheme="majorBidi" w:cstheme="majorBidi"/>
          <w:sz w:val="24"/>
          <w:szCs w:val="24"/>
          <w:lang w:val="en-US"/>
        </w:rPr>
        <w:t xml:space="preserve"> </w:t>
      </w:r>
      <w:r w:rsidR="00D92B67" w:rsidRPr="00795222">
        <w:rPr>
          <w:rFonts w:asciiTheme="majorBidi" w:hAnsiTheme="majorBidi" w:cstheme="majorBidi"/>
          <w:sz w:val="24"/>
          <w:szCs w:val="24"/>
          <w:lang w:val="en-US"/>
        </w:rPr>
        <w:t>core</w:t>
      </w:r>
      <w:r w:rsidR="001E760F" w:rsidRPr="00795222">
        <w:rPr>
          <w:rFonts w:asciiTheme="majorBidi" w:hAnsiTheme="majorBidi" w:cstheme="majorBidi"/>
          <w:sz w:val="24"/>
          <w:szCs w:val="24"/>
          <w:lang w:val="en-US"/>
        </w:rPr>
        <w:t>,</w:t>
      </w:r>
      <w:r w:rsidR="00D92B67" w:rsidRPr="00795222">
        <w:rPr>
          <w:rFonts w:asciiTheme="majorBidi" w:hAnsiTheme="majorBidi" w:cstheme="majorBidi"/>
          <w:sz w:val="24"/>
          <w:szCs w:val="24"/>
          <w:lang w:val="en-US"/>
        </w:rPr>
        <w:t xml:space="preserve"> </w:t>
      </w:r>
      <w:r w:rsidR="0073634C" w:rsidRPr="00795222">
        <w:rPr>
          <w:rFonts w:asciiTheme="majorBidi" w:hAnsiTheme="majorBidi" w:cstheme="majorBidi"/>
          <w:sz w:val="24"/>
          <w:szCs w:val="24"/>
          <w:lang w:val="en-US"/>
        </w:rPr>
        <w:t xml:space="preserve">and </w:t>
      </w:r>
      <w:r w:rsidR="00D92B67" w:rsidRPr="00795222">
        <w:rPr>
          <w:rFonts w:asciiTheme="majorBidi" w:hAnsiTheme="majorBidi" w:cstheme="majorBidi"/>
          <w:sz w:val="24"/>
          <w:szCs w:val="24"/>
          <w:lang w:val="en-US"/>
        </w:rPr>
        <w:t>soybean lecithin</w:t>
      </w:r>
      <w:r w:rsidR="009625E9" w:rsidRPr="00795222">
        <w:rPr>
          <w:rFonts w:asciiTheme="majorBidi" w:hAnsiTheme="majorBidi" w:cstheme="majorBidi"/>
          <w:sz w:val="24"/>
          <w:szCs w:val="24"/>
          <w:lang w:val="en-US"/>
        </w:rPr>
        <w:t xml:space="preserve"> (SBL)</w:t>
      </w:r>
      <w:r w:rsidR="00D92B67" w:rsidRPr="00795222">
        <w:rPr>
          <w:rFonts w:asciiTheme="majorBidi" w:hAnsiTheme="majorBidi" w:cstheme="majorBidi"/>
          <w:sz w:val="24"/>
          <w:szCs w:val="24"/>
          <w:lang w:val="en-US"/>
        </w:rPr>
        <w:t xml:space="preserve"> and </w:t>
      </w:r>
      <w:r w:rsidRPr="00795222">
        <w:rPr>
          <w:rFonts w:asciiTheme="majorBidi" w:hAnsiTheme="majorBidi" w:cstheme="majorBidi"/>
          <w:sz w:val="24"/>
          <w:szCs w:val="24"/>
          <w:lang w:val="en-US"/>
        </w:rPr>
        <w:t>B</w:t>
      </w:r>
      <w:r w:rsidR="00D92B67" w:rsidRPr="00795222">
        <w:rPr>
          <w:rFonts w:asciiTheme="majorBidi" w:hAnsiTheme="majorBidi" w:cstheme="majorBidi"/>
          <w:sz w:val="24"/>
          <w:szCs w:val="24"/>
          <w:lang w:val="en-US"/>
        </w:rPr>
        <w:t xml:space="preserve">rij 78 as the </w:t>
      </w:r>
      <w:r w:rsidR="002226F4" w:rsidRPr="00795222">
        <w:rPr>
          <w:rFonts w:asciiTheme="majorBidi" w:hAnsiTheme="majorBidi" w:cstheme="majorBidi"/>
          <w:sz w:val="24"/>
          <w:szCs w:val="24"/>
          <w:lang w:val="en-US"/>
        </w:rPr>
        <w:t>stabilizers</w:t>
      </w:r>
      <w:r w:rsidR="00D92B67" w:rsidRPr="00795222">
        <w:rPr>
          <w:rFonts w:asciiTheme="majorBidi" w:hAnsiTheme="majorBidi" w:cstheme="majorBidi"/>
          <w:sz w:val="24"/>
          <w:szCs w:val="24"/>
          <w:lang w:val="en-US"/>
        </w:rPr>
        <w:t xml:space="preserve">. The LPHNs </w:t>
      </w:r>
      <w:r w:rsidR="006A1500" w:rsidRPr="00795222">
        <w:rPr>
          <w:rFonts w:asciiTheme="majorBidi" w:hAnsiTheme="majorBidi" w:cstheme="majorBidi"/>
          <w:sz w:val="24"/>
          <w:szCs w:val="24"/>
          <w:lang w:val="en-US"/>
        </w:rPr>
        <w:t xml:space="preserve">were prepared by </w:t>
      </w:r>
      <w:r w:rsidR="009753C6" w:rsidRPr="00795222">
        <w:rPr>
          <w:rFonts w:asciiTheme="majorBidi" w:hAnsiTheme="majorBidi" w:cstheme="majorBidi"/>
          <w:sz w:val="24"/>
          <w:szCs w:val="24"/>
          <w:lang w:val="en-US"/>
        </w:rPr>
        <w:t xml:space="preserve">modified </w:t>
      </w:r>
      <w:r w:rsidR="006A1500" w:rsidRPr="00795222">
        <w:rPr>
          <w:rFonts w:asciiTheme="majorBidi" w:hAnsiTheme="majorBidi" w:cstheme="majorBidi"/>
          <w:sz w:val="24"/>
          <w:szCs w:val="24"/>
          <w:lang w:val="en-US"/>
        </w:rPr>
        <w:t>nanoprecipitation and t</w:t>
      </w:r>
      <w:r w:rsidR="00EC7691" w:rsidRPr="00795222">
        <w:rPr>
          <w:rFonts w:asciiTheme="majorBidi" w:hAnsiTheme="majorBidi" w:cstheme="majorBidi"/>
          <w:sz w:val="24"/>
          <w:szCs w:val="24"/>
          <w:lang w:val="en-US"/>
        </w:rPr>
        <w:t xml:space="preserve">he </w:t>
      </w:r>
      <w:r w:rsidR="001F701C" w:rsidRPr="00795222">
        <w:rPr>
          <w:rFonts w:asciiTheme="majorBidi" w:hAnsiTheme="majorBidi" w:cstheme="majorBidi"/>
          <w:sz w:val="24"/>
          <w:szCs w:val="24"/>
          <w:lang w:val="en-US"/>
        </w:rPr>
        <w:t>effect of synthe</w:t>
      </w:r>
      <w:r w:rsidR="001B6B54" w:rsidRPr="00795222">
        <w:rPr>
          <w:rFonts w:asciiTheme="majorBidi" w:hAnsiTheme="majorBidi" w:cstheme="majorBidi"/>
          <w:sz w:val="24"/>
          <w:szCs w:val="24"/>
          <w:lang w:val="en-US"/>
        </w:rPr>
        <w:t>tic</w:t>
      </w:r>
      <w:r w:rsidR="006A1500" w:rsidRPr="00795222">
        <w:rPr>
          <w:rFonts w:asciiTheme="majorBidi" w:hAnsiTheme="majorBidi" w:cstheme="majorBidi"/>
          <w:sz w:val="24"/>
          <w:szCs w:val="24"/>
          <w:lang w:val="en-US"/>
        </w:rPr>
        <w:t xml:space="preserve"> conditions on the particle properties</w:t>
      </w:r>
      <w:r w:rsidR="001F701C" w:rsidRPr="00795222">
        <w:rPr>
          <w:rFonts w:asciiTheme="majorBidi" w:hAnsiTheme="majorBidi" w:cstheme="majorBidi"/>
          <w:sz w:val="24"/>
          <w:szCs w:val="24"/>
          <w:lang w:val="en-US"/>
        </w:rPr>
        <w:t xml:space="preserve"> </w:t>
      </w:r>
      <w:r w:rsidR="00EC7691" w:rsidRPr="00795222">
        <w:rPr>
          <w:rFonts w:asciiTheme="majorBidi" w:hAnsiTheme="majorBidi" w:cstheme="majorBidi"/>
          <w:sz w:val="24"/>
          <w:szCs w:val="24"/>
          <w:lang w:val="en-US"/>
        </w:rPr>
        <w:t>was studied</w:t>
      </w:r>
      <w:r w:rsidR="00146514" w:rsidRPr="00795222">
        <w:rPr>
          <w:rFonts w:asciiTheme="majorBidi" w:hAnsiTheme="majorBidi" w:cstheme="majorBidi"/>
          <w:sz w:val="24"/>
          <w:szCs w:val="24"/>
          <w:lang w:val="en-US"/>
        </w:rPr>
        <w:t>, which include</w:t>
      </w:r>
      <w:r w:rsidR="002226F4" w:rsidRPr="00795222">
        <w:rPr>
          <w:rFonts w:asciiTheme="majorBidi" w:hAnsiTheme="majorBidi" w:cstheme="majorBidi"/>
          <w:sz w:val="24"/>
          <w:szCs w:val="24"/>
          <w:lang w:val="en-US"/>
        </w:rPr>
        <w:t>d</w:t>
      </w:r>
      <w:r w:rsidR="00F2067C" w:rsidRPr="00795222">
        <w:rPr>
          <w:rFonts w:asciiTheme="majorBidi" w:hAnsiTheme="majorBidi" w:cstheme="majorBidi"/>
          <w:sz w:val="24"/>
          <w:szCs w:val="24"/>
          <w:lang w:val="en-US"/>
        </w:rPr>
        <w:t xml:space="preserve"> </w:t>
      </w:r>
      <w:r w:rsidR="002226F4" w:rsidRPr="00795222">
        <w:rPr>
          <w:rFonts w:asciiTheme="majorBidi" w:hAnsiTheme="majorBidi" w:cstheme="majorBidi"/>
          <w:sz w:val="24"/>
          <w:szCs w:val="24"/>
          <w:lang w:val="en-US"/>
        </w:rPr>
        <w:t xml:space="preserve">the </w:t>
      </w:r>
      <w:r w:rsidR="00146514" w:rsidRPr="00795222">
        <w:rPr>
          <w:rFonts w:asciiTheme="majorBidi" w:hAnsiTheme="majorBidi" w:cstheme="majorBidi"/>
          <w:sz w:val="24"/>
          <w:szCs w:val="24"/>
          <w:lang w:val="en-US"/>
        </w:rPr>
        <w:t xml:space="preserve">Z-average diameter </w:t>
      </w:r>
      <w:r w:rsidR="00F2067C" w:rsidRPr="00795222">
        <w:rPr>
          <w:rFonts w:asciiTheme="majorBidi" w:hAnsiTheme="majorBidi" w:cstheme="majorBidi"/>
          <w:sz w:val="24"/>
          <w:szCs w:val="24"/>
          <w:lang w:val="en-US"/>
        </w:rPr>
        <w:t xml:space="preserve">and </w:t>
      </w:r>
      <w:r w:rsidR="002226F4" w:rsidRPr="00795222">
        <w:rPr>
          <w:rFonts w:asciiTheme="majorBidi" w:hAnsiTheme="majorBidi" w:cstheme="majorBidi"/>
          <w:sz w:val="24"/>
          <w:szCs w:val="24"/>
          <w:lang w:val="en-US"/>
        </w:rPr>
        <w:t>polydispersity index</w:t>
      </w:r>
      <w:r w:rsidR="00F2067C" w:rsidRPr="00795222">
        <w:rPr>
          <w:rFonts w:asciiTheme="majorBidi" w:hAnsiTheme="majorBidi" w:cstheme="majorBidi"/>
          <w:sz w:val="24"/>
          <w:szCs w:val="24"/>
          <w:lang w:val="en-US"/>
        </w:rPr>
        <w:t xml:space="preserve"> </w:t>
      </w:r>
      <w:r w:rsidR="00146514" w:rsidRPr="00795222">
        <w:rPr>
          <w:rFonts w:asciiTheme="majorBidi" w:hAnsiTheme="majorBidi" w:cstheme="majorBidi"/>
          <w:sz w:val="24"/>
          <w:szCs w:val="24"/>
          <w:lang w:val="en-US"/>
        </w:rPr>
        <w:t>of LPHNs</w:t>
      </w:r>
      <w:r w:rsidR="002226F4" w:rsidRPr="00795222">
        <w:rPr>
          <w:rFonts w:asciiTheme="majorBidi" w:hAnsiTheme="majorBidi" w:cstheme="majorBidi"/>
          <w:sz w:val="24"/>
          <w:szCs w:val="24"/>
          <w:lang w:val="en-US"/>
        </w:rPr>
        <w:t xml:space="preserve"> in water and phosphate buffered saline, and the</w:t>
      </w:r>
      <w:r w:rsidR="00E96321" w:rsidRPr="00795222">
        <w:rPr>
          <w:rFonts w:asciiTheme="majorBidi" w:hAnsiTheme="majorBidi" w:cstheme="majorBidi"/>
          <w:sz w:val="24"/>
          <w:szCs w:val="24"/>
          <w:lang w:val="en-US"/>
        </w:rPr>
        <w:t xml:space="preserve"> morphology</w:t>
      </w:r>
      <w:r w:rsidR="002226F4" w:rsidRPr="00795222">
        <w:rPr>
          <w:rFonts w:asciiTheme="majorBidi" w:hAnsiTheme="majorBidi" w:cstheme="majorBidi"/>
          <w:sz w:val="24"/>
          <w:szCs w:val="24"/>
          <w:lang w:val="en-US"/>
        </w:rPr>
        <w:t xml:space="preserve"> of the particles. </w:t>
      </w:r>
      <w:r w:rsidR="001B6B54" w:rsidRPr="00795222">
        <w:rPr>
          <w:rFonts w:asciiTheme="majorBidi" w:hAnsiTheme="majorBidi" w:cstheme="majorBidi"/>
          <w:sz w:val="24"/>
          <w:szCs w:val="24"/>
          <w:lang w:val="en-US"/>
        </w:rPr>
        <w:t xml:space="preserve">This investigation aimed to </w:t>
      </w:r>
      <w:r w:rsidR="0080063D" w:rsidRPr="00795222">
        <w:rPr>
          <w:rFonts w:asciiTheme="majorBidi" w:hAnsiTheme="majorBidi" w:cstheme="majorBidi"/>
          <w:sz w:val="24"/>
          <w:szCs w:val="24"/>
          <w:lang w:val="en-US"/>
        </w:rPr>
        <w:t>prepar</w:t>
      </w:r>
      <w:r w:rsidR="001B6B54" w:rsidRPr="00795222">
        <w:rPr>
          <w:rFonts w:asciiTheme="majorBidi" w:hAnsiTheme="majorBidi" w:cstheme="majorBidi"/>
          <w:sz w:val="24"/>
          <w:szCs w:val="24"/>
          <w:lang w:val="en-US"/>
        </w:rPr>
        <w:t>e</w:t>
      </w:r>
      <w:r w:rsidR="001E760F" w:rsidRPr="00795222">
        <w:rPr>
          <w:rFonts w:asciiTheme="majorBidi" w:hAnsiTheme="majorBidi" w:cstheme="majorBidi"/>
          <w:sz w:val="24"/>
          <w:szCs w:val="24"/>
          <w:lang w:val="en-US"/>
        </w:rPr>
        <w:t xml:space="preserve"> </w:t>
      </w:r>
      <w:r w:rsidR="0080063D" w:rsidRPr="00795222">
        <w:rPr>
          <w:rFonts w:asciiTheme="majorBidi" w:hAnsiTheme="majorBidi" w:cstheme="majorBidi"/>
          <w:sz w:val="24"/>
          <w:szCs w:val="24"/>
          <w:lang w:val="en-US"/>
        </w:rPr>
        <w:t xml:space="preserve">a formulation that could be stored in </w:t>
      </w:r>
      <w:r w:rsidR="001B6B54" w:rsidRPr="00795222">
        <w:rPr>
          <w:rFonts w:asciiTheme="majorBidi" w:hAnsiTheme="majorBidi" w:cstheme="majorBidi"/>
          <w:sz w:val="24"/>
          <w:szCs w:val="24"/>
          <w:lang w:val="en-US"/>
        </w:rPr>
        <w:t xml:space="preserve">its </w:t>
      </w:r>
      <w:r w:rsidR="00757BE3" w:rsidRPr="00795222">
        <w:rPr>
          <w:rFonts w:asciiTheme="majorBidi" w:hAnsiTheme="majorBidi" w:cstheme="majorBidi"/>
          <w:sz w:val="24"/>
          <w:szCs w:val="24"/>
          <w:lang w:val="en-US"/>
        </w:rPr>
        <w:t xml:space="preserve">dry </w:t>
      </w:r>
      <w:r w:rsidR="0080063D" w:rsidRPr="00795222">
        <w:rPr>
          <w:rFonts w:asciiTheme="majorBidi" w:hAnsiTheme="majorBidi" w:cstheme="majorBidi"/>
          <w:sz w:val="24"/>
          <w:szCs w:val="24"/>
          <w:lang w:val="en-US"/>
        </w:rPr>
        <w:t xml:space="preserve">and </w:t>
      </w:r>
      <w:r w:rsidR="00D92B67" w:rsidRPr="00795222">
        <w:rPr>
          <w:rFonts w:asciiTheme="majorBidi" w:hAnsiTheme="majorBidi" w:cstheme="majorBidi"/>
          <w:sz w:val="24"/>
          <w:szCs w:val="24"/>
          <w:lang w:val="en-US"/>
        </w:rPr>
        <w:t>re</w:t>
      </w:r>
      <w:r w:rsidR="0080063D" w:rsidRPr="00795222">
        <w:rPr>
          <w:rFonts w:asciiTheme="majorBidi" w:hAnsiTheme="majorBidi" w:cstheme="majorBidi"/>
          <w:sz w:val="24"/>
          <w:szCs w:val="24"/>
          <w:lang w:val="en-US"/>
        </w:rPr>
        <w:t>dispersible form</w:t>
      </w:r>
      <w:r w:rsidR="0073634C" w:rsidRPr="00795222">
        <w:rPr>
          <w:rFonts w:asciiTheme="majorBidi" w:hAnsiTheme="majorBidi" w:cstheme="majorBidi"/>
          <w:sz w:val="24"/>
          <w:szCs w:val="24"/>
          <w:lang w:val="en-US"/>
        </w:rPr>
        <w:t xml:space="preserve">, therefore avoiding </w:t>
      </w:r>
      <w:r w:rsidR="002226F4" w:rsidRPr="00795222">
        <w:rPr>
          <w:rFonts w:asciiTheme="majorBidi" w:hAnsiTheme="majorBidi" w:cstheme="majorBidi"/>
          <w:sz w:val="24"/>
          <w:szCs w:val="24"/>
          <w:lang w:val="en-US"/>
        </w:rPr>
        <w:t xml:space="preserve">the challenges associated with storage of dispersions. </w:t>
      </w:r>
      <w:r w:rsidR="00D92B67" w:rsidRPr="00795222">
        <w:rPr>
          <w:rFonts w:asciiTheme="majorBidi" w:hAnsiTheme="majorBidi" w:cstheme="majorBidi"/>
          <w:sz w:val="24"/>
          <w:szCs w:val="24"/>
          <w:lang w:val="en-US"/>
        </w:rPr>
        <w:t>T</w:t>
      </w:r>
      <w:r w:rsidR="00EC7691" w:rsidRPr="00795222">
        <w:rPr>
          <w:rFonts w:asciiTheme="majorBidi" w:hAnsiTheme="majorBidi" w:cstheme="majorBidi"/>
          <w:sz w:val="24"/>
          <w:szCs w:val="24"/>
          <w:lang w:val="en-US"/>
        </w:rPr>
        <w:t xml:space="preserve">he </w:t>
      </w:r>
      <w:r w:rsidR="0080063D" w:rsidRPr="00795222">
        <w:rPr>
          <w:rFonts w:asciiTheme="majorBidi" w:hAnsiTheme="majorBidi" w:cstheme="majorBidi"/>
          <w:sz w:val="24"/>
          <w:szCs w:val="24"/>
          <w:lang w:val="en-US"/>
        </w:rPr>
        <w:t xml:space="preserve">optimum </w:t>
      </w:r>
      <w:r w:rsidR="0073634C" w:rsidRPr="00795222">
        <w:rPr>
          <w:rFonts w:asciiTheme="majorBidi" w:hAnsiTheme="majorBidi" w:cstheme="majorBidi"/>
          <w:sz w:val="24"/>
          <w:szCs w:val="24"/>
          <w:lang w:val="en-US"/>
        </w:rPr>
        <w:t xml:space="preserve">ratio of </w:t>
      </w:r>
      <w:r w:rsidR="00511731" w:rsidRPr="00795222">
        <w:rPr>
          <w:rFonts w:asciiTheme="majorBidi" w:eastAsia="Calibri" w:hAnsiTheme="majorBidi" w:cstheme="majorBidi"/>
          <w:sz w:val="24"/>
          <w:szCs w:val="24"/>
          <w:lang w:val="en-US"/>
        </w:rPr>
        <w:t xml:space="preserve">stabilizer to polymer core was </w:t>
      </w:r>
      <w:r w:rsidR="001B6B54" w:rsidRPr="00795222">
        <w:rPr>
          <w:rFonts w:asciiTheme="majorBidi" w:eastAsia="Calibri" w:hAnsiTheme="majorBidi" w:cstheme="majorBidi"/>
          <w:sz w:val="24"/>
          <w:szCs w:val="24"/>
          <w:lang w:val="en-US"/>
        </w:rPr>
        <w:t xml:space="preserve">established at </w:t>
      </w:r>
      <w:r w:rsidR="00511731" w:rsidRPr="00795222">
        <w:rPr>
          <w:rFonts w:asciiTheme="majorBidi" w:eastAsia="Calibri" w:hAnsiTheme="majorBidi" w:cstheme="majorBidi"/>
          <w:sz w:val="24"/>
          <w:szCs w:val="24"/>
          <w:lang w:val="en-US"/>
        </w:rPr>
        <w:t>20 % w/w</w:t>
      </w:r>
      <w:r w:rsidR="001B6B54" w:rsidRPr="00795222">
        <w:rPr>
          <w:rFonts w:asciiTheme="majorBidi" w:eastAsia="Calibri" w:hAnsiTheme="majorBidi" w:cstheme="majorBidi"/>
          <w:sz w:val="24"/>
          <w:szCs w:val="24"/>
          <w:lang w:val="en-US"/>
        </w:rPr>
        <w:t>,</w:t>
      </w:r>
      <w:r w:rsidR="00D92B67" w:rsidRPr="00795222">
        <w:rPr>
          <w:rFonts w:asciiTheme="majorBidi" w:hAnsiTheme="majorBidi" w:cstheme="majorBidi"/>
          <w:sz w:val="24"/>
          <w:szCs w:val="24"/>
          <w:lang w:val="en-US"/>
        </w:rPr>
        <w:t xml:space="preserve"> and</w:t>
      </w:r>
      <w:r w:rsidR="0080063D" w:rsidRPr="00795222">
        <w:rPr>
          <w:rFonts w:asciiTheme="majorBidi" w:hAnsiTheme="majorBidi" w:cstheme="majorBidi"/>
          <w:sz w:val="24"/>
          <w:szCs w:val="24"/>
          <w:lang w:val="en-US"/>
        </w:rPr>
        <w:t xml:space="preserve"> Brij 78 was found to be crucial in providing colloidal stability in </w:t>
      </w:r>
      <w:r w:rsidR="00D92B67" w:rsidRPr="00795222">
        <w:rPr>
          <w:rFonts w:asciiTheme="majorBidi" w:hAnsiTheme="majorBidi" w:cstheme="majorBidi"/>
          <w:sz w:val="24"/>
          <w:szCs w:val="24"/>
          <w:lang w:val="en-US"/>
        </w:rPr>
        <w:t xml:space="preserve">physiological </w:t>
      </w:r>
      <w:r w:rsidR="0080063D" w:rsidRPr="00795222">
        <w:rPr>
          <w:rFonts w:asciiTheme="majorBidi" w:hAnsiTheme="majorBidi" w:cstheme="majorBidi"/>
          <w:sz w:val="24"/>
          <w:szCs w:val="24"/>
          <w:lang w:val="en-US"/>
        </w:rPr>
        <w:t>solutions</w:t>
      </w:r>
      <w:r w:rsidR="003651C8" w:rsidRPr="00795222">
        <w:rPr>
          <w:rFonts w:asciiTheme="majorBidi" w:hAnsiTheme="majorBidi" w:cstheme="majorBidi"/>
          <w:sz w:val="24"/>
          <w:szCs w:val="24"/>
          <w:lang w:val="en-US"/>
        </w:rPr>
        <w:t>;</w:t>
      </w:r>
      <w:r w:rsidR="0080063D" w:rsidRPr="00795222">
        <w:rPr>
          <w:rFonts w:asciiTheme="majorBidi" w:hAnsiTheme="majorBidi" w:cstheme="majorBidi"/>
          <w:sz w:val="24"/>
          <w:szCs w:val="24"/>
          <w:lang w:val="en-US"/>
        </w:rPr>
        <w:t xml:space="preserve"> the minimum </w:t>
      </w:r>
      <w:r w:rsidR="003651C8" w:rsidRPr="00795222">
        <w:rPr>
          <w:rFonts w:asciiTheme="majorBidi" w:hAnsiTheme="majorBidi" w:cstheme="majorBidi"/>
          <w:sz w:val="24"/>
          <w:szCs w:val="24"/>
          <w:lang w:val="en-US"/>
        </w:rPr>
        <w:t xml:space="preserve">amount of </w:t>
      </w:r>
      <w:r w:rsidRPr="00795222">
        <w:rPr>
          <w:rFonts w:asciiTheme="majorBidi" w:hAnsiTheme="majorBidi" w:cstheme="majorBidi"/>
          <w:sz w:val="24"/>
          <w:szCs w:val="24"/>
          <w:lang w:val="en-US"/>
        </w:rPr>
        <w:t>B</w:t>
      </w:r>
      <w:r w:rsidR="0080063D" w:rsidRPr="00795222">
        <w:rPr>
          <w:rFonts w:asciiTheme="majorBidi" w:hAnsiTheme="majorBidi" w:cstheme="majorBidi"/>
          <w:sz w:val="24"/>
          <w:szCs w:val="24"/>
          <w:lang w:val="en-US"/>
        </w:rPr>
        <w:t xml:space="preserve">rij </w:t>
      </w:r>
      <w:r w:rsidR="000F6731" w:rsidRPr="00795222">
        <w:rPr>
          <w:rFonts w:asciiTheme="majorBidi" w:hAnsiTheme="majorBidi" w:cstheme="majorBidi"/>
          <w:sz w:val="24"/>
          <w:szCs w:val="24"/>
          <w:lang w:val="en-US"/>
        </w:rPr>
        <w:t>78 required</w:t>
      </w:r>
      <w:r w:rsidR="0080063D" w:rsidRPr="00795222">
        <w:rPr>
          <w:rFonts w:asciiTheme="majorBidi" w:hAnsiTheme="majorBidi" w:cstheme="majorBidi"/>
          <w:sz w:val="24"/>
          <w:szCs w:val="24"/>
          <w:lang w:val="en-US"/>
        </w:rPr>
        <w:t xml:space="preserve"> to provide stability in </w:t>
      </w:r>
      <w:r w:rsidR="00E86E12" w:rsidRPr="00795222">
        <w:rPr>
          <w:rFonts w:asciiTheme="majorBidi" w:hAnsiTheme="majorBidi" w:cstheme="majorBidi"/>
          <w:sz w:val="24"/>
          <w:szCs w:val="24"/>
          <w:lang w:val="en-US"/>
        </w:rPr>
        <w:t xml:space="preserve">phosphate buffered saline </w:t>
      </w:r>
      <w:r w:rsidR="000C0E36" w:rsidRPr="00795222">
        <w:rPr>
          <w:rFonts w:asciiTheme="majorBidi" w:hAnsiTheme="majorBidi" w:cstheme="majorBidi"/>
          <w:sz w:val="24"/>
          <w:szCs w:val="24"/>
          <w:lang w:val="en-US"/>
        </w:rPr>
        <w:t xml:space="preserve">was </w:t>
      </w:r>
      <w:r w:rsidR="0080063D" w:rsidRPr="00795222">
        <w:rPr>
          <w:rFonts w:asciiTheme="majorBidi" w:hAnsiTheme="majorBidi" w:cstheme="majorBidi"/>
          <w:sz w:val="24"/>
          <w:szCs w:val="24"/>
          <w:lang w:val="en-US"/>
        </w:rPr>
        <w:t>70 % w/w</w:t>
      </w:r>
      <w:r w:rsidR="00673F69" w:rsidRPr="00795222">
        <w:rPr>
          <w:rFonts w:asciiTheme="majorBidi" w:hAnsiTheme="majorBidi" w:cstheme="majorBidi"/>
          <w:sz w:val="24"/>
          <w:szCs w:val="24"/>
          <w:lang w:val="en-US"/>
        </w:rPr>
        <w:t xml:space="preserve"> </w:t>
      </w:r>
      <w:r w:rsidR="00DF2AAB" w:rsidRPr="00795222">
        <w:rPr>
          <w:rFonts w:asciiTheme="majorBidi" w:hAnsiTheme="majorBidi" w:cstheme="majorBidi"/>
          <w:sz w:val="24"/>
          <w:szCs w:val="24"/>
          <w:lang w:val="en-US"/>
        </w:rPr>
        <w:t>of the total stabilizer mass</w:t>
      </w:r>
      <w:r w:rsidR="00D92B67" w:rsidRPr="00795222">
        <w:rPr>
          <w:rFonts w:asciiTheme="majorBidi" w:hAnsiTheme="majorBidi" w:cstheme="majorBidi"/>
          <w:sz w:val="24"/>
          <w:szCs w:val="24"/>
          <w:lang w:val="en-US"/>
        </w:rPr>
        <w:t>.</w:t>
      </w:r>
      <w:r w:rsidR="000C0E36" w:rsidRPr="00795222">
        <w:rPr>
          <w:rFonts w:asciiTheme="majorBidi" w:hAnsiTheme="majorBidi" w:cstheme="majorBidi"/>
          <w:sz w:val="24"/>
          <w:szCs w:val="24"/>
          <w:lang w:val="en-US"/>
        </w:rPr>
        <w:t xml:space="preserve"> Viable formulations of LPHNs containing DRV and RTV </w:t>
      </w:r>
      <w:r w:rsidR="004B1083" w:rsidRPr="00795222">
        <w:rPr>
          <w:rFonts w:asciiTheme="majorBidi" w:hAnsiTheme="majorBidi" w:cstheme="majorBidi"/>
          <w:sz w:val="24"/>
          <w:szCs w:val="24"/>
          <w:lang w:val="en-US"/>
        </w:rPr>
        <w:t xml:space="preserve">in the clinically used 8:1 ratio </w:t>
      </w:r>
      <w:proofErr w:type="gramStart"/>
      <w:r w:rsidR="004B1083" w:rsidRPr="00795222">
        <w:rPr>
          <w:rFonts w:asciiTheme="majorBidi" w:hAnsiTheme="majorBidi" w:cstheme="majorBidi"/>
          <w:sz w:val="24"/>
          <w:szCs w:val="24"/>
          <w:lang w:val="en-US"/>
        </w:rPr>
        <w:t>were</w:t>
      </w:r>
      <w:proofErr w:type="gramEnd"/>
      <w:r w:rsidR="004B1083" w:rsidRPr="00795222">
        <w:rPr>
          <w:rFonts w:asciiTheme="majorBidi" w:hAnsiTheme="majorBidi" w:cstheme="majorBidi"/>
          <w:sz w:val="24"/>
          <w:szCs w:val="24"/>
          <w:lang w:val="en-US"/>
        </w:rPr>
        <w:t xml:space="preserve"> prepared containing</w:t>
      </w:r>
      <w:r w:rsidR="000C0E36" w:rsidRPr="00795222">
        <w:rPr>
          <w:rFonts w:asciiTheme="majorBidi" w:hAnsiTheme="majorBidi" w:cstheme="majorBidi"/>
          <w:sz w:val="24"/>
          <w:szCs w:val="24"/>
          <w:lang w:val="en-US"/>
        </w:rPr>
        <w:t xml:space="preserve"> </w:t>
      </w:r>
      <w:bookmarkStart w:id="2" w:name="_Hlk48048528"/>
      <w:r w:rsidR="000C0E36" w:rsidRPr="00795222">
        <w:rPr>
          <w:rFonts w:asciiTheme="majorBidi" w:hAnsiTheme="majorBidi" w:cstheme="majorBidi"/>
          <w:sz w:val="24"/>
          <w:szCs w:val="24"/>
          <w:lang w:val="en-US"/>
        </w:rPr>
        <w:t>20 % w/w DRV with respect to the PLGA mass</w:t>
      </w:r>
      <w:bookmarkEnd w:id="2"/>
      <w:r w:rsidR="000C0E36" w:rsidRPr="00795222">
        <w:rPr>
          <w:rFonts w:asciiTheme="majorBidi" w:hAnsiTheme="majorBidi" w:cstheme="majorBidi"/>
          <w:sz w:val="24"/>
          <w:szCs w:val="24"/>
          <w:lang w:val="en-US"/>
        </w:rPr>
        <w:t xml:space="preserve">. </w:t>
      </w:r>
      <w:r w:rsidR="00D92B67" w:rsidRPr="00795222">
        <w:rPr>
          <w:rFonts w:asciiTheme="majorBidi" w:hAnsiTheme="majorBidi" w:cstheme="majorBidi"/>
          <w:sz w:val="24"/>
          <w:szCs w:val="24"/>
          <w:lang w:val="en-US"/>
        </w:rPr>
        <w:t xml:space="preserve">The use </w:t>
      </w:r>
      <w:r w:rsidR="00C21E5A" w:rsidRPr="00795222">
        <w:rPr>
          <w:rFonts w:asciiTheme="majorBidi" w:hAnsiTheme="majorBidi" w:cstheme="majorBidi"/>
          <w:sz w:val="24"/>
          <w:szCs w:val="24"/>
          <w:lang w:val="en-US"/>
        </w:rPr>
        <w:t>of</w:t>
      </w:r>
      <w:r w:rsidR="00F417C8" w:rsidRPr="00795222">
        <w:rPr>
          <w:rFonts w:asciiTheme="majorBidi" w:hAnsiTheme="majorBidi" w:cstheme="majorBidi"/>
          <w:sz w:val="24"/>
          <w:szCs w:val="24"/>
          <w:lang w:val="en-US"/>
        </w:rPr>
        <w:t xml:space="preserve"> </w:t>
      </w:r>
      <w:r w:rsidR="00D53496" w:rsidRPr="00795222">
        <w:rPr>
          <w:rFonts w:asciiTheme="majorBidi" w:hAnsiTheme="majorBidi" w:cstheme="majorBidi"/>
          <w:sz w:val="24"/>
          <w:szCs w:val="24"/>
          <w:lang w:val="en-US"/>
        </w:rPr>
        <w:t>cryoprotectant</w:t>
      </w:r>
      <w:r w:rsidR="001B6B54" w:rsidRPr="00795222">
        <w:rPr>
          <w:rFonts w:asciiTheme="majorBidi" w:hAnsiTheme="majorBidi" w:cstheme="majorBidi"/>
          <w:sz w:val="24"/>
          <w:szCs w:val="24"/>
          <w:lang w:val="en-US"/>
        </w:rPr>
        <w:t>, polyethylene glycol,</w:t>
      </w:r>
      <w:r w:rsidR="00D53496" w:rsidRPr="00795222">
        <w:rPr>
          <w:rFonts w:asciiTheme="majorBidi" w:hAnsiTheme="majorBidi" w:cstheme="majorBidi"/>
          <w:sz w:val="24"/>
          <w:szCs w:val="24"/>
          <w:lang w:val="en-US"/>
        </w:rPr>
        <w:t xml:space="preserve"> combined with</w:t>
      </w:r>
      <w:r w:rsidR="00EC4DB9" w:rsidRPr="00795222">
        <w:rPr>
          <w:rFonts w:asciiTheme="majorBidi" w:hAnsiTheme="majorBidi" w:cstheme="majorBidi"/>
          <w:sz w:val="24"/>
          <w:szCs w:val="24"/>
          <w:lang w:val="en-US"/>
        </w:rPr>
        <w:t xml:space="preserve"> freez</w:t>
      </w:r>
      <w:r w:rsidR="00D53496" w:rsidRPr="00795222">
        <w:rPr>
          <w:rFonts w:asciiTheme="majorBidi" w:hAnsiTheme="majorBidi" w:cstheme="majorBidi"/>
          <w:sz w:val="24"/>
          <w:szCs w:val="24"/>
          <w:lang w:val="en-US"/>
        </w:rPr>
        <w:t>e-</w:t>
      </w:r>
      <w:r w:rsidR="00EC4DB9" w:rsidRPr="00795222">
        <w:rPr>
          <w:rFonts w:asciiTheme="majorBidi" w:hAnsiTheme="majorBidi" w:cstheme="majorBidi"/>
          <w:sz w:val="24"/>
          <w:szCs w:val="24"/>
          <w:lang w:val="en-US"/>
        </w:rPr>
        <w:t>dr</w:t>
      </w:r>
      <w:r w:rsidR="00D53496" w:rsidRPr="00795222">
        <w:rPr>
          <w:rFonts w:asciiTheme="majorBidi" w:hAnsiTheme="majorBidi" w:cstheme="majorBidi"/>
          <w:sz w:val="24"/>
          <w:szCs w:val="24"/>
          <w:lang w:val="en-US"/>
        </w:rPr>
        <w:t xml:space="preserve">ying </w:t>
      </w:r>
      <w:r w:rsidR="00D53496" w:rsidRPr="00795222">
        <w:rPr>
          <w:rFonts w:asciiTheme="majorBidi" w:hAnsiTheme="majorBidi" w:cstheme="majorBidi"/>
          <w:sz w:val="24"/>
          <w:szCs w:val="24"/>
          <w:lang w:val="en-US"/>
        </w:rPr>
        <w:lastRenderedPageBreak/>
        <w:t>yield</w:t>
      </w:r>
      <w:r w:rsidR="004B1083" w:rsidRPr="00795222">
        <w:rPr>
          <w:rFonts w:asciiTheme="majorBidi" w:hAnsiTheme="majorBidi" w:cstheme="majorBidi"/>
          <w:sz w:val="24"/>
          <w:szCs w:val="24"/>
          <w:lang w:val="en-US"/>
        </w:rPr>
        <w:t>ed</w:t>
      </w:r>
      <w:r w:rsidR="0080063D" w:rsidRPr="00795222">
        <w:rPr>
          <w:rFonts w:asciiTheme="majorBidi" w:hAnsiTheme="majorBidi" w:cstheme="majorBidi"/>
          <w:sz w:val="24"/>
          <w:szCs w:val="24"/>
          <w:lang w:val="en-US"/>
        </w:rPr>
        <w:t xml:space="preserve"> </w:t>
      </w:r>
      <w:r w:rsidR="006717D5" w:rsidRPr="00795222">
        <w:rPr>
          <w:rFonts w:asciiTheme="majorBidi" w:hAnsiTheme="majorBidi" w:cstheme="majorBidi"/>
          <w:sz w:val="24"/>
          <w:szCs w:val="24"/>
          <w:lang w:val="en-US"/>
        </w:rPr>
        <w:t xml:space="preserve">LPHNs </w:t>
      </w:r>
      <w:r w:rsidR="00D53496" w:rsidRPr="00795222">
        <w:rPr>
          <w:rFonts w:asciiTheme="majorBidi" w:hAnsiTheme="majorBidi" w:cstheme="majorBidi"/>
          <w:sz w:val="24"/>
          <w:szCs w:val="24"/>
          <w:lang w:val="en-US"/>
        </w:rPr>
        <w:t>with a</w:t>
      </w:r>
      <w:r w:rsidR="006717D5" w:rsidRPr="00795222">
        <w:rPr>
          <w:rFonts w:asciiTheme="majorBidi" w:hAnsiTheme="majorBidi" w:cstheme="majorBidi"/>
          <w:sz w:val="24"/>
          <w:szCs w:val="24"/>
          <w:lang w:val="en-US"/>
        </w:rPr>
        <w:t xml:space="preserve"> </w:t>
      </w:r>
      <w:r w:rsidR="00312622" w:rsidRPr="00795222">
        <w:rPr>
          <w:rFonts w:asciiTheme="majorBidi" w:hAnsiTheme="majorBidi" w:cstheme="majorBidi"/>
          <w:sz w:val="24"/>
          <w:szCs w:val="24"/>
          <w:lang w:val="en-US"/>
        </w:rPr>
        <w:t xml:space="preserve">Z-average </w:t>
      </w:r>
      <w:r w:rsidR="0080063D" w:rsidRPr="00795222">
        <w:rPr>
          <w:rFonts w:asciiTheme="majorBidi" w:hAnsiTheme="majorBidi" w:cstheme="majorBidi"/>
          <w:sz w:val="24"/>
          <w:szCs w:val="24"/>
          <w:lang w:val="en-US"/>
        </w:rPr>
        <w:t>diameter of</w:t>
      </w:r>
      <w:r w:rsidR="00D92B67" w:rsidRPr="00795222">
        <w:rPr>
          <w:rFonts w:asciiTheme="majorBidi" w:hAnsiTheme="majorBidi" w:cstheme="majorBidi"/>
          <w:sz w:val="24"/>
          <w:szCs w:val="24"/>
          <w:lang w:val="en-US"/>
        </w:rPr>
        <w:t xml:space="preserve"> </w:t>
      </w:r>
      <w:r w:rsidR="00F76EA4" w:rsidRPr="00795222">
        <w:rPr>
          <w:rFonts w:asciiTheme="majorBidi" w:hAnsiTheme="majorBidi" w:cstheme="majorBidi"/>
          <w:sz w:val="24"/>
          <w:szCs w:val="24"/>
          <w:lang w:val="en-US"/>
        </w:rPr>
        <w:t xml:space="preserve">150 nm when the particles </w:t>
      </w:r>
      <w:r w:rsidR="004B1083" w:rsidRPr="00795222">
        <w:rPr>
          <w:rFonts w:asciiTheme="majorBidi" w:hAnsiTheme="majorBidi" w:cstheme="majorBidi"/>
          <w:sz w:val="24"/>
          <w:szCs w:val="24"/>
          <w:lang w:val="en-US"/>
        </w:rPr>
        <w:t>were</w:t>
      </w:r>
      <w:r w:rsidR="001B6B54" w:rsidRPr="00795222">
        <w:rPr>
          <w:rFonts w:asciiTheme="majorBidi" w:hAnsiTheme="majorBidi" w:cstheme="majorBidi"/>
          <w:sz w:val="24"/>
          <w:szCs w:val="24"/>
          <w:lang w:val="en-US"/>
        </w:rPr>
        <w:t xml:space="preserve"> </w:t>
      </w:r>
      <w:r w:rsidR="00D53496" w:rsidRPr="00795222">
        <w:rPr>
          <w:rFonts w:asciiTheme="majorBidi" w:hAnsiTheme="majorBidi" w:cstheme="majorBidi"/>
          <w:sz w:val="24"/>
          <w:szCs w:val="24"/>
          <w:lang w:val="en-US"/>
        </w:rPr>
        <w:t>re</w:t>
      </w:r>
      <w:r w:rsidR="00F417C8" w:rsidRPr="00795222">
        <w:rPr>
          <w:rFonts w:asciiTheme="majorBidi" w:hAnsiTheme="majorBidi" w:cstheme="majorBidi"/>
          <w:sz w:val="24"/>
          <w:szCs w:val="24"/>
          <w:lang w:val="en-US"/>
        </w:rPr>
        <w:t>-</w:t>
      </w:r>
      <w:r w:rsidR="00F76EA4" w:rsidRPr="00795222">
        <w:rPr>
          <w:rFonts w:asciiTheme="majorBidi" w:hAnsiTheme="majorBidi" w:cstheme="majorBidi"/>
          <w:sz w:val="24"/>
          <w:szCs w:val="24"/>
          <w:lang w:val="en-US"/>
        </w:rPr>
        <w:t>dispersed</w:t>
      </w:r>
      <w:bookmarkStart w:id="3" w:name="_Hlk23709253"/>
      <w:r w:rsidR="001E760F" w:rsidRPr="00795222">
        <w:rPr>
          <w:rFonts w:asciiTheme="majorBidi" w:hAnsiTheme="majorBidi" w:cstheme="majorBidi"/>
          <w:sz w:val="24"/>
          <w:szCs w:val="24"/>
          <w:lang w:val="en-US"/>
        </w:rPr>
        <w:t xml:space="preserve"> in water</w:t>
      </w:r>
      <w:r w:rsidR="00EE5C7F" w:rsidRPr="00795222">
        <w:rPr>
          <w:rFonts w:asciiTheme="majorBidi" w:hAnsiTheme="majorBidi" w:cstheme="majorBidi"/>
          <w:sz w:val="24"/>
          <w:szCs w:val="24"/>
          <w:lang w:val="en-US"/>
        </w:rPr>
        <w:t>.</w:t>
      </w:r>
      <w:r w:rsidR="0080063D" w:rsidRPr="00795222">
        <w:rPr>
          <w:rFonts w:asciiTheme="majorBidi" w:hAnsiTheme="majorBidi" w:cstheme="majorBidi"/>
          <w:sz w:val="24"/>
          <w:szCs w:val="24"/>
          <w:lang w:val="en-US"/>
        </w:rPr>
        <w:t xml:space="preserve"> </w:t>
      </w:r>
      <w:r w:rsidR="00C21E5A" w:rsidRPr="00795222">
        <w:rPr>
          <w:rFonts w:asciiTheme="majorBidi" w:hAnsiTheme="majorBidi" w:cstheme="majorBidi"/>
          <w:sz w:val="24"/>
          <w:szCs w:val="24"/>
          <w:lang w:val="en-US"/>
        </w:rPr>
        <w:t>The oral a</w:t>
      </w:r>
      <w:r w:rsidR="009351F8" w:rsidRPr="00795222">
        <w:rPr>
          <w:rFonts w:asciiTheme="majorBidi" w:hAnsiTheme="majorBidi" w:cstheme="majorBidi"/>
          <w:sz w:val="24"/>
          <w:szCs w:val="24"/>
          <w:lang w:val="en-US"/>
        </w:rPr>
        <w:t>b</w:t>
      </w:r>
      <w:r w:rsidR="00C21E5A" w:rsidRPr="00795222">
        <w:rPr>
          <w:rFonts w:asciiTheme="majorBidi" w:hAnsiTheme="majorBidi" w:cstheme="majorBidi"/>
          <w:sz w:val="24"/>
          <w:szCs w:val="24"/>
          <w:lang w:val="en-US"/>
        </w:rPr>
        <w:t>sorption behavior was</w:t>
      </w:r>
      <w:r w:rsidR="001E760F" w:rsidRPr="00795222">
        <w:rPr>
          <w:rFonts w:asciiTheme="majorBidi" w:hAnsiTheme="majorBidi" w:cstheme="majorBidi"/>
          <w:sz w:val="24"/>
          <w:szCs w:val="24"/>
          <w:lang w:val="en-US"/>
        </w:rPr>
        <w:t xml:space="preserve"> </w:t>
      </w:r>
      <w:r w:rsidR="00C21E5A" w:rsidRPr="00795222">
        <w:rPr>
          <w:rFonts w:asciiTheme="majorBidi" w:hAnsiTheme="majorBidi" w:cstheme="majorBidi"/>
          <w:sz w:val="24"/>
          <w:szCs w:val="24"/>
          <w:lang w:val="en-US"/>
        </w:rPr>
        <w:t xml:space="preserve">assessed using an </w:t>
      </w:r>
      <w:r w:rsidR="00C21E5A" w:rsidRPr="00795222">
        <w:rPr>
          <w:rFonts w:asciiTheme="majorBidi" w:hAnsiTheme="majorBidi" w:cstheme="majorBidi"/>
          <w:i/>
          <w:iCs/>
          <w:sz w:val="24"/>
          <w:szCs w:val="24"/>
          <w:lang w:val="en-US"/>
        </w:rPr>
        <w:t>in vitro</w:t>
      </w:r>
      <w:r w:rsidR="00C21E5A" w:rsidRPr="00795222">
        <w:rPr>
          <w:rFonts w:asciiTheme="majorBidi" w:hAnsiTheme="majorBidi" w:cstheme="majorBidi"/>
          <w:sz w:val="24"/>
          <w:szCs w:val="24"/>
          <w:lang w:val="en-US"/>
        </w:rPr>
        <w:t xml:space="preserve"> triple culture model. </w:t>
      </w:r>
      <w:r w:rsidR="001A1EF6" w:rsidRPr="00795222">
        <w:rPr>
          <w:rFonts w:asciiTheme="majorBidi" w:hAnsiTheme="majorBidi" w:cstheme="majorBidi"/>
          <w:sz w:val="24"/>
          <w:szCs w:val="24"/>
          <w:lang w:val="en-US"/>
        </w:rPr>
        <w:t>W</w:t>
      </w:r>
      <w:r w:rsidR="00C21E5A" w:rsidRPr="00795222">
        <w:rPr>
          <w:rFonts w:asciiTheme="majorBidi" w:hAnsiTheme="majorBidi" w:cstheme="majorBidi"/>
          <w:sz w:val="24"/>
          <w:szCs w:val="24"/>
          <w:lang w:val="en-US"/>
        </w:rPr>
        <w:t>hil</w:t>
      </w:r>
      <w:r w:rsidR="001A1EF6" w:rsidRPr="00795222">
        <w:rPr>
          <w:rFonts w:asciiTheme="majorBidi" w:hAnsiTheme="majorBidi" w:cstheme="majorBidi"/>
          <w:sz w:val="24"/>
          <w:szCs w:val="24"/>
          <w:lang w:val="en-US"/>
        </w:rPr>
        <w:t>st</w:t>
      </w:r>
      <w:r w:rsidR="00C21E5A" w:rsidRPr="00795222">
        <w:rPr>
          <w:rFonts w:asciiTheme="majorBidi" w:hAnsiTheme="majorBidi" w:cstheme="majorBidi"/>
          <w:sz w:val="24"/>
          <w:szCs w:val="24"/>
          <w:lang w:val="en-US"/>
        </w:rPr>
        <w:t xml:space="preserve"> the use of cryoprotectant and </w:t>
      </w:r>
      <w:r w:rsidR="00ED6477" w:rsidRPr="00795222">
        <w:rPr>
          <w:rFonts w:asciiTheme="majorBidi" w:hAnsiTheme="majorBidi" w:cstheme="majorBidi"/>
          <w:sz w:val="24"/>
          <w:szCs w:val="24"/>
          <w:lang w:val="en-US"/>
        </w:rPr>
        <w:t>freeze-drying</w:t>
      </w:r>
      <w:r w:rsidR="00C21E5A" w:rsidRPr="00795222">
        <w:rPr>
          <w:rFonts w:asciiTheme="majorBidi" w:hAnsiTheme="majorBidi" w:cstheme="majorBidi"/>
          <w:sz w:val="24"/>
          <w:szCs w:val="24"/>
          <w:lang w:val="en-US"/>
        </w:rPr>
        <w:t xml:space="preserve"> </w:t>
      </w:r>
      <w:r w:rsidR="00ED6477" w:rsidRPr="00795222">
        <w:rPr>
          <w:rFonts w:asciiTheme="majorBidi" w:hAnsiTheme="majorBidi" w:cstheme="majorBidi"/>
          <w:sz w:val="24"/>
          <w:szCs w:val="24"/>
          <w:lang w:val="en-US"/>
        </w:rPr>
        <w:t>led to no improvement of</w:t>
      </w:r>
      <w:r w:rsidR="002226F4" w:rsidRPr="00795222">
        <w:rPr>
          <w:rFonts w:asciiTheme="majorBidi" w:hAnsiTheme="majorBidi" w:cstheme="majorBidi"/>
          <w:sz w:val="24"/>
          <w:szCs w:val="24"/>
          <w:lang w:val="en-US"/>
        </w:rPr>
        <w:t xml:space="preserve"> the transcellular permeability </w:t>
      </w:r>
      <w:r w:rsidR="001E760F" w:rsidRPr="00795222">
        <w:rPr>
          <w:rFonts w:asciiTheme="majorBidi" w:hAnsiTheme="majorBidi" w:cstheme="majorBidi"/>
          <w:sz w:val="24"/>
          <w:szCs w:val="24"/>
          <w:lang w:val="en-US"/>
        </w:rPr>
        <w:t>compared to the unformulated drugs</w:t>
      </w:r>
      <w:r w:rsidR="00ED6477" w:rsidRPr="00795222">
        <w:rPr>
          <w:rFonts w:asciiTheme="majorBidi" w:hAnsiTheme="majorBidi" w:cstheme="majorBidi"/>
          <w:sz w:val="24"/>
          <w:szCs w:val="24"/>
          <w:lang w:val="en-US"/>
        </w:rPr>
        <w:t>. The non-freeze-dried samples with the highest</w:t>
      </w:r>
      <w:r w:rsidR="00C21E5A" w:rsidRPr="00795222">
        <w:rPr>
          <w:rFonts w:asciiTheme="majorBidi" w:hAnsiTheme="majorBidi" w:cstheme="majorBidi"/>
          <w:sz w:val="24"/>
          <w:szCs w:val="24"/>
          <w:lang w:val="en-US"/>
        </w:rPr>
        <w:t xml:space="preserve"> </w:t>
      </w:r>
      <w:r w:rsidR="00BC5642" w:rsidRPr="00795222">
        <w:rPr>
          <w:rFonts w:asciiTheme="majorBidi" w:hAnsiTheme="majorBidi" w:cstheme="majorBidi"/>
          <w:sz w:val="24"/>
          <w:szCs w:val="24"/>
          <w:lang w:val="en-US"/>
        </w:rPr>
        <w:t>s</w:t>
      </w:r>
      <w:r w:rsidR="000050A4" w:rsidRPr="00795222">
        <w:rPr>
          <w:rFonts w:asciiTheme="majorBidi" w:hAnsiTheme="majorBidi" w:cstheme="majorBidi"/>
          <w:sz w:val="24"/>
          <w:szCs w:val="24"/>
          <w:lang w:val="en-US"/>
        </w:rPr>
        <w:t xml:space="preserve">oybean </w:t>
      </w:r>
      <w:r w:rsidR="003651C8" w:rsidRPr="00795222">
        <w:rPr>
          <w:rFonts w:asciiTheme="majorBidi" w:hAnsiTheme="majorBidi" w:cstheme="majorBidi"/>
          <w:sz w:val="24"/>
          <w:szCs w:val="24"/>
          <w:lang w:val="en-US"/>
        </w:rPr>
        <w:t>l</w:t>
      </w:r>
      <w:r w:rsidR="00BB5EB3" w:rsidRPr="00795222">
        <w:rPr>
          <w:rFonts w:asciiTheme="majorBidi" w:hAnsiTheme="majorBidi" w:cstheme="majorBidi"/>
          <w:sz w:val="24"/>
          <w:szCs w:val="24"/>
          <w:lang w:val="en-US"/>
        </w:rPr>
        <w:t>ecithin</w:t>
      </w:r>
      <w:r w:rsidR="000050A4" w:rsidRPr="00795222">
        <w:rPr>
          <w:rFonts w:asciiTheme="majorBidi" w:hAnsiTheme="majorBidi" w:cstheme="majorBidi"/>
          <w:sz w:val="24"/>
          <w:szCs w:val="24"/>
          <w:lang w:val="en-US"/>
        </w:rPr>
        <w:t xml:space="preserve"> </w:t>
      </w:r>
      <w:r w:rsidR="00C21E5A" w:rsidRPr="00795222">
        <w:rPr>
          <w:rFonts w:asciiTheme="majorBidi" w:hAnsiTheme="majorBidi" w:cstheme="majorBidi"/>
          <w:sz w:val="24"/>
          <w:szCs w:val="24"/>
          <w:lang w:val="en-US"/>
        </w:rPr>
        <w:t xml:space="preserve">led to increased </w:t>
      </w:r>
      <w:r w:rsidR="002226F4" w:rsidRPr="00795222">
        <w:rPr>
          <w:rFonts w:asciiTheme="majorBidi" w:hAnsiTheme="majorBidi" w:cstheme="majorBidi"/>
          <w:sz w:val="24"/>
          <w:szCs w:val="24"/>
          <w:lang w:val="en-US"/>
        </w:rPr>
        <w:t>transcellular permeability</w:t>
      </w:r>
      <w:r w:rsidR="00ED6477" w:rsidRPr="00795222">
        <w:rPr>
          <w:rFonts w:asciiTheme="majorBidi" w:hAnsiTheme="majorBidi" w:cstheme="majorBidi"/>
          <w:sz w:val="24"/>
          <w:szCs w:val="24"/>
          <w:lang w:val="en-US"/>
        </w:rPr>
        <w:t>, revealing the potential of LPHNs for enhancing HIV treatment</w:t>
      </w:r>
      <w:r w:rsidR="00C21E5A" w:rsidRPr="00795222">
        <w:rPr>
          <w:rFonts w:asciiTheme="majorBidi" w:hAnsiTheme="majorBidi" w:cstheme="majorBidi"/>
          <w:sz w:val="24"/>
          <w:szCs w:val="24"/>
          <w:lang w:val="en-US"/>
        </w:rPr>
        <w:t xml:space="preserve">. </w:t>
      </w:r>
      <w:bookmarkEnd w:id="3"/>
    </w:p>
    <w:p w14:paraId="6D862C63" w14:textId="77777777" w:rsidR="001F701C" w:rsidRPr="00795222" w:rsidRDefault="001F701C" w:rsidP="00657F6C">
      <w:pPr>
        <w:pStyle w:val="Heading1"/>
        <w:jc w:val="both"/>
      </w:pPr>
      <w:r w:rsidRPr="00795222">
        <w:t>Introduction </w:t>
      </w:r>
    </w:p>
    <w:p w14:paraId="4F61CDE5" w14:textId="385AC0B1" w:rsidR="001F701C" w:rsidRPr="00795222" w:rsidRDefault="00B9635A" w:rsidP="00B2092B">
      <w:p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lang w:val="en-US"/>
        </w:rPr>
        <w:t>In 2018, the World Health Organization (WHO) estimated that approximately 37.9 million people were infected with HIV worldwide and more than half of those infected did not receive antiretroviral therapy</w:t>
      </w:r>
      <w:r w:rsidR="001F701C" w:rsidRPr="00795222">
        <w:rPr>
          <w:rFonts w:asciiTheme="majorBidi" w:hAnsiTheme="majorBidi" w:cstheme="majorBidi"/>
          <w:sz w:val="24"/>
          <w:szCs w:val="24"/>
          <w:lang w:val="en-US"/>
        </w:rPr>
        <w:t>.</w:t>
      </w:r>
      <w:r w:rsidR="002C581A" w:rsidRPr="00795222" w:rsidDel="005B26C9">
        <w:rPr>
          <w:rFonts w:asciiTheme="majorBidi" w:hAnsiTheme="majorBidi" w:cstheme="majorBidi"/>
          <w:sz w:val="24"/>
          <w:szCs w:val="24"/>
          <w:lang w:val="en-US"/>
        </w:rPr>
        <w:fldChar w:fldCharType="begin" w:fldLock="1"/>
      </w:r>
      <w:r w:rsidR="002C581A" w:rsidRPr="00795222" w:rsidDel="005B26C9">
        <w:rPr>
          <w:rFonts w:asciiTheme="majorBidi" w:hAnsiTheme="majorBidi" w:cstheme="majorBidi"/>
          <w:sz w:val="24"/>
          <w:szCs w:val="24"/>
          <w:lang w:val="en-US"/>
        </w:rPr>
        <w:fldChar w:fldCharType="end"/>
      </w:r>
      <w:r w:rsidR="00FC1E64" w:rsidRPr="00795222">
        <w:rPr>
          <w:rFonts w:asciiTheme="majorBidi" w:hAnsiTheme="majorBidi" w:cstheme="majorBidi"/>
          <w:sz w:val="24"/>
          <w:szCs w:val="24"/>
          <w:lang w:val="en-US"/>
        </w:rPr>
        <w:t xml:space="preserve"> If left untreated,</w:t>
      </w:r>
      <w:r w:rsidR="001F701C" w:rsidRPr="00795222">
        <w:rPr>
          <w:rFonts w:asciiTheme="majorBidi" w:hAnsiTheme="majorBidi" w:cstheme="majorBidi"/>
          <w:sz w:val="24"/>
          <w:szCs w:val="24"/>
          <w:lang w:val="en-US"/>
        </w:rPr>
        <w:t xml:space="preserve"> HIV </w:t>
      </w:r>
      <w:r w:rsidRPr="00795222">
        <w:rPr>
          <w:rFonts w:asciiTheme="majorBidi" w:hAnsiTheme="majorBidi" w:cstheme="majorBidi"/>
          <w:sz w:val="24"/>
          <w:szCs w:val="24"/>
          <w:lang w:val="en-US"/>
        </w:rPr>
        <w:t>progresses to</w:t>
      </w:r>
      <w:r w:rsidR="001F701C" w:rsidRPr="00795222">
        <w:rPr>
          <w:rFonts w:asciiTheme="majorBidi" w:hAnsiTheme="majorBidi" w:cstheme="majorBidi"/>
          <w:sz w:val="24"/>
          <w:szCs w:val="24"/>
          <w:lang w:val="en-US"/>
        </w:rPr>
        <w:t xml:space="preserve"> acquired immunodeficiency syndrome (AIDS) which causes severe damage to the immune system</w:t>
      </w:r>
      <w:r w:rsidR="00B16C5D" w:rsidRPr="00795222">
        <w:rPr>
          <w:rFonts w:asciiTheme="majorBidi" w:hAnsiTheme="majorBidi" w:cstheme="majorBidi"/>
          <w:sz w:val="24"/>
          <w:szCs w:val="24"/>
          <w:lang w:val="en-US"/>
        </w:rPr>
        <w:t xml:space="preserve"> potentially resulting in death</w:t>
      </w:r>
      <w:r w:rsidR="001F701C" w:rsidRPr="00795222">
        <w:rPr>
          <w:rFonts w:asciiTheme="majorBidi" w:hAnsiTheme="majorBidi" w:cstheme="majorBidi"/>
          <w:sz w:val="24"/>
          <w:szCs w:val="24"/>
          <w:lang w:val="en-US"/>
        </w:rPr>
        <w:t>.</w:t>
      </w:r>
      <w:r w:rsidR="00BD2911" w:rsidRPr="00795222">
        <w:rPr>
          <w:rFonts w:asciiTheme="majorBidi" w:hAnsiTheme="majorBidi" w:cstheme="majorBidi"/>
          <w:sz w:val="24"/>
          <w:szCs w:val="24"/>
          <w:lang w:val="en-US"/>
        </w:rPr>
        <w:t xml:space="preserve"> </w:t>
      </w:r>
      <w:r w:rsidR="001B4041" w:rsidRPr="00795222">
        <w:rPr>
          <w:rFonts w:asciiTheme="majorBidi" w:hAnsiTheme="majorBidi" w:cstheme="majorBidi"/>
          <w:sz w:val="24"/>
          <w:szCs w:val="24"/>
          <w:lang w:val="en-US"/>
        </w:rPr>
        <w:fldChar w:fldCharType="begin" w:fldLock="1"/>
      </w:r>
      <w:r w:rsidR="0023326E" w:rsidRPr="00795222">
        <w:rPr>
          <w:rFonts w:asciiTheme="majorBidi" w:hAnsiTheme="majorBidi" w:cstheme="majorBidi"/>
          <w:sz w:val="24"/>
          <w:szCs w:val="24"/>
          <w:lang w:val="en-US"/>
        </w:rPr>
        <w:instrText>ADDIN CSL_CITATION {"citationItems":[{"id":"ITEM-1","itemData":{"DOI":"10.3390/v7102887","ISSN":"1473-3099","abstract":"Panel on Antiretroviral Guidelines for Adults and Adolescents Guidelines for the Use of Antiretroviral Agents in HIV-1-Infected Adults and Adolescents Developed by the HHS Panel on Antiretroviral Guidelines. Available at htttp://aidsinfo.nih.gov/guidelines Accessed on Sept 6, 2016, Table 6, Section F-3. for. doi: 10.3390/v7102887","author":[{"dropping-particle":"","family":"Panel on Antiretroviral Guidelines for Adults and Adolescents","given":"","non-dropping-particle":"","parse-names":false,"suffix":""}],"container-title":"March","id":"ITEM-1","issued":{"date-parts":[["2012"]]},"title":"Guidelines for the use of antiretroviral agents in HIV-1-infected adults and adolescents","type":"report"},"uris":["http://www.mendeley.com/documents/?uuid=b1ffdc5f-74bb-4717-a039-6c8347770c8a"]},{"id":"ITEM-2","itemData":{"DOI":"10.2147/IJN.S25871","ISSN":"1176-9114","abstract":"The advent of highly active antiretroviral therapy (HAART) has significantly improved the prognosis for human immunodeficiency virus (HIV)-infected patients, however the adverse side effects associated with prolonged HAART therapy use continue. Although systemic viral load can be undetectable, the virus remains sequestered in anatomically privileged sites within the body. Nanotechnology-based delivery systems are being developed to target the virus within different tissue compartments and are being evaluated for their safety and efficacy. The current review outlines the various nanomaterials that are becoming increasingly used in biomedical applications by virtue of their robustness, safety, multimodality, and multifunctionality. Nanotechnology can revolutionize the field of HIV medicine by not only improving diagnosis, but also by improving delivery of antiretrovirals to targeted regions in the body and by significantly enhancing the efficacy of the currently available antiretroviral medications. ","author":[{"dropping-particle":"","family":"Mahajan","given":"Supriya D","non-dropping-particle":"","parse-names":false,"suffix":""},{"dropping-particle":"","family":"Aalinkeel","given":"Ravikumar","non-dropping-particle":"","parse-names":false,"suffix":""},{"dropping-particle":"","family":"Law","given":"Wing-Cheung","non-dropping-particle":"","parse-names":false,"suffix":""},{"dropping-particle":"","family":"Reynolds","given":"Jessica L","non-dropping-particle":"","parse-names":false,"suffix":""},{"dropping-particle":"","family":"Nair","given":"Bindukumar B","non-dropping-particle":"","parse-names":false,"suffix":""},{"dropping-particle":"","family":"Sykes","given":"Donald E","non-dropping-particle":"","parse-names":false,"suffix":""},{"dropping-particle":"","family":"Yong","given":"Ken-Tye","non-dropping-particle":"","parse-names":false,"suffix":""},{"dropping-particle":"","family":"Roy","given":"Indrajit","non-dropping-particle":"","parse-names":false,"suffix":""},{"dropping-particle":"","family":"Prasad","given":"Paras N","non-dropping-particle":"","parse-names":false,"suffix":""},{"dropping-particle":"","family":"Schwartz","given":"Stanley A","non-dropping-particle":"","parse-names":false,"suffix":""}],"container-title":"International Journal of Nanomedicine","id":"ITEM-2","issued":{"date-parts":[["2012","10"]]},"page":"5301-5314","publisher":"Dove Medical Press","title":"Anti-HIV-1 nanotherapeutics: promises and challenges for the future","type":"article-journal","volume":"7"},"uris":["http://www.mendeley.com/documents/?uuid=dad5a2eb-d1b4-4910-8817-ade788343f6b"]}],"mendeley":{"formattedCitation":"(Mahajan et al., 2012; Panel on Antiretroviral Guidelines for Adults and Adolescents, 2012)","plainTextFormattedCitation":"(Mahajan et al., 2012; Panel on Antiretroviral Guidelines for Adults and Adolescents, 2012)","previouslyFormattedCitation":"(Mahajan et al., 2012; Panel on Antiretroviral Guidelines for Adults and Adolescents, 2012)"},"properties":{"noteIndex":0},"schema":"https://github.com/citation-style-language/schema/raw/master/csl-citation.json"}</w:instrText>
      </w:r>
      <w:r w:rsidR="001B4041" w:rsidRPr="00795222">
        <w:rPr>
          <w:rFonts w:asciiTheme="majorBidi" w:hAnsiTheme="majorBidi" w:cstheme="majorBidi"/>
          <w:sz w:val="24"/>
          <w:szCs w:val="24"/>
          <w:lang w:val="en-US"/>
        </w:rPr>
        <w:fldChar w:fldCharType="separate"/>
      </w:r>
      <w:r w:rsidR="005563A9" w:rsidRPr="00795222">
        <w:rPr>
          <w:rFonts w:asciiTheme="majorBidi" w:hAnsiTheme="majorBidi" w:cstheme="majorBidi"/>
          <w:noProof/>
          <w:sz w:val="24"/>
          <w:szCs w:val="24"/>
          <w:lang w:val="en-US"/>
        </w:rPr>
        <w:t>(Mahajan et al., 2012; Panel on Antiretroviral Guidelines for Adults and Adolescents, 2012)</w:t>
      </w:r>
      <w:r w:rsidR="001B4041" w:rsidRPr="00795222">
        <w:rPr>
          <w:rFonts w:asciiTheme="majorBidi" w:hAnsiTheme="majorBidi" w:cstheme="majorBidi"/>
          <w:sz w:val="24"/>
          <w:szCs w:val="24"/>
          <w:lang w:val="en-US"/>
        </w:rPr>
        <w:fldChar w:fldCharType="end"/>
      </w:r>
      <w:r w:rsidR="001F701C" w:rsidRPr="00795222">
        <w:rPr>
          <w:rFonts w:asciiTheme="majorBidi" w:hAnsiTheme="majorBidi" w:cstheme="majorBidi"/>
          <w:sz w:val="24"/>
          <w:szCs w:val="24"/>
          <w:lang w:val="en-US"/>
        </w:rPr>
        <w:t xml:space="preserve"> Darunavir (DRV) is a</w:t>
      </w:r>
      <w:r w:rsidR="005B26C9" w:rsidRPr="00795222">
        <w:rPr>
          <w:rFonts w:asciiTheme="majorBidi" w:hAnsiTheme="majorBidi" w:cstheme="majorBidi"/>
          <w:sz w:val="24"/>
          <w:szCs w:val="24"/>
          <w:lang w:val="en-US"/>
        </w:rPr>
        <w:t xml:space="preserve"> highly effective</w:t>
      </w:r>
      <w:r w:rsidR="001F701C" w:rsidRPr="00795222">
        <w:rPr>
          <w:rFonts w:asciiTheme="majorBidi" w:hAnsiTheme="majorBidi" w:cstheme="majorBidi"/>
          <w:sz w:val="24"/>
          <w:szCs w:val="24"/>
          <w:lang w:val="en-US"/>
        </w:rPr>
        <w:t xml:space="preserve"> first line antiretroviral agent that shows </w:t>
      </w:r>
      <w:r w:rsidRPr="00795222">
        <w:rPr>
          <w:rFonts w:asciiTheme="majorBidi" w:hAnsiTheme="majorBidi" w:cstheme="majorBidi"/>
          <w:sz w:val="24"/>
          <w:szCs w:val="24"/>
          <w:lang w:val="en-US"/>
        </w:rPr>
        <w:t xml:space="preserve">a </w:t>
      </w:r>
      <w:r w:rsidR="001F701C" w:rsidRPr="00795222">
        <w:rPr>
          <w:rFonts w:asciiTheme="majorBidi" w:hAnsiTheme="majorBidi" w:cstheme="majorBidi"/>
          <w:sz w:val="24"/>
          <w:szCs w:val="24"/>
          <w:lang w:val="en-US"/>
        </w:rPr>
        <w:t>high genetic barrier and has exceptional resistance profile against both wild type and mutant HIV strains.</w:t>
      </w:r>
      <w:r w:rsidR="002226F4" w:rsidRPr="00795222">
        <w:rPr>
          <w:rFonts w:asciiTheme="majorBidi" w:hAnsiTheme="majorBidi" w:cstheme="majorBidi"/>
          <w:sz w:val="24"/>
          <w:szCs w:val="24"/>
          <w:lang w:val="en-US"/>
        </w:rPr>
        <w:t xml:space="preserve"> </w:t>
      </w:r>
      <w:r w:rsidR="00EC234C" w:rsidRPr="00795222">
        <w:rPr>
          <w:rFonts w:asciiTheme="majorBidi" w:hAnsiTheme="majorBidi" w:cstheme="majorBidi"/>
          <w:sz w:val="24"/>
          <w:szCs w:val="24"/>
          <w:lang w:val="en-US"/>
        </w:rPr>
        <w:fldChar w:fldCharType="begin" w:fldLock="1"/>
      </w:r>
      <w:r w:rsidR="001B7E74" w:rsidRPr="00795222">
        <w:rPr>
          <w:rFonts w:asciiTheme="majorBidi" w:hAnsiTheme="majorBidi" w:cstheme="majorBidi"/>
          <w:sz w:val="24"/>
          <w:szCs w:val="24"/>
          <w:lang w:val="en-US"/>
        </w:rPr>
        <w:instrText>ADDIN CSL_CITATION {"citationItems":[{"id":"ITEM-1","itemData":{"DOI":"10.1159/000445852","ISBN":"1660-3796","ISSN":"16603818","PMID":"27403093","author":[{"dropping-particle":"","family":"Seitz","given":"Rainer","non-dropping-particle":"","parse-names":false,"suffix":""}],"container-title":"Transfusion Medicine and Hemotherapy","id":"ITEM-1","issue":"3","issued":{"date-parts":[["2016"]]},"page":"203-222","title":"Human Immunodeficiency Virus (HIV)","type":"article-journal","volume":"43"},"uris":["http://www.mendeley.com/documents/?uuid=68b5a197-8d77-4014-8011-cddfb9918fdc"]},{"id":"ITEM-2","itemData":{"ISSN":"1179-1373","PMID":"22096377","abstract":"Abstract: There is an ongoing need for potent antiretroviral therapies to deal with the increasing pool of treatment-experienced patients with multiple drug resistance. The last few years have seen the arrival of 2 new and very potent protease inhibitors – darunavir and tipranavir – alongside 2 whole new classes of anti-HIV agents – the integrase inhibitors and chemokine receptor CCR5 antagonists. This review focuses on the role of darunavir in managing HIV infection, with an emphasis on darunavir’s exceptional resistance profile and related clinical effectiveness, pharmacokinetics, tolerability and toxicity data. Darunavir in combination with the pharmaco- kinetic booster ritonavir has proved to be very effective in the treatment of highly treatment- experienced HIV patients with multiple drug resistance. The favorable tolerability and toxicity profile alongside the drug’s high genetic barrier to the development of resistance prompted approval of darunavir for HIV-treatment naïve patients. Furthermore, the paradigm of treating HIV with a combination of anti-HIV agents is currently being challenged by ongoing darunavir monotherapy trials and these preliminary data will be discussed.","author":[{"dropping-particle":"","family":"Lascar","given":"R. Monica","non-dropping-particle":"","parse-names":false,"suffix":""},{"dropping-particle":"","family":"Benn","given":"Paul","non-dropping-particle":"","parse-names":false,"suffix":""}],"container-title":"HIV/AIDS - Research and Palliative Care","id":"ITEM-2","issue":"I","issued":{"date-parts":[["2009"]]},"page":"31-39","title":"Role of darunavir in the management of HIV infection","type":"article-journal","volume":"I"},"uris":["http://www.mendeley.com/documents/?uuid=68a89b35-6044-4d81-9946-828203104b24"]},{"id":"ITEM-3","itemData":{"DOI":"10.1186/s12879-017-2379-8","ISBN":"1287901723798","ISSN":"1471-2334","abstract":"© 2017 The Author(s).Background: Atazanavir/ritonavir and darunavir/ritonavir are common protease inhibitor-based regimens for treating patients with HIV. Studies comparing these drugs in clinical practice are lacking. Methods: We conducted a retrospective cohort study of antiretroviral naïve participants in the Canadian Observational Cohort (CANOC) collaboration initiating atazanavir/ritonavir- or darunavir/ritonavir-based treatment. We used separate Fine and Gray competing risk regression models to compare times to regimen failure (composite of virologic failure or discontinuation for any reason). Additional endpoints included virologic failure, discontinuation due to virologic failure, discontinuation for other reasons, and virologic suppression. Results: We studied 222 patients treated with darunavir/ritonavir and 1791 patients treated with atazanavir/ritonavir. Following multivariable adjustment, there was no difference between darunavir/ritonavir and atazanavir-ritonavir in the risk of regimen failure (adjusted hazard ratio 0.76, 95% CI 0.56 to 1.03) Darunavir/ritonavir-treated patients were at lower risk of virologic failure relative to atazanavir/ritonavir treated patients (aHR 0.50, 95% CI 0.28 to 0.91), findings driven largely by high rates of virologic failure among atazanavir/ritonavir-treated patients in the province of British Columbia. Of 108 discontinuations due to virologic failure, all occurred in patients starting atazanavir/ritonavir. There was no difference between regimens in time to discontinuation for reasons other than virologic failure (aHR 0.93; 95% CI 0.65 to 1.33) or virologic suppression (aHR 0.99, 95% CI 0.82 to 1.21). Conclusions: The risk of regimen failure was similar between patients treated with darunavir/ritonavir and atazanavir/ritonavir. Although darunavir/ritonavir was associated with a lower risk of virologic failure relative to atazanavir/ritonavir, this difference varied substantially by Canadian province and likely reflects regional variation in prescribing practices and patient characteristics.","author":[{"dropping-particle":"","family":"Antoniou","given":"Tony","non-dropping-particle":"","parse-names":false,"suffix":""},{"dropping-particle":"","family":"Szadkowski","given":"Leah","non-dropping-particle":"","parse-names":false,"suffix":""},{"dropping-particle":"","family":"Walmsley","given":"Sharon","non-dropping-particle":"","parse-names":false,"suffix":""},{"dropping-particle":"","family":"Cooper","given":"Curtis","non-dropping-particle":"","parse-names":false,"suffix":""},{"dropping-particle":"","family":"Burchell","given":"Ann N.","non-dropping-particle":"","parse-names":false,"suffix":""},{"dropping-particle":"","family":"Bayoumi","given":"Ahmed M.","non-dropping-particle":"","parse-names":false,"suffix":""},{"dropping-particle":"","family":"Montaner","given":"Julio S. G.","non-dropping-particle":"","parse-names":false,"suffix":""},{"dropping-particle":"","family":"Loutfy","given":"Mona","non-dropping-particle":"","parse-names":false,"suffix":""},{"dropping-particle":"","family":"Klein","given":"Marina B.","non-dropping-particle":"","parse-names":false,"suffix":""},{"dropping-particle":"","family":"Machouf","given":"Nima","non-dropping-particle":"","parse-names":false,"suffix":""},{"dropping-particle":"","family":"Tsoukas","given":"Christos","non-dropping-particle":"","parse-names":false,"suffix":""},{"dropping-particle":"","family":"Wong","given":"Alexander","non-dropping-particle":"","parse-names":false,"suffix":""},{"dropping-particle":"","family":"Hogg","given":"Robert S.","non-dropping-particle":"","parse-names":false,"suffix":""},{"dropping-particle":"","family":"Raboud","given":"Janet","non-dropping-particle":"","parse-names":false,"suffix":""}],"container-title":"BMC Infectious Diseases","id":"ITEM-3","issue":"1","issued":{"date-parts":[["2017"]]},"page":"266","title":"Comparison of atazanavir/ritonavir and darunavir/ritonavir based antiretroviral therapy for antiretroviral naïve patients","type":"article-journal","volume":"17"},"uris":["http://www.mendeley.com/documents/?uuid=324322f8-7d60-44fb-8af2-cf0bb4d61ec2"]}],"mendeley":{"formattedCitation":"(Antoniou et al., 2017; Lascar and Benn, 2009; Seitz, 2016)","plainTextFormattedCitation":"(Antoniou et al., 2017; Lascar and Benn, 2009; Seitz, 2016)","previouslyFormattedCitation":"(Antoniou et al., 2017; Lascar and Benn, 2009; Seitz, 2016)"},"properties":{"noteIndex":0},"schema":"https://github.com/citation-style-language/schema/raw/master/csl-citation.json"}</w:instrText>
      </w:r>
      <w:r w:rsidR="00EC234C" w:rsidRPr="00795222">
        <w:rPr>
          <w:rFonts w:asciiTheme="majorBidi" w:hAnsiTheme="majorBidi" w:cstheme="majorBidi"/>
          <w:sz w:val="24"/>
          <w:szCs w:val="24"/>
          <w:lang w:val="en-US"/>
        </w:rPr>
        <w:fldChar w:fldCharType="separate"/>
      </w:r>
      <w:r w:rsidR="00FF41FF" w:rsidRPr="00795222">
        <w:rPr>
          <w:rFonts w:asciiTheme="majorBidi" w:hAnsiTheme="majorBidi" w:cstheme="majorBidi"/>
          <w:noProof/>
          <w:sz w:val="24"/>
          <w:szCs w:val="24"/>
          <w:lang w:val="en-US"/>
        </w:rPr>
        <w:t>(Antoniou et al., 2017; Lascar and Benn, 2009; Seitz, 2016)</w:t>
      </w:r>
      <w:r w:rsidR="00EC234C" w:rsidRPr="00795222">
        <w:rPr>
          <w:rFonts w:asciiTheme="majorBidi" w:hAnsiTheme="majorBidi" w:cstheme="majorBidi"/>
          <w:sz w:val="24"/>
          <w:szCs w:val="24"/>
          <w:lang w:val="en-US"/>
        </w:rPr>
        <w:fldChar w:fldCharType="end"/>
      </w:r>
      <w:r w:rsidR="00C61C75" w:rsidRPr="00795222">
        <w:rPr>
          <w:rFonts w:asciiTheme="majorBidi" w:hAnsiTheme="majorBidi" w:cstheme="majorBidi"/>
          <w:sz w:val="24"/>
          <w:szCs w:val="24"/>
          <w:lang w:val="en-US"/>
        </w:rPr>
        <w:t xml:space="preserve"> </w:t>
      </w:r>
      <w:r w:rsidR="001F701C" w:rsidRPr="00795222">
        <w:rPr>
          <w:rFonts w:asciiTheme="majorBidi" w:hAnsiTheme="majorBidi" w:cstheme="majorBidi"/>
          <w:sz w:val="24"/>
          <w:szCs w:val="24"/>
          <w:lang w:val="en-US"/>
        </w:rPr>
        <w:t xml:space="preserve">DRV is a protease inhibitor </w:t>
      </w:r>
      <w:r w:rsidRPr="00795222">
        <w:rPr>
          <w:rFonts w:asciiTheme="majorBidi" w:hAnsiTheme="majorBidi" w:cstheme="majorBidi"/>
          <w:sz w:val="24"/>
          <w:szCs w:val="24"/>
          <w:lang w:val="en-US"/>
        </w:rPr>
        <w:t xml:space="preserve">that </w:t>
      </w:r>
      <w:r w:rsidR="001F701C" w:rsidRPr="00795222">
        <w:rPr>
          <w:rFonts w:asciiTheme="majorBidi" w:hAnsiTheme="majorBidi" w:cstheme="majorBidi"/>
          <w:sz w:val="24"/>
          <w:szCs w:val="24"/>
          <w:lang w:val="en-US"/>
        </w:rPr>
        <w:t xml:space="preserve"> prevents the maturation of HIV virions, </w:t>
      </w:r>
      <w:r w:rsidRPr="00795222">
        <w:rPr>
          <w:rFonts w:asciiTheme="majorBidi" w:hAnsiTheme="majorBidi" w:cstheme="majorBidi"/>
          <w:sz w:val="24"/>
          <w:szCs w:val="24"/>
          <w:lang w:val="en-US"/>
        </w:rPr>
        <w:t xml:space="preserve">rendering </w:t>
      </w:r>
      <w:r w:rsidR="00BC5642" w:rsidRPr="00795222">
        <w:rPr>
          <w:rFonts w:asciiTheme="majorBidi" w:hAnsiTheme="majorBidi" w:cstheme="majorBidi"/>
          <w:sz w:val="24"/>
          <w:szCs w:val="24"/>
          <w:lang w:val="en-US"/>
        </w:rPr>
        <w:t>them</w:t>
      </w:r>
      <w:r w:rsidR="001F701C" w:rsidRPr="00795222">
        <w:rPr>
          <w:rFonts w:asciiTheme="majorBidi" w:hAnsiTheme="majorBidi" w:cstheme="majorBidi"/>
          <w:sz w:val="24"/>
          <w:szCs w:val="24"/>
          <w:lang w:val="en-US"/>
        </w:rPr>
        <w:t xml:space="preserve"> unable to infect new cells.</w:t>
      </w:r>
      <w:r w:rsidR="002226F4" w:rsidRPr="00795222">
        <w:rPr>
          <w:rFonts w:asciiTheme="majorBidi" w:hAnsiTheme="majorBidi" w:cstheme="majorBidi"/>
          <w:sz w:val="24"/>
          <w:szCs w:val="24"/>
          <w:lang w:val="en-US"/>
        </w:rPr>
        <w:t xml:space="preserve"> </w:t>
      </w:r>
      <w:r w:rsidR="00FF41FF" w:rsidRPr="00795222">
        <w:rPr>
          <w:rFonts w:asciiTheme="majorBidi" w:hAnsiTheme="majorBidi" w:cstheme="majorBidi"/>
          <w:sz w:val="24"/>
          <w:szCs w:val="24"/>
          <w:lang w:val="en-US"/>
        </w:rPr>
        <w:fldChar w:fldCharType="begin" w:fldLock="1"/>
      </w:r>
      <w:r w:rsidR="001B7E74" w:rsidRPr="00795222">
        <w:rPr>
          <w:rFonts w:asciiTheme="majorBidi" w:hAnsiTheme="majorBidi" w:cstheme="majorBidi"/>
          <w:sz w:val="24"/>
          <w:szCs w:val="24"/>
          <w:lang w:val="en-US"/>
        </w:rPr>
        <w:instrText>ADDIN CSL_CITATION {"citationItems":[{"id":"ITEM-1","itemData":{"DOI":"10.1093/jac/dkh487","ISSN":"03057453","abstract":"Therapeutic drug monitoring (TDM) of antiretroviral protease inhibitors (PIs) has been suggested to have the potential to both reduce toxicity and optimize individual therapy. However, the major target of PIs is within cells infected with HIV. Therefore clinical outcome ultimately must be related to intracellular drug concentrations since antiviral activity of PIs is highly correlated with intracellular concentrations in vitro. Intracellular pharmacokinetics provides information regarding drug disposition in a compartment where HIV replication occurs and combined with plasma data may be useful in understanding therapeutic failure in relation to cellular resistance. In order to improve therapeutic efficacy, it is therefore important that the intracellular pharmacokinetics of drugs, such as PIs, is studied in addition to plasma pharmacokinetics. Multidrug resistance transporters may result in a lower cellular concentration of drug via an efflux mechanism, thus contributing to sanctuary site formation. However, conclusive proof that transporters contribute to clinical drug resistance is still lacking, although recent studies have attempted to address this issue. In relation to host and cellular factors, this review considers several issues involved in influencing intracellular drug concentrations and discusses the intracellular levels of PIs recently published from cellular studies. © The British Society for Antimicrobial Chemotherapy 2004; all rights reserved.","author":[{"dropping-particle":"","family":"Ford","given":"J.","non-dropping-particle":"","parse-names":false,"suffix":""}],"container-title":"Journal of Antimicrobial Chemotherapy","id":"ITEM-1","issue":"6","issued":{"date-parts":[["2004"]]},"page":"982-990","title":"The intracellular pharmacology of antiretroviral protease inhibitors","type":"article-journal","volume":"54"},"uris":["http://www.mendeley.com/documents/?uuid=c890e94e-4979-47a8-9e78-89d970895a35","http://www.mendeley.com/documents/?uuid=deb55cc3-aab0-4b5d-b94f-4dca52f17a19"]}],"mendeley":{"formattedCitation":"(Ford, 2004)","plainTextFormattedCitation":"(Ford, 2004)","previouslyFormattedCitation":"(Ford, 2004)"},"properties":{"noteIndex":0},"schema":"https://github.com/citation-style-language/schema/raw/master/csl-citation.json"}</w:instrText>
      </w:r>
      <w:r w:rsidR="00FF41FF" w:rsidRPr="00795222">
        <w:rPr>
          <w:rFonts w:asciiTheme="majorBidi" w:hAnsiTheme="majorBidi" w:cstheme="majorBidi"/>
          <w:sz w:val="24"/>
          <w:szCs w:val="24"/>
          <w:lang w:val="en-US"/>
        </w:rPr>
        <w:fldChar w:fldCharType="separate"/>
      </w:r>
      <w:r w:rsidR="00FF41FF" w:rsidRPr="00795222">
        <w:rPr>
          <w:rFonts w:asciiTheme="majorBidi" w:hAnsiTheme="majorBidi" w:cstheme="majorBidi"/>
          <w:noProof/>
          <w:sz w:val="24"/>
          <w:szCs w:val="24"/>
          <w:lang w:val="en-US"/>
        </w:rPr>
        <w:t>(Ford, 2004)</w:t>
      </w:r>
      <w:r w:rsidR="00FF41FF" w:rsidRPr="00795222">
        <w:rPr>
          <w:rFonts w:asciiTheme="majorBidi" w:hAnsiTheme="majorBidi" w:cstheme="majorBidi"/>
          <w:sz w:val="24"/>
          <w:szCs w:val="24"/>
          <w:lang w:val="en-US"/>
        </w:rPr>
        <w:fldChar w:fldCharType="end"/>
      </w:r>
      <w:r w:rsidR="00A75AE3" w:rsidRPr="00795222">
        <w:rPr>
          <w:rFonts w:asciiTheme="majorBidi" w:hAnsiTheme="majorBidi" w:cstheme="majorBidi"/>
          <w:sz w:val="24"/>
          <w:szCs w:val="24"/>
          <w:lang w:val="en-US"/>
        </w:rPr>
        <w:t xml:space="preserve"> </w:t>
      </w:r>
      <w:r w:rsidR="001F701C" w:rsidRPr="00795222">
        <w:rPr>
          <w:rFonts w:asciiTheme="majorBidi" w:hAnsiTheme="majorBidi" w:cstheme="majorBidi"/>
          <w:sz w:val="24"/>
          <w:szCs w:val="24"/>
          <w:lang w:val="en-US"/>
        </w:rPr>
        <w:t xml:space="preserve"> </w:t>
      </w:r>
      <w:r w:rsidR="00A37EF6" w:rsidRPr="00795222">
        <w:rPr>
          <w:rFonts w:ascii="Times New Roman" w:hAnsi="Times New Roman" w:cs="Times New Roman"/>
          <w:sz w:val="24"/>
          <w:szCs w:val="24"/>
        </w:rPr>
        <w:t xml:space="preserve">The main limitation of DRV is </w:t>
      </w:r>
      <w:r w:rsidR="00CD2CA0" w:rsidRPr="00795222">
        <w:rPr>
          <w:rFonts w:ascii="Times New Roman" w:hAnsi="Times New Roman" w:cs="Times New Roman"/>
          <w:sz w:val="24"/>
          <w:szCs w:val="24"/>
        </w:rPr>
        <w:t>its</w:t>
      </w:r>
      <w:r w:rsidR="00A37EF6" w:rsidRPr="00795222">
        <w:rPr>
          <w:rFonts w:ascii="Times New Roman" w:hAnsi="Times New Roman" w:cs="Times New Roman"/>
          <w:sz w:val="24"/>
          <w:szCs w:val="24"/>
        </w:rPr>
        <w:t xml:space="preserve"> low oral bioavailability, </w:t>
      </w:r>
      <w:r w:rsidR="00A37EF6" w:rsidRPr="00795222">
        <w:rPr>
          <w:rFonts w:ascii="Times New Roman" w:hAnsi="Times New Roman" w:cs="Times New Roman"/>
          <w:sz w:val="24"/>
          <w:szCs w:val="24"/>
        </w:rPr>
        <w:fldChar w:fldCharType="begin" w:fldLock="1"/>
      </w:r>
      <w:r w:rsidR="007E2658" w:rsidRPr="00795222">
        <w:rPr>
          <w:rFonts w:ascii="Times New Roman" w:hAnsi="Times New Roman" w:cs="Times New Roman"/>
          <w:sz w:val="24"/>
          <w:szCs w:val="24"/>
        </w:rPr>
        <w:instrText>ADDIN CSL_CITATION {"citationItems":[{"id":"ITEM-1","itemData":{"DOI":"10.1208/s12249-017-0876-0","ISSN":"1530-9932","abstract":"© 2017 American Association of Pharmaceutical Scientists Darunavir has a low oral bioavailability (37%) due to its lipophilic nature, metabolism by cytochrome P450 enzymes and P-gp efflux. Lipid nanoparticles were prepared in order to overcome its low bioavailability and to increase the binding efficacy of delivery system to the lymphoid system. Darunavir-loaded lipid nanoparticles were prepared using high-pressure homogenization technique. Hydrogenated castor oil was used as lipid. Peptide, having affinity for CD4 receptors, was grafted onto the surface of nanoparticles. The nanoparticles were evaluated for various parameters. The nanoparticles showed size of less than 200 nm, zeta potential of − 35.45 mV, and a high drug entrapment efficiency (90%). 73.12% peptide was found conjugated to nanoparticles as studied using standard BSA calibration plot. Permeability of nanoparticles in Caco-2 cells was increased by 4-fold in comparison to plain drug suspension. Confocal microscopic study revealed that the nanoparticles showed higher uptake in HIV host cells (Molt-4 cells were taken as model containing CD4 receptors) as compared to non-CD4 receptor bearing Caco-2 cells. In vivo pharmacokinetic in rats showed 569% relative increase in bioavailability of darunavir as compared to plain drug suspension. The biodistribution study revealed that peptide-grafted nanoparticles showed higher uptake in various organs (also in HIV reservoir organs namely the spleen and brain) except the liver compared to non-peptide-grafted nanoparticles. The prepared nanoparticles resulted in increased binding with the HIV host cells and thus could be promising carrier in active targeting of the drugs to the HIV reservoir.","author":[{"dropping-particle":"","family":"Desai","given":"Jagruti","non-dropping-particle":"","parse-names":false,"suffix":""},{"dropping-particle":"","family":"Thakkar","given":"Hetal","non-dropping-particle":"","parse-names":false,"suffix":""}],"container-title":"AAPS PharmSciTech","id":"ITEM-1","issued":{"date-parts":[["2017"]]},"publisher":"AAPS PharmSciTech","title":"Darunavir-Loaded Lipid Nanoparticles for Targeting to HIV Reservoirs","type":"article-journal"},"uris":["http://www.mendeley.com/documents/?uuid=91f85229-fb6a-45d1-b9f3-bde55b93a1f3"]}],"mendeley":{"formattedCitation":"(Desai and Thakkar, 2017)","plainTextFormattedCitation":"(Desai and Thakkar, 2017)","previouslyFormattedCitation":"(Desai and Thakkar, 2017)"},"properties":{"noteIndex":0},"schema":"https://github.com/citation-style-language/schema/raw/master/csl-citation.json"}</w:instrText>
      </w:r>
      <w:r w:rsidR="00A37EF6" w:rsidRPr="00795222">
        <w:rPr>
          <w:rFonts w:ascii="Times New Roman" w:hAnsi="Times New Roman" w:cs="Times New Roman"/>
          <w:sz w:val="24"/>
          <w:szCs w:val="24"/>
        </w:rPr>
        <w:fldChar w:fldCharType="separate"/>
      </w:r>
      <w:r w:rsidR="00A37EF6" w:rsidRPr="00795222">
        <w:rPr>
          <w:rFonts w:ascii="Times New Roman" w:hAnsi="Times New Roman" w:cs="Times New Roman"/>
          <w:noProof/>
          <w:sz w:val="24"/>
          <w:szCs w:val="24"/>
        </w:rPr>
        <w:t>(Desai and Thakkar, 2017)</w:t>
      </w:r>
      <w:r w:rsidR="00A37EF6" w:rsidRPr="00795222">
        <w:rPr>
          <w:rFonts w:ascii="Times New Roman" w:hAnsi="Times New Roman" w:cs="Times New Roman"/>
          <w:sz w:val="24"/>
          <w:szCs w:val="24"/>
        </w:rPr>
        <w:fldChar w:fldCharType="end"/>
      </w:r>
      <w:r w:rsidR="00A37EF6" w:rsidRPr="00795222">
        <w:rPr>
          <w:rFonts w:ascii="Times New Roman" w:hAnsi="Times New Roman" w:cs="Times New Roman"/>
          <w:sz w:val="24"/>
          <w:szCs w:val="24"/>
        </w:rPr>
        <w:t xml:space="preserve"> which could be due to its low water solubility, high lipophilicity</w:t>
      </w:r>
      <w:r w:rsidR="007E16C1" w:rsidRPr="00795222">
        <w:rPr>
          <w:rFonts w:ascii="Times New Roman" w:hAnsi="Times New Roman" w:cs="Times New Roman"/>
          <w:sz w:val="24"/>
          <w:szCs w:val="24"/>
        </w:rPr>
        <w:t xml:space="preserve"> and </w:t>
      </w:r>
      <w:r w:rsidR="00A37EF6" w:rsidRPr="00795222">
        <w:rPr>
          <w:rFonts w:ascii="Times New Roman" w:hAnsi="Times New Roman" w:cs="Times New Roman"/>
          <w:sz w:val="24"/>
          <w:szCs w:val="24"/>
        </w:rPr>
        <w:t>it is also subjected to first pass metabolism</w:t>
      </w:r>
      <w:r w:rsidR="00F4022B" w:rsidRPr="00795222">
        <w:rPr>
          <w:rFonts w:ascii="Times New Roman" w:hAnsi="Times New Roman" w:cs="Times New Roman"/>
          <w:sz w:val="24"/>
          <w:szCs w:val="24"/>
        </w:rPr>
        <w:t>.</w:t>
      </w:r>
      <w:r w:rsidR="00283BED" w:rsidRPr="00795222">
        <w:rPr>
          <w:rFonts w:ascii="Times New Roman" w:hAnsi="Times New Roman" w:cs="Times New Roman"/>
          <w:sz w:val="24"/>
          <w:szCs w:val="24"/>
        </w:rPr>
        <w:t xml:space="preserve"> </w:t>
      </w:r>
      <w:r w:rsidR="001F701C" w:rsidRPr="00795222">
        <w:rPr>
          <w:rFonts w:asciiTheme="majorBidi" w:hAnsiTheme="majorBidi" w:cstheme="majorBidi"/>
          <w:sz w:val="24"/>
          <w:szCs w:val="24"/>
          <w:lang w:val="en-US"/>
        </w:rPr>
        <w:t xml:space="preserve">DRV is usually co-administered with </w:t>
      </w:r>
      <w:r w:rsidR="00FC1E64" w:rsidRPr="00795222">
        <w:rPr>
          <w:rFonts w:asciiTheme="majorBidi" w:hAnsiTheme="majorBidi" w:cstheme="majorBidi"/>
          <w:sz w:val="24"/>
          <w:szCs w:val="24"/>
          <w:lang w:val="en-US"/>
        </w:rPr>
        <w:t>r</w:t>
      </w:r>
      <w:r w:rsidR="001F701C" w:rsidRPr="00795222">
        <w:rPr>
          <w:rFonts w:asciiTheme="majorBidi" w:hAnsiTheme="majorBidi" w:cstheme="majorBidi"/>
          <w:sz w:val="24"/>
          <w:szCs w:val="24"/>
          <w:lang w:val="en-US"/>
        </w:rPr>
        <w:t xml:space="preserve">itonavir (RTV) as a </w:t>
      </w:r>
      <w:r w:rsidRPr="00795222">
        <w:rPr>
          <w:rFonts w:asciiTheme="majorBidi" w:hAnsiTheme="majorBidi" w:cstheme="majorBidi"/>
          <w:sz w:val="24"/>
          <w:szCs w:val="24"/>
          <w:lang w:val="en-US"/>
        </w:rPr>
        <w:t>pharmacokinetic enhancer</w:t>
      </w:r>
      <w:r w:rsidR="00BD2911" w:rsidRPr="00795222">
        <w:rPr>
          <w:rFonts w:asciiTheme="majorBidi" w:hAnsiTheme="majorBidi" w:cstheme="majorBidi"/>
          <w:sz w:val="24"/>
          <w:szCs w:val="24"/>
          <w:lang w:val="en-US"/>
        </w:rPr>
        <w:t>,</w:t>
      </w:r>
      <w:r w:rsidR="001F701C" w:rsidRPr="00795222">
        <w:rPr>
          <w:rFonts w:asciiTheme="majorBidi" w:hAnsiTheme="majorBidi" w:cstheme="majorBidi"/>
          <w:sz w:val="24"/>
          <w:szCs w:val="24"/>
          <w:lang w:val="en-US"/>
        </w:rPr>
        <w:t xml:space="preserve"> </w:t>
      </w:r>
      <w:r w:rsidR="00DA031F" w:rsidRPr="00795222">
        <w:rPr>
          <w:rFonts w:asciiTheme="majorBidi" w:hAnsiTheme="majorBidi" w:cstheme="majorBidi"/>
          <w:sz w:val="24"/>
          <w:szCs w:val="24"/>
          <w:lang w:val="en-US"/>
        </w:rPr>
        <w:t>a</w:t>
      </w:r>
      <w:r w:rsidR="001F701C" w:rsidRPr="00795222">
        <w:rPr>
          <w:rFonts w:asciiTheme="majorBidi" w:hAnsiTheme="majorBidi" w:cstheme="majorBidi"/>
          <w:sz w:val="24"/>
          <w:szCs w:val="24"/>
          <w:lang w:val="en-US"/>
        </w:rPr>
        <w:t xml:space="preserve"> protease inhibitor that inhibits the activity of both P-glycoprotein and Cytochrome P450 (CYP3A</w:t>
      </w:r>
      <w:r w:rsidR="009F36C8" w:rsidRPr="00795222">
        <w:rPr>
          <w:rFonts w:asciiTheme="majorBidi" w:hAnsiTheme="majorBidi" w:cstheme="majorBidi"/>
          <w:sz w:val="24"/>
          <w:szCs w:val="24"/>
          <w:lang w:val="en-US"/>
        </w:rPr>
        <w:t>4</w:t>
      </w:r>
      <w:r w:rsidR="001F701C" w:rsidRPr="00795222">
        <w:rPr>
          <w:rFonts w:asciiTheme="majorBidi" w:hAnsiTheme="majorBidi" w:cstheme="majorBidi"/>
          <w:sz w:val="24"/>
          <w:szCs w:val="24"/>
          <w:lang w:val="en-US"/>
        </w:rPr>
        <w:t>), increas</w:t>
      </w:r>
      <w:r w:rsidR="00C54437" w:rsidRPr="00795222">
        <w:rPr>
          <w:rFonts w:asciiTheme="majorBidi" w:hAnsiTheme="majorBidi" w:cstheme="majorBidi"/>
          <w:sz w:val="24"/>
          <w:szCs w:val="24"/>
          <w:lang w:val="en-US"/>
        </w:rPr>
        <w:t>ing</w:t>
      </w:r>
      <w:r w:rsidR="001F701C" w:rsidRPr="00795222">
        <w:rPr>
          <w:rFonts w:asciiTheme="majorBidi" w:hAnsiTheme="majorBidi" w:cstheme="majorBidi"/>
          <w:sz w:val="24"/>
          <w:szCs w:val="24"/>
          <w:lang w:val="en-US"/>
        </w:rPr>
        <w:t xml:space="preserve"> the </w:t>
      </w:r>
      <w:r w:rsidR="009F36C8" w:rsidRPr="00795222">
        <w:rPr>
          <w:rFonts w:asciiTheme="majorBidi" w:hAnsiTheme="majorBidi" w:cstheme="majorBidi"/>
          <w:sz w:val="24"/>
          <w:szCs w:val="24"/>
          <w:lang w:val="en-US"/>
        </w:rPr>
        <w:t xml:space="preserve">oral </w:t>
      </w:r>
      <w:r w:rsidR="001F701C" w:rsidRPr="00795222">
        <w:rPr>
          <w:rFonts w:asciiTheme="majorBidi" w:hAnsiTheme="majorBidi" w:cstheme="majorBidi"/>
          <w:sz w:val="24"/>
          <w:szCs w:val="24"/>
          <w:lang w:val="en-US"/>
        </w:rPr>
        <w:t>bioavailability of DRV from 37 % to 82 %.</w:t>
      </w:r>
      <w:r w:rsidR="00BD2911" w:rsidRPr="00795222">
        <w:rPr>
          <w:rFonts w:asciiTheme="majorBidi" w:hAnsiTheme="majorBidi" w:cstheme="majorBidi"/>
          <w:sz w:val="24"/>
          <w:szCs w:val="24"/>
          <w:lang w:val="en-US"/>
        </w:rPr>
        <w:t xml:space="preserve"> </w:t>
      </w:r>
      <w:r w:rsidR="00EC234C" w:rsidRPr="00795222">
        <w:rPr>
          <w:rFonts w:asciiTheme="majorBidi" w:hAnsiTheme="majorBidi" w:cstheme="majorBidi"/>
          <w:sz w:val="24"/>
          <w:szCs w:val="24"/>
          <w:lang w:val="en-US"/>
        </w:rPr>
        <w:fldChar w:fldCharType="begin" w:fldLock="1"/>
      </w:r>
      <w:r w:rsidR="001B7E74" w:rsidRPr="00795222">
        <w:rPr>
          <w:rFonts w:asciiTheme="majorBidi" w:hAnsiTheme="majorBidi" w:cstheme="majorBidi"/>
          <w:sz w:val="24"/>
          <w:szCs w:val="24"/>
          <w:lang w:val="en-US"/>
        </w:rPr>
        <w:instrText>ADDIN CSL_CITATION {"citationItems":[{"id":"ITEM-1","itemData":{"DOI":"10.1080/02652048.2016.1245363","ISSN":"0265-2048","author":[{"dropping-particle":"","family":"Desai","given":"Jagruti","non-dropping-particle":"","parse-names":false,"suffix":""},{"dropping-particle":"","family":"Thakkar","given":"Hetal","non-dropping-particle":"","parse-names":false,"suffix":""}],"container-title":"Journal of Microencapsulation","id":"ITEM-1","issue":"7","issued":{"date-parts":[["2016","10"]]},"page":"669-678","publisher":"Taylor &amp; Francis","title":"Effect of particle size on oral bioavailability of darunavir-loaded solid lipid nanoparticles","type":"article-journal","volume":"33"},"uris":["http://www.mendeley.com/documents/?uuid=59bc301f-d199-443c-9e60-baef72407a53"]}],"mendeley":{"formattedCitation":"(Desai and Thakkar, 2016)","plainTextFormattedCitation":"(Desai and Thakkar, 2016)","previouslyFormattedCitation":"(Desai and Thakkar, 2016)"},"properties":{"noteIndex":0},"schema":"https://github.com/citation-style-language/schema/raw/master/csl-citation.json"}</w:instrText>
      </w:r>
      <w:r w:rsidR="00EC234C" w:rsidRPr="00795222">
        <w:rPr>
          <w:rFonts w:asciiTheme="majorBidi" w:hAnsiTheme="majorBidi" w:cstheme="majorBidi"/>
          <w:sz w:val="24"/>
          <w:szCs w:val="24"/>
          <w:lang w:val="en-US"/>
        </w:rPr>
        <w:fldChar w:fldCharType="separate"/>
      </w:r>
      <w:r w:rsidR="00FF41FF" w:rsidRPr="00795222">
        <w:rPr>
          <w:rFonts w:asciiTheme="majorBidi" w:hAnsiTheme="majorBidi" w:cstheme="majorBidi"/>
          <w:noProof/>
          <w:sz w:val="24"/>
          <w:szCs w:val="24"/>
          <w:lang w:val="en-US"/>
        </w:rPr>
        <w:t>(Desai and Thakkar, 2016)</w:t>
      </w:r>
      <w:r w:rsidR="00EC234C" w:rsidRPr="00795222">
        <w:rPr>
          <w:rFonts w:asciiTheme="majorBidi" w:hAnsiTheme="majorBidi" w:cstheme="majorBidi"/>
          <w:sz w:val="24"/>
          <w:szCs w:val="24"/>
          <w:lang w:val="en-US"/>
        </w:rPr>
        <w:fldChar w:fldCharType="end"/>
      </w:r>
      <w:r w:rsidR="00C61C75" w:rsidRPr="00795222">
        <w:rPr>
          <w:rFonts w:asciiTheme="majorBidi" w:hAnsiTheme="majorBidi" w:cstheme="majorBidi"/>
          <w:sz w:val="24"/>
          <w:szCs w:val="24"/>
          <w:lang w:val="en-US"/>
        </w:rPr>
        <w:t xml:space="preserve"> </w:t>
      </w:r>
      <w:r w:rsidR="001F701C" w:rsidRPr="00795222">
        <w:rPr>
          <w:rFonts w:asciiTheme="majorBidi" w:hAnsiTheme="majorBidi" w:cstheme="majorBidi"/>
          <w:sz w:val="24"/>
          <w:szCs w:val="24"/>
          <w:lang w:val="en-US"/>
        </w:rPr>
        <w:t xml:space="preserve">DRV </w:t>
      </w:r>
      <w:r w:rsidR="00C54437" w:rsidRPr="00795222">
        <w:rPr>
          <w:rFonts w:asciiTheme="majorBidi" w:hAnsiTheme="majorBidi" w:cstheme="majorBidi"/>
          <w:sz w:val="24"/>
          <w:szCs w:val="24"/>
          <w:lang w:val="en-US"/>
        </w:rPr>
        <w:t xml:space="preserve">is </w:t>
      </w:r>
      <w:r w:rsidR="001F701C" w:rsidRPr="00795222">
        <w:rPr>
          <w:rFonts w:asciiTheme="majorBidi" w:hAnsiTheme="majorBidi" w:cstheme="majorBidi"/>
          <w:sz w:val="24"/>
          <w:szCs w:val="24"/>
          <w:lang w:val="en-US"/>
        </w:rPr>
        <w:t xml:space="preserve">usually co-administered with RTV at 600 mg with 100 mg RTV twice </w:t>
      </w:r>
      <w:r w:rsidR="00C54437" w:rsidRPr="00795222">
        <w:rPr>
          <w:rFonts w:asciiTheme="majorBidi" w:hAnsiTheme="majorBidi" w:cstheme="majorBidi"/>
          <w:sz w:val="24"/>
          <w:szCs w:val="24"/>
          <w:lang w:val="en-US"/>
        </w:rPr>
        <w:t>daily</w:t>
      </w:r>
      <w:r w:rsidR="001F701C" w:rsidRPr="00795222">
        <w:rPr>
          <w:rFonts w:asciiTheme="majorBidi" w:hAnsiTheme="majorBidi" w:cstheme="majorBidi"/>
          <w:sz w:val="24"/>
          <w:szCs w:val="24"/>
          <w:lang w:val="en-US"/>
        </w:rPr>
        <w:t xml:space="preserve"> or 800 mg with 100 mg RTV once daily</w:t>
      </w:r>
      <w:r w:rsidR="00640D0F" w:rsidRPr="00795222">
        <w:rPr>
          <w:rFonts w:asciiTheme="majorBidi" w:hAnsiTheme="majorBidi" w:cstheme="majorBidi"/>
          <w:sz w:val="24"/>
          <w:szCs w:val="24"/>
          <w:lang w:val="en-US"/>
        </w:rPr>
        <w:t>, which remains an extremely high dose</w:t>
      </w:r>
      <w:r w:rsidR="001F701C" w:rsidRPr="00795222">
        <w:rPr>
          <w:rFonts w:asciiTheme="majorBidi" w:hAnsiTheme="majorBidi" w:cstheme="majorBidi"/>
          <w:sz w:val="24"/>
          <w:szCs w:val="24"/>
          <w:lang w:val="en-US"/>
        </w:rPr>
        <w:t>.</w:t>
      </w:r>
      <w:r w:rsidR="00BD2911" w:rsidRPr="00795222">
        <w:rPr>
          <w:rFonts w:asciiTheme="majorBidi" w:hAnsiTheme="majorBidi" w:cstheme="majorBidi"/>
          <w:sz w:val="24"/>
          <w:szCs w:val="24"/>
          <w:lang w:val="en-US"/>
        </w:rPr>
        <w:t xml:space="preserve"> </w:t>
      </w:r>
      <w:r w:rsidR="00EC234C" w:rsidRPr="00795222">
        <w:rPr>
          <w:rFonts w:asciiTheme="majorBidi" w:hAnsiTheme="majorBidi" w:cstheme="majorBidi"/>
          <w:sz w:val="24"/>
          <w:szCs w:val="24"/>
          <w:lang w:val="en-US"/>
        </w:rPr>
        <w:fldChar w:fldCharType="begin" w:fldLock="1"/>
      </w:r>
      <w:r w:rsidR="001B7E74" w:rsidRPr="00795222">
        <w:rPr>
          <w:rFonts w:asciiTheme="majorBidi" w:hAnsiTheme="majorBidi" w:cstheme="majorBidi"/>
          <w:sz w:val="24"/>
          <w:szCs w:val="24"/>
          <w:lang w:val="en-US"/>
        </w:rPr>
        <w:instrText>ADDIN CSL_CITATION {"citationItems":[{"id":"ITEM-1","itemData":{"DOI":"10.1186/s12879-017-2755-4","ISBN":"1287901727","ISSN":"1471-2334","abstract":"© 2017 The Author(s). Background: Dolutegravir (DTG) plus darunavir/ritonavir (DRV/r) is a simple combination of drugs that has the best genetic barrier to HIV-1 resistance and may be fit for salvage therapy. Methods: All HIV-1-infected subjects treated with DTG plus DRV/r between March 2014 and September 2015 in eight Italian centres were included in the analysis. The main metabolic data, efficacy parameters and safety data routinely collected were provided. This observational study is aimed to assess the efficacy of such approach. The primary end-point was the proportion of subjects achieving or maintaining virologic suppression  &lt; 50 copies/mL at week 24. Secondary end points were maintaining virologic suppression in the follow-up (weeks 48 and 96) and safety. Results: One hundred and thirty subjects were followed for a median of 56 months. Reasons for switching were simplification (44.6%), viral failure (30%), toxicity (16.9%), non-adherence (4.6%), persistent low-level viremia (3.1%), and drug-drug interaction (0.8%). At baseline, 118 subjects had documented resistance to 1 to 5 antiretroviral classes while 12 had viral rebound at a time when genotypic tests were not yet available. Seventeen and 14 subjects took DRV/r and DTG twice daily, respectively. One subject was lost to follow-up, one discontinued for liver enzymes' elevation, one died of illicit drug abuse and one of cancer-related complications. The proportion of subjects with ongoing HIV replication dropped from 40% to 6.1%. Those with undetectable viral load increased from 38.5% to 76.2%. At week 48, 17.7% had HIV RNA between 1 and 49 copies/mL. The number of subjects with altered serum glucose, creatinine, ALT, AST, total-, HDL- and LDL-cholesterol, triglycerides and MDRD  &lt; 90 mL/min decreased by week 48, while those having MDRD  &lt; 60 mL/min remained 4.6%. Overall 90/283 baseline laboratory alterations returned to normality. Conclusions: Switching to DTG plus DRV/r proved to be safe, suppressing viral replication without metabolic impact.","author":[{"dropping-particle":"","family":"Capetti","given":"Amedeo F.","non-dropping-particle":"","parse-names":false,"suffix":""},{"dropping-particle":"","family":"Cossu","given":"Maria Vittoria","non-dropping-particle":"","parse-names":false,"suffix":""},{"dropping-particle":"","family":"Orofino","given":"Giancarlo","non-dropping-particle":"","parse-names":false,"suffix":""},{"dropping-particle":"","family":"Sterrantino","given":"Gaetana","non-dropping-particle":"","parse-names":false,"suffix":""},{"dropping-particle":"","family":"Cenderello","given":"Giovanni","non-dropping-particle":"","parse-names":false,"suffix":""},{"dropping-particle":"V.","family":"Socio","given":"Giuseppe","non-dropping-particle":"De","parse-names":false,"suffix":""},{"dropping-particle":"","family":"Cattelan","given":"Anna Maria","non-dropping-particle":"","parse-names":false,"suffix":""},{"dropping-particle":"","family":"Soria","given":"Alessandro","non-dropping-particle":"","parse-names":false,"suffix":""},{"dropping-particle":"","family":"Rusconi","given":"Stefano","non-dropping-particle":"","parse-names":false,"suffix":""},{"dropping-particle":"","family":"Riccardi","given":"Niccolò","non-dropping-particle":"","parse-names":false,"suffix":""},{"dropping-particle":"","family":"Baldin","given":"Gian Maria","non-dropping-particle":"","parse-names":false,"suffix":""},{"dropping-particle":"","family":"Niero","given":"Fosca P.","non-dropping-particle":"","parse-names":false,"suffix":""},{"dropping-particle":"","family":"Barbarini","given":"Giorgio","non-dropping-particle":"","parse-names":false,"suffix":""},{"dropping-particle":"","family":"Rizzardini","given":"Giuliano","non-dropping-particle":"","parse-names":false,"suffix":""}],"container-title":"BMC Infectious Diseases","id":"ITEM-1","issue":"1","issued":{"date-parts":[["2017"]]},"page":"658","title":"A dual regimen of ritonavir/darunavir plus dolutegravir for rescue or simplification of rescue therapy: 48 weeks’ observational data","type":"article-journal","volume":"17"},"uris":["http://www.mendeley.com/documents/?uuid=a6b79949-d8b7-4ed9-b492-1e85a38214c0"]},{"id":"ITEM-2","itemData":{"ISSN":"1179-1373","PMID":"22096377","abstract":"Abstract: There is an ongoing need for potent antiretroviral therapies to deal with the increasing pool of treatment-experienced patients with multiple drug resistance. The last few years have seen the arrival of 2 new and very potent protease inhibitors – darunavir and tipranavir – alongside 2 whole new classes of anti-HIV agents – the integrase inhibitors and chemokine receptor CCR5 antagonists. This review focuses on the role of darunavir in managing HIV infection, with an emphasis on darunavir’s exceptional resistance profile and related clinical effectiveness, pharmacokinetics, tolerability and toxicity data. Darunavir in combination with the pharmaco- kinetic booster ritonavir has proved to be very effective in the treatment of highly treatment- experienced HIV patients with multiple drug resistance. The favorable tolerability and toxicity profile alongside the drug’s high genetic barrier to the development of resistance prompted approval of darunavir for HIV-treatment naïve patients. Furthermore, the paradigm of treating HIV with a combination of anti-HIV agents is currently being challenged by ongoing darunavir monotherapy trials and these preliminary data will be discussed.","author":[{"dropping-particle":"","family":"Lascar","given":"R. Monica","non-dropping-particle":"","parse-names":false,"suffix":""},{"dropping-particle":"","family":"Benn","given":"Paul","non-dropping-particle":"","parse-names":false,"suffix":""}],"container-title":"HIV/AIDS - Research and Palliative Care","id":"ITEM-2","issue":"I","issued":{"date-parts":[["2009"]]},"page":"31-39","title":"Role of darunavir in the management of HIV infection","type":"article-journal","volume":"I"},"uris":["http://www.mendeley.com/documents/?uuid=68a89b35-6044-4d81-9946-828203104b24"]}],"mendeley":{"formattedCitation":"(Capetti et al., 2017; Lascar and Benn, 2009)","plainTextFormattedCitation":"(Capetti et al., 2017; Lascar and Benn, 2009)","previouslyFormattedCitation":"(Capetti et al., 2017; Lascar and Benn, 2009)"},"properties":{"noteIndex":0},"schema":"https://github.com/citation-style-language/schema/raw/master/csl-citation.json"}</w:instrText>
      </w:r>
      <w:r w:rsidR="00EC234C" w:rsidRPr="00795222">
        <w:rPr>
          <w:rFonts w:asciiTheme="majorBidi" w:hAnsiTheme="majorBidi" w:cstheme="majorBidi"/>
          <w:sz w:val="24"/>
          <w:szCs w:val="24"/>
          <w:lang w:val="en-US"/>
        </w:rPr>
        <w:fldChar w:fldCharType="separate"/>
      </w:r>
      <w:r w:rsidR="00FF41FF" w:rsidRPr="00795222">
        <w:rPr>
          <w:rFonts w:asciiTheme="majorBidi" w:hAnsiTheme="majorBidi" w:cstheme="majorBidi"/>
          <w:noProof/>
          <w:sz w:val="24"/>
          <w:szCs w:val="24"/>
          <w:lang w:val="en-US"/>
        </w:rPr>
        <w:t>(Capetti et al., 2017; Lascar and Benn, 2009)</w:t>
      </w:r>
      <w:r w:rsidR="00EC234C" w:rsidRPr="00795222">
        <w:rPr>
          <w:rFonts w:asciiTheme="majorBidi" w:hAnsiTheme="majorBidi" w:cstheme="majorBidi"/>
          <w:sz w:val="24"/>
          <w:szCs w:val="24"/>
          <w:lang w:val="en-US"/>
        </w:rPr>
        <w:fldChar w:fldCharType="end"/>
      </w:r>
      <w:r w:rsidR="001F701C" w:rsidRPr="00795222">
        <w:rPr>
          <w:rFonts w:asciiTheme="majorBidi" w:hAnsiTheme="majorBidi" w:cstheme="majorBidi"/>
          <w:sz w:val="24"/>
          <w:szCs w:val="24"/>
          <w:lang w:val="en-US"/>
        </w:rPr>
        <w:t xml:space="preserve"> </w:t>
      </w:r>
      <w:bookmarkStart w:id="4" w:name="_Hlk48047253"/>
      <w:r w:rsidR="005B26C9" w:rsidRPr="00795222">
        <w:rPr>
          <w:rFonts w:asciiTheme="majorBidi" w:hAnsiTheme="majorBidi" w:cstheme="majorBidi"/>
          <w:sz w:val="24"/>
          <w:szCs w:val="24"/>
          <w:lang w:val="en-US"/>
        </w:rPr>
        <w:t>DRV and RTV</w:t>
      </w:r>
      <w:r w:rsidR="00B2092B" w:rsidRPr="00795222">
        <w:rPr>
          <w:rFonts w:asciiTheme="majorBidi" w:hAnsiTheme="majorBidi" w:cstheme="majorBidi"/>
          <w:sz w:val="24"/>
          <w:szCs w:val="24"/>
          <w:lang w:val="en-US"/>
        </w:rPr>
        <w:t xml:space="preserve"> are used in combination with typically emtricitabine</w:t>
      </w:r>
      <w:r w:rsidR="005B26C9" w:rsidRPr="00795222">
        <w:rPr>
          <w:rFonts w:asciiTheme="majorBidi" w:hAnsiTheme="majorBidi" w:cstheme="majorBidi"/>
          <w:sz w:val="24"/>
          <w:szCs w:val="24"/>
          <w:lang w:val="en-US"/>
        </w:rPr>
        <w:t xml:space="preserve"> </w:t>
      </w:r>
      <w:r w:rsidR="00B2092B" w:rsidRPr="00795222">
        <w:rPr>
          <w:rFonts w:asciiTheme="majorBidi" w:hAnsiTheme="majorBidi" w:cstheme="majorBidi"/>
          <w:sz w:val="24"/>
          <w:szCs w:val="24"/>
          <w:lang w:val="en-US"/>
        </w:rPr>
        <w:t xml:space="preserve">or prodrugs of tenofovir, however, these two drugs do not display the adsorption issues found for protease inhibitors such as DRV. Therefore, in order to improve the treatment of HIV it is important that approaches are identified that allow the enhanced delivery of DRV and RTV. </w:t>
      </w:r>
      <w:bookmarkEnd w:id="4"/>
    </w:p>
    <w:p w14:paraId="54750B24" w14:textId="7964B2A4" w:rsidR="00E86E12" w:rsidRPr="00795222" w:rsidRDefault="002B7EAC" w:rsidP="00657F6C">
      <w:p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lang w:val="en-US"/>
        </w:rPr>
        <w:t>Nanomedicine offers</w:t>
      </w:r>
      <w:r w:rsidR="001F701C" w:rsidRPr="00795222">
        <w:rPr>
          <w:rFonts w:asciiTheme="majorBidi" w:hAnsiTheme="majorBidi" w:cstheme="majorBidi"/>
          <w:sz w:val="24"/>
          <w:szCs w:val="24"/>
          <w:lang w:val="en-US"/>
        </w:rPr>
        <w:t xml:space="preserve"> </w:t>
      </w:r>
      <w:r w:rsidR="00F417C8" w:rsidRPr="00795222">
        <w:rPr>
          <w:rFonts w:asciiTheme="majorBidi" w:hAnsiTheme="majorBidi" w:cstheme="majorBidi"/>
          <w:sz w:val="24"/>
          <w:szCs w:val="24"/>
          <w:lang w:val="en-US"/>
        </w:rPr>
        <w:t>the</w:t>
      </w:r>
      <w:r w:rsidR="00594EE9" w:rsidRPr="00795222">
        <w:rPr>
          <w:rFonts w:asciiTheme="majorBidi" w:hAnsiTheme="majorBidi" w:cstheme="majorBidi"/>
          <w:sz w:val="24"/>
          <w:szCs w:val="24"/>
          <w:lang w:val="en-US"/>
        </w:rPr>
        <w:t xml:space="preserve"> </w:t>
      </w:r>
      <w:r w:rsidR="00F417C8" w:rsidRPr="00795222">
        <w:rPr>
          <w:rFonts w:asciiTheme="majorBidi" w:hAnsiTheme="majorBidi" w:cstheme="majorBidi"/>
          <w:sz w:val="24"/>
          <w:szCs w:val="24"/>
          <w:lang w:val="en-US"/>
        </w:rPr>
        <w:t xml:space="preserve">possibility </w:t>
      </w:r>
      <w:r w:rsidR="001F701C" w:rsidRPr="00795222">
        <w:rPr>
          <w:rFonts w:asciiTheme="majorBidi" w:hAnsiTheme="majorBidi" w:cstheme="majorBidi"/>
          <w:sz w:val="24"/>
          <w:szCs w:val="24"/>
          <w:lang w:val="en-US"/>
        </w:rPr>
        <w:t>to decrease the required dose of both drugs</w:t>
      </w:r>
      <w:r w:rsidR="0089004B" w:rsidRPr="00795222">
        <w:rPr>
          <w:rFonts w:asciiTheme="majorBidi" w:hAnsiTheme="majorBidi" w:cstheme="majorBidi"/>
          <w:sz w:val="24"/>
          <w:szCs w:val="24"/>
          <w:lang w:val="en-US"/>
        </w:rPr>
        <w:t>,</w:t>
      </w:r>
      <w:r w:rsidR="001F701C" w:rsidRPr="00795222">
        <w:rPr>
          <w:rFonts w:asciiTheme="majorBidi" w:hAnsiTheme="majorBidi" w:cstheme="majorBidi"/>
          <w:sz w:val="24"/>
          <w:szCs w:val="24"/>
          <w:lang w:val="en-US"/>
        </w:rPr>
        <w:t xml:space="preserve"> enhance targeting to HIV reservoir sites</w:t>
      </w:r>
      <w:r w:rsidR="0089004B" w:rsidRPr="00795222">
        <w:rPr>
          <w:rFonts w:asciiTheme="majorBidi" w:hAnsiTheme="majorBidi" w:cstheme="majorBidi"/>
          <w:sz w:val="24"/>
          <w:szCs w:val="24"/>
          <w:lang w:val="en-US"/>
        </w:rPr>
        <w:t xml:space="preserve"> and address pharmacokinetic limitations. </w:t>
      </w:r>
      <w:r w:rsidR="00025DC0" w:rsidRPr="00795222">
        <w:rPr>
          <w:rFonts w:asciiTheme="majorBidi" w:hAnsiTheme="majorBidi" w:cstheme="majorBidi"/>
          <w:sz w:val="24"/>
          <w:szCs w:val="24"/>
          <w:lang w:val="en-US"/>
        </w:rPr>
        <w:t>Many examples of nanoformulations of HIV drugs have previously been found to offer enhanced drug delivery.</w:t>
      </w:r>
      <w:r w:rsidR="00BD2911" w:rsidRPr="00795222">
        <w:rPr>
          <w:rFonts w:asciiTheme="majorBidi" w:hAnsiTheme="majorBidi" w:cstheme="majorBidi"/>
          <w:sz w:val="24"/>
          <w:szCs w:val="24"/>
          <w:lang w:val="en-US"/>
        </w:rPr>
        <w:t xml:space="preserve"> </w:t>
      </w:r>
      <w:r w:rsidR="002E33E4" w:rsidRPr="00795222">
        <w:rPr>
          <w:rFonts w:asciiTheme="majorBidi" w:hAnsiTheme="majorBidi" w:cstheme="majorBidi"/>
          <w:sz w:val="24"/>
          <w:szCs w:val="24"/>
          <w:lang w:val="en-US"/>
        </w:rPr>
        <w:fldChar w:fldCharType="begin" w:fldLock="1"/>
      </w:r>
      <w:r w:rsidR="00873D32" w:rsidRPr="00795222">
        <w:rPr>
          <w:rFonts w:asciiTheme="majorBidi" w:hAnsiTheme="majorBidi" w:cstheme="majorBidi"/>
          <w:sz w:val="24"/>
          <w:szCs w:val="24"/>
          <w:lang w:val="en-US"/>
        </w:rPr>
        <w:instrText>ADDIN CSL_CITATION {"citationItems":[{"id":"ITEM-1","itemData":{"DOI":"10.1002/adhm.201300280","PMID":"23997027","abstract":"Nanomedicine strategies have produced many commercial products. However, no orally dosed HIV nanomedicines are available clinically to patients. Although nanosuspensions of drug particles have demonstrated many benefits, experimentally achieving &gt;25 wt% of drug relative to stabilizers is highly challenging. In this study, the emulsion-templated freeze-drying technique for nanoparticles formation is applied for the first time to optimize a nanodispersion of the leading non-nucleoside reverse transcriptase inhibitor efavirenz, using clinically acceptable polymers and surfactants. Dry monoliths containing solid drug nanoparticles with extremely high drug loading (70 wt% relative to polymer and surfactant stabilizers) are stable for several months and reconstitute in aqueous media to provide nanodispersions with z-average diameters of 300 nm. The solid drug nanoparticles exhibit reduced cytoxicity and increased in vitro transport through model gut epithelium. In vivo studies confirm bioavailability benefits with an approximately four-fold higher pharmacokinetic exposure after oral administration to rodents, and predictive modeling suggests dose reduction with the new formulation may be possible.","author":[{"dropping-particle":"","family":"McDonald","given":"Tom O.","non-dropping-particle":"","parse-names":false,"suffix":""},{"dropping-particle":"","family":"Giardiello","given":"Marco","non-dropping-particle":"","parse-names":false,"suffix":""},{"dropping-particle":"","family":"Martin","given":"Philip","non-dropping-particle":"","parse-names":false,"suffix":""},{"dropping-particle":"","family":"Siccardi","given":"Marco","non-dropping-particle":"","parse-names":false,"suffix":""},{"dropping-particle":"","family":"Liptrott","given":"Neill J.","non-dropping-particle":"","parse-names":false,"suffix":""},{"dropping-particle":"","family":"Smith","given":"Darren","non-dropping-particle":"","parse-names":false,"suffix":""},{"dropping-particle":"","family":"Roberts","given":"Phill","non-dropping-particle":"","parse-names":false,"suffix":""},{"dropping-particle":"","family":"Curley","given":"Paul","non-dropping-particle":"","parse-names":false,"suffix":""},{"dropping-particle":"","family":"Schipani","given":"Alessandro","non-dropping-particle":"","parse-names":false,"suffix":""},{"dropping-particle":"","family":"Khoo","given":"Saye H.","non-dropping-particle":"","parse-names":false,"suffix":""},{"dropping-particle":"","family":"Long","given":"James","non-dropping-particle":"","parse-names":false,"suffix":""},{"dropping-particle":"","family":"Foster","given":"Alison J.","non-dropping-particle":"","parse-names":false,"suffix":""},{"dropping-particle":"","family":"Rannard","given":"Steven P.","non-dropping-particle":"","parse-names":false,"suffix":""},{"dropping-particle":"","family":"Owen","given":"Andrew","non-dropping-particle":"","parse-names":false,"suffix":""}],"container-title":"Advanced Healthcare Materials","id":"ITEM-1","issue":"3","issued":{"date-parts":[["2014"]]},"page":"400-411","publisher":"Wiley-VCH Verlag","title":"Antiretroviral Solid Drug Nanoparticles with Enhanced Oral Bioavailability: Production, Characterization, and In Vitro-In Vivo Correlation","type":"article-journal","volume":"3"},"uris":["http://www.mendeley.com/documents/?uuid=e915da1d-c9d3-450b-af75-9039ba0ae26b","http://www.mendeley.com/documents/?uuid=8e53e7eb-e62a-4cb2-8dc9-4480af94846c","http://www.mendeley.com/documents/?uuid=1eab29f5-d27d-4da9-accb-5f9232d2cbb6"]},{"id":"ITEM-2","itemData":{"DOI":"10.4155/tde.12.156","ISSN":"20415990 20416008","abstract":"Heterogeneity in response to HIV treatments has been attributed to several causes including variability in pharmacokinetic exposure. Nanomedicine applications have a variety of advantages compared with traditional formulations, such as the potential to increase bioavailability and specifically target the site of action. Our group is focusing on the development of nanoformulations using a closed-loop design process in which nanoparticle optimization (disposition, activity and safety) is a continuous process based on experimental pharmacological data from in vitro and in vivo models. Solid drug nanoparticles, polymer-based drug-delivery carriers as well as nanoemulsions are nanomedicine options with potential application to improve antiretroviral deployment. © 2013 Future Science Ltd.","author":[{"dropping-particle":"","family":"Siccardi","given":"M.","non-dropping-particle":"","parse-names":false,"suffix":""},{"dropping-particle":"","family":"Martin","given":"P.","non-dropping-particle":"","parse-names":false,"suffix":""},{"dropping-particle":"","family":"McDonald","given":"T.O.","non-dropping-particle":"","parse-names":false,"suffix":""},{"dropping-particle":"","family":"Liptrott","given":"N.J.","non-dropping-particle":"","parse-names":false,"suffix":""},{"dropping-particle":"","family":"Giardiello","given":"M.","non-dropping-particle":"","parse-names":false,"suffix":""},{"dropping-particle":"","family":"Rannard","given":"S.","non-dropping-particle":"","parse-names":false,"suffix":""},{"dropping-particle":"","family":"Owen","given":"A.","non-dropping-particle":"","parse-names":false,"suffix":""}],"container-title":"Therapeutic Delivery","id":"ITEM-2","issue":"2","issued":{"date-parts":[["2013"]]},"page":"153-156","title":"Research Spotlight: Nanomedicines for HIV therapy","type":"article-journal","volume":"4"},"uris":["http://www.mendeley.com/documents/?uuid=0fcd1065-1991-3486-81a2-cbc40392e848","http://www.mendeley.com/documents/?uuid=163ea825-f752-4861-bfc8-70babefea10e","http://www.mendeley.com/documents/?uuid=2002b772-0fe7-418a-982f-a5ed4e5b7e02"]},{"id":"ITEM-3","itemData":{"DOI":"10.1038/ncomms13184","ISSN":"2041-1723","author":[{"dropping-particle":"","family":"Giardiello","given":"Marco","non-dropping-particle":"","parse-names":false,"suffix":""},{"dropping-particle":"","family":"Liptrott","given":"Neill J.","non-dropping-particle":"","parse-names":false,"suffix":""},{"dropping-particle":"","family":"McDonald","given":"Tom O.","non-dropping-particle":"","parse-names":false,"suffix":""},{"dropping-particle":"","family":"Moss","given":"Darren","non-dropping-particle":"","parse-names":false,"suffix":""},{"dropping-particle":"","family":"Siccardi","given":"Marco","non-dropping-particle":"","parse-names":false,"suffix":""},{"dropping-particle":"","family":"Martin","given":"Phil","non-dropping-particle":"","parse-names":false,"suffix":""},{"dropping-particle":"","family":"Smith","given":"Darren","non-dropping-particle":"","parse-names":false,"suffix":""},{"dropping-particle":"","family":"Gurjar","given":"Rohan","non-dropping-particle":"","parse-names":false,"suffix":""},{"dropping-particle":"","family":"Rannard","given":"Steve P.","non-dropping-particle":"","parse-names":false,"suffix":""},{"dropping-particle":"","family":"Owen","given":"Andrew","non-dropping-particle":"","parse-names":false,"suffix":""}],"container-title":"Nature Communications","id":"ITEM-3","issued":{"date-parts":[["2016"]]},"page":"13184","publisher":"Nature Publishing Group","title":"Accelerated oral nanomedicine discovery from miniaturized screening to clinical production exemplified by paediatric HIV nanotherapies","type":"article-journal","volume":"7"},"uris":["http://www.mendeley.com/documents/?uuid=9fdff313-73f4-4c6e-b025-9eedfe7891dd","http://www.mendeley.com/documents/?uuid=d5c0b9c8-88e8-4607-99ec-7d2b3b936db7","http://www.mendeley.com/documents/?uuid=e8e3cfdf-ca5a-489a-85d1-a7a3a44bed6b"]},{"id":"ITEM-4","itemData":{"DOI":"10.1016/j.addr.2009.11.018","ISBN":"0169-409X","ISSN":"0169409X","PMID":"19913579","abstract":"Development of an effective drug delivery approach for the treatment of HIV/AIDS is a global challenge. The conventional drug delivery approaches including Highly Active Anti Retroviral Therapy (HAART) have increased the life span of the HIV/AIDS patient. However, the eradication of HIV is still not possible with these approaches due to some limitations. Emergence of polymeric and non-polymeric nanotechnological approaches can be opportunistic in this direction. Polymeric carriers like, dendrimers and nanoparticles have been reported for the targeting of anti HIV drugs. The synthetic pathways as well polymeric framework create some hurdles in their successful formulation development as well as in the possible drug delivery approaches. In the present article, we have discussed the general physiological aspects of the infection along with the relevance of non-polymeric nanocarriers like liposomes, solid lipid nanoparticles (SLN), ethosomes, etc. in the treatment of this disastrous disease. ?? 2009 Elsevier B.V. All rights reserved.","author":[{"dropping-particle":"","family":"Gupta","given":"Umesh","non-dropping-particle":"","parse-names":false,"suffix":""},{"dropping-particle":"","family":"Jain","given":"Narendra K.","non-dropping-particle":"","parse-names":false,"suffix":""}],"container-title":"Advanced Drug Delivery Reviews","id":"ITEM-4","issue":"4-5","issued":{"date-parts":[["2010"]]},"page":"478-490","publisher":"Elsevier B.V.","title":"Non-polymeric nano-carriers in HIV/AIDS drug delivery and targeting","type":"article-journal","volume":"62"},"uris":["http://www.mendeley.com/documents/?uuid=6c885b70-5b3c-495d-b2a4-d1d9b58c35c5","http://www.mendeley.com/documents/?uuid=382306b3-cca2-4f6a-b901-4a9cf190d4d1"]},{"id":"ITEM-5","itemData":{"DOI":"10.1080/02652048.2016.1245363","ISSN":"0265-2048","author":[{"dropping-particle":"","family":"Desai","given":"Jagruti","non-dropping-particle":"","parse-names":false,"suffix":""},{"dropping-particle":"","family":"Thakkar","given":"Hetal","non-dropping-particle":"","parse-names":false,"suffix":""}],"container-title":"Journal of Microencapsulation","id":"ITEM-5","issue":"7","issued":{"date-parts":[["2016","10"]]},"page":"669-678","publisher":"Taylor &amp; Francis","title":"Effect of particle size on oral bioavailability of darunavir-loaded solid lipid nanoparticles","type":"article-journal","volume":"33"},"uris":["http://www.mendeley.com/documents/?uuid=59bc301f-d199-443c-9e60-baef72407a53"]}],"mendeley":{"formattedCitation":"(Desai and Thakkar, 2016; Giardiello et al., 2016; Gupta and Jain, 2010; McDonald et al., 2014a; Siccardi et al., 2013)","plainTextFormattedCitation":"(Desai and Thakkar, 2016; Giardiello et al., 2016; Gupta and Jain, 2010; McDonald et al., 2014a; Siccardi et al., 2013)","previouslyFormattedCitation":"(Desai and Thakkar, 2016; Giardiello et al., 2016; Gupta and Jain, 2010; McDonald et al., 2014a; Siccardi et al., 2013)"},"properties":{"noteIndex":0},"schema":"https://github.com/citation-style-language/schema/raw/master/csl-citation.json"}</w:instrText>
      </w:r>
      <w:r w:rsidR="002E33E4" w:rsidRPr="00795222">
        <w:rPr>
          <w:rFonts w:asciiTheme="majorBidi" w:hAnsiTheme="majorBidi" w:cstheme="majorBidi"/>
          <w:sz w:val="24"/>
          <w:szCs w:val="24"/>
          <w:vertAlign w:val="superscript"/>
          <w:lang w:val="en-US"/>
        </w:rPr>
        <w:fldChar w:fldCharType="separate"/>
      </w:r>
      <w:r w:rsidR="00B47D3E" w:rsidRPr="00795222">
        <w:rPr>
          <w:rFonts w:asciiTheme="majorBidi" w:hAnsiTheme="majorBidi" w:cstheme="majorBidi"/>
          <w:noProof/>
          <w:sz w:val="24"/>
          <w:szCs w:val="24"/>
          <w:lang w:val="en-US"/>
        </w:rPr>
        <w:t>(Desai and Thakkar, 2016; Giardiello et al., 2016; Gupta and Jain, 2010; McDonald et al., 2014a; Siccardi et al., 2013)</w:t>
      </w:r>
      <w:r w:rsidR="002E33E4" w:rsidRPr="00795222">
        <w:rPr>
          <w:rFonts w:asciiTheme="majorBidi" w:hAnsiTheme="majorBidi" w:cstheme="majorBidi"/>
          <w:sz w:val="24"/>
          <w:szCs w:val="24"/>
          <w:lang w:val="en-US"/>
        </w:rPr>
        <w:fldChar w:fldCharType="end"/>
      </w:r>
      <w:r w:rsidR="001F701C" w:rsidRPr="00795222">
        <w:rPr>
          <w:rFonts w:asciiTheme="majorBidi" w:hAnsiTheme="majorBidi" w:cstheme="majorBidi"/>
          <w:sz w:val="24"/>
          <w:szCs w:val="24"/>
          <w:lang w:val="en-US"/>
        </w:rPr>
        <w:t xml:space="preserve"> </w:t>
      </w:r>
      <w:r w:rsidR="00025DC0" w:rsidRPr="00795222">
        <w:rPr>
          <w:rFonts w:asciiTheme="majorBidi" w:hAnsiTheme="majorBidi" w:cstheme="majorBidi"/>
          <w:sz w:val="24"/>
          <w:szCs w:val="24"/>
          <w:lang w:val="en-US"/>
        </w:rPr>
        <w:t>However, a</w:t>
      </w:r>
      <w:r w:rsidR="001F701C" w:rsidRPr="00795222">
        <w:rPr>
          <w:rFonts w:asciiTheme="majorBidi" w:hAnsiTheme="majorBidi" w:cstheme="majorBidi"/>
          <w:sz w:val="24"/>
          <w:szCs w:val="24"/>
          <w:lang w:val="en-US"/>
        </w:rPr>
        <w:t>mong</w:t>
      </w:r>
      <w:r w:rsidR="00025DC0" w:rsidRPr="00795222">
        <w:rPr>
          <w:rFonts w:asciiTheme="majorBidi" w:hAnsiTheme="majorBidi" w:cstheme="majorBidi"/>
          <w:sz w:val="24"/>
          <w:szCs w:val="24"/>
          <w:lang w:val="en-US"/>
        </w:rPr>
        <w:t>st</w:t>
      </w:r>
      <w:r w:rsidR="001F701C" w:rsidRPr="00795222">
        <w:rPr>
          <w:rFonts w:asciiTheme="majorBidi" w:hAnsiTheme="majorBidi" w:cstheme="majorBidi"/>
          <w:sz w:val="24"/>
          <w:szCs w:val="24"/>
          <w:lang w:val="en-US"/>
        </w:rPr>
        <w:t xml:space="preserve"> </w:t>
      </w:r>
      <w:r w:rsidR="005F5163" w:rsidRPr="00795222">
        <w:rPr>
          <w:rFonts w:asciiTheme="majorBidi" w:hAnsiTheme="majorBidi" w:cstheme="majorBidi"/>
          <w:sz w:val="24"/>
          <w:szCs w:val="24"/>
          <w:lang w:val="en-US"/>
        </w:rPr>
        <w:t xml:space="preserve">the </w:t>
      </w:r>
      <w:r w:rsidR="001F701C" w:rsidRPr="00795222">
        <w:rPr>
          <w:rFonts w:asciiTheme="majorBidi" w:hAnsiTheme="majorBidi" w:cstheme="majorBidi"/>
          <w:sz w:val="24"/>
          <w:szCs w:val="24"/>
          <w:lang w:val="en-US"/>
        </w:rPr>
        <w:t xml:space="preserve">many nanocarrier systems, </w:t>
      </w:r>
      <w:r w:rsidR="00FC1E64" w:rsidRPr="00795222">
        <w:rPr>
          <w:rFonts w:asciiTheme="majorBidi" w:hAnsiTheme="majorBidi" w:cstheme="majorBidi"/>
          <w:sz w:val="24"/>
          <w:szCs w:val="24"/>
          <w:lang w:val="en-US"/>
        </w:rPr>
        <w:t>l</w:t>
      </w:r>
      <w:r w:rsidR="001F701C" w:rsidRPr="00795222">
        <w:rPr>
          <w:rFonts w:asciiTheme="majorBidi" w:hAnsiTheme="majorBidi" w:cstheme="majorBidi"/>
          <w:sz w:val="24"/>
          <w:szCs w:val="24"/>
          <w:lang w:val="en-US"/>
        </w:rPr>
        <w:t>ipid</w:t>
      </w:r>
      <w:r w:rsidR="00BC5642" w:rsidRPr="00795222">
        <w:rPr>
          <w:rFonts w:asciiTheme="majorBidi" w:hAnsiTheme="majorBidi" w:cstheme="majorBidi"/>
          <w:sz w:val="24"/>
          <w:szCs w:val="24"/>
          <w:lang w:val="en-US"/>
        </w:rPr>
        <w:t>-</w:t>
      </w:r>
      <w:r w:rsidR="001F701C" w:rsidRPr="00795222">
        <w:rPr>
          <w:rFonts w:asciiTheme="majorBidi" w:hAnsiTheme="majorBidi" w:cstheme="majorBidi"/>
          <w:sz w:val="24"/>
          <w:szCs w:val="24"/>
          <w:lang w:val="en-US"/>
        </w:rPr>
        <w:t xml:space="preserve">polymer </w:t>
      </w:r>
      <w:r w:rsidR="001F701C" w:rsidRPr="00795222">
        <w:rPr>
          <w:rFonts w:asciiTheme="majorBidi" w:hAnsiTheme="majorBidi" w:cstheme="majorBidi"/>
          <w:sz w:val="24"/>
          <w:szCs w:val="24"/>
          <w:lang w:val="en-US"/>
        </w:rPr>
        <w:lastRenderedPageBreak/>
        <w:t xml:space="preserve">hybrid nanoparticles (LPHNs) </w:t>
      </w:r>
      <w:r w:rsidR="00E80BD0" w:rsidRPr="00795222">
        <w:rPr>
          <w:rFonts w:asciiTheme="majorBidi" w:hAnsiTheme="majorBidi" w:cstheme="majorBidi"/>
          <w:sz w:val="24"/>
          <w:szCs w:val="24"/>
          <w:lang w:val="en-US"/>
        </w:rPr>
        <w:t>was</w:t>
      </w:r>
      <w:r w:rsidR="00D16018" w:rsidRPr="00795222">
        <w:rPr>
          <w:rFonts w:asciiTheme="majorBidi" w:hAnsiTheme="majorBidi" w:cstheme="majorBidi"/>
          <w:sz w:val="24"/>
          <w:szCs w:val="24"/>
          <w:lang w:val="en-US"/>
        </w:rPr>
        <w:t xml:space="preserve"> chosen</w:t>
      </w:r>
      <w:r w:rsidR="002B12BB" w:rsidRPr="00795222">
        <w:rPr>
          <w:rFonts w:asciiTheme="majorBidi" w:hAnsiTheme="majorBidi" w:cstheme="majorBidi"/>
          <w:sz w:val="24"/>
          <w:szCs w:val="24"/>
          <w:lang w:val="en-US"/>
        </w:rPr>
        <w:t xml:space="preserve"> as</w:t>
      </w:r>
      <w:r w:rsidR="00D16018" w:rsidRPr="00795222">
        <w:rPr>
          <w:rFonts w:asciiTheme="majorBidi" w:hAnsiTheme="majorBidi" w:cstheme="majorBidi"/>
          <w:sz w:val="24"/>
          <w:szCs w:val="24"/>
          <w:lang w:val="en-US"/>
        </w:rPr>
        <w:t xml:space="preserve"> </w:t>
      </w:r>
      <w:r w:rsidR="00FC1E64" w:rsidRPr="00795222">
        <w:rPr>
          <w:rFonts w:asciiTheme="majorBidi" w:hAnsiTheme="majorBidi" w:cstheme="majorBidi"/>
          <w:sz w:val="24"/>
          <w:szCs w:val="24"/>
          <w:lang w:val="en-US"/>
        </w:rPr>
        <w:t>a</w:t>
      </w:r>
      <w:r w:rsidR="00E80BD0" w:rsidRPr="00795222">
        <w:rPr>
          <w:rFonts w:asciiTheme="majorBidi" w:hAnsiTheme="majorBidi" w:cstheme="majorBidi"/>
          <w:sz w:val="24"/>
          <w:szCs w:val="24"/>
          <w:lang w:val="en-US"/>
        </w:rPr>
        <w:t xml:space="preserve"> new</w:t>
      </w:r>
      <w:r w:rsidR="00FC1E64" w:rsidRPr="00795222">
        <w:rPr>
          <w:rFonts w:asciiTheme="majorBidi" w:hAnsiTheme="majorBidi" w:cstheme="majorBidi"/>
          <w:sz w:val="24"/>
          <w:szCs w:val="24"/>
          <w:lang w:val="en-US"/>
        </w:rPr>
        <w:t xml:space="preserve"> </w:t>
      </w:r>
      <w:r w:rsidR="00730E73" w:rsidRPr="00795222">
        <w:rPr>
          <w:rFonts w:asciiTheme="majorBidi" w:hAnsiTheme="majorBidi" w:cstheme="majorBidi"/>
          <w:sz w:val="24"/>
          <w:szCs w:val="24"/>
          <w:lang w:val="en-US"/>
        </w:rPr>
        <w:t>potential</w:t>
      </w:r>
      <w:r w:rsidR="00FC1E64" w:rsidRPr="00795222">
        <w:rPr>
          <w:rFonts w:asciiTheme="majorBidi" w:hAnsiTheme="majorBidi" w:cstheme="majorBidi"/>
          <w:sz w:val="24"/>
          <w:szCs w:val="24"/>
          <w:lang w:val="en-US"/>
        </w:rPr>
        <w:t xml:space="preserve"> </w:t>
      </w:r>
      <w:r w:rsidR="001F701C" w:rsidRPr="00795222">
        <w:rPr>
          <w:rFonts w:asciiTheme="majorBidi" w:hAnsiTheme="majorBidi" w:cstheme="majorBidi"/>
          <w:sz w:val="24"/>
          <w:szCs w:val="24"/>
          <w:lang w:val="en-US"/>
        </w:rPr>
        <w:t>drug delivery system</w:t>
      </w:r>
      <w:r w:rsidR="000224E7" w:rsidRPr="00795222">
        <w:rPr>
          <w:rFonts w:asciiTheme="majorBidi" w:hAnsiTheme="majorBidi" w:cstheme="majorBidi"/>
          <w:sz w:val="24"/>
          <w:szCs w:val="24"/>
          <w:lang w:val="en-US"/>
        </w:rPr>
        <w:t xml:space="preserve"> for the treatment of HIV</w:t>
      </w:r>
      <w:r w:rsidR="00FE0A96" w:rsidRPr="00795222">
        <w:rPr>
          <w:rFonts w:asciiTheme="majorBidi" w:hAnsiTheme="majorBidi" w:cstheme="majorBidi"/>
          <w:sz w:val="24"/>
          <w:szCs w:val="24"/>
          <w:lang w:val="en-US"/>
        </w:rPr>
        <w:t xml:space="preserve"> in this study</w:t>
      </w:r>
      <w:r w:rsidR="000E1347" w:rsidRPr="00795222">
        <w:rPr>
          <w:rFonts w:asciiTheme="majorBidi" w:hAnsiTheme="majorBidi" w:cstheme="majorBidi"/>
          <w:sz w:val="24"/>
          <w:szCs w:val="24"/>
          <w:lang w:val="en-US"/>
        </w:rPr>
        <w:t xml:space="preserve">, </w:t>
      </w:r>
      <w:r w:rsidR="001B7BD7" w:rsidRPr="00795222">
        <w:rPr>
          <w:rFonts w:asciiTheme="majorBidi" w:hAnsiTheme="majorBidi" w:cstheme="majorBidi"/>
          <w:sz w:val="24"/>
          <w:szCs w:val="24"/>
          <w:lang w:val="en-US"/>
        </w:rPr>
        <w:t xml:space="preserve">to </w:t>
      </w:r>
      <w:r w:rsidR="00AE062C" w:rsidRPr="00795222">
        <w:rPr>
          <w:rFonts w:asciiTheme="majorBidi" w:hAnsiTheme="majorBidi" w:cstheme="majorBidi"/>
          <w:sz w:val="24"/>
          <w:szCs w:val="24"/>
          <w:lang w:val="en-US"/>
        </w:rPr>
        <w:t xml:space="preserve">the best of </w:t>
      </w:r>
      <w:r w:rsidR="001B7BD7" w:rsidRPr="00795222">
        <w:rPr>
          <w:rFonts w:asciiTheme="majorBidi" w:hAnsiTheme="majorBidi" w:cstheme="majorBidi"/>
          <w:sz w:val="24"/>
          <w:szCs w:val="24"/>
          <w:lang w:val="en-US"/>
        </w:rPr>
        <w:t>our</w:t>
      </w:r>
      <w:r w:rsidR="00AE062C" w:rsidRPr="00795222">
        <w:rPr>
          <w:rFonts w:asciiTheme="majorBidi" w:hAnsiTheme="majorBidi" w:cstheme="majorBidi"/>
          <w:sz w:val="24"/>
          <w:szCs w:val="24"/>
          <w:lang w:val="en-US"/>
        </w:rPr>
        <w:t xml:space="preserve"> knowledge, there ha</w:t>
      </w:r>
      <w:r w:rsidR="00997406" w:rsidRPr="00795222">
        <w:rPr>
          <w:rFonts w:asciiTheme="majorBidi" w:hAnsiTheme="majorBidi" w:cstheme="majorBidi"/>
          <w:sz w:val="24"/>
          <w:szCs w:val="24"/>
          <w:lang w:val="en-US"/>
        </w:rPr>
        <w:t>ve</w:t>
      </w:r>
      <w:r w:rsidR="00AE062C" w:rsidRPr="00795222">
        <w:rPr>
          <w:rFonts w:asciiTheme="majorBidi" w:hAnsiTheme="majorBidi" w:cstheme="majorBidi"/>
          <w:sz w:val="24"/>
          <w:szCs w:val="24"/>
          <w:lang w:val="en-US"/>
        </w:rPr>
        <w:t xml:space="preserve"> not been </w:t>
      </w:r>
      <w:r w:rsidR="00E4213D" w:rsidRPr="00795222">
        <w:rPr>
          <w:rFonts w:asciiTheme="majorBidi" w:hAnsiTheme="majorBidi" w:cstheme="majorBidi"/>
          <w:sz w:val="24"/>
          <w:szCs w:val="24"/>
          <w:lang w:val="en-US"/>
        </w:rPr>
        <w:t>any publications that involves</w:t>
      </w:r>
      <w:r w:rsidR="006166B2" w:rsidRPr="00795222">
        <w:rPr>
          <w:rFonts w:asciiTheme="majorBidi" w:hAnsiTheme="majorBidi" w:cstheme="majorBidi"/>
          <w:sz w:val="24"/>
          <w:szCs w:val="24"/>
          <w:lang w:val="en-US"/>
        </w:rPr>
        <w:t xml:space="preserve"> using LPHNs as a nanocarrier for HIV drugs.</w:t>
      </w:r>
      <w:r w:rsidR="00E4213D" w:rsidRPr="00795222">
        <w:rPr>
          <w:rFonts w:asciiTheme="majorBidi" w:hAnsiTheme="majorBidi" w:cstheme="majorBidi"/>
          <w:sz w:val="24"/>
          <w:szCs w:val="24"/>
          <w:lang w:val="en-US"/>
        </w:rPr>
        <w:t xml:space="preserve"> </w:t>
      </w:r>
      <w:r w:rsidR="001F701C" w:rsidRPr="00795222">
        <w:rPr>
          <w:rFonts w:asciiTheme="majorBidi" w:hAnsiTheme="majorBidi" w:cstheme="majorBidi"/>
          <w:sz w:val="24"/>
          <w:szCs w:val="24"/>
          <w:lang w:val="en-US"/>
        </w:rPr>
        <w:t>LPH</w:t>
      </w:r>
      <w:r w:rsidR="00E86E12" w:rsidRPr="00795222">
        <w:rPr>
          <w:rFonts w:asciiTheme="majorBidi" w:hAnsiTheme="majorBidi" w:cstheme="majorBidi"/>
          <w:sz w:val="24"/>
          <w:szCs w:val="24"/>
          <w:lang w:val="en-US"/>
        </w:rPr>
        <w:t>N</w:t>
      </w:r>
      <w:r w:rsidR="001F701C" w:rsidRPr="00795222">
        <w:rPr>
          <w:rFonts w:asciiTheme="majorBidi" w:hAnsiTheme="majorBidi" w:cstheme="majorBidi"/>
          <w:sz w:val="24"/>
          <w:szCs w:val="24"/>
          <w:lang w:val="en-US"/>
        </w:rPr>
        <w:t>s</w:t>
      </w:r>
      <w:r w:rsidR="001F701C" w:rsidRPr="00795222" w:rsidDel="00906700">
        <w:rPr>
          <w:rFonts w:asciiTheme="majorBidi" w:hAnsiTheme="majorBidi" w:cstheme="majorBidi"/>
          <w:sz w:val="24"/>
          <w:szCs w:val="24"/>
          <w:lang w:val="en-US"/>
        </w:rPr>
        <w:t xml:space="preserve"> </w:t>
      </w:r>
      <w:r w:rsidR="00906700" w:rsidRPr="00795222">
        <w:rPr>
          <w:rFonts w:asciiTheme="majorBidi" w:hAnsiTheme="majorBidi" w:cstheme="majorBidi"/>
          <w:sz w:val="24"/>
          <w:szCs w:val="24"/>
          <w:lang w:val="en-US"/>
        </w:rPr>
        <w:t xml:space="preserve">are </w:t>
      </w:r>
      <w:r w:rsidR="001F701C" w:rsidRPr="00795222">
        <w:rPr>
          <w:rFonts w:asciiTheme="majorBidi" w:hAnsiTheme="majorBidi" w:cstheme="majorBidi"/>
          <w:sz w:val="24"/>
          <w:szCs w:val="24"/>
          <w:lang w:val="en-US"/>
        </w:rPr>
        <w:t>core</w:t>
      </w:r>
      <w:r w:rsidR="00BC5642" w:rsidRPr="00795222">
        <w:rPr>
          <w:rFonts w:asciiTheme="majorBidi" w:hAnsiTheme="majorBidi" w:cstheme="majorBidi"/>
          <w:sz w:val="24"/>
          <w:szCs w:val="24"/>
          <w:lang w:val="en-US"/>
        </w:rPr>
        <w:t>-</w:t>
      </w:r>
      <w:r w:rsidR="001F701C" w:rsidRPr="00795222">
        <w:rPr>
          <w:rFonts w:asciiTheme="majorBidi" w:hAnsiTheme="majorBidi" w:cstheme="majorBidi"/>
          <w:sz w:val="24"/>
          <w:szCs w:val="24"/>
          <w:lang w:val="en-US"/>
        </w:rPr>
        <w:t xml:space="preserve">shell </w:t>
      </w:r>
      <w:r w:rsidR="00906700" w:rsidRPr="00795222">
        <w:rPr>
          <w:rFonts w:asciiTheme="majorBidi" w:hAnsiTheme="majorBidi" w:cstheme="majorBidi"/>
          <w:sz w:val="24"/>
          <w:szCs w:val="24"/>
          <w:lang w:val="en-US"/>
        </w:rPr>
        <w:t>nanoscale particles</w:t>
      </w:r>
      <w:r w:rsidR="001F701C" w:rsidRPr="00795222">
        <w:rPr>
          <w:rFonts w:asciiTheme="majorBidi" w:hAnsiTheme="majorBidi" w:cstheme="majorBidi"/>
          <w:sz w:val="24"/>
          <w:szCs w:val="24"/>
          <w:lang w:val="en-US"/>
        </w:rPr>
        <w:t xml:space="preserve">, </w:t>
      </w:r>
      <w:r w:rsidR="00594EE9" w:rsidRPr="00795222">
        <w:rPr>
          <w:rFonts w:asciiTheme="majorBidi" w:hAnsiTheme="majorBidi" w:cstheme="majorBidi"/>
          <w:sz w:val="24"/>
          <w:szCs w:val="24"/>
          <w:lang w:val="en-US"/>
        </w:rPr>
        <w:t>composed of a</w:t>
      </w:r>
      <w:r w:rsidR="00906700" w:rsidRPr="00795222">
        <w:rPr>
          <w:rFonts w:asciiTheme="majorBidi" w:hAnsiTheme="majorBidi" w:cstheme="majorBidi"/>
          <w:sz w:val="24"/>
          <w:szCs w:val="24"/>
          <w:lang w:val="en-US"/>
        </w:rPr>
        <w:t xml:space="preserve"> core of </w:t>
      </w:r>
      <w:r w:rsidR="001F701C" w:rsidRPr="00795222">
        <w:rPr>
          <w:rFonts w:asciiTheme="majorBidi" w:hAnsiTheme="majorBidi" w:cstheme="majorBidi"/>
          <w:sz w:val="24"/>
          <w:szCs w:val="24"/>
          <w:lang w:val="en-US"/>
        </w:rPr>
        <w:t xml:space="preserve">a biodegradable </w:t>
      </w:r>
      <w:r w:rsidR="00800FDC" w:rsidRPr="00795222">
        <w:rPr>
          <w:rFonts w:asciiTheme="majorBidi" w:hAnsiTheme="majorBidi" w:cstheme="majorBidi"/>
          <w:sz w:val="24"/>
          <w:szCs w:val="24"/>
          <w:lang w:val="en-US"/>
        </w:rPr>
        <w:t xml:space="preserve">non-toxic </w:t>
      </w:r>
      <w:r w:rsidR="001F701C" w:rsidRPr="00795222">
        <w:rPr>
          <w:rFonts w:asciiTheme="majorBidi" w:hAnsiTheme="majorBidi" w:cstheme="majorBidi"/>
          <w:sz w:val="24"/>
          <w:szCs w:val="24"/>
          <w:lang w:val="en-US"/>
        </w:rPr>
        <w:t>polymer</w:t>
      </w:r>
      <w:r w:rsidR="00906700" w:rsidRPr="00795222">
        <w:rPr>
          <w:rFonts w:asciiTheme="majorBidi" w:hAnsiTheme="majorBidi" w:cstheme="majorBidi"/>
          <w:sz w:val="24"/>
          <w:szCs w:val="24"/>
          <w:lang w:val="en-US"/>
        </w:rPr>
        <w:t>, coated by a</w:t>
      </w:r>
      <w:r w:rsidR="007936DE" w:rsidRPr="00795222">
        <w:rPr>
          <w:rFonts w:asciiTheme="majorBidi" w:hAnsiTheme="majorBidi" w:cstheme="majorBidi"/>
          <w:sz w:val="24"/>
          <w:szCs w:val="24"/>
          <w:lang w:val="en-US"/>
        </w:rPr>
        <w:t xml:space="preserve"> lipid</w:t>
      </w:r>
      <w:r w:rsidR="001F701C" w:rsidRPr="00795222">
        <w:rPr>
          <w:rFonts w:asciiTheme="majorBidi" w:hAnsiTheme="majorBidi" w:cstheme="majorBidi"/>
          <w:sz w:val="24"/>
          <w:szCs w:val="24"/>
          <w:lang w:val="en-US"/>
        </w:rPr>
        <w:t xml:space="preserve"> </w:t>
      </w:r>
      <w:r w:rsidR="007936DE" w:rsidRPr="00795222">
        <w:rPr>
          <w:rFonts w:asciiTheme="majorBidi" w:hAnsiTheme="majorBidi" w:cstheme="majorBidi"/>
          <w:sz w:val="24"/>
          <w:szCs w:val="24"/>
          <w:lang w:val="en-US"/>
        </w:rPr>
        <w:t>mon</w:t>
      </w:r>
      <w:r w:rsidR="002E3976" w:rsidRPr="00795222">
        <w:rPr>
          <w:rFonts w:asciiTheme="majorBidi" w:hAnsiTheme="majorBidi" w:cstheme="majorBidi"/>
          <w:sz w:val="24"/>
          <w:szCs w:val="24"/>
          <w:lang w:val="en-US"/>
        </w:rPr>
        <w:t>o</w:t>
      </w:r>
      <w:r w:rsidR="007936DE" w:rsidRPr="00795222">
        <w:rPr>
          <w:rFonts w:asciiTheme="majorBidi" w:hAnsiTheme="majorBidi" w:cstheme="majorBidi"/>
          <w:sz w:val="24"/>
          <w:szCs w:val="24"/>
          <w:lang w:val="en-US"/>
        </w:rPr>
        <w:t>layer</w:t>
      </w:r>
      <w:r w:rsidR="003153A9" w:rsidRPr="00795222">
        <w:rPr>
          <w:rFonts w:asciiTheme="majorBidi" w:hAnsiTheme="majorBidi" w:cstheme="majorBidi"/>
          <w:sz w:val="24"/>
          <w:szCs w:val="24"/>
          <w:lang w:val="en-US"/>
        </w:rPr>
        <w:t xml:space="preserve"> and </w:t>
      </w:r>
      <w:r w:rsidR="00BC5642" w:rsidRPr="00795222">
        <w:rPr>
          <w:rFonts w:asciiTheme="majorBidi" w:hAnsiTheme="majorBidi" w:cstheme="majorBidi"/>
          <w:sz w:val="24"/>
          <w:szCs w:val="24"/>
          <w:lang w:val="en-US"/>
        </w:rPr>
        <w:t xml:space="preserve">often </w:t>
      </w:r>
      <w:r w:rsidR="003153A9" w:rsidRPr="00795222">
        <w:rPr>
          <w:rFonts w:asciiTheme="majorBidi" w:hAnsiTheme="majorBidi" w:cstheme="majorBidi"/>
          <w:sz w:val="24"/>
          <w:szCs w:val="24"/>
          <w:lang w:val="en-US"/>
        </w:rPr>
        <w:t>a lipid-</w:t>
      </w:r>
      <w:r w:rsidR="00E86E12" w:rsidRPr="00795222">
        <w:rPr>
          <w:rFonts w:asciiTheme="majorBidi" w:hAnsiTheme="majorBidi" w:cstheme="majorBidi"/>
          <w:sz w:val="24"/>
          <w:szCs w:val="24"/>
          <w:lang w:val="en-US"/>
        </w:rPr>
        <w:t>polyethylene glycol (</w:t>
      </w:r>
      <w:r w:rsidR="003153A9" w:rsidRPr="00795222">
        <w:rPr>
          <w:rFonts w:asciiTheme="majorBidi" w:hAnsiTheme="majorBidi" w:cstheme="majorBidi"/>
          <w:sz w:val="24"/>
          <w:szCs w:val="24"/>
          <w:lang w:val="en-US"/>
        </w:rPr>
        <w:t>PEG</w:t>
      </w:r>
      <w:r w:rsidR="00E86E12" w:rsidRPr="00795222">
        <w:rPr>
          <w:rFonts w:asciiTheme="majorBidi" w:hAnsiTheme="majorBidi" w:cstheme="majorBidi"/>
          <w:sz w:val="24"/>
          <w:szCs w:val="24"/>
          <w:lang w:val="en-US"/>
        </w:rPr>
        <w:t>)</w:t>
      </w:r>
      <w:r w:rsidR="003153A9" w:rsidRPr="00795222">
        <w:rPr>
          <w:rFonts w:asciiTheme="majorBidi" w:hAnsiTheme="majorBidi" w:cstheme="majorBidi"/>
          <w:sz w:val="24"/>
          <w:szCs w:val="24"/>
          <w:lang w:val="en-US"/>
        </w:rPr>
        <w:t xml:space="preserve"> shel</w:t>
      </w:r>
      <w:r w:rsidR="001F701C" w:rsidRPr="00795222">
        <w:rPr>
          <w:rFonts w:asciiTheme="majorBidi" w:hAnsiTheme="majorBidi" w:cstheme="majorBidi"/>
          <w:sz w:val="24"/>
          <w:szCs w:val="24"/>
          <w:lang w:val="en-US"/>
        </w:rPr>
        <w:t>l.</w:t>
      </w:r>
      <w:r w:rsidR="00BD2911" w:rsidRPr="00795222">
        <w:rPr>
          <w:rFonts w:asciiTheme="majorBidi" w:hAnsiTheme="majorBidi" w:cstheme="majorBidi"/>
          <w:sz w:val="24"/>
          <w:szCs w:val="24"/>
          <w:lang w:val="en-US"/>
        </w:rPr>
        <w:t xml:space="preserve"> </w:t>
      </w:r>
      <w:r w:rsidR="007B60F2" w:rsidRPr="00795222">
        <w:rPr>
          <w:rFonts w:asciiTheme="majorBidi" w:hAnsiTheme="majorBidi" w:cstheme="majorBidi"/>
          <w:sz w:val="24"/>
          <w:szCs w:val="24"/>
          <w:lang w:val="en-US"/>
        </w:rPr>
        <w:fldChar w:fldCharType="begin" w:fldLock="1"/>
      </w:r>
      <w:r w:rsidR="001B7E74" w:rsidRPr="00795222">
        <w:rPr>
          <w:rFonts w:asciiTheme="majorBidi" w:hAnsiTheme="majorBidi" w:cstheme="majorBidi"/>
          <w:sz w:val="24"/>
          <w:szCs w:val="24"/>
          <w:lang w:val="en-US"/>
        </w:rPr>
        <w:instrText>ADDIN CSL_CITATION {"citationItems":[{"id":"ITEM-1","itemData":{"DOI":"10.1016/j.ejpb.2013.07.002","ISSN":"0939-6411","author":[{"dropping-particle":"","family":"Hadinoto","given":"Kunn","non-dropping-particle":"","parse-names":false,"suffix":""},{"dropping-particle":"","family":"Sundaresan","given":"Ajitha","non-dropping-particle":"","parse-names":false,"suffix":""},{"dropping-particle":"","family":"Cheow","given":"Wean Sin","non-dropping-particle":"","parse-names":false,"suffix":""}],"container-title":"European Journal of Pharmaceutics and Biopharmaceutics","id":"ITEM-1","issue":"3","issued":{"date-parts":[["2013"]]},"page":"427-443","publisher":"Elsevier B.V.","title":"European Journal of Pharmaceutics and Biopharmaceutics Lipid – polymer hybrid nanoparticles as a new generation therapeutic delivery platform : A review","type":"article-journal","volume":"85"},"uris":["http://www.mendeley.com/documents/?uuid=2a5554cc-3996-41c2-b75d-51dd7a904241"]},{"id":"ITEM-2","itemData":{"DOI":"10.1016/j.nano.2012.11.010","ISSN":"1549-9634","author":[{"dropping-particle":"","family":"Mandal","given":"Bivash","non-dropping-particle":"","parse-names":false,"suffix":""},{"dropping-particle":"","family":"Bhattacharjee","given":"Himanshu","non-dropping-particle":"","parse-names":false,"suffix":""},{"dropping-particle":"","family":"Mittal","given":"Nivesh","non-dropping-particle":"","parse-names":false,"suffix":""},{"dropping-particle":"","family":"Sah","given":"Hongkee","non-dropping-particle":"","parse-names":false,"suffix":""},{"dropping-particle":"","family":"Balabathula","given":"Pavan","non-dropping-particle":"","parse-names":false,"suffix":""},{"dropping-particle":"","family":"Thoma","given":"Laura A","non-dropping-particle":"","parse-names":false,"suffix":""},{"dropping-particle":"","family":"Wood","given":"George C","non-dropping-particle":"","parse-names":false,"suffix":""}],"container-title":"Nanomedicine: Nanotechnology, Biology, and Medicine","id":"ITEM-2","issue":"4","issued":{"date-parts":[["2013"]]},"page":"474-491","publisher":"Elsevier Inc.","title":"Core – shell-type lipid – polymer hybrid nanoparticles as a drug delivery platform","type":"article-journal","volume":"9"},"uris":["http://www.mendeley.com/documents/?uuid=d983479f-cd0c-4a53-93e9-524329a82e17"]}],"mendeley":{"formattedCitation":"(Hadinoto et al., 2013; Mandal et al., 2013)","plainTextFormattedCitation":"(Hadinoto et al., 2013; Mandal et al., 2013)","previouslyFormattedCitation":"(Hadinoto et al., 2013; Mandal et al., 2013)"},"properties":{"noteIndex":0},"schema":"https://github.com/citation-style-language/schema/raw/master/csl-citation.json"}</w:instrText>
      </w:r>
      <w:r w:rsidR="007B60F2" w:rsidRPr="00795222">
        <w:rPr>
          <w:rFonts w:asciiTheme="majorBidi" w:hAnsiTheme="majorBidi" w:cstheme="majorBidi"/>
          <w:sz w:val="24"/>
          <w:szCs w:val="24"/>
          <w:lang w:val="en-US"/>
        </w:rPr>
        <w:fldChar w:fldCharType="separate"/>
      </w:r>
      <w:r w:rsidR="00FF41FF" w:rsidRPr="00795222">
        <w:rPr>
          <w:rFonts w:asciiTheme="majorBidi" w:hAnsiTheme="majorBidi" w:cstheme="majorBidi"/>
          <w:noProof/>
          <w:sz w:val="24"/>
          <w:szCs w:val="24"/>
          <w:lang w:val="en-US"/>
        </w:rPr>
        <w:t>(Hadinoto et al., 2013; Mandal et al., 2013)</w:t>
      </w:r>
      <w:r w:rsidR="007B60F2" w:rsidRPr="00795222">
        <w:rPr>
          <w:rFonts w:asciiTheme="majorBidi" w:hAnsiTheme="majorBidi" w:cstheme="majorBidi"/>
          <w:sz w:val="24"/>
          <w:szCs w:val="24"/>
          <w:lang w:val="en-US"/>
        </w:rPr>
        <w:fldChar w:fldCharType="end"/>
      </w:r>
      <w:r w:rsidR="001F701C" w:rsidRPr="00795222">
        <w:rPr>
          <w:rFonts w:asciiTheme="majorBidi" w:hAnsiTheme="majorBidi" w:cstheme="majorBidi"/>
          <w:sz w:val="24"/>
          <w:szCs w:val="24"/>
          <w:lang w:val="en-US"/>
        </w:rPr>
        <w:t xml:space="preserve"> </w:t>
      </w:r>
      <w:r w:rsidR="00906700" w:rsidRPr="00795222">
        <w:rPr>
          <w:rFonts w:asciiTheme="majorBidi" w:hAnsiTheme="majorBidi" w:cstheme="majorBidi"/>
          <w:sz w:val="24"/>
          <w:szCs w:val="24"/>
          <w:lang w:val="en-US"/>
        </w:rPr>
        <w:t>These components provide different properties</w:t>
      </w:r>
      <w:r w:rsidR="00F417C8" w:rsidRPr="00795222">
        <w:rPr>
          <w:rFonts w:asciiTheme="majorBidi" w:hAnsiTheme="majorBidi" w:cstheme="majorBidi"/>
          <w:sz w:val="24"/>
          <w:szCs w:val="24"/>
          <w:lang w:val="en-US"/>
        </w:rPr>
        <w:t>:</w:t>
      </w:r>
      <w:r w:rsidR="00906700" w:rsidRPr="00795222">
        <w:rPr>
          <w:rFonts w:asciiTheme="majorBidi" w:hAnsiTheme="majorBidi" w:cstheme="majorBidi"/>
          <w:sz w:val="24"/>
          <w:szCs w:val="24"/>
          <w:lang w:val="en-US"/>
        </w:rPr>
        <w:t xml:space="preserve"> the</w:t>
      </w:r>
      <w:r w:rsidR="00FC1E64" w:rsidRPr="00795222">
        <w:rPr>
          <w:rFonts w:asciiTheme="majorBidi" w:hAnsiTheme="majorBidi" w:cstheme="majorBidi"/>
          <w:sz w:val="24"/>
          <w:szCs w:val="24"/>
          <w:lang w:val="en-US"/>
        </w:rPr>
        <w:t xml:space="preserve"> polymer core</w:t>
      </w:r>
      <w:r w:rsidR="00FC1E64" w:rsidRPr="00795222" w:rsidDel="00906700">
        <w:rPr>
          <w:rFonts w:asciiTheme="majorBidi" w:hAnsiTheme="majorBidi" w:cstheme="majorBidi"/>
          <w:sz w:val="24"/>
          <w:szCs w:val="24"/>
          <w:lang w:val="en-US"/>
        </w:rPr>
        <w:t xml:space="preserve"> </w:t>
      </w:r>
      <w:r w:rsidR="00FC1E64" w:rsidRPr="00795222">
        <w:rPr>
          <w:rFonts w:asciiTheme="majorBidi" w:hAnsiTheme="majorBidi" w:cstheme="majorBidi"/>
          <w:sz w:val="24"/>
          <w:szCs w:val="24"/>
          <w:lang w:val="en-US"/>
        </w:rPr>
        <w:t xml:space="preserve">encapsulates the </w:t>
      </w:r>
      <w:r w:rsidR="0083381B" w:rsidRPr="00795222">
        <w:rPr>
          <w:rFonts w:asciiTheme="majorBidi" w:hAnsiTheme="majorBidi" w:cstheme="majorBidi"/>
          <w:sz w:val="24"/>
          <w:szCs w:val="24"/>
          <w:lang w:val="en-US"/>
        </w:rPr>
        <w:t xml:space="preserve">hydrophobic </w:t>
      </w:r>
      <w:r w:rsidR="00FC1E64" w:rsidRPr="00795222">
        <w:rPr>
          <w:rFonts w:asciiTheme="majorBidi" w:hAnsiTheme="majorBidi" w:cstheme="majorBidi"/>
          <w:sz w:val="24"/>
          <w:szCs w:val="24"/>
          <w:lang w:val="en-US"/>
        </w:rPr>
        <w:t xml:space="preserve">drug moieties, </w:t>
      </w:r>
      <w:r w:rsidR="00906700" w:rsidRPr="00795222">
        <w:rPr>
          <w:rFonts w:asciiTheme="majorBidi" w:hAnsiTheme="majorBidi" w:cstheme="majorBidi"/>
          <w:sz w:val="24"/>
          <w:szCs w:val="24"/>
          <w:lang w:val="en-US"/>
        </w:rPr>
        <w:t xml:space="preserve">while the </w:t>
      </w:r>
      <w:r w:rsidR="00FC1E64" w:rsidRPr="00795222">
        <w:rPr>
          <w:rFonts w:asciiTheme="majorBidi" w:hAnsiTheme="majorBidi" w:cstheme="majorBidi"/>
          <w:sz w:val="24"/>
          <w:szCs w:val="24"/>
          <w:lang w:val="en-US"/>
        </w:rPr>
        <w:t>lipid</w:t>
      </w:r>
      <w:r w:rsidR="00906700" w:rsidRPr="00795222">
        <w:rPr>
          <w:rFonts w:asciiTheme="majorBidi" w:hAnsiTheme="majorBidi" w:cstheme="majorBidi"/>
          <w:sz w:val="24"/>
          <w:szCs w:val="24"/>
          <w:lang w:val="en-US"/>
        </w:rPr>
        <w:t xml:space="preserve"> </w:t>
      </w:r>
      <w:r w:rsidR="00136E1E" w:rsidRPr="00795222">
        <w:rPr>
          <w:rFonts w:asciiTheme="majorBidi" w:hAnsiTheme="majorBidi" w:cstheme="majorBidi"/>
          <w:sz w:val="24"/>
          <w:szCs w:val="24"/>
          <w:lang w:val="en-US"/>
        </w:rPr>
        <w:t>coating</w:t>
      </w:r>
      <w:r w:rsidR="009F7A7C" w:rsidRPr="00795222" w:rsidDel="00906700">
        <w:rPr>
          <w:rFonts w:asciiTheme="majorBidi" w:hAnsiTheme="majorBidi" w:cstheme="majorBidi"/>
          <w:sz w:val="24"/>
          <w:szCs w:val="24"/>
          <w:lang w:val="en-US"/>
        </w:rPr>
        <w:t xml:space="preserve"> </w:t>
      </w:r>
      <w:r w:rsidR="0032437D" w:rsidRPr="00795222">
        <w:rPr>
          <w:rFonts w:asciiTheme="majorBidi" w:hAnsiTheme="majorBidi" w:cstheme="majorBidi"/>
          <w:sz w:val="24"/>
          <w:szCs w:val="24"/>
          <w:lang w:val="en-US"/>
        </w:rPr>
        <w:t xml:space="preserve">which </w:t>
      </w:r>
      <w:r w:rsidR="00DB55A1" w:rsidRPr="00795222">
        <w:rPr>
          <w:rFonts w:asciiTheme="majorBidi" w:hAnsiTheme="majorBidi" w:cstheme="majorBidi"/>
          <w:sz w:val="24"/>
          <w:szCs w:val="24"/>
          <w:lang w:val="en-US"/>
        </w:rPr>
        <w:t xml:space="preserve">is usually </w:t>
      </w:r>
      <w:r w:rsidR="00F86E15" w:rsidRPr="00795222">
        <w:rPr>
          <w:rFonts w:asciiTheme="majorBidi" w:hAnsiTheme="majorBidi" w:cstheme="majorBidi"/>
          <w:sz w:val="24"/>
          <w:szCs w:val="24"/>
          <w:lang w:val="en-US"/>
        </w:rPr>
        <w:t xml:space="preserve">composed of a layer of </w:t>
      </w:r>
      <w:r w:rsidR="00AA4D79" w:rsidRPr="00795222">
        <w:rPr>
          <w:rFonts w:asciiTheme="majorBidi" w:hAnsiTheme="majorBidi" w:cstheme="majorBidi"/>
          <w:sz w:val="24"/>
          <w:szCs w:val="24"/>
          <w:lang w:val="en-US"/>
        </w:rPr>
        <w:t>phospholipids</w:t>
      </w:r>
      <w:r w:rsidR="00BC5642" w:rsidRPr="00795222">
        <w:rPr>
          <w:rFonts w:asciiTheme="majorBidi" w:hAnsiTheme="majorBidi" w:cstheme="majorBidi"/>
          <w:sz w:val="24"/>
          <w:szCs w:val="24"/>
          <w:lang w:val="en-US"/>
        </w:rPr>
        <w:t>,</w:t>
      </w:r>
      <w:r w:rsidR="00A318FA" w:rsidRPr="00795222">
        <w:rPr>
          <w:rFonts w:asciiTheme="majorBidi" w:hAnsiTheme="majorBidi" w:cstheme="majorBidi"/>
          <w:sz w:val="24"/>
          <w:szCs w:val="24"/>
          <w:lang w:val="en-US"/>
        </w:rPr>
        <w:t xml:space="preserve"> </w:t>
      </w:r>
      <w:r w:rsidR="00F417C8" w:rsidRPr="00795222">
        <w:rPr>
          <w:rFonts w:asciiTheme="majorBidi" w:hAnsiTheme="majorBidi" w:cstheme="majorBidi"/>
          <w:sz w:val="24"/>
          <w:szCs w:val="24"/>
          <w:lang w:val="en-US"/>
        </w:rPr>
        <w:t xml:space="preserve">helps </w:t>
      </w:r>
      <w:r w:rsidR="00A14436" w:rsidRPr="00795222">
        <w:rPr>
          <w:rFonts w:asciiTheme="majorBidi" w:hAnsiTheme="majorBidi" w:cstheme="majorBidi"/>
          <w:sz w:val="24"/>
          <w:szCs w:val="24"/>
          <w:lang w:val="en-US"/>
        </w:rPr>
        <w:t>to</w:t>
      </w:r>
      <w:r w:rsidR="00C96208" w:rsidRPr="00795222">
        <w:rPr>
          <w:rFonts w:asciiTheme="majorBidi" w:hAnsiTheme="majorBidi" w:cstheme="majorBidi"/>
          <w:sz w:val="24"/>
          <w:szCs w:val="24"/>
          <w:lang w:val="en-US"/>
        </w:rPr>
        <w:t xml:space="preserve"> </w:t>
      </w:r>
      <w:r w:rsidR="0051529C" w:rsidRPr="00795222">
        <w:rPr>
          <w:rFonts w:asciiTheme="majorBidi" w:hAnsiTheme="majorBidi" w:cstheme="majorBidi"/>
          <w:sz w:val="24"/>
          <w:szCs w:val="24"/>
          <w:lang w:val="en-US"/>
        </w:rPr>
        <w:t>stabilize</w:t>
      </w:r>
      <w:r w:rsidR="00C96208" w:rsidRPr="00795222">
        <w:rPr>
          <w:rFonts w:asciiTheme="majorBidi" w:hAnsiTheme="majorBidi" w:cstheme="majorBidi"/>
          <w:sz w:val="24"/>
          <w:szCs w:val="24"/>
          <w:lang w:val="en-US"/>
        </w:rPr>
        <w:t xml:space="preserve"> the co</w:t>
      </w:r>
      <w:r w:rsidR="000E5647" w:rsidRPr="00795222">
        <w:rPr>
          <w:rFonts w:asciiTheme="majorBidi" w:hAnsiTheme="majorBidi" w:cstheme="majorBidi"/>
          <w:sz w:val="24"/>
          <w:szCs w:val="24"/>
          <w:lang w:val="en-US"/>
        </w:rPr>
        <w:t>res</w:t>
      </w:r>
      <w:r w:rsidR="009B2111" w:rsidRPr="00795222">
        <w:rPr>
          <w:rFonts w:asciiTheme="majorBidi" w:hAnsiTheme="majorBidi" w:cstheme="majorBidi"/>
          <w:sz w:val="24"/>
          <w:szCs w:val="24"/>
          <w:lang w:val="en-US"/>
        </w:rPr>
        <w:t xml:space="preserve"> by</w:t>
      </w:r>
      <w:r w:rsidR="009959E1" w:rsidRPr="00795222">
        <w:rPr>
          <w:rFonts w:asciiTheme="majorBidi" w:hAnsiTheme="majorBidi" w:cstheme="majorBidi"/>
          <w:sz w:val="24"/>
          <w:szCs w:val="24"/>
          <w:lang w:val="en-US"/>
        </w:rPr>
        <w:t xml:space="preserve"> electrostatic </w:t>
      </w:r>
      <w:r w:rsidR="007B5241" w:rsidRPr="00795222">
        <w:rPr>
          <w:rFonts w:asciiTheme="majorBidi" w:hAnsiTheme="majorBidi" w:cstheme="majorBidi"/>
          <w:sz w:val="24"/>
          <w:szCs w:val="24"/>
          <w:lang w:val="en-US"/>
        </w:rPr>
        <w:t>stabilization</w:t>
      </w:r>
      <w:r w:rsidR="00154881" w:rsidRPr="00795222">
        <w:rPr>
          <w:rFonts w:asciiTheme="majorBidi" w:hAnsiTheme="majorBidi" w:cstheme="majorBidi"/>
          <w:sz w:val="24"/>
          <w:szCs w:val="24"/>
          <w:lang w:val="en-US"/>
        </w:rPr>
        <w:t>.</w:t>
      </w:r>
      <w:r w:rsidR="007B5241" w:rsidRPr="00795222">
        <w:rPr>
          <w:rFonts w:asciiTheme="majorBidi" w:hAnsiTheme="majorBidi" w:cstheme="majorBidi"/>
          <w:sz w:val="24"/>
          <w:szCs w:val="24"/>
          <w:lang w:val="en-US"/>
        </w:rPr>
        <w:t xml:space="preserve"> </w:t>
      </w:r>
      <w:r w:rsidR="00097D83" w:rsidRPr="00795222">
        <w:rPr>
          <w:rFonts w:asciiTheme="majorBidi" w:hAnsiTheme="majorBidi" w:cstheme="majorBidi"/>
          <w:sz w:val="24"/>
          <w:szCs w:val="24"/>
          <w:lang w:val="en-US"/>
        </w:rPr>
        <w:fldChar w:fldCharType="begin" w:fldLock="1"/>
      </w:r>
      <w:r w:rsidR="0023326E" w:rsidRPr="00795222">
        <w:rPr>
          <w:rFonts w:asciiTheme="majorBidi" w:hAnsiTheme="majorBidi" w:cstheme="majorBidi"/>
          <w:sz w:val="24"/>
          <w:szCs w:val="24"/>
          <w:lang w:val="en-US"/>
        </w:rPr>
        <w:instrText xml:space="preserve">ADDIN CSL_CITATION {"citationItems":[{"id":"ITEM-1","itemData":{"DOI":"10.1080/10717544.2017.1321062","ISSN":"15210464","abstract":"The natural product berberine (BBR), present in various plants, arouses great interests because of its numerous pharmacological effects. However, the further development and application of BBR had been hampered by its poor oral bioavailability. In this work, we report on polymerlipid hybrid nanoparticles (PEG-lipid-PLGA NPs) loaded with BBR phospholipid complex using a solvent evaporation method for enhancing the oral BBR efficiency. The advantage of this new drug delivery system is that the BBR-soybean phosphatidylcholine complex (BBR-SPC) could be used to enhance the liposolubility of BBR and improve the affinity with the biodegradable polymer to increase the drug-loading capacity and controlled/sustained release. The entrapment efficiency of the PEG-lipid-PLGA NPs/BBR-SPC was observed to approach approximately 89% which is more than 2.4 times compared with that of the PEG-lipid-PLGA NPs/BBR. To the best of our knowledge, this is the first report on using polymer material for effective encapsulation of BBR to improve its oral bioavailability. The prepared BBR delivery systems demonstrated a uniform spherical shape, a well-dispersed core-shell structure and a small particle size (149.6 ± 5.1 nm). The crystallographic and thermal analysis has indicated that the BBR dispersed in the PEG-lipid-PLGA NPs matrix is in an amorphous form. More importantly, the enhancement in the oral relative bioavailability of the PEG-lipid-PLGA NPs/BBR-SPC was </w:instrText>
      </w:r>
      <w:r w:rsidR="0023326E" w:rsidRPr="00795222">
        <w:rPr>
          <w:rFonts w:ascii="Cambria Math" w:hAnsi="Cambria Math" w:cs="Cambria Math"/>
          <w:sz w:val="24"/>
          <w:szCs w:val="24"/>
          <w:lang w:val="en-US"/>
        </w:rPr>
        <w:instrText>∼</w:instrText>
      </w:r>
      <w:r w:rsidR="0023326E" w:rsidRPr="00795222">
        <w:rPr>
          <w:rFonts w:asciiTheme="majorBidi" w:hAnsiTheme="majorBidi" w:cstheme="majorBidi"/>
          <w:sz w:val="24"/>
          <w:szCs w:val="24"/>
          <w:lang w:val="en-US"/>
        </w:rPr>
        <w:instrText>343% compared with that of BBR. These positive results demonstrated that PEG-lipid-PLGA NPs/BBR-SPC may have the potential for facilitating the oral drug delivery of BBR.","author":[{"dropping-particle":"","family":"Yu","given":"Fei","non-dropping-particle":"","parse-names":false,"suffix":""},{"dropping-particle":"","family":"Ao","given":"Mingtao","non-dropping-particle":"","parse-names":false,"suffix":""},{"dropping-particle":"","family":"Zheng","given":"Xiao","non-dropping-particle":"","parse-names":false,"suffix":""},{"dropping-particle":"","family":"Li","given":"Nini","non-dropping-particle":"","parse-names":false,"suffix":""},{"dropping-particle":"","family":"Xia","given":"Junjie","non-dropping-particle":"","parse-names":false,"suffix":""},{"dropping-particle":"","family":"Li","given":"Yang","non-dropping-particle":"","parse-names":false,"suffix":""},{"dropping-particle":"","family":"Li","given":"Donghui","non-dropping-particle":"","parse-names":false,"suffix":""},{"dropping-particle":"","family":"Hou","given":"Zhenqing","non-dropping-particle":"","parse-names":false,"suffix":""},{"dropping-particle":"","family":"Qi","given":"Zhongquan","non-dropping-particle":"","parse-names":false,"suffix":""},{"dropping-particle":"","family":"Chen","given":"Xiao Dong","non-dropping-particle":"","parse-names":false,"suffix":""}],"container-title":"Drug Delivery","id":"ITEM-1","issue":"1","issued":{"date-parts":[["2017"]]},"page":"825-833","title":"PEG-lipid-PLGA hybrid nanoparticles loaded with berberine-phospholipid complex to facilitate the oral delivery efficiency","type":"article-journal","volume":"24"},"uris":["http://www.mendeley.com/documents/?uuid=9ab8a253-a481-432c-80ec-3de60ee6e163","http://www.mendeley.com/documents/?uuid=09da4cb6-cafe-4430-ab83-53418a081e54"]},{"id":"ITEM-2","itemData":{"DOI":"10.1002/bip.360251111","ISBN":"8602085222","ISSN":"10970282","PMID":"28554993","abstract":"Nanostructured lipid carriers (NLCs) are modified solid lipid nanoparticles (SLNs) that retain the characteristics of the SLN, improve drug stability and loading capacity, and prevent drug leakage. Polymer nanoparticles (PNPs) are an important component of drug delivery. These nanoparticles can effectively direct drug delivery to specific targets and improve drug stability and controlled drug release. Lipid–polymer nanoparticles (PLNs), a new type of carrier that combines liposomes and polymers, have been employed in recent years. These nanoparticles possess the complementary advantages of PNPs and liposomes. A PLN is composed of a core–shell structure; the polymer core provides a stable structure, and the phospholipid shell offers good biocompatibility. As such, the two components increase the drug encapsulation efficiency rate, facilitate surface modification, and prevent leakage of water-soluble drugs. Hence, we have reviewed the current state of development for the NLCs’, PNPs’, and PLNs’ structures, preparation, and applications over the past five years, to provide the basis for further study on a controlled release drug delivery system.","author":[{"dropping-particle":"","family":"Li","given":"Qianwen","non-dropping-particle":"","parse-names":false,"suffix":""},{"dropping-particle":"","family":"Cai","given":"Tiange","non-dropping-particle":"","parse-names":false,"suffix":""},{"dropping-particle":"","family":"Huang","given":"Yinghong","non-dropping-particle":"","parse-names":false,"suffix":""},{"dropping-particle":"","family":"Xia","given":"Xi","non-dropping-particle":"","parse-names":false,"suffix":""},{"dropping-particle":"","family":"Cole","given":"Susan","non-dropping-particle":"","parse-names":false,"suffix":""},{"dropping-particle":"","family":"Cai","given":"Yu","non-dropping-particle":"","parse-names":false,"suffix":""}],"container-title":"Nanomaterials","id":"ITEM-2","issue":"6","issued":{"date-parts":[["2017"]]},"page":"122","title":"A Review of the Structure, Preparation, and Application of NLCs, PNPs, and PLNs","type":"article-journal","volume":"7"},"uris":["http://www.mendeley.com/documents/?uuid=7b70b652-e117-4123-b0ff-bf5a1697531f"]}],"mendeley":{"formattedCitation":"(Li et al., 2017; Yu et al., 2017)","plainTextFormattedCitation":"(Li et al., 2017; Yu et al., 2017)","previouslyFormattedCitation":"(Li et al., 2017; Yu et al., 2017)"},"properties":{"noteIndex":0},"schema":"https://github.com/citation-style-language/schema/raw/master/csl-citation.json"}</w:instrText>
      </w:r>
      <w:r w:rsidR="00097D83" w:rsidRPr="00795222">
        <w:rPr>
          <w:rFonts w:asciiTheme="majorBidi" w:hAnsiTheme="majorBidi" w:cstheme="majorBidi"/>
          <w:sz w:val="24"/>
          <w:szCs w:val="24"/>
          <w:lang w:val="en-US"/>
        </w:rPr>
        <w:fldChar w:fldCharType="separate"/>
      </w:r>
      <w:r w:rsidR="00B82D25" w:rsidRPr="00795222">
        <w:rPr>
          <w:rFonts w:asciiTheme="majorBidi" w:hAnsiTheme="majorBidi" w:cstheme="majorBidi"/>
          <w:noProof/>
          <w:sz w:val="24"/>
          <w:szCs w:val="24"/>
          <w:lang w:val="en-US"/>
        </w:rPr>
        <w:t>(Li et al., 2017; Yu et al., 2017)</w:t>
      </w:r>
      <w:r w:rsidR="00097D83" w:rsidRPr="00795222">
        <w:rPr>
          <w:rFonts w:asciiTheme="majorBidi" w:hAnsiTheme="majorBidi" w:cstheme="majorBidi"/>
          <w:sz w:val="24"/>
          <w:szCs w:val="24"/>
          <w:lang w:val="en-US"/>
        </w:rPr>
        <w:fldChar w:fldCharType="end"/>
      </w:r>
      <w:r w:rsidR="00A14436" w:rsidRPr="00795222">
        <w:rPr>
          <w:rFonts w:asciiTheme="majorBidi" w:hAnsiTheme="majorBidi" w:cstheme="majorBidi"/>
          <w:sz w:val="24"/>
          <w:szCs w:val="24"/>
          <w:lang w:val="en-US"/>
        </w:rPr>
        <w:t xml:space="preserve"> Additionally, the lipid shell</w:t>
      </w:r>
      <w:r w:rsidR="002646CF" w:rsidRPr="00795222">
        <w:rPr>
          <w:rFonts w:asciiTheme="majorBidi" w:hAnsiTheme="majorBidi" w:cstheme="majorBidi"/>
          <w:sz w:val="24"/>
          <w:szCs w:val="24"/>
          <w:lang w:val="en-US"/>
        </w:rPr>
        <w:t xml:space="preserve"> </w:t>
      </w:r>
      <w:r w:rsidR="00A14436" w:rsidRPr="00795222">
        <w:rPr>
          <w:rFonts w:asciiTheme="majorBidi" w:hAnsiTheme="majorBidi" w:cstheme="majorBidi"/>
          <w:sz w:val="24"/>
          <w:szCs w:val="24"/>
          <w:lang w:val="en-US"/>
        </w:rPr>
        <w:t>has been shown to enhance the entrapment efficiency of the drug</w:t>
      </w:r>
      <w:r w:rsidR="007B5241" w:rsidRPr="00795222">
        <w:rPr>
          <w:rFonts w:asciiTheme="majorBidi" w:hAnsiTheme="majorBidi" w:cstheme="majorBidi"/>
          <w:sz w:val="24"/>
          <w:szCs w:val="24"/>
          <w:lang w:val="en-US"/>
        </w:rPr>
        <w:t xml:space="preserve"> </w:t>
      </w:r>
      <w:r w:rsidR="00A14436" w:rsidRPr="00795222">
        <w:rPr>
          <w:rFonts w:asciiTheme="majorBidi" w:hAnsiTheme="majorBidi" w:cstheme="majorBidi"/>
          <w:sz w:val="24"/>
          <w:szCs w:val="24"/>
          <w:lang w:val="en-US"/>
        </w:rPr>
        <w:fldChar w:fldCharType="begin" w:fldLock="1"/>
      </w:r>
      <w:r w:rsidR="00B82D25" w:rsidRPr="00795222">
        <w:rPr>
          <w:rFonts w:asciiTheme="majorBidi" w:hAnsiTheme="majorBidi" w:cstheme="majorBidi"/>
          <w:sz w:val="24"/>
          <w:szCs w:val="24"/>
          <w:lang w:val="en-US"/>
        </w:rPr>
        <w:instrText>ADDIN CSL_CITATION {"citationItems":[{"id":"ITEM-1","itemData":{"DOI":"10.1021/nn800275r","ISSN":"1936-0851","abstract":"We report the engineering of a novel lipid-polymer hybrid nanoparticle (NP) as a robust drug delivery platform, with high drug encapsulation yield, tunable and sustained drug release profile, excellent serum stability, and potential for differential targeting of cells or tissues. The NP comprises three distinct functional components: (i) a hydrophobic polymeric core where poorly water-soluble drugs can be encapsulated; (ii) a hydrophilic polymeric shell with antibiofouling properties to enhance NP stability and systemic circulation half-life; and (iii) a lipid monolayer at the interface of the core and the shell that acts as a molecular fence to promote drug retention inside the polymeric core, thereby enhancing drug encapsulation efficiency, increasing drug loading yield, and controlling drug release. The NP is prepared by self-assembly through a single-step nanoprecipitation method in a reproducible and predictable manner, making it potentially suitable for scale-up","author":[{"dropping-particle":"","family":"Zhang","given":"Liangfang","non-dropping-particle":"","parse-names":false,"suffix":""},{"dropping-particle":"","family":"Chan","given":"Juliana M","non-dropping-particle":"","parse-names":false,"suffix":""},{"dropping-particle":"","family":"Gu","given":"Frank X","non-dropping-particle":"","parse-names":false,"suffix":""},{"dropping-particle":"","family":"Rhee","given":"June-wha","non-dropping-particle":"","parse-names":false,"suffix":""},{"dropping-particle":"","family":"Wang","given":"Andrew Z","non-dropping-particle":"","parse-names":false,"suffix":""},{"dropping-particle":"","family":"Radovic-moreno","given":"Aleksandar F","non-dropping-particle":"","parse-names":false,"suffix":""},{"dropping-particle":"","family":"Alexis","given":"Frank","non-dropping-particle":"","parse-names":false,"suffix":""},{"dropping-particle":"","family":"Langer","given":"Robert","non-dropping-particle":"","parse-names":false,"suffix":""},{"dropping-particle":"","family":"Farokhzad","given":"Omid C","non-dropping-particle":"","parse-names":false,"suffix":""}],"container-title":"ACS nano","id":"ITEM-1","issue":"8","issued":{"date-parts":[["2008"]]},"note":"Polymer lipid hybrids, prepared by a ultrafiltration induced nanoprecipitation","page":"1696 -1702","title":"Self-Assembled Lipid Polymer Hybrid Nanoparticles : A Robust Drug Delivery Platform","type":"article-journal","volume":"2"},"uris":["http://www.mendeley.com/documents/?uuid=d9de6bef-b105-4341-a6d5-a928b9b182c5"]}],"mendeley":{"formattedCitation":"(Zhang et al., 2008)","plainTextFormattedCitation":"(Zhang et al., 2008)","previouslyFormattedCitation":"(Zhang et al., 2008)"},"properties":{"noteIndex":0},"schema":"https://github.com/citation-style-language/schema/raw/master/csl-citation.json"}</w:instrText>
      </w:r>
      <w:r w:rsidR="00A14436" w:rsidRPr="00795222">
        <w:rPr>
          <w:rFonts w:asciiTheme="majorBidi" w:hAnsiTheme="majorBidi" w:cstheme="majorBidi"/>
          <w:sz w:val="24"/>
          <w:szCs w:val="24"/>
          <w:lang w:val="en-US"/>
        </w:rPr>
        <w:fldChar w:fldCharType="separate"/>
      </w:r>
      <w:r w:rsidR="00B82D25" w:rsidRPr="00795222">
        <w:rPr>
          <w:rFonts w:asciiTheme="majorBidi" w:hAnsiTheme="majorBidi" w:cstheme="majorBidi"/>
          <w:noProof/>
          <w:sz w:val="24"/>
          <w:szCs w:val="24"/>
          <w:lang w:val="en-US"/>
        </w:rPr>
        <w:t>(Zhang et al., 2008)</w:t>
      </w:r>
      <w:r w:rsidR="00A14436" w:rsidRPr="00795222">
        <w:rPr>
          <w:rFonts w:asciiTheme="majorBidi" w:hAnsiTheme="majorBidi" w:cstheme="majorBidi"/>
          <w:sz w:val="24"/>
          <w:szCs w:val="24"/>
          <w:lang w:val="en-US"/>
        </w:rPr>
        <w:fldChar w:fldCharType="end"/>
      </w:r>
      <w:r w:rsidR="00A14436" w:rsidRPr="00795222">
        <w:rPr>
          <w:rFonts w:asciiTheme="majorBidi" w:hAnsiTheme="majorBidi" w:cstheme="majorBidi"/>
          <w:sz w:val="24"/>
          <w:szCs w:val="24"/>
          <w:lang w:val="en-US"/>
        </w:rPr>
        <w:t xml:space="preserve"> </w:t>
      </w:r>
      <w:r w:rsidR="000A0954" w:rsidRPr="00795222">
        <w:rPr>
          <w:rFonts w:asciiTheme="majorBidi" w:hAnsiTheme="majorBidi" w:cstheme="majorBidi"/>
          <w:sz w:val="24"/>
          <w:szCs w:val="24"/>
          <w:lang w:val="en-US"/>
        </w:rPr>
        <w:t xml:space="preserve">and to increase </w:t>
      </w:r>
      <w:r w:rsidR="00B07BEC" w:rsidRPr="00795222">
        <w:rPr>
          <w:rFonts w:asciiTheme="majorBidi" w:hAnsiTheme="majorBidi" w:cstheme="majorBidi"/>
          <w:sz w:val="24"/>
          <w:szCs w:val="24"/>
          <w:lang w:val="en-US"/>
        </w:rPr>
        <w:t>oral bioavailability</w:t>
      </w:r>
      <w:r w:rsidR="00062A16" w:rsidRPr="00795222">
        <w:rPr>
          <w:rFonts w:asciiTheme="majorBidi" w:hAnsiTheme="majorBidi" w:cstheme="majorBidi"/>
          <w:sz w:val="24"/>
          <w:szCs w:val="24"/>
          <w:lang w:val="en-US"/>
        </w:rPr>
        <w:t xml:space="preserve"> </w:t>
      </w:r>
      <w:r w:rsidR="00083F54" w:rsidRPr="00795222">
        <w:rPr>
          <w:rFonts w:asciiTheme="majorBidi" w:hAnsiTheme="majorBidi" w:cstheme="majorBidi"/>
          <w:sz w:val="24"/>
          <w:szCs w:val="24"/>
          <w:lang w:val="en-US"/>
        </w:rPr>
        <w:t>of hydrophobic drugs</w:t>
      </w:r>
      <w:r w:rsidR="00B07BEC" w:rsidRPr="00795222">
        <w:rPr>
          <w:rFonts w:asciiTheme="majorBidi" w:hAnsiTheme="majorBidi" w:cstheme="majorBidi"/>
          <w:sz w:val="24"/>
          <w:szCs w:val="24"/>
          <w:lang w:val="en-US"/>
        </w:rPr>
        <w:t>.</w:t>
      </w:r>
      <w:bookmarkStart w:id="5" w:name="_Hlk36775246"/>
      <w:r w:rsidR="00083F54" w:rsidRPr="00795222">
        <w:rPr>
          <w:rFonts w:asciiTheme="majorBidi" w:hAnsiTheme="majorBidi" w:cstheme="majorBidi"/>
          <w:sz w:val="24"/>
          <w:szCs w:val="24"/>
          <w:lang w:val="en-US"/>
        </w:rPr>
        <w:fldChar w:fldCharType="begin" w:fldLock="1"/>
      </w:r>
      <w:r w:rsidR="005563A9" w:rsidRPr="00795222">
        <w:rPr>
          <w:rFonts w:asciiTheme="majorBidi" w:hAnsiTheme="majorBidi" w:cstheme="majorBidi"/>
          <w:sz w:val="24"/>
          <w:szCs w:val="24"/>
          <w:lang w:val="en-US"/>
        </w:rPr>
        <w:instrText>ADDIN CSL_CITATION {"citationItems":[{"id":"ITEM-1","itemData":{"DOI":"10.1691/ph.2012.1110","author":[{"dropping-particle":"","family":"Jin","given":"Xin","non-dropping-particle":"","parse-names":false,"suffix":""},{"dropping-particle":"","family":"Zhang","given":"Zhen-hai","non-dropping-particle":"","parse-names":false,"suffix":""},{"dropping-particle":"","family":"Sun","given":"E","non-dropping-particle":"","parse-names":false,"suffix":""},{"dropping-particle":"","family":"Tan","given":"Xiao-bin","non-dropping-particle":"","parse-names":false,"suffix":""},{"dropping-particle":"","family":"Zhu","given":"Fen-xia","non-dropping-particle":"","parse-names":false,"suffix":""},{"dropping-particle":"","family":"Li","given":"Song-lin","non-dropping-particle":"","parse-names":false,"suffix":""},{"dropping-particle":"","family":"Jia","given":"Xiao-bin","non-dropping-particle":"","parse-names":false,"suffix":""}],"id":"ITEM-1","issued":{"date-parts":[["2012"]]},"page":"293-298","title":"Preparation of icariside II-phospholipid complex and its absorption across Caco-2 cell monolayers","type":"article-journal"},"uris":["http://www.mendeley.com/documents/?uuid=045c7fca-0985-40c7-a6eb-a7f6a8eac015"]},{"id":"ITEM-2","itemData":{"DOI":"10.1016/j.ejpb.2017.11.006","ISSN":"0939-6411","author":[{"dropping-particle":"","family":"Su","given":"Chia-yu","non-dropping-particle":"","parse-names":false,"suffix":""},{"dropping-particle":"","family":"Liu","given":"Jun-jen","non-dropping-particle":"","parse-names":false,"suffix":""},{"dropping-particle":"","family":"Ho","given":"Yuan-soon","non-dropping-particle":"","parse-names":false,"suffix":""},{"dropping-particle":"","family":"Huang","given":"Yi-you","non-dropping-particle":"","parse-names":false,"suffix":""},{"dropping-particle":"","family":"Chang","given":"Vincent Hung-shu","non-dropping-particle":"","parse-names":false,"suffix":""}],"container-title":"European Journal of Pharmaceutics and Biopharmaceutics","id":"ITEM-2","issue":"November 2017","issued":{"date-parts":[["2018"]]},"page":"9-19","publisher":"Elsevier","title":"European Journal of Pharmaceutics and Biopharmaceutics Development and characterization of docetaxel-loaded lecithin-stabilized micellar drug delivery system ( L sb MDDs ) for improving the therapeutic e ffi cacy and reducing systemic toxicity","type":"article-journal","volume":"123"},"uris":["http://www.mendeley.com/documents/?uuid=db980b6f-7143-44df-abc0-d891bbc0d93b"]},{"id":"ITEM-3","itemData":{"DOI":"10.1038/srep37122","ISSN":"20452322","abstract":"Self-assembling mixed polymeric micelles (saMPMs) were developed for overcoming major obstacles of poor bioavailability (BA) associated with curcumin delivery. Lecithin added was functioned to enlarge the hydrophobic core of MPMs providing greater solubilization capacity. Amphiphilic polymers (sodium deoxycholate [NaDOC], TPGS, CREMOPHOR, or a PLURONIC series) were examined for potentially self-assembling to form MPMs (saMPMs) with the addition of lecithin. Particle size, size distribution, encapsulation efficacy (E.E.), and drug loading (D.L.) of the mixed micelles were optimally studied for their influences on the physical stability and release of encapsulated drugs. Overall, curcumin:lecithin:NaDOC and curcumin:lecithin:PLURONIC P123 in ratios of 2:1:5 and 5:2:20, respectively, were optimally obtained with a particle size of &lt; 200 nm, an E.E. of &gt;80%, and a D.L. of &gt;10%. The formulated system efficiently stabilized curcumin in phosphate-buffered saline (PBS) at room temperature or 4 °C and in fetal bovine serum or PBS at 37 °C and delayed the in vitro curcumin release. In vivo results further demonstrated that the slow release of curcumin from micelles and prolonged duration increased the curcumin BA followed oral and intravenous administrations in rats. Thus, lecithin-based saMPMs represent an effective curcumin delivery system, and enhancing BA of curcumin can enable its wide applications for treating human disorders.","author":[{"dropping-particle":"","family":"Chen","given":"Ling Chun","non-dropping-particle":"","parse-names":false,"suffix":""},{"dropping-particle":"","family":"Chen","given":"Yin Chen","non-dropping-particle":"","parse-names":false,"suffix":""},{"dropping-particle":"","family":"Su","given":"Chia Yu","non-dropping-particle":"","parse-names":false,"suffix":""},{"dropping-particle":"","family":"Wong","given":"Wan Ping","non-dropping-particle":"","parse-names":false,"suffix":""},{"dropping-particle":"","family":"Sheu","given":"Ming Thau","non-dropping-particle":"","parse-names":false,"suffix":""},{"dropping-particle":"","family":"Ho","given":"Hsiu O.","non-dropping-particle":"","parse-names":false,"suffix":""}],"container-title":"Scientific Reports","id":"ITEM-3","issue":"1","issued":{"date-parts":[["2016","12","16"]]},"page":"37122","publisher":"Nature Publishing Group","title":"Development and Characterization of Lecithin-based Self-assembling Mixed Polymeric Micellar (saMPMs) Drug Delivery Systems for Curcumin","type":"article-journal","volume":"6"},"uris":["http://www.mendeley.com/documents/?uuid=0a01a5ea-123d-4957-b667-cb822e5c81be"]},{"id":"ITEM-4","itemData":{"DOI":"http://doi.org/10.1016/j.ajps.2014.09.004","ISSN":"1818-0876","abstract":"Abstract Phospholipids have the characteristics of excellent biocompatibility and a especial amphiphilicity. These unique properties make phospholipids most appropriate to be employed as important pharmaceutical excipients and they have a very wide range of applications in drug delivery systems. The aim of this review is to summarize phospholipids and some of their related applications in drug delivery systems, and highlight the relationship between the properties and applications, and the effect of the species of phospholipids on the efficiency of drug delivery. We refer to some relevant literatures, starting from the structures, main sources and properties of phospholipids to introduce their applications in drug delivery systems. The present article focuses on introducing five types of carriers based on phospholipids, including liposomes, intravenous lipid emulsions, micelles, drug-phospholipids complexes and cochleates.","author":[{"dropping-particle":"","family":"Li","given":"Jing","non-dropping-particle":"","parse-names":false,"suffix":""},{"dropping-particle":"","family":"Wang","given":"Xuling","non-dropping-particle":"","parse-names":false,"suffix":""},{"dropping-particle":"","family":"Zhang","given":"Ting","non-dropping-particle":"","parse-names":false,"suffix":""},{"dropping-particle":"","family":"Wang","given":"Chunling","non-dropping-particle":"","parse-names":false,"suffix":""},{"dropping-particle":"","family":"Huang","given":"Zhenjun","non-dropping-particle":"","parse-names":false,"suffix":""},{"dropping-particle":"","family":"Luo","given":"Xiang","non-dropping-particle":"","parse-names":false,"suffix":""},{"dropping-particle":"","family":"Deng","given":"Yihui","non-dropping-particle":"","parse-names":false,"suffix":""}],"container-title":"Asian Journal of Pharmaceutical Sciences","id":"ITEM-4","issue":"2","issued":{"date-parts":[["2015","4"]]},"page":"81-98","title":"A review on phospholipids and their main applications in drug delivery systems","type":"article-journal","volume":"10"},"uris":["http://www.mendeley.com/documents/?uuid=2a4baca2-72b0-4041-bcc9-57db19e4048b"]}],"mendeley":{"formattedCitation":"(Chen et al., 2016; Jin et al., 2012; Li et al., 2015; Su et al., 2018)","plainTextFormattedCitation":"(Chen et al., 2016; Jin et al., 2012; Li et al., 2015; Su et al., 2018)","previouslyFormattedCitation":"(Chen et al., 2016; Jin et al., 2012; Li et al., 2015; Su et al., 2018)"},"properties":{"noteIndex":0},"schema":"https://github.com/citation-style-language/schema/raw/master/csl-citation.json"}</w:instrText>
      </w:r>
      <w:r w:rsidR="00083F54" w:rsidRPr="00795222">
        <w:rPr>
          <w:rFonts w:asciiTheme="majorBidi" w:hAnsiTheme="majorBidi" w:cstheme="majorBidi"/>
          <w:sz w:val="24"/>
          <w:szCs w:val="24"/>
          <w:lang w:val="en-US"/>
        </w:rPr>
        <w:fldChar w:fldCharType="separate"/>
      </w:r>
      <w:r w:rsidR="00FF41FF" w:rsidRPr="00795222">
        <w:rPr>
          <w:rFonts w:asciiTheme="majorBidi" w:hAnsiTheme="majorBidi" w:cstheme="majorBidi"/>
          <w:noProof/>
          <w:sz w:val="24"/>
          <w:szCs w:val="24"/>
          <w:lang w:val="en-US"/>
        </w:rPr>
        <w:t>(Chen et al., 2016; Jin et al., 2012; Li et al., 2015; Su et al., 2018)</w:t>
      </w:r>
      <w:r w:rsidR="00083F54" w:rsidRPr="00795222">
        <w:rPr>
          <w:rFonts w:asciiTheme="majorBidi" w:hAnsiTheme="majorBidi" w:cstheme="majorBidi"/>
          <w:sz w:val="24"/>
          <w:szCs w:val="24"/>
          <w:lang w:val="en-US"/>
        </w:rPr>
        <w:fldChar w:fldCharType="end"/>
      </w:r>
      <w:bookmarkEnd w:id="5"/>
      <w:r w:rsidR="00CD39E6" w:rsidRPr="00795222">
        <w:rPr>
          <w:rFonts w:asciiTheme="majorBidi" w:hAnsiTheme="majorBidi" w:cstheme="majorBidi"/>
          <w:sz w:val="24"/>
          <w:szCs w:val="24"/>
          <w:lang w:val="en-US"/>
        </w:rPr>
        <w:t xml:space="preserve"> </w:t>
      </w:r>
      <w:r w:rsidR="00906700" w:rsidRPr="00795222">
        <w:rPr>
          <w:rFonts w:asciiTheme="majorBidi" w:hAnsiTheme="majorBidi" w:cstheme="majorBidi"/>
          <w:sz w:val="24"/>
          <w:szCs w:val="24"/>
          <w:lang w:val="en-US"/>
        </w:rPr>
        <w:t>A</w:t>
      </w:r>
      <w:r w:rsidR="00FC1E64" w:rsidRPr="00795222" w:rsidDel="00906700">
        <w:rPr>
          <w:rFonts w:asciiTheme="majorBidi" w:hAnsiTheme="majorBidi" w:cstheme="majorBidi"/>
          <w:sz w:val="24"/>
          <w:szCs w:val="24"/>
          <w:lang w:val="en-US"/>
        </w:rPr>
        <w:t xml:space="preserve"> </w:t>
      </w:r>
      <w:r w:rsidR="00FC1E64" w:rsidRPr="00795222">
        <w:rPr>
          <w:rFonts w:asciiTheme="majorBidi" w:hAnsiTheme="majorBidi" w:cstheme="majorBidi"/>
          <w:sz w:val="24"/>
          <w:szCs w:val="24"/>
          <w:lang w:val="en-US"/>
        </w:rPr>
        <w:t>lipid</w:t>
      </w:r>
      <w:r w:rsidR="00BC5642" w:rsidRPr="00795222">
        <w:rPr>
          <w:rFonts w:asciiTheme="majorBidi" w:hAnsiTheme="majorBidi" w:cstheme="majorBidi"/>
          <w:sz w:val="24"/>
          <w:szCs w:val="24"/>
          <w:lang w:val="en-US"/>
        </w:rPr>
        <w:t>-</w:t>
      </w:r>
      <w:r w:rsidR="00FC1E64" w:rsidRPr="00795222">
        <w:rPr>
          <w:rFonts w:asciiTheme="majorBidi" w:hAnsiTheme="majorBidi" w:cstheme="majorBidi"/>
          <w:sz w:val="24"/>
          <w:szCs w:val="24"/>
          <w:lang w:val="en-US"/>
        </w:rPr>
        <w:t xml:space="preserve">PEG </w:t>
      </w:r>
      <w:r w:rsidR="00906700" w:rsidRPr="00795222">
        <w:rPr>
          <w:rFonts w:asciiTheme="majorBidi" w:hAnsiTheme="majorBidi" w:cstheme="majorBidi"/>
          <w:sz w:val="24"/>
          <w:szCs w:val="24"/>
          <w:lang w:val="en-US"/>
        </w:rPr>
        <w:t xml:space="preserve">conjugate is often included in the </w:t>
      </w:r>
      <w:r w:rsidR="00FE6CEB" w:rsidRPr="00795222">
        <w:rPr>
          <w:rFonts w:asciiTheme="majorBidi" w:hAnsiTheme="majorBidi" w:cstheme="majorBidi"/>
          <w:sz w:val="24"/>
          <w:szCs w:val="24"/>
          <w:lang w:val="en-US"/>
        </w:rPr>
        <w:t>LPHN</w:t>
      </w:r>
      <w:r w:rsidR="00C17EF6" w:rsidRPr="00795222">
        <w:rPr>
          <w:rFonts w:asciiTheme="majorBidi" w:hAnsiTheme="majorBidi" w:cstheme="majorBidi"/>
          <w:sz w:val="24"/>
          <w:szCs w:val="24"/>
          <w:lang w:val="en-US"/>
        </w:rPr>
        <w:t>s</w:t>
      </w:r>
      <w:r w:rsidR="00FE6CEB" w:rsidRPr="00795222">
        <w:rPr>
          <w:rFonts w:asciiTheme="majorBidi" w:hAnsiTheme="majorBidi" w:cstheme="majorBidi"/>
          <w:sz w:val="24"/>
          <w:szCs w:val="24"/>
          <w:lang w:val="en-US"/>
        </w:rPr>
        <w:t xml:space="preserve"> </w:t>
      </w:r>
      <w:r w:rsidR="00FC1E64" w:rsidRPr="00795222">
        <w:rPr>
          <w:rFonts w:asciiTheme="majorBidi" w:hAnsiTheme="majorBidi" w:cstheme="majorBidi"/>
          <w:sz w:val="24"/>
          <w:szCs w:val="24"/>
          <w:lang w:val="en-US"/>
        </w:rPr>
        <w:t xml:space="preserve">shell </w:t>
      </w:r>
      <w:r w:rsidR="00906700" w:rsidRPr="00795222">
        <w:rPr>
          <w:rFonts w:asciiTheme="majorBidi" w:hAnsiTheme="majorBidi" w:cstheme="majorBidi"/>
          <w:sz w:val="24"/>
          <w:szCs w:val="24"/>
          <w:lang w:val="en-US"/>
        </w:rPr>
        <w:t xml:space="preserve">as this has been shown to </w:t>
      </w:r>
      <w:r w:rsidR="00FC1E64" w:rsidRPr="00795222">
        <w:rPr>
          <w:rFonts w:asciiTheme="majorBidi" w:hAnsiTheme="majorBidi" w:cstheme="majorBidi"/>
          <w:sz w:val="24"/>
          <w:szCs w:val="24"/>
          <w:lang w:val="en-US"/>
        </w:rPr>
        <w:t>improve the physical stability of the particles</w:t>
      </w:r>
      <w:r w:rsidR="00CD0C8C" w:rsidRPr="00795222">
        <w:rPr>
          <w:rFonts w:asciiTheme="majorBidi" w:hAnsiTheme="majorBidi" w:cstheme="majorBidi"/>
          <w:sz w:val="24"/>
          <w:szCs w:val="24"/>
          <w:lang w:val="en-US"/>
        </w:rPr>
        <w:t xml:space="preserve"> especially in </w:t>
      </w:r>
      <w:r w:rsidR="00DD10AA" w:rsidRPr="00795222">
        <w:rPr>
          <w:rFonts w:asciiTheme="majorBidi" w:hAnsiTheme="majorBidi" w:cstheme="majorBidi"/>
          <w:sz w:val="24"/>
          <w:szCs w:val="24"/>
          <w:lang w:val="en-US"/>
        </w:rPr>
        <w:t>electrolyt</w:t>
      </w:r>
      <w:r w:rsidR="00BC5642" w:rsidRPr="00795222">
        <w:rPr>
          <w:rFonts w:asciiTheme="majorBidi" w:hAnsiTheme="majorBidi" w:cstheme="majorBidi"/>
          <w:sz w:val="24"/>
          <w:szCs w:val="24"/>
          <w:lang w:val="en-US"/>
        </w:rPr>
        <w:t>e</w:t>
      </w:r>
      <w:r w:rsidR="00DD10AA" w:rsidRPr="00795222">
        <w:rPr>
          <w:rFonts w:asciiTheme="majorBidi" w:hAnsiTheme="majorBidi" w:cstheme="majorBidi"/>
          <w:sz w:val="24"/>
          <w:szCs w:val="24"/>
          <w:lang w:val="en-US"/>
        </w:rPr>
        <w:t xml:space="preserve"> solutions </w:t>
      </w:r>
      <w:r w:rsidR="00BC5642" w:rsidRPr="00795222">
        <w:rPr>
          <w:rFonts w:asciiTheme="majorBidi" w:hAnsiTheme="majorBidi" w:cstheme="majorBidi"/>
          <w:sz w:val="24"/>
          <w:szCs w:val="24"/>
          <w:lang w:val="en-US"/>
        </w:rPr>
        <w:t>present in the body</w:t>
      </w:r>
      <w:r w:rsidR="005513C1" w:rsidRPr="00795222">
        <w:rPr>
          <w:rFonts w:asciiTheme="majorBidi" w:hAnsiTheme="majorBidi" w:cstheme="majorBidi"/>
          <w:sz w:val="24"/>
          <w:szCs w:val="24"/>
          <w:lang w:val="en-US"/>
        </w:rPr>
        <w:t>.</w:t>
      </w:r>
      <w:r w:rsidR="00DD10AA" w:rsidRPr="00795222">
        <w:rPr>
          <w:rFonts w:asciiTheme="majorBidi" w:hAnsiTheme="majorBidi" w:cstheme="majorBidi"/>
          <w:sz w:val="24"/>
          <w:szCs w:val="24"/>
          <w:lang w:val="en-US"/>
        </w:rPr>
        <w:t xml:space="preserve"> </w:t>
      </w:r>
      <w:r w:rsidR="005513C1" w:rsidRPr="00795222">
        <w:rPr>
          <w:rFonts w:asciiTheme="majorBidi" w:hAnsiTheme="majorBidi" w:cstheme="majorBidi"/>
          <w:sz w:val="24"/>
          <w:szCs w:val="24"/>
          <w:lang w:val="en-US"/>
        </w:rPr>
        <w:t>I</w:t>
      </w:r>
      <w:r w:rsidR="00A750CC" w:rsidRPr="00795222">
        <w:rPr>
          <w:rFonts w:asciiTheme="majorBidi" w:hAnsiTheme="majorBidi" w:cstheme="majorBidi"/>
          <w:sz w:val="24"/>
          <w:szCs w:val="24"/>
          <w:lang w:val="en-US"/>
        </w:rPr>
        <w:t xml:space="preserve">n experiments </w:t>
      </w:r>
      <w:r w:rsidR="00FE6CEB" w:rsidRPr="00795222">
        <w:rPr>
          <w:rFonts w:asciiTheme="majorBidi" w:hAnsiTheme="majorBidi" w:cstheme="majorBidi"/>
          <w:sz w:val="24"/>
          <w:szCs w:val="24"/>
          <w:lang w:val="en-US"/>
        </w:rPr>
        <w:t xml:space="preserve">by Chan </w:t>
      </w:r>
      <w:r w:rsidR="00FE6CEB" w:rsidRPr="00795222">
        <w:rPr>
          <w:rFonts w:asciiTheme="majorBidi" w:hAnsiTheme="majorBidi" w:cstheme="majorBidi"/>
          <w:i/>
          <w:iCs/>
          <w:sz w:val="24"/>
          <w:szCs w:val="24"/>
          <w:lang w:val="en-US"/>
        </w:rPr>
        <w:t>et al</w:t>
      </w:r>
      <w:r w:rsidR="00FE6CEB" w:rsidRPr="00795222">
        <w:rPr>
          <w:rFonts w:asciiTheme="majorBidi" w:hAnsiTheme="majorBidi" w:cstheme="majorBidi"/>
          <w:sz w:val="24"/>
          <w:szCs w:val="24"/>
          <w:lang w:val="en-US"/>
        </w:rPr>
        <w:t xml:space="preserve">. </w:t>
      </w:r>
      <w:r w:rsidR="0005017E" w:rsidRPr="00795222">
        <w:rPr>
          <w:rFonts w:asciiTheme="majorBidi" w:hAnsiTheme="majorBidi" w:cstheme="majorBidi"/>
          <w:sz w:val="24"/>
          <w:szCs w:val="24"/>
          <w:lang w:val="en-US"/>
        </w:rPr>
        <w:t xml:space="preserve">to determine the role of the PEG shell in LPHNs </w:t>
      </w:r>
      <w:r w:rsidR="0051529C" w:rsidRPr="00795222">
        <w:rPr>
          <w:rFonts w:asciiTheme="majorBidi" w:hAnsiTheme="majorBidi" w:cstheme="majorBidi"/>
          <w:sz w:val="24"/>
          <w:szCs w:val="24"/>
          <w:lang w:val="en-US"/>
        </w:rPr>
        <w:t>stabilization</w:t>
      </w:r>
      <w:r w:rsidR="008B6B46" w:rsidRPr="00795222">
        <w:rPr>
          <w:rFonts w:asciiTheme="majorBidi" w:hAnsiTheme="majorBidi" w:cstheme="majorBidi"/>
          <w:sz w:val="24"/>
          <w:szCs w:val="24"/>
          <w:lang w:val="en-US"/>
        </w:rPr>
        <w:t xml:space="preserve">, </w:t>
      </w:r>
      <w:r w:rsidR="00FE6CEB" w:rsidRPr="00795222">
        <w:rPr>
          <w:rFonts w:asciiTheme="majorBidi" w:hAnsiTheme="majorBidi" w:cstheme="majorBidi"/>
          <w:sz w:val="24"/>
          <w:szCs w:val="24"/>
          <w:lang w:val="en-US"/>
        </w:rPr>
        <w:t xml:space="preserve">it was </w:t>
      </w:r>
      <w:r w:rsidR="000252B8" w:rsidRPr="00795222">
        <w:rPr>
          <w:rFonts w:asciiTheme="majorBidi" w:hAnsiTheme="majorBidi" w:cstheme="majorBidi"/>
          <w:sz w:val="24"/>
          <w:szCs w:val="24"/>
          <w:lang w:val="en-US"/>
        </w:rPr>
        <w:t>repo</w:t>
      </w:r>
      <w:r w:rsidR="000012FD" w:rsidRPr="00795222">
        <w:rPr>
          <w:rFonts w:asciiTheme="majorBidi" w:hAnsiTheme="majorBidi" w:cstheme="majorBidi"/>
          <w:sz w:val="24"/>
          <w:szCs w:val="24"/>
          <w:lang w:val="en-US"/>
        </w:rPr>
        <w:t>rted</w:t>
      </w:r>
      <w:r w:rsidR="00A03731" w:rsidRPr="00795222">
        <w:rPr>
          <w:rFonts w:asciiTheme="majorBidi" w:hAnsiTheme="majorBidi" w:cstheme="majorBidi"/>
          <w:sz w:val="24"/>
          <w:szCs w:val="24"/>
          <w:lang w:val="en-US"/>
        </w:rPr>
        <w:t xml:space="preserve"> that</w:t>
      </w:r>
      <w:r w:rsidR="000012FD" w:rsidRPr="00795222">
        <w:rPr>
          <w:rFonts w:asciiTheme="majorBidi" w:hAnsiTheme="majorBidi" w:cstheme="majorBidi"/>
          <w:sz w:val="24"/>
          <w:szCs w:val="24"/>
          <w:lang w:val="en-US"/>
        </w:rPr>
        <w:t xml:space="preserve"> </w:t>
      </w:r>
      <w:r w:rsidR="00517EDE" w:rsidRPr="00795222">
        <w:rPr>
          <w:rFonts w:asciiTheme="majorBidi" w:hAnsiTheme="majorBidi" w:cstheme="majorBidi"/>
          <w:sz w:val="24"/>
          <w:szCs w:val="24"/>
          <w:lang w:val="en-US"/>
        </w:rPr>
        <w:t>large aggregates</w:t>
      </w:r>
      <w:r w:rsidR="003C08B8" w:rsidRPr="00795222">
        <w:rPr>
          <w:rFonts w:asciiTheme="majorBidi" w:hAnsiTheme="majorBidi" w:cstheme="majorBidi"/>
          <w:sz w:val="24"/>
          <w:szCs w:val="24"/>
          <w:lang w:val="en-US"/>
        </w:rPr>
        <w:t xml:space="preserve"> </w:t>
      </w:r>
      <w:r w:rsidR="00FE6CEB" w:rsidRPr="00795222">
        <w:rPr>
          <w:rFonts w:asciiTheme="majorBidi" w:hAnsiTheme="majorBidi" w:cstheme="majorBidi"/>
          <w:sz w:val="24"/>
          <w:szCs w:val="24"/>
          <w:lang w:val="en-US"/>
        </w:rPr>
        <w:t xml:space="preserve">formed </w:t>
      </w:r>
      <w:r w:rsidR="00627FEB" w:rsidRPr="00795222">
        <w:rPr>
          <w:rFonts w:asciiTheme="majorBidi" w:hAnsiTheme="majorBidi" w:cstheme="majorBidi"/>
          <w:sz w:val="24"/>
          <w:szCs w:val="24"/>
          <w:lang w:val="en-US"/>
        </w:rPr>
        <w:t>when LPHNs were dispersed in</w:t>
      </w:r>
      <w:r w:rsidR="001B5E01" w:rsidRPr="00795222">
        <w:rPr>
          <w:rFonts w:asciiTheme="majorBidi" w:hAnsiTheme="majorBidi" w:cstheme="majorBidi"/>
          <w:sz w:val="24"/>
          <w:szCs w:val="24"/>
          <w:lang w:val="en-US"/>
        </w:rPr>
        <w:t xml:space="preserve"> phosphate buffer</w:t>
      </w:r>
      <w:r w:rsidR="00CC63B5" w:rsidRPr="00795222">
        <w:rPr>
          <w:rFonts w:asciiTheme="majorBidi" w:hAnsiTheme="majorBidi" w:cstheme="majorBidi"/>
          <w:sz w:val="24"/>
          <w:szCs w:val="24"/>
          <w:lang w:val="en-US"/>
        </w:rPr>
        <w:t xml:space="preserve">ed </w:t>
      </w:r>
      <w:r w:rsidR="001B5E01" w:rsidRPr="00795222">
        <w:rPr>
          <w:rFonts w:asciiTheme="majorBidi" w:hAnsiTheme="majorBidi" w:cstheme="majorBidi"/>
          <w:sz w:val="24"/>
          <w:szCs w:val="24"/>
          <w:lang w:val="en-US"/>
        </w:rPr>
        <w:t>saline</w:t>
      </w:r>
      <w:r w:rsidR="00BC5642" w:rsidRPr="00795222">
        <w:rPr>
          <w:rFonts w:asciiTheme="majorBidi" w:hAnsiTheme="majorBidi" w:cstheme="majorBidi"/>
          <w:sz w:val="24"/>
          <w:szCs w:val="24"/>
          <w:lang w:val="en-US"/>
        </w:rPr>
        <w:t xml:space="preserve"> </w:t>
      </w:r>
      <w:r w:rsidR="004D3342" w:rsidRPr="00795222">
        <w:rPr>
          <w:rFonts w:asciiTheme="majorBidi" w:hAnsiTheme="majorBidi" w:cstheme="majorBidi"/>
          <w:sz w:val="24"/>
          <w:szCs w:val="24"/>
          <w:lang w:val="en-US"/>
        </w:rPr>
        <w:t>(</w:t>
      </w:r>
      <w:r w:rsidR="00627FEB" w:rsidRPr="00795222">
        <w:rPr>
          <w:rFonts w:asciiTheme="majorBidi" w:hAnsiTheme="majorBidi" w:cstheme="majorBidi"/>
          <w:sz w:val="24"/>
          <w:szCs w:val="24"/>
          <w:lang w:val="en-US"/>
        </w:rPr>
        <w:t>PBS</w:t>
      </w:r>
      <w:r w:rsidR="004D3342" w:rsidRPr="00795222">
        <w:rPr>
          <w:rFonts w:asciiTheme="majorBidi" w:hAnsiTheme="majorBidi" w:cstheme="majorBidi"/>
          <w:sz w:val="24"/>
          <w:szCs w:val="24"/>
          <w:lang w:val="en-US"/>
        </w:rPr>
        <w:t>)</w:t>
      </w:r>
      <w:r w:rsidR="00BC5642" w:rsidRPr="00795222">
        <w:rPr>
          <w:rFonts w:asciiTheme="majorBidi" w:hAnsiTheme="majorBidi" w:cstheme="majorBidi"/>
          <w:sz w:val="24"/>
          <w:szCs w:val="24"/>
          <w:lang w:val="en-US"/>
        </w:rPr>
        <w:t xml:space="preserve"> (a common </w:t>
      </w:r>
      <w:r w:rsidR="005F5163" w:rsidRPr="00795222">
        <w:rPr>
          <w:rFonts w:asciiTheme="majorBidi" w:hAnsiTheme="majorBidi" w:cstheme="majorBidi"/>
          <w:sz w:val="24"/>
          <w:szCs w:val="24"/>
          <w:lang w:val="en-US"/>
        </w:rPr>
        <w:t xml:space="preserve">model </w:t>
      </w:r>
      <w:r w:rsidR="00BC5642" w:rsidRPr="00795222">
        <w:rPr>
          <w:rFonts w:asciiTheme="majorBidi" w:hAnsiTheme="majorBidi" w:cstheme="majorBidi"/>
          <w:sz w:val="24"/>
          <w:szCs w:val="24"/>
          <w:lang w:val="en-US"/>
        </w:rPr>
        <w:t>for biological ionic strength</w:t>
      </w:r>
      <w:r w:rsidR="005F5163" w:rsidRPr="00795222">
        <w:rPr>
          <w:rFonts w:asciiTheme="majorBidi" w:hAnsiTheme="majorBidi" w:cstheme="majorBidi"/>
          <w:sz w:val="24"/>
          <w:szCs w:val="24"/>
          <w:lang w:val="en-US"/>
        </w:rPr>
        <w:t xml:space="preserve"> matrices</w:t>
      </w:r>
      <w:r w:rsidR="00BC5642" w:rsidRPr="00795222">
        <w:rPr>
          <w:rFonts w:asciiTheme="majorBidi" w:hAnsiTheme="majorBidi" w:cstheme="majorBidi"/>
          <w:sz w:val="24"/>
          <w:szCs w:val="24"/>
          <w:lang w:val="en-US"/>
        </w:rPr>
        <w:t>)</w:t>
      </w:r>
      <w:r w:rsidR="00627FEB" w:rsidRPr="00795222">
        <w:rPr>
          <w:rFonts w:asciiTheme="majorBidi" w:hAnsiTheme="majorBidi" w:cstheme="majorBidi"/>
          <w:sz w:val="24"/>
          <w:szCs w:val="24"/>
          <w:lang w:val="en-US"/>
        </w:rPr>
        <w:t xml:space="preserve"> in the absence of the PEG shell </w:t>
      </w:r>
      <w:r w:rsidR="00C75CF5" w:rsidRPr="00795222">
        <w:rPr>
          <w:rFonts w:asciiTheme="majorBidi" w:hAnsiTheme="majorBidi" w:cstheme="majorBidi"/>
          <w:sz w:val="24"/>
          <w:szCs w:val="24"/>
          <w:lang w:val="en-US"/>
        </w:rPr>
        <w:t>despite the presence of high lipid coverage</w:t>
      </w:r>
      <w:r w:rsidR="00A1021D" w:rsidRPr="00795222">
        <w:rPr>
          <w:rFonts w:asciiTheme="majorBidi" w:hAnsiTheme="majorBidi" w:cstheme="majorBidi"/>
          <w:sz w:val="24"/>
          <w:szCs w:val="24"/>
          <w:lang w:val="en-US"/>
        </w:rPr>
        <w:t xml:space="preserve"> of the cores</w:t>
      </w:r>
      <w:r w:rsidR="00BC5642" w:rsidRPr="00795222">
        <w:rPr>
          <w:rFonts w:asciiTheme="majorBidi" w:hAnsiTheme="majorBidi" w:cstheme="majorBidi"/>
          <w:sz w:val="24"/>
          <w:szCs w:val="24"/>
          <w:lang w:val="en-US"/>
        </w:rPr>
        <w:t>.</w:t>
      </w:r>
      <w:r w:rsidR="00F075B0" w:rsidRPr="00795222">
        <w:rPr>
          <w:rFonts w:asciiTheme="majorBidi" w:hAnsiTheme="majorBidi" w:cstheme="majorBidi"/>
          <w:sz w:val="24"/>
          <w:szCs w:val="24"/>
          <w:lang w:val="en-US"/>
        </w:rPr>
        <w:t xml:space="preserve"> </w:t>
      </w:r>
      <w:r w:rsidR="00BC5642" w:rsidRPr="00795222">
        <w:rPr>
          <w:rFonts w:asciiTheme="majorBidi" w:hAnsiTheme="majorBidi" w:cstheme="majorBidi"/>
          <w:sz w:val="24"/>
          <w:szCs w:val="24"/>
          <w:lang w:val="en-US"/>
        </w:rPr>
        <w:t>W</w:t>
      </w:r>
      <w:r w:rsidR="00F075B0" w:rsidRPr="00795222">
        <w:rPr>
          <w:rFonts w:asciiTheme="majorBidi" w:hAnsiTheme="majorBidi" w:cstheme="majorBidi"/>
          <w:sz w:val="24"/>
          <w:szCs w:val="24"/>
          <w:lang w:val="en-US"/>
        </w:rPr>
        <w:t>hile</w:t>
      </w:r>
      <w:r w:rsidR="00BC5642" w:rsidRPr="00795222">
        <w:rPr>
          <w:rFonts w:asciiTheme="majorBidi" w:hAnsiTheme="majorBidi" w:cstheme="majorBidi"/>
          <w:sz w:val="24"/>
          <w:szCs w:val="24"/>
          <w:lang w:val="en-US"/>
        </w:rPr>
        <w:t>,</w:t>
      </w:r>
      <w:r w:rsidR="00F075B0" w:rsidRPr="00795222">
        <w:rPr>
          <w:rFonts w:asciiTheme="majorBidi" w:hAnsiTheme="majorBidi" w:cstheme="majorBidi"/>
          <w:sz w:val="24"/>
          <w:szCs w:val="24"/>
          <w:lang w:val="en-US"/>
        </w:rPr>
        <w:t xml:space="preserve"> </w:t>
      </w:r>
      <w:r w:rsidR="00A12BAF" w:rsidRPr="00795222">
        <w:rPr>
          <w:rFonts w:asciiTheme="majorBidi" w:hAnsiTheme="majorBidi" w:cstheme="majorBidi"/>
          <w:sz w:val="24"/>
          <w:szCs w:val="24"/>
          <w:lang w:val="en-US"/>
        </w:rPr>
        <w:t>LPHNs</w:t>
      </w:r>
      <w:r w:rsidR="008E2859" w:rsidRPr="00795222">
        <w:rPr>
          <w:rFonts w:asciiTheme="majorBidi" w:hAnsiTheme="majorBidi" w:cstheme="majorBidi"/>
          <w:sz w:val="24"/>
          <w:szCs w:val="24"/>
          <w:lang w:val="en-US"/>
        </w:rPr>
        <w:t xml:space="preserve"> </w:t>
      </w:r>
      <w:r w:rsidR="00FE6CEB" w:rsidRPr="00795222">
        <w:rPr>
          <w:rFonts w:asciiTheme="majorBidi" w:hAnsiTheme="majorBidi" w:cstheme="majorBidi"/>
          <w:sz w:val="24"/>
          <w:szCs w:val="24"/>
          <w:lang w:val="en-US"/>
        </w:rPr>
        <w:t xml:space="preserve">coated </w:t>
      </w:r>
      <w:r w:rsidR="008E2859" w:rsidRPr="00795222">
        <w:rPr>
          <w:rFonts w:asciiTheme="majorBidi" w:hAnsiTheme="majorBidi" w:cstheme="majorBidi"/>
          <w:sz w:val="24"/>
          <w:szCs w:val="24"/>
          <w:lang w:val="en-US"/>
        </w:rPr>
        <w:t xml:space="preserve">with </w:t>
      </w:r>
      <w:r w:rsidR="008E4A52" w:rsidRPr="00795222">
        <w:rPr>
          <w:rFonts w:asciiTheme="majorBidi" w:hAnsiTheme="majorBidi" w:cstheme="majorBidi"/>
          <w:sz w:val="24"/>
          <w:szCs w:val="24"/>
          <w:lang w:val="en-US"/>
        </w:rPr>
        <w:t>lipid-PEG showed high stability in PBS</w:t>
      </w:r>
      <w:r w:rsidR="00986737" w:rsidRPr="00795222">
        <w:rPr>
          <w:rFonts w:asciiTheme="majorBidi" w:hAnsiTheme="majorBidi" w:cstheme="majorBidi"/>
          <w:sz w:val="24"/>
          <w:szCs w:val="24"/>
          <w:lang w:val="en-US"/>
        </w:rPr>
        <w:t>,</w:t>
      </w:r>
      <w:r w:rsidR="008E4A52" w:rsidRPr="00795222">
        <w:rPr>
          <w:rFonts w:asciiTheme="majorBidi" w:hAnsiTheme="majorBidi" w:cstheme="majorBidi"/>
          <w:sz w:val="24"/>
          <w:szCs w:val="24"/>
          <w:lang w:val="en-US"/>
        </w:rPr>
        <w:t xml:space="preserve"> </w:t>
      </w:r>
      <w:r w:rsidR="00FE6CEB" w:rsidRPr="00795222">
        <w:rPr>
          <w:rFonts w:asciiTheme="majorBidi" w:hAnsiTheme="majorBidi" w:cstheme="majorBidi"/>
          <w:sz w:val="24"/>
          <w:szCs w:val="24"/>
          <w:lang w:val="en-US"/>
        </w:rPr>
        <w:t xml:space="preserve">this was </w:t>
      </w:r>
      <w:r w:rsidR="009F1618" w:rsidRPr="00795222">
        <w:rPr>
          <w:rFonts w:asciiTheme="majorBidi" w:hAnsiTheme="majorBidi" w:cstheme="majorBidi"/>
          <w:sz w:val="24"/>
          <w:szCs w:val="24"/>
          <w:lang w:val="en-US"/>
        </w:rPr>
        <w:t xml:space="preserve">attributed </w:t>
      </w:r>
      <w:r w:rsidR="008E4A52" w:rsidRPr="00795222">
        <w:rPr>
          <w:rFonts w:asciiTheme="majorBidi" w:hAnsiTheme="majorBidi" w:cstheme="majorBidi"/>
          <w:sz w:val="24"/>
          <w:szCs w:val="24"/>
          <w:lang w:val="en-US"/>
        </w:rPr>
        <w:t xml:space="preserve">to the </w:t>
      </w:r>
      <w:r w:rsidR="00615A5E" w:rsidRPr="00795222">
        <w:rPr>
          <w:rFonts w:asciiTheme="majorBidi" w:hAnsiTheme="majorBidi" w:cstheme="majorBidi"/>
          <w:sz w:val="24"/>
          <w:szCs w:val="24"/>
          <w:lang w:val="en-US"/>
        </w:rPr>
        <w:t xml:space="preserve">steric </w:t>
      </w:r>
      <w:r w:rsidR="0051529C" w:rsidRPr="00795222">
        <w:rPr>
          <w:rFonts w:asciiTheme="majorBidi" w:hAnsiTheme="majorBidi" w:cstheme="majorBidi"/>
          <w:sz w:val="24"/>
          <w:szCs w:val="24"/>
          <w:lang w:val="en-US"/>
        </w:rPr>
        <w:t>stabiliz</w:t>
      </w:r>
      <w:r w:rsidR="00A14436" w:rsidRPr="00795222">
        <w:rPr>
          <w:rFonts w:asciiTheme="majorBidi" w:hAnsiTheme="majorBidi" w:cstheme="majorBidi"/>
          <w:sz w:val="24"/>
          <w:szCs w:val="24"/>
          <w:lang w:val="en-US"/>
        </w:rPr>
        <w:t>ation provided by the PEG</w:t>
      </w:r>
      <w:r w:rsidR="005A3C67" w:rsidRPr="00795222">
        <w:rPr>
          <w:rFonts w:asciiTheme="majorBidi" w:hAnsiTheme="majorBidi" w:cstheme="majorBidi"/>
          <w:sz w:val="24"/>
          <w:szCs w:val="24"/>
          <w:lang w:val="en-US"/>
        </w:rPr>
        <w:t>.</w:t>
      </w:r>
      <w:r w:rsidR="00D602E9" w:rsidRPr="00795222">
        <w:rPr>
          <w:rFonts w:asciiTheme="majorBidi" w:hAnsiTheme="majorBidi" w:cstheme="majorBidi"/>
          <w:sz w:val="24"/>
          <w:szCs w:val="24"/>
          <w:lang w:val="en-US"/>
        </w:rPr>
        <w:fldChar w:fldCharType="begin" w:fldLock="1"/>
      </w:r>
      <w:r w:rsidR="001B7E74" w:rsidRPr="00795222">
        <w:rPr>
          <w:rFonts w:asciiTheme="majorBidi" w:hAnsiTheme="majorBidi" w:cstheme="majorBidi"/>
          <w:sz w:val="24"/>
          <w:szCs w:val="24"/>
          <w:lang w:val="en-US"/>
        </w:rPr>
        <w:instrText>ADDIN CSL_CITATION {"citationItems":[{"id":"ITEM-1","itemData":{"DOI":"10.1016/j.biomaterials.2008.12.013","ISSN":"0142-9612","author":[{"dropping-particle":"","family":"Chan","given":"Juliana M","non-dropping-particle":"","parse-names":false,"suffix":""},{"dropping-particle":"","family":"Zhang","given":"Liangfang","non-dropping-particle":"","parse-names":false,"suffix":""},{"dropping-particle":"","family":"Yuet","given":"Kai P","non-dropping-particle":"","parse-names":false,"suffix":""},{"dropping-particle":"","family":"Liao","given":"Grace","non-dropping-particle":"","parse-names":false,"suffix":""},{"dropping-particle":"","family":"Rhee","given":"June-wha","non-dropping-particle":"","parse-names":false,"suffix":""},{"dropping-particle":"","family":"Langer","given":"Robert","non-dropping-particle":"","parse-names":false,"suffix":""},{"dropping-particle":"","family":"Farokhzad","given":"Omid C","non-dropping-particle":"","parse-names":false,"suffix":""}],"container-title":"Biomaterials","id":"ITEM-1","issue":"8","issued":{"date-parts":[["2009"]]},"page":"1627-1634","publisher":"Elsevier Ltd","title":"Biomaterials PLGA – lecithin – PEG core – shell nanoparticles for controlled drug delivery","type":"article-journal","volume":"30"},"uris":["http://www.mendeley.com/documents/?uuid=5c51ea4a-5945-44ce-a2aa-0c4b8cfac88d"]}],"mendeley":{"formattedCitation":"(Chan et al., 2009)","plainTextFormattedCitation":"(Chan et al., 2009)","previouslyFormattedCitation":"(Chan et al., 2009)"},"properties":{"noteIndex":0},"schema":"https://github.com/citation-style-language/schema/raw/master/csl-citation.json"}</w:instrText>
      </w:r>
      <w:r w:rsidR="00D602E9" w:rsidRPr="00795222">
        <w:rPr>
          <w:rFonts w:asciiTheme="majorBidi" w:hAnsiTheme="majorBidi" w:cstheme="majorBidi"/>
          <w:sz w:val="24"/>
          <w:szCs w:val="24"/>
          <w:lang w:val="en-US"/>
        </w:rPr>
        <w:fldChar w:fldCharType="separate"/>
      </w:r>
      <w:r w:rsidR="00D602E9" w:rsidRPr="00795222">
        <w:rPr>
          <w:rFonts w:asciiTheme="majorBidi" w:hAnsiTheme="majorBidi" w:cstheme="majorBidi"/>
          <w:noProof/>
          <w:sz w:val="24"/>
          <w:szCs w:val="24"/>
          <w:lang w:val="en-US"/>
        </w:rPr>
        <w:t>(Chan et al., 2009)</w:t>
      </w:r>
      <w:r w:rsidR="00D602E9" w:rsidRPr="00795222">
        <w:rPr>
          <w:rFonts w:asciiTheme="majorBidi" w:hAnsiTheme="majorBidi" w:cstheme="majorBidi"/>
          <w:sz w:val="24"/>
          <w:szCs w:val="24"/>
          <w:lang w:val="en-US"/>
        </w:rPr>
        <w:fldChar w:fldCharType="end"/>
      </w:r>
      <w:r w:rsidR="005A3C67" w:rsidRPr="00795222">
        <w:rPr>
          <w:rFonts w:asciiTheme="majorBidi" w:hAnsiTheme="majorBidi" w:cstheme="majorBidi"/>
          <w:sz w:val="24"/>
          <w:szCs w:val="24"/>
          <w:lang w:val="en-US"/>
        </w:rPr>
        <w:t xml:space="preserve"> </w:t>
      </w:r>
      <w:r w:rsidR="00AD0B24" w:rsidRPr="00795222">
        <w:rPr>
          <w:rFonts w:asciiTheme="majorBidi" w:hAnsiTheme="majorBidi" w:cstheme="majorBidi"/>
          <w:sz w:val="24"/>
          <w:szCs w:val="24"/>
          <w:lang w:val="en-US"/>
        </w:rPr>
        <w:t>The lipid</w:t>
      </w:r>
      <w:r w:rsidR="00BC5642" w:rsidRPr="00795222">
        <w:rPr>
          <w:rFonts w:asciiTheme="majorBidi" w:hAnsiTheme="majorBidi" w:cstheme="majorBidi"/>
          <w:sz w:val="24"/>
          <w:szCs w:val="24"/>
          <w:lang w:val="en-US"/>
        </w:rPr>
        <w:t>-</w:t>
      </w:r>
      <w:r w:rsidR="00AD0B24" w:rsidRPr="00795222">
        <w:rPr>
          <w:rFonts w:asciiTheme="majorBidi" w:hAnsiTheme="majorBidi" w:cstheme="majorBidi"/>
          <w:sz w:val="24"/>
          <w:szCs w:val="24"/>
          <w:lang w:val="en-US"/>
        </w:rPr>
        <w:t>PEG conjugates</w:t>
      </w:r>
      <w:r w:rsidR="00496D8C" w:rsidRPr="00795222">
        <w:rPr>
          <w:rFonts w:asciiTheme="majorBidi" w:hAnsiTheme="majorBidi" w:cstheme="majorBidi"/>
          <w:sz w:val="24"/>
          <w:szCs w:val="24"/>
          <w:lang w:val="en-US"/>
        </w:rPr>
        <w:t xml:space="preserve"> also</w:t>
      </w:r>
      <w:r w:rsidR="00FC1E64" w:rsidRPr="00795222">
        <w:rPr>
          <w:rFonts w:asciiTheme="majorBidi" w:hAnsiTheme="majorBidi" w:cstheme="majorBidi"/>
          <w:sz w:val="24"/>
          <w:szCs w:val="24"/>
          <w:lang w:val="en-US"/>
        </w:rPr>
        <w:t xml:space="preserve"> </w:t>
      </w:r>
      <w:r w:rsidR="00FE6CEB" w:rsidRPr="00795222">
        <w:rPr>
          <w:rFonts w:asciiTheme="majorBidi" w:hAnsiTheme="majorBidi" w:cstheme="majorBidi"/>
          <w:sz w:val="24"/>
          <w:szCs w:val="24"/>
          <w:lang w:val="en-US"/>
        </w:rPr>
        <w:t xml:space="preserve">offer LPHNs </w:t>
      </w:r>
      <w:r w:rsidR="00FC1E64" w:rsidRPr="00795222">
        <w:rPr>
          <w:rFonts w:asciiTheme="majorBidi" w:hAnsiTheme="majorBidi" w:cstheme="majorBidi"/>
          <w:sz w:val="24"/>
          <w:szCs w:val="24"/>
          <w:lang w:val="en-US"/>
        </w:rPr>
        <w:t>increase</w:t>
      </w:r>
      <w:r w:rsidR="00FE6CEB" w:rsidRPr="00795222">
        <w:rPr>
          <w:rFonts w:asciiTheme="majorBidi" w:hAnsiTheme="majorBidi" w:cstheme="majorBidi"/>
          <w:sz w:val="24"/>
          <w:szCs w:val="24"/>
          <w:lang w:val="en-US"/>
        </w:rPr>
        <w:t>d</w:t>
      </w:r>
      <w:r w:rsidR="00FC1E64" w:rsidRPr="00795222">
        <w:rPr>
          <w:rFonts w:asciiTheme="majorBidi" w:hAnsiTheme="majorBidi" w:cstheme="majorBidi"/>
          <w:sz w:val="24"/>
          <w:szCs w:val="24"/>
          <w:lang w:val="en-US"/>
        </w:rPr>
        <w:t xml:space="preserve"> </w:t>
      </w:r>
      <w:r w:rsidR="00E86E12" w:rsidRPr="00795222">
        <w:rPr>
          <w:rFonts w:asciiTheme="majorBidi" w:hAnsiTheme="majorBidi" w:cstheme="majorBidi"/>
          <w:sz w:val="24"/>
          <w:szCs w:val="24"/>
          <w:lang w:val="en-US"/>
        </w:rPr>
        <w:t xml:space="preserve">residence time in </w:t>
      </w:r>
      <w:r w:rsidR="00FC1E64" w:rsidRPr="00795222">
        <w:rPr>
          <w:rFonts w:asciiTheme="majorBidi" w:hAnsiTheme="majorBidi" w:cstheme="majorBidi"/>
          <w:sz w:val="24"/>
          <w:szCs w:val="24"/>
          <w:lang w:val="en-US"/>
        </w:rPr>
        <w:t xml:space="preserve">blood circulation </w:t>
      </w:r>
      <w:r w:rsidR="001227F4" w:rsidRPr="00795222">
        <w:rPr>
          <w:rFonts w:asciiTheme="majorBidi" w:hAnsiTheme="majorBidi" w:cstheme="majorBidi"/>
          <w:sz w:val="24"/>
          <w:szCs w:val="24"/>
          <w:lang w:val="en-US"/>
        </w:rPr>
        <w:t xml:space="preserve">due to </w:t>
      </w:r>
      <w:r w:rsidR="00A02BD4" w:rsidRPr="00795222">
        <w:rPr>
          <w:rFonts w:asciiTheme="majorBidi" w:hAnsiTheme="majorBidi" w:cstheme="majorBidi"/>
          <w:sz w:val="24"/>
          <w:szCs w:val="24"/>
          <w:lang w:val="en-US"/>
        </w:rPr>
        <w:t>the</w:t>
      </w:r>
      <w:r w:rsidR="00372821" w:rsidRPr="00795222">
        <w:rPr>
          <w:rFonts w:asciiTheme="majorBidi" w:hAnsiTheme="majorBidi" w:cstheme="majorBidi"/>
          <w:sz w:val="24"/>
          <w:szCs w:val="24"/>
          <w:lang w:val="en-US"/>
        </w:rPr>
        <w:t xml:space="preserve"> avoidance </w:t>
      </w:r>
      <w:r w:rsidR="00A212C2" w:rsidRPr="00795222">
        <w:rPr>
          <w:rFonts w:asciiTheme="majorBidi" w:hAnsiTheme="majorBidi" w:cstheme="majorBidi"/>
          <w:sz w:val="24"/>
          <w:szCs w:val="24"/>
          <w:lang w:val="en-US"/>
        </w:rPr>
        <w:t xml:space="preserve">of </w:t>
      </w:r>
      <w:r w:rsidR="00881CDE" w:rsidRPr="00795222">
        <w:rPr>
          <w:rFonts w:asciiTheme="majorBidi" w:hAnsiTheme="majorBidi" w:cstheme="majorBidi"/>
          <w:sz w:val="24"/>
          <w:szCs w:val="24"/>
          <w:lang w:val="en-US"/>
        </w:rPr>
        <w:t>nanoparticle removal by</w:t>
      </w:r>
      <w:r w:rsidR="00E86E12" w:rsidRPr="00795222">
        <w:rPr>
          <w:rFonts w:asciiTheme="majorBidi" w:hAnsiTheme="majorBidi" w:cstheme="majorBidi"/>
          <w:sz w:val="24"/>
          <w:szCs w:val="24"/>
          <w:lang w:val="en-US"/>
        </w:rPr>
        <w:t xml:space="preserve"> the</w:t>
      </w:r>
      <w:r w:rsidR="00881CDE" w:rsidRPr="00795222">
        <w:rPr>
          <w:rFonts w:asciiTheme="majorBidi" w:hAnsiTheme="majorBidi" w:cstheme="majorBidi"/>
          <w:sz w:val="24"/>
          <w:szCs w:val="24"/>
          <w:lang w:val="en-US"/>
        </w:rPr>
        <w:t xml:space="preserve"> reticuloendothelial system (</w:t>
      </w:r>
      <w:r w:rsidR="00A212C2" w:rsidRPr="00795222">
        <w:rPr>
          <w:rFonts w:asciiTheme="majorBidi" w:hAnsiTheme="majorBidi" w:cstheme="majorBidi"/>
          <w:sz w:val="24"/>
          <w:szCs w:val="24"/>
          <w:lang w:val="en-US"/>
        </w:rPr>
        <w:t>RES</w:t>
      </w:r>
      <w:r w:rsidR="00881CDE" w:rsidRPr="00795222">
        <w:rPr>
          <w:rFonts w:asciiTheme="majorBidi" w:hAnsiTheme="majorBidi" w:cstheme="majorBidi"/>
          <w:sz w:val="24"/>
          <w:szCs w:val="24"/>
          <w:lang w:val="en-US"/>
        </w:rPr>
        <w:t>)</w:t>
      </w:r>
      <w:r w:rsidR="00E86E12" w:rsidRPr="00795222">
        <w:rPr>
          <w:rFonts w:asciiTheme="majorBidi" w:hAnsiTheme="majorBidi" w:cstheme="majorBidi"/>
          <w:sz w:val="24"/>
          <w:szCs w:val="24"/>
          <w:lang w:val="en-US"/>
        </w:rPr>
        <w:t>,</w:t>
      </w:r>
      <w:r w:rsidR="00B737C0" w:rsidRPr="00795222">
        <w:rPr>
          <w:rFonts w:asciiTheme="majorBidi" w:hAnsiTheme="majorBidi" w:cstheme="majorBidi"/>
          <w:sz w:val="24"/>
          <w:szCs w:val="24"/>
          <w:lang w:val="en-US"/>
        </w:rPr>
        <w:t xml:space="preserve"> </w:t>
      </w:r>
      <w:r w:rsidR="00E86E12" w:rsidRPr="00795222">
        <w:rPr>
          <w:rFonts w:asciiTheme="majorBidi" w:hAnsiTheme="majorBidi" w:cstheme="majorBidi"/>
          <w:sz w:val="24"/>
          <w:szCs w:val="24"/>
          <w:lang w:val="en-US"/>
        </w:rPr>
        <w:t>this</w:t>
      </w:r>
      <w:r w:rsidR="00B737C0" w:rsidRPr="00795222">
        <w:rPr>
          <w:rFonts w:asciiTheme="majorBidi" w:hAnsiTheme="majorBidi" w:cstheme="majorBidi"/>
          <w:sz w:val="24"/>
          <w:szCs w:val="24"/>
          <w:lang w:val="en-US"/>
        </w:rPr>
        <w:t xml:space="preserve"> is</w:t>
      </w:r>
      <w:r w:rsidR="002023CD" w:rsidRPr="00795222">
        <w:rPr>
          <w:rFonts w:asciiTheme="majorBidi" w:hAnsiTheme="majorBidi" w:cstheme="majorBidi"/>
          <w:sz w:val="24"/>
          <w:szCs w:val="24"/>
          <w:lang w:val="en-US"/>
        </w:rPr>
        <w:t xml:space="preserve"> an</w:t>
      </w:r>
      <w:r w:rsidR="00B737C0" w:rsidRPr="00795222">
        <w:rPr>
          <w:rFonts w:asciiTheme="majorBidi" w:hAnsiTheme="majorBidi" w:cstheme="majorBidi"/>
          <w:sz w:val="24"/>
          <w:szCs w:val="24"/>
          <w:lang w:val="en-US"/>
        </w:rPr>
        <w:t xml:space="preserve"> important</w:t>
      </w:r>
      <w:r w:rsidR="002023CD" w:rsidRPr="00795222">
        <w:rPr>
          <w:rFonts w:asciiTheme="majorBidi" w:hAnsiTheme="majorBidi" w:cstheme="majorBidi"/>
          <w:sz w:val="24"/>
          <w:szCs w:val="24"/>
          <w:lang w:val="en-US"/>
        </w:rPr>
        <w:t xml:space="preserve"> consideration in parenteral formulations</w:t>
      </w:r>
      <w:r w:rsidR="005F1485" w:rsidRPr="00795222">
        <w:rPr>
          <w:rFonts w:asciiTheme="majorBidi" w:hAnsiTheme="majorBidi" w:cstheme="majorBidi"/>
          <w:sz w:val="24"/>
          <w:szCs w:val="24"/>
          <w:lang w:val="en-US"/>
        </w:rPr>
        <w:t>.</w:t>
      </w:r>
      <w:r w:rsidR="00655347" w:rsidRPr="00795222">
        <w:rPr>
          <w:rFonts w:asciiTheme="majorBidi" w:hAnsiTheme="majorBidi" w:cstheme="majorBidi"/>
          <w:sz w:val="24"/>
          <w:szCs w:val="24"/>
          <w:lang w:val="en-US"/>
        </w:rPr>
        <w:t xml:space="preserve"> </w:t>
      </w:r>
      <w:r w:rsidR="00522F9B" w:rsidRPr="00795222">
        <w:rPr>
          <w:rFonts w:asciiTheme="majorBidi" w:hAnsiTheme="majorBidi" w:cstheme="majorBidi"/>
          <w:sz w:val="24"/>
          <w:szCs w:val="24"/>
          <w:lang w:val="en-US"/>
        </w:rPr>
        <w:fldChar w:fldCharType="begin" w:fldLock="1"/>
      </w:r>
      <w:r w:rsidR="00B82D25" w:rsidRPr="00795222">
        <w:rPr>
          <w:rFonts w:asciiTheme="majorBidi" w:hAnsiTheme="majorBidi" w:cstheme="majorBidi"/>
          <w:sz w:val="24"/>
          <w:szCs w:val="24"/>
          <w:lang w:val="en-US"/>
        </w:rPr>
        <w:instrText>ADDIN CSL_CITATION {"citationItems":[{"id":"ITEM-1","itemData":{"DOI":"10.1016/j.ejpb.2013.07.002","ISSN":"0939-6411","author":[{"dropping-particle":"","family":"Hadinoto","given":"Kunn","non-dropping-particle":"","parse-names":false,"suffix":""},{"dropping-particle":"","family":"Sundaresan","given":"Ajitha","non-dropping-particle":"","parse-names":false,"suffix":""},{"dropping-particle":"","family":"Cheow","given":"Wean Sin","non-dropping-particle":"","parse-names":false,"suffix":""}],"container-title":"European Journal of Pharmaceutics and Biopharmaceutics","id":"ITEM-1","issue":"3","issued":{"date-parts":[["2013"]]},"page":"427-443","publisher":"Elsevier B.V.","title":"European Journal of Pharmaceutics and Biopharmaceutics Lipid – polymer hybrid nanoparticles as a new generation therapeutic delivery platform : A review","type":"article-journal","volume":"85"},"uris":["http://www.mendeley.com/documents/?uuid=2a5554cc-3996-41c2-b75d-51dd7a904241"]},{"id":"ITEM-2","itemData":{"DOI":"10.1021/nn800275r","ISSN":"1936-0851","abstract":"We report the engineering of a novel lipid-polymer hybrid nanoparticle (NP) as a robust drug delivery platform, with high drug encapsulation yield, tunable and sustained drug release profile, excellent serum stability, and potential for differential targeting of cells or tissues. The NP comprises three distinct functional components: (i) a hydrophobic polymeric core where poorly water-soluble drugs can be encapsulated; (ii) a hydrophilic polymeric shell with antibiofouling properties to enhance NP stability and systemic circulation half-life; and (iii) a lipid monolayer at the interface of the core and the shell that acts as a molecular fence to promote drug retention inside the polymeric core, thereby enhancing drug encapsulation efficiency, increasing drug loading yield, and controlling drug release. The NP is prepared by self-assembly through a single-step nanoprecipitation method in a reproducible and predictable manner, making it potentially suitable for scale-up","author":[{"dropping-particle":"","family":"Zhang","given":"Liangfang","non-dropping-particle":"","parse-names":false,"suffix":""},{"dropping-particle":"","family":"Chan","given":"Juliana M","non-dropping-particle":"","parse-names":false,"suffix":""},{"dropping-particle":"","family":"Gu","given":"Frank X","non-dropping-particle":"","parse-names":false,"suffix":""},{"dropping-particle":"","family":"Rhee","given":"June-wha","non-dropping-particle":"","parse-names":false,"suffix":""},{"dropping-particle":"","family":"Wang","given":"Andrew Z","non-dropping-particle":"","parse-names":false,"suffix":""},{"dropping-particle":"","family":"Radovic-moreno","given":"Aleksandar F","non-dropping-particle":"","parse-names":false,"suffix":""},{"dropping-particle":"","family":"Alexis","given":"Frank","non-dropping-particle":"","parse-names":false,"suffix":""},{"dropping-particle":"","family":"Langer","given":"Robert","non-dropping-particle":"","parse-names":false,"suffix":""},{"dropping-particle":"","family":"Farokhzad","given":"Omid C","non-dropping-particle":"","parse-names":false,"suffix":""}],"container-title":"ACS nano","id":"ITEM-2","issue":"8","issued":{"date-parts":[["2008"]]},"note":"Polymer lipid hybrids, prepared by a ultrafiltration induced nanoprecipitation","page":"1696 -1702","title":"Self-Assembled Lipid Polymer Hybrid Nanoparticles : A Robust Drug Delivery Platform","type":"article-journal","volume":"2"},"uris":["http://www.mendeley.com/documents/?uuid=d9de6bef-b105-4341-a6d5-a928b9b182c5"]}],"mendeley":{"formattedCitation":"(Hadinoto et al., 2013; Zhang et al., 2008)","plainTextFormattedCitation":"(Hadinoto et al., 2013; Zhang et al., 2008)","previouslyFormattedCitation":"(Hadinoto et al., 2013; Zhang et al., 2008)"},"properties":{"noteIndex":0},"schema":"https://github.com/citation-style-language/schema/raw/master/csl-citation.json"}</w:instrText>
      </w:r>
      <w:r w:rsidR="00522F9B" w:rsidRPr="00795222">
        <w:rPr>
          <w:rFonts w:asciiTheme="majorBidi" w:hAnsiTheme="majorBidi" w:cstheme="majorBidi"/>
          <w:sz w:val="24"/>
          <w:szCs w:val="24"/>
          <w:lang w:val="en-US"/>
        </w:rPr>
        <w:fldChar w:fldCharType="separate"/>
      </w:r>
      <w:r w:rsidR="00B82D25" w:rsidRPr="00795222">
        <w:rPr>
          <w:rFonts w:asciiTheme="majorBidi" w:hAnsiTheme="majorBidi" w:cstheme="majorBidi"/>
          <w:noProof/>
          <w:sz w:val="24"/>
          <w:szCs w:val="24"/>
          <w:lang w:val="en-US"/>
        </w:rPr>
        <w:t>(Hadinoto et al., 2013; Zhang et al., 2008)</w:t>
      </w:r>
      <w:r w:rsidR="00522F9B" w:rsidRPr="00795222">
        <w:rPr>
          <w:rFonts w:asciiTheme="majorBidi" w:hAnsiTheme="majorBidi" w:cstheme="majorBidi"/>
          <w:sz w:val="24"/>
          <w:szCs w:val="24"/>
          <w:lang w:val="en-US"/>
        </w:rPr>
        <w:fldChar w:fldCharType="end"/>
      </w:r>
      <w:r w:rsidR="00AD3C61" w:rsidRPr="00795222">
        <w:rPr>
          <w:rFonts w:asciiTheme="majorBidi" w:hAnsiTheme="majorBidi" w:cstheme="majorBidi"/>
          <w:sz w:val="24"/>
          <w:szCs w:val="24"/>
          <w:lang w:val="en-US"/>
        </w:rPr>
        <w:t xml:space="preserve"> </w:t>
      </w:r>
    </w:p>
    <w:p w14:paraId="5C811E5A" w14:textId="50C6322D" w:rsidR="00D11AD5" w:rsidRPr="00795222" w:rsidRDefault="00AD3C61" w:rsidP="00657F6C">
      <w:p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lang w:val="en-US"/>
        </w:rPr>
        <w:t xml:space="preserve">LPHNs combine many of the advantages of lipid-based nanomedicines such as enhanced cellular uptake and the </w:t>
      </w:r>
      <w:r w:rsidR="00E86E12" w:rsidRPr="00795222">
        <w:rPr>
          <w:rFonts w:asciiTheme="majorBidi" w:hAnsiTheme="majorBidi" w:cstheme="majorBidi"/>
          <w:sz w:val="24"/>
          <w:szCs w:val="24"/>
          <w:lang w:val="en-US"/>
        </w:rPr>
        <w:t xml:space="preserve">inherent </w:t>
      </w:r>
      <w:r w:rsidRPr="00795222">
        <w:rPr>
          <w:rFonts w:asciiTheme="majorBidi" w:hAnsiTheme="majorBidi" w:cstheme="majorBidi"/>
          <w:sz w:val="24"/>
          <w:szCs w:val="24"/>
          <w:lang w:val="en-US"/>
        </w:rPr>
        <w:t>benefits of polymeric nanocarriers including</w:t>
      </w:r>
      <w:r w:rsidR="00E86E12"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t xml:space="preserve">architectural integrity, high stability over prolonged times and </w:t>
      </w:r>
      <w:r w:rsidR="00E86E12" w:rsidRPr="00795222">
        <w:rPr>
          <w:rFonts w:asciiTheme="majorBidi" w:hAnsiTheme="majorBidi" w:cstheme="majorBidi"/>
          <w:sz w:val="24"/>
          <w:szCs w:val="24"/>
          <w:lang w:val="en-US"/>
        </w:rPr>
        <w:t xml:space="preserve">a </w:t>
      </w:r>
      <w:r w:rsidRPr="00795222">
        <w:rPr>
          <w:rFonts w:asciiTheme="majorBidi" w:hAnsiTheme="majorBidi" w:cstheme="majorBidi"/>
          <w:sz w:val="24"/>
          <w:szCs w:val="24"/>
          <w:lang w:val="en-US"/>
        </w:rPr>
        <w:t>controllable drug release profile.</w:t>
      </w:r>
      <w:r w:rsidR="001B7E74"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fldChar w:fldCharType="begin" w:fldLock="1"/>
      </w:r>
      <w:r w:rsidR="001B7E74" w:rsidRPr="00795222">
        <w:rPr>
          <w:rFonts w:asciiTheme="majorBidi" w:hAnsiTheme="majorBidi" w:cstheme="majorBidi"/>
          <w:sz w:val="24"/>
          <w:szCs w:val="24"/>
          <w:lang w:val="en-US"/>
        </w:rPr>
        <w:instrText>ADDIN CSL_CITATION {"citationItems":[{"id":"ITEM-1","itemData":{"DOI":"10.1142/S179398441000016X","ISBN":"1793984410000","author":[{"dropping-particle":"","family":"Zhang","given":"L I","non-dropping-particle":"","parse-names":false,"suffix":""},{"dropping-particle":"","family":"Zhang","given":"Liangfang","non-dropping-particle":"","parse-names":false,"suffix":""}],"id":"ITEM-1","issued":{"date-parts":[["2010"]]},"page":"163-174","title":"Lipid polymer hybrid nanoparticles: synthesis, characterization and applications","type":"article-journal","volume":"1"},"uris":["http://www.mendeley.com/documents/?uuid=b2d0984f-611b-4234-9162-5414a22ed54c"]},{"id":"ITEM-2","itemData":{"DOI":"10.1016/j.ejps.2018.05.014","ISSN":"18790720","abstract":"Non-steroidal anti-inflammatory drugs (NSAIDs), i.e. indomethacin used for rheumatoid arthritis and non-rheumatoid inflammatory diseases, are known for their injurious actions on the gastrointestinal (GI) tract. Mucosal damage can be avoided by using nanoscale systems composed by a combination of liposomes and biodegradable natural polymer, i.e. chitosan, for enhancing drug activity. Aim of this study was to prepare chitosan-lipid hybrid delivery systems for indomethacin dosage through a novel continuous method based on microfluidic principles. The drop-wise conventional method was also applied in order to investigate the effect of the two polymeric coverage processes on the nanostructures features and their interactions with indomethacin. Thermal-physical properties, mucoadhesiveness, drug entrapment efficiency, in vitro release behavior in simulated GI fluids and stability in stocking conditions were assayed and compared, respectively, for the uncoated and chitosan-coated nanoliposomes prepared by the two introduced methods. The prepared chitosan-lipid hybrid structures, with nanometric size, have shown high indomethacin loading (about 10%) and drug encapsulation efficiency up to 99%. TEM investigation has highlighted that the developed novel simil-microfluidic method is able to put a polymeric layer, surrounding indomethacin loaded nanoliposomes, thicker and smoother than that achievable by the drop-wise method, improving their storage stability. Finally, double pH tests have confirmed that the chitosan-lipid hybrid nanostructures have a gastro retentive behavior in simulated gastric and intestinal fluids thus can be used as delivery systems for the oral-controlled release of indomethacin. Based on the present results, the simil-microfluidic method, working with large volumes, in a rapid manner, without the use of drastic conditions and with a precise control over the covering process, seems to be the most promising method for the production of suitable indomethacin delivery system, with a great potential in industrial manufacturing.","author":[{"dropping-particle":"","family":"Dalmoro","given":"Annalisa","non-dropping-particle":"","parse-names":false,"suffix":""},{"dropping-particle":"","family":"Bochicchio","given":"Sabrina","non-dropping-particle":"","parse-names":false,"suffix":""},{"dropping-particle":"","family":"Nasibullin","given":"Shamil F.","non-dropping-particle":"","parse-names":false,"suffix":""},{"dropping-particle":"","family":"Bertoncin","given":"Paolo","non-dropping-particle":"","parse-names":false,"suffix":""},{"dropping-particle":"","family":"Lamberti","given":"Gaetano","non-dropping-particle":"","parse-names":false,"suffix":""},{"dropping-particle":"","family":"Barba","given":"Anna Angela","non-dropping-particle":"","parse-names":false,"suffix":""},{"dropping-particle":"","family":"Moustafine","given":"Rouslan I.","non-dropping-particle":"","parse-names":false,"suffix":""}],"container-title":"European Journal of Pharmaceutical Sciences","id":"ITEM-2","issue":"December 2017","issued":{"date-parts":[["2018"]]},"page":"16-28","title":"Polymer-lipid hybrid nanoparticles as enhanced indomethacin delivery systems","type":"article-journal","volume":"121"},"uris":["http://www.mendeley.com/documents/?uuid=fa55554c-c40d-426a-a928-b49dfcce8b9c"]},{"id":"ITEM-3","itemData":{"author":[{"dropping-particle":"","family":"Gao","given":"Jie","non-dropping-particle":"","parse-names":false,"suffix":""},{"dropping-particle":"","family":"Xia","given":"Yu","non-dropping-particle":"","parse-names":false,"suffix":""},{"dropping-particle":"","family":"Chen","given":"Huaiwen","non-dropping-particle":"","parse-names":false,"suffix":""},{"dropping-particle":"","family":"Yu","given":"Yongsheng","non-dropping-particle":"","parse-names":false,"suffix":""},{"dropping-particle":"","family":"Li","given":"Wei","non-dropping-particle":"","parse-names":false,"suffix":""},{"dropping-particle":"","family":"Qian","given":"Weizhu","non-dropping-particle":"","parse-names":false,"suffix":""},{"dropping-particle":"","family":"Guo","given":"Yajun","non-dropping-particle":"","parse-names":false,"suffix":""}],"id":"ITEM-3","issued":{"date-parts":[["2013"]]},"page":"279-294","title":"Polymer – lipid hybrid nanoparticles conjugated with anti-EGF receptor antibody for targeted drug delivery to hepatocellular carcinoma R esearch A rticle","type":"article-journal"},"uris":["http://www.mendeley.com/documents/?uuid=11de7ca8-3946-4379-ac85-49a8a5cd2f19"]}],"mendeley":{"formattedCitation":"(Dalmoro et al., 2018; Gao et al., 2013; Zhang and Zhang, 2010)","plainTextFormattedCitation":"(Dalmoro et al., 2018; Gao et al., 2013; Zhang and Zhang, 2010)","previouslyFormattedCitation":"(Dalmoro et al., 2018; Gao et al., 2013; Zhang and Zhang, 2010)"},"properties":{"noteIndex":0},"schema":"https://github.com/citation-style-language/schema/raw/master/csl-citation.json"}</w:instrText>
      </w:r>
      <w:r w:rsidRPr="00795222">
        <w:rPr>
          <w:rFonts w:asciiTheme="majorBidi" w:hAnsiTheme="majorBidi" w:cstheme="majorBidi"/>
          <w:sz w:val="24"/>
          <w:szCs w:val="24"/>
          <w:lang w:val="en-US"/>
        </w:rPr>
        <w:fldChar w:fldCharType="separate"/>
      </w:r>
      <w:r w:rsidR="00FF41FF" w:rsidRPr="00795222">
        <w:rPr>
          <w:rFonts w:asciiTheme="majorBidi" w:hAnsiTheme="majorBidi" w:cstheme="majorBidi"/>
          <w:noProof/>
          <w:sz w:val="24"/>
          <w:szCs w:val="24"/>
          <w:lang w:val="en-US"/>
        </w:rPr>
        <w:t>(Dalmoro et al., 2018; Gao et al., 2013; Zhang and Zhang, 2010)</w:t>
      </w:r>
      <w:r w:rsidRPr="00795222">
        <w:rPr>
          <w:rFonts w:asciiTheme="majorBidi" w:hAnsiTheme="majorBidi" w:cstheme="majorBidi"/>
          <w:sz w:val="24"/>
          <w:szCs w:val="24"/>
          <w:lang w:val="en-US"/>
        </w:rPr>
        <w:fldChar w:fldCharType="end"/>
      </w:r>
      <w:r w:rsidR="00FC1E64" w:rsidRPr="00795222">
        <w:rPr>
          <w:rFonts w:asciiTheme="majorBidi" w:hAnsiTheme="majorBidi" w:cstheme="majorBidi"/>
          <w:sz w:val="24"/>
          <w:szCs w:val="24"/>
          <w:lang w:val="en-US"/>
        </w:rPr>
        <w:t xml:space="preserve"> </w:t>
      </w:r>
      <w:r w:rsidR="00806BE0" w:rsidRPr="00795222">
        <w:rPr>
          <w:rFonts w:asciiTheme="majorBidi" w:hAnsiTheme="majorBidi" w:cstheme="majorBidi"/>
          <w:sz w:val="24"/>
          <w:szCs w:val="24"/>
          <w:lang w:val="en-US"/>
        </w:rPr>
        <w:t>The</w:t>
      </w:r>
      <w:r w:rsidR="00D11AD5" w:rsidRPr="00795222">
        <w:rPr>
          <w:rFonts w:asciiTheme="majorBidi" w:hAnsiTheme="majorBidi" w:cstheme="majorBidi"/>
          <w:sz w:val="24"/>
          <w:szCs w:val="24"/>
          <w:lang w:val="en-US"/>
        </w:rPr>
        <w:t xml:space="preserve"> stabilizing </w:t>
      </w:r>
      <w:r w:rsidR="005F2438" w:rsidRPr="00795222">
        <w:rPr>
          <w:rFonts w:asciiTheme="majorBidi" w:hAnsiTheme="majorBidi" w:cstheme="majorBidi"/>
          <w:sz w:val="24"/>
          <w:szCs w:val="24"/>
          <w:lang w:val="en-US"/>
        </w:rPr>
        <w:t xml:space="preserve">physicochemical </w:t>
      </w:r>
      <w:r w:rsidR="00806BE0" w:rsidRPr="00795222">
        <w:rPr>
          <w:rFonts w:asciiTheme="majorBidi" w:hAnsiTheme="majorBidi" w:cstheme="majorBidi"/>
          <w:sz w:val="24"/>
          <w:szCs w:val="24"/>
          <w:lang w:val="en-US"/>
        </w:rPr>
        <w:t xml:space="preserve">properties </w:t>
      </w:r>
      <w:r w:rsidR="00FF057E" w:rsidRPr="00795222">
        <w:rPr>
          <w:rFonts w:asciiTheme="majorBidi" w:hAnsiTheme="majorBidi" w:cstheme="majorBidi"/>
          <w:sz w:val="24"/>
          <w:szCs w:val="24"/>
          <w:lang w:val="en-US"/>
        </w:rPr>
        <w:t xml:space="preserve">of LPHNs </w:t>
      </w:r>
      <w:r w:rsidR="00806BE0" w:rsidRPr="00795222">
        <w:rPr>
          <w:rFonts w:asciiTheme="majorBidi" w:hAnsiTheme="majorBidi" w:cstheme="majorBidi"/>
          <w:sz w:val="24"/>
          <w:szCs w:val="24"/>
          <w:lang w:val="en-US"/>
        </w:rPr>
        <w:t xml:space="preserve">make </w:t>
      </w:r>
      <w:r w:rsidR="00FF057E" w:rsidRPr="00795222">
        <w:rPr>
          <w:rFonts w:asciiTheme="majorBidi" w:hAnsiTheme="majorBidi" w:cstheme="majorBidi"/>
          <w:sz w:val="24"/>
          <w:szCs w:val="24"/>
          <w:lang w:val="en-US"/>
        </w:rPr>
        <w:t xml:space="preserve">them </w:t>
      </w:r>
      <w:r w:rsidR="001F701C" w:rsidRPr="00795222">
        <w:rPr>
          <w:rFonts w:asciiTheme="majorBidi" w:hAnsiTheme="majorBidi" w:cstheme="majorBidi"/>
          <w:sz w:val="24"/>
          <w:szCs w:val="24"/>
          <w:lang w:val="en-US"/>
        </w:rPr>
        <w:t xml:space="preserve">a promising drug delivery system </w:t>
      </w:r>
      <w:r w:rsidR="00330CA1" w:rsidRPr="00795222">
        <w:rPr>
          <w:rFonts w:asciiTheme="majorBidi" w:hAnsiTheme="majorBidi" w:cstheme="majorBidi"/>
          <w:sz w:val="24"/>
          <w:szCs w:val="24"/>
          <w:lang w:val="en-US"/>
        </w:rPr>
        <w:t>to target HIV reservoir sites in the lymphatic</w:t>
      </w:r>
      <w:r w:rsidR="005A219D" w:rsidRPr="00795222">
        <w:rPr>
          <w:rFonts w:asciiTheme="majorBidi" w:hAnsiTheme="majorBidi" w:cstheme="majorBidi"/>
          <w:sz w:val="24"/>
          <w:szCs w:val="24"/>
          <w:lang w:val="en-US"/>
        </w:rPr>
        <w:t xml:space="preserve"> system where</w:t>
      </w:r>
      <w:r w:rsidR="00761E7C" w:rsidRPr="00795222">
        <w:rPr>
          <w:rFonts w:asciiTheme="majorBidi" w:hAnsiTheme="majorBidi" w:cstheme="majorBidi"/>
          <w:sz w:val="24"/>
          <w:szCs w:val="24"/>
          <w:lang w:val="en-US"/>
        </w:rPr>
        <w:t xml:space="preserve">, currently, </w:t>
      </w:r>
      <w:r w:rsidR="00CD658B" w:rsidRPr="00795222">
        <w:rPr>
          <w:rFonts w:asciiTheme="majorBidi" w:hAnsiTheme="majorBidi" w:cstheme="majorBidi"/>
          <w:sz w:val="24"/>
          <w:szCs w:val="24"/>
          <w:lang w:val="en-US"/>
        </w:rPr>
        <w:t xml:space="preserve">the drug </w:t>
      </w:r>
      <w:r w:rsidR="00083DBA" w:rsidRPr="00795222">
        <w:rPr>
          <w:rFonts w:asciiTheme="majorBidi" w:hAnsiTheme="majorBidi" w:cstheme="majorBidi"/>
          <w:sz w:val="24"/>
          <w:szCs w:val="24"/>
          <w:lang w:val="en-US"/>
        </w:rPr>
        <w:t>cannot</w:t>
      </w:r>
      <w:r w:rsidR="00C2300F" w:rsidRPr="00795222">
        <w:rPr>
          <w:rFonts w:asciiTheme="majorBidi" w:hAnsiTheme="majorBidi" w:cstheme="majorBidi"/>
          <w:sz w:val="24"/>
          <w:szCs w:val="24"/>
          <w:lang w:val="en-US"/>
        </w:rPr>
        <w:t xml:space="preserve"> be </w:t>
      </w:r>
      <w:r w:rsidR="00761E7C" w:rsidRPr="00795222">
        <w:rPr>
          <w:rFonts w:asciiTheme="majorBidi" w:hAnsiTheme="majorBidi" w:cstheme="majorBidi"/>
          <w:sz w:val="24"/>
          <w:szCs w:val="24"/>
          <w:lang w:val="en-US"/>
        </w:rPr>
        <w:t>maintained</w:t>
      </w:r>
      <w:r w:rsidR="008B0967" w:rsidRPr="00795222">
        <w:rPr>
          <w:rFonts w:asciiTheme="majorBidi" w:hAnsiTheme="majorBidi" w:cstheme="majorBidi"/>
          <w:sz w:val="24"/>
          <w:szCs w:val="24"/>
          <w:lang w:val="en-US"/>
        </w:rPr>
        <w:t xml:space="preserve"> </w:t>
      </w:r>
      <w:r w:rsidR="00890CDF" w:rsidRPr="00795222">
        <w:rPr>
          <w:rFonts w:asciiTheme="majorBidi" w:hAnsiTheme="majorBidi" w:cstheme="majorBidi"/>
          <w:sz w:val="24"/>
          <w:szCs w:val="24"/>
          <w:lang w:val="en-US"/>
        </w:rPr>
        <w:t>at</w:t>
      </w:r>
      <w:r w:rsidR="008B0967" w:rsidRPr="00795222">
        <w:rPr>
          <w:rFonts w:asciiTheme="majorBidi" w:hAnsiTheme="majorBidi" w:cstheme="majorBidi"/>
          <w:sz w:val="24"/>
          <w:szCs w:val="24"/>
          <w:lang w:val="en-US"/>
        </w:rPr>
        <w:t xml:space="preserve"> </w:t>
      </w:r>
      <w:r w:rsidR="00890CDF" w:rsidRPr="00795222">
        <w:rPr>
          <w:rFonts w:asciiTheme="majorBidi" w:hAnsiTheme="majorBidi" w:cstheme="majorBidi"/>
          <w:sz w:val="24"/>
          <w:szCs w:val="24"/>
          <w:lang w:val="en-US"/>
        </w:rPr>
        <w:t xml:space="preserve">therapeutic </w:t>
      </w:r>
      <w:r w:rsidR="008B0967" w:rsidRPr="00795222">
        <w:rPr>
          <w:rFonts w:asciiTheme="majorBidi" w:hAnsiTheme="majorBidi" w:cstheme="majorBidi"/>
          <w:sz w:val="24"/>
          <w:szCs w:val="24"/>
          <w:lang w:val="en-US"/>
        </w:rPr>
        <w:t>concentrations.</w:t>
      </w:r>
      <w:r w:rsidR="001B7E74" w:rsidRPr="00795222">
        <w:rPr>
          <w:rFonts w:asciiTheme="majorBidi" w:hAnsiTheme="majorBidi" w:cstheme="majorBidi"/>
          <w:sz w:val="24"/>
          <w:szCs w:val="24"/>
          <w:lang w:val="en-US"/>
        </w:rPr>
        <w:t xml:space="preserve"> </w:t>
      </w:r>
      <w:r w:rsidR="006B0F6A" w:rsidRPr="00795222">
        <w:rPr>
          <w:rFonts w:asciiTheme="majorBidi" w:hAnsiTheme="majorBidi" w:cstheme="majorBidi"/>
          <w:sz w:val="24"/>
          <w:szCs w:val="24"/>
          <w:lang w:val="en-US"/>
        </w:rPr>
        <w:fldChar w:fldCharType="begin" w:fldLock="1"/>
      </w:r>
      <w:r w:rsidR="001B7E74" w:rsidRPr="00795222">
        <w:rPr>
          <w:rFonts w:asciiTheme="majorBidi" w:hAnsiTheme="majorBidi" w:cstheme="majorBidi"/>
          <w:sz w:val="24"/>
          <w:szCs w:val="24"/>
          <w:lang w:val="en-US"/>
        </w:rPr>
        <w:instrText>ADDIN CSL_CITATION {"citationItems":[{"id":"ITEM-1","itemData":{"DOI":"http://dx.doi.org/10.1016/j.ijpharm.2015.09.014","ISSN":"0378-5173","abstract":"Abstract The aim of the present work was to develop a lymph targeted SLN formulation of antiretroviral (ARV) drug and to have an understanding of its underlying mechanism of uptake by the lymphatics. The lymphatics are the inaccessible reservoirs of HIV in human body. Efavirenz (EFV) is a BCS class II, ARV drug that undergoes extensive first pass metabolism. The EFV SLN formulation was prepared using Gelucire 44/14, Compritol 888 ATO, Lipoid S 75 and Poloxamer 188 by hot homogenization technique followed by ultrasonication method, with mean particle size of 168 nm, polydispersity index (PDI) &amp;lt;0.220, and mean zeta potential of −35.55 mV. DSC and XRPD studies revealed change in crystallinity index of drug when incorporated into SLN. In vitro drug release was found to be prolonged and biphasic in PBS pH 6.8. There was no significant change in the mean particle size, PDI, zeta potential and entrapment efficiency of EFV SLN after storage at 30 ± 2 °C/60 ± 5%RH for two months. The results from lymphatic transport and tissue distribution study indicate that a significant part of the EFV had by-passed portal system and was recovered in the lymph via chylomicron uptake mechanism. Reduction in the amount (44.70%) of the EFV reaching to liver indicates that major amount of EFV bypasses the liver and thereby, enhances the oral bioavailability of the EFV. A significant amount of EFV was found in spleen, a major lymphatic organ. EFV SLN seems to have potential to target the ARV to lymphatics for the better management of HIV.","author":[{"dropping-particle":"","family":"Makwana","given":"Vivek","non-dropping-particle":"","parse-names":false,"suffix":""},{"dropping-particle":"","family":"Jain","given":"Rashmi","non-dropping-particle":"","parse-names":false,"suffix":""},{"dropping-particle":"","family":"Patel","given":"Komal","non-dropping-particle":"","parse-names":false,"suffix":""},{"dropping-particle":"","family":"Nivsarkar","given":"Manish","non-dropping-particle":"","parse-names":false,"suffix":""},{"dropping-particle":"","family":"Joshi","given":"Amita","non-dropping-particle":"","parse-names":false,"suffix":""}],"container-title":"International Journal of Pharmaceutics","id":"ITEM-1","issue":"1","issued":{"date-parts":[["2015","11"]]},"page":"439-446","title":"Solid lipid nanoparticles (SLN) of Efavirenz as lymph targeting drug delivery system: Elucidation of mechanism of uptake using chylomicron flow blocking approach","type":"article-journal","volume":"495"},"uris":["http://www.mendeley.com/documents/?uuid=3cdee088-5884-49fd-8e67-56f1cdb49655"]}],"mendeley":{"formattedCitation":"(Makwana et al., 2015)","plainTextFormattedCitation":"(Makwana et al., 2015)","previouslyFormattedCitation":"(Makwana et al., 2015)"},"properties":{"noteIndex":0},"schema":"https://github.com/citation-style-language/schema/raw/master/csl-citation.json"}</w:instrText>
      </w:r>
      <w:r w:rsidR="006B0F6A" w:rsidRPr="00795222">
        <w:rPr>
          <w:rFonts w:asciiTheme="majorBidi" w:hAnsiTheme="majorBidi" w:cstheme="majorBidi"/>
          <w:sz w:val="24"/>
          <w:szCs w:val="24"/>
          <w:lang w:val="en-US"/>
        </w:rPr>
        <w:fldChar w:fldCharType="separate"/>
      </w:r>
      <w:r w:rsidR="00FF41FF" w:rsidRPr="00795222">
        <w:rPr>
          <w:rFonts w:asciiTheme="majorBidi" w:hAnsiTheme="majorBidi" w:cstheme="majorBidi"/>
          <w:noProof/>
          <w:sz w:val="24"/>
          <w:szCs w:val="24"/>
          <w:lang w:val="en-US"/>
        </w:rPr>
        <w:t>(Makwana et al., 2015)</w:t>
      </w:r>
      <w:r w:rsidR="006B0F6A" w:rsidRPr="00795222">
        <w:rPr>
          <w:rFonts w:asciiTheme="majorBidi" w:hAnsiTheme="majorBidi" w:cstheme="majorBidi"/>
          <w:sz w:val="24"/>
          <w:szCs w:val="24"/>
          <w:lang w:val="en-US"/>
        </w:rPr>
        <w:fldChar w:fldCharType="end"/>
      </w:r>
      <w:r w:rsidR="00AA0056" w:rsidRPr="00795222">
        <w:rPr>
          <w:rFonts w:asciiTheme="majorBidi" w:hAnsiTheme="majorBidi" w:cstheme="majorBidi"/>
          <w:sz w:val="24"/>
          <w:szCs w:val="24"/>
          <w:lang w:val="en-US"/>
        </w:rPr>
        <w:t xml:space="preserve"> </w:t>
      </w:r>
      <w:r w:rsidR="00F23A20" w:rsidRPr="00795222">
        <w:rPr>
          <w:rFonts w:asciiTheme="majorBidi" w:hAnsiTheme="majorBidi" w:cstheme="majorBidi"/>
          <w:sz w:val="24"/>
          <w:szCs w:val="24"/>
          <w:lang w:val="en-US"/>
        </w:rPr>
        <w:t>Lipid based formulations</w:t>
      </w:r>
      <w:r w:rsidR="00890CDF" w:rsidRPr="00795222">
        <w:rPr>
          <w:rFonts w:asciiTheme="majorBidi" w:hAnsiTheme="majorBidi" w:cstheme="majorBidi"/>
          <w:sz w:val="24"/>
          <w:szCs w:val="24"/>
          <w:lang w:val="en-US"/>
        </w:rPr>
        <w:t>,</w:t>
      </w:r>
      <w:r w:rsidR="00F23A20" w:rsidRPr="00795222">
        <w:rPr>
          <w:rFonts w:asciiTheme="majorBidi" w:hAnsiTheme="majorBidi" w:cstheme="majorBidi"/>
          <w:sz w:val="24"/>
          <w:szCs w:val="24"/>
          <w:lang w:val="en-US"/>
        </w:rPr>
        <w:t xml:space="preserve"> </w:t>
      </w:r>
      <w:r w:rsidR="007F0226" w:rsidRPr="00795222">
        <w:rPr>
          <w:rFonts w:asciiTheme="majorBidi" w:hAnsiTheme="majorBidi" w:cstheme="majorBidi"/>
          <w:sz w:val="24"/>
          <w:szCs w:val="24"/>
          <w:lang w:val="en-US"/>
        </w:rPr>
        <w:t>including</w:t>
      </w:r>
      <w:r w:rsidR="0010220D" w:rsidRPr="00795222">
        <w:rPr>
          <w:rFonts w:asciiTheme="majorBidi" w:hAnsiTheme="majorBidi" w:cstheme="majorBidi"/>
          <w:sz w:val="24"/>
          <w:szCs w:val="24"/>
          <w:lang w:val="en-US"/>
        </w:rPr>
        <w:t xml:space="preserve"> LPHNs</w:t>
      </w:r>
      <w:r w:rsidR="00890CDF" w:rsidRPr="00795222">
        <w:rPr>
          <w:rFonts w:asciiTheme="majorBidi" w:hAnsiTheme="majorBidi" w:cstheme="majorBidi"/>
          <w:sz w:val="24"/>
          <w:szCs w:val="24"/>
          <w:lang w:val="en-US"/>
        </w:rPr>
        <w:t>,</w:t>
      </w:r>
      <w:r w:rsidR="0010220D" w:rsidRPr="00795222">
        <w:rPr>
          <w:rFonts w:asciiTheme="majorBidi" w:hAnsiTheme="majorBidi" w:cstheme="majorBidi"/>
          <w:sz w:val="24"/>
          <w:szCs w:val="24"/>
          <w:lang w:val="en-US"/>
        </w:rPr>
        <w:t xml:space="preserve"> </w:t>
      </w:r>
      <w:r w:rsidR="00D11AD5" w:rsidRPr="00795222">
        <w:rPr>
          <w:rFonts w:asciiTheme="majorBidi" w:hAnsiTheme="majorBidi" w:cstheme="majorBidi"/>
          <w:sz w:val="24"/>
          <w:szCs w:val="24"/>
          <w:lang w:val="en-US"/>
        </w:rPr>
        <w:t xml:space="preserve">have the </w:t>
      </w:r>
      <w:r w:rsidR="00AA0056" w:rsidRPr="00795222">
        <w:rPr>
          <w:rFonts w:asciiTheme="majorBidi" w:hAnsiTheme="majorBidi" w:cstheme="majorBidi"/>
          <w:sz w:val="24"/>
          <w:szCs w:val="24"/>
          <w:lang w:val="en-US"/>
        </w:rPr>
        <w:t>potential</w:t>
      </w:r>
      <w:r w:rsidR="00D11AD5" w:rsidRPr="00795222">
        <w:rPr>
          <w:rFonts w:asciiTheme="majorBidi" w:hAnsiTheme="majorBidi" w:cstheme="majorBidi"/>
          <w:sz w:val="24"/>
          <w:szCs w:val="24"/>
          <w:lang w:val="en-US"/>
        </w:rPr>
        <w:t xml:space="preserve"> to be</w:t>
      </w:r>
      <w:r w:rsidR="00F23A20" w:rsidRPr="00795222">
        <w:rPr>
          <w:rFonts w:asciiTheme="majorBidi" w:hAnsiTheme="majorBidi" w:cstheme="majorBidi"/>
          <w:sz w:val="24"/>
          <w:szCs w:val="24"/>
          <w:lang w:val="en-US"/>
        </w:rPr>
        <w:t xml:space="preserve"> selectively taken</w:t>
      </w:r>
      <w:r w:rsidR="00890CDF" w:rsidRPr="00795222">
        <w:rPr>
          <w:rFonts w:asciiTheme="majorBidi" w:hAnsiTheme="majorBidi" w:cstheme="majorBidi"/>
          <w:sz w:val="24"/>
          <w:szCs w:val="24"/>
          <w:lang w:val="en-US"/>
        </w:rPr>
        <w:t xml:space="preserve"> up</w:t>
      </w:r>
      <w:r w:rsidR="00F23A20" w:rsidRPr="00795222">
        <w:rPr>
          <w:rFonts w:asciiTheme="majorBidi" w:hAnsiTheme="majorBidi" w:cstheme="majorBidi"/>
          <w:sz w:val="24"/>
          <w:szCs w:val="24"/>
          <w:lang w:val="en-US"/>
        </w:rPr>
        <w:t xml:space="preserve"> by the lymphatic route</w:t>
      </w:r>
      <w:r w:rsidR="001130EC" w:rsidRPr="00795222">
        <w:rPr>
          <w:rFonts w:asciiTheme="majorBidi" w:hAnsiTheme="majorBidi" w:cstheme="majorBidi"/>
          <w:sz w:val="24"/>
          <w:szCs w:val="24"/>
          <w:lang w:val="en-US"/>
        </w:rPr>
        <w:t xml:space="preserve"> following oral </w:t>
      </w:r>
      <w:r w:rsidR="00AF3DC3" w:rsidRPr="00795222">
        <w:rPr>
          <w:rFonts w:asciiTheme="majorBidi" w:hAnsiTheme="majorBidi" w:cstheme="majorBidi"/>
          <w:sz w:val="24"/>
          <w:szCs w:val="24"/>
          <w:lang w:val="en-US"/>
        </w:rPr>
        <w:t>administration</w:t>
      </w:r>
      <w:r w:rsidR="00AA0056" w:rsidRPr="00795222">
        <w:rPr>
          <w:rFonts w:asciiTheme="majorBidi" w:hAnsiTheme="majorBidi" w:cstheme="majorBidi"/>
          <w:sz w:val="24"/>
          <w:szCs w:val="24"/>
          <w:lang w:val="en-US"/>
        </w:rPr>
        <w:t>.</w:t>
      </w:r>
      <w:r w:rsidR="001B7E74" w:rsidRPr="00795222">
        <w:rPr>
          <w:rFonts w:asciiTheme="majorBidi" w:hAnsiTheme="majorBidi" w:cstheme="majorBidi"/>
          <w:sz w:val="24"/>
          <w:szCs w:val="24"/>
          <w:lang w:val="en-US"/>
        </w:rPr>
        <w:t xml:space="preserve"> </w:t>
      </w:r>
      <w:r w:rsidR="00F23A20" w:rsidRPr="00795222">
        <w:rPr>
          <w:rFonts w:asciiTheme="majorBidi" w:hAnsiTheme="majorBidi" w:cstheme="majorBidi"/>
          <w:sz w:val="24"/>
          <w:szCs w:val="24"/>
          <w:lang w:val="en-US"/>
        </w:rPr>
        <w:fldChar w:fldCharType="begin" w:fldLock="1"/>
      </w:r>
      <w:r w:rsidR="008E225E" w:rsidRPr="00795222">
        <w:rPr>
          <w:rFonts w:asciiTheme="majorBidi" w:hAnsiTheme="majorBidi" w:cstheme="majorBidi"/>
          <w:sz w:val="24"/>
          <w:szCs w:val="24"/>
          <w:lang w:val="en-US"/>
        </w:rPr>
        <w:instrText>ADDIN CSL_CITATION {"citationItems":[{"id":"ITEM-1","itemData":{"DOI":"10.1016/B978-0-12-407722-5.00022-0","ISBN":"9780124077225","abstract":"Nanotechnology-based drug delivery systems have been developed to improve the therapeutic efficacy and reduce the toxicity of a wide range of drugs. They also hold the potential to revolutionize drug development and enable entirely new therapeutic approaches such as gene therapy and RNA interference. To date, approximately ten therapeutic nanoparticles have been validated in cancer treatment, mainly through the improvement of clinical benefits of a narrow range of previously approved drugs. This has inspired the development of next-generation therapeutic nanoparticles with additional capabilities, such as targeted delivery, controlled drug release, and stimuli-responsiveness, to further enhance drug delivery and therapeutic efficacy. On the other hand, theranostic nanotechnologies, which simultaneously combine therapeutic and imaging agents within one nanoparticle, aim to improve the patient outcome through realizing the development of personalized nanomedicine for cancer patients. With noninvasive imaging techniques such as nuclear imaging and magnetic resonance imaging, theranostic nanoparticles can provide real-time information about pharmacokinetics, biodistribution, tumor accumulation, drug distribution at the target site, and therapeutic response. This facilitates the clinical evaluation and optimization of nanotherapeutics, and can be used to prescreen cancer patients and reevaluate/alter their original treatment plan. This chapter reviews the development of polymer- and protein-based nanoparticle platforms for theranostic applications, and discusses the opportunities and challenges that the clinical translation of theranostic nanoparticles may encounter. © 2014 Elsevier Inc. All rights reserved.","author":[{"dropping-particle":"","family":"Zhu","given":"Xi","non-dropping-particle":"","parse-names":false,"suffix":""},{"dropping-particle":"","family":"Anquillare","given":"Emma L.B.","non-dropping-particle":"","parse-names":false,"suffix":""},{"dropping-particle":"","family":"Farokhzad","given":"Omid C.","non-dropping-particle":"","parse-names":false,"suffix":""},{"dropping-particle":"","family":"Shi","given":"Jinjun","non-dropping-particle":"","parse-names":false,"suffix":""}],"container-title":"Cancer Theranostics","id":"ITEM-1","issued":{"date-parts":[["2014"]]},"number-of-pages":"419-436","publisher":"Elsevier Inc.","title":"Polymer- and Protein-Based Nanotechnologies for Cancer Theranostics","type":"book"},"uris":["http://www.mendeley.com/documents/?uuid=123ec258-1308-4ccb-a681-a8d8f9dbbc91","http://www.mendeley.com/documents/?uuid=6ddc8e2c-46f0-4567-bb50-be7b21a9e06b"]},{"id":"ITEM-2","itemData":{"DOI":"10.2147/IJN.S45886","ISSN":"11782013","PMID":"24741312","abstract":"Antiretroviral drug therapy plays a cornerstone role in the treatment of human immunodeficiency virus (HIV)/acquired immunodeficiency syndrome patients. Despite obvious advances over the past 3 decades, new approaches toward improved management of infected individuals are still required. Drug distribution to the central nervous system (CNS) is required in order to limit and control viral infection, but the presence of natural barrier structures, in particular the blood-brain barrier, strongly limits the perfusion of anti-HIV compounds into this anatomical site. Nanotechnology-based approaches may help providing solutions for antiretroviral drug delivery to the CNS by potentially prolonging systemic drug circulation, increasing the crossing and reducing the efflux of active compounds at the blood-brain barrier, and providing cell/tissue-targeting and intracellular drug delivery. After an initial overview on the basic features of HIV infection of the CNS and barriers to active compound delivery to this anatomical site, this review focuses on recent strategies based on antiretroviral drug-loaded solid nanoparticles and drug nanosuspensions for the potential management of HIV infection of the CNS.","author":[{"dropping-particle":"","family":"Neves","given":"José","non-dropping-particle":"","parse-names":false,"suffix":""},{"dropping-particle":"","family":"Gomes","given":"Maria João","non-dropping-particle":"","parse-names":false,"suffix":""},{"dropping-particle":"","family":"Neves","given":"José","non-dropping-particle":"das","parse-names":false,"suffix":""},{"dropping-particle":"","family":"Sarmento","given":"Bruno","non-dropping-particle":"","parse-names":false,"suffix":""}],"container-title":"International Journal of Nanomedicine","id":"ITEM-2","issue":"1","issued":{"date-parts":[["2014"]]},"page":"1757-1769","title":"Nanoparticle-based drug delivery to improve the efficacy of antiretroviral therapy in the central nervous system","type":"article-journal","volume":"9"},"uris":["http://www.mendeley.com/documents/?uuid=9b4a5d92-f9ab-427c-90bc-697853b5535a","http://www.mendeley.com/documents/?uuid=ca109637-2d4a-40f3-9a17-556b886224ef","http://www.mendeley.com/documents/?uuid=d14aaa79-8e1d-48d1-977f-b58b38c56ee9"]}],"mendeley":{"formattedCitation":"(Neves et al., 2014; Zhu et al., 2014)","plainTextFormattedCitation":"(Neves et al., 2014; Zhu et al., 2014)","previouslyFormattedCitation":"(Neves et al., 2014; Zhu et al., 2014)"},"properties":{"noteIndex":0},"schema":"https://github.com/citation-style-language/schema/raw/master/csl-citation.json"}</w:instrText>
      </w:r>
      <w:r w:rsidR="00F23A20" w:rsidRPr="00795222">
        <w:rPr>
          <w:rFonts w:asciiTheme="majorBidi" w:hAnsiTheme="majorBidi" w:cstheme="majorBidi"/>
          <w:sz w:val="24"/>
          <w:szCs w:val="24"/>
          <w:lang w:val="en-US"/>
        </w:rPr>
        <w:fldChar w:fldCharType="separate"/>
      </w:r>
      <w:r w:rsidR="00FF41FF" w:rsidRPr="00795222">
        <w:rPr>
          <w:rFonts w:asciiTheme="majorBidi" w:hAnsiTheme="majorBidi" w:cstheme="majorBidi"/>
          <w:noProof/>
          <w:sz w:val="24"/>
          <w:szCs w:val="24"/>
          <w:lang w:val="en-US"/>
        </w:rPr>
        <w:t>(Neves et al., 2014; Zhu et al., 2014)</w:t>
      </w:r>
      <w:r w:rsidR="00F23A20" w:rsidRPr="00795222">
        <w:rPr>
          <w:rFonts w:asciiTheme="majorBidi" w:hAnsiTheme="majorBidi" w:cstheme="majorBidi"/>
          <w:sz w:val="24"/>
          <w:szCs w:val="24"/>
          <w:lang w:val="en-US"/>
        </w:rPr>
        <w:fldChar w:fldCharType="end"/>
      </w:r>
      <w:r w:rsidR="00F23A20" w:rsidRPr="00795222">
        <w:rPr>
          <w:rFonts w:asciiTheme="majorBidi" w:hAnsiTheme="majorBidi" w:cstheme="majorBidi"/>
          <w:sz w:val="24"/>
          <w:szCs w:val="24"/>
          <w:lang w:val="en-US"/>
        </w:rPr>
        <w:t xml:space="preserve"> </w:t>
      </w:r>
      <w:r w:rsidR="00AA0056" w:rsidRPr="00795222">
        <w:rPr>
          <w:rFonts w:asciiTheme="majorBidi" w:hAnsiTheme="majorBidi" w:cstheme="majorBidi"/>
          <w:sz w:val="24"/>
          <w:szCs w:val="24"/>
          <w:lang w:val="en-US"/>
        </w:rPr>
        <w:t>T</w:t>
      </w:r>
      <w:r w:rsidR="00F23A20" w:rsidRPr="00795222">
        <w:rPr>
          <w:rFonts w:asciiTheme="majorBidi" w:hAnsiTheme="majorBidi" w:cstheme="majorBidi"/>
          <w:sz w:val="24"/>
          <w:szCs w:val="24"/>
          <w:lang w:val="en-US"/>
        </w:rPr>
        <w:t xml:space="preserve">heir transport to intestinal lymphatics </w:t>
      </w:r>
      <w:r w:rsidR="00AA0056" w:rsidRPr="00795222">
        <w:rPr>
          <w:rFonts w:asciiTheme="majorBidi" w:hAnsiTheme="majorBidi" w:cstheme="majorBidi"/>
          <w:sz w:val="24"/>
          <w:szCs w:val="24"/>
          <w:lang w:val="en-US"/>
        </w:rPr>
        <w:t>has been suggested to occur</w:t>
      </w:r>
      <w:r w:rsidR="00F23A20" w:rsidRPr="00795222">
        <w:rPr>
          <w:rFonts w:asciiTheme="majorBidi" w:hAnsiTheme="majorBidi" w:cstheme="majorBidi"/>
          <w:sz w:val="24"/>
          <w:szCs w:val="24"/>
          <w:lang w:val="en-US"/>
        </w:rPr>
        <w:t xml:space="preserve"> by </w:t>
      </w:r>
      <w:r w:rsidR="00890CDF" w:rsidRPr="00795222">
        <w:rPr>
          <w:rFonts w:asciiTheme="majorBidi" w:hAnsiTheme="majorBidi" w:cstheme="majorBidi"/>
          <w:sz w:val="24"/>
          <w:szCs w:val="24"/>
          <w:lang w:val="en-US"/>
        </w:rPr>
        <w:t xml:space="preserve">various </w:t>
      </w:r>
      <w:r w:rsidR="00F23A20" w:rsidRPr="00795222">
        <w:rPr>
          <w:rFonts w:asciiTheme="majorBidi" w:hAnsiTheme="majorBidi" w:cstheme="majorBidi"/>
          <w:sz w:val="24"/>
          <w:szCs w:val="24"/>
          <w:lang w:val="en-US"/>
        </w:rPr>
        <w:t>mechanisms including transcellular</w:t>
      </w:r>
      <w:r w:rsidR="00AA0056" w:rsidRPr="00795222">
        <w:rPr>
          <w:rFonts w:asciiTheme="majorBidi" w:hAnsiTheme="majorBidi" w:cstheme="majorBidi"/>
          <w:sz w:val="24"/>
          <w:szCs w:val="24"/>
          <w:lang w:val="en-US"/>
        </w:rPr>
        <w:t xml:space="preserve"> transport</w:t>
      </w:r>
      <w:r w:rsidR="000C2DD5" w:rsidRPr="00795222">
        <w:rPr>
          <w:rFonts w:asciiTheme="majorBidi" w:hAnsiTheme="majorBidi" w:cstheme="majorBidi"/>
          <w:sz w:val="24"/>
          <w:szCs w:val="24"/>
          <w:lang w:val="en-US"/>
        </w:rPr>
        <w:t>,</w:t>
      </w:r>
      <w:r w:rsidR="00866E53" w:rsidRPr="00795222">
        <w:rPr>
          <w:rFonts w:asciiTheme="majorBidi" w:hAnsiTheme="majorBidi" w:cstheme="majorBidi"/>
          <w:sz w:val="24"/>
          <w:szCs w:val="24"/>
          <w:lang w:val="en-US"/>
        </w:rPr>
        <w:fldChar w:fldCharType="begin" w:fldLock="1"/>
      </w:r>
      <w:r w:rsidR="008E225E" w:rsidRPr="00795222">
        <w:rPr>
          <w:rFonts w:asciiTheme="majorBidi" w:hAnsiTheme="majorBidi" w:cstheme="majorBidi"/>
          <w:sz w:val="24"/>
          <w:szCs w:val="24"/>
          <w:lang w:val="en-US"/>
        </w:rPr>
        <w:instrText>ADDIN CSL_CITATION {"citationItems":[{"id":"ITEM-1","itemData":{"DOI":"10.1016/j.nano.2008.08.003","ISBN":"1549-9642 (Electronic)\\n1549-9634 (Linking)","ISSN":"15499634","PMID":"19095502","abstract":"Solid lipid nanoparticles (SLNs) are essentially composed of triglyceride(s) that orient to form a polar core with polar heads oriented toward the aqueous phase, resembling chylomicrons. The composition of such SLNs may alter the course of drug absorption predominantly to and through lymphatic route and regions, presumably following a transcellular path of lipid absorption, especially by enterocytes and polar epithelial cells of the intestine. SLNs were prepared using stearic acid, glycerol monostearate, tristearin, and Compritol 888 ATO by solvent diffusion method using demineralized double-distilled water as the dispersion medium. The SLNs were characterized for shape, size, zeta potential, and percentage drug content and its release. The characterization of SLNs suggests that Compritol 888 ATO-based nanoparticles were heterogeneous with better drug-loading and release characteristics as compared with the other formulations. The selected products were studied for in vivo absorption and hence bioavailability by measure of area under the blood plasma curve plotted as a function of time. Periodic lymphatic concentration of drug following oral administration of respective formulations was also determined by mesenteric duct cannulation and collection of samples. The comparative study conducted on methotrexate (MTX)-bearing SLNs revealed that the formulation based on Compritol 888 ATO could noticeably improve the oral bioavailability of MTX, presumably following SLNs constituting lipid digestion and co-absorption through lymphatic transport and route. ?? 2009 Elsevier Inc. All rights reserved.","author":[{"dropping-particle":"","family":"Paliwal","given":"Rishi","non-dropping-particle":"","parse-names":false,"suffix":""},{"dropping-particle":"","family":"Rai","given":"Shivani","non-dropping-particle":"","parse-names":false,"suffix":""},{"dropping-particle":"","family":"Vaidya","given":"Bhuvaneshwar","non-dropping-particle":"","parse-names":false,"suffix":""},{"dropping-particle":"","family":"Khatri","given":"Kapil","non-dropping-particle":"","parse-names":false,"suffix":""},{"dropping-particle":"","family":"Goyal","given":"Amit K.","non-dropping-particle":"","parse-names":false,"suffix":""},{"dropping-particle":"","family":"Mishra","given":"Neeraj","non-dropping-particle":"","parse-names":false,"suffix":""},{"dropping-particle":"","family":"Mehta","given":"Abhinav","non-dropping-particle":"","parse-names":false,"suffix":""},{"dropping-particle":"","family":"Vyas","given":"Suresh P.","non-dropping-particle":"","parse-names":false,"suffix":""}],"container-title":"Nanomedicine: Nanotechnology, Biology, and Medicine","id":"ITEM-1","issue":"2","issued":{"date-parts":[["2009"]]},"page":"184-191","publisher":"Elsevier Inc.","title":"Effect of lipid core material on characteristics of solid lipid nanoparticles designed for oral lymphatic delivery","type":"article-journal","volume":"5"},"uris":["http://www.mendeley.com/documents/?uuid=86b2c598-f59a-45f2-b447-035f5797b126","http://www.mendeley.com/documents/?uuid=7338c0a4-1cd1-4ce6-8175-7fd7d3e17912","http://www.mendeley.com/documents/?uuid=9e5a03d8-3013-4887-9f48-0e9a7280a104"]},{"id":"ITEM-2","itemData":{"DOI":"10.1155/2014/351693","author":[{"dropping-particle":"","family":"Mishra","given":"A","non-dropping-particle":"","parse-names":false,"suffix":""},{"dropping-particle":"","family":"Vuddanda","given":"P R","non-dropping-particle":"","parse-names":false,"suffix":""},{"dropping-particle":"","family":"Singh","given":"S","non-dropping-particle":"","parse-names":false,"suffix":""}],"container-title":"Journal of Nanotechnology","id":"ITEM-2","issued":{"date-parts":[["2014"]]},"title":"Intestinal lymphatic delivery of praziquantel by solid lipid nanoparticles: Formulation design, in vitro and in vivo studies","type":"article-journal","volume":"2014"},"uris":["http://www.mendeley.com/documents/?uuid=214e5603-9f48-44f5-b9d1-b0bdac55da53","http://www.mendeley.com/documents/?uuid=3405a826-b2b9-4c9f-90f9-617eb927c381","http://www.mendeley.com/documents/?uuid=d4558e74-66fd-4f88-9cab-a5167e147d7f","http://www.mendeley.com/documents/?uuid=549c449a-f586-4b63-bd08-c72b85badebf"]}],"mendeley":{"formattedCitation":"(Mishra et al., 2014; Paliwal et al., 2009)","plainTextFormattedCitation":"(Mishra et al., 2014; Paliwal et al., 2009)","previouslyFormattedCitation":"(Mishra et al., 2014; Paliwal et al., 2009)"},"properties":{"noteIndex":0},"schema":"https://github.com/citation-style-language/schema/raw/master/csl-citation.json"}</w:instrText>
      </w:r>
      <w:r w:rsidR="00866E53" w:rsidRPr="00795222">
        <w:rPr>
          <w:rFonts w:asciiTheme="majorBidi" w:hAnsiTheme="majorBidi" w:cstheme="majorBidi"/>
          <w:sz w:val="24"/>
          <w:szCs w:val="24"/>
          <w:lang w:val="en-US"/>
        </w:rPr>
        <w:fldChar w:fldCharType="separate"/>
      </w:r>
      <w:r w:rsidR="00FF41FF" w:rsidRPr="00795222">
        <w:rPr>
          <w:rFonts w:asciiTheme="majorBidi" w:hAnsiTheme="majorBidi" w:cstheme="majorBidi"/>
          <w:noProof/>
          <w:sz w:val="24"/>
          <w:szCs w:val="24"/>
          <w:lang w:val="en-US"/>
        </w:rPr>
        <w:t>(Mishra et al., 2014; Paliwal et al., 2009)</w:t>
      </w:r>
      <w:r w:rsidR="00866E53" w:rsidRPr="00795222">
        <w:rPr>
          <w:rFonts w:asciiTheme="majorBidi" w:hAnsiTheme="majorBidi" w:cstheme="majorBidi"/>
          <w:sz w:val="24"/>
          <w:szCs w:val="24"/>
          <w:lang w:val="en-US"/>
        </w:rPr>
        <w:fldChar w:fldCharType="end"/>
      </w:r>
      <w:r w:rsidR="00456984" w:rsidRPr="00795222">
        <w:rPr>
          <w:rFonts w:asciiTheme="majorBidi" w:hAnsiTheme="majorBidi" w:cstheme="majorBidi"/>
          <w:sz w:val="24"/>
          <w:szCs w:val="24"/>
          <w:lang w:val="en-US"/>
        </w:rPr>
        <w:t xml:space="preserve"> </w:t>
      </w:r>
      <w:r w:rsidR="00AA0056" w:rsidRPr="00795222">
        <w:rPr>
          <w:rFonts w:asciiTheme="majorBidi" w:hAnsiTheme="majorBidi" w:cstheme="majorBidi"/>
          <w:sz w:val="24"/>
          <w:szCs w:val="24"/>
          <w:lang w:val="en-US"/>
        </w:rPr>
        <w:t>or</w:t>
      </w:r>
      <w:r w:rsidR="00456984" w:rsidRPr="00795222">
        <w:rPr>
          <w:rFonts w:asciiTheme="majorBidi" w:hAnsiTheme="majorBidi" w:cstheme="majorBidi"/>
          <w:sz w:val="24"/>
          <w:szCs w:val="24"/>
          <w:lang w:val="en-US"/>
        </w:rPr>
        <w:t xml:space="preserve"> through</w:t>
      </w:r>
      <w:r w:rsidR="00AA0056" w:rsidRPr="00795222">
        <w:rPr>
          <w:rFonts w:asciiTheme="majorBidi" w:hAnsiTheme="majorBidi" w:cstheme="majorBidi"/>
          <w:sz w:val="24"/>
          <w:szCs w:val="24"/>
          <w:lang w:val="en-US"/>
        </w:rPr>
        <w:t xml:space="preserve"> the</w:t>
      </w:r>
      <w:r w:rsidR="00456984" w:rsidRPr="00795222">
        <w:rPr>
          <w:rFonts w:asciiTheme="majorBidi" w:hAnsiTheme="majorBidi" w:cstheme="majorBidi"/>
          <w:sz w:val="24"/>
          <w:szCs w:val="24"/>
          <w:lang w:val="en-US"/>
        </w:rPr>
        <w:t xml:space="preserve"> </w:t>
      </w:r>
      <w:r w:rsidR="00761E7C" w:rsidRPr="00795222">
        <w:rPr>
          <w:rFonts w:asciiTheme="majorBidi" w:hAnsiTheme="majorBidi" w:cstheme="majorBidi"/>
          <w:sz w:val="24"/>
          <w:szCs w:val="24"/>
          <w:lang w:val="en-US"/>
        </w:rPr>
        <w:t>microfold cells (</w:t>
      </w:r>
      <w:r w:rsidR="00456984" w:rsidRPr="00795222">
        <w:rPr>
          <w:rFonts w:asciiTheme="majorBidi" w:hAnsiTheme="majorBidi" w:cstheme="majorBidi"/>
          <w:sz w:val="24"/>
          <w:szCs w:val="24"/>
          <w:lang w:val="en-US"/>
        </w:rPr>
        <w:t>M cells</w:t>
      </w:r>
      <w:r w:rsidR="00761E7C" w:rsidRPr="00795222">
        <w:rPr>
          <w:rFonts w:asciiTheme="majorBidi" w:hAnsiTheme="majorBidi" w:cstheme="majorBidi"/>
          <w:sz w:val="24"/>
          <w:szCs w:val="24"/>
          <w:lang w:val="en-US"/>
        </w:rPr>
        <w:t>)</w:t>
      </w:r>
      <w:r w:rsidR="00456984" w:rsidRPr="00795222">
        <w:rPr>
          <w:rFonts w:asciiTheme="majorBidi" w:hAnsiTheme="majorBidi" w:cstheme="majorBidi"/>
          <w:sz w:val="24"/>
          <w:szCs w:val="24"/>
          <w:lang w:val="en-US"/>
        </w:rPr>
        <w:t xml:space="preserve"> of Peyer patches</w:t>
      </w:r>
      <w:r w:rsidR="00AA0056" w:rsidRPr="00795222">
        <w:rPr>
          <w:rFonts w:asciiTheme="majorBidi" w:hAnsiTheme="majorBidi" w:cstheme="majorBidi"/>
          <w:sz w:val="24"/>
          <w:szCs w:val="24"/>
          <w:lang w:val="en-US"/>
        </w:rPr>
        <w:t xml:space="preserve">. These </w:t>
      </w:r>
      <w:r w:rsidR="00456984" w:rsidRPr="00795222">
        <w:rPr>
          <w:rFonts w:asciiTheme="majorBidi" w:hAnsiTheme="majorBidi" w:cstheme="majorBidi"/>
          <w:sz w:val="24"/>
          <w:szCs w:val="24"/>
          <w:lang w:val="en-US"/>
        </w:rPr>
        <w:t xml:space="preserve">are lymphoid </w:t>
      </w:r>
      <w:r w:rsidR="00456984" w:rsidRPr="00795222">
        <w:rPr>
          <w:rFonts w:asciiTheme="majorBidi" w:hAnsiTheme="majorBidi" w:cstheme="majorBidi"/>
          <w:sz w:val="24"/>
          <w:szCs w:val="24"/>
          <w:lang w:val="en-US"/>
        </w:rPr>
        <w:lastRenderedPageBreak/>
        <w:t xml:space="preserve">follicles that are part of the </w:t>
      </w:r>
      <w:r w:rsidR="00AA0056" w:rsidRPr="00795222">
        <w:rPr>
          <w:rFonts w:asciiTheme="majorBidi" w:hAnsiTheme="majorBidi" w:cstheme="majorBidi"/>
          <w:sz w:val="24"/>
          <w:szCs w:val="24"/>
          <w:lang w:val="en-US"/>
        </w:rPr>
        <w:t>gastrointestinal tract</w:t>
      </w:r>
      <w:r w:rsidR="00456984" w:rsidRPr="00795222">
        <w:rPr>
          <w:rFonts w:asciiTheme="majorBidi" w:hAnsiTheme="majorBidi" w:cstheme="majorBidi"/>
          <w:sz w:val="24"/>
          <w:szCs w:val="24"/>
          <w:lang w:val="en-US"/>
        </w:rPr>
        <w:t xml:space="preserve"> </w:t>
      </w:r>
      <w:r w:rsidR="00AA0056" w:rsidRPr="00795222">
        <w:rPr>
          <w:rFonts w:asciiTheme="majorBidi" w:hAnsiTheme="majorBidi" w:cstheme="majorBidi"/>
          <w:sz w:val="24"/>
          <w:szCs w:val="24"/>
          <w:lang w:val="en-US"/>
        </w:rPr>
        <w:t>and particle uptake is believed to occur</w:t>
      </w:r>
      <w:r w:rsidR="002C5157" w:rsidRPr="00795222">
        <w:rPr>
          <w:rFonts w:asciiTheme="majorBidi" w:hAnsiTheme="majorBidi" w:cstheme="majorBidi"/>
          <w:sz w:val="24"/>
          <w:szCs w:val="24"/>
          <w:lang w:val="en-US"/>
        </w:rPr>
        <w:t xml:space="preserve"> by endocytosis or trans</w:t>
      </w:r>
      <w:r w:rsidR="002974EA" w:rsidRPr="00795222">
        <w:rPr>
          <w:rFonts w:asciiTheme="majorBidi" w:hAnsiTheme="majorBidi" w:cstheme="majorBidi"/>
          <w:sz w:val="24"/>
          <w:szCs w:val="24"/>
          <w:lang w:val="en-US"/>
        </w:rPr>
        <w:t>cytosis</w:t>
      </w:r>
      <w:r w:rsidR="005A3C67" w:rsidRPr="00795222">
        <w:rPr>
          <w:rFonts w:asciiTheme="majorBidi" w:hAnsiTheme="majorBidi" w:cstheme="majorBidi"/>
          <w:sz w:val="24"/>
          <w:szCs w:val="24"/>
          <w:lang w:val="en-US"/>
        </w:rPr>
        <w:t>.</w:t>
      </w:r>
      <w:r w:rsidR="001B7E74" w:rsidRPr="00795222">
        <w:rPr>
          <w:rFonts w:asciiTheme="majorBidi" w:hAnsiTheme="majorBidi" w:cstheme="majorBidi"/>
          <w:sz w:val="24"/>
          <w:szCs w:val="24"/>
          <w:lang w:val="en-US"/>
        </w:rPr>
        <w:t xml:space="preserve"> </w:t>
      </w:r>
      <w:r w:rsidR="0002776A" w:rsidRPr="00795222">
        <w:rPr>
          <w:rFonts w:asciiTheme="majorBidi" w:hAnsiTheme="majorBidi" w:cstheme="majorBidi"/>
          <w:sz w:val="24"/>
          <w:szCs w:val="24"/>
          <w:lang w:val="en-US"/>
        </w:rPr>
        <w:fldChar w:fldCharType="begin" w:fldLock="1"/>
      </w:r>
      <w:r w:rsidR="005563A9" w:rsidRPr="00795222">
        <w:rPr>
          <w:rFonts w:asciiTheme="majorBidi" w:hAnsiTheme="majorBidi" w:cstheme="majorBidi"/>
          <w:sz w:val="24"/>
          <w:szCs w:val="24"/>
          <w:lang w:val="en-US"/>
        </w:rPr>
        <w:instrText>ADDIN CSL_CITATION {"citationItems":[{"id":"ITEM-1","itemData":{"DOI":"10.1016/j.jddst.2017.10.017","ISSN":"17732247","abstract":"Isradipine (ISR), BCS Class II antihypertensive drug undergoes extensive first pass metabolism (FPM) with low bioavailability (15–24%). FPM may be avoided by formulating ISR loaded Solid Lipid Nanoparticles (SLN). Lipidic ISR-SLN get absorbed through M-Cells of peyer's patches. Preformulation study was performed. Dynasan 114 was selected as lipid. Poloxamer 407 was selected as surfactant. ISR-SLN was prepared using High Speed Homogenization-Ultrasonication method, optimized by 32 full factorial design. ISR-SLN was lyophilized. (1:5 = solid: cryoprotactant). Process parameters like homogenization speed, time and sonication cycle were also optimized. In-Vitro % Cummulative drug release(%CDR) study of ISR-SLN (dispersion &amp; lyophilized) was performed using dialysis bag method in 0.1 N HCl+2% tween 80 for 2 h (obtained 10% drug release) than in phosphate buffer Ph 7.4 + 2% tween 80 (Aprx. 100% drug release after 130hrs, followed higuchi model). Ex-Vivo %CDR was performed using chicken duodenum in same condition as In-Vitro. Characterization was done using zeta potential (−21.5 mv), TEM(Spherical shape and smooth surface), MPS(204 nm), %EE (90.85 ± 3.55%), XRD, DSC, FT-IR. Confocal Laser Scanning Microscopy of Rodamine B labeled ISR-SLN was performed to study uptake of ISR-SLN through M-Cells, Peyer's Patches. Stability study of 45 days shows the ISR-SLN is stable. ISR-SLN give controlled release, permeates M-Cell of Peyer's patch and are stable.","author":[{"dropping-particle":"","family":"Prajapati","given":"Jagruti B.","non-dropping-particle":"","parse-names":false,"suffix":""},{"dropping-particle":"","family":"Katariya","given":"Hitesh","non-dropping-particle":"","parse-names":false,"suffix":""},{"dropping-particle":"","family":"Patel","given":"Ravish","non-dropping-particle":"","parse-names":false,"suffix":""}],"container-title":"Journal of Drug Delivery Science and Technology","id":"ITEM-1","issue":"April 2017","issued":{"date-parts":[["2018","2"]]},"page":"318-326","publisher":"Elsevier","title":"Peyer'e patch targeting of Isradipine loaded Solid Lipid Nanoparticles: It's cellular uptake study","type":"article-journal","volume":"43"},"uris":["http://www.mendeley.com/documents/?uuid=125d5990-92f0-4491-a6d6-7fa527fc51ac","http://www.mendeley.com/documents/?uuid=da508240-3c25-4d4e-8875-b1f016c2cbe6","http://www.mendeley.com/documents/?uuid=871e7e1a-df87-441d-83ad-acee84b0a2f7"]}],"mendeley":{"formattedCitation":"(Prajapati et al., 2018)","plainTextFormattedCitation":"(Prajapati et al., 2018)","previouslyFormattedCitation":"(Prajapati et al., 2018)"},"properties":{"noteIndex":0},"schema":"https://github.com/citation-style-language/schema/raw/master/csl-citation.json"}</w:instrText>
      </w:r>
      <w:r w:rsidR="0002776A" w:rsidRPr="00795222">
        <w:rPr>
          <w:rFonts w:asciiTheme="majorBidi" w:hAnsiTheme="majorBidi" w:cstheme="majorBidi"/>
          <w:sz w:val="24"/>
          <w:szCs w:val="24"/>
          <w:lang w:val="en-US"/>
        </w:rPr>
        <w:fldChar w:fldCharType="separate"/>
      </w:r>
      <w:r w:rsidR="00FF41FF" w:rsidRPr="00795222">
        <w:rPr>
          <w:rFonts w:asciiTheme="majorBidi" w:hAnsiTheme="majorBidi" w:cstheme="majorBidi"/>
          <w:noProof/>
          <w:sz w:val="24"/>
          <w:szCs w:val="24"/>
          <w:lang w:val="en-US"/>
        </w:rPr>
        <w:t>(Prajapati et al., 2018)</w:t>
      </w:r>
      <w:r w:rsidR="0002776A" w:rsidRPr="00795222">
        <w:rPr>
          <w:rFonts w:asciiTheme="majorBidi" w:hAnsiTheme="majorBidi" w:cstheme="majorBidi"/>
          <w:sz w:val="24"/>
          <w:szCs w:val="24"/>
          <w:lang w:val="en-US"/>
        </w:rPr>
        <w:fldChar w:fldCharType="end"/>
      </w:r>
      <w:r w:rsidR="002974EA" w:rsidRPr="00795222">
        <w:rPr>
          <w:rFonts w:asciiTheme="majorBidi" w:hAnsiTheme="majorBidi" w:cstheme="majorBidi"/>
          <w:sz w:val="24"/>
          <w:szCs w:val="24"/>
          <w:lang w:val="en-US"/>
        </w:rPr>
        <w:t xml:space="preserve"> </w:t>
      </w:r>
      <w:r w:rsidR="005A3C67" w:rsidRPr="00795222">
        <w:rPr>
          <w:rFonts w:asciiTheme="majorBidi" w:hAnsiTheme="majorBidi" w:cstheme="majorBidi"/>
          <w:sz w:val="24"/>
          <w:szCs w:val="24"/>
          <w:lang w:val="en-US"/>
        </w:rPr>
        <w:t xml:space="preserve">These same uptake processes can also occur in epithelial cells, which can also display </w:t>
      </w:r>
      <w:r w:rsidR="00890CDF" w:rsidRPr="00795222">
        <w:rPr>
          <w:rFonts w:asciiTheme="majorBidi" w:hAnsiTheme="majorBidi" w:cstheme="majorBidi"/>
          <w:sz w:val="24"/>
          <w:szCs w:val="24"/>
          <w:lang w:val="en-US"/>
        </w:rPr>
        <w:t xml:space="preserve">a </w:t>
      </w:r>
      <w:r w:rsidR="006B2ED1" w:rsidRPr="00795222">
        <w:rPr>
          <w:rFonts w:asciiTheme="majorBidi" w:hAnsiTheme="majorBidi" w:cstheme="majorBidi"/>
          <w:sz w:val="24"/>
          <w:szCs w:val="24"/>
          <w:lang w:val="en-US"/>
        </w:rPr>
        <w:t>paracellular mechanism</w:t>
      </w:r>
      <w:r w:rsidR="00A76F69" w:rsidRPr="00795222">
        <w:rPr>
          <w:rFonts w:asciiTheme="majorBidi" w:hAnsiTheme="majorBidi" w:cstheme="majorBidi"/>
          <w:sz w:val="24"/>
          <w:szCs w:val="24"/>
          <w:lang w:val="en-US"/>
        </w:rPr>
        <w:t xml:space="preserve"> which occur between the tight junctions of the cells</w:t>
      </w:r>
      <w:r w:rsidR="002930CE" w:rsidRPr="00795222">
        <w:rPr>
          <w:rFonts w:asciiTheme="majorBidi" w:hAnsiTheme="majorBidi" w:cstheme="majorBidi"/>
          <w:sz w:val="24"/>
          <w:szCs w:val="24"/>
          <w:lang w:val="en-US"/>
        </w:rPr>
        <w:t>.</w:t>
      </w:r>
      <w:r w:rsidR="001B7E74" w:rsidRPr="00795222">
        <w:rPr>
          <w:rFonts w:asciiTheme="majorBidi" w:hAnsiTheme="majorBidi" w:cstheme="majorBidi"/>
          <w:sz w:val="24"/>
          <w:szCs w:val="24"/>
          <w:lang w:val="en-US"/>
        </w:rPr>
        <w:t xml:space="preserve"> </w:t>
      </w:r>
      <w:r w:rsidR="00AA0056" w:rsidRPr="00795222">
        <w:rPr>
          <w:rFonts w:asciiTheme="majorBidi" w:hAnsiTheme="majorBidi" w:cstheme="majorBidi"/>
          <w:sz w:val="24"/>
          <w:szCs w:val="24"/>
          <w:lang w:val="en-US"/>
        </w:rPr>
        <w:fldChar w:fldCharType="begin" w:fldLock="1"/>
      </w:r>
      <w:r w:rsidR="00A440DB" w:rsidRPr="00795222">
        <w:rPr>
          <w:rFonts w:asciiTheme="majorBidi" w:hAnsiTheme="majorBidi" w:cstheme="majorBidi"/>
          <w:sz w:val="24"/>
          <w:szCs w:val="24"/>
          <w:lang w:val="en-US"/>
        </w:rPr>
        <w:instrText xml:space="preserve">ADDIN CSL_CITATION {"citationItems":[{"id":"ITEM-1","itemData":{"DOI":"10.1016/j.biopha.2017.01.175","ISSN":"19506007","abstract":"Purpose There is a compelling need for prolonged local anesthetic that would be used for analgesia with a single administration. However, due to the low molecular weight of local anesthetics (LA) (lidocaine, bupivacaine, procaine, dibucaine, etc), they present fast systemic absorption. Methods The aim of the present study was to develop and evaluate bupivacaine lipid-polymer hybrid nanoparticles (BVC LPNs), and compared with BVC loaded PLGA nanoparticles (BVC NPs). Their morphology, particle size, zeta potential and drug loading capacity were evaluated. In vitro release study, stability and cytotoxicity were studied. In vivo evaluation of anesthetic effects was performed on animal models. Results A facile nanoprecipitation and self-assembly method was optimized to obtain BVC LPNs, composed of PLGA, lecithin and DSPE-PEG2000, of </w:instrText>
      </w:r>
      <w:r w:rsidR="00A440DB" w:rsidRPr="00795222">
        <w:rPr>
          <w:rFonts w:ascii="Cambria Math" w:hAnsi="Cambria Math" w:cs="Cambria Math"/>
          <w:sz w:val="24"/>
          <w:szCs w:val="24"/>
          <w:lang w:val="en-US"/>
        </w:rPr>
        <w:instrText>∼</w:instrText>
      </w:r>
      <w:r w:rsidR="00A440DB" w:rsidRPr="00795222">
        <w:rPr>
          <w:rFonts w:asciiTheme="majorBidi" w:hAnsiTheme="majorBidi" w:cstheme="majorBidi"/>
          <w:sz w:val="24"/>
          <w:szCs w:val="24"/>
          <w:lang w:val="en-US"/>
        </w:rPr>
        <w:instrText>175</w:instrText>
      </w:r>
      <w:r w:rsidR="00A440DB" w:rsidRPr="00795222">
        <w:rPr>
          <w:rFonts w:ascii="Times New Roman" w:hAnsi="Times New Roman" w:cs="Times New Roman"/>
          <w:sz w:val="24"/>
          <w:szCs w:val="24"/>
          <w:lang w:val="en-US"/>
        </w:rPr>
        <w:instrText> </w:instrText>
      </w:r>
      <w:r w:rsidR="00A440DB" w:rsidRPr="00795222">
        <w:rPr>
          <w:rFonts w:asciiTheme="majorBidi" w:hAnsiTheme="majorBidi" w:cstheme="majorBidi"/>
          <w:sz w:val="24"/>
          <w:szCs w:val="24"/>
          <w:lang w:val="en-US"/>
        </w:rPr>
        <w:instrText>nm particle size. Compared to BVC NPs, BVC LPNs exhibited prolonged in vitro release in phosphate-buffered saline (pH = 7.4). Further, BVC LPNs displayed enhanced in vitro stability in 10% FBS and lower cytotoxicity (the concentration of BVC ranging from 1.0 μM to 20 μM). In addition, BVC LPNs exhibited significantly prolonged analgesic duration. Conclusion These results demonstrate that the LPNs could function as promising drug delivery system for overcoming the drawbacks of poor stability and rapid drug leakage, and prolonging the anesthetic effect with slight toxicity.","author":[{"dropping-particle":"","family":"Ma","given":"Pengju","non-dropping-particle":"","parse-names":false,"suffix":""},{"dropping-particle":"","family":"Li","given":"Ting","non-dropping-particle":"","parse-names":false,"suffix":""},{"dropping-particle":"","family":"Xing","given":"Huaixin","non-dropping-particle":"","parse-names":false,"suffix":""},{"dropping-particle":"","family":"Wang","given":"Suzhen","non-dropping-particle":"","parse-names":false,"suffix":""},{"dropping-particle":"","family":"Sun","given":"Yingui","non-dropping-particle":"","parse-names":false,"suffix":""},{"dropping-particle":"","family":"Sheng","given":"Xiugui","non-dropping-particle":"","parse-names":false,"suffix":""},{"dropping-particle":"","family":"Wang","given":"Kaiguo","non-dropping-particle":"","parse-names":false,"suffix":""}],"container-title":"Biomedicine and Pharmacotherapy","id":"ITEM-1","issue":"October 2011","issued":{"date-parts":[["2017"]]},"page":"689-695","publisher":"Elsevier Masson SAS","title":"Local anesthetic effects of bupivacaine loaded lipid-polymer hybrid nanoparticles: In vitro and in vivo evaluation","type":"article-journal","volume":"89"},"uris":["http://www.mendeley.com/documents/?uuid=957843d5-9ef9-414b-9e3d-6bbdb281d00a"]},{"id":"ITEM-2","itemData":{"DOI":"10.1016/j.nano.2008.08.003","ISBN":"1549-9642 (Electronic)\\n1549-9634 (Linking)","ISSN":"15499634","PMID":"19095502","abstract":"Solid lipid nanoparticles (SLNs) are essentially composed of triglyceride(s) that orient to form a polar core with polar heads oriented toward the aqueous phase, resembling chylomicrons. The composition of such SLNs may alter the course of drug absorption predominantly to and through lymphatic route and regions, presumably following a transcellular path of lipid absorption, especially by enterocytes and polar epithelial cells of the intestine. SLNs were prepared using stearic acid, glycerol monostearate, tristearin, and Compritol 888 ATO by solvent diffusion method using demineralized double-distilled water as the dispersion medium. The SLNs were characterized for shape, size, zeta potential, and percentage drug content and its release. The characterization of SLNs suggests that Compritol 888 ATO-based nanoparticles were heterogeneous with better drug-loading and release characteristics as compared with the other formulations. The selected products were studied for in vivo absorption and hence bioavailability by measure of area under the blood plasma curve plotted as a function of time. Periodic lymphatic concentration of drug following oral administration of respective formulations was also determined by mesenteric duct cannulation and collection of samples. The comparative study conducted on methotrexate (MTX)-bearing SLNs revealed that the formulation based on Compritol 888 ATO could noticeably improve the oral bioavailability of MTX, presumably following SLNs constituting lipid digestion and co-absorption through lymphatic transport and route. ?? 2009 Elsevier Inc. All rights reserved.","author":[{"dropping-particle":"","family":"Paliwal","given":"Rishi","non-dropping-particle":"","parse-names":false,"suffix":""},{"dropping-particle":"","family":"Rai","given":"Shivani","non-dropping-particle":"","parse-names":false,"suffix":""},{"dropping-particle":"","family":"Vaidya","given":"Bhuvaneshwar","non-dropping-particle":"","parse-names":false,"suffix":""},{"dropping-particle":"","family":"Khatri","given":"Kapil","non-dropping-particle":"","parse-names":false,"suffix":""},{"dropping-particle":"","family":"Goyal","given":"Amit K.","non-dropping-particle":"","parse-names":false,"suffix":""},{"dropping-particle":"","family":"Mishra","given":"Neeraj","non-dropping-particle":"","parse-names":false,"suffix":""},{"dropping-particle":"","family":"Mehta","given":"Abhinav","non-dropping-particle":"","parse-names":false,"suffix":""},{"dropping-particle":"","family":"Vyas","given":"Suresh P.","non-dropping-particle":"","parse-names":false,"suffix":""}],"container-title":"Nanomedicine: Nanotechnology, Biology, and Medicine","id":"ITEM-2","issue":"2","issued":{"date-parts":[["2009"]]},"page":"184-191","publisher":"Elsevier Inc.","title":"Effect of lipid core material on characteristics of solid lipid nanoparticles designed for oral lymphatic delivery","type":"article-journal","volume":"5"},"uris":["http://www.mendeley.com/documents/?uuid=9e5a03d8-3013-4887-9f48-0e9a7280a104","http://www.mendeley.com/documents/?uuid=86b2c598-f59a-45f2-b447-035f5797b126","http://www.mendeley.com/documents/?uuid=7338c0a4-1cd1-4ce6-8175-7fd7d3e17912","http://www.mendeley.com/documents/?uuid=ece83fbc-3906-403a-9f65-c010c3154b04"]}],"mendeley":{"formattedCitation":"(Ma et al., 2017; Paliwal et al., 2009)","plainTextFormattedCitation":"(Ma et al., 2017; Paliwal et al., 2009)","previouslyFormattedCitation":"(Ma et al., 2017; Paliwal et al., 2009)"},"properties":{"noteIndex":0},"schema":"https://github.com/citation-style-language/schema/raw/master/csl-citation.json"}</w:instrText>
      </w:r>
      <w:r w:rsidR="00AA0056" w:rsidRPr="00795222">
        <w:rPr>
          <w:rFonts w:asciiTheme="majorBidi" w:hAnsiTheme="majorBidi" w:cstheme="majorBidi"/>
          <w:sz w:val="24"/>
          <w:szCs w:val="24"/>
          <w:lang w:val="en-US"/>
        </w:rPr>
        <w:fldChar w:fldCharType="separate"/>
      </w:r>
      <w:r w:rsidR="00843D40" w:rsidRPr="00795222">
        <w:rPr>
          <w:rFonts w:asciiTheme="majorBidi" w:hAnsiTheme="majorBidi" w:cstheme="majorBidi"/>
          <w:noProof/>
          <w:sz w:val="24"/>
          <w:szCs w:val="24"/>
          <w:lang w:val="en-US"/>
        </w:rPr>
        <w:t>(Ma et al., 2017; Paliwal et al., 2009)</w:t>
      </w:r>
      <w:r w:rsidR="00AA0056" w:rsidRPr="00795222">
        <w:rPr>
          <w:rFonts w:asciiTheme="majorBidi" w:hAnsiTheme="majorBidi" w:cstheme="majorBidi"/>
          <w:sz w:val="24"/>
          <w:szCs w:val="24"/>
          <w:lang w:val="en-US"/>
        </w:rPr>
        <w:fldChar w:fldCharType="end"/>
      </w:r>
      <w:r w:rsidR="00577161" w:rsidRPr="00795222">
        <w:rPr>
          <w:rFonts w:asciiTheme="majorBidi" w:hAnsiTheme="majorBidi" w:cstheme="majorBidi"/>
          <w:sz w:val="24"/>
          <w:szCs w:val="24"/>
          <w:lang w:val="en-US"/>
        </w:rPr>
        <w:t xml:space="preserve"> </w:t>
      </w:r>
      <w:r w:rsidR="00FC1E64" w:rsidRPr="00795222">
        <w:rPr>
          <w:rFonts w:asciiTheme="majorBidi" w:hAnsiTheme="majorBidi" w:cstheme="majorBidi"/>
          <w:sz w:val="24"/>
          <w:szCs w:val="24"/>
          <w:lang w:val="en-US"/>
        </w:rPr>
        <w:t xml:space="preserve">Much of the research on LPHNs focuses on </w:t>
      </w:r>
      <w:r w:rsidR="00C55B58" w:rsidRPr="00795222">
        <w:rPr>
          <w:rFonts w:asciiTheme="majorBidi" w:hAnsiTheme="majorBidi" w:cstheme="majorBidi"/>
          <w:sz w:val="24"/>
          <w:szCs w:val="24"/>
          <w:lang w:val="en-US"/>
        </w:rPr>
        <w:t>parenteral</w:t>
      </w:r>
      <w:r w:rsidR="00FC1E64" w:rsidRPr="00795222">
        <w:rPr>
          <w:rFonts w:asciiTheme="majorBidi" w:hAnsiTheme="majorBidi" w:cstheme="majorBidi"/>
          <w:sz w:val="24"/>
          <w:szCs w:val="24"/>
          <w:lang w:val="en-US"/>
        </w:rPr>
        <w:t xml:space="preserve"> dosing </w:t>
      </w:r>
      <w:r w:rsidR="004F2527" w:rsidRPr="00795222">
        <w:rPr>
          <w:rFonts w:asciiTheme="majorBidi" w:hAnsiTheme="majorBidi" w:cstheme="majorBidi"/>
          <w:sz w:val="24"/>
          <w:szCs w:val="24"/>
          <w:lang w:val="en-US"/>
        </w:rPr>
        <w:t>h</w:t>
      </w:r>
      <w:r w:rsidR="00CE5239" w:rsidRPr="00795222">
        <w:rPr>
          <w:rFonts w:asciiTheme="majorBidi" w:hAnsiTheme="majorBidi" w:cstheme="majorBidi"/>
          <w:sz w:val="24"/>
          <w:szCs w:val="24"/>
          <w:lang w:val="en-US"/>
        </w:rPr>
        <w:t>owever, due to the chronic nature of HIV treatment oral dosing is currently the only viable route of</w:t>
      </w:r>
      <w:r w:rsidR="00843D40" w:rsidRPr="00795222">
        <w:rPr>
          <w:rFonts w:asciiTheme="majorBidi" w:hAnsiTheme="majorBidi" w:cstheme="majorBidi"/>
          <w:sz w:val="24"/>
          <w:szCs w:val="24"/>
          <w:lang w:val="en-US"/>
        </w:rPr>
        <w:t xml:space="preserve"> frequent</w:t>
      </w:r>
      <w:r w:rsidR="00CE5239" w:rsidRPr="00795222">
        <w:rPr>
          <w:rFonts w:asciiTheme="majorBidi" w:hAnsiTheme="majorBidi" w:cstheme="majorBidi"/>
          <w:sz w:val="24"/>
          <w:szCs w:val="24"/>
          <w:lang w:val="en-US"/>
        </w:rPr>
        <w:t xml:space="preserve"> administration.</w:t>
      </w:r>
      <w:r w:rsidR="0094117D" w:rsidRPr="00795222">
        <w:rPr>
          <w:rFonts w:asciiTheme="majorBidi" w:hAnsiTheme="majorBidi" w:cstheme="majorBidi"/>
          <w:sz w:val="24"/>
          <w:szCs w:val="24"/>
          <w:lang w:val="en-US"/>
        </w:rPr>
        <w:t xml:space="preserve"> </w:t>
      </w:r>
    </w:p>
    <w:p w14:paraId="3079DBF6" w14:textId="40385E9E" w:rsidR="00C514E1" w:rsidRPr="00795222" w:rsidRDefault="00C514E1" w:rsidP="00657F6C">
      <w:pPr>
        <w:spacing w:line="360" w:lineRule="auto"/>
        <w:jc w:val="both"/>
        <w:rPr>
          <w:rFonts w:asciiTheme="majorBidi" w:hAnsiTheme="majorBidi" w:cstheme="majorBidi"/>
          <w:sz w:val="24"/>
          <w:szCs w:val="24"/>
        </w:rPr>
      </w:pPr>
      <w:r w:rsidRPr="00795222">
        <w:rPr>
          <w:rFonts w:asciiTheme="majorBidi" w:hAnsiTheme="majorBidi" w:cstheme="majorBidi"/>
          <w:sz w:val="24"/>
          <w:szCs w:val="24"/>
          <w:lang w:val="en-US"/>
        </w:rPr>
        <w:t>Brij 78 (C</w:t>
      </w:r>
      <w:r w:rsidRPr="00795222">
        <w:rPr>
          <w:rFonts w:asciiTheme="majorBidi" w:hAnsiTheme="majorBidi" w:cstheme="majorBidi"/>
          <w:sz w:val="24"/>
          <w:szCs w:val="24"/>
          <w:vertAlign w:val="subscript"/>
          <w:lang w:val="en-US"/>
        </w:rPr>
        <w:t>18</w:t>
      </w:r>
      <w:r w:rsidRPr="00795222">
        <w:rPr>
          <w:rFonts w:asciiTheme="majorBidi" w:hAnsiTheme="majorBidi" w:cstheme="majorBidi"/>
          <w:sz w:val="24"/>
          <w:szCs w:val="24"/>
          <w:lang w:val="en-US"/>
        </w:rPr>
        <w:t>, PEG</w:t>
      </w:r>
      <w:r w:rsidRPr="00795222">
        <w:rPr>
          <w:rFonts w:asciiTheme="majorBidi" w:hAnsiTheme="majorBidi" w:cstheme="majorBidi"/>
          <w:sz w:val="24"/>
          <w:szCs w:val="24"/>
          <w:vertAlign w:val="subscript"/>
          <w:lang w:val="en-US"/>
        </w:rPr>
        <w:t>20</w:t>
      </w:r>
      <w:r w:rsidRPr="00795222">
        <w:rPr>
          <w:rFonts w:asciiTheme="majorBidi" w:hAnsiTheme="majorBidi" w:cstheme="majorBidi"/>
          <w:sz w:val="24"/>
          <w:szCs w:val="24"/>
          <w:lang w:val="en-US"/>
        </w:rPr>
        <w:t>),</w:t>
      </w:r>
      <w:r w:rsidRPr="00795222">
        <w:rPr>
          <w:rStyle w:val="normaltextrun"/>
          <w:rFonts w:asciiTheme="majorBidi" w:hAnsiTheme="majorBidi" w:cstheme="majorBidi"/>
          <w:color w:val="000000"/>
          <w:sz w:val="24"/>
          <w:szCs w:val="24"/>
          <w:shd w:val="clear" w:color="auto" w:fill="FFFFFF"/>
          <w:lang w:val="en-US"/>
        </w:rPr>
        <w:t> a saturated polyethylene glycol octadecyl ether is a stabilizer that is widely used in lipid-based formulations.</w:t>
      </w:r>
      <w:r w:rsidR="00843D40" w:rsidRPr="00795222">
        <w:rPr>
          <w:rStyle w:val="normaltextrun"/>
          <w:rFonts w:asciiTheme="majorBidi" w:hAnsiTheme="majorBidi" w:cstheme="majorBidi"/>
          <w:color w:val="000000"/>
          <w:sz w:val="24"/>
          <w:szCs w:val="24"/>
          <w:shd w:val="clear" w:color="auto" w:fill="FFFFFF"/>
          <w:lang w:val="en-US"/>
        </w:rPr>
        <w:t xml:space="preserve"> </w:t>
      </w:r>
      <w:r w:rsidRPr="00795222">
        <w:rPr>
          <w:rFonts w:asciiTheme="majorBidi" w:hAnsiTheme="majorBidi" w:cstheme="majorBidi"/>
          <w:sz w:val="24"/>
          <w:szCs w:val="24"/>
          <w:lang w:val="en-US"/>
        </w:rPr>
        <w:fldChar w:fldCharType="begin" w:fldLock="1"/>
      </w:r>
      <w:r w:rsidRPr="00795222">
        <w:rPr>
          <w:rFonts w:asciiTheme="majorBidi" w:hAnsiTheme="majorBidi" w:cstheme="majorBidi"/>
          <w:sz w:val="24"/>
          <w:szCs w:val="24"/>
          <w:lang w:val="en-US"/>
        </w:rPr>
        <w:instrText>ADDIN CSL_CITATION {"citationItems":[{"id":"ITEM-1","itemData":{"DOI":"10.1016/j.jconrel.2011.05.020","ISSN":"0168-3659","author":[{"dropping-particle":"","family":"Tagami","given":"Tatsuaki","non-dropping-particle":"","parse-names":false,"suffix":""},{"dropping-particle":"","family":"Ernsting","given":"Mark J","non-dropping-particle":"","parse-names":false,"suffix":""},{"dropping-particle":"","family":"Li","given":"Shyh-dar","non-dropping-particle":"","parse-names":false,"suffix":""}],"container-title":"Journal of Controlled Release","id":"ITEM-1","issue":"3","issued":{"date-parts":[["2011"]]},"page":"290-297","publisher":"Elsevier B.V.","title":"Optimization of a novel and improved thermosensitive liposome formulated with DPPC and a Brij surfactant using a robust in vitro system","type":"article-journal","volume":"154"},"uris":["http://www.mendeley.com/documents/?uuid=cb3be141-2725-47c6-9585-966288d5d2e9","http://www.mendeley.com/documents/?uuid=ce4c2731-5711-4c4d-af40-ba672da4f4bd","http://www.mendeley.com/documents/?uuid=cb57642a-90c2-4311-9797-716664c424a3"]}],"mendeley":{"formattedCitation":"(Tagami et al., 2011a)","plainTextFormattedCitation":"(Tagami et al., 2011a)","previouslyFormattedCitation":"(Tagami et al., 2011a)"},"properties":{"noteIndex":0},"schema":"https://github.com/citation-style-language/schema/raw/master/csl-citation.json"}</w:instrText>
      </w:r>
      <w:r w:rsidRPr="00795222">
        <w:rPr>
          <w:rFonts w:asciiTheme="majorBidi" w:hAnsiTheme="majorBidi" w:cstheme="majorBidi"/>
          <w:sz w:val="24"/>
          <w:szCs w:val="24"/>
          <w:lang w:val="en-US"/>
        </w:rPr>
        <w:fldChar w:fldCharType="separate"/>
      </w:r>
      <w:r w:rsidRPr="00795222">
        <w:rPr>
          <w:rFonts w:asciiTheme="majorBidi" w:hAnsiTheme="majorBidi" w:cstheme="majorBidi"/>
          <w:noProof/>
          <w:sz w:val="24"/>
          <w:szCs w:val="24"/>
          <w:lang w:val="en-US"/>
        </w:rPr>
        <w:t>(Tagami et al., 2011a)</w:t>
      </w:r>
      <w:r w:rsidRPr="00795222">
        <w:rPr>
          <w:rFonts w:asciiTheme="majorBidi" w:hAnsiTheme="majorBidi" w:cstheme="majorBidi"/>
          <w:sz w:val="24"/>
          <w:szCs w:val="24"/>
          <w:lang w:val="en-US"/>
        </w:rPr>
        <w:fldChar w:fldCharType="end"/>
      </w:r>
      <w:r w:rsidRPr="00795222">
        <w:rPr>
          <w:rStyle w:val="normaltextrun"/>
          <w:rFonts w:asciiTheme="majorBidi" w:hAnsiTheme="majorBidi" w:cstheme="majorBidi"/>
          <w:color w:val="000000"/>
          <w:sz w:val="24"/>
          <w:szCs w:val="24"/>
          <w:shd w:val="clear" w:color="auto" w:fill="FFFFFF"/>
          <w:lang w:val="en-US"/>
        </w:rPr>
        <w:t xml:space="preserve"> Brij 78</w:t>
      </w:r>
      <w:r w:rsidRPr="00795222">
        <w:rPr>
          <w:rFonts w:asciiTheme="majorBidi" w:hAnsiTheme="majorBidi" w:cstheme="majorBidi"/>
          <w:sz w:val="24"/>
          <w:szCs w:val="24"/>
          <w:lang w:val="en-US"/>
        </w:rPr>
        <w:t xml:space="preserve"> has previously been used as surfactant in the synthesis of many formulations: liposomes,</w:t>
      </w:r>
      <w:r w:rsidR="00843D40"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fldChar w:fldCharType="begin" w:fldLock="1"/>
      </w:r>
      <w:r w:rsidR="005563A9" w:rsidRPr="00795222">
        <w:rPr>
          <w:rFonts w:asciiTheme="majorBidi" w:hAnsiTheme="majorBidi" w:cstheme="majorBidi"/>
          <w:sz w:val="24"/>
          <w:szCs w:val="24"/>
          <w:lang w:val="en-US"/>
        </w:rPr>
        <w:instrText>ADDIN CSL_CITATION {"citationItems":[{"id":"ITEM-1","itemData":{"DOI":"10.2174/157341311794653686","author":[{"dropping-particle":"","family":"Hsu","given":"Shu-hui","non-dropping-particle":"","parse-names":false,"suffix":""},{"dropping-particle":"","family":"Al-suwayeh","given":"Saleh A","non-dropping-particle":"","parse-names":false,"suffix":""},{"dropping-particle":"","family":"Chen","given":"Chih-chieh","non-dropping-particle":"","parse-names":false,"suffix":""},{"dropping-particle":"","family":"Chi","given":"Chen-hsien","non-dropping-particle":"","parse-names":false,"suffix":""},{"dropping-particle":"","family":"Fang","given":"Jia-you","non-dropping-particle":"","parse-names":false,"suffix":""}],"id":"ITEM-1","issue":"September 2015","issued":{"date-parts":[["2011"]]},"title":"PEGylated Liposomes Incorporated with Nonionic Surfactants as an Apomorphine Delivery System Targeting the Brain : In Vitro Release and In Vivo Real-time Imaging PEGylated Liposomes Incorporated with Nonionic Surfactants as an Apomorphine Delivery System ","type":"article-journal"},"uris":["http://www.mendeley.com/documents/?uuid=731a4158-29ef-4034-a1a4-d864bd5ffa2a","http://www.mendeley.com/documents/?uuid=884d29dd-815c-4c43-b609-dd80dab2401a","http://www.mendeley.com/documents/?uuid=b730d40d-8804-41d9-bcad-7244574227fe"]},{"id":"ITEM-2","itemData":{"DOI":"10.1016/j.jconrel.2011.02.009","ISSN":"01683659","abstract":"We have developed a novel and simplified thermosensitive liposomal formulation (HaT: Hyperthermia-activated cytoToxic) composed of DPPC lipid and Brij78 (96:4, molar ratio). The HaT nanoparticles were loaded with doxorubicin (DOX) with &gt; 95% efficiency when a pH gradient method and a drug/lipid ratio of 1/20 (w/w) were applied. Drug release from the HaT formulation was significantly faster at 40-41 °C (100% release in 2-3 min) with 3.4-fold increased membrane permeability compared to the LTSL (lyso-lipid temperature sensitive liposomes; DPPC: MSPC: DSPE-PEG2000 = 86:10:4, molar ratio), a formulation that is currently in clinical trials. Both formulations displayed similar stability at 37 °C in serum (10-20% release in 30 min), which corresponds to their comparable pharmacokinetics in the unheated mice. An approximately 1.4-fold increased drug delivery to the locally heated tumor (</w:instrText>
      </w:r>
      <w:r w:rsidR="005563A9" w:rsidRPr="00795222">
        <w:rPr>
          <w:rFonts w:ascii="Cambria Math" w:hAnsi="Cambria Math" w:cs="Cambria Math"/>
          <w:sz w:val="24"/>
          <w:szCs w:val="24"/>
          <w:lang w:val="en-US"/>
        </w:rPr>
        <w:instrText>∼</w:instrText>
      </w:r>
      <w:r w:rsidR="005563A9" w:rsidRPr="00795222">
        <w:rPr>
          <w:rFonts w:asciiTheme="majorBidi" w:hAnsiTheme="majorBidi" w:cstheme="majorBidi"/>
          <w:sz w:val="24"/>
          <w:szCs w:val="24"/>
          <w:lang w:val="en-US"/>
        </w:rPr>
        <w:instrText xml:space="preserve"> 43 </w:instrText>
      </w:r>
      <w:r w:rsidR="005563A9" w:rsidRPr="00795222">
        <w:rPr>
          <w:rFonts w:ascii="Times New Roman" w:hAnsi="Times New Roman" w:cs="Times New Roman"/>
          <w:sz w:val="24"/>
          <w:szCs w:val="24"/>
          <w:lang w:val="en-US"/>
        </w:rPr>
        <w:instrText>°</w:instrText>
      </w:r>
      <w:r w:rsidR="005563A9" w:rsidRPr="00795222">
        <w:rPr>
          <w:rFonts w:asciiTheme="majorBidi" w:hAnsiTheme="majorBidi" w:cstheme="majorBidi"/>
          <w:sz w:val="24"/>
          <w:szCs w:val="24"/>
          <w:lang w:val="en-US"/>
        </w:rPr>
        <w:instrText>C) was detected with HaT-DOX compared to LTSL-DOX. Moreover, when compared with free DOX, HaT enhanced drug uptake in the heated tumor by 5.2-fold and reduced drug delivery to the heart by 15-fold. A single i.v. treatment with HaT-DOX at 3 mg DOX/kg in combination with localized hyperthermia demonstrated enhanced tumor regression compared to LTSL-DOX and free DOX, and exhibited little toxicity. © 2011 Elsevier B.V. All rights reserved.","author":[{"dropping-particle":"","family":"Tagami","given":"Tatsuaki","non-dropping-particle":"","parse-names":false,"suffix":""},{"dropping-particle":"","family":"Ernsting","given":"Mark J","non-dropping-particle":"","parse-names":false,"suffix":""},{"dropping-particle":"","family":"Li","given":"Shyh Dar","non-dropping-particle":"","parse-names":false,"suffix":""}],"container-title":"Journal of Controlled Release","id":"ITEM-2","issue":"2","issued":{"date-parts":[["2011"]]},"page":"303-309","publisher":"Elsevier B.V.","title":"Efficient tumor regression by a single and low dose treatment with a novel and enhanced formulation of thermosensitive liposomal doxorubicin","type":"article-journal","volume":"152"},"uris":["http://www.mendeley.com/documents/?uuid=36bace91-56d8-4183-8c93-70ccfa4b3043","http://www.mendeley.com/documents/?uuid=e0aa94d2-b749-45e4-9b44-edcc7ec57f27","http://www.mendeley.com/documents/?uuid=bb176120-6af6-48dc-9299-896b71ce20be","http://www.mendeley.com/documents/?uuid=b6971380-88ca-48b9-a5f1-48cacb7c89e8"]},{"id":"ITEM-3","itemData":{"DOI":"10.1016/j.jconrel.2011.05.020","ISSN":"0168-3659","author":[{"dropping-particle":"","family":"Tagami","given":"Tatsuaki","non-dropping-particle":"","parse-names":false,"suffix":""},{"dropping-particle":"","family":"Ernsting","given":"Mark J","non-dropping-particle":"","parse-names":false,"suffix":""},{"dropping-particle":"","family":"Li","given":"Shyh-dar","non-dropping-particle":"","parse-names":false,"suffix":""}],"container-title":"Journal of Controlled Release","id":"ITEM-3","issue":"3","issued":{"date-parts":[["2011"]]},"page":"290-297","publisher":"Elsevier B.V.","title":"Optimization of a novel and improved thermosensitive liposome formulated with DPPC and a Brij surfactant using a robust in vitro system","type":"article-journal","volume":"154"},"uris":["http://www.mendeley.com/documents/?uuid=cb57642a-90c2-4311-9797-716664c424a3","http://www.mendeley.com/documents/?uuid=ce4c2731-5711-4c4d-af40-ba672da4f4bd","http://www.mendeley.com/documents/?uuid=cb3be141-2725-47c6-9585-966288d5d2e9","http://www.mendeley.com/documents/?uuid=3d5029a5-1e02-490a-b3e8-cd1b7818ec06"]}],"mendeley":{"formattedCitation":"(S. Hsu et al., 2011; Tagami et al., 2011b, 2011a)","plainTextFormattedCitation":"(S. Hsu et al., 2011; Tagami et al., 2011b, 2011a)","previouslyFormattedCitation":"(S. Hsu et al., 2011; Tagami et al., 2011b, 2011a)"},"properties":{"noteIndex":0},"schema":"https://github.com/citation-style-language/schema/raw/master/csl-citation.json"}</w:instrText>
      </w:r>
      <w:r w:rsidRPr="00795222">
        <w:rPr>
          <w:rFonts w:asciiTheme="majorBidi" w:hAnsiTheme="majorBidi" w:cstheme="majorBidi"/>
          <w:sz w:val="24"/>
          <w:szCs w:val="24"/>
          <w:lang w:val="en-US"/>
        </w:rPr>
        <w:fldChar w:fldCharType="separate"/>
      </w:r>
      <w:r w:rsidRPr="00795222">
        <w:rPr>
          <w:rFonts w:asciiTheme="majorBidi" w:hAnsiTheme="majorBidi" w:cstheme="majorBidi"/>
          <w:noProof/>
          <w:sz w:val="24"/>
          <w:szCs w:val="24"/>
          <w:lang w:val="en-US"/>
        </w:rPr>
        <w:t>(S. Hsu et al., 2011; Tagami et al., 2011b, 2011a)</w:t>
      </w:r>
      <w:r w:rsidRPr="00795222">
        <w:rPr>
          <w:rFonts w:asciiTheme="majorBidi" w:hAnsiTheme="majorBidi" w:cstheme="majorBidi"/>
          <w:sz w:val="24"/>
          <w:szCs w:val="24"/>
          <w:lang w:val="en-US"/>
        </w:rPr>
        <w:fldChar w:fldCharType="end"/>
      </w:r>
      <w:r w:rsidRPr="00795222">
        <w:rPr>
          <w:rFonts w:asciiTheme="majorBidi" w:hAnsiTheme="majorBidi" w:cstheme="majorBidi"/>
          <w:sz w:val="24"/>
          <w:szCs w:val="24"/>
          <w:lang w:val="en-US"/>
        </w:rPr>
        <w:t xml:space="preserve"> micelles,</w:t>
      </w:r>
      <w:r w:rsidR="00843D40"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fldChar w:fldCharType="begin" w:fldLock="1"/>
      </w:r>
      <w:r w:rsidRPr="00795222">
        <w:rPr>
          <w:rFonts w:asciiTheme="majorBidi" w:hAnsiTheme="majorBidi" w:cstheme="majorBidi"/>
          <w:sz w:val="24"/>
          <w:szCs w:val="24"/>
          <w:lang w:val="en-US"/>
        </w:rPr>
        <w:instrText>ADDIN CSL_CITATION {"citationItems":[{"id":"ITEM-1","itemData":{"DOI":"10.1016/j.ijpharm.2012.07.032","ISSN":"0378-5173","author":[{"dropping-particle":"","family":"Ribeiro","given":"Maria E N P","non-dropping-particle":"","parse-names":false,"suffix":""},{"dropping-particle":"De","family":"Moura","given":"Carolina L","non-dropping-particle":"","parse-names":false,"suffix":""},{"dropping-particle":"","family":"Vieira","given":"Mariano G S","non-dropping-particle":"","parse-names":false,"suffix":""},{"dropping-particle":"V","family":"Gramosa","given":"Nilce","non-dropping-particle":"","parse-names":false,"suffix":""},{"dropping-particle":"","family":"Chaibundit","given":"Chiraphon","non-dropping-particle":"","parse-names":false,"suffix":""},{"dropping-particle":"De","family":"Mattos","given":"Marcos C","non-dropping-particle":"","parse-names":false,"suffix":""},{"dropping-particle":"","family":"Attwood","given":"David","non-dropping-particle":"","parse-names":false,"suffix":""},{"dropping-particle":"","family":"Yeates","given":"Stephen G","non-dropping-particle":"","parse-names":false,"suffix":""},{"dropping-particle":"","family":"Nixon","given":"S Keith","non-dropping-particle":"","parse-names":false,"suffix":""},{"dropping-particle":"","family":"Ricardo","given":"Nágila M P S","non-dropping-particle":"","parse-names":false,"suffix":""}],"container-title":"International Journal of Pharmaceutics","id":"ITEM-1","issue":"1-2","issued":{"date-parts":[["2012"]]},"page":"631-635","publisher":"Elsevier B.V.","title":"Solubilisation capacity of Brij surfactants","type":"article-journal","volume":"436"},"uris":["http://www.mendeley.com/documents/?uuid=d41725ca-3858-4e2b-9f02-7f20bebf12c8","http://www.mendeley.com/documents/?uuid=ffb7cc15-bc8d-428b-b2c5-563bf060167c","http://www.mendeley.com/documents/?uuid=bc3490d3-d96b-4658-a31d-eb4fd7a15724"]}],"mendeley":{"formattedCitation":"(Ribeiro et al., 2012)","plainTextFormattedCitation":"(Ribeiro et al., 2012)","previouslyFormattedCitation":"(Ribeiro et al., 2012)"},"properties":{"noteIndex":0},"schema":"https://github.com/citation-style-language/schema/raw/master/csl-citation.json"}</w:instrText>
      </w:r>
      <w:r w:rsidRPr="00795222">
        <w:rPr>
          <w:rFonts w:asciiTheme="majorBidi" w:hAnsiTheme="majorBidi" w:cstheme="majorBidi"/>
          <w:sz w:val="24"/>
          <w:szCs w:val="24"/>
          <w:lang w:val="en-US"/>
        </w:rPr>
        <w:fldChar w:fldCharType="separate"/>
      </w:r>
      <w:r w:rsidRPr="00795222">
        <w:rPr>
          <w:rFonts w:asciiTheme="majorBidi" w:hAnsiTheme="majorBidi" w:cstheme="majorBidi"/>
          <w:noProof/>
          <w:sz w:val="24"/>
          <w:szCs w:val="24"/>
          <w:lang w:val="en-US"/>
        </w:rPr>
        <w:t>(Ribeiro et al., 2012)</w:t>
      </w:r>
      <w:r w:rsidRPr="00795222">
        <w:rPr>
          <w:rFonts w:asciiTheme="majorBidi" w:hAnsiTheme="majorBidi" w:cstheme="majorBidi"/>
          <w:sz w:val="24"/>
          <w:szCs w:val="24"/>
          <w:lang w:val="en-US"/>
        </w:rPr>
        <w:fldChar w:fldCharType="end"/>
      </w:r>
      <w:r w:rsidRPr="00795222">
        <w:rPr>
          <w:rFonts w:asciiTheme="majorBidi" w:hAnsiTheme="majorBidi" w:cstheme="majorBidi"/>
          <w:sz w:val="24"/>
          <w:szCs w:val="24"/>
          <w:lang w:val="en-US"/>
        </w:rPr>
        <w:t xml:space="preserve"> solid lipid nanoparticles,</w:t>
      </w:r>
      <w:r w:rsidR="00843D40"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fldChar w:fldCharType="begin" w:fldLock="1"/>
      </w:r>
      <w:r w:rsidR="00B82D25" w:rsidRPr="00795222">
        <w:rPr>
          <w:rFonts w:asciiTheme="majorBidi" w:hAnsiTheme="majorBidi" w:cstheme="majorBidi"/>
          <w:sz w:val="24"/>
          <w:szCs w:val="24"/>
          <w:lang w:val="en-US"/>
        </w:rPr>
        <w:instrText>ADDIN CSL_CITATION {"citationItems":[{"id":"ITEM-1","itemData":{"DOI":"10.1080/10717540701203034","ISSN":"10717544","abstract":"The study describes the development of stealth solid lipid nanoparticles (SLNs) as colloidal carriers for silibinin, a drug with very low solubility. Stealth SLNs were constituted mainly of bioacceptable and biodegradable lipids, such as stearic acid and surfactant Brij 78 (polyoxyethylene 20 stearyl ether) and can incorporate amounts of silibinin up to 7.55%. Stealth-loaded SLNs were in the nanometer size range. Thermal analysis (differential scanning calorimetry) showed that silibinin was dispersed in the stealth SLNs at an amorphous state. Release of silibinin from stealth SLNs was very slow. Stealth SLNs were stable without precipitation of silibinin on storage conditions and can be proposed for their parenteral administration. Copyright © Informa Healthcare USA, Inc.","author":[{"dropping-particle":"","family":"Zhang","given":"J Q","non-dropping-particle":"","parse-names":false,"suffix":""},{"dropping-particle":"","family":"Liu","given":"J","non-dropping-particle":"","parse-names":false,"suffix":""},{"dropping-particle":"","family":"Li","given":"X L","non-dropping-particle":"","parse-names":false,"suffix":""},{"dropping-particle":"","family":"Jasti","given":"B R","non-dropping-particle":"","parse-names":false,"suffix":""}],"container-title":"Drug Delivery","id":"ITEM-1","issue":"6","issued":{"date-parts":[["2007"]]},"page":"381-387","title":"Preparation and characterization of solid lipid nanoparticles containing silibinin","type":"article-journal","volume":"14"},"uris":["http://www.mendeley.com/documents/?uuid=796e1b20-dc22-4419-b1af-73a9039a3e97","http://www.mendeley.com/documents/?uuid=b545a7f9-211c-4599-91d1-3834093196c1","http://www.mendeley.com/documents/?uuid=6e7f7356-2f49-4f2f-9d28-4cded7bc1cc3"]}],"mendeley":{"formattedCitation":"(Zhang et al., 2007)","plainTextFormattedCitation":"(Zhang et al., 2007)","previouslyFormattedCitation":"(Zhang et al., 2007)"},"properties":{"noteIndex":0},"schema":"https://github.com/citation-style-language/schema/raw/master/csl-citation.json"}</w:instrText>
      </w:r>
      <w:r w:rsidRPr="00795222">
        <w:rPr>
          <w:rFonts w:asciiTheme="majorBidi" w:hAnsiTheme="majorBidi" w:cstheme="majorBidi"/>
          <w:sz w:val="24"/>
          <w:szCs w:val="24"/>
          <w:lang w:val="en-US"/>
        </w:rPr>
        <w:fldChar w:fldCharType="separate"/>
      </w:r>
      <w:r w:rsidR="00B82D25" w:rsidRPr="00795222">
        <w:rPr>
          <w:rFonts w:asciiTheme="majorBidi" w:hAnsiTheme="majorBidi" w:cstheme="majorBidi"/>
          <w:noProof/>
          <w:sz w:val="24"/>
          <w:szCs w:val="24"/>
          <w:lang w:val="en-US"/>
        </w:rPr>
        <w:t>(Zhang et al., 2007)</w:t>
      </w:r>
      <w:r w:rsidRPr="00795222">
        <w:rPr>
          <w:rFonts w:asciiTheme="majorBidi" w:hAnsiTheme="majorBidi" w:cstheme="majorBidi"/>
          <w:sz w:val="24"/>
          <w:szCs w:val="24"/>
          <w:lang w:val="en-US"/>
        </w:rPr>
        <w:fldChar w:fldCharType="end"/>
      </w:r>
      <w:r w:rsidRPr="00795222">
        <w:rPr>
          <w:rFonts w:asciiTheme="majorBidi" w:hAnsiTheme="majorBidi" w:cstheme="majorBidi"/>
          <w:sz w:val="24"/>
          <w:szCs w:val="24"/>
          <w:lang w:val="en-US"/>
        </w:rPr>
        <w:t xml:space="preserve"> active targeted nanoparticles,</w:t>
      </w:r>
      <w:r w:rsidR="00843D40"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fldChar w:fldCharType="begin" w:fldLock="1"/>
      </w:r>
      <w:r w:rsidR="005563A9" w:rsidRPr="00795222">
        <w:rPr>
          <w:rFonts w:asciiTheme="majorBidi" w:hAnsiTheme="majorBidi" w:cstheme="majorBidi"/>
          <w:sz w:val="24"/>
          <w:szCs w:val="24"/>
          <w:lang w:val="en-US"/>
        </w:rPr>
        <w:instrText>ADDIN CSL_CITATION {"citationItems":[{"id":"ITEM-1","itemData":{"DOI":"10.1016/S0378-5173(02)00587-2","ISSN":"03785173","abstract":"Emulsifying wax and polyoxyl 2 stearyl ether (Brij 72) nanoparticles (2 mg/ml) containing high concentrations of gadolinium hexanedione (GdH) (0-3 mg) have been engineered from oil-in-water microemulsion templates. Solid nanoparticles were cured by cooling warm microemulsion templates (prepared at 55°C) to room temperature in one vessel. Nanoparticles were characterized by transmission electron microscopy (TEM), photon correlation spectroscopy (PCS) and gel permeation chromatography (GPC). To obtain folate-coated nanoparticles, a folate ligand was added to either the microemulsion templates or nanoparticle suspensions at 25°C. Since the concentration of Gd in the tumor is critical to the success of Gd-neutron capture therapy (NCT), the effects of various formulation factors on GdH entrapment in nanoparticles as well as tumor-targeting were studied. GdH entrapment in nanoparticles was affected mostly by the method of GdH incorporation and surfactant concentration used in preparing the microemulsion templates. Cell uptake studies were carried out in KB cells (human nasopharyngeal epidermal carcinoma cell line). The method of adding folate ligand to the formulations did not significantly affect nanoparticle cell uptake (P&gt;0.11; t-test). However, the concentration of folate ligand added to nanoparticles had the greatest influence on nanoparticle uptake (P&lt;0.01; t-test). The results showed that GdH entrapment and cell uptake were optimized and suggested that engineered folate-coated nanoparticles may serve as effective carrier systems for Gd-NCT of tumors. © 2002 Elsevier Science B.V. All rights reserved.","author":[{"dropping-particle":"","family":"Oyewumi","given":"Moses O","non-dropping-particle":"","parse-names":false,"suffix":""},{"dropping-particle":"","family":"Mumper","given":"Russell J","non-dropping-particle":"","parse-names":false,"suffix":""}],"container-title":"International Journal of Pharmaceutics","id":"ITEM-1","issue":"1-2","issued":{"date-parts":[["2003","1"]]},"page":"85-97","title":"Influence of formulation parameters on gadolinium entrapment and tumor cell uptake using folate-coated nanoparticles","type":"article-journal","volume":"251"},"uris":["http://www.mendeley.com/documents/?uuid=a327dc93-f3b4-41dd-9c72-b9ed61bce8f8","http://www.mendeley.com/documents/?uuid=2333731e-82af-4a6e-be80-78412a895fe3","http://www.mendeley.com/documents/?uuid=f7aa24f9-8db6-4990-a84f-90d7ed8ba023"]}],"mendeley":{"formattedCitation":"(Oyewumi and Mumper, 2003)","plainTextFormattedCitation":"(Oyewumi and Mumper, 2003)","previouslyFormattedCitation":"(Oyewumi and Mumper, 2003)"},"properties":{"noteIndex":0},"schema":"https://github.com/citation-style-language/schema/raw/master/csl-citation.json"}</w:instrText>
      </w:r>
      <w:r w:rsidRPr="00795222">
        <w:rPr>
          <w:rFonts w:asciiTheme="majorBidi" w:hAnsiTheme="majorBidi" w:cstheme="majorBidi"/>
          <w:sz w:val="24"/>
          <w:szCs w:val="24"/>
          <w:lang w:val="en-US"/>
        </w:rPr>
        <w:fldChar w:fldCharType="separate"/>
      </w:r>
      <w:r w:rsidRPr="00795222">
        <w:rPr>
          <w:rFonts w:asciiTheme="majorBidi" w:hAnsiTheme="majorBidi" w:cstheme="majorBidi"/>
          <w:noProof/>
          <w:sz w:val="24"/>
          <w:szCs w:val="24"/>
          <w:lang w:val="en-US"/>
        </w:rPr>
        <w:t>(Oyewumi and Mumper, 2003)</w:t>
      </w:r>
      <w:r w:rsidRPr="00795222">
        <w:rPr>
          <w:rFonts w:asciiTheme="majorBidi" w:hAnsiTheme="majorBidi" w:cstheme="majorBidi"/>
          <w:sz w:val="24"/>
          <w:szCs w:val="24"/>
          <w:lang w:val="en-US"/>
        </w:rPr>
        <w:fldChar w:fldCharType="end"/>
      </w:r>
      <w:r w:rsidRPr="00795222">
        <w:rPr>
          <w:rFonts w:asciiTheme="majorBidi" w:hAnsiTheme="majorBidi" w:cstheme="majorBidi"/>
          <w:sz w:val="24"/>
          <w:szCs w:val="24"/>
          <w:lang w:val="en-US"/>
        </w:rPr>
        <w:t xml:space="preserve"> lipid based nanoparticles </w:t>
      </w:r>
      <w:r w:rsidRPr="00795222">
        <w:rPr>
          <w:rFonts w:asciiTheme="majorBidi" w:hAnsiTheme="majorBidi" w:cstheme="majorBidi"/>
          <w:sz w:val="24"/>
          <w:szCs w:val="24"/>
          <w:lang w:val="en-US"/>
        </w:rPr>
        <w:fldChar w:fldCharType="begin" w:fldLock="1"/>
      </w:r>
      <w:r w:rsidRPr="00795222">
        <w:rPr>
          <w:rFonts w:asciiTheme="majorBidi" w:hAnsiTheme="majorBidi" w:cstheme="majorBidi"/>
          <w:sz w:val="24"/>
          <w:szCs w:val="24"/>
          <w:lang w:val="en-US"/>
        </w:rPr>
        <w:instrText>ADDIN CSL_CITATION {"citationItems":[{"id":"ITEM-1","itemData":{"DOI":"10.1016/j.ejpb.2008.11.012","ISSN":"0939-6411","author":[{"dropping-particle":"","family":"Dong","given":"Xiaowei","non-dropping-particle":"","parse-names":false,"suffix":""},{"dropping-particle":"","family":"Mattingly","given":"Cynthia A","non-dropping-particle":"","parse-names":false,"suffix":""},{"dropping-particle":"","family":"Tseng","given":"Michael","non-dropping-particle":"","parse-names":false,"suffix":""},{"dropping-particle":"","family":"Cho","given":"Moo","non-dropping-particle":"","parse-names":false,"suffix":""},{"dropping-particle":"","family":"Adams","given":"Val R","non-dropping-particle":"","parse-names":false,"suffix":""},{"dropping-particle":"","family":"Mumper","given":"Russell J","non-dropping-particle":"","parse-names":false,"suffix":""}],"container-title":"European Journal of Pharmaceutics and Biopharmaceutics","id":"ITEM-1","issue":"1","issued":{"date-parts":[["2009"]]},"page":"9-17","publisher":"Elsevier B.V.","title":"European Journal of Pharmaceutics and Biopharmaceutics Development of new lipid-based paclitaxel nanoparticles using sequential simplex optimization","type":"article-journal","volume":"72"},"uris":["http://www.mendeley.com/documents/?uuid=8d7f5cc1-7da5-477d-989a-9600a48e8f33","http://www.mendeley.com/documents/?uuid=f7890d36-718e-4692-a16b-832fc412c7f4","http://www.mendeley.com/documents/?uuid=7106b095-863c-47d5-92db-24be17fa95b9"]}],"mendeley":{"formattedCitation":"(Dong et al., 2009)","plainTextFormattedCitation":"(Dong et al., 2009)","previouslyFormattedCitation":"(Dong et al., 2009)"},"properties":{"noteIndex":0},"schema":"https://github.com/citation-style-language/schema/raw/master/csl-citation.json"}</w:instrText>
      </w:r>
      <w:r w:rsidRPr="00795222">
        <w:rPr>
          <w:rFonts w:asciiTheme="majorBidi" w:hAnsiTheme="majorBidi" w:cstheme="majorBidi"/>
          <w:sz w:val="24"/>
          <w:szCs w:val="24"/>
          <w:lang w:val="en-US"/>
        </w:rPr>
        <w:fldChar w:fldCharType="separate"/>
      </w:r>
      <w:r w:rsidRPr="00795222">
        <w:rPr>
          <w:rFonts w:asciiTheme="majorBidi" w:hAnsiTheme="majorBidi" w:cstheme="majorBidi"/>
          <w:noProof/>
          <w:sz w:val="24"/>
          <w:szCs w:val="24"/>
          <w:lang w:val="en-US"/>
        </w:rPr>
        <w:t>(Dong et al., 2009)</w:t>
      </w:r>
      <w:r w:rsidRPr="00795222">
        <w:rPr>
          <w:rFonts w:asciiTheme="majorBidi" w:hAnsiTheme="majorBidi" w:cstheme="majorBidi"/>
          <w:sz w:val="24"/>
          <w:szCs w:val="24"/>
          <w:lang w:val="en-US"/>
        </w:rPr>
        <w:fldChar w:fldCharType="end"/>
      </w:r>
      <w:r w:rsidRPr="00795222">
        <w:rPr>
          <w:rFonts w:asciiTheme="majorBidi" w:hAnsiTheme="majorBidi" w:cstheme="majorBidi"/>
          <w:sz w:val="24"/>
          <w:szCs w:val="24"/>
          <w:lang w:val="en-US"/>
        </w:rPr>
        <w:t xml:space="preserve"> and </w:t>
      </w:r>
      <w:proofErr w:type="spellStart"/>
      <w:r w:rsidRPr="00795222">
        <w:rPr>
          <w:rFonts w:asciiTheme="majorBidi" w:hAnsiTheme="majorBidi" w:cstheme="majorBidi"/>
          <w:sz w:val="24"/>
          <w:szCs w:val="24"/>
          <w:lang w:val="en-US"/>
        </w:rPr>
        <w:t>nisomes</w:t>
      </w:r>
      <w:proofErr w:type="spellEnd"/>
      <w:r w:rsidRPr="00795222">
        <w:rPr>
          <w:rFonts w:asciiTheme="majorBidi" w:hAnsiTheme="majorBidi" w:cstheme="majorBidi"/>
          <w:sz w:val="24"/>
          <w:szCs w:val="24"/>
          <w:lang w:val="en-US"/>
        </w:rPr>
        <w:t>,</w:t>
      </w:r>
      <w:r w:rsidR="00843D40"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fldChar w:fldCharType="begin" w:fldLock="1"/>
      </w:r>
      <w:r w:rsidRPr="00795222">
        <w:rPr>
          <w:rFonts w:asciiTheme="majorBidi" w:hAnsiTheme="majorBidi" w:cstheme="majorBidi"/>
          <w:sz w:val="24"/>
          <w:szCs w:val="24"/>
          <w:lang w:val="en-US"/>
        </w:rPr>
        <w:instrText>ADDIN CSL_CITATION {"citationItems":[{"id":"ITEM-1","itemData":{"DOI":"10.1002/jps","author":[{"dropping-particle":"","family":"Bayindir","given":"Zerrin Sezgin","non-dropping-particle":"","parse-names":false,"suffix":""},{"dropping-particle":"","family":"Yuksel","given":"Nilufer","non-dropping-particle":"","parse-names":false,"suffix":""}],"id":"ITEM-1","issue":"4","issued":{"date-parts":[["2010"]]},"page":"2049-2061","title":"Characterization of Niosomes Prepared With Various Nonionic Surfactants for Paclitaxel Oral Delivery","type":"article-journal","volume":"99"},"uris":["http://www.mendeley.com/documents/?uuid=e596dff7-947f-4068-b1f6-20519e783b09","http://www.mendeley.com/documents/?uuid=110ccb85-8852-444b-a65b-5123f6897994","http://www.mendeley.com/documents/?uuid=18d74b6b-ab99-4ca5-ab99-94f1bbcc5078"]}],"mendeley":{"formattedCitation":"(Bayindir and Yuksel, 2010)","plainTextFormattedCitation":"(Bayindir and Yuksel, 2010)","previouslyFormattedCitation":"(Bayindir and Yuksel, 2010)"},"properties":{"noteIndex":0},"schema":"https://github.com/citation-style-language/schema/raw/master/csl-citation.json"}</w:instrText>
      </w:r>
      <w:r w:rsidRPr="00795222">
        <w:rPr>
          <w:rFonts w:asciiTheme="majorBidi" w:hAnsiTheme="majorBidi" w:cstheme="majorBidi"/>
          <w:sz w:val="24"/>
          <w:szCs w:val="24"/>
          <w:lang w:val="en-US"/>
        </w:rPr>
        <w:fldChar w:fldCharType="separate"/>
      </w:r>
      <w:r w:rsidRPr="00795222">
        <w:rPr>
          <w:rFonts w:asciiTheme="majorBidi" w:hAnsiTheme="majorBidi" w:cstheme="majorBidi"/>
          <w:noProof/>
          <w:sz w:val="24"/>
          <w:szCs w:val="24"/>
          <w:lang w:val="en-US"/>
        </w:rPr>
        <w:t>(Bayindir and Yuksel, 2010)</w:t>
      </w:r>
      <w:r w:rsidRPr="00795222">
        <w:rPr>
          <w:rFonts w:asciiTheme="majorBidi" w:hAnsiTheme="majorBidi" w:cstheme="majorBidi"/>
          <w:sz w:val="24"/>
          <w:szCs w:val="24"/>
          <w:lang w:val="en-US"/>
        </w:rPr>
        <w:fldChar w:fldCharType="end"/>
      </w:r>
      <w:r w:rsidRPr="00795222">
        <w:rPr>
          <w:rFonts w:asciiTheme="majorBidi" w:hAnsiTheme="majorBidi" w:cstheme="majorBidi"/>
          <w:sz w:val="24"/>
          <w:szCs w:val="24"/>
          <w:lang w:val="en-US"/>
        </w:rPr>
        <w:t xml:space="preserve"> and it has been used as a replacement of </w:t>
      </w:r>
      <w:r w:rsidR="007A6323" w:rsidRPr="00795222">
        <w:rPr>
          <w:rFonts w:asciiTheme="majorBidi" w:hAnsiTheme="majorBidi" w:cstheme="majorBidi"/>
          <w:sz w:val="24"/>
          <w:szCs w:val="24"/>
        </w:rPr>
        <w:t>1,2-distearoyl-</w:t>
      </w:r>
      <w:r w:rsidR="007A6323" w:rsidRPr="00795222">
        <w:rPr>
          <w:rStyle w:val="Emphasis"/>
          <w:rFonts w:asciiTheme="majorBidi" w:hAnsiTheme="majorBidi" w:cstheme="majorBidi"/>
          <w:sz w:val="24"/>
          <w:szCs w:val="24"/>
        </w:rPr>
        <w:t>sn</w:t>
      </w:r>
      <w:r w:rsidR="007A6323" w:rsidRPr="00795222">
        <w:rPr>
          <w:rFonts w:asciiTheme="majorBidi" w:hAnsiTheme="majorBidi" w:cstheme="majorBidi"/>
          <w:sz w:val="24"/>
          <w:szCs w:val="24"/>
        </w:rPr>
        <w:t>-glycerol-3-phosphatidylethanolamine-</w:t>
      </w:r>
      <w:r w:rsidR="007A6323" w:rsidRPr="00795222">
        <w:rPr>
          <w:rStyle w:val="Emphasis"/>
          <w:rFonts w:asciiTheme="majorBidi" w:hAnsiTheme="majorBidi" w:cstheme="majorBidi"/>
          <w:sz w:val="24"/>
          <w:szCs w:val="24"/>
        </w:rPr>
        <w:t>N</w:t>
      </w:r>
      <w:r w:rsidR="007A6323" w:rsidRPr="00795222">
        <w:rPr>
          <w:rFonts w:asciiTheme="majorBidi" w:hAnsiTheme="majorBidi" w:cstheme="majorBidi"/>
          <w:sz w:val="24"/>
          <w:szCs w:val="24"/>
        </w:rPr>
        <w:t>-[methoxy(polyethylene glycol)-2000]</w:t>
      </w:r>
      <w:r w:rsidR="00B61762" w:rsidRPr="00795222">
        <w:rPr>
          <w:rFonts w:asciiTheme="majorBidi" w:hAnsiTheme="majorBidi" w:cstheme="majorBidi"/>
          <w:sz w:val="24"/>
          <w:szCs w:val="24"/>
        </w:rPr>
        <w:t xml:space="preserve"> known as </w:t>
      </w:r>
      <w:r w:rsidR="00255C70" w:rsidRPr="00795222">
        <w:rPr>
          <w:rFonts w:asciiTheme="majorBidi" w:hAnsiTheme="majorBidi" w:cstheme="majorBidi"/>
          <w:sz w:val="24"/>
          <w:szCs w:val="24"/>
        </w:rPr>
        <w:t>(</w:t>
      </w:r>
      <w:r w:rsidRPr="00795222">
        <w:rPr>
          <w:rFonts w:asciiTheme="majorBidi" w:hAnsiTheme="majorBidi" w:cstheme="majorBidi"/>
          <w:sz w:val="24"/>
          <w:szCs w:val="24"/>
          <w:lang w:val="en-US"/>
        </w:rPr>
        <w:t>DSPE-PEG</w:t>
      </w:r>
      <w:r w:rsidRPr="00795222">
        <w:rPr>
          <w:rFonts w:asciiTheme="majorBidi" w:hAnsiTheme="majorBidi" w:cstheme="majorBidi"/>
          <w:sz w:val="24"/>
          <w:szCs w:val="24"/>
          <w:vertAlign w:val="subscript"/>
          <w:lang w:val="en-US"/>
        </w:rPr>
        <w:t>2000</w:t>
      </w:r>
      <w:r w:rsidR="00255C70" w:rsidRPr="00795222">
        <w:rPr>
          <w:rFonts w:asciiTheme="majorBidi" w:hAnsiTheme="majorBidi" w:cstheme="majorBidi"/>
          <w:sz w:val="24"/>
          <w:szCs w:val="24"/>
        </w:rPr>
        <w:t>)</w:t>
      </w:r>
      <w:r w:rsidRPr="00795222">
        <w:rPr>
          <w:rFonts w:asciiTheme="majorBidi" w:hAnsiTheme="majorBidi" w:cstheme="majorBidi"/>
          <w:sz w:val="24"/>
          <w:szCs w:val="24"/>
        </w:rPr>
        <w:t xml:space="preserve"> </w:t>
      </w:r>
      <w:r w:rsidRPr="00795222">
        <w:rPr>
          <w:rFonts w:asciiTheme="majorBidi" w:hAnsiTheme="majorBidi" w:cstheme="majorBidi"/>
          <w:sz w:val="24"/>
          <w:szCs w:val="24"/>
          <w:lang w:val="en-US"/>
        </w:rPr>
        <w:t>in the synthesis of liposomes.</w:t>
      </w:r>
      <w:r w:rsidR="00843D40"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fldChar w:fldCharType="begin" w:fldLock="1"/>
      </w:r>
      <w:r w:rsidRPr="00795222">
        <w:rPr>
          <w:rFonts w:asciiTheme="majorBidi" w:hAnsiTheme="majorBidi" w:cstheme="majorBidi"/>
          <w:sz w:val="24"/>
          <w:szCs w:val="24"/>
          <w:lang w:val="en-US"/>
        </w:rPr>
        <w:instrText>ADDIN CSL_CITATION {"citationItems":[{"id":"ITEM-1","itemData":{"DOI":"10.2174/157341311794653686","ISSN":"15734137","abstract":"The clinical application of apomorphine, a dopamine receptor agonist for\\ntreating Parkinson's disease, is limited by its instability and the need\\nfor frequent injections. In the present work, apomorphine was\\nencapsulated within liposomes to protect it from degradation and enhance\\nthe permeability across the blood-brain barrier (BBB). Stearylamine was\\nused to produce a positive surface charge for the liposomes. The\\nliposomal systems with different compositions were characterized by the\\nmean size, zeta potential, drug encapsulation percentage, stability, and\\nin vitro release characteristics. PEGylated liposomes and liposomes\\nincorporating Brij 78 showed a size of 130 similar to 160 nm. When Tween\\n80 was added to the liposomes, the vesicle size increased to &gt; 260 nm.\\nApomorphine was successfully entrapped by liposomes with an\\nencapsulation percentage of &gt; 70%, with the systems containing Brij 78\\nshowing the highest level of 99%. The loading of apomorphine into\\nliposomes resulted in slower release behavior compared to the drug in an\\naqueous solution. In comparison to free drug, apomorphine in PEGylated\\nliposomes exhibited greater stability in plasma. The in vivo brain\\nuptake of PEGylated liposomes after an intravenous bolus injection into\\nrats was monitored by in vivo real-time bioluminescence imaging for 1 h.\\nThe results showed that the uptake of PEGylated liposomes into the brain\\nwas rapid and prolonged. PEGylated liposomes may offer a promising\\nstrategy for targeting apomorphine to the brain. This opens up new\\nopportunities for treating Parkinson's disease.","author":[{"dropping-particle":"","family":"Hsu","given":"Shu-Hui","non-dropping-particle":"","parse-names":false,"suffix":""},{"dropping-particle":"","family":"A. Al-Suwayeh","given":"Saleh","non-dropping-particle":"","parse-names":false,"suffix":""},{"dropping-particle":"","family":"Chen","given":"Chih-Chieh","non-dropping-particle":"","parse-names":false,"suffix":""},{"dropping-particle":"","family":"Chi","given":"Chen-Hsien","non-dropping-particle":"","parse-names":false,"suffix":""},{"dropping-particle":"","family":"Fang","given":"Jia-You","non-dropping-particle":"","parse-names":false,"suffix":""}],"container-title":"Current Nanoscience","id":"ITEM-1","issue":"2","issued":{"date-parts":[["2011"]]},"page":"191-199","title":"PEGylated Liposomes Incorporated with Nonionic Surfactants as an Apomorphine Delivery System Targeting the Brain: In Vitro Release and In Vivo Real-time Imaging","type":"article-journal","volume":"7"},"uris":["http://www.mendeley.com/documents/?uuid=99b6ef9b-470f-40ee-8e79-bd40d4165612","http://www.mendeley.com/documents/?uuid=b3883a86-248c-4c05-a920-3dc52f0509b6","http://www.mendeley.com/documents/?uuid=4b1ce861-65ea-4e1f-a7e4-49da3fb3501f"]}],"mendeley":{"formattedCitation":"(S.-H. Hsu et al., 2011)","plainTextFormattedCitation":"(S.-H. Hsu et al., 2011)","previouslyFormattedCitation":"(S.-H. Hsu et al., 2011)"},"properties":{"noteIndex":0},"schema":"https://github.com/citation-style-language/schema/raw/master/csl-citation.json"}</w:instrText>
      </w:r>
      <w:r w:rsidRPr="00795222">
        <w:rPr>
          <w:rFonts w:asciiTheme="majorBidi" w:hAnsiTheme="majorBidi" w:cstheme="majorBidi"/>
          <w:sz w:val="24"/>
          <w:szCs w:val="24"/>
          <w:lang w:val="en-US"/>
        </w:rPr>
        <w:fldChar w:fldCharType="separate"/>
      </w:r>
      <w:r w:rsidRPr="00795222">
        <w:rPr>
          <w:rFonts w:asciiTheme="majorBidi" w:hAnsiTheme="majorBidi" w:cstheme="majorBidi"/>
          <w:noProof/>
          <w:sz w:val="24"/>
          <w:szCs w:val="24"/>
          <w:lang w:val="en-US"/>
        </w:rPr>
        <w:t>(S.-H. Hsu et al., 2011)</w:t>
      </w:r>
      <w:r w:rsidRPr="00795222">
        <w:rPr>
          <w:rFonts w:asciiTheme="majorBidi" w:hAnsiTheme="majorBidi" w:cstheme="majorBidi"/>
          <w:sz w:val="24"/>
          <w:szCs w:val="24"/>
          <w:lang w:val="en-US"/>
        </w:rPr>
        <w:fldChar w:fldCharType="end"/>
      </w:r>
      <w:r w:rsidRPr="00795222">
        <w:rPr>
          <w:rFonts w:asciiTheme="majorBidi" w:hAnsiTheme="majorBidi" w:cstheme="majorBidi"/>
          <w:sz w:val="24"/>
          <w:szCs w:val="24"/>
          <w:lang w:val="en-US"/>
        </w:rPr>
        <w:t xml:space="preserve"> The phospholipid soybean lecithin (SBL) </w:t>
      </w:r>
      <w:r w:rsidR="00843D40" w:rsidRPr="00795222">
        <w:rPr>
          <w:rFonts w:asciiTheme="majorBidi" w:hAnsiTheme="majorBidi" w:cstheme="majorBidi"/>
          <w:sz w:val="24"/>
          <w:szCs w:val="24"/>
          <w:lang w:val="en-US"/>
        </w:rPr>
        <w:t>is a compound that has been</w:t>
      </w:r>
      <w:r w:rsidRPr="00795222">
        <w:rPr>
          <w:rFonts w:asciiTheme="majorBidi" w:hAnsiTheme="majorBidi" w:cstheme="majorBidi"/>
          <w:sz w:val="24"/>
          <w:szCs w:val="24"/>
          <w:lang w:val="en-US"/>
        </w:rPr>
        <w:t xml:space="preserve"> used as to form the lipid shell around the polymeric core, it is low cost, has good biocompatibility and is highly accepted in both food and pharmaceutical industry.</w:t>
      </w:r>
      <w:r w:rsidR="00843D40"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fldChar w:fldCharType="begin" w:fldLock="1"/>
      </w:r>
      <w:r w:rsidR="001B7E74" w:rsidRPr="00795222">
        <w:rPr>
          <w:rFonts w:asciiTheme="majorBidi" w:hAnsiTheme="majorBidi" w:cstheme="majorBidi"/>
          <w:sz w:val="24"/>
          <w:szCs w:val="24"/>
          <w:lang w:val="en-US"/>
        </w:rPr>
        <w:instrText>ADDIN CSL_CITATION {"citationItems":[{"id":"ITEM-1","itemData":{"DOI":"10.1016/j.ejpb.2017.11.006","ISSN":"0939-6411","author":[{"dropping-particle":"","family":"Su","given":"Chia-yu","non-dropping-particle":"","parse-names":false,"suffix":""},{"dropping-particle":"","family":"Liu","given":"Jun-jen","non-dropping-particle":"","parse-names":false,"suffix":""},{"dropping-particle":"","family":"Ho","given":"Yuan-soon","non-dropping-particle":"","parse-names":false,"suffix":""},{"dropping-particle":"","family":"Huang","given":"Yi-you","non-dropping-particle":"","parse-names":false,"suffix":""},{"dropping-particle":"","family":"Chang","given":"Vincent Hung-shu","non-dropping-particle":"","parse-names":false,"suffix":""}],"container-title":"European Journal of Pharmaceutics and Biopharmaceutics","id":"ITEM-1","issue":"November 2017","issued":{"date-parts":[["2018"]]},"page":"9-19","publisher":"Elsevier","title":"European Journal of Pharmaceutics and Biopharmaceutics Development and characterization of docetaxel-loaded lecithin-stabilized micellar drug delivery system ( L sb MDDs ) for improving the therapeutic e ffi cacy and reducing systemic toxicity","type":"article-journal","volume":"123"},"uris":["http://www.mendeley.com/documents/?uuid=db980b6f-7143-44df-abc0-d891bbc0d93b"]}],"mendeley":{"formattedCitation":"(Su et al., 2018)","plainTextFormattedCitation":"(Su et al., 2018)","previouslyFormattedCitation":"(Su et al., 2018)"},"properties":{"noteIndex":0},"schema":"https://github.com/citation-style-language/schema/raw/master/csl-citation.json"}</w:instrText>
      </w:r>
      <w:r w:rsidRPr="00795222">
        <w:rPr>
          <w:rFonts w:asciiTheme="majorBidi" w:hAnsiTheme="majorBidi" w:cstheme="majorBidi"/>
          <w:sz w:val="24"/>
          <w:szCs w:val="24"/>
          <w:lang w:val="en-US"/>
        </w:rPr>
        <w:fldChar w:fldCharType="separate"/>
      </w:r>
      <w:r w:rsidRPr="00795222">
        <w:rPr>
          <w:rFonts w:asciiTheme="majorBidi" w:hAnsiTheme="majorBidi" w:cstheme="majorBidi"/>
          <w:noProof/>
          <w:sz w:val="24"/>
          <w:szCs w:val="24"/>
          <w:lang w:val="en-US"/>
        </w:rPr>
        <w:t>(Su et al., 2018)</w:t>
      </w:r>
      <w:r w:rsidRPr="00795222">
        <w:rPr>
          <w:rFonts w:asciiTheme="majorBidi" w:hAnsiTheme="majorBidi" w:cstheme="majorBidi"/>
          <w:sz w:val="24"/>
          <w:szCs w:val="24"/>
          <w:lang w:val="en-US"/>
        </w:rPr>
        <w:fldChar w:fldCharType="end"/>
      </w:r>
      <w:r w:rsidRPr="00795222">
        <w:rPr>
          <w:rFonts w:asciiTheme="majorBidi" w:hAnsiTheme="majorBidi" w:cstheme="majorBidi"/>
          <w:sz w:val="24"/>
          <w:szCs w:val="24"/>
          <w:lang w:val="en-US"/>
        </w:rPr>
        <w:t xml:space="preserve"> Additionally, it</w:t>
      </w:r>
      <w:r w:rsidR="00843D40" w:rsidRPr="00795222">
        <w:rPr>
          <w:rFonts w:asciiTheme="majorBidi" w:hAnsiTheme="majorBidi" w:cstheme="majorBidi"/>
          <w:sz w:val="24"/>
          <w:szCs w:val="24"/>
          <w:lang w:val="en-US"/>
        </w:rPr>
        <w:t xml:space="preserve"> can</w:t>
      </w:r>
      <w:r w:rsidRPr="00795222">
        <w:rPr>
          <w:rFonts w:asciiTheme="majorBidi" w:hAnsiTheme="majorBidi" w:cstheme="majorBidi"/>
          <w:sz w:val="24"/>
          <w:szCs w:val="24"/>
          <w:lang w:val="en-US"/>
        </w:rPr>
        <w:t xml:space="preserve"> act as both an absorption enhancer which increase the bioavailability of poorly soluble drugs as it bio-mimics natural lecithin in the cell wall,</w:t>
      </w:r>
      <w:r w:rsidR="00843D40"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fldChar w:fldCharType="begin" w:fldLock="1"/>
      </w:r>
      <w:r w:rsidR="005563A9" w:rsidRPr="00795222">
        <w:rPr>
          <w:rFonts w:asciiTheme="majorBidi" w:hAnsiTheme="majorBidi" w:cstheme="majorBidi"/>
          <w:sz w:val="24"/>
          <w:szCs w:val="24"/>
          <w:lang w:val="en-US"/>
        </w:rPr>
        <w:instrText>ADDIN CSL_CITATION {"citationItems":[{"id":"ITEM-1","itemData":{"DOI":"10.1691/ph.2012.1110","author":[{"dropping-particle":"","family":"Jin","given":"Xin","non-dropping-particle":"","parse-names":false,"suffix":""},{"dropping-particle":"","family":"Zhang","given":"Zhen-hai","non-dropping-particle":"","parse-names":false,"suffix":""},{"dropping-particle":"","family":"Sun","given":"E","non-dropping-particle":"","parse-names":false,"suffix":""},{"dropping-particle":"","family":"Tan","given":"Xiao-bin","non-dropping-particle":"","parse-names":false,"suffix":""},{"dropping-particle":"","family":"Zhu","given":"Fen-xia","non-dropping-particle":"","parse-names":false,"suffix":""},{"dropping-particle":"","family":"Li","given":"Song-lin","non-dropping-particle":"","parse-names":false,"suffix":""},{"dropping-particle":"","family":"Jia","given":"Xiao-bin","non-dropping-particle":"","parse-names":false,"suffix":""}],"id":"ITEM-1","issued":{"date-parts":[["2012"]]},"page":"293-298","title":"Preparation of icariside II-phospholipid complex and its absorption across Caco-2 cell monolayers","type":"article-journal"},"uris":["http://www.mendeley.com/documents/?uuid=045c7fca-0985-40c7-a6eb-a7f6a8eac015"]},{"id":"ITEM-2","itemData":{"DOI":"10.1016/j.ejpb.2017.11.006","ISSN":"0939-6411","author":[{"dropping-particle":"","family":"Su","given":"Chia-yu","non-dropping-particle":"","parse-names":false,"suffix":""},{"dropping-particle":"","family":"Liu","given":"Jun-jen","non-dropping-particle":"","parse-names":false,"suffix":""},{"dropping-particle":"","family":"Ho","given":"Yuan-soon","non-dropping-particle":"","parse-names":false,"suffix":""},{"dropping-particle":"","family":"Huang","given":"Yi-you","non-dropping-particle":"","parse-names":false,"suffix":""},{"dropping-particle":"","family":"Chang","given":"Vincent Hung-shu","non-dropping-particle":"","parse-names":false,"suffix":""}],"container-title":"European Journal of Pharmaceutics and Biopharmaceutics","id":"ITEM-2","issue":"November 2017","issued":{"date-parts":[["2018"]]},"page":"9-19","publisher":"Elsevier","title":"European Journal of Pharmaceutics and Biopharmaceutics Development and characterization of docetaxel-loaded lecithin-stabilized micellar drug delivery system ( L sb MDDs ) for improving the therapeutic e ffi cacy and reducing systemic toxicity","type":"article-journal","volume":"123"},"uris":["http://www.mendeley.com/documents/?uuid=db980b6f-7143-44df-abc0-d891bbc0d93b"]},{"id":"ITEM-3","itemData":{"DOI":"10.1038/srep37122","ISSN":"20452322","abstract":"Self-assembling mixed polymeric micelles (saMPMs) were developed for overcoming major obstacles of poor bioavailability (BA) associated with curcumin delivery. Lecithin added was functioned to enlarge the hydrophobic core of MPMs providing greater solubilization capacity. Amphiphilic polymers (sodium deoxycholate [NaDOC], TPGS, CREMOPHOR, or a PLURONIC series) were examined for potentially self-assembling to form MPMs (saMPMs) with the addition of lecithin. Particle size, size distribution, encapsulation efficacy (E.E.), and drug loading (D.L.) of the mixed micelles were optimally studied for their influences on the physical stability and release of encapsulated drugs. Overall, curcumin:lecithin:NaDOC and curcumin:lecithin:PLURONIC P123 in ratios of 2:1:5 and 5:2:20, respectively, were optimally obtained with a particle size of &lt; 200 nm, an E.E. of &gt;80%, and a D.L. of &gt;10%. The formulated system efficiently stabilized curcumin in phosphate-buffered saline (PBS) at room temperature or 4 °C and in fetal bovine serum or PBS at 37 °C and delayed the in vitro curcumin release. In vivo results further demonstrated that the slow release of curcumin from micelles and prolonged duration increased the curcumin BA followed oral and intravenous administrations in rats. Thus, lecithin-based saMPMs represent an effective curcumin delivery system, and enhancing BA of curcumin can enable its wide applications for treating human disorders.","author":[{"dropping-particle":"","family":"Chen","given":"Ling Chun","non-dropping-particle":"","parse-names":false,"suffix":""},{"dropping-particle":"","family":"Chen","given":"Yin Chen","non-dropping-particle":"","parse-names":false,"suffix":""},{"dropping-particle":"","family":"Su","given":"Chia Yu","non-dropping-particle":"","parse-names":false,"suffix":""},{"dropping-particle":"","family":"Wong","given":"Wan Ping","non-dropping-particle":"","parse-names":false,"suffix":""},{"dropping-particle":"","family":"Sheu","given":"Ming Thau","non-dropping-particle":"","parse-names":false,"suffix":""},{"dropping-particle":"","family":"Ho","given":"Hsiu O.","non-dropping-particle":"","parse-names":false,"suffix":""}],"container-title":"Scientific Reports","id":"ITEM-3","issue":"1","issued":{"date-parts":[["2016","12","16"]]},"page":"37122","publisher":"Nature Publishing Group","title":"Development and Characterization of Lecithin-based Self-assembling Mixed Polymeric Micellar (saMPMs) Drug Delivery Systems for Curcumin","type":"article-journal","volume":"6"},"uris":["http://www.mendeley.com/documents/?uuid=0a01a5ea-123d-4957-b667-cb822e5c81be"]},{"id":"ITEM-4","itemData":{"DOI":"http://doi.org/10.1016/j.ajps.2014.09.004","ISSN":"1818-0876","abstract":"Abstract Phospholipids have the characteristics of excellent biocompatibility and a especial amphiphilicity. These unique properties make phospholipids most appropriate to be employed as important pharmaceutical excipients and they have a very wide range of applications in drug delivery systems. The aim of this review is to summarize phospholipids and some of their related applications in drug delivery systems, and highlight the relationship between the properties and applications, and the effect of the species of phospholipids on the efficiency of drug delivery. We refer to some relevant literatures, starting from the structures, main sources and properties of phospholipids to introduce their applications in drug delivery systems. The present article focuses on introducing five types of carriers based on phospholipids, including liposomes, intravenous lipid emulsions, micelles, drug-phospholipids complexes and cochleates.","author":[{"dropping-particle":"","family":"Li","given":"Jing","non-dropping-particle":"","parse-names":false,"suffix":""},{"dropping-particle":"","family":"Wang","given":"Xuling","non-dropping-particle":"","parse-names":false,"suffix":""},{"dropping-particle":"","family":"Zhang","given":"Ting","non-dropping-particle":"","parse-names":false,"suffix":""},{"dropping-particle":"","family":"Wang","given":"Chunling","non-dropping-particle":"","parse-names":false,"suffix":""},{"dropping-particle":"","family":"Huang","given":"Zhenjun","non-dropping-particle":"","parse-names":false,"suffix":""},{"dropping-particle":"","family":"Luo","given":"Xiang","non-dropping-particle":"","parse-names":false,"suffix":""},{"dropping-particle":"","family":"Deng","given":"Yihui","non-dropping-particle":"","parse-names":false,"suffix":""}],"container-title":"Asian Journal of Pharmaceutical Sciences","id":"ITEM-4","issue":"2","issued":{"date-parts":[["2015","4"]]},"page":"81-98","title":"A review on phospholipids and their main applications in drug delivery systems","type":"article-journal","volume":"10"},"uris":["http://www.mendeley.com/documents/?uuid=2a4baca2-72b0-4041-bcc9-57db19e4048b"]}],"mendeley":{"formattedCitation":"(Chen et al., 2016; Jin et al., 2012; Li et al., 2015; Su et al., 2018)","plainTextFormattedCitation":"(Chen et al., 2016; Jin et al., 2012; Li et al., 2015; Su et al., 2018)","previouslyFormattedCitation":"(Chen et al., 2016; Jin et al., 2012; Li et al., 2015; Su et al., 2018)"},"properties":{"noteIndex":0},"schema":"https://github.com/citation-style-language/schema/raw/master/csl-citation.json"}</w:instrText>
      </w:r>
      <w:r w:rsidRPr="00795222">
        <w:rPr>
          <w:rFonts w:asciiTheme="majorBidi" w:hAnsiTheme="majorBidi" w:cstheme="majorBidi"/>
          <w:sz w:val="24"/>
          <w:szCs w:val="24"/>
          <w:lang w:val="en-US"/>
        </w:rPr>
        <w:fldChar w:fldCharType="separate"/>
      </w:r>
      <w:r w:rsidRPr="00795222">
        <w:rPr>
          <w:rFonts w:asciiTheme="majorBidi" w:hAnsiTheme="majorBidi" w:cstheme="majorBidi"/>
          <w:noProof/>
          <w:sz w:val="24"/>
          <w:szCs w:val="24"/>
          <w:lang w:val="en-US"/>
        </w:rPr>
        <w:t>(Chen et al., 2016; Jin et al., 2012; Li et al., 2015; Su et al., 2018)</w:t>
      </w:r>
      <w:r w:rsidRPr="00795222">
        <w:rPr>
          <w:rFonts w:asciiTheme="majorBidi" w:hAnsiTheme="majorBidi" w:cstheme="majorBidi"/>
          <w:sz w:val="24"/>
          <w:szCs w:val="24"/>
          <w:lang w:val="en-US"/>
        </w:rPr>
        <w:fldChar w:fldCharType="end"/>
      </w:r>
      <w:r w:rsidRPr="00795222">
        <w:rPr>
          <w:rFonts w:asciiTheme="majorBidi" w:hAnsiTheme="majorBidi" w:cstheme="majorBidi"/>
          <w:sz w:val="24"/>
          <w:szCs w:val="24"/>
          <w:lang w:val="en-US"/>
        </w:rPr>
        <w:t xml:space="preserve"> and non-irritant electrolytic stabilizer that prevent particles aggregation.</w:t>
      </w:r>
      <w:r w:rsidR="00843D40"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fldChar w:fldCharType="begin" w:fldLock="1"/>
      </w:r>
      <w:r w:rsidR="001B7E74" w:rsidRPr="00795222">
        <w:rPr>
          <w:rFonts w:asciiTheme="majorBidi" w:hAnsiTheme="majorBidi" w:cstheme="majorBidi"/>
          <w:sz w:val="24"/>
          <w:szCs w:val="24"/>
          <w:lang w:val="en-US"/>
        </w:rPr>
        <w:instrText>ADDIN CSL_CITATION {"citationItems":[{"id":"ITEM-1","itemData":{"DOI":"10.1002/jps","author":[{"dropping-particle":"","family":"Zhang","given":"J","non-dropping-particle":"","parse-names":false,"suffix":""},{"dropping-particle":"","family":"Fan","given":"Y","non-dropping-particle":"","parse-names":false,"suffix":""},{"dropping-particle":"","family":"Smith","given":"E","non-dropping-particle":"","parse-names":false,"suffix":""}],"id":"ITEM-1","issue":"5","issued":{"date-parts":[["2009"]]},"page":"1813-1820","title":"PHARMACEUTICAL NANOTECHNOLOGY Experimental Design for the Optimization of Lipid Nanoparticles","type":"article-journal","volume":"98"},"uris":["http://www.mendeley.com/documents/?uuid=af2f39ea-ad8e-40a7-93f6-0f3f2758bd5b"]}],"mendeley":{"formattedCitation":"(Zhang et al., 2009)","plainTextFormattedCitation":"(Zhang et al., 2009)","previouslyFormattedCitation":"(Zhang et al., 2009)"},"properties":{"noteIndex":0},"schema":"https://github.com/citation-style-language/schema/raw/master/csl-citation.json"}</w:instrText>
      </w:r>
      <w:r w:rsidRPr="00795222">
        <w:rPr>
          <w:rFonts w:asciiTheme="majorBidi" w:hAnsiTheme="majorBidi" w:cstheme="majorBidi"/>
          <w:sz w:val="24"/>
          <w:szCs w:val="24"/>
          <w:lang w:val="en-US"/>
        </w:rPr>
        <w:fldChar w:fldCharType="separate"/>
      </w:r>
      <w:r w:rsidRPr="00795222">
        <w:rPr>
          <w:rFonts w:asciiTheme="majorBidi" w:hAnsiTheme="majorBidi" w:cstheme="majorBidi"/>
          <w:noProof/>
          <w:sz w:val="24"/>
          <w:szCs w:val="24"/>
          <w:lang w:val="en-US"/>
        </w:rPr>
        <w:t>(Zhang et al., 2009)</w:t>
      </w:r>
      <w:r w:rsidRPr="00795222">
        <w:rPr>
          <w:rFonts w:asciiTheme="majorBidi" w:hAnsiTheme="majorBidi" w:cstheme="majorBidi"/>
          <w:sz w:val="24"/>
          <w:szCs w:val="24"/>
          <w:lang w:val="en-US"/>
        </w:rPr>
        <w:fldChar w:fldCharType="end"/>
      </w:r>
      <w:r w:rsidRPr="00795222">
        <w:rPr>
          <w:rFonts w:asciiTheme="majorBidi" w:hAnsiTheme="majorBidi" w:cstheme="majorBidi"/>
          <w:sz w:val="24"/>
          <w:szCs w:val="24"/>
          <w:lang w:val="en-US"/>
        </w:rPr>
        <w:t xml:space="preserve"> </w:t>
      </w:r>
      <w:r w:rsidR="00052A9D" w:rsidRPr="00795222">
        <w:rPr>
          <w:rFonts w:asciiTheme="majorBidi" w:hAnsiTheme="majorBidi" w:cstheme="majorBidi"/>
          <w:sz w:val="24"/>
          <w:szCs w:val="24"/>
          <w:lang w:val="en-US"/>
        </w:rPr>
        <w:t xml:space="preserve"> </w:t>
      </w:r>
    </w:p>
    <w:p w14:paraId="28F450ED" w14:textId="6AF2F210" w:rsidR="0094117D" w:rsidRPr="00795222" w:rsidRDefault="0094117D" w:rsidP="00657F6C">
      <w:p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lang w:val="en-US"/>
        </w:rPr>
        <w:t xml:space="preserve">Drug delivery </w:t>
      </w:r>
      <w:r w:rsidRPr="00795222">
        <w:rPr>
          <w:rFonts w:asciiTheme="majorBidi" w:hAnsiTheme="majorBidi" w:cstheme="majorBidi"/>
          <w:i/>
          <w:sz w:val="24"/>
          <w:szCs w:val="24"/>
          <w:lang w:val="en-US"/>
        </w:rPr>
        <w:t>via</w:t>
      </w:r>
      <w:r w:rsidRPr="00795222">
        <w:rPr>
          <w:rFonts w:asciiTheme="majorBidi" w:hAnsiTheme="majorBidi" w:cstheme="majorBidi"/>
          <w:sz w:val="24"/>
          <w:szCs w:val="24"/>
          <w:lang w:val="en-US"/>
        </w:rPr>
        <w:t xml:space="preserve"> oral administration can be modelled using</w:t>
      </w:r>
      <w:r w:rsidR="00D11AD5" w:rsidRPr="00795222">
        <w:rPr>
          <w:rFonts w:asciiTheme="majorBidi" w:hAnsiTheme="majorBidi" w:cstheme="majorBidi"/>
          <w:sz w:val="24"/>
          <w:szCs w:val="24"/>
          <w:lang w:val="en-US"/>
        </w:rPr>
        <w:t xml:space="preserve"> an</w:t>
      </w:r>
      <w:r w:rsidRPr="00795222">
        <w:rPr>
          <w:rFonts w:asciiTheme="majorBidi" w:hAnsiTheme="majorBidi" w:cstheme="majorBidi"/>
          <w:sz w:val="24"/>
          <w:szCs w:val="24"/>
          <w:lang w:val="en-US"/>
        </w:rPr>
        <w:t xml:space="preserve"> </w:t>
      </w:r>
      <w:r w:rsidRPr="00795222">
        <w:rPr>
          <w:rFonts w:asciiTheme="majorBidi" w:hAnsiTheme="majorBidi" w:cstheme="majorBidi"/>
          <w:i/>
          <w:sz w:val="24"/>
          <w:szCs w:val="24"/>
          <w:lang w:val="en-US"/>
        </w:rPr>
        <w:t>in vitro</w:t>
      </w:r>
      <w:r w:rsidRPr="00795222">
        <w:rPr>
          <w:rFonts w:asciiTheme="majorBidi" w:hAnsiTheme="majorBidi" w:cstheme="majorBidi"/>
          <w:sz w:val="24"/>
          <w:szCs w:val="24"/>
          <w:lang w:val="en-US"/>
        </w:rPr>
        <w:t xml:space="preserve"> intestinal triple culture model containing Caco-2 cells, microfold cells (M cells) and </w:t>
      </w:r>
      <w:r w:rsidRPr="00795222">
        <w:rPr>
          <w:rFonts w:asciiTheme="majorBidi" w:eastAsia="Calibri" w:hAnsiTheme="majorBidi" w:cstheme="majorBidi"/>
          <w:sz w:val="24"/>
          <w:szCs w:val="24"/>
          <w:lang w:val="en-US"/>
        </w:rPr>
        <w:t>HT-29-MTX mucus secreting goblet cells</w:t>
      </w:r>
      <w:r w:rsidRPr="00795222">
        <w:rPr>
          <w:rFonts w:asciiTheme="majorBidi" w:hAnsiTheme="majorBidi" w:cstheme="majorBidi"/>
          <w:sz w:val="24"/>
          <w:szCs w:val="24"/>
          <w:lang w:val="en-US"/>
        </w:rPr>
        <w:t>. Caco-2 cells are human intestinal adenocarcinoma cells (enterocytes) that offer morphological and physiological similarity to the human intestinal epithelium</w:t>
      </w:r>
      <w:r w:rsidR="00D11AD5" w:rsidRPr="00795222">
        <w:rPr>
          <w:rFonts w:asciiTheme="majorBidi" w:hAnsiTheme="majorBidi" w:cstheme="majorBidi"/>
          <w:sz w:val="24"/>
          <w:szCs w:val="24"/>
          <w:lang w:val="en-US"/>
        </w:rPr>
        <w:t>.</w:t>
      </w:r>
      <w:r w:rsidR="00843D40"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fldChar w:fldCharType="begin" w:fldLock="1"/>
      </w:r>
      <w:r w:rsidR="001B7E74" w:rsidRPr="00795222">
        <w:rPr>
          <w:rFonts w:asciiTheme="majorBidi" w:hAnsiTheme="majorBidi" w:cstheme="majorBidi"/>
          <w:sz w:val="24"/>
          <w:szCs w:val="24"/>
          <w:lang w:val="en-US"/>
        </w:rPr>
        <w:instrText>ADDIN CSL_CITATION {"citationItems":[{"id":"ITEM-1","itemData":{"DOI":"10.1021/mp400507g","ISBN":"1543-8384","ISSN":"15438384","PMID":"24502507","abstract":"Intestinal epithelial cell culture models, such as Caco-2 cells, are commonly used to assess absorption of drug molecules and transcytosis of nanoparticles across the intestinal mucosa. However, it is known that mucus strongly impacts nanoparticle mobility and that specialized M cells are involved in particulate uptake. Thus, to get a clear understanding of how nanoparticles interact with the intestinal mucosa, in vitro models are necessary that integrate the main cell types. This work aimed at developing an alternative in vitro permeability model based on a triple culture: Caco-2 cells, mucus-secreting goblet cells and M cells. Therefore, Caco-2 cells and mucus-secreting goblet cells were cocultured on Transwells and Raji B cells were added to stimulate differentiation of M cells. The in vitro triple culture model was characterized regarding confluence, integrity, differentiation/expression of M cells and cell surface architecture. Permeability of model drugs and of 50 and 200 nm polystyrene nanoparticles was studied. Data from the in vitro model were compared with ex vivo permeability results (Ussing chambers and porcine intestine) and correlated well. Nanoparticle uptake was size-dependent and strongly impacted by the mucus layer. Moreover, nanoparticle permeability studies clearly demonstrated that particles were capable of penetrating the intestinal barrier mainly via specialized M cells. It can be concluded that goblet cells and M cells strongly impact nanoparticle uptake in the intestine and should thus be integrated in an in vitro permeability model. The presented model will be an efficient tool to study intestinal transcellular uptake of particulate systems.","author":[{"dropping-particle":"","family":"Schimpel","given":"Christa","non-dropping-particle":"","parse-names":false,"suffix":""},{"dropping-particle":"","family":"Teubl","given":"Birgit","non-dropping-particle":"","parse-names":false,"suffix":""},{"dropping-particle":"","family":"Absenger","given":"Markus","non-dropping-particle":"","parse-names":false,"suffix":""},{"dropping-particle":"","family":"Meindl","given":"Claudia","non-dropping-particle":"","parse-names":false,"suffix":""},{"dropping-particle":"","family":"Fröhlich","given":"Eleonore","non-dropping-particle":"","parse-names":false,"suffix":""},{"dropping-particle":"","family":"Leitinger","given":"Gerd","non-dropping-particle":"","parse-names":false,"suffix":""},{"dropping-particle":"","family":"Zimmer","given":"Andreas","non-dropping-particle":"","parse-names":false,"suffix":""},{"dropping-particle":"","family":"Roblegg","given":"Eva","non-dropping-particle":"","parse-names":false,"suffix":""}],"container-title":"Molecular Pharmaceutics","id":"ITEM-1","issued":{"date-parts":[["2014"]]},"page":"808-818","title":"Development of an advanced intestinal in vitro triple culture permeability model to study transport of nanoparticles","type":"article-journal","volume":"11"},"uris":["http://www.mendeley.com/documents/?uuid=3045e927-143e-41ae-b4a1-8be56ac09a10"]}],"mendeley":{"formattedCitation":"(Schimpel et al., 2014)","plainTextFormattedCitation":"(Schimpel et al., 2014)","previouslyFormattedCitation":"(Schimpel et al., 2014)"},"properties":{"noteIndex":0},"schema":"https://github.com/citation-style-language/schema/raw/master/csl-citation.json"}</w:instrText>
      </w:r>
      <w:r w:rsidRPr="00795222">
        <w:rPr>
          <w:rFonts w:asciiTheme="majorBidi" w:hAnsiTheme="majorBidi" w:cstheme="majorBidi"/>
          <w:sz w:val="24"/>
          <w:szCs w:val="24"/>
          <w:lang w:val="en-US"/>
        </w:rPr>
        <w:fldChar w:fldCharType="separate"/>
      </w:r>
      <w:r w:rsidR="00FF41FF" w:rsidRPr="00795222">
        <w:rPr>
          <w:rFonts w:asciiTheme="majorBidi" w:hAnsiTheme="majorBidi" w:cstheme="majorBidi"/>
          <w:noProof/>
          <w:sz w:val="24"/>
          <w:szCs w:val="24"/>
          <w:lang w:val="en-US"/>
        </w:rPr>
        <w:t>(Schimpel et al., 2014)</w:t>
      </w:r>
      <w:r w:rsidRPr="00795222">
        <w:rPr>
          <w:rFonts w:asciiTheme="majorBidi" w:hAnsiTheme="majorBidi" w:cstheme="majorBidi"/>
          <w:sz w:val="24"/>
          <w:szCs w:val="24"/>
          <w:lang w:val="en-US"/>
        </w:rPr>
        <w:fldChar w:fldCharType="end"/>
      </w:r>
      <w:r w:rsidRPr="00795222">
        <w:rPr>
          <w:rFonts w:asciiTheme="majorBidi" w:hAnsiTheme="majorBidi" w:cstheme="majorBidi"/>
          <w:sz w:val="24"/>
          <w:szCs w:val="24"/>
          <w:lang w:val="en-US"/>
        </w:rPr>
        <w:t xml:space="preserve"> </w:t>
      </w:r>
      <w:proofErr w:type="spellStart"/>
      <w:r w:rsidRPr="00795222">
        <w:rPr>
          <w:rFonts w:asciiTheme="majorBidi" w:hAnsiTheme="majorBidi" w:cstheme="majorBidi"/>
          <w:sz w:val="24"/>
          <w:szCs w:val="24"/>
          <w:lang w:val="en-US"/>
        </w:rPr>
        <w:t>Transwells</w:t>
      </w:r>
      <w:proofErr w:type="spellEnd"/>
      <w:r w:rsidRPr="00795222">
        <w:rPr>
          <w:rFonts w:asciiTheme="majorBidi" w:hAnsiTheme="majorBidi" w:cstheme="majorBidi"/>
          <w:sz w:val="24"/>
          <w:szCs w:val="24"/>
          <w:lang w:val="en-US"/>
        </w:rPr>
        <w:t xml:space="preserve"> can be used to support Caco</w:t>
      </w:r>
      <w:r w:rsidRPr="00795222">
        <w:rPr>
          <w:rFonts w:asciiTheme="majorBidi" w:hAnsiTheme="majorBidi" w:cstheme="majorBidi"/>
          <w:sz w:val="24"/>
          <w:szCs w:val="24"/>
          <w:lang w:val="en-US"/>
        </w:rPr>
        <w:noBreakHyphen/>
        <w:t xml:space="preserve">2 monolayers as the cells </w:t>
      </w:r>
      <w:r w:rsidR="000A494B" w:rsidRPr="00795222">
        <w:rPr>
          <w:rFonts w:asciiTheme="majorBidi" w:hAnsiTheme="majorBidi" w:cstheme="majorBidi"/>
          <w:sz w:val="24"/>
          <w:szCs w:val="24"/>
          <w:lang w:val="en-US"/>
        </w:rPr>
        <w:t>polarize</w:t>
      </w:r>
      <w:r w:rsidRPr="00795222">
        <w:rPr>
          <w:rFonts w:asciiTheme="majorBidi" w:hAnsiTheme="majorBidi" w:cstheme="majorBidi"/>
          <w:sz w:val="24"/>
          <w:szCs w:val="24"/>
          <w:lang w:val="en-US"/>
        </w:rPr>
        <w:t xml:space="preserve">, differentiate and form tight junctions. The </w:t>
      </w:r>
      <w:r w:rsidR="000A494B" w:rsidRPr="00795222">
        <w:rPr>
          <w:rFonts w:asciiTheme="majorBidi" w:hAnsiTheme="majorBidi" w:cstheme="majorBidi"/>
          <w:sz w:val="24"/>
          <w:szCs w:val="24"/>
          <w:lang w:val="en-US"/>
        </w:rPr>
        <w:t>polarized</w:t>
      </w:r>
      <w:r w:rsidRPr="00795222">
        <w:rPr>
          <w:rFonts w:asciiTheme="majorBidi" w:hAnsiTheme="majorBidi" w:cstheme="majorBidi"/>
          <w:sz w:val="24"/>
          <w:szCs w:val="24"/>
          <w:lang w:val="en-US"/>
        </w:rPr>
        <w:t xml:space="preserve"> monolayer resembles the functional lining of the small intestine offering an </w:t>
      </w:r>
      <w:r w:rsidRPr="00795222">
        <w:rPr>
          <w:rFonts w:asciiTheme="majorBidi" w:hAnsiTheme="majorBidi" w:cstheme="majorBidi"/>
          <w:i/>
          <w:iCs/>
          <w:sz w:val="24"/>
          <w:szCs w:val="24"/>
          <w:lang w:val="en-US"/>
        </w:rPr>
        <w:t>in vitro</w:t>
      </w:r>
      <w:r w:rsidRPr="00795222">
        <w:rPr>
          <w:rFonts w:asciiTheme="majorBidi" w:hAnsiTheme="majorBidi" w:cstheme="majorBidi"/>
          <w:sz w:val="24"/>
          <w:szCs w:val="24"/>
          <w:lang w:val="en-US"/>
        </w:rPr>
        <w:t xml:space="preserve"> model for absorption across the gut. The apical surface of the cells model</w:t>
      </w:r>
      <w:r w:rsidR="00836FAD" w:rsidRPr="00795222">
        <w:rPr>
          <w:rFonts w:asciiTheme="majorBidi" w:hAnsiTheme="majorBidi" w:cstheme="majorBidi"/>
          <w:sz w:val="24"/>
          <w:szCs w:val="24"/>
          <w:lang w:val="en-US"/>
        </w:rPr>
        <w:t>s</w:t>
      </w:r>
      <w:r w:rsidRPr="00795222">
        <w:rPr>
          <w:rFonts w:asciiTheme="majorBidi" w:hAnsiTheme="majorBidi" w:cstheme="majorBidi"/>
          <w:sz w:val="24"/>
          <w:szCs w:val="24"/>
          <w:lang w:val="en-US"/>
        </w:rPr>
        <w:t xml:space="preserve"> the surface exposed inside the gut whilst the basolateral surface models the interface with the blood. The Caco-2 model provides exploratory data and is widely used to screen for absorption potential</w:t>
      </w:r>
      <w:r w:rsidR="00D11AD5" w:rsidRPr="00795222">
        <w:rPr>
          <w:rFonts w:asciiTheme="majorBidi" w:hAnsiTheme="majorBidi" w:cstheme="majorBidi"/>
          <w:sz w:val="24"/>
          <w:szCs w:val="24"/>
          <w:lang w:val="en-US"/>
        </w:rPr>
        <w:t>.</w:t>
      </w:r>
      <w:r w:rsidR="00843D40"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fldChar w:fldCharType="begin" w:fldLock="1"/>
      </w:r>
      <w:r w:rsidR="00B82D25" w:rsidRPr="00795222">
        <w:rPr>
          <w:rFonts w:asciiTheme="majorBidi" w:hAnsiTheme="majorBidi" w:cstheme="majorBidi"/>
          <w:sz w:val="24"/>
          <w:szCs w:val="24"/>
          <w:lang w:val="en-US"/>
        </w:rPr>
        <w:instrText>ADDIN CSL_CITATION {"citationItems":[{"id":"ITEM-1","itemData":{"DOI":"10.1039/c4sc02889a","ISSN":"20416539","abstract":"© 2015 The Royal Society of Chemistry. The development of nanomaterials for advanced therapies requires the formation of versatile platforms that may be tuned to maximize beneficial attributes and minimize unwanted negative behaviour. Additionally, the optimum route of administration is a key consideration of any new treatment and much work has been focused on direct injection into the systemic circulation rather than oral delivery. Here we describe a new approach to polymeric nanoparticle design and present initial results showing the potential for tuneable permeation through a gut epithelium model. Through the use of mixed initiators and branched vinyl polymerization, a series of systematically varying branched polymers have been synthesized and nanoprecipitated. The surprisingly uniform structures have undergone preliminary pharmacological evaluation to establish low cytotoxicity and enhanced permeation through model intestinal epithelial cells. This presents potential opportunities for future developments that may allow oral dosing to result in circulating polymeric nanoparticles; behaviour that may prove clinically desirable to many non-terminal or chronic diseases that utilise nanomedicines but wish to avoid regular or repeated intravenous administration.","author":[{"dropping-particle":"","family":"Hatton","given":"F.L.","non-dropping-particle":"","parse-names":false,"suffix":""},{"dropping-particle":"","family":"Tatham","given":"L.M.","non-dropping-particle":"","parse-names":false,"suffix":""},{"dropping-particle":"","family":"Tidbury","given":"L.R.","non-dropping-particle":"","parse-names":false,"suffix":""},{"dropping-particle":"","family":"Chambon","given":"P.","non-dropping-particle":"","parse-names":false,"suffix":""},{"dropping-particle":"","family":"He","given":"T.","non-dropping-particle":"","parse-names":false,"suffix":""},{"dropping-particle":"","family":"Owen","given":"A.","non-dropping-particle":"","parse-names":false,"suffix":""},{"dropping-particle":"","family":"Rannard","given":"S.P.","non-dropping-particle":"","parse-names":false,"suffix":""}],"container-title":"Chemical Science","id":"ITEM-1","issue":"1","issued":{"date-parts":[["2015"]]},"title":"Hyperbranched polydendrons: A new nanomaterials platform with tuneable permeation through model gut epithelium","type":"article-journal","volume":"6"},"uris":["http://www.mendeley.com/documents/?uuid=0e82deb9-dab5-4f7b-8564-5591011bf433"]},{"id":"ITEM-2","itemData":{"DOI":"10.1016/j.ejpb.2018.05.015","ISSN":"18733441","abstract":"Oral drug administration remains the preferred approach for treatment of HIV in most patients. Maraviroc (MVC) is the first in class co-receptor antagonist, which blocks HIV entry into host cells. MVC has an oral bioavailability of approximately 33%, which is limited by poor permeability as well as affinity for CYP3A and several drug transporters. While once-daily doses are now the favoured option for HIV therapy, dose-limiting postural hypotension has been of theoretical concern when administering doses high enough to achieve this for MVC (particularly during coadministration of enzyme inhibitors). To overcome low bioavailability and modify the pharmacokinetic profile, a series of 70 wt% MVC solid drug nanoparticle (SDN) formulations (containing 30 wt% of various polymer/surfactant excipients) were generated using emulsion templated freeze-drying. The lead formulation contained PVA and AOT excipients ( MVC SDN PVA/AOT ), and was demonstrated to be fully water-dispersible to release drug nanoparticles with z-average diameter of 728 nm and polydispersity index of 0.3. In vitro and in vivo studies of MVC SDN PVA/AOT showed increased apparent permeability of MVC, compared to a conventional MVC preparation, with in vivo studies in rats showing a 2.5-fold increase in AUC (145.33 vs. 58.71 ng h ml −1 ). MVC tissue distribution was similar or slightly increased in tissues examined compared to the conventional MVC preparation, with the exception of the liver, spleen and kidneys, which showed statistically significant increases in MVC for MVC SDN PVA/AOT . These data support a novel oral format with the potential for dose reduction while maintaining therapeutic MVC exposure and potentially enabling a once-daily fixed dose combination product.","author":[{"dropping-particle":"","family":"Savage","given":"Alison C.","non-dropping-particle":"","parse-names":false,"suffix":""},{"dropping-particle":"","family":"Tatham","given":"Lee M.","non-dropping-particle":"","parse-names":false,"suffix":""},{"dropping-particle":"","family":"Siccardi","given":"Marco","non-dropping-particle":"","parse-names":false,"suffix":""},{"dropping-particle":"","family":"Scott","given":"Trevor","non-dropping-particle":"","parse-names":false,"suffix":""},{"dropping-particle":"","family":"Vourvahis","given":"Manoli","non-dropping-particle":"","parse-names":false,"suffix":""},{"dropping-particle":"","family":"Clark","given":"Andrew","non-dropping-particle":"","parse-names":false,"suffix":""},{"dropping-particle":"","family":"Rannard","given":"Steve P.","non-dropping-particle":"","parse-names":false,"suffix":""},{"dropping-particle":"","family":"Owen","given":"Andrew","non-dropping-particle":"","parse-names":false,"suffix":""}],"container-title":"European Journal of Pharmaceutics and Biopharmaceutics","id":"ITEM-2","issued":{"date-parts":[["2019"]]},"page":"30-36","title":"Improving maraviroc oral bioavailability by formation of solid drug nanoparticles","type":"article-journal","volume":"138"},"uris":["http://www.mendeley.com/documents/?uuid=4cc01d3f-e190-447e-b09d-7926e992ff29"]},{"id":"ITEM-3","itemData":{"DOI":"10.1080/00498250802050880","ISBN":"1366-5928 (Electronic)\\r0049-8254 (Linking)","ISSN":"0049-8254","PMID":"18668443","abstract":"1. An understanding of the role that transporters, in particular P-glycoprotein (P-gp), can play in the absorption, distribution, metabolism and excretion (ADME) of candidate drugs, and an assessment of how these processes might impact on toxicity and the potential for drug-drug interactions in the clinic, is required to support drug development and registration. It is therefore necessary to validate preclinical assays for the in vitro evaluation of candidate drugs as substrates or inhibitors of human P-gp. 2. The present study has characterized a Caco-2 cell monolayer model by determining the bi-directional apparent permeabilities and efflux ratios of the known P-gp substrates ([(3)H]-digoxin, [(3)H]-ketoconazole, [(3)H]-verapamil, [(3)H]-quinidine, dipyridamole and loratidine; 1-100 microM) a non-substrate ([(3)H]-propranolol; 10 microM), or by determining the inhibitory potencies (IC(50)) of inhibitors (verapamil, ketoconazole, quinidine, dipyridamole and probenecid; 0.1-100 microM) on the basolateral-to-apical transport of [(3)H]-digoxin (5 microM), in order to validate methodologies for the identification of substrates or inhibitors of P-gp, respectively. 3. The reproducibility of the [(3)H]-digoxin or verapamil data determined from replicate monolayers across different cell passages indicates that the functional expression of P-gp is consistent across the range of passages (25-40) utilized for transport experiments and that the determination of bi-directional apparent permeability, or IC(50) for inhibition of P-gp, respectively, need only be performed on one occasion for a test compound. [(3)H]-digoxin and [(3)H]-propranolol or verapamil and probenecid were considered to be appropriate positive and negative controls of P-gp-mediated transport, or inhibition of P-gp, respectively, to ensure performance of the assays when assessing candidate drugs. Additionally, the low IC(50) values determined for ketoconazole and quinidine indicated that these inhibitors were suitable to use to confirm the role of P-gp in the efflux of a test compound. 4. These validated Caco-2 assays are robust, reproducible and suitable for routine in vitro evaluation of candidate drugs. They have been successfully applied to development projects resulting in the identification of two candidate drugs as substrates and inhibitors of P-gp, whereas a third was neither a substrate nor an inhibitor of this transporter.","author":[{"dropping-particle":"","family":"Elsby","given":"R","non-dropping-particle":"","parse-names":false,"suffix":""},{"dropping-particle":"","family":"Surry","given":"D D","non-dropping-particle":"","parse-names":false,"suffix":""},{"dropping-particle":"","family":"Smith","given":"V N","non-dropping-particle":"","parse-names":false,"suffix":""},{"dropping-particle":"","family":"Gray","given":"A J","non-dropping-particle":"","parse-names":false,"suffix":""}],"container-title":"Xenobiotica","id":"ITEM-3","issue":"7-8","issued":{"date-parts":[["2008"]]},"page":"1140-1164","title":"Validation and application of Caco-2 assays for the in vitro evaluation of development candidate drugs as substrates or inhibitors of P-glycoprotein to support regulatory submissions","type":"article-journal","volume":"38"},"uris":["http://www.mendeley.com/documents/?uuid=33a00f3f-6df3-45c0-b566-97ce92a6255b"]}],"mendeley":{"formattedCitation":"(Elsby et al., 2008; Hatton et al., 2015; Savage et al., 2019)","plainTextFormattedCitation":"(Elsby et al., 2008; Hatton et al., 2015; Savage et al., 2019)","previouslyFormattedCitation":"(Elsby et al., 2008; Hatton et al., 2015; Savage et al., 2019)"},"properties":{"noteIndex":0},"schema":"https://github.com/citation-style-language/schema/raw/master/csl-citation.json"}</w:instrText>
      </w:r>
      <w:r w:rsidRPr="00795222">
        <w:rPr>
          <w:rFonts w:asciiTheme="majorBidi" w:hAnsiTheme="majorBidi" w:cstheme="majorBidi"/>
          <w:sz w:val="24"/>
          <w:szCs w:val="24"/>
          <w:lang w:val="en-US"/>
        </w:rPr>
        <w:fldChar w:fldCharType="separate"/>
      </w:r>
      <w:r w:rsidR="00FF41FF" w:rsidRPr="00795222">
        <w:rPr>
          <w:rFonts w:asciiTheme="majorBidi" w:hAnsiTheme="majorBidi" w:cstheme="majorBidi"/>
          <w:noProof/>
          <w:sz w:val="24"/>
          <w:szCs w:val="24"/>
          <w:lang w:val="en-US"/>
        </w:rPr>
        <w:t>(Elsby et al., 2008; Hatton et al., 2015; Savage et al., 2019)</w:t>
      </w:r>
      <w:r w:rsidRPr="00795222">
        <w:rPr>
          <w:rFonts w:asciiTheme="majorBidi" w:hAnsiTheme="majorBidi" w:cstheme="majorBidi"/>
          <w:sz w:val="24"/>
          <w:szCs w:val="24"/>
          <w:lang w:val="en-US"/>
        </w:rPr>
        <w:fldChar w:fldCharType="end"/>
      </w:r>
      <w:r w:rsidRPr="00795222">
        <w:rPr>
          <w:rFonts w:asciiTheme="majorBidi" w:hAnsiTheme="majorBidi" w:cstheme="majorBidi"/>
          <w:sz w:val="24"/>
          <w:szCs w:val="24"/>
          <w:lang w:val="en-US"/>
        </w:rPr>
        <w:t xml:space="preserve"> Despite these important features, one cell type cannot fully reflect the physiology of the intestine. An </w:t>
      </w:r>
      <w:r w:rsidRPr="00795222">
        <w:rPr>
          <w:rFonts w:asciiTheme="majorBidi" w:hAnsiTheme="majorBidi" w:cstheme="majorBidi"/>
          <w:i/>
          <w:iCs/>
          <w:sz w:val="24"/>
          <w:szCs w:val="24"/>
          <w:lang w:val="en-US"/>
        </w:rPr>
        <w:t>in vitro</w:t>
      </w:r>
      <w:r w:rsidRPr="00795222">
        <w:rPr>
          <w:rFonts w:asciiTheme="majorBidi" w:hAnsiTheme="majorBidi" w:cstheme="majorBidi"/>
          <w:sz w:val="24"/>
          <w:szCs w:val="24"/>
          <w:lang w:val="en-US"/>
        </w:rPr>
        <w:t xml:space="preserve"> triple culture model comprising Caco-2 cells, HT-29-MTX mucus </w:t>
      </w:r>
      <w:r w:rsidRPr="00795222">
        <w:rPr>
          <w:rFonts w:asciiTheme="majorBidi" w:hAnsiTheme="majorBidi" w:cstheme="majorBidi"/>
          <w:sz w:val="24"/>
          <w:szCs w:val="24"/>
          <w:lang w:val="en-US"/>
        </w:rPr>
        <w:lastRenderedPageBreak/>
        <w:t xml:space="preserve">secreting goblet cells and Raji B lymphocytes can be used to stimulate the differentiation of Caco-2 cells into microfold cells (M cells) to study the absorption of nanocarriers. It has been suggested that goblet cells and M cells play a significant role in the uptake and permeation of nanoparticles in the intestine and inclusion of these cells provides a more representative </w:t>
      </w:r>
      <w:r w:rsidRPr="00795222">
        <w:rPr>
          <w:rFonts w:asciiTheme="majorBidi" w:hAnsiTheme="majorBidi" w:cstheme="majorBidi"/>
          <w:i/>
          <w:iCs/>
          <w:sz w:val="24"/>
          <w:szCs w:val="24"/>
          <w:lang w:val="en-US"/>
        </w:rPr>
        <w:t>in vitro</w:t>
      </w:r>
      <w:r w:rsidRPr="00795222">
        <w:rPr>
          <w:rFonts w:asciiTheme="majorBidi" w:hAnsiTheme="majorBidi" w:cstheme="majorBidi"/>
          <w:sz w:val="24"/>
          <w:szCs w:val="24"/>
          <w:lang w:val="en-US"/>
        </w:rPr>
        <w:t xml:space="preserve"> model to assess and compare such materials</w:t>
      </w:r>
      <w:r w:rsidR="00D11AD5" w:rsidRPr="00795222">
        <w:rPr>
          <w:rFonts w:asciiTheme="majorBidi" w:hAnsiTheme="majorBidi" w:cstheme="majorBidi"/>
          <w:sz w:val="24"/>
          <w:szCs w:val="24"/>
          <w:lang w:val="en-US"/>
        </w:rPr>
        <w:t>.</w:t>
      </w:r>
      <w:r w:rsidR="00843D40"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fldChar w:fldCharType="begin" w:fldLock="1"/>
      </w:r>
      <w:r w:rsidR="005563A9" w:rsidRPr="00795222">
        <w:rPr>
          <w:rFonts w:asciiTheme="majorBidi" w:hAnsiTheme="majorBidi" w:cstheme="majorBidi"/>
          <w:sz w:val="24"/>
          <w:szCs w:val="24"/>
          <w:lang w:val="en-US"/>
        </w:rPr>
        <w:instrText>ADDIN CSL_CITATION {"citationItems":[{"id":"ITEM-1","itemData":{"DOI":"10.1016/j.ejpb.2012.10.003","ISSN":"09396411","abstract":"In vitro cell culture models for studying oral drug absorption during early stages of drug development have become a useful tool in drug discovery and development, with respect to substance throughput and reproducibility. The aim of this study was to establish an in vitro cellular model based on human colon carcinoma Caco-2, mucus-producing HT29, and Raji B cells in order to design a model that more accurately mimics the small intestinal epithelial layer. Normal oriented model was set up by seeding co-cultures of Caco-2 and HT29 cells into Transwell filters and maintained under identical conditions following addition of Raji B to the basolateral chamber. Inverted model was set up seeding Caco-2 and HT29 cells on the basolateral chamber and then transferred in the Transwell device with the epithelial cells facing the basolateral chamber following Raji B addition to the apical compartment. Morphological differences on size and thickness of cell membranes were detected between the models studied by using fluorescence microscopy. On the triple co-culture models, cell membranes were increasing in size and thickness from the Caco-2 to Caco-2/HT29 and Caco-2/Raji B. Also, the nuclei seem to be larger than in the other studied models. Insulin permeation was higher on the triple co-culture model when compared to the Caco-2/HT29 co-culture model. Also, insulin permeation as mediated by nanoparticles and insulin solution permeation was higher on the normal oriented Caco-2/HT29/Raji B model as compared to the inverted model. Overall, our results suggest that Caco-2/HT29/Raji B triple co-culture normal oriented cellular model may be reliable to obtain a more physiological, functional, and reproducible in vitro model of the intestinal barrier to study protein absorption, both in solution and when delivered by nanocarriers. © 2012 Elsevier B.V. All rights reserved.","author":[{"dropping-particle":"","family":"Antunes","given":"Filipa","non-dropping-particle":"","parse-names":false,"suffix":""},{"dropping-particle":"","family":"Andrade","given":"Fernanda","non-dropping-particle":"","parse-names":false,"suffix":""},{"dropping-particle":"","family":"Araújo","given":"Francisca","non-dropping-particle":"","parse-names":false,"suffix":""},{"dropping-particle":"","family":"Ferreira","given":"Domingos","non-dropping-particle":"","parse-names":false,"suffix":""},{"dropping-particle":"","family":"Sarmento","given":"Bruno","non-dropping-particle":"","parse-names":false,"suffix":""}],"container-title":"European Journal of Pharmaceutics and Biopharmaceutics","id":"ITEM-1","issue":"3","issued":{"date-parts":[["2013","4"]]},"page":"427-435","title":"Establishment of a triple co-culture in vitro cell models to study intestinal absorption of peptide drugs","type":"article-journal","volume":"83"},"uris":["http://www.mendeley.com/documents/?uuid=2afe7057-2090-4b45-b3e3-55c9f31976eb"]},{"id":"ITEM-2","itemData":{"DOI":"10.1016/j.addr.2016.04.014","ISBN":"4078822819","ISSN":"18728294","PMID":"27117710","abstract":"Unraveling the mechanisms of nanoparticle transport across the intestinal barrier is essential for designing more efficient nanoparticles for oral administration. The physicochemical parameters of the nanoparticles (e.g., size, surface charge, chemical composition) dictate nanoparticle fate across the intestinal barrier. This review aims to address the most important findings regarding polymeric and lipidic nanoparticle transport across the intestinal barrier, including the evaluation of critical physicochemical parameters of nanoparticles that affect nanocarrier interactions with the intestinal barrier.","author":[{"dropping-particle":"","family":"Beloqui","given":"Ana","non-dropping-particle":"","parse-names":false,"suffix":""},{"dropping-particle":"","family":"Rieux","given":"Anne","non-dropping-particle":"des","parse-names":false,"suffix":""},{"dropping-particle":"","family":"Pr??at","given":"V??ronique","non-dropping-particle":"","parse-names":false,"suffix":""}],"container-title":"Advanced Drug Delivery Reviews","id":"ITEM-2","issued":{"date-parts":[["2016"]]},"page":"242-255","publisher":"Elsevier B.V.","title":"Mechanisms of transport of polymeric and lipidic nanoparticles across the intestinal barrier","type":"article-journal","volume":"106"},"uris":["http://www.mendeley.com/documents/?uuid=f09ab7bc-e6ca-4baf-9e72-9bb7e5cb01e0"]},{"id":"ITEM-3","itemData":{"DOI":"10.4155/tde.15.4","ISSN":"20416008","abstract":"The oral delivery of drugs with poor aqueous solubility is challenging and often results in poor bioavailability. Various nanoformulation platforms have demonstrated improved oral bioavailability of a range of drugs for different indications. The focus of this review is to provide an overview of the application of nanomedicine to oral antiretroviral therapy and outline how the current short-falls of this life-long therapy may be resolved using nanotechnology. As well as highlighting the rationale for a nanomedicine-based approach, the review focuses on the various strategies used to enhance oral bioavailability and describes the mechanisms of particle absorption across the GI tract. The recent advances in the development of long-acting formulations for both HIV treatment and pre-exposure prophylaxis are also discussed.","author":[{"dropping-particle":"","family":"Tatham","given":"Lee M.","non-dropping-particle":"","parse-names":false,"suffix":""},{"dropping-particle":"","family":"Rannard","given":"Steven P.","non-dropping-particle":"","parse-names":false,"suffix":""},{"dropping-particle":"","family":"Owen","given":"Andrew","non-dropping-particle":"","parse-names":false,"suffix":""}],"container-title":"Therapeutic Delivery","id":"ITEM-3","issue":"4","issued":{"date-parts":[["2015"]]},"page":"115-119","title":"Nanoformulation strategies for the enhanced oral bioavailability of antiretroviral therapeutics","type":"article-journal","volume":"6"},"uris":["http://www.mendeley.com/documents/?uuid=39fd1443-7d08-435d-95bb-c873ecbc51a1"]}],"mendeley":{"formattedCitation":"(Antunes et al., 2013; Beloqui et al., 2016; Tatham et al., 2015)","plainTextFormattedCitation":"(Antunes et al., 2013; Beloqui et al., 2016; Tatham et al., 2015)","previouslyFormattedCitation":"(Antunes et al., 2013; Beloqui et al., 2016; Tatham et al., 2015)"},"properties":{"noteIndex":0},"schema":"https://github.com/citation-style-language/schema/raw/master/csl-citation.json"}</w:instrText>
      </w:r>
      <w:r w:rsidRPr="00795222">
        <w:rPr>
          <w:rFonts w:asciiTheme="majorBidi" w:hAnsiTheme="majorBidi" w:cstheme="majorBidi"/>
          <w:sz w:val="24"/>
          <w:szCs w:val="24"/>
          <w:lang w:val="en-US"/>
        </w:rPr>
        <w:fldChar w:fldCharType="separate"/>
      </w:r>
      <w:r w:rsidR="00FF41FF" w:rsidRPr="00795222">
        <w:rPr>
          <w:rFonts w:asciiTheme="majorBidi" w:hAnsiTheme="majorBidi" w:cstheme="majorBidi"/>
          <w:noProof/>
          <w:sz w:val="24"/>
          <w:szCs w:val="24"/>
          <w:lang w:val="en-US"/>
        </w:rPr>
        <w:t>(Antunes et al., 2013; Beloqui et al., 2016; Tatham et al., 2015)</w:t>
      </w:r>
      <w:r w:rsidRPr="00795222">
        <w:rPr>
          <w:rFonts w:asciiTheme="majorBidi" w:hAnsiTheme="majorBidi" w:cstheme="majorBidi"/>
          <w:sz w:val="24"/>
          <w:szCs w:val="24"/>
          <w:lang w:val="en-US"/>
        </w:rPr>
        <w:fldChar w:fldCharType="end"/>
      </w:r>
      <w:r w:rsidRPr="00795222">
        <w:rPr>
          <w:rFonts w:asciiTheme="majorBidi" w:hAnsiTheme="majorBidi" w:cstheme="majorBidi"/>
          <w:sz w:val="24"/>
          <w:szCs w:val="24"/>
          <w:lang w:val="en-US"/>
        </w:rPr>
        <w:t xml:space="preserve"> Specifically, goblet cells continuously secrete mucus often limiting the ability of particles to permeate and gain access to the underlying epithelium</w:t>
      </w:r>
      <w:r w:rsidR="00456E39" w:rsidRPr="00795222">
        <w:rPr>
          <w:rFonts w:asciiTheme="majorBidi" w:hAnsiTheme="majorBidi" w:cstheme="majorBidi"/>
          <w:sz w:val="24"/>
          <w:szCs w:val="24"/>
          <w:lang w:val="en-US"/>
        </w:rPr>
        <w:t>.</w:t>
      </w:r>
      <w:r w:rsidR="00843D40"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fldChar w:fldCharType="begin" w:fldLock="1"/>
      </w:r>
      <w:r w:rsidR="001B7E74" w:rsidRPr="00795222">
        <w:rPr>
          <w:rFonts w:asciiTheme="majorBidi" w:hAnsiTheme="majorBidi" w:cstheme="majorBidi"/>
          <w:sz w:val="24"/>
          <w:szCs w:val="24"/>
          <w:lang w:val="en-US"/>
        </w:rPr>
        <w:instrText>ADDIN CSL_CITATION {"citationItems":[{"id":"ITEM-1","itemData":{"DOI":"10.1016/j.ijpharm.2014.04.027","ISSN":"03785173","author":[{"dropping-particle":"","family":"Beloqui","given":"Ana","non-dropping-particle":"","parse-names":false,"suffix":""},{"dropping-particle":"","family":"Solinís","given":"María Ángeles","non-dropping-particle":"","parse-names":false,"suffix":""},{"dropping-particle":"des","family":"Rieux","given":"Anne","non-dropping-particle":"","parse-names":false,"suffix":""},{"dropping-particle":"","family":"Préat","given":"Véronique","non-dropping-particle":"","parse-names":false,"suffix":""},{"dropping-particle":"","family":"Rodríguez-Gascón","given":"Alicia","non-dropping-particle":"","parse-names":false,"suffix":""}],"container-title":"International Journal of Pharmaceutics","id":"ITEM-1","issue":"1-2","issued":{"date-parts":[["2014"]]},"page":"105-111","publisher":"Elsevier B.V.","title":"Dextran–protamine coated nanostructured lipid carriers as mucus-penetrating nanoparticles for lipophilic drugs","type":"article-journal","volume":"468"},"uris":["http://www.mendeley.com/documents/?uuid=d62a4fd9-e775-4e05-ba5c-ce6ff9ce0673"]},{"id":"ITEM-2","itemData":{"DOI":"10.1042/BSR20171497","ISSN":"15734935","abstract":"An intestinal 70/30 Caco2/HT-29 co-culture was set up starting from the parental populations of differentiated cells to mimic the human intestinal epithelium. Co-culture was harvested at confluence 0 (T0) and at 3, 6, 10, and 14 days post confluence after plating (T3, T6, T10, and T14, respectively) for morphological and functional analysis. Transmission electron microscopy revealed different features from T0 to T14: microvilli and a complete junctional apparatus from T6, mucus granules from T3, as also confirmed by PAS/Alcian Blue staining. The specific activity of alkaline phosphatase (ALP), aminopeptidase N (APN), and dipeptidyl peptidase IV (DPPIV) progressively increased after T0, indicating the acquirement of a differentiated and digestive phenotype. Transepithelial electrical resistance (TEER), indicative of the barrier properties of the monolayer, increased from T0 up to T6 reaching values very similar to the human small intestine. The apparent permeability coefficient for Lucifer Yellow (LY), along with morphological analysis, reveals a good status of the tight junctions. At T14, HT-29 cells reduced to 18.4% and formed domes, indicative of transepithelial transport of nutrients. This Caco2/HT-29 co-culture could be considered a versatile and suitable in vitro model of human intestinal epithelium for the presence of more than one prevalent intestinal cell type, by means of a minimum of 6 to a maximum of 14 post-confluence days obtained without the need of particular inducers of subclones and growth support to reach an intestinal differentiated phenotype.","author":[{"dropping-particle":"","family":"Ferraretto","given":"Anita","non-dropping-particle":"","parse-names":false,"suffix":""},{"dropping-particle":"","family":"Bottani","given":"Michela","non-dropping-particle":"","parse-names":false,"suffix":""},{"dropping-particle":"","family":"Luca","given":"Paola","non-dropping-particle":"De","parse-names":false,"suffix":""},{"dropping-particle":"","family":"Cornaghi","given":"Laura","non-dropping-particle":"","parse-names":false,"suffix":""},{"dropping-particle":"","family":"Arnaboldi","given":"Francesca","non-dropping-particle":"","parse-names":false,"suffix":""},{"dropping-particle":"","family":"Maggioni","given":"Margherita","non-dropping-particle":"","parse-names":false,"suffix":""},{"dropping-particle":"","family":"Fiorilli","given":"Amelia","non-dropping-particle":"","parse-names":false,"suffix":""},{"dropping-particle":"","family":"Donetti","given":"Elena","non-dropping-particle":"","parse-names":false,"suffix":""}],"container-title":"Bioscience Reports","id":"ITEM-2","issue":"2","issued":{"date-parts":[["2018","4"]]},"publisher":"Portland Press Ltd","title":"Morphofunctional properties of a differentiated Caco2/HT-29 co-culture as an in vitro model of human intestinal epithelium","type":"article-journal","volume":"38"},"uris":["http://www.mendeley.com/documents/?uuid=4be6abee-8768-4041-b3dc-697d2a8ba305"]}],"mendeley":{"formattedCitation":"(Beloqui et al., 2014; Ferraretto et al., 2018)","plainTextFormattedCitation":"(Beloqui et al., 2014; Ferraretto et al., 2018)","previouslyFormattedCitation":"(Beloqui et al., 2014; Ferraretto et al., 2018)"},"properties":{"noteIndex":0},"schema":"https://github.com/citation-style-language/schema/raw/master/csl-citation.json"}</w:instrText>
      </w:r>
      <w:r w:rsidRPr="00795222">
        <w:rPr>
          <w:rFonts w:asciiTheme="majorBidi" w:hAnsiTheme="majorBidi" w:cstheme="majorBidi"/>
          <w:sz w:val="24"/>
          <w:szCs w:val="24"/>
          <w:lang w:val="en-US"/>
        </w:rPr>
        <w:fldChar w:fldCharType="separate"/>
      </w:r>
      <w:r w:rsidR="00FF41FF" w:rsidRPr="00795222">
        <w:rPr>
          <w:rFonts w:asciiTheme="majorBidi" w:hAnsiTheme="majorBidi" w:cstheme="majorBidi"/>
          <w:noProof/>
          <w:sz w:val="24"/>
          <w:szCs w:val="24"/>
          <w:lang w:val="en-US"/>
        </w:rPr>
        <w:t>(Beloqui et al., 2014; Ferraretto et al., 2018)</w:t>
      </w:r>
      <w:r w:rsidRPr="00795222">
        <w:rPr>
          <w:rFonts w:asciiTheme="majorBidi" w:hAnsiTheme="majorBidi" w:cstheme="majorBidi"/>
          <w:sz w:val="24"/>
          <w:szCs w:val="24"/>
          <w:lang w:val="en-US"/>
        </w:rPr>
        <w:fldChar w:fldCharType="end"/>
      </w:r>
      <w:r w:rsidRPr="00795222">
        <w:rPr>
          <w:rFonts w:asciiTheme="majorBidi" w:hAnsiTheme="majorBidi" w:cstheme="majorBidi"/>
          <w:sz w:val="24"/>
          <w:szCs w:val="24"/>
          <w:lang w:val="en-US"/>
        </w:rPr>
        <w:t xml:space="preserve"> M cells located in the epithelium and overlaying the Peyer’s patches are responsible for the uptake of exogenous materials (</w:t>
      </w:r>
      <w:r w:rsidRPr="00795222">
        <w:rPr>
          <w:rFonts w:asciiTheme="majorBidi" w:hAnsiTheme="majorBidi" w:cstheme="majorBidi"/>
          <w:i/>
          <w:iCs/>
          <w:sz w:val="24"/>
          <w:szCs w:val="24"/>
          <w:lang w:val="en-US"/>
        </w:rPr>
        <w:t>e.g.</w:t>
      </w:r>
      <w:r w:rsidRPr="00795222">
        <w:rPr>
          <w:rFonts w:asciiTheme="majorBidi" w:hAnsiTheme="majorBidi" w:cstheme="majorBidi"/>
          <w:sz w:val="24"/>
          <w:szCs w:val="24"/>
          <w:lang w:val="en-US"/>
        </w:rPr>
        <w:t xml:space="preserve"> bacteria</w:t>
      </w:r>
      <w:r w:rsidR="00456E39" w:rsidRPr="00795222">
        <w:rPr>
          <w:rFonts w:asciiTheme="majorBidi" w:hAnsiTheme="majorBidi" w:cstheme="majorBidi"/>
          <w:sz w:val="24"/>
          <w:szCs w:val="24"/>
          <w:lang w:val="en-US"/>
        </w:rPr>
        <w:t>)</w:t>
      </w:r>
      <w:r w:rsidRPr="00795222">
        <w:rPr>
          <w:rFonts w:asciiTheme="majorBidi" w:hAnsiTheme="majorBidi" w:cstheme="majorBidi"/>
          <w:sz w:val="24"/>
          <w:szCs w:val="24"/>
          <w:lang w:val="en-US"/>
        </w:rPr>
        <w:t xml:space="preserve"> and delivering them to the lymphoid follicles</w:t>
      </w:r>
      <w:r w:rsidR="005E2CFE" w:rsidRPr="00795222">
        <w:rPr>
          <w:rFonts w:asciiTheme="majorBidi" w:hAnsiTheme="majorBidi" w:cstheme="majorBidi"/>
          <w:sz w:val="24"/>
          <w:szCs w:val="24"/>
          <w:lang w:val="en-US"/>
        </w:rPr>
        <w:t>.</w:t>
      </w:r>
      <w:r w:rsidRPr="00795222">
        <w:rPr>
          <w:rFonts w:asciiTheme="majorBidi" w:hAnsiTheme="majorBidi" w:cstheme="majorBidi"/>
          <w:sz w:val="24"/>
          <w:szCs w:val="24"/>
          <w:lang w:val="en-US"/>
        </w:rPr>
        <w:fldChar w:fldCharType="begin" w:fldLock="1"/>
      </w:r>
      <w:r w:rsidR="001B7E74" w:rsidRPr="00795222">
        <w:rPr>
          <w:rFonts w:asciiTheme="majorBidi" w:hAnsiTheme="majorBidi" w:cstheme="majorBidi"/>
          <w:sz w:val="24"/>
          <w:szCs w:val="24"/>
          <w:lang w:val="en-US"/>
        </w:rPr>
        <w:instrText>ADDIN CSL_CITATION {"citationItems":[{"id":"ITEM-1","itemData":{"DOI":"10.1016/j.ejps.2006.12.006","ISBN":"0928-0987","ISSN":"0928-0987","PMID":"17291730","abstract":"An alternative in vitro model of human follicle-associated epithelium (FAE) to study nanoparticle transport mechanisms by M cells was developed and characterized. The previous in vitro model of human FAE has been improved by inverting inserts after Caco-2 cell seeding. Raji and M cells were identified only in inverted co-culture cell monolayers by immunohistochemistry, confocal microscopy, and electron microscopy. The M cell conversion rate evaluated by scanning electron microscopy ranged between 15 and 30% of cells. Transport of 200 nm carboxylated polystyrene nanoparticles was higher and more reproducible in the inverted model. Nanoparticle transport was temperature-dependent, not affected by the presence of EGTA or by potassium depletion, but inhibited by EIPA or nystatin, suggesting that it occurs most likely by macropinocytosis. The inverted model appears more physiologic, functional and reproducible than the normally oriented model.","author":[{"dropping-particle":"","family":"Rieux","given":"Anne","non-dropping-particle":"des","parse-names":false,"suffix":""},{"dropping-particle":"","family":"Fievez","given":"Virginie","non-dropping-particle":"","parse-names":false,"suffix":""},{"dropping-particle":"","family":"Théate","given":"Ivan","non-dropping-particle":"","parse-names":false,"suffix":""},{"dropping-particle":"","family":"Mast","given":"Jan","non-dropping-particle":"","parse-names":false,"suffix":""},{"dropping-particle":"","family":"Préat","given":"Véronique","non-dropping-particle":"","parse-names":false,"suffix":""},{"dropping-particle":"","family":"Schneider","given":"Yves-Jacques","non-dropping-particle":"","parse-names":false,"suffix":""}],"container-title":"European journal of pharmaceutical sciences : official journal of the European Federation for Pharmaceutical Sciences","id":"ITEM-1","issue":"5","issued":{"date-parts":[["2007"]]},"page":"380-91","title":"An improved in vitro model of human intestinal follicle-associated epithelium to study nanoparticle transport by M cells.","type":"article-journal","volume":"30"},"uris":["http://www.mendeley.com/documents/?uuid=cea232fe-6177-46dc-84a2-8a37e5f55b2f"]},{"id":"ITEM-2","itemData":{"DOI":"10.1021/mp400507g","ISBN":"1543-8384","ISSN":"15438384","PMID":"24502507","abstract":"Intestinal epithelial cell culture models, such as Caco-2 cells, are commonly used to assess absorption of drug molecules and transcytosis of nanoparticles across the intestinal mucosa. However, it is known that mucus strongly impacts nanoparticle mobility and that specialized M cells are involved in particulate uptake. Thus, to get a clear understanding of how nanoparticles interact with the intestinal mucosa, in vitro models are necessary that integrate the main cell types. This work aimed at developing an alternative in vitro permeability model based on a triple culture: Caco-2 cells, mucus-secreting goblet cells and M cells. Therefore, Caco-2 cells and mucus-secreting goblet cells were cocultured on Transwells and Raji B cells were added to stimulate differentiation of M cells. The in vitro triple culture model was characterized regarding confluence, integrity, differentiation/expression of M cells and cell surface architecture. Permeability of model drugs and of 50 and 200 nm polystyrene nanoparticles was studied. Data from the in vitro model were compared with ex vivo permeability results (Ussing chambers and porcine intestine) and correlated well. Nanoparticle uptake was size-dependent and strongly impacted by the mucus layer. Moreover, nanoparticle permeability studies clearly demonstrated that particles were capable of penetrating the intestinal barrier mainly via specialized M cells. It can be concluded that goblet cells and M cells strongly impact nanoparticle uptake in the intestine and should thus be integrated in an in vitro permeability model. The presented model will be an efficient tool to study intestinal transcellular uptake of particulate systems.","author":[{"dropping-particle":"","family":"Schimpel","given":"Christa","non-dropping-particle":"","parse-names":false,"suffix":""},{"dropping-particle":"","family":"Teubl","given":"Birgit","non-dropping-particle":"","parse-names":false,"suffix":""},{"dropping-particle":"","family":"Absenger","given":"Markus","non-dropping-particle":"","parse-names":false,"suffix":""},{"dropping-particle":"","family":"Meindl","given":"Claudia","non-dropping-particle":"","parse-names":false,"suffix":""},{"dropping-particle":"","family":"Fröhlich","given":"Eleonore","non-dropping-particle":"","parse-names":false,"suffix":""},{"dropping-particle":"","family":"Leitinger","given":"Gerd","non-dropping-particle":"","parse-names":false,"suffix":""},{"dropping-particle":"","family":"Zimmer","given":"Andreas","non-dropping-particle":"","parse-names":false,"suffix":""},{"dropping-particle":"","family":"Roblegg","given":"Eva","non-dropping-particle":"","parse-names":false,"suffix":""}],"container-title":"Molecular Pharmaceutics","id":"ITEM-2","issued":{"date-parts":[["2014"]]},"page":"808-818","title":"Development of an advanced intestinal in vitro triple culture permeability model to study transport of nanoparticles","type":"article-journal","volume":"11"},"uris":["http://www.mendeley.com/documents/?uuid=3045e927-143e-41ae-b4a1-8be56ac09a10"]}],"mendeley":{"formattedCitation":"(des Rieux et al., 2007; Schimpel et al., 2014)","plainTextFormattedCitation":"(des Rieux et al., 2007; Schimpel et al., 2014)","previouslyFormattedCitation":"(des Rieux et al., 2007; Schimpel et al., 2014)"},"properties":{"noteIndex":0},"schema":"https://github.com/citation-style-language/schema/raw/master/csl-citation.json"}</w:instrText>
      </w:r>
      <w:r w:rsidRPr="00795222">
        <w:rPr>
          <w:rFonts w:asciiTheme="majorBidi" w:hAnsiTheme="majorBidi" w:cstheme="majorBidi"/>
          <w:sz w:val="24"/>
          <w:szCs w:val="24"/>
          <w:lang w:val="en-US"/>
        </w:rPr>
        <w:fldChar w:fldCharType="separate"/>
      </w:r>
      <w:r w:rsidR="00FF41FF" w:rsidRPr="00795222">
        <w:rPr>
          <w:rFonts w:asciiTheme="majorBidi" w:hAnsiTheme="majorBidi" w:cstheme="majorBidi"/>
          <w:noProof/>
          <w:sz w:val="24"/>
          <w:szCs w:val="24"/>
          <w:lang w:val="en-US"/>
        </w:rPr>
        <w:t>(des Rieux et al., 2007; Schimpel et al., 2014)</w:t>
      </w:r>
      <w:r w:rsidRPr="00795222">
        <w:rPr>
          <w:rFonts w:asciiTheme="majorBidi" w:hAnsiTheme="majorBidi" w:cstheme="majorBidi"/>
          <w:sz w:val="24"/>
          <w:szCs w:val="24"/>
          <w:lang w:val="en-US"/>
        </w:rPr>
        <w:fldChar w:fldCharType="end"/>
      </w:r>
      <w:r w:rsidRPr="00795222">
        <w:rPr>
          <w:rFonts w:asciiTheme="majorBidi" w:hAnsiTheme="majorBidi" w:cstheme="majorBidi"/>
          <w:sz w:val="24"/>
          <w:szCs w:val="24"/>
          <w:lang w:val="en-US"/>
        </w:rPr>
        <w:t xml:space="preserve"> Some studies suggest that nanoparticles enter the intestinal epithelium predominantly </w:t>
      </w:r>
      <w:r w:rsidRPr="00795222">
        <w:rPr>
          <w:rFonts w:asciiTheme="majorBidi" w:hAnsiTheme="majorBidi" w:cstheme="majorBidi"/>
          <w:i/>
          <w:sz w:val="24"/>
          <w:szCs w:val="24"/>
          <w:lang w:val="en-US"/>
        </w:rPr>
        <w:t>via</w:t>
      </w:r>
      <w:r w:rsidRPr="00795222">
        <w:rPr>
          <w:rFonts w:asciiTheme="majorBidi" w:hAnsiTheme="majorBidi" w:cstheme="majorBidi"/>
          <w:sz w:val="24"/>
          <w:szCs w:val="24"/>
          <w:lang w:val="en-US"/>
        </w:rPr>
        <w:t xml:space="preserve"> the M cell route</w:t>
      </w:r>
      <w:r w:rsidR="005E2CFE" w:rsidRPr="00795222">
        <w:rPr>
          <w:rFonts w:asciiTheme="majorBidi" w:hAnsiTheme="majorBidi" w:cstheme="majorBidi"/>
          <w:sz w:val="24"/>
          <w:szCs w:val="24"/>
          <w:lang w:val="en-US"/>
        </w:rPr>
        <w:t>.</w:t>
      </w:r>
      <w:r w:rsidR="00843D40"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fldChar w:fldCharType="begin" w:fldLock="1"/>
      </w:r>
      <w:r w:rsidR="001B7E74" w:rsidRPr="00795222">
        <w:rPr>
          <w:rFonts w:asciiTheme="majorBidi" w:hAnsiTheme="majorBidi" w:cstheme="majorBidi"/>
          <w:sz w:val="24"/>
          <w:szCs w:val="24"/>
          <w:lang w:val="en-US"/>
        </w:rPr>
        <w:instrText>ADDIN CSL_CITATION {"citationItems":[{"id":"ITEM-1","itemData":{"DOI":"10.1016/j.ejps.2005.04.015","ISBN":"0928-0987","ISSN":"09280987","PMID":"15946828","abstract":"An in vitro model of the human follicle associated epithelium (FAE) was characterized and the influence of nanoparticle properties on the transcellular transport across the in vitro model was investigated. The model was established by co-culturing Caco-2 and Raji cells, with Caco-2 cells alone as control. The conversion of Caco-2 cells to follicle associated epithelium (FAE) like cells was monitored by following the surface expression of β1-integrins (immunofluorescence) and nanoparticle transport (flow cytometry). The influence of the nanoparticle concentration at the apical side, temperature, size and surface properties of nanoparticles on transport was evaluated, as well as the influence of transport conditions. The conversion of Caco-2 cells into FAE-like cells occurred. The transport was concentration, temperature and size-dependent. Aminated nanoparticles were more efficiently transported than carboxylated nanoparticles, suggesting a role of nanoparticle surface functional groups and hydrophobicity, possibly leading to a different pattern of protein adsorption at their surface. In conclusion, this in vitro model is a promising tool to study the role of M cells in transintestinal nanoparticle transport, as well as to evaluate new drug delivery systems. © 2005 Elsevier B.V. All rights reserved.","author":[{"dropping-particle":"Des","family":"Rieux","given":"Anne","non-dropping-particle":"","parse-names":false,"suffix":""},{"dropping-particle":"","family":"Ragnarsson","given":"Eva G E","non-dropping-particle":"","parse-names":false,"suffix":""},{"dropping-particle":"","family":"Gullberg","given":"Elisabet","non-dropping-particle":"","parse-names":false,"suffix":""},{"dropping-particle":"","family":"Préat","given":"Véronique","non-dropping-particle":"","parse-names":false,"suffix":""},{"dropping-particle":"","family":"Schneider","given":"Yves Jacques","non-dropping-particle":"","parse-names":false,"suffix":""},{"dropping-particle":"","family":"Artursson","given":"Per","non-dropping-particle":"","parse-names":false,"suffix":""}],"container-title":"European Journal of Pharmaceutical Sciences","id":"ITEM-1","issue":"4-5","issued":{"date-parts":[["2005"]]},"page":"455-465","title":"Transport of nanoparticles across an in vitro model of the human intestinal follicle associated epithelium","type":"article-journal","volume":"25"},"uris":["http://www.mendeley.com/documents/?uuid=718ef230-e8ca-46d1-8c7a-6a83c6dd96d1"]},{"id":"ITEM-2","itemData":{"DOI":"10.1016/j.ejps.2006.12.006","ISBN":"0928-0987","ISSN":"0928-0987","PMID":"17291730","abstract":"An alternative in vitro model of human follicle-associated epithelium (FAE) to study nanoparticle transport mechanisms by M cells was developed and characterized. The previous in vitro model of human FAE has been improved by inverting inserts after Caco-2 cell seeding. Raji and M cells were identified only in inverted co-culture cell monolayers by immunohistochemistry, confocal microscopy, and electron microscopy. The M cell conversion rate evaluated by scanning electron microscopy ranged between 15 and 30% of cells. Transport of 200 nm carboxylated polystyrene nanoparticles was higher and more reproducible in the inverted model. Nanoparticle transport was temperature-dependent, not affected by the presence of EGTA or by potassium depletion, but inhibited by EIPA or nystatin, suggesting that it occurs most likely by macropinocytosis. The inverted model appears more physiologic, functional and reproducible than the normally oriented model.","author":[{"dropping-particle":"","family":"Rieux","given":"Anne","non-dropping-particle":"des","parse-names":false,"suffix":""},{"dropping-particle":"","family":"Fievez","given":"Virginie","non-dropping-particle":"","parse-names":false,"suffix":""},{"dropping-particle":"","family":"Théate","given":"Ivan","non-dropping-particle":"","parse-names":false,"suffix":""},{"dropping-particle":"","family":"Mast","given":"Jan","non-dropping-particle":"","parse-names":false,"suffix":""},{"dropping-particle":"","family":"Préat","given":"Véronique","non-dropping-particle":"","parse-names":false,"suffix":""},{"dropping-particle":"","family":"Schneider","given":"Yves-Jacques","non-dropping-particle":"","parse-names":false,"suffix":""}],"container-title":"European journal of pharmaceutical sciences : official journal of the European Federation for Pharmaceutical Sciences","id":"ITEM-2","issue":"5","issued":{"date-parts":[["2007"]]},"page":"380-91","title":"An improved in vitro model of human intestinal follicle-associated epithelium to study nanoparticle transport by M cells.","type":"article-journal","volume":"30"},"uris":["http://www.mendeley.com/documents/?uuid=cea232fe-6177-46dc-84a2-8a37e5f55b2f"]}],"mendeley":{"formattedCitation":"(des Rieux et al., 2007; Rieux et al., 2005)","plainTextFormattedCitation":"(des Rieux et al., 2007; Rieux et al., 2005)","previouslyFormattedCitation":"(des Rieux et al., 2007; Rieux et al., 2005)"},"properties":{"noteIndex":0},"schema":"https://github.com/citation-style-language/schema/raw/master/csl-citation.json"}</w:instrText>
      </w:r>
      <w:r w:rsidRPr="00795222">
        <w:rPr>
          <w:rFonts w:asciiTheme="majorBidi" w:hAnsiTheme="majorBidi" w:cstheme="majorBidi"/>
          <w:sz w:val="24"/>
          <w:szCs w:val="24"/>
          <w:lang w:val="en-US"/>
        </w:rPr>
        <w:fldChar w:fldCharType="separate"/>
      </w:r>
      <w:r w:rsidR="00FF41FF" w:rsidRPr="00795222">
        <w:rPr>
          <w:rFonts w:asciiTheme="majorBidi" w:hAnsiTheme="majorBidi" w:cstheme="majorBidi"/>
          <w:noProof/>
          <w:sz w:val="24"/>
          <w:szCs w:val="24"/>
          <w:lang w:val="en-US"/>
        </w:rPr>
        <w:t>(des Rieux et al., 2007; Rieux et al., 2005)</w:t>
      </w:r>
      <w:r w:rsidRPr="00795222">
        <w:rPr>
          <w:rFonts w:asciiTheme="majorBidi" w:hAnsiTheme="majorBidi" w:cstheme="majorBidi"/>
          <w:sz w:val="24"/>
          <w:szCs w:val="24"/>
          <w:lang w:val="en-US"/>
        </w:rPr>
        <w:fldChar w:fldCharType="end"/>
      </w:r>
      <w:r w:rsidRPr="00795222">
        <w:rPr>
          <w:rFonts w:asciiTheme="majorBidi" w:hAnsiTheme="majorBidi" w:cstheme="majorBidi"/>
          <w:sz w:val="24"/>
          <w:szCs w:val="24"/>
          <w:lang w:val="en-US"/>
        </w:rPr>
        <w:t xml:space="preserve"> Although the mechanisms that underpin particle permeation across the intestinal epithelium a</w:t>
      </w:r>
      <w:r w:rsidR="00456E39" w:rsidRPr="00795222">
        <w:rPr>
          <w:rFonts w:asciiTheme="majorBidi" w:hAnsiTheme="majorBidi" w:cstheme="majorBidi"/>
          <w:sz w:val="24"/>
          <w:szCs w:val="24"/>
          <w:lang w:val="en-US"/>
        </w:rPr>
        <w:t>re</w:t>
      </w:r>
      <w:r w:rsidRPr="00795222">
        <w:rPr>
          <w:rFonts w:asciiTheme="majorBidi" w:hAnsiTheme="majorBidi" w:cstheme="majorBidi"/>
          <w:sz w:val="24"/>
          <w:szCs w:val="24"/>
          <w:lang w:val="en-US"/>
        </w:rPr>
        <w:t xml:space="preserve"> not clearly understood, various processes have been described and these have been reviewed elsewhere</w:t>
      </w:r>
      <w:r w:rsidR="005E2CFE" w:rsidRPr="00795222">
        <w:rPr>
          <w:rFonts w:asciiTheme="majorBidi" w:hAnsiTheme="majorBidi" w:cstheme="majorBidi"/>
          <w:sz w:val="24"/>
          <w:szCs w:val="24"/>
          <w:lang w:val="en-US"/>
        </w:rPr>
        <w:t>.</w:t>
      </w:r>
      <w:r w:rsidR="00843D40"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fldChar w:fldCharType="begin" w:fldLock="1"/>
      </w:r>
      <w:r w:rsidR="005563A9" w:rsidRPr="00795222">
        <w:rPr>
          <w:rFonts w:asciiTheme="majorBidi" w:hAnsiTheme="majorBidi" w:cstheme="majorBidi"/>
          <w:sz w:val="24"/>
          <w:szCs w:val="24"/>
          <w:lang w:val="en-US"/>
        </w:rPr>
        <w:instrText>ADDIN CSL_CITATION {"citationItems":[{"id":"ITEM-1","itemData":{"DOI":"10.1016/j.jconrel.2014.06.038","ISSN":"01683659","author":[{"dropping-particle":"","family":"Yameen","given":"Basit","non-dropping-particle":"","parse-names":false,"suffix":""},{"dropping-particle":"Il","family":"Choi","given":"Won","non-dropping-particle":"","parse-names":false,"suffix":""},{"dropping-particle":"","family":"Vilos","given":"Cristian","non-dropping-particle":"","parse-names":false,"suffix":""},{"dropping-particle":"","family":"Swami","given":"Archana","non-dropping-particle":"","parse-names":false,"suffix":""},{"dropping-particle":"","family":"Shi","given":"Jinjun","non-dropping-particle":"","parse-names":false,"suffix":""},{"dropping-particle":"","family":"Farokhzad","given":"Omid C.","non-dropping-particle":"","parse-names":false,"suffix":""}],"container-title":"Journal of Controlled Release","id":"ITEM-1","issued":{"date-parts":[["2014"]]},"page":"485-499","publisher":"Elsevier B.V.","title":"Insight into nanoparticle cellular uptake and intracellular targeting","type":"article-journal","volume":"190"},"uris":["http://www.mendeley.com/documents/?uuid=82795c7d-6754-4b3b-b2e5-3018e454eeea"]},{"id":"ITEM-2","itemData":{"DOI":"10.1016/j.ddtec.2011.12.001","ISSN":"17406749","author":[{"dropping-particle":"","family":"Desai","given":"Preshita P.","non-dropping-particle":"","parse-names":false,"suffix":""},{"dropping-particle":"","family":"Date","given":"Abhijit A.","non-dropping-particle":"","parse-names":false,"suffix":""},{"dropping-particle":"","family":"Patravale","given":"Vandana B.","non-dropping-particle":"","parse-names":false,"suffix":""}],"container-title":"Drug Discovery Today: Technologies","id":"ITEM-2","issue":"2","issued":{"date-parts":[["2012"]]},"page":"e87-e95","publisher":"Elsevier Ltd","title":"Overcoming poor oral bioavailability using nanoparticle formulations – opportunities and limitations","type":"article-journal","volume":"9"},"uris":["http://www.mendeley.com/documents/?uuid=efdc7bf3-0477-430a-aa3f-b19cd163e031"]},{"id":"ITEM-3","itemData":{"DOI":"10.1016/j.maturitas.2012.05.014","ISBN":"0378-5122","ISSN":"03785122","PMID":"22709523","abstract":"The oral route for delivery of pharmaceuticals is the most widely used and accepted. Nanoparticles and microparticles are increasingly being applied within this arena to optimize drug targeting and bioavailability. Frequently the carrier systems used are either constructed from or contain polymeric materials. Examples of these nanocarriers include polymeric nanoparticles, solid lipid nanocarriers, self-nanoemulsifying drug delivery systems and nanocrystals. It is the purpose of this review to describe these cutting edge technologies and specifically focus on the interaction and fate of these polymers within the gastrointestinal system. © 2012 Elsevier Ireland Ltd. All rights reserved.","author":[{"dropping-particle":"","family":"Hunter","given":"a. Christy","non-dropping-particle":"","parse-names":false,"suffix":""},{"dropping-particle":"","family":"Elsom","given":"Jacqueline","non-dropping-particle":"","parse-names":false,"suffix":""},{"dropping-particle":"","family":"Wibroe","given":"Peter P.","non-dropping-particle":"","parse-names":false,"suffix":""},{"dropping-particle":"","family":"Moghimi","given":"S. Moein","non-dropping-particle":"","parse-names":false,"suffix":""}],"container-title":"Maturitas","id":"ITEM-3","issue":"1","issued":{"date-parts":[["2012"]]},"note":"A very nice review that covers the topic of using polymer particles for oral dosing. But doesn't dicuss the desgin rules and trends related to particle properties","page":"5-18","publisher":"Elsevier Inc.","title":"Polymeric particulate technologies for oral drug delivery and targeting: A pathophysiological perspective","type":"article-journal","volume":"73"},"uris":["http://www.mendeley.com/documents/?uuid=c8545e5d-480b-43e1-a8a8-512be8ade2fa"]},{"id":"ITEM-4","itemData":{"DOI":"10.4155/tde.15.4","ISSN":"20416008","abstract":"The oral delivery of drugs with poor aqueous solubility is challenging and often results in poor bioavailability. Various nanoformulation platforms have demonstrated improved oral bioavailability of a range of drugs for different indications. The focus of this review is to provide an overview of the application of nanomedicine to oral antiretroviral therapy and outline how the current short-falls of this life-long therapy may be resolved using nanotechnology. As well as highlighting the rationale for a nanomedicine-based approach, the review focuses on the various strategies used to enhance oral bioavailability and describes the mechanisms of particle absorption across the GI tract. The recent advances in the development of long-acting formulations for both HIV treatment and pre-exposure prophylaxis are also discussed.","author":[{"dropping-particle":"","family":"Tatham","given":"Lee M.","non-dropping-particle":"","parse-names":false,"suffix":""},{"dropping-particle":"","family":"Rannard","given":"Steven P.","non-dropping-particle":"","parse-names":false,"suffix":""},{"dropping-particle":"","family":"Owen","given":"Andrew","non-dropping-particle":"","parse-names":false,"suffix":""}],"container-title":"Therapeutic Delivery","id":"ITEM-4","issue":"4","issued":{"date-parts":[["2015"]]},"page":"115-119","title":"Nanoformulation strategies for the enhanced oral bioavailability of antiretroviral therapeutics","type":"article-journal","volume":"6"},"uris":["http://www.mendeley.com/documents/?uuid=39fd1443-7d08-435d-95bb-c873ecbc51a1"]}],"mendeley":{"formattedCitation":"(Desai et al., 2012; Hunter et al., 2012; Tatham et al., 2015; Yameen et al., 2014)","plainTextFormattedCitation":"(Desai et al., 2012; Hunter et al., 2012; Tatham et al., 2015; Yameen et al., 2014)","previouslyFormattedCitation":"(Desai et al., 2012; Hunter et al., 2012; Tatham et al., 2015; Yameen et al., 2014)"},"properties":{"noteIndex":0},"schema":"https://github.com/citation-style-language/schema/raw/master/csl-citation.json"}</w:instrText>
      </w:r>
      <w:r w:rsidRPr="00795222">
        <w:rPr>
          <w:rFonts w:asciiTheme="majorBidi" w:hAnsiTheme="majorBidi" w:cstheme="majorBidi"/>
          <w:sz w:val="24"/>
          <w:szCs w:val="24"/>
          <w:lang w:val="en-US"/>
        </w:rPr>
        <w:fldChar w:fldCharType="separate"/>
      </w:r>
      <w:r w:rsidR="00FF41FF" w:rsidRPr="00795222">
        <w:rPr>
          <w:rFonts w:asciiTheme="majorBidi" w:hAnsiTheme="majorBidi" w:cstheme="majorBidi"/>
          <w:noProof/>
          <w:sz w:val="24"/>
          <w:szCs w:val="24"/>
          <w:lang w:val="en-US"/>
        </w:rPr>
        <w:t>(Desai et al., 2012; Hunter et al., 2012; Tatham et al., 2015; Yameen et al., 2014)</w:t>
      </w:r>
      <w:r w:rsidRPr="00795222">
        <w:rPr>
          <w:rFonts w:asciiTheme="majorBidi" w:hAnsiTheme="majorBidi" w:cstheme="majorBidi"/>
          <w:sz w:val="24"/>
          <w:szCs w:val="24"/>
          <w:lang w:val="en-US"/>
        </w:rPr>
        <w:fldChar w:fldCharType="end"/>
      </w:r>
    </w:p>
    <w:p w14:paraId="1BD6B5ED" w14:textId="6EEEB4BC" w:rsidR="00D560D2" w:rsidRPr="00795222" w:rsidRDefault="00D560D2" w:rsidP="00657F6C">
      <w:p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lang w:val="en-US"/>
        </w:rPr>
        <w:t>A considerable challenge in the clinical use of nanoparticles for drug delivery is the ability to obtain a form</w:t>
      </w:r>
      <w:r w:rsidR="00890CDF" w:rsidRPr="00795222">
        <w:rPr>
          <w:rFonts w:asciiTheme="majorBidi" w:hAnsiTheme="majorBidi" w:cstheme="majorBidi"/>
          <w:sz w:val="24"/>
          <w:szCs w:val="24"/>
          <w:lang w:val="en-US"/>
        </w:rPr>
        <w:t>ul</w:t>
      </w:r>
      <w:r w:rsidRPr="00795222">
        <w:rPr>
          <w:rFonts w:asciiTheme="majorBidi" w:hAnsiTheme="majorBidi" w:cstheme="majorBidi"/>
          <w:sz w:val="24"/>
          <w:szCs w:val="24"/>
          <w:lang w:val="en-US"/>
        </w:rPr>
        <w:t>ation that offers long-term storage stability.</w:t>
      </w:r>
      <w:r w:rsidR="00843D40" w:rsidRPr="00795222">
        <w:rPr>
          <w:rFonts w:asciiTheme="majorBidi" w:hAnsiTheme="majorBidi" w:cstheme="majorBidi"/>
          <w:sz w:val="24"/>
          <w:szCs w:val="24"/>
          <w:lang w:val="en-US"/>
        </w:rPr>
        <w:t xml:space="preserve"> </w:t>
      </w:r>
      <w:r w:rsidR="00807B20" w:rsidRPr="00795222">
        <w:rPr>
          <w:rFonts w:asciiTheme="majorBidi" w:hAnsiTheme="majorBidi" w:cstheme="majorBidi"/>
          <w:sz w:val="24"/>
          <w:szCs w:val="24"/>
          <w:lang w:val="en-US"/>
        </w:rPr>
        <w:fldChar w:fldCharType="begin" w:fldLock="1"/>
      </w:r>
      <w:r w:rsidR="00017D47" w:rsidRPr="00795222">
        <w:rPr>
          <w:rFonts w:asciiTheme="majorBidi" w:hAnsiTheme="majorBidi" w:cstheme="majorBidi"/>
          <w:sz w:val="24"/>
          <w:szCs w:val="24"/>
          <w:lang w:val="en-US"/>
        </w:rPr>
        <w:instrText>ADDIN CSL_CITATION {"citationItems":[{"id":"ITEM-1","itemData":{"DOI":"10.2147/IJN.S198353","ISSN":"1178-2013","author":[{"dropping-particle":"","family":"Mukherjee","given":"Anubhab","non-dropping-particle":"","parse-names":false,"suffix":""},{"dropping-particle":"","family":"Waters","given":"Ariana K","non-dropping-particle":"","parse-names":false,"suffix":""},{"dropping-particle":"","family":"Kalyan","given":"Pranav","non-dropping-particle":"","parse-names":false,"suffix":""},{"dropping-particle":"","family":"Achrol","given":"Achal Singh","non-dropping-particle":"","parse-names":false,"suffix":""},{"dropping-particle":"","family":"Kesari","given":"Santosh","non-dropping-particle":"","parse-names":false,"suffix":""},{"dropping-particle":"","family":"Yenugonda","given":"Venkata Mahidhar","non-dropping-particle":"","parse-names":false,"suffix":""}],"container-title":"International Journal of Nanomedicine","id":"ITEM-1","issued":{"date-parts":[["2019"]]},"note":"Very useful review for LPHNPs, shows that this material type is very much focussed on cancer treatment.","page":"1937-1952","title":"Lipid-polymer hybrid nanoparticles as a next-generation drug delivery platform: state of the art, emerging technologies, and perspectives","type":"article-journal","volume":"Volume 14"},"uris":["http://www.mendeley.com/documents/?uuid=a6fec515-054c-4b64-8c1f-478c182bc5b3","http://www.mendeley.com/documents/?uuid=74122695-84fb-4473-8ca4-6b1b6756884a","http://www.mendeley.com/documents/?uuid=d6e9289e-6f51-42d9-9bec-f916e4fee9ce"]}],"mendeley":{"formattedCitation":"(Mukherjee et al., 2019a)","plainTextFormattedCitation":"(Mukherjee et al., 2019a)","previouslyFormattedCitation":"(Mukherjee et al., 2019a)"},"properties":{"noteIndex":0},"schema":"https://github.com/citation-style-language/schema/raw/master/csl-citation.json"}</w:instrText>
      </w:r>
      <w:r w:rsidR="00807B20" w:rsidRPr="00795222">
        <w:rPr>
          <w:rFonts w:asciiTheme="majorBidi" w:hAnsiTheme="majorBidi" w:cstheme="majorBidi"/>
          <w:sz w:val="24"/>
          <w:szCs w:val="24"/>
          <w:vertAlign w:val="superscript"/>
          <w:lang w:val="en-US"/>
        </w:rPr>
        <w:fldChar w:fldCharType="separate"/>
      </w:r>
      <w:r w:rsidR="007E2658" w:rsidRPr="00795222">
        <w:rPr>
          <w:rFonts w:asciiTheme="majorBidi" w:hAnsiTheme="majorBidi" w:cstheme="majorBidi"/>
          <w:noProof/>
          <w:sz w:val="24"/>
          <w:szCs w:val="24"/>
          <w:lang w:val="en-US"/>
        </w:rPr>
        <w:t>(Mukherjee et al., 2019a)</w:t>
      </w:r>
      <w:r w:rsidR="00807B20" w:rsidRPr="00795222">
        <w:rPr>
          <w:rFonts w:asciiTheme="majorBidi" w:hAnsiTheme="majorBidi" w:cstheme="majorBidi"/>
          <w:sz w:val="24"/>
          <w:szCs w:val="24"/>
          <w:lang w:val="en-US"/>
        </w:rPr>
        <w:fldChar w:fldCharType="end"/>
      </w:r>
      <w:r w:rsidRPr="00795222">
        <w:rPr>
          <w:rFonts w:asciiTheme="majorBidi" w:hAnsiTheme="majorBidi" w:cstheme="majorBidi"/>
          <w:sz w:val="24"/>
          <w:szCs w:val="24"/>
          <w:lang w:val="en-US"/>
        </w:rPr>
        <w:t xml:space="preserve"> This is particularly important given the supply chain challenges associated with administering therapies in </w:t>
      </w:r>
      <w:r w:rsidR="00761E7C" w:rsidRPr="00795222">
        <w:rPr>
          <w:rFonts w:asciiTheme="majorBidi" w:hAnsiTheme="majorBidi" w:cstheme="majorBidi"/>
          <w:sz w:val="24"/>
          <w:szCs w:val="24"/>
          <w:lang w:val="en-US"/>
        </w:rPr>
        <w:t>low</w:t>
      </w:r>
      <w:r w:rsidR="009937ED" w:rsidRPr="00795222">
        <w:rPr>
          <w:rFonts w:asciiTheme="majorBidi" w:hAnsiTheme="majorBidi" w:cstheme="majorBidi"/>
          <w:sz w:val="24"/>
          <w:szCs w:val="24"/>
          <w:lang w:val="en-US"/>
        </w:rPr>
        <w:t>-</w:t>
      </w:r>
      <w:r w:rsidR="00761E7C" w:rsidRPr="00795222">
        <w:rPr>
          <w:rFonts w:asciiTheme="majorBidi" w:hAnsiTheme="majorBidi" w:cstheme="majorBidi"/>
          <w:sz w:val="24"/>
          <w:szCs w:val="24"/>
          <w:lang w:val="en-US"/>
        </w:rPr>
        <w:t xml:space="preserve"> and middle-income countries</w:t>
      </w:r>
      <w:r w:rsidRPr="00795222">
        <w:rPr>
          <w:rFonts w:asciiTheme="majorBidi" w:hAnsiTheme="majorBidi" w:cstheme="majorBidi"/>
          <w:sz w:val="24"/>
          <w:szCs w:val="24"/>
          <w:lang w:val="en-US"/>
        </w:rPr>
        <w:t>, where the capacity for temperature-controlled storage is limited.</w:t>
      </w:r>
      <w:r w:rsidR="00456E39" w:rsidRPr="00795222">
        <w:rPr>
          <w:rFonts w:asciiTheme="majorBidi" w:hAnsiTheme="majorBidi" w:cstheme="majorBidi"/>
          <w:sz w:val="24"/>
          <w:szCs w:val="24"/>
          <w:lang w:val="en-US"/>
        </w:rPr>
        <w:t xml:space="preserve"> O</w:t>
      </w:r>
      <w:r w:rsidRPr="00795222">
        <w:rPr>
          <w:rFonts w:asciiTheme="majorBidi" w:hAnsiTheme="majorBidi" w:cstheme="majorBidi"/>
          <w:sz w:val="24"/>
          <w:szCs w:val="24"/>
          <w:lang w:val="en-US"/>
        </w:rPr>
        <w:t>ne possible solution is the ability to prepare dry formulations that can be</w:t>
      </w:r>
      <w:r w:rsidR="005A3C67" w:rsidRPr="00795222">
        <w:rPr>
          <w:rFonts w:asciiTheme="majorBidi" w:hAnsiTheme="majorBidi" w:cstheme="majorBidi"/>
          <w:sz w:val="24"/>
          <w:szCs w:val="24"/>
          <w:lang w:val="en-US"/>
        </w:rPr>
        <w:t xml:space="preserve"> formulated into capsules or</w:t>
      </w:r>
      <w:r w:rsidRPr="00795222">
        <w:rPr>
          <w:rFonts w:asciiTheme="majorBidi" w:hAnsiTheme="majorBidi" w:cstheme="majorBidi"/>
          <w:sz w:val="24"/>
          <w:szCs w:val="24"/>
          <w:lang w:val="en-US"/>
        </w:rPr>
        <w:t xml:space="preserve"> redispersed upon administration</w:t>
      </w:r>
      <w:r w:rsidR="005A3C67" w:rsidRPr="00795222">
        <w:rPr>
          <w:rFonts w:asciiTheme="majorBidi" w:hAnsiTheme="majorBidi" w:cstheme="majorBidi"/>
          <w:sz w:val="24"/>
          <w:szCs w:val="24"/>
          <w:lang w:val="en-US"/>
        </w:rPr>
        <w:t xml:space="preserve"> for pediatric dosing</w:t>
      </w:r>
      <w:r w:rsidRPr="00795222">
        <w:rPr>
          <w:rFonts w:asciiTheme="majorBidi" w:hAnsiTheme="majorBidi" w:cstheme="majorBidi"/>
          <w:sz w:val="24"/>
          <w:szCs w:val="24"/>
          <w:lang w:val="en-US"/>
        </w:rPr>
        <w:t>.</w:t>
      </w:r>
    </w:p>
    <w:p w14:paraId="204A6ED2" w14:textId="6AFFCED5" w:rsidR="00A440DB" w:rsidRPr="00795222" w:rsidRDefault="00CD55AE" w:rsidP="00657F6C">
      <w:p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lang w:val="en-US"/>
        </w:rPr>
        <w:t>In this work, the synthe</w:t>
      </w:r>
      <w:r w:rsidR="00456E39" w:rsidRPr="00795222">
        <w:rPr>
          <w:rFonts w:asciiTheme="majorBidi" w:hAnsiTheme="majorBidi" w:cstheme="majorBidi"/>
          <w:sz w:val="24"/>
          <w:szCs w:val="24"/>
          <w:lang w:val="en-US"/>
        </w:rPr>
        <w:t>tic</w:t>
      </w:r>
      <w:r w:rsidRPr="00795222">
        <w:rPr>
          <w:rFonts w:asciiTheme="majorBidi" w:hAnsiTheme="majorBidi" w:cstheme="majorBidi"/>
          <w:sz w:val="24"/>
          <w:szCs w:val="24"/>
          <w:lang w:val="en-US"/>
        </w:rPr>
        <w:t xml:space="preserve"> parameters of</w:t>
      </w:r>
      <w:r w:rsidR="00807B20" w:rsidRPr="00795222">
        <w:rPr>
          <w:rFonts w:asciiTheme="majorBidi" w:hAnsiTheme="majorBidi" w:cstheme="majorBidi"/>
          <w:sz w:val="24"/>
          <w:szCs w:val="24"/>
          <w:lang w:val="en-US"/>
        </w:rPr>
        <w:t xml:space="preserve"> LPHNs</w:t>
      </w:r>
      <w:r w:rsidRPr="00795222">
        <w:rPr>
          <w:rFonts w:asciiTheme="majorBidi" w:hAnsiTheme="majorBidi" w:cstheme="majorBidi"/>
          <w:sz w:val="24"/>
          <w:szCs w:val="24"/>
          <w:lang w:val="en-US"/>
        </w:rPr>
        <w:t xml:space="preserve"> </w:t>
      </w:r>
      <w:r w:rsidR="00807B20" w:rsidRPr="00795222">
        <w:rPr>
          <w:rFonts w:asciiTheme="majorBidi" w:hAnsiTheme="majorBidi" w:cstheme="majorBidi"/>
          <w:sz w:val="24"/>
          <w:szCs w:val="24"/>
          <w:lang w:val="en-US"/>
        </w:rPr>
        <w:t xml:space="preserve">prepared by nanoprecipitation </w:t>
      </w:r>
      <w:r w:rsidRPr="00795222">
        <w:rPr>
          <w:rFonts w:asciiTheme="majorBidi" w:hAnsiTheme="majorBidi" w:cstheme="majorBidi"/>
          <w:sz w:val="24"/>
          <w:szCs w:val="24"/>
          <w:lang w:val="en-US"/>
        </w:rPr>
        <w:t xml:space="preserve">loaded with both </w:t>
      </w:r>
      <w:r w:rsidR="00890CDF" w:rsidRPr="00795222">
        <w:rPr>
          <w:rFonts w:asciiTheme="majorBidi" w:hAnsiTheme="majorBidi" w:cstheme="majorBidi"/>
          <w:sz w:val="24"/>
          <w:szCs w:val="24"/>
          <w:lang w:val="en-US"/>
        </w:rPr>
        <w:t xml:space="preserve">DRV </w:t>
      </w:r>
      <w:r w:rsidRPr="00795222">
        <w:rPr>
          <w:rFonts w:asciiTheme="majorBidi" w:hAnsiTheme="majorBidi" w:cstheme="majorBidi"/>
          <w:sz w:val="24"/>
          <w:szCs w:val="24"/>
          <w:lang w:val="en-US"/>
        </w:rPr>
        <w:t xml:space="preserve">and </w:t>
      </w:r>
      <w:r w:rsidR="00890CDF" w:rsidRPr="00795222">
        <w:rPr>
          <w:rFonts w:asciiTheme="majorBidi" w:hAnsiTheme="majorBidi" w:cstheme="majorBidi"/>
          <w:sz w:val="24"/>
          <w:szCs w:val="24"/>
          <w:lang w:val="en-US"/>
        </w:rPr>
        <w:t>RTV</w:t>
      </w:r>
      <w:r w:rsidRPr="00795222">
        <w:rPr>
          <w:rFonts w:asciiTheme="majorBidi" w:hAnsiTheme="majorBidi" w:cstheme="majorBidi"/>
          <w:sz w:val="24"/>
          <w:szCs w:val="24"/>
          <w:lang w:val="en-US"/>
        </w:rPr>
        <w:t xml:space="preserve"> </w:t>
      </w:r>
      <w:r w:rsidR="004914D0" w:rsidRPr="00795222">
        <w:rPr>
          <w:rFonts w:asciiTheme="majorBidi" w:hAnsiTheme="majorBidi" w:cstheme="majorBidi"/>
          <w:sz w:val="24"/>
          <w:szCs w:val="24"/>
          <w:lang w:val="en-US"/>
        </w:rPr>
        <w:t xml:space="preserve">designed </w:t>
      </w:r>
      <w:r w:rsidRPr="00795222">
        <w:rPr>
          <w:rFonts w:asciiTheme="majorBidi" w:hAnsiTheme="majorBidi" w:cstheme="majorBidi"/>
          <w:sz w:val="24"/>
          <w:szCs w:val="24"/>
          <w:lang w:val="en-US"/>
        </w:rPr>
        <w:t>for the treatment of HIV</w:t>
      </w:r>
      <w:r w:rsidR="00890CDF" w:rsidRPr="00795222">
        <w:rPr>
          <w:rFonts w:asciiTheme="majorBidi" w:hAnsiTheme="majorBidi" w:cstheme="majorBidi"/>
          <w:sz w:val="24"/>
          <w:szCs w:val="24"/>
          <w:lang w:val="en-US"/>
        </w:rPr>
        <w:t xml:space="preserve"> </w:t>
      </w:r>
      <w:r w:rsidR="00456E39" w:rsidRPr="00795222">
        <w:rPr>
          <w:rFonts w:asciiTheme="majorBidi" w:hAnsiTheme="majorBidi" w:cstheme="majorBidi"/>
          <w:sz w:val="24"/>
          <w:szCs w:val="24"/>
          <w:lang w:val="en-US"/>
        </w:rPr>
        <w:t xml:space="preserve">have been </w:t>
      </w:r>
      <w:r w:rsidR="0024188D" w:rsidRPr="00795222">
        <w:rPr>
          <w:rFonts w:asciiTheme="majorBidi" w:hAnsiTheme="majorBidi" w:cstheme="majorBidi"/>
          <w:sz w:val="24"/>
          <w:szCs w:val="24"/>
          <w:lang w:val="en-US"/>
        </w:rPr>
        <w:t>optimized</w:t>
      </w:r>
      <w:r w:rsidRPr="00795222">
        <w:rPr>
          <w:rFonts w:asciiTheme="majorBidi" w:hAnsiTheme="majorBidi" w:cstheme="majorBidi"/>
          <w:sz w:val="24"/>
          <w:szCs w:val="24"/>
          <w:lang w:val="en-US"/>
        </w:rPr>
        <w:t xml:space="preserve">. </w:t>
      </w:r>
      <w:r w:rsidR="008B7EFB" w:rsidRPr="00795222">
        <w:rPr>
          <w:rFonts w:asciiTheme="majorBidi" w:hAnsiTheme="majorBidi" w:cstheme="majorBidi"/>
          <w:sz w:val="24"/>
          <w:szCs w:val="24"/>
          <w:lang w:val="en-US"/>
        </w:rPr>
        <w:t xml:space="preserve"> </w:t>
      </w:r>
      <w:r w:rsidR="00807B20" w:rsidRPr="00795222">
        <w:rPr>
          <w:rFonts w:asciiTheme="majorBidi" w:hAnsiTheme="majorBidi" w:cstheme="majorBidi"/>
          <w:sz w:val="24"/>
          <w:szCs w:val="24"/>
          <w:lang w:val="en-US"/>
        </w:rPr>
        <w:t>S</w:t>
      </w:r>
      <w:r w:rsidR="009D293E" w:rsidRPr="00795222">
        <w:rPr>
          <w:rFonts w:asciiTheme="majorBidi" w:hAnsiTheme="majorBidi" w:cstheme="majorBidi"/>
          <w:sz w:val="24"/>
          <w:szCs w:val="24"/>
          <w:lang w:val="en-US"/>
        </w:rPr>
        <w:t xml:space="preserve">everal parameters that affect the formulation </w:t>
      </w:r>
      <w:r w:rsidR="00666025" w:rsidRPr="00795222">
        <w:rPr>
          <w:rFonts w:asciiTheme="majorBidi" w:hAnsiTheme="majorBidi" w:cstheme="majorBidi"/>
          <w:sz w:val="24"/>
          <w:szCs w:val="24"/>
          <w:lang w:val="en-US"/>
        </w:rPr>
        <w:t xml:space="preserve">of LPHNs </w:t>
      </w:r>
      <w:r w:rsidR="009D293E" w:rsidRPr="00795222">
        <w:rPr>
          <w:rFonts w:asciiTheme="majorBidi" w:hAnsiTheme="majorBidi" w:cstheme="majorBidi"/>
          <w:sz w:val="24"/>
          <w:szCs w:val="24"/>
          <w:lang w:val="en-US"/>
        </w:rPr>
        <w:t>using the nanoprecipitation method were studied</w:t>
      </w:r>
      <w:r w:rsidR="009831F9" w:rsidRPr="00795222">
        <w:rPr>
          <w:rFonts w:asciiTheme="majorBidi" w:hAnsiTheme="majorBidi" w:cstheme="majorBidi"/>
          <w:sz w:val="24"/>
          <w:szCs w:val="24"/>
          <w:lang w:val="en-US"/>
        </w:rPr>
        <w:t xml:space="preserve"> (</w:t>
      </w:r>
      <w:r w:rsidR="009E78BC" w:rsidRPr="00795222">
        <w:rPr>
          <w:rFonts w:asciiTheme="majorBidi" w:hAnsiTheme="majorBidi" w:cstheme="majorBidi"/>
          <w:sz w:val="24"/>
          <w:szCs w:val="24"/>
          <w:lang w:val="en-US"/>
        </w:rPr>
        <w:t>Figure 1</w:t>
      </w:r>
      <w:r w:rsidR="009831F9" w:rsidRPr="00795222">
        <w:rPr>
          <w:rFonts w:asciiTheme="majorBidi" w:hAnsiTheme="majorBidi" w:cstheme="majorBidi"/>
          <w:sz w:val="24"/>
          <w:szCs w:val="24"/>
          <w:lang w:val="en-US"/>
        </w:rPr>
        <w:t>)</w:t>
      </w:r>
      <w:r w:rsidR="00666025" w:rsidRPr="00795222">
        <w:rPr>
          <w:rFonts w:asciiTheme="majorBidi" w:hAnsiTheme="majorBidi" w:cstheme="majorBidi"/>
          <w:sz w:val="24"/>
          <w:szCs w:val="24"/>
          <w:lang w:val="en-US"/>
        </w:rPr>
        <w:t>:</w:t>
      </w:r>
      <w:r w:rsidR="00E37751" w:rsidRPr="00795222">
        <w:rPr>
          <w:rFonts w:asciiTheme="majorBidi" w:hAnsiTheme="majorBidi" w:cstheme="majorBidi"/>
          <w:sz w:val="24"/>
          <w:szCs w:val="24"/>
          <w:lang w:val="en-US"/>
        </w:rPr>
        <w:t xml:space="preserve"> </w:t>
      </w:r>
      <w:r w:rsidR="00CE5239" w:rsidRPr="00795222">
        <w:rPr>
          <w:rFonts w:asciiTheme="majorBidi" w:hAnsiTheme="majorBidi" w:cstheme="majorBidi"/>
          <w:sz w:val="24"/>
          <w:szCs w:val="24"/>
          <w:lang w:val="en-US"/>
        </w:rPr>
        <w:t>mass</w:t>
      </w:r>
      <w:r w:rsidR="009D293E" w:rsidRPr="00795222">
        <w:rPr>
          <w:rFonts w:asciiTheme="majorBidi" w:hAnsiTheme="majorBidi" w:cstheme="majorBidi"/>
          <w:sz w:val="24"/>
          <w:szCs w:val="24"/>
          <w:lang w:val="en-US"/>
        </w:rPr>
        <w:t xml:space="preserve"> </w:t>
      </w:r>
      <w:r w:rsidR="00D55535" w:rsidRPr="00795222">
        <w:rPr>
          <w:rFonts w:asciiTheme="majorBidi" w:hAnsiTheme="majorBidi" w:cstheme="majorBidi"/>
          <w:sz w:val="24"/>
          <w:szCs w:val="24"/>
          <w:lang w:val="en-US"/>
        </w:rPr>
        <w:t xml:space="preserve">percentage </w:t>
      </w:r>
      <w:r w:rsidR="00CE5239" w:rsidRPr="00795222">
        <w:rPr>
          <w:rFonts w:asciiTheme="majorBidi" w:hAnsiTheme="majorBidi" w:cstheme="majorBidi"/>
          <w:sz w:val="24"/>
          <w:szCs w:val="24"/>
          <w:lang w:val="en-US"/>
        </w:rPr>
        <w:t xml:space="preserve">of </w:t>
      </w:r>
      <w:r w:rsidR="001E16FB" w:rsidRPr="00795222">
        <w:rPr>
          <w:rFonts w:asciiTheme="majorBidi" w:hAnsiTheme="majorBidi" w:cstheme="majorBidi"/>
          <w:sz w:val="24"/>
          <w:szCs w:val="24"/>
          <w:lang w:val="en-US"/>
        </w:rPr>
        <w:t xml:space="preserve">the </w:t>
      </w:r>
      <w:r w:rsidR="009D293E" w:rsidRPr="00795222">
        <w:rPr>
          <w:rFonts w:asciiTheme="majorBidi" w:hAnsiTheme="majorBidi" w:cstheme="majorBidi"/>
          <w:sz w:val="24"/>
          <w:szCs w:val="24"/>
          <w:lang w:val="en-US"/>
        </w:rPr>
        <w:t xml:space="preserve">total </w:t>
      </w:r>
      <w:r w:rsidR="0051529C" w:rsidRPr="00795222">
        <w:rPr>
          <w:rFonts w:asciiTheme="majorBidi" w:hAnsiTheme="majorBidi" w:cstheme="majorBidi"/>
          <w:sz w:val="24"/>
          <w:szCs w:val="24"/>
          <w:lang w:val="en-US"/>
        </w:rPr>
        <w:t>stabilizer</w:t>
      </w:r>
      <w:r w:rsidR="00CE5239" w:rsidRPr="00795222">
        <w:rPr>
          <w:rFonts w:asciiTheme="majorBidi" w:hAnsiTheme="majorBidi" w:cstheme="majorBidi"/>
          <w:sz w:val="24"/>
          <w:szCs w:val="24"/>
          <w:lang w:val="en-US"/>
        </w:rPr>
        <w:t xml:space="preserve"> to the </w:t>
      </w:r>
      <w:r w:rsidR="009D293E" w:rsidRPr="00795222">
        <w:rPr>
          <w:rFonts w:asciiTheme="majorBidi" w:hAnsiTheme="majorBidi" w:cstheme="majorBidi"/>
          <w:sz w:val="24"/>
          <w:szCs w:val="24"/>
          <w:lang w:val="en-US"/>
        </w:rPr>
        <w:t>polymer</w:t>
      </w:r>
      <w:r w:rsidR="00CE5239" w:rsidRPr="00795222">
        <w:rPr>
          <w:rFonts w:asciiTheme="majorBidi" w:hAnsiTheme="majorBidi" w:cstheme="majorBidi"/>
          <w:sz w:val="24"/>
          <w:szCs w:val="24"/>
          <w:lang w:val="en-US"/>
        </w:rPr>
        <w:t xml:space="preserve"> core, the mass </w:t>
      </w:r>
      <w:r w:rsidR="001D3A32" w:rsidRPr="00795222">
        <w:rPr>
          <w:rFonts w:asciiTheme="majorBidi" w:hAnsiTheme="majorBidi" w:cstheme="majorBidi"/>
          <w:sz w:val="24"/>
          <w:szCs w:val="24"/>
          <w:lang w:val="en-US"/>
        </w:rPr>
        <w:t xml:space="preserve">percentage </w:t>
      </w:r>
      <w:r w:rsidR="00CE5239" w:rsidRPr="00795222">
        <w:rPr>
          <w:rFonts w:asciiTheme="majorBidi" w:hAnsiTheme="majorBidi" w:cstheme="majorBidi"/>
          <w:sz w:val="24"/>
          <w:szCs w:val="24"/>
          <w:lang w:val="en-US"/>
        </w:rPr>
        <w:t xml:space="preserve">of two different </w:t>
      </w:r>
      <w:r w:rsidR="0051529C" w:rsidRPr="00795222">
        <w:rPr>
          <w:rFonts w:asciiTheme="majorBidi" w:hAnsiTheme="majorBidi" w:cstheme="majorBidi"/>
          <w:sz w:val="24"/>
          <w:szCs w:val="24"/>
          <w:lang w:val="en-US"/>
        </w:rPr>
        <w:t>stabilizers</w:t>
      </w:r>
      <w:r w:rsidR="009D293E" w:rsidRPr="00795222">
        <w:rPr>
          <w:rFonts w:asciiTheme="majorBidi" w:hAnsiTheme="majorBidi" w:cstheme="majorBidi"/>
          <w:sz w:val="24"/>
          <w:szCs w:val="24"/>
          <w:lang w:val="en-US"/>
        </w:rPr>
        <w:t xml:space="preserve"> </w:t>
      </w:r>
      <w:r w:rsidR="00666025" w:rsidRPr="00795222">
        <w:rPr>
          <w:rFonts w:asciiTheme="majorBidi" w:hAnsiTheme="majorBidi" w:cstheme="majorBidi"/>
          <w:sz w:val="24"/>
          <w:szCs w:val="24"/>
          <w:lang w:val="en-US"/>
        </w:rPr>
        <w:t>(</w:t>
      </w:r>
      <w:r w:rsidR="00C37AE8" w:rsidRPr="00795222">
        <w:rPr>
          <w:rFonts w:asciiTheme="majorBidi" w:hAnsiTheme="majorBidi" w:cstheme="majorBidi"/>
          <w:sz w:val="24"/>
          <w:szCs w:val="24"/>
          <w:lang w:val="en-US"/>
        </w:rPr>
        <w:t>B</w:t>
      </w:r>
      <w:r w:rsidR="00224B86" w:rsidRPr="00795222">
        <w:rPr>
          <w:rFonts w:asciiTheme="majorBidi" w:hAnsiTheme="majorBidi" w:cstheme="majorBidi"/>
          <w:sz w:val="24"/>
          <w:szCs w:val="24"/>
          <w:lang w:val="en-US"/>
        </w:rPr>
        <w:t>rij 78</w:t>
      </w:r>
      <w:r w:rsidR="00CE5239" w:rsidRPr="00795222">
        <w:rPr>
          <w:rFonts w:asciiTheme="majorBidi" w:hAnsiTheme="majorBidi" w:cstheme="majorBidi"/>
          <w:sz w:val="24"/>
          <w:szCs w:val="24"/>
          <w:lang w:val="en-US"/>
        </w:rPr>
        <w:t xml:space="preserve"> and </w:t>
      </w:r>
      <w:r w:rsidR="00C37AE8" w:rsidRPr="00795222">
        <w:rPr>
          <w:rFonts w:asciiTheme="majorBidi" w:hAnsiTheme="majorBidi" w:cstheme="majorBidi"/>
          <w:sz w:val="24"/>
          <w:szCs w:val="24"/>
          <w:lang w:val="en-US"/>
        </w:rPr>
        <w:t>SBL</w:t>
      </w:r>
      <w:r w:rsidR="00666025" w:rsidRPr="00795222">
        <w:rPr>
          <w:rFonts w:asciiTheme="majorBidi" w:hAnsiTheme="majorBidi" w:cstheme="majorBidi"/>
          <w:sz w:val="24"/>
          <w:szCs w:val="24"/>
          <w:lang w:val="en-US"/>
        </w:rPr>
        <w:t>)</w:t>
      </w:r>
      <w:r w:rsidR="00CE5239" w:rsidRPr="00795222">
        <w:rPr>
          <w:rFonts w:asciiTheme="majorBidi" w:hAnsiTheme="majorBidi" w:cstheme="majorBidi"/>
          <w:sz w:val="24"/>
          <w:szCs w:val="24"/>
          <w:lang w:val="en-US"/>
        </w:rPr>
        <w:t xml:space="preserve"> and</w:t>
      </w:r>
      <w:r w:rsidR="009D293E" w:rsidRPr="00795222">
        <w:rPr>
          <w:rFonts w:asciiTheme="majorBidi" w:hAnsiTheme="majorBidi" w:cstheme="majorBidi"/>
          <w:sz w:val="24"/>
          <w:szCs w:val="24"/>
          <w:lang w:val="en-US"/>
        </w:rPr>
        <w:t xml:space="preserve"> drug</w:t>
      </w:r>
      <w:r w:rsidR="00CE5239" w:rsidRPr="00795222">
        <w:rPr>
          <w:rFonts w:asciiTheme="majorBidi" w:hAnsiTheme="majorBidi" w:cstheme="majorBidi"/>
          <w:sz w:val="24"/>
          <w:szCs w:val="24"/>
          <w:lang w:val="en-US"/>
        </w:rPr>
        <w:t xml:space="preserve"> loading</w:t>
      </w:r>
      <w:r w:rsidR="009D293E" w:rsidRPr="00795222">
        <w:rPr>
          <w:rFonts w:asciiTheme="majorBidi" w:hAnsiTheme="majorBidi" w:cstheme="majorBidi"/>
          <w:sz w:val="24"/>
          <w:szCs w:val="24"/>
          <w:lang w:val="en-US"/>
        </w:rPr>
        <w:t>.</w:t>
      </w:r>
      <w:r w:rsidR="009D293E" w:rsidRPr="00795222">
        <w:rPr>
          <w:rFonts w:asciiTheme="majorBidi" w:hAnsiTheme="majorBidi" w:cstheme="majorBidi"/>
          <w:color w:val="FF0000"/>
          <w:sz w:val="24"/>
          <w:szCs w:val="24"/>
          <w:lang w:val="en-US"/>
        </w:rPr>
        <w:t> </w:t>
      </w:r>
      <w:r w:rsidR="00C51466" w:rsidRPr="00795222">
        <w:rPr>
          <w:rFonts w:asciiTheme="majorBidi" w:hAnsiTheme="majorBidi" w:cstheme="majorBidi"/>
          <w:sz w:val="24"/>
          <w:szCs w:val="24"/>
          <w:lang w:val="en-US"/>
        </w:rPr>
        <w:t xml:space="preserve">It is </w:t>
      </w:r>
      <w:r w:rsidR="00872047" w:rsidRPr="00795222">
        <w:rPr>
          <w:rFonts w:asciiTheme="majorBidi" w:hAnsiTheme="majorBidi" w:cstheme="majorBidi"/>
          <w:sz w:val="24"/>
          <w:szCs w:val="24"/>
          <w:lang w:val="en-US"/>
        </w:rPr>
        <w:t>show</w:t>
      </w:r>
      <w:r w:rsidR="00C51466" w:rsidRPr="00795222">
        <w:rPr>
          <w:rFonts w:asciiTheme="majorBidi" w:hAnsiTheme="majorBidi" w:cstheme="majorBidi"/>
          <w:sz w:val="24"/>
          <w:szCs w:val="24"/>
          <w:lang w:val="en-US"/>
        </w:rPr>
        <w:t>n</w:t>
      </w:r>
      <w:r w:rsidR="00872047" w:rsidRPr="00795222">
        <w:rPr>
          <w:rFonts w:asciiTheme="majorBidi" w:hAnsiTheme="majorBidi" w:cstheme="majorBidi"/>
          <w:sz w:val="24"/>
          <w:szCs w:val="24"/>
          <w:lang w:val="en-US"/>
        </w:rPr>
        <w:t xml:space="preserve"> that the LPHNs can </w:t>
      </w:r>
      <w:r w:rsidR="00666025" w:rsidRPr="00795222">
        <w:rPr>
          <w:rFonts w:asciiTheme="majorBidi" w:hAnsiTheme="majorBidi" w:cstheme="majorBidi"/>
          <w:sz w:val="24"/>
          <w:szCs w:val="24"/>
          <w:lang w:val="en-US"/>
        </w:rPr>
        <w:t xml:space="preserve">be </w:t>
      </w:r>
      <w:r w:rsidR="00872047" w:rsidRPr="00795222">
        <w:rPr>
          <w:rFonts w:asciiTheme="majorBidi" w:hAnsiTheme="majorBidi" w:cstheme="majorBidi"/>
          <w:sz w:val="24"/>
          <w:szCs w:val="24"/>
          <w:lang w:val="en-US"/>
        </w:rPr>
        <w:t>converted into dispersible formulation</w:t>
      </w:r>
      <w:r w:rsidR="00666025" w:rsidRPr="00795222">
        <w:rPr>
          <w:rFonts w:asciiTheme="majorBidi" w:hAnsiTheme="majorBidi" w:cstheme="majorBidi"/>
          <w:sz w:val="24"/>
          <w:szCs w:val="24"/>
          <w:lang w:val="en-US"/>
        </w:rPr>
        <w:t>s</w:t>
      </w:r>
      <w:r w:rsidR="00872047" w:rsidRPr="00795222">
        <w:rPr>
          <w:rFonts w:asciiTheme="majorBidi" w:hAnsiTheme="majorBidi" w:cstheme="majorBidi"/>
          <w:sz w:val="24"/>
          <w:szCs w:val="24"/>
          <w:lang w:val="en-US"/>
        </w:rPr>
        <w:t xml:space="preserve"> </w:t>
      </w:r>
      <w:r w:rsidR="00A85009" w:rsidRPr="00795222">
        <w:rPr>
          <w:rFonts w:asciiTheme="majorBidi" w:hAnsiTheme="majorBidi" w:cstheme="majorBidi"/>
          <w:sz w:val="24"/>
          <w:szCs w:val="24"/>
          <w:lang w:val="en-US"/>
        </w:rPr>
        <w:t>using</w:t>
      </w:r>
      <w:r w:rsidR="00872047" w:rsidRPr="00795222">
        <w:rPr>
          <w:rFonts w:asciiTheme="majorBidi" w:hAnsiTheme="majorBidi" w:cstheme="majorBidi"/>
          <w:sz w:val="24"/>
          <w:szCs w:val="24"/>
          <w:lang w:val="en-US"/>
        </w:rPr>
        <w:t xml:space="preserve"> freeze drying</w:t>
      </w:r>
      <w:r w:rsidR="00C51466" w:rsidRPr="00795222">
        <w:rPr>
          <w:rFonts w:asciiTheme="majorBidi" w:hAnsiTheme="majorBidi" w:cstheme="majorBidi"/>
          <w:sz w:val="24"/>
          <w:szCs w:val="24"/>
          <w:lang w:val="en-US"/>
        </w:rPr>
        <w:t xml:space="preserve"> and</w:t>
      </w:r>
      <w:r w:rsidR="009D293E" w:rsidRPr="00795222">
        <w:rPr>
          <w:rFonts w:asciiTheme="majorBidi" w:hAnsiTheme="majorBidi" w:cstheme="majorBidi"/>
          <w:sz w:val="24"/>
          <w:szCs w:val="24"/>
          <w:lang w:val="en-US"/>
        </w:rPr>
        <w:t xml:space="preserve"> that high drug loadings can be obtained</w:t>
      </w:r>
      <w:r w:rsidR="00C51466" w:rsidRPr="00795222">
        <w:rPr>
          <w:rFonts w:asciiTheme="majorBidi" w:hAnsiTheme="majorBidi" w:cstheme="majorBidi"/>
          <w:sz w:val="24"/>
          <w:szCs w:val="24"/>
          <w:lang w:val="en-US"/>
        </w:rPr>
        <w:t xml:space="preserve">. </w:t>
      </w:r>
      <w:r w:rsidR="00F803DE" w:rsidRPr="00795222">
        <w:rPr>
          <w:rFonts w:asciiTheme="majorBidi" w:hAnsiTheme="majorBidi" w:cstheme="majorBidi"/>
          <w:sz w:val="24"/>
          <w:szCs w:val="24"/>
          <w:lang w:val="en-US"/>
        </w:rPr>
        <w:t>Finally,</w:t>
      </w:r>
      <w:r w:rsidR="00C51466" w:rsidRPr="00795222">
        <w:rPr>
          <w:rFonts w:asciiTheme="majorBidi" w:hAnsiTheme="majorBidi" w:cstheme="majorBidi"/>
          <w:sz w:val="24"/>
          <w:szCs w:val="24"/>
          <w:lang w:val="en-US"/>
        </w:rPr>
        <w:t xml:space="preserve"> </w:t>
      </w:r>
      <w:r w:rsidR="00CE5239" w:rsidRPr="00795222">
        <w:rPr>
          <w:rFonts w:asciiTheme="majorBidi" w:hAnsiTheme="majorBidi" w:cstheme="majorBidi"/>
          <w:sz w:val="24"/>
          <w:szCs w:val="24"/>
          <w:lang w:val="en-US"/>
        </w:rPr>
        <w:t>the composition of the surfactant mixture</w:t>
      </w:r>
      <w:r w:rsidR="00285143" w:rsidRPr="00795222">
        <w:rPr>
          <w:rFonts w:asciiTheme="majorBidi" w:hAnsiTheme="majorBidi" w:cstheme="majorBidi"/>
          <w:sz w:val="24"/>
          <w:szCs w:val="24"/>
          <w:lang w:val="en-US"/>
        </w:rPr>
        <w:t xml:space="preserve"> and </w:t>
      </w:r>
      <w:r w:rsidR="00C51466" w:rsidRPr="00795222">
        <w:rPr>
          <w:rFonts w:asciiTheme="majorBidi" w:hAnsiTheme="majorBidi" w:cstheme="majorBidi"/>
          <w:sz w:val="24"/>
          <w:szCs w:val="24"/>
          <w:lang w:val="en-US"/>
        </w:rPr>
        <w:t xml:space="preserve">the </w:t>
      </w:r>
      <w:r w:rsidR="00CE5239" w:rsidRPr="00795222">
        <w:rPr>
          <w:rFonts w:asciiTheme="majorBidi" w:hAnsiTheme="majorBidi" w:cstheme="majorBidi"/>
          <w:sz w:val="24"/>
          <w:szCs w:val="24"/>
          <w:lang w:val="en-US"/>
        </w:rPr>
        <w:t>colloidal stability</w:t>
      </w:r>
      <w:r w:rsidR="00EB6E4C" w:rsidRPr="00795222">
        <w:rPr>
          <w:rFonts w:asciiTheme="majorBidi" w:hAnsiTheme="majorBidi" w:cstheme="majorBidi"/>
          <w:sz w:val="24"/>
          <w:szCs w:val="24"/>
          <w:lang w:val="en-US"/>
        </w:rPr>
        <w:t xml:space="preserve"> were investigated</w:t>
      </w:r>
      <w:r w:rsidR="009D293E" w:rsidRPr="00795222">
        <w:rPr>
          <w:rFonts w:asciiTheme="majorBidi" w:hAnsiTheme="majorBidi" w:cstheme="majorBidi"/>
          <w:sz w:val="24"/>
          <w:szCs w:val="24"/>
          <w:lang w:val="en-US"/>
        </w:rPr>
        <w:t xml:space="preserve"> and the drug </w:t>
      </w:r>
      <w:r w:rsidR="00743BEB" w:rsidRPr="00795222">
        <w:rPr>
          <w:rFonts w:asciiTheme="majorBidi" w:hAnsiTheme="majorBidi" w:cstheme="majorBidi"/>
          <w:sz w:val="24"/>
          <w:szCs w:val="24"/>
          <w:lang w:val="en-US"/>
        </w:rPr>
        <w:t>delivery</w:t>
      </w:r>
      <w:r w:rsidR="009D293E" w:rsidRPr="00795222">
        <w:rPr>
          <w:rFonts w:asciiTheme="majorBidi" w:hAnsiTheme="majorBidi" w:cstheme="majorBidi"/>
          <w:sz w:val="24"/>
          <w:szCs w:val="24"/>
          <w:lang w:val="en-US"/>
        </w:rPr>
        <w:t xml:space="preserve"> </w:t>
      </w:r>
      <w:r w:rsidR="0051529C" w:rsidRPr="00795222">
        <w:rPr>
          <w:rFonts w:asciiTheme="majorBidi" w:hAnsiTheme="majorBidi" w:cstheme="majorBidi"/>
          <w:sz w:val="24"/>
          <w:szCs w:val="24"/>
          <w:lang w:val="en-US"/>
        </w:rPr>
        <w:t>behavior</w:t>
      </w:r>
      <w:r w:rsidR="009D293E" w:rsidRPr="00795222">
        <w:rPr>
          <w:rFonts w:asciiTheme="majorBidi" w:hAnsiTheme="majorBidi" w:cstheme="majorBidi"/>
          <w:sz w:val="24"/>
          <w:szCs w:val="24"/>
          <w:lang w:val="en-US"/>
        </w:rPr>
        <w:t xml:space="preserve"> in a</w:t>
      </w:r>
      <w:r w:rsidR="00C51466" w:rsidRPr="00795222">
        <w:rPr>
          <w:rFonts w:asciiTheme="majorBidi" w:hAnsiTheme="majorBidi" w:cstheme="majorBidi"/>
          <w:sz w:val="24"/>
          <w:szCs w:val="24"/>
          <w:lang w:val="en-US"/>
        </w:rPr>
        <w:t>n in vitro intestinal triple culture</w:t>
      </w:r>
      <w:r w:rsidR="009D293E" w:rsidRPr="00795222">
        <w:rPr>
          <w:rFonts w:asciiTheme="majorBidi" w:hAnsiTheme="majorBidi" w:cstheme="majorBidi"/>
          <w:sz w:val="24"/>
          <w:szCs w:val="24"/>
          <w:lang w:val="en-US"/>
        </w:rPr>
        <w:t xml:space="preserve"> model for intestinal permeability</w:t>
      </w:r>
      <w:r w:rsidR="009937ED" w:rsidRPr="00795222">
        <w:rPr>
          <w:rFonts w:asciiTheme="majorBidi" w:hAnsiTheme="majorBidi" w:cstheme="majorBidi"/>
          <w:sz w:val="24"/>
          <w:szCs w:val="24"/>
          <w:lang w:val="en-US"/>
        </w:rPr>
        <w:t xml:space="preserve"> </w:t>
      </w:r>
      <w:r w:rsidR="00743BEB" w:rsidRPr="00795222">
        <w:rPr>
          <w:rFonts w:asciiTheme="majorBidi" w:hAnsiTheme="majorBidi" w:cstheme="majorBidi"/>
          <w:sz w:val="24"/>
          <w:szCs w:val="24"/>
          <w:lang w:val="en-US"/>
        </w:rPr>
        <w:t>w</w:t>
      </w:r>
      <w:r w:rsidR="00EB6E4C" w:rsidRPr="00795222">
        <w:rPr>
          <w:rFonts w:asciiTheme="majorBidi" w:hAnsiTheme="majorBidi" w:cstheme="majorBidi"/>
          <w:sz w:val="24"/>
          <w:szCs w:val="24"/>
          <w:lang w:val="en-US"/>
        </w:rPr>
        <w:t>as</w:t>
      </w:r>
      <w:r w:rsidR="009937ED" w:rsidRPr="00795222">
        <w:rPr>
          <w:rFonts w:asciiTheme="majorBidi" w:hAnsiTheme="majorBidi" w:cstheme="majorBidi"/>
          <w:sz w:val="24"/>
          <w:szCs w:val="24"/>
          <w:lang w:val="en-US"/>
        </w:rPr>
        <w:t xml:space="preserve"> assessed</w:t>
      </w:r>
      <w:r w:rsidR="00353F94" w:rsidRPr="00795222">
        <w:rPr>
          <w:rFonts w:asciiTheme="majorBidi" w:hAnsiTheme="majorBidi" w:cstheme="majorBidi"/>
          <w:sz w:val="24"/>
          <w:szCs w:val="24"/>
          <w:lang w:val="en-US"/>
        </w:rPr>
        <w:t xml:space="preserve">. </w:t>
      </w:r>
    </w:p>
    <w:p w14:paraId="72AEA867" w14:textId="77777777" w:rsidR="009605C5" w:rsidRPr="00795222" w:rsidRDefault="009605C5" w:rsidP="00657F6C">
      <w:pPr>
        <w:spacing w:line="360" w:lineRule="auto"/>
        <w:jc w:val="both"/>
        <w:rPr>
          <w:rFonts w:asciiTheme="majorBidi" w:hAnsiTheme="majorBidi" w:cstheme="majorBidi"/>
          <w:sz w:val="24"/>
          <w:szCs w:val="24"/>
          <w:lang w:val="en-US"/>
        </w:rPr>
      </w:pPr>
    </w:p>
    <w:p w14:paraId="6DE5DB23" w14:textId="3EC27124" w:rsidR="005F6F44" w:rsidRPr="00795222" w:rsidRDefault="007B04D3" w:rsidP="00657F6C">
      <w:pPr>
        <w:spacing w:line="360" w:lineRule="auto"/>
        <w:jc w:val="both"/>
        <w:rPr>
          <w:rFonts w:asciiTheme="majorBidi" w:hAnsiTheme="majorBidi" w:cstheme="majorBidi"/>
          <w:b/>
          <w:sz w:val="24"/>
          <w:szCs w:val="24"/>
          <w:lang w:val="en-US"/>
        </w:rPr>
      </w:pPr>
      <w:r w:rsidRPr="00795222">
        <w:rPr>
          <w:rFonts w:asciiTheme="majorBidi" w:hAnsiTheme="majorBidi" w:cstheme="majorBidi"/>
          <w:b/>
          <w:sz w:val="24"/>
          <w:szCs w:val="24"/>
          <w:lang w:val="en-US"/>
        </w:rPr>
        <w:t>FIGURE 1</w:t>
      </w:r>
    </w:p>
    <w:p w14:paraId="447B5A74" w14:textId="77777777" w:rsidR="009605C5" w:rsidRPr="00795222" w:rsidRDefault="009605C5" w:rsidP="00657F6C">
      <w:pPr>
        <w:spacing w:line="360" w:lineRule="auto"/>
        <w:jc w:val="both"/>
        <w:rPr>
          <w:rFonts w:asciiTheme="majorBidi" w:hAnsiTheme="majorBidi" w:cstheme="majorBidi"/>
          <w:sz w:val="24"/>
          <w:szCs w:val="24"/>
          <w:lang w:val="en-US"/>
        </w:rPr>
      </w:pPr>
    </w:p>
    <w:p w14:paraId="3A6E9CFE" w14:textId="77777777" w:rsidR="001F701C" w:rsidRPr="00795222" w:rsidRDefault="001F701C" w:rsidP="00657F6C">
      <w:pPr>
        <w:pStyle w:val="Heading1"/>
        <w:jc w:val="both"/>
      </w:pPr>
      <w:r w:rsidRPr="00795222">
        <w:t>Materials and Methodology </w:t>
      </w:r>
    </w:p>
    <w:p w14:paraId="40899789" w14:textId="77777777" w:rsidR="001F701C" w:rsidRPr="00795222" w:rsidRDefault="001F701C" w:rsidP="00657F6C">
      <w:pPr>
        <w:pStyle w:val="Heading2"/>
        <w:spacing w:line="360" w:lineRule="auto"/>
        <w:jc w:val="both"/>
        <w:rPr>
          <w:rFonts w:asciiTheme="majorBidi" w:hAnsiTheme="majorBidi"/>
          <w:szCs w:val="24"/>
          <w:lang w:val="en-US"/>
        </w:rPr>
      </w:pPr>
      <w:r w:rsidRPr="00795222">
        <w:rPr>
          <w:rFonts w:asciiTheme="majorBidi" w:hAnsiTheme="majorBidi"/>
          <w:szCs w:val="24"/>
          <w:lang w:val="en-US"/>
        </w:rPr>
        <w:t>Materials  </w:t>
      </w:r>
    </w:p>
    <w:p w14:paraId="3250AE70" w14:textId="453B4D2F" w:rsidR="004B7976" w:rsidRPr="00795222" w:rsidRDefault="001F701C" w:rsidP="00657F6C">
      <w:p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lang w:val="en-US"/>
        </w:rPr>
        <w:t>HPLC grade acetone (Fischer Scientific), ethanol (EtOH, Fisher Scientific), 90</w:t>
      </w:r>
      <w:r w:rsidR="0078183D"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t xml:space="preserve">% </w:t>
      </w:r>
      <w:r w:rsidR="00D15ED9" w:rsidRPr="00795222">
        <w:rPr>
          <w:rFonts w:asciiTheme="majorBidi" w:hAnsiTheme="majorBidi" w:cstheme="majorBidi"/>
          <w:sz w:val="24"/>
          <w:szCs w:val="24"/>
          <w:lang w:val="en-US"/>
        </w:rPr>
        <w:t>SBL</w:t>
      </w:r>
      <w:r w:rsidRPr="00795222">
        <w:rPr>
          <w:rFonts w:asciiTheme="majorBidi" w:hAnsiTheme="majorBidi" w:cstheme="majorBidi"/>
          <w:sz w:val="24"/>
          <w:szCs w:val="24"/>
          <w:lang w:val="en-US"/>
        </w:rPr>
        <w:t xml:space="preserve"> (Alfa </w:t>
      </w:r>
      <w:proofErr w:type="spellStart"/>
      <w:r w:rsidRPr="00795222">
        <w:rPr>
          <w:rFonts w:asciiTheme="majorBidi" w:hAnsiTheme="majorBidi" w:cstheme="majorBidi"/>
          <w:sz w:val="24"/>
          <w:szCs w:val="24"/>
          <w:lang w:val="en-US"/>
        </w:rPr>
        <w:t>Aesar</w:t>
      </w:r>
      <w:proofErr w:type="spellEnd"/>
      <w:r w:rsidRPr="00795222">
        <w:rPr>
          <w:rFonts w:asciiTheme="majorBidi" w:hAnsiTheme="majorBidi" w:cstheme="majorBidi"/>
          <w:sz w:val="24"/>
          <w:szCs w:val="24"/>
          <w:lang w:val="en-US"/>
        </w:rPr>
        <w:t>), DRV</w:t>
      </w:r>
      <w:r w:rsidR="00D15ED9" w:rsidRPr="00795222">
        <w:rPr>
          <w:rFonts w:asciiTheme="majorBidi" w:hAnsiTheme="majorBidi" w:cstheme="majorBidi"/>
          <w:sz w:val="24"/>
          <w:szCs w:val="24"/>
          <w:lang w:val="en-US"/>
        </w:rPr>
        <w:t xml:space="preserve">, RTV, PEG (Mn </w:t>
      </w:r>
      <w:r w:rsidRPr="00795222">
        <w:rPr>
          <w:rFonts w:asciiTheme="majorBidi" w:hAnsiTheme="majorBidi" w:cstheme="majorBidi"/>
          <w:sz w:val="24"/>
          <w:szCs w:val="24"/>
          <w:lang w:val="en-US"/>
        </w:rPr>
        <w:t>2050</w:t>
      </w:r>
      <w:r w:rsidR="00C51466" w:rsidRPr="00795222">
        <w:rPr>
          <w:rFonts w:asciiTheme="majorBidi" w:hAnsiTheme="majorBidi" w:cstheme="majorBidi"/>
          <w:sz w:val="24"/>
          <w:szCs w:val="24"/>
          <w:lang w:val="en-US"/>
        </w:rPr>
        <w:t xml:space="preserve"> g mol</w:t>
      </w:r>
      <w:r w:rsidR="00C51466" w:rsidRPr="00795222">
        <w:rPr>
          <w:rFonts w:asciiTheme="majorBidi" w:hAnsiTheme="majorBidi" w:cstheme="majorBidi"/>
          <w:sz w:val="24"/>
          <w:szCs w:val="24"/>
          <w:vertAlign w:val="superscript"/>
          <w:lang w:val="en-US"/>
        </w:rPr>
        <w:t>-1</w:t>
      </w:r>
      <w:r w:rsidR="00D15ED9" w:rsidRPr="00795222">
        <w:rPr>
          <w:rFonts w:asciiTheme="majorBidi" w:hAnsiTheme="majorBidi" w:cstheme="majorBidi"/>
          <w:sz w:val="24"/>
          <w:szCs w:val="24"/>
          <w:lang w:val="en-US"/>
        </w:rPr>
        <w:t>)</w:t>
      </w:r>
      <w:r w:rsidR="00F66152" w:rsidRPr="00795222">
        <w:rPr>
          <w:rFonts w:asciiTheme="majorBidi" w:hAnsiTheme="majorBidi" w:cstheme="majorBidi"/>
          <w:sz w:val="24"/>
          <w:szCs w:val="24"/>
          <w:lang w:val="en-US"/>
        </w:rPr>
        <w:t>,</w:t>
      </w:r>
      <w:r w:rsidR="00C51466" w:rsidRPr="00795222">
        <w:rPr>
          <w:rFonts w:asciiTheme="majorBidi" w:hAnsiTheme="majorBidi" w:cstheme="majorBidi"/>
          <w:sz w:val="24"/>
          <w:szCs w:val="24"/>
          <w:lang w:val="en-US"/>
        </w:rPr>
        <w:t xml:space="preserve"> </w:t>
      </w:r>
      <w:r w:rsidR="00D15ED9" w:rsidRPr="00795222">
        <w:rPr>
          <w:rFonts w:asciiTheme="majorBidi" w:hAnsiTheme="majorBidi" w:cstheme="majorBidi"/>
          <w:sz w:val="24"/>
          <w:szCs w:val="24"/>
          <w:lang w:val="en-US"/>
        </w:rPr>
        <w:t>B</w:t>
      </w:r>
      <w:r w:rsidR="00224B86" w:rsidRPr="00795222">
        <w:rPr>
          <w:rFonts w:asciiTheme="majorBidi" w:hAnsiTheme="majorBidi" w:cstheme="majorBidi"/>
          <w:sz w:val="24"/>
          <w:szCs w:val="24"/>
          <w:lang w:val="en-US"/>
        </w:rPr>
        <w:t>rij 78</w:t>
      </w:r>
      <w:r w:rsidR="0048632B" w:rsidRPr="00795222">
        <w:rPr>
          <w:rFonts w:asciiTheme="majorBidi" w:hAnsiTheme="majorBidi" w:cstheme="majorBidi"/>
          <w:sz w:val="24"/>
          <w:szCs w:val="24"/>
          <w:lang w:val="en-US"/>
        </w:rPr>
        <w:t>,</w:t>
      </w:r>
      <w:r w:rsidR="00F66152" w:rsidRPr="00795222">
        <w:rPr>
          <w:rFonts w:asciiTheme="majorBidi" w:hAnsiTheme="majorBidi" w:cstheme="majorBidi"/>
          <w:sz w:val="24"/>
          <w:szCs w:val="24"/>
          <w:lang w:val="en-US"/>
        </w:rPr>
        <w:t xml:space="preserve"> </w:t>
      </w:r>
      <w:proofErr w:type="spellStart"/>
      <w:r w:rsidR="0048632B" w:rsidRPr="00795222">
        <w:rPr>
          <w:rFonts w:asciiTheme="majorBidi" w:hAnsiTheme="majorBidi" w:cstheme="majorBidi"/>
          <w:sz w:val="24"/>
          <w:szCs w:val="24"/>
          <w:lang w:val="en-US"/>
        </w:rPr>
        <w:t>resomer</w:t>
      </w:r>
      <w:proofErr w:type="spellEnd"/>
      <w:r w:rsidR="0048632B" w:rsidRPr="00795222">
        <w:rPr>
          <w:rFonts w:asciiTheme="majorBidi" w:hAnsiTheme="majorBidi" w:cstheme="majorBidi"/>
          <w:sz w:val="24"/>
          <w:szCs w:val="24"/>
          <w:lang w:val="en-US"/>
        </w:rPr>
        <w:t xml:space="preserve">® RG 503 H, PLGA, </w:t>
      </w:r>
      <w:r w:rsidR="00D15ED9" w:rsidRPr="00795222">
        <w:rPr>
          <w:rFonts w:asciiTheme="majorBidi" w:hAnsiTheme="majorBidi" w:cstheme="majorBidi"/>
          <w:sz w:val="24"/>
          <w:szCs w:val="24"/>
          <w:lang w:val="en-US"/>
        </w:rPr>
        <w:t>and</w:t>
      </w:r>
      <w:r w:rsidR="0048632B" w:rsidRPr="00795222">
        <w:rPr>
          <w:rFonts w:asciiTheme="majorBidi" w:hAnsiTheme="majorBidi" w:cstheme="majorBidi"/>
          <w:sz w:val="24"/>
          <w:szCs w:val="24"/>
          <w:lang w:val="en-US"/>
        </w:rPr>
        <w:t xml:space="preserve"> </w:t>
      </w:r>
      <w:r w:rsidR="00A83992" w:rsidRPr="00795222">
        <w:rPr>
          <w:rFonts w:asciiTheme="majorBidi" w:hAnsiTheme="majorBidi" w:cstheme="majorBidi"/>
          <w:sz w:val="24"/>
          <w:szCs w:val="24"/>
          <w:lang w:val="en-US"/>
        </w:rPr>
        <w:t xml:space="preserve">PBS tablets, </w:t>
      </w:r>
      <w:r w:rsidR="00816F51" w:rsidRPr="00795222">
        <w:rPr>
          <w:rFonts w:asciiTheme="majorBidi" w:hAnsiTheme="majorBidi" w:cstheme="majorBidi"/>
          <w:sz w:val="24"/>
          <w:szCs w:val="24"/>
          <w:lang w:val="en-US"/>
        </w:rPr>
        <w:t>hydrochloric acid (HCl)</w:t>
      </w:r>
      <w:r w:rsidR="00BA3732" w:rsidRPr="00795222">
        <w:rPr>
          <w:rFonts w:asciiTheme="majorBidi" w:hAnsiTheme="majorBidi" w:cstheme="majorBidi"/>
          <w:sz w:val="24"/>
          <w:szCs w:val="24"/>
          <w:lang w:val="en-US"/>
        </w:rPr>
        <w:t xml:space="preserve">, </w:t>
      </w:r>
      <w:r w:rsidR="00044D30" w:rsidRPr="00795222">
        <w:rPr>
          <w:rFonts w:asciiTheme="majorBidi" w:hAnsiTheme="majorBidi" w:cstheme="majorBidi"/>
          <w:sz w:val="24"/>
          <w:szCs w:val="24"/>
          <w:lang w:val="en-US"/>
        </w:rPr>
        <w:t xml:space="preserve">sodium chloride (NaCl), </w:t>
      </w:r>
      <w:r w:rsidR="0048632B" w:rsidRPr="00795222">
        <w:rPr>
          <w:rFonts w:asciiTheme="majorBidi" w:hAnsiTheme="majorBidi" w:cstheme="majorBidi"/>
          <w:sz w:val="24"/>
          <w:szCs w:val="24"/>
          <w:lang w:val="en-US"/>
        </w:rPr>
        <w:t xml:space="preserve">dimethyl sulfoxide (DMSO), hydrogen peroxide, (4-(2-hydroxyethyl)-1-piperazineethanesulfonic acid (HEPES), bovine serum albumin (BSA), Hank’s balanced salt solution (HBSS), Dulbecco’s Modified Eagle’s Medium (DMEM), RPMI and trypsin-EDTA were all purchased from </w:t>
      </w:r>
      <w:r w:rsidR="00A83992" w:rsidRPr="00795222">
        <w:rPr>
          <w:rFonts w:asciiTheme="majorBidi" w:hAnsiTheme="majorBidi" w:cstheme="majorBidi"/>
          <w:sz w:val="24"/>
          <w:szCs w:val="24"/>
          <w:lang w:val="en-US"/>
        </w:rPr>
        <w:t>Sigma-Aldrich</w:t>
      </w:r>
      <w:r w:rsidR="0048632B" w:rsidRPr="00795222">
        <w:rPr>
          <w:rFonts w:asciiTheme="majorBidi" w:hAnsiTheme="majorBidi" w:cstheme="majorBidi"/>
          <w:sz w:val="24"/>
          <w:szCs w:val="24"/>
          <w:lang w:val="en-US"/>
        </w:rPr>
        <w:t>.</w:t>
      </w:r>
      <w:r w:rsidR="00F66152" w:rsidRPr="00795222">
        <w:rPr>
          <w:rFonts w:asciiTheme="majorBidi" w:hAnsiTheme="majorBidi" w:cstheme="majorBidi"/>
          <w:sz w:val="24"/>
          <w:szCs w:val="24"/>
          <w:lang w:val="en-US"/>
        </w:rPr>
        <w:t xml:space="preserve"> </w:t>
      </w:r>
      <w:proofErr w:type="spellStart"/>
      <w:r w:rsidR="00F66152" w:rsidRPr="00795222">
        <w:rPr>
          <w:rFonts w:asciiTheme="majorBidi" w:hAnsiTheme="majorBidi" w:cstheme="majorBidi"/>
          <w:sz w:val="24"/>
          <w:szCs w:val="24"/>
          <w:lang w:val="en-US"/>
        </w:rPr>
        <w:t>Amicon</w:t>
      </w:r>
      <w:proofErr w:type="spellEnd"/>
      <w:r w:rsidR="00F66152" w:rsidRPr="00795222">
        <w:rPr>
          <w:rFonts w:asciiTheme="majorBidi" w:hAnsiTheme="majorBidi" w:cstheme="majorBidi"/>
          <w:sz w:val="24"/>
          <w:szCs w:val="24"/>
          <w:lang w:val="en-US"/>
        </w:rPr>
        <w:t xml:space="preserve"> Ultra-0.5 Centrifugal Filter Unit</w:t>
      </w:r>
      <w:r w:rsidR="00A83992" w:rsidRPr="00795222">
        <w:rPr>
          <w:rFonts w:asciiTheme="majorBidi" w:hAnsiTheme="majorBidi" w:cstheme="majorBidi"/>
          <w:sz w:val="24"/>
          <w:szCs w:val="24"/>
          <w:lang w:val="en-US"/>
        </w:rPr>
        <w:t xml:space="preserve"> (Merck).</w:t>
      </w:r>
      <w:r w:rsidR="004610DB" w:rsidRPr="00795222">
        <w:rPr>
          <w:rFonts w:asciiTheme="majorBidi" w:hAnsiTheme="majorBidi" w:cstheme="majorBidi"/>
          <w:sz w:val="24"/>
          <w:szCs w:val="24"/>
          <w:lang w:val="en-US"/>
        </w:rPr>
        <w:t xml:space="preserve"> </w:t>
      </w:r>
      <w:r w:rsidR="003D7436" w:rsidRPr="00795222">
        <w:rPr>
          <w:rFonts w:asciiTheme="majorBidi" w:hAnsiTheme="majorBidi" w:cstheme="majorBidi"/>
          <w:sz w:val="24"/>
          <w:szCs w:val="24"/>
          <w:lang w:val="en-US"/>
        </w:rPr>
        <w:t xml:space="preserve">Caco-2 and HT-29-MTX cells were maintained in DMEM supplemented with 15 % fetal bovine serum (FBS) (Gibco, UK), 2 mM L-glutamine and 1 % non-essential amino acids (Sigma, UK). Raji B cells were maintained in RPMI supplemented with 10 % FBS, 2 mM L-glutamine and 1 % non-essential amino acids (Sigma, UK). </w:t>
      </w:r>
      <w:r w:rsidR="0046478E" w:rsidRPr="00795222">
        <w:rPr>
          <w:rFonts w:asciiTheme="majorBidi" w:hAnsiTheme="majorBidi" w:cstheme="majorBidi"/>
          <w:sz w:val="24"/>
          <w:szCs w:val="24"/>
          <w:lang w:val="en-US"/>
        </w:rPr>
        <w:t>[</w:t>
      </w:r>
      <w:r w:rsidR="0046478E" w:rsidRPr="00795222">
        <w:rPr>
          <w:rFonts w:asciiTheme="majorBidi" w:hAnsiTheme="majorBidi" w:cstheme="majorBidi"/>
          <w:sz w:val="24"/>
          <w:szCs w:val="24"/>
          <w:vertAlign w:val="superscript"/>
          <w:lang w:val="en-US"/>
        </w:rPr>
        <w:t>3</w:t>
      </w:r>
      <w:r w:rsidR="0046478E" w:rsidRPr="00795222">
        <w:rPr>
          <w:rFonts w:asciiTheme="majorBidi" w:hAnsiTheme="majorBidi" w:cstheme="majorBidi"/>
          <w:sz w:val="24"/>
          <w:szCs w:val="24"/>
          <w:lang w:val="en-US"/>
        </w:rPr>
        <w:t xml:space="preserve">H]-DRV </w:t>
      </w:r>
      <w:r w:rsidR="004610DB" w:rsidRPr="00795222">
        <w:rPr>
          <w:rFonts w:asciiTheme="majorBidi" w:hAnsiTheme="majorBidi" w:cstheme="majorBidi"/>
          <w:sz w:val="24"/>
          <w:szCs w:val="24"/>
          <w:lang w:val="en-US"/>
        </w:rPr>
        <w:t xml:space="preserve">was purchased from </w:t>
      </w:r>
      <w:r w:rsidR="00B159D0" w:rsidRPr="00795222">
        <w:rPr>
          <w:rFonts w:asciiTheme="majorBidi" w:hAnsiTheme="majorBidi" w:cstheme="majorBidi"/>
          <w:sz w:val="24"/>
          <w:szCs w:val="24"/>
          <w:lang w:val="en-US"/>
        </w:rPr>
        <w:t xml:space="preserve">RC </w:t>
      </w:r>
      <w:proofErr w:type="spellStart"/>
      <w:r w:rsidR="00B159D0" w:rsidRPr="00795222">
        <w:rPr>
          <w:rFonts w:asciiTheme="majorBidi" w:hAnsiTheme="majorBidi" w:cstheme="majorBidi"/>
          <w:sz w:val="24"/>
          <w:szCs w:val="24"/>
          <w:lang w:val="en-US"/>
        </w:rPr>
        <w:t>Tritec</w:t>
      </w:r>
      <w:proofErr w:type="spellEnd"/>
      <w:r w:rsidR="004610DB" w:rsidRPr="00795222">
        <w:rPr>
          <w:rFonts w:asciiTheme="majorBidi" w:hAnsiTheme="majorBidi" w:cstheme="majorBidi"/>
          <w:sz w:val="24"/>
          <w:szCs w:val="24"/>
          <w:lang w:val="en-US"/>
        </w:rPr>
        <w:t xml:space="preserve"> and [</w:t>
      </w:r>
      <w:r w:rsidR="004610DB" w:rsidRPr="00795222">
        <w:rPr>
          <w:rFonts w:asciiTheme="majorBidi" w:hAnsiTheme="majorBidi" w:cstheme="majorBidi"/>
          <w:sz w:val="24"/>
          <w:szCs w:val="24"/>
          <w:vertAlign w:val="superscript"/>
          <w:lang w:val="en-US"/>
        </w:rPr>
        <w:t>14</w:t>
      </w:r>
      <w:r w:rsidR="004610DB" w:rsidRPr="00795222">
        <w:rPr>
          <w:rFonts w:asciiTheme="majorBidi" w:hAnsiTheme="majorBidi" w:cstheme="majorBidi"/>
          <w:sz w:val="24"/>
          <w:szCs w:val="24"/>
          <w:lang w:val="en-US"/>
        </w:rPr>
        <w:t xml:space="preserve">C]-mannitol was purchased from American Radiolabeled Chemicals (US). Ultima Gold </w:t>
      </w:r>
      <w:r w:rsidR="0048632B" w:rsidRPr="00795222">
        <w:rPr>
          <w:rFonts w:asciiTheme="majorBidi" w:hAnsiTheme="majorBidi" w:cstheme="majorBidi"/>
          <w:sz w:val="24"/>
          <w:szCs w:val="24"/>
          <w:lang w:val="en-US"/>
        </w:rPr>
        <w:t xml:space="preserve">and </w:t>
      </w:r>
      <w:proofErr w:type="spellStart"/>
      <w:r w:rsidR="0048632B" w:rsidRPr="00795222">
        <w:rPr>
          <w:rFonts w:asciiTheme="majorBidi" w:hAnsiTheme="majorBidi" w:cstheme="majorBidi"/>
          <w:sz w:val="24"/>
          <w:szCs w:val="24"/>
          <w:lang w:val="en-US"/>
        </w:rPr>
        <w:t>ProSafe</w:t>
      </w:r>
      <w:proofErr w:type="spellEnd"/>
      <w:r w:rsidR="0048632B" w:rsidRPr="00795222">
        <w:rPr>
          <w:rFonts w:asciiTheme="majorBidi" w:hAnsiTheme="majorBidi" w:cstheme="majorBidi"/>
          <w:sz w:val="24"/>
          <w:szCs w:val="24"/>
          <w:lang w:val="en-US"/>
        </w:rPr>
        <w:t xml:space="preserve">+ </w:t>
      </w:r>
      <w:r w:rsidR="004610DB" w:rsidRPr="00795222">
        <w:rPr>
          <w:rFonts w:asciiTheme="majorBidi" w:hAnsiTheme="majorBidi" w:cstheme="majorBidi"/>
          <w:sz w:val="24"/>
          <w:szCs w:val="24"/>
          <w:lang w:val="en-US"/>
        </w:rPr>
        <w:t xml:space="preserve">liquid scintillation fluid was purchased from Meridian biotechnologies (UK). </w:t>
      </w:r>
      <w:proofErr w:type="spellStart"/>
      <w:r w:rsidR="004610DB" w:rsidRPr="00795222">
        <w:rPr>
          <w:rFonts w:asciiTheme="majorBidi" w:hAnsiTheme="majorBidi" w:cstheme="majorBidi"/>
          <w:sz w:val="24"/>
          <w:szCs w:val="24"/>
          <w:lang w:val="en-US"/>
        </w:rPr>
        <w:t>Transwells</w:t>
      </w:r>
      <w:proofErr w:type="spellEnd"/>
      <w:r w:rsidR="004610DB" w:rsidRPr="00795222">
        <w:rPr>
          <w:rFonts w:asciiTheme="majorBidi" w:hAnsiTheme="majorBidi" w:cstheme="majorBidi"/>
          <w:sz w:val="24"/>
          <w:szCs w:val="24"/>
          <w:lang w:val="en-US"/>
        </w:rPr>
        <w:t xml:space="preserve"> with a 3 µM pore size were purchased from Corning (US). Caco-2, HT-29-MTX and Raji B cells were purchased from American Type Culture Collection (US).</w:t>
      </w:r>
      <w:r w:rsidR="00A52CB1" w:rsidRPr="00795222">
        <w:rPr>
          <w:rFonts w:asciiTheme="majorBidi" w:hAnsiTheme="majorBidi" w:cstheme="majorBidi"/>
          <w:sz w:val="24"/>
          <w:szCs w:val="24"/>
          <w:lang w:val="en-US"/>
        </w:rPr>
        <w:t xml:space="preserve"> All reagents were used without further purification.</w:t>
      </w:r>
    </w:p>
    <w:p w14:paraId="558BAE91" w14:textId="77777777" w:rsidR="001F701C" w:rsidRPr="00795222" w:rsidRDefault="001F701C" w:rsidP="00657F6C">
      <w:pPr>
        <w:pStyle w:val="Heading2"/>
        <w:spacing w:line="360" w:lineRule="auto"/>
        <w:jc w:val="both"/>
        <w:rPr>
          <w:rFonts w:asciiTheme="majorBidi" w:hAnsiTheme="majorBidi"/>
          <w:szCs w:val="24"/>
          <w:lang w:val="en-US"/>
        </w:rPr>
      </w:pPr>
      <w:r w:rsidRPr="00795222">
        <w:rPr>
          <w:rFonts w:asciiTheme="majorBidi" w:hAnsiTheme="majorBidi"/>
          <w:szCs w:val="24"/>
          <w:lang w:val="en-US"/>
        </w:rPr>
        <w:t>Methodology </w:t>
      </w:r>
    </w:p>
    <w:p w14:paraId="2DD123B0" w14:textId="1382D3A9" w:rsidR="00DC0CA4" w:rsidRPr="00795222" w:rsidRDefault="001F701C" w:rsidP="00657F6C">
      <w:pPr>
        <w:pStyle w:val="Heading3"/>
        <w:spacing w:line="360" w:lineRule="auto"/>
        <w:jc w:val="both"/>
        <w:rPr>
          <w:rFonts w:asciiTheme="majorBidi" w:hAnsiTheme="majorBidi"/>
          <w:lang w:val="en-US"/>
        </w:rPr>
      </w:pPr>
      <w:r w:rsidRPr="00795222">
        <w:rPr>
          <w:rFonts w:asciiTheme="majorBidi" w:hAnsiTheme="majorBidi"/>
          <w:lang w:val="en-US"/>
        </w:rPr>
        <w:t>Synthesis of LPHNs </w:t>
      </w:r>
    </w:p>
    <w:p w14:paraId="394DC3AB" w14:textId="2CC8B1B8" w:rsidR="00BB5EB3" w:rsidRPr="00795222" w:rsidRDefault="001F701C" w:rsidP="00657F6C">
      <w:p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lang w:val="en-US"/>
        </w:rPr>
        <w:t xml:space="preserve">LPHNs were prepared by </w:t>
      </w:r>
      <w:r w:rsidR="00C64DB9" w:rsidRPr="00795222">
        <w:rPr>
          <w:rFonts w:asciiTheme="majorBidi" w:hAnsiTheme="majorBidi" w:cstheme="majorBidi"/>
          <w:sz w:val="24"/>
          <w:szCs w:val="24"/>
          <w:lang w:val="en-US"/>
        </w:rPr>
        <w:t xml:space="preserve">a </w:t>
      </w:r>
      <w:r w:rsidR="00B9650C" w:rsidRPr="00795222">
        <w:rPr>
          <w:rFonts w:asciiTheme="majorBidi" w:hAnsiTheme="majorBidi" w:cstheme="majorBidi"/>
          <w:sz w:val="24"/>
          <w:szCs w:val="24"/>
          <w:lang w:val="en-US"/>
        </w:rPr>
        <w:t>one-step</w:t>
      </w:r>
      <w:r w:rsidRPr="00795222">
        <w:rPr>
          <w:rFonts w:asciiTheme="majorBidi" w:hAnsiTheme="majorBidi" w:cstheme="majorBidi"/>
          <w:sz w:val="24"/>
          <w:szCs w:val="24"/>
          <w:lang w:val="en-US"/>
        </w:rPr>
        <w:t xml:space="preserve"> </w:t>
      </w:r>
      <w:r w:rsidR="0073089B" w:rsidRPr="00795222">
        <w:rPr>
          <w:rFonts w:asciiTheme="majorBidi" w:hAnsiTheme="majorBidi" w:cstheme="majorBidi"/>
          <w:sz w:val="24"/>
          <w:szCs w:val="24"/>
          <w:lang w:val="en-US"/>
        </w:rPr>
        <w:t>optimized</w:t>
      </w:r>
      <w:r w:rsidR="00E206FA"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t>nanoprecipitation method</w:t>
      </w:r>
      <w:r w:rsidR="00C64DB9" w:rsidRPr="00795222">
        <w:rPr>
          <w:rFonts w:asciiTheme="majorBidi" w:hAnsiTheme="majorBidi" w:cstheme="majorBidi"/>
          <w:sz w:val="24"/>
          <w:szCs w:val="24"/>
          <w:lang w:val="en-US"/>
        </w:rPr>
        <w:t xml:space="preserve"> </w:t>
      </w:r>
      <w:r w:rsidR="00291E77" w:rsidRPr="00795222">
        <w:rPr>
          <w:rFonts w:asciiTheme="majorBidi" w:hAnsiTheme="majorBidi" w:cstheme="majorBidi"/>
          <w:sz w:val="24"/>
          <w:szCs w:val="24"/>
          <w:lang w:val="en-US"/>
        </w:rPr>
        <w:t>(</w:t>
      </w:r>
      <w:r w:rsidR="00C64DB9" w:rsidRPr="00795222">
        <w:rPr>
          <w:rFonts w:asciiTheme="majorBidi" w:hAnsiTheme="majorBidi" w:cstheme="majorBidi"/>
          <w:sz w:val="24"/>
          <w:szCs w:val="24"/>
          <w:lang w:val="en-US"/>
        </w:rPr>
        <w:t>Figure 1</w:t>
      </w:r>
      <w:r w:rsidR="00291E77" w:rsidRPr="00795222">
        <w:rPr>
          <w:rFonts w:asciiTheme="majorBidi" w:hAnsiTheme="majorBidi" w:cstheme="majorBidi"/>
          <w:sz w:val="24"/>
          <w:szCs w:val="24"/>
          <w:lang w:val="en-US"/>
        </w:rPr>
        <w:t>)</w:t>
      </w:r>
      <w:r w:rsidR="00495C9D" w:rsidRPr="00795222">
        <w:rPr>
          <w:rFonts w:asciiTheme="majorBidi" w:hAnsiTheme="majorBidi" w:cstheme="majorBidi"/>
          <w:sz w:val="24"/>
          <w:szCs w:val="24"/>
          <w:lang w:val="en-US"/>
        </w:rPr>
        <w:t xml:space="preserve">, </w:t>
      </w:r>
      <w:r w:rsidR="00495C9D" w:rsidRPr="00795222">
        <w:rPr>
          <w:rFonts w:asciiTheme="majorBidi" w:hAnsiTheme="majorBidi" w:cstheme="majorBidi"/>
          <w:sz w:val="24"/>
          <w:szCs w:val="24"/>
        </w:rPr>
        <w:t>where the formation of the polymeric cores and the assembly of the lipid around them happen</w:t>
      </w:r>
      <w:r w:rsidR="00E82BD4" w:rsidRPr="00795222">
        <w:rPr>
          <w:rFonts w:asciiTheme="majorBidi" w:hAnsiTheme="majorBidi" w:cstheme="majorBidi"/>
          <w:sz w:val="24"/>
          <w:szCs w:val="24"/>
        </w:rPr>
        <w:t>s</w:t>
      </w:r>
      <w:r w:rsidR="00495C9D" w:rsidRPr="00795222">
        <w:rPr>
          <w:rFonts w:asciiTheme="majorBidi" w:hAnsiTheme="majorBidi" w:cstheme="majorBidi"/>
          <w:sz w:val="24"/>
          <w:szCs w:val="24"/>
        </w:rPr>
        <w:t xml:space="preserve"> simultaneously.</w:t>
      </w:r>
      <w:r w:rsidR="00B13CC9"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t xml:space="preserve">The procedure used in this study was based on the </w:t>
      </w:r>
      <w:r w:rsidR="00C81D79" w:rsidRPr="00795222">
        <w:rPr>
          <w:rFonts w:asciiTheme="majorBidi" w:hAnsiTheme="majorBidi" w:cstheme="majorBidi"/>
          <w:sz w:val="24"/>
          <w:szCs w:val="24"/>
          <w:lang w:val="en-US"/>
        </w:rPr>
        <w:t xml:space="preserve">modified </w:t>
      </w:r>
      <w:r w:rsidR="00224340" w:rsidRPr="00795222">
        <w:rPr>
          <w:rFonts w:asciiTheme="majorBidi" w:hAnsiTheme="majorBidi" w:cstheme="majorBidi"/>
          <w:sz w:val="24"/>
          <w:szCs w:val="24"/>
          <w:lang w:val="en-US"/>
        </w:rPr>
        <w:t xml:space="preserve">nanoprecipitation </w:t>
      </w:r>
      <w:r w:rsidRPr="00795222">
        <w:rPr>
          <w:rFonts w:asciiTheme="majorBidi" w:hAnsiTheme="majorBidi" w:cstheme="majorBidi"/>
          <w:sz w:val="24"/>
          <w:szCs w:val="24"/>
          <w:lang w:val="en-US"/>
        </w:rPr>
        <w:t xml:space="preserve">method reported by H. Fang </w:t>
      </w:r>
      <w:r w:rsidRPr="00795222">
        <w:rPr>
          <w:rFonts w:asciiTheme="majorBidi" w:hAnsiTheme="majorBidi" w:cstheme="majorBidi"/>
          <w:i/>
          <w:iCs/>
          <w:sz w:val="24"/>
          <w:szCs w:val="24"/>
          <w:lang w:val="en-US"/>
        </w:rPr>
        <w:t>et al</w:t>
      </w:r>
      <w:r w:rsidRPr="00795222">
        <w:rPr>
          <w:rFonts w:asciiTheme="majorBidi" w:hAnsiTheme="majorBidi" w:cstheme="majorBidi"/>
          <w:sz w:val="24"/>
          <w:szCs w:val="24"/>
          <w:lang w:val="en-US"/>
        </w:rPr>
        <w:t>.</w:t>
      </w:r>
      <w:r w:rsidR="00A440DB" w:rsidRPr="00795222">
        <w:rPr>
          <w:rFonts w:asciiTheme="majorBidi" w:hAnsiTheme="majorBidi" w:cstheme="majorBidi"/>
          <w:sz w:val="24"/>
          <w:szCs w:val="24"/>
          <w:lang w:val="en-US"/>
        </w:rPr>
        <w:t xml:space="preserve"> </w:t>
      </w:r>
      <w:r w:rsidR="008E225E" w:rsidRPr="00795222">
        <w:rPr>
          <w:rFonts w:asciiTheme="majorBidi" w:hAnsiTheme="majorBidi" w:cstheme="majorBidi"/>
          <w:sz w:val="24"/>
          <w:szCs w:val="24"/>
          <w:lang w:val="en-US"/>
        </w:rPr>
        <w:fldChar w:fldCharType="begin" w:fldLock="1"/>
      </w:r>
      <w:r w:rsidR="001B7E74" w:rsidRPr="00795222">
        <w:rPr>
          <w:rFonts w:asciiTheme="majorBidi" w:hAnsiTheme="majorBidi" w:cstheme="majorBidi"/>
          <w:sz w:val="24"/>
          <w:szCs w:val="24"/>
          <w:lang w:val="en-US"/>
        </w:rPr>
        <w:instrText>ADDIN CSL_CITATION {"citationItems":[{"id":"ITEM-1","itemData":{"DOI":"10.1021/la103576a","author":[{"dropping-particle":"","family":"Fang","given":"Ronnie H","non-dropping-particle":"","parse-names":false,"suffix":""},{"dropping-particle":"","family":"Aryal","given":"Santosh","non-dropping-particle":"","parse-names":false,"suffix":""},{"dropping-particle":"","family":"Hu","given":"Che-ming Jack","non-dropping-particle":"","parse-names":false,"suffix":""},{"dropping-particle":"","family":"Zhang","given":"Liangfang","non-dropping-particle":"","parse-names":false,"suffix":""}],"id":"ITEM-1","issue":"14","issued":{"date-parts":[["2010"]]},"page":"16958-16962","title":"Quick Synthesis of Lipid - Polymer Hybrid Nanoparticles with Low Polydispersity Using a Single-Step Sonication Method","type":"article-journal","volume":"26"},"uris":["http://www.mendeley.com/documents/?uuid=e3289654-e9d0-4def-84c8-5cb3a98b7d06"]}],"mendeley":{"formattedCitation":"(Fang et al., 2010)","plainTextFormattedCitation":"(Fang et al., 2010)","previouslyFormattedCitation":"(Fang et al., 2010)"},"properties":{"noteIndex":0},"schema":"https://github.com/citation-style-language/schema/raw/master/csl-citation.json"}</w:instrText>
      </w:r>
      <w:r w:rsidR="008E225E" w:rsidRPr="00795222">
        <w:rPr>
          <w:rFonts w:asciiTheme="majorBidi" w:hAnsiTheme="majorBidi" w:cstheme="majorBidi"/>
          <w:sz w:val="24"/>
          <w:szCs w:val="24"/>
          <w:lang w:val="en-US"/>
        </w:rPr>
        <w:fldChar w:fldCharType="separate"/>
      </w:r>
      <w:r w:rsidR="008E225E" w:rsidRPr="00795222">
        <w:rPr>
          <w:rFonts w:asciiTheme="majorBidi" w:hAnsiTheme="majorBidi" w:cstheme="majorBidi"/>
          <w:noProof/>
          <w:sz w:val="24"/>
          <w:szCs w:val="24"/>
          <w:lang w:val="en-US"/>
        </w:rPr>
        <w:t>(Fang et al., 2010)</w:t>
      </w:r>
      <w:r w:rsidR="008E225E" w:rsidRPr="00795222">
        <w:rPr>
          <w:rFonts w:asciiTheme="majorBidi" w:hAnsiTheme="majorBidi" w:cstheme="majorBidi"/>
          <w:sz w:val="24"/>
          <w:szCs w:val="24"/>
          <w:lang w:val="en-US"/>
        </w:rPr>
        <w:fldChar w:fldCharType="end"/>
      </w:r>
      <w:r w:rsidRPr="00795222">
        <w:rPr>
          <w:rFonts w:asciiTheme="majorBidi" w:hAnsiTheme="majorBidi" w:cstheme="majorBidi"/>
          <w:sz w:val="24"/>
          <w:szCs w:val="24"/>
          <w:lang w:val="en-US"/>
        </w:rPr>
        <w:t xml:space="preserve"> and </w:t>
      </w:r>
      <w:proofErr w:type="spellStart"/>
      <w:r w:rsidRPr="00795222">
        <w:rPr>
          <w:rFonts w:asciiTheme="majorBidi" w:hAnsiTheme="majorBidi" w:cstheme="majorBidi"/>
          <w:sz w:val="24"/>
          <w:szCs w:val="24"/>
          <w:lang w:val="en-US"/>
        </w:rPr>
        <w:t>Pramual</w:t>
      </w:r>
      <w:proofErr w:type="spellEnd"/>
      <w:r w:rsidRPr="00795222">
        <w:rPr>
          <w:rFonts w:asciiTheme="majorBidi" w:hAnsiTheme="majorBidi" w:cstheme="majorBidi"/>
          <w:sz w:val="24"/>
          <w:szCs w:val="24"/>
          <w:lang w:val="en-US"/>
        </w:rPr>
        <w:t xml:space="preserve"> </w:t>
      </w:r>
      <w:r w:rsidRPr="00795222">
        <w:rPr>
          <w:rFonts w:asciiTheme="majorBidi" w:hAnsiTheme="majorBidi" w:cstheme="majorBidi"/>
          <w:i/>
          <w:iCs/>
          <w:sz w:val="24"/>
          <w:szCs w:val="24"/>
          <w:lang w:val="en-US"/>
        </w:rPr>
        <w:t>et al.</w:t>
      </w:r>
      <w:r w:rsidR="00881430" w:rsidRPr="00795222">
        <w:rPr>
          <w:rFonts w:asciiTheme="majorBidi" w:hAnsiTheme="majorBidi" w:cstheme="majorBidi"/>
          <w:i/>
          <w:iCs/>
          <w:sz w:val="24"/>
          <w:szCs w:val="24"/>
          <w:lang w:val="en-US"/>
        </w:rPr>
        <w:fldChar w:fldCharType="begin" w:fldLock="1"/>
      </w:r>
      <w:r w:rsidR="005563A9" w:rsidRPr="00795222">
        <w:rPr>
          <w:rFonts w:asciiTheme="majorBidi" w:hAnsiTheme="majorBidi" w:cstheme="majorBidi"/>
          <w:i/>
          <w:iCs/>
          <w:sz w:val="24"/>
          <w:szCs w:val="24"/>
          <w:lang w:val="en-US"/>
        </w:rPr>
        <w:instrText>ADDIN CSL_CITATION {"citationItems":[{"id":"ITEM-1","itemData":{"DOI":"10.1016/j.jphotobiol.2017.05.028","ISSN":"18732682","abstract":"Polymer-lipid-PEG hybrid nanoparticles were investigated as carriers for the photosensitizer (PS), 5,10,15,20-Tetrakis(4-hydroxy-phenyl)-21H,23H-porphine (pTHPP) for use in photodynamic therapy (PDT). A self-assembled nanoprecipitation technique was used for preparing two types of core polymers poly(D,L-lactide-co-glycolide) (PLGA) and poly(hydroxybutyrate-co-hydroxyvalerate) (PHBV) with lipid-PEG as stabilizer. The resulting nanoparticles had an average particle size of 88.5 ± 3.4 nm for PLGA and 215.0 ± 6.3 nm for PHBV. Both nanoparticles exhibited a core-shell structure under TEM with high zeta potential and loading efficiency. X-ray powder diffraction analysis showed that the encapsulated pTHPP molecules in polymeric nanoparticles no longer had peaks of free pTHPP in the crystalline state. The pTHPP molecules encapsulated inside the polymeric core demonstrated improved photophysical properties in terms of singlet oxygen generation and cellular uptake rate in a FTC-133 human thyroid carcinoma cell line, compared to non-encapsulated pTHPP. The pTHPP-loaded polymer-lipid-PEG nanoparticles showed better in vitro phototoxicity compared to free pTHPP, in both time- and concentration-dependent manners. Overall, this study provides detailed analysis of the photophysical properties of pTHPP molecules when entrapped within either PLGA or PHBV nanoparticle cores, and demonstrates the effectiveness of these systems for delivery of photosensitizers. The two polymeric systems may have different potential benefits, when used with cancer cells. For instance, the pTHPP-loaded PLGA system requires only a short time to show a PDT effect and may be suitable for topical PDT, while the delayed photo-induced cytotoxic effect of the pTHPP-loaded PHBV system may be more suitable for cancer solid tumors. Hence, both pTHPP-encapsulated polymer-lipid-PEG nanoparticles can be considered promising delivery systems for PDT cancer treatment.","author":[{"dropping-particle":"","family":"Pramual","given":"Sasivimon","non-dropping-particle":"","parse-names":false,"suffix":""},{"dropping-particle":"","family":"Lirdprapamongkol","given":"Kriengsak","non-dropping-particle":"","parse-names":false,"suffix":""},{"dropping-particle":"","family":"Svasti","given":"Jisnuson","non-dropping-particle":"","parse-names":false,"suffix":""},{"dropping-particle":"","family":"Bergkvist","given":"Magnus","non-dropping-particle":"","parse-names":false,"suffix":""},{"dropping-particle":"","family":"Jouan-Hureaux","given":"Valérie","non-dropping-particle":"","parse-names":false,"suffix":""},{"dropping-particle":"","family":"Arnoux","given":"Philippe","non-dropping-particle":"","parse-names":false,"suffix":""},{"dropping-particle":"","family":"Frochot","given":"Céline","non-dropping-particle":"","parse-names":false,"suffix":""},{"dropping-particle":"","family":"Barberi-Heyob","given":"Muriel","non-dropping-particle":"","parse-names":false,"suffix":""},{"dropping-particle":"","family":"Niamsiri","given":"Nuttawee","non-dropping-particle":"","parse-names":false,"suffix":""}],"container-title":"Journal of Photochemistry and Photobiology B: Biology","id":"ITEM-1","issue":"January","issued":{"date-parts":[["2017"]]},"page":"12-22","publisher":"Elsevier","title":"Polymer-lipid-PEG hybrid nanoparticles as photosensitizer carrier for photodynamic therapy","type":"article-journal","volume":"173"},"uris":["http://www.mendeley.com/documents/?uuid=5089bd7c-41e4-49d6-9038-3c22d469a491"]}],"mendeley":{"formattedCitation":"(Pramual et al., 2017)","plainTextFormattedCitation":"(Pramual et al., 2017)","previouslyFormattedCitation":"(Pramual et al., 2017)"},"properties":{"noteIndex":0},"schema":"https://github.com/citation-style-language/schema/raw/master/csl-citation.json"}</w:instrText>
      </w:r>
      <w:r w:rsidR="00881430" w:rsidRPr="00795222">
        <w:rPr>
          <w:rFonts w:asciiTheme="majorBidi" w:hAnsiTheme="majorBidi" w:cstheme="majorBidi"/>
          <w:i/>
          <w:iCs/>
          <w:sz w:val="24"/>
          <w:szCs w:val="24"/>
          <w:lang w:val="en-US"/>
        </w:rPr>
        <w:fldChar w:fldCharType="separate"/>
      </w:r>
      <w:r w:rsidR="00881430" w:rsidRPr="00795222">
        <w:rPr>
          <w:rFonts w:asciiTheme="majorBidi" w:hAnsiTheme="majorBidi" w:cstheme="majorBidi"/>
          <w:iCs/>
          <w:noProof/>
          <w:sz w:val="24"/>
          <w:szCs w:val="24"/>
          <w:lang w:val="en-US"/>
        </w:rPr>
        <w:t>(Pramual et al., 2017)</w:t>
      </w:r>
      <w:r w:rsidR="00881430" w:rsidRPr="00795222">
        <w:rPr>
          <w:rFonts w:asciiTheme="majorBidi" w:hAnsiTheme="majorBidi" w:cstheme="majorBidi"/>
          <w:i/>
          <w:iCs/>
          <w:sz w:val="24"/>
          <w:szCs w:val="24"/>
          <w:lang w:val="en-US"/>
        </w:rPr>
        <w:fldChar w:fldCharType="end"/>
      </w:r>
      <w:r w:rsidRPr="00795222">
        <w:rPr>
          <w:rFonts w:asciiTheme="majorBidi" w:hAnsiTheme="majorBidi" w:cstheme="majorBidi"/>
          <w:sz w:val="24"/>
          <w:szCs w:val="24"/>
          <w:lang w:val="en-US"/>
        </w:rPr>
        <w:t xml:space="preserve"> Briefly, PLGA </w:t>
      </w:r>
      <w:r w:rsidR="008A2757" w:rsidRPr="00795222">
        <w:rPr>
          <w:rFonts w:asciiTheme="majorBidi" w:hAnsiTheme="majorBidi" w:cstheme="majorBidi"/>
          <w:sz w:val="24"/>
          <w:szCs w:val="24"/>
          <w:lang w:val="en-US"/>
        </w:rPr>
        <w:t xml:space="preserve">(2.5 mg) </w:t>
      </w:r>
      <w:r w:rsidRPr="00795222">
        <w:rPr>
          <w:rFonts w:asciiTheme="majorBidi" w:hAnsiTheme="majorBidi" w:cstheme="majorBidi"/>
          <w:sz w:val="24"/>
          <w:szCs w:val="24"/>
          <w:lang w:val="en-US"/>
        </w:rPr>
        <w:t>w</w:t>
      </w:r>
      <w:r w:rsidR="0078183D" w:rsidRPr="00795222">
        <w:rPr>
          <w:rFonts w:asciiTheme="majorBidi" w:hAnsiTheme="majorBidi" w:cstheme="majorBidi"/>
          <w:sz w:val="24"/>
          <w:szCs w:val="24"/>
          <w:lang w:val="en-US"/>
        </w:rPr>
        <w:t>as</w:t>
      </w:r>
      <w:r w:rsidRPr="00795222">
        <w:rPr>
          <w:rFonts w:asciiTheme="majorBidi" w:hAnsiTheme="majorBidi" w:cstheme="majorBidi"/>
          <w:sz w:val="24"/>
          <w:szCs w:val="24"/>
          <w:lang w:val="en-US"/>
        </w:rPr>
        <w:t xml:space="preserve"> dissolved in acetone</w:t>
      </w:r>
      <w:r w:rsidR="0078183D" w:rsidRPr="00795222">
        <w:rPr>
          <w:rFonts w:asciiTheme="majorBidi" w:hAnsiTheme="majorBidi" w:cstheme="majorBidi"/>
          <w:sz w:val="24"/>
          <w:szCs w:val="24"/>
          <w:lang w:val="en-US"/>
        </w:rPr>
        <w:t xml:space="preserve"> (1.5 mL)</w:t>
      </w:r>
      <w:r w:rsidRPr="00795222">
        <w:rPr>
          <w:rFonts w:asciiTheme="majorBidi" w:hAnsiTheme="majorBidi" w:cstheme="majorBidi"/>
          <w:sz w:val="24"/>
          <w:szCs w:val="24"/>
          <w:lang w:val="en-US"/>
        </w:rPr>
        <w:t xml:space="preserve"> to form </w:t>
      </w:r>
      <w:r w:rsidR="0078183D" w:rsidRPr="00795222">
        <w:rPr>
          <w:rFonts w:asciiTheme="majorBidi" w:hAnsiTheme="majorBidi" w:cstheme="majorBidi"/>
          <w:sz w:val="24"/>
          <w:szCs w:val="24"/>
          <w:lang w:val="en-US"/>
        </w:rPr>
        <w:t>a</w:t>
      </w:r>
      <w:r w:rsidR="008A2757" w:rsidRPr="00795222">
        <w:rPr>
          <w:rFonts w:asciiTheme="majorBidi" w:hAnsiTheme="majorBidi" w:cstheme="majorBidi"/>
          <w:sz w:val="24"/>
          <w:szCs w:val="24"/>
          <w:lang w:val="en-US"/>
        </w:rPr>
        <w:t>n</w:t>
      </w:r>
      <w:r w:rsidR="0078183D" w:rsidRPr="00795222">
        <w:rPr>
          <w:rFonts w:asciiTheme="majorBidi" w:hAnsiTheme="majorBidi" w:cstheme="majorBidi"/>
          <w:sz w:val="24"/>
          <w:szCs w:val="24"/>
          <w:lang w:val="en-US"/>
        </w:rPr>
        <w:t xml:space="preserve"> </w:t>
      </w:r>
      <w:r w:rsidR="008A2757" w:rsidRPr="00795222">
        <w:rPr>
          <w:rFonts w:asciiTheme="majorBidi" w:hAnsiTheme="majorBidi" w:cstheme="majorBidi"/>
          <w:sz w:val="24"/>
          <w:szCs w:val="24"/>
          <w:lang w:val="en-US"/>
        </w:rPr>
        <w:t xml:space="preserve">organic solvent </w:t>
      </w:r>
      <w:r w:rsidR="0078183D" w:rsidRPr="00795222">
        <w:rPr>
          <w:rFonts w:asciiTheme="majorBidi" w:hAnsiTheme="majorBidi" w:cstheme="majorBidi"/>
          <w:sz w:val="24"/>
          <w:szCs w:val="24"/>
          <w:lang w:val="en-US"/>
        </w:rPr>
        <w:t xml:space="preserve">polymeric </w:t>
      </w:r>
      <w:r w:rsidRPr="00795222">
        <w:rPr>
          <w:rFonts w:asciiTheme="majorBidi" w:hAnsiTheme="majorBidi" w:cstheme="majorBidi"/>
          <w:sz w:val="24"/>
          <w:szCs w:val="24"/>
          <w:lang w:val="en-US"/>
        </w:rPr>
        <w:t xml:space="preserve">solution. In the case of </w:t>
      </w:r>
      <w:r w:rsidR="00756F14" w:rsidRPr="00795222">
        <w:rPr>
          <w:rFonts w:asciiTheme="majorBidi" w:hAnsiTheme="majorBidi" w:cstheme="majorBidi"/>
          <w:sz w:val="24"/>
          <w:szCs w:val="24"/>
          <w:lang w:val="en-US"/>
        </w:rPr>
        <w:t>drug loaded</w:t>
      </w:r>
      <w:r w:rsidRPr="00795222">
        <w:rPr>
          <w:rFonts w:asciiTheme="majorBidi" w:hAnsiTheme="majorBidi" w:cstheme="majorBidi"/>
          <w:sz w:val="24"/>
          <w:szCs w:val="24"/>
          <w:lang w:val="en-US"/>
        </w:rPr>
        <w:t xml:space="preserve"> LPHNs different amounts of DRV or DRV/RTV (8:1) were added to the </w:t>
      </w:r>
      <w:r w:rsidR="008A2757" w:rsidRPr="00795222">
        <w:rPr>
          <w:rFonts w:asciiTheme="majorBidi" w:hAnsiTheme="majorBidi" w:cstheme="majorBidi"/>
          <w:sz w:val="24"/>
          <w:szCs w:val="24"/>
          <w:lang w:val="en-US"/>
        </w:rPr>
        <w:t xml:space="preserve">organic solvent </w:t>
      </w:r>
      <w:r w:rsidRPr="00795222">
        <w:rPr>
          <w:rFonts w:asciiTheme="majorBidi" w:hAnsiTheme="majorBidi" w:cstheme="majorBidi"/>
          <w:sz w:val="24"/>
          <w:szCs w:val="24"/>
          <w:lang w:val="en-US"/>
        </w:rPr>
        <w:t xml:space="preserve">phase </w:t>
      </w:r>
      <w:r w:rsidR="0043625A" w:rsidRPr="00795222">
        <w:rPr>
          <w:rFonts w:asciiTheme="majorBidi" w:hAnsiTheme="majorBidi" w:cstheme="majorBidi"/>
          <w:sz w:val="24"/>
          <w:szCs w:val="24"/>
          <w:lang w:val="en-US"/>
        </w:rPr>
        <w:t>with</w:t>
      </w:r>
      <w:r w:rsidR="0078183D" w:rsidRPr="00795222">
        <w:rPr>
          <w:rFonts w:asciiTheme="majorBidi" w:hAnsiTheme="majorBidi" w:cstheme="majorBidi"/>
          <w:sz w:val="24"/>
          <w:szCs w:val="24"/>
          <w:lang w:val="en-US"/>
        </w:rPr>
        <w:t xml:space="preserve"> varied</w:t>
      </w:r>
      <w:r w:rsidRPr="00795222">
        <w:rPr>
          <w:rFonts w:asciiTheme="majorBidi" w:hAnsiTheme="majorBidi" w:cstheme="majorBidi"/>
          <w:sz w:val="24"/>
          <w:szCs w:val="24"/>
          <w:lang w:val="en-US"/>
        </w:rPr>
        <w:t xml:space="preserve"> drug/polymer </w:t>
      </w:r>
      <w:r w:rsidR="00BB5EB3" w:rsidRPr="00795222">
        <w:rPr>
          <w:rFonts w:asciiTheme="majorBidi" w:hAnsiTheme="majorBidi" w:cstheme="majorBidi"/>
          <w:sz w:val="24"/>
          <w:szCs w:val="24"/>
          <w:lang w:val="en-US"/>
        </w:rPr>
        <w:t xml:space="preserve">mass percentage </w:t>
      </w:r>
      <w:r w:rsidR="0078183D" w:rsidRPr="00795222">
        <w:rPr>
          <w:rFonts w:asciiTheme="majorBidi" w:hAnsiTheme="majorBidi" w:cstheme="majorBidi"/>
          <w:sz w:val="24"/>
          <w:szCs w:val="24"/>
          <w:lang w:val="en-US"/>
        </w:rPr>
        <w:t>(</w:t>
      </w:r>
      <w:r w:rsidR="00F66152" w:rsidRPr="00795222">
        <w:rPr>
          <w:rFonts w:asciiTheme="majorBidi" w:hAnsiTheme="majorBidi" w:cstheme="majorBidi"/>
          <w:sz w:val="24"/>
          <w:szCs w:val="24"/>
          <w:lang w:val="en-US"/>
        </w:rPr>
        <w:t>5</w:t>
      </w:r>
      <w:r w:rsidR="0078183D" w:rsidRPr="00795222">
        <w:rPr>
          <w:rFonts w:asciiTheme="majorBidi" w:hAnsiTheme="majorBidi" w:cstheme="majorBidi"/>
          <w:sz w:val="24"/>
          <w:szCs w:val="24"/>
          <w:lang w:val="en-US"/>
        </w:rPr>
        <w:noBreakHyphen/>
      </w:r>
      <w:r w:rsidR="00F66152" w:rsidRPr="00795222">
        <w:rPr>
          <w:rFonts w:asciiTheme="majorBidi" w:hAnsiTheme="majorBidi" w:cstheme="majorBidi"/>
          <w:sz w:val="24"/>
          <w:szCs w:val="24"/>
          <w:lang w:val="en-US"/>
        </w:rPr>
        <w:t>80</w:t>
      </w:r>
      <w:r w:rsidR="0078183D" w:rsidRPr="00795222">
        <w:rPr>
          <w:rFonts w:asciiTheme="majorBidi" w:hAnsiTheme="majorBidi" w:cstheme="majorBidi"/>
          <w:sz w:val="24"/>
          <w:szCs w:val="24"/>
          <w:lang w:val="en-US"/>
        </w:rPr>
        <w:t> </w:t>
      </w:r>
      <w:r w:rsidRPr="00795222">
        <w:rPr>
          <w:rFonts w:asciiTheme="majorBidi" w:hAnsiTheme="majorBidi" w:cstheme="majorBidi"/>
          <w:sz w:val="24"/>
          <w:szCs w:val="24"/>
          <w:lang w:val="en-US"/>
        </w:rPr>
        <w:t>%</w:t>
      </w:r>
      <w:r w:rsidR="0078183D" w:rsidRPr="00795222">
        <w:rPr>
          <w:rFonts w:asciiTheme="majorBidi" w:hAnsiTheme="majorBidi" w:cstheme="majorBidi"/>
          <w:sz w:val="24"/>
          <w:szCs w:val="24"/>
          <w:lang w:val="en-US"/>
        </w:rPr>
        <w:t> </w:t>
      </w:r>
      <w:r w:rsidRPr="00795222">
        <w:rPr>
          <w:rFonts w:asciiTheme="majorBidi" w:hAnsiTheme="majorBidi" w:cstheme="majorBidi"/>
          <w:sz w:val="24"/>
          <w:szCs w:val="24"/>
          <w:lang w:val="en-US"/>
        </w:rPr>
        <w:t>w/w</w:t>
      </w:r>
      <w:r w:rsidR="0078183D" w:rsidRPr="00795222">
        <w:rPr>
          <w:rFonts w:asciiTheme="majorBidi" w:hAnsiTheme="majorBidi" w:cstheme="majorBidi"/>
          <w:sz w:val="24"/>
          <w:szCs w:val="24"/>
          <w:lang w:val="en-US"/>
        </w:rPr>
        <w:t>)</w:t>
      </w:r>
      <w:r w:rsidRPr="00795222">
        <w:rPr>
          <w:rFonts w:asciiTheme="majorBidi" w:hAnsiTheme="majorBidi" w:cstheme="majorBidi"/>
          <w:sz w:val="24"/>
          <w:szCs w:val="24"/>
          <w:lang w:val="en-US"/>
        </w:rPr>
        <w:t>. For blank</w:t>
      </w:r>
      <w:r w:rsidR="0078183D" w:rsidRPr="00795222">
        <w:rPr>
          <w:rFonts w:asciiTheme="majorBidi" w:hAnsiTheme="majorBidi" w:cstheme="majorBidi"/>
          <w:sz w:val="24"/>
          <w:szCs w:val="24"/>
          <w:lang w:val="en-US"/>
        </w:rPr>
        <w:t>, unloaded</w:t>
      </w:r>
      <w:r w:rsidR="00B8464D"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t xml:space="preserve">LPHNs no drugs were added. The </w:t>
      </w:r>
      <w:r w:rsidR="008A2757" w:rsidRPr="00795222">
        <w:rPr>
          <w:rFonts w:asciiTheme="majorBidi" w:hAnsiTheme="majorBidi" w:cstheme="majorBidi"/>
          <w:sz w:val="24"/>
          <w:szCs w:val="24"/>
          <w:lang w:val="en-US"/>
        </w:rPr>
        <w:t xml:space="preserve">aqueous </w:t>
      </w:r>
      <w:r w:rsidRPr="00795222">
        <w:rPr>
          <w:rFonts w:asciiTheme="majorBidi" w:hAnsiTheme="majorBidi" w:cstheme="majorBidi"/>
          <w:sz w:val="24"/>
          <w:szCs w:val="24"/>
          <w:lang w:val="en-US"/>
        </w:rPr>
        <w:t>phase was prepared by dissolving different amounts</w:t>
      </w:r>
      <w:r w:rsidR="000F6731" w:rsidRPr="00795222">
        <w:rPr>
          <w:rFonts w:asciiTheme="majorBidi" w:hAnsiTheme="majorBidi" w:cstheme="majorBidi"/>
          <w:sz w:val="24"/>
          <w:szCs w:val="24"/>
          <w:lang w:val="en-US"/>
        </w:rPr>
        <w:t xml:space="preserve"> </w:t>
      </w:r>
      <w:r w:rsidR="00A75771" w:rsidRPr="00795222">
        <w:rPr>
          <w:rFonts w:asciiTheme="majorBidi" w:hAnsiTheme="majorBidi" w:cstheme="majorBidi"/>
          <w:sz w:val="24"/>
          <w:szCs w:val="24"/>
          <w:lang w:val="en-US"/>
        </w:rPr>
        <w:t xml:space="preserve">of </w:t>
      </w:r>
      <w:r w:rsidR="000F6731" w:rsidRPr="00795222">
        <w:rPr>
          <w:rFonts w:asciiTheme="majorBidi" w:hAnsiTheme="majorBidi" w:cstheme="majorBidi"/>
          <w:sz w:val="24"/>
          <w:szCs w:val="24"/>
          <w:lang w:val="en-US"/>
        </w:rPr>
        <w:t xml:space="preserve">stabilizers, </w:t>
      </w:r>
      <w:r w:rsidR="00265D91" w:rsidRPr="00795222">
        <w:rPr>
          <w:rFonts w:asciiTheme="majorBidi" w:hAnsiTheme="majorBidi" w:cstheme="majorBidi"/>
          <w:sz w:val="24"/>
          <w:szCs w:val="24"/>
          <w:lang w:val="en-US"/>
        </w:rPr>
        <w:t xml:space="preserve">SBL </w:t>
      </w:r>
      <w:r w:rsidR="00E674EC" w:rsidRPr="00795222">
        <w:rPr>
          <w:rFonts w:asciiTheme="majorBidi" w:hAnsiTheme="majorBidi" w:cstheme="majorBidi"/>
          <w:sz w:val="24"/>
          <w:szCs w:val="24"/>
          <w:lang w:val="en-US"/>
        </w:rPr>
        <w:t>and/</w:t>
      </w:r>
      <w:r w:rsidR="00E55C06" w:rsidRPr="00795222">
        <w:rPr>
          <w:rFonts w:asciiTheme="majorBidi" w:hAnsiTheme="majorBidi" w:cstheme="majorBidi"/>
          <w:sz w:val="24"/>
          <w:szCs w:val="24"/>
          <w:lang w:val="en-US"/>
        </w:rPr>
        <w:t>or</w:t>
      </w:r>
      <w:r w:rsidR="00F66152" w:rsidRPr="00795222">
        <w:rPr>
          <w:rFonts w:asciiTheme="majorBidi" w:hAnsiTheme="majorBidi" w:cstheme="majorBidi"/>
          <w:sz w:val="24"/>
          <w:szCs w:val="24"/>
          <w:lang w:val="en-US"/>
        </w:rPr>
        <w:t xml:space="preserve"> </w:t>
      </w:r>
      <w:r w:rsidR="00A75771" w:rsidRPr="00795222">
        <w:rPr>
          <w:rFonts w:asciiTheme="majorBidi" w:hAnsiTheme="majorBidi" w:cstheme="majorBidi"/>
          <w:sz w:val="24"/>
          <w:szCs w:val="24"/>
          <w:lang w:val="en-US"/>
        </w:rPr>
        <w:t>B</w:t>
      </w:r>
      <w:r w:rsidR="00224B86" w:rsidRPr="00795222">
        <w:rPr>
          <w:rFonts w:asciiTheme="majorBidi" w:hAnsiTheme="majorBidi" w:cstheme="majorBidi"/>
          <w:sz w:val="24"/>
          <w:szCs w:val="24"/>
          <w:lang w:val="en-US"/>
        </w:rPr>
        <w:t>rij 78</w:t>
      </w:r>
      <w:r w:rsidR="000F6731" w:rsidRPr="00795222">
        <w:rPr>
          <w:rFonts w:asciiTheme="majorBidi" w:hAnsiTheme="majorBidi" w:cstheme="majorBidi"/>
          <w:sz w:val="24"/>
          <w:szCs w:val="24"/>
          <w:lang w:val="en-US"/>
        </w:rPr>
        <w:t>,</w:t>
      </w:r>
      <w:r w:rsidRPr="00795222">
        <w:rPr>
          <w:rFonts w:asciiTheme="majorBidi" w:hAnsiTheme="majorBidi" w:cstheme="majorBidi"/>
          <w:sz w:val="24"/>
          <w:szCs w:val="24"/>
          <w:lang w:val="en-US"/>
        </w:rPr>
        <w:t xml:space="preserve"> in 4</w:t>
      </w:r>
      <w:r w:rsidR="0078183D"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t>%</w:t>
      </w:r>
      <w:r w:rsidR="006C47FE" w:rsidRPr="00795222">
        <w:rPr>
          <w:rFonts w:asciiTheme="majorBidi" w:hAnsiTheme="majorBidi" w:cstheme="majorBidi"/>
          <w:sz w:val="24"/>
          <w:szCs w:val="24"/>
          <w:lang w:val="en-US"/>
        </w:rPr>
        <w:t xml:space="preserve"> v/v</w:t>
      </w:r>
      <w:r w:rsidRPr="00795222">
        <w:rPr>
          <w:rFonts w:asciiTheme="majorBidi" w:hAnsiTheme="majorBidi" w:cstheme="majorBidi"/>
          <w:sz w:val="24"/>
          <w:szCs w:val="24"/>
          <w:lang w:val="en-US"/>
        </w:rPr>
        <w:t xml:space="preserve"> ethanolic aqueous solution</w:t>
      </w:r>
      <w:r w:rsidR="00A75771" w:rsidRPr="00795222">
        <w:rPr>
          <w:rFonts w:asciiTheme="majorBidi" w:hAnsiTheme="majorBidi" w:cstheme="majorBidi"/>
          <w:sz w:val="24"/>
          <w:szCs w:val="24"/>
          <w:lang w:val="en-US"/>
        </w:rPr>
        <w:t xml:space="preserve"> (2.5 mL)</w:t>
      </w:r>
      <w:r w:rsidR="008A2757" w:rsidRPr="00795222">
        <w:rPr>
          <w:rFonts w:asciiTheme="majorBidi" w:hAnsiTheme="majorBidi" w:cstheme="majorBidi"/>
          <w:sz w:val="24"/>
          <w:szCs w:val="24"/>
          <w:lang w:val="en-US"/>
        </w:rPr>
        <w:t>. In LPHNs where only one stabilizer was used</w:t>
      </w:r>
      <w:r w:rsidR="00A440DB" w:rsidRPr="00795222">
        <w:rPr>
          <w:rFonts w:asciiTheme="majorBidi" w:hAnsiTheme="majorBidi" w:cstheme="majorBidi"/>
          <w:sz w:val="24"/>
          <w:szCs w:val="24"/>
          <w:lang w:val="en-US"/>
        </w:rPr>
        <w:t>,</w:t>
      </w:r>
      <w:r w:rsidRPr="00795222">
        <w:rPr>
          <w:rFonts w:asciiTheme="majorBidi" w:hAnsiTheme="majorBidi" w:cstheme="majorBidi"/>
          <w:sz w:val="24"/>
          <w:szCs w:val="24"/>
          <w:lang w:val="en-US"/>
        </w:rPr>
        <w:t xml:space="preserve"> </w:t>
      </w:r>
      <w:r w:rsidR="008A2757" w:rsidRPr="00795222">
        <w:rPr>
          <w:rFonts w:asciiTheme="majorBidi" w:hAnsiTheme="majorBidi" w:cstheme="majorBidi"/>
          <w:sz w:val="24"/>
          <w:szCs w:val="24"/>
          <w:lang w:val="en-US"/>
        </w:rPr>
        <w:t xml:space="preserve">a </w:t>
      </w:r>
      <w:r w:rsidR="00F66152" w:rsidRPr="00795222">
        <w:rPr>
          <w:rFonts w:asciiTheme="majorBidi" w:hAnsiTheme="majorBidi" w:cstheme="majorBidi"/>
          <w:sz w:val="24"/>
          <w:szCs w:val="24"/>
          <w:lang w:val="en-US"/>
        </w:rPr>
        <w:t xml:space="preserve">total </w:t>
      </w:r>
      <w:r w:rsidR="000F6731" w:rsidRPr="00795222">
        <w:rPr>
          <w:rFonts w:asciiTheme="majorBidi" w:hAnsiTheme="majorBidi" w:cstheme="majorBidi"/>
          <w:sz w:val="24"/>
          <w:szCs w:val="24"/>
          <w:lang w:val="en-US"/>
        </w:rPr>
        <w:t xml:space="preserve">SBL or </w:t>
      </w:r>
      <w:r w:rsidR="00A75771" w:rsidRPr="00795222">
        <w:rPr>
          <w:rFonts w:asciiTheme="majorBidi" w:hAnsiTheme="majorBidi" w:cstheme="majorBidi"/>
          <w:sz w:val="24"/>
          <w:szCs w:val="24"/>
          <w:lang w:val="en-US"/>
        </w:rPr>
        <w:t>B</w:t>
      </w:r>
      <w:r w:rsidR="000F6731" w:rsidRPr="00795222">
        <w:rPr>
          <w:rFonts w:asciiTheme="majorBidi" w:hAnsiTheme="majorBidi" w:cstheme="majorBidi"/>
          <w:sz w:val="24"/>
          <w:szCs w:val="24"/>
          <w:lang w:val="en-US"/>
        </w:rPr>
        <w:t>rij 78</w:t>
      </w:r>
      <w:r w:rsidRPr="00795222">
        <w:rPr>
          <w:rFonts w:asciiTheme="majorBidi" w:hAnsiTheme="majorBidi" w:cstheme="majorBidi"/>
          <w:sz w:val="24"/>
          <w:szCs w:val="24"/>
          <w:lang w:val="en-US"/>
        </w:rPr>
        <w:t xml:space="preserve"> </w:t>
      </w:r>
      <w:r w:rsidR="00BB5EB3" w:rsidRPr="00795222">
        <w:rPr>
          <w:rFonts w:asciiTheme="majorBidi" w:hAnsiTheme="majorBidi" w:cstheme="majorBidi"/>
          <w:sz w:val="24"/>
          <w:szCs w:val="24"/>
          <w:lang w:val="en-US"/>
        </w:rPr>
        <w:t xml:space="preserve">mass percentage </w:t>
      </w:r>
      <w:r w:rsidR="000F6731" w:rsidRPr="00795222">
        <w:rPr>
          <w:rFonts w:asciiTheme="majorBidi" w:hAnsiTheme="majorBidi" w:cstheme="majorBidi"/>
          <w:sz w:val="24"/>
          <w:szCs w:val="24"/>
          <w:lang w:val="en-US"/>
        </w:rPr>
        <w:t xml:space="preserve">of </w:t>
      </w:r>
      <w:r w:rsidR="006E6BF4" w:rsidRPr="00795222">
        <w:rPr>
          <w:rFonts w:asciiTheme="majorBidi" w:hAnsiTheme="majorBidi" w:cstheme="majorBidi"/>
          <w:sz w:val="24"/>
          <w:szCs w:val="24"/>
          <w:lang w:val="en-US"/>
        </w:rPr>
        <w:t>(</w:t>
      </w:r>
      <w:r w:rsidR="00F66152" w:rsidRPr="00795222">
        <w:rPr>
          <w:rFonts w:asciiTheme="majorBidi" w:hAnsiTheme="majorBidi" w:cstheme="majorBidi"/>
          <w:sz w:val="24"/>
          <w:szCs w:val="24"/>
          <w:lang w:val="en-US"/>
        </w:rPr>
        <w:t>3.75- 20</w:t>
      </w:r>
      <w:r w:rsidR="00A029B6" w:rsidRPr="00795222">
        <w:rPr>
          <w:rFonts w:asciiTheme="majorBidi" w:hAnsiTheme="majorBidi" w:cstheme="majorBidi"/>
          <w:sz w:val="24"/>
          <w:szCs w:val="24"/>
          <w:lang w:val="en-US"/>
        </w:rPr>
        <w:t xml:space="preserve"> </w:t>
      </w:r>
      <w:r w:rsidR="000069C2" w:rsidRPr="00795222">
        <w:rPr>
          <w:rFonts w:asciiTheme="majorBidi" w:hAnsiTheme="majorBidi" w:cstheme="majorBidi"/>
          <w:sz w:val="24"/>
          <w:szCs w:val="24"/>
          <w:lang w:val="en-US"/>
        </w:rPr>
        <w:t>%</w:t>
      </w:r>
      <w:r w:rsidR="00F66152" w:rsidRPr="00795222">
        <w:rPr>
          <w:rFonts w:asciiTheme="majorBidi" w:hAnsiTheme="majorBidi" w:cstheme="majorBidi"/>
          <w:sz w:val="24"/>
          <w:szCs w:val="24"/>
          <w:lang w:val="en-US"/>
        </w:rPr>
        <w:t xml:space="preserve"> w/w</w:t>
      </w:r>
      <w:r w:rsidR="006E6BF4" w:rsidRPr="00795222">
        <w:rPr>
          <w:rFonts w:asciiTheme="majorBidi" w:hAnsiTheme="majorBidi" w:cstheme="majorBidi"/>
          <w:sz w:val="24"/>
          <w:szCs w:val="24"/>
          <w:lang w:val="en-US"/>
        </w:rPr>
        <w:t>)</w:t>
      </w:r>
      <w:r w:rsidR="000F6731" w:rsidRPr="00795222">
        <w:rPr>
          <w:rFonts w:asciiTheme="majorBidi" w:hAnsiTheme="majorBidi" w:cstheme="majorBidi"/>
          <w:sz w:val="24"/>
          <w:szCs w:val="24"/>
          <w:lang w:val="en-US"/>
        </w:rPr>
        <w:t xml:space="preserve"> with respect to the PLGA core</w:t>
      </w:r>
      <w:r w:rsidR="008A2757" w:rsidRPr="00795222">
        <w:rPr>
          <w:rFonts w:asciiTheme="majorBidi" w:hAnsiTheme="majorBidi" w:cstheme="majorBidi"/>
          <w:sz w:val="24"/>
          <w:szCs w:val="24"/>
          <w:lang w:val="en-US"/>
        </w:rPr>
        <w:t xml:space="preserve"> was used</w:t>
      </w:r>
      <w:r w:rsidR="00A440DB" w:rsidRPr="00795222">
        <w:rPr>
          <w:rFonts w:asciiTheme="majorBidi" w:hAnsiTheme="majorBidi" w:cstheme="majorBidi"/>
          <w:sz w:val="24"/>
          <w:szCs w:val="24"/>
          <w:lang w:val="en-US"/>
        </w:rPr>
        <w:t>.</w:t>
      </w:r>
      <w:r w:rsidR="008A2757" w:rsidRPr="00795222">
        <w:rPr>
          <w:rFonts w:asciiTheme="majorBidi" w:hAnsiTheme="majorBidi" w:cstheme="majorBidi"/>
          <w:sz w:val="24"/>
          <w:szCs w:val="24"/>
          <w:lang w:val="en-US"/>
        </w:rPr>
        <w:t xml:space="preserve"> </w:t>
      </w:r>
      <w:r w:rsidR="00A440DB" w:rsidRPr="00795222">
        <w:rPr>
          <w:rFonts w:asciiTheme="majorBidi" w:hAnsiTheme="majorBidi" w:cstheme="majorBidi"/>
          <w:sz w:val="24"/>
          <w:szCs w:val="24"/>
          <w:lang w:val="en-US"/>
        </w:rPr>
        <w:t>W</w:t>
      </w:r>
      <w:r w:rsidR="008A2757" w:rsidRPr="00795222">
        <w:rPr>
          <w:rFonts w:asciiTheme="majorBidi" w:hAnsiTheme="majorBidi" w:cstheme="majorBidi"/>
          <w:sz w:val="24"/>
          <w:szCs w:val="24"/>
          <w:lang w:val="en-US"/>
        </w:rPr>
        <w:t>hen mixtures of</w:t>
      </w:r>
      <w:r w:rsidR="003C4842" w:rsidRPr="00795222">
        <w:rPr>
          <w:rFonts w:asciiTheme="majorBidi" w:hAnsiTheme="majorBidi" w:cstheme="majorBidi"/>
          <w:sz w:val="24"/>
          <w:szCs w:val="24"/>
          <w:lang w:val="en-US"/>
        </w:rPr>
        <w:t xml:space="preserve"> SBL and </w:t>
      </w:r>
      <w:r w:rsidR="008A2757" w:rsidRPr="00795222">
        <w:rPr>
          <w:rFonts w:asciiTheme="majorBidi" w:hAnsiTheme="majorBidi" w:cstheme="majorBidi"/>
          <w:sz w:val="24"/>
          <w:szCs w:val="24"/>
          <w:lang w:val="en-US"/>
        </w:rPr>
        <w:t>B</w:t>
      </w:r>
      <w:r w:rsidR="003C4842" w:rsidRPr="00795222">
        <w:rPr>
          <w:rFonts w:asciiTheme="majorBidi" w:hAnsiTheme="majorBidi" w:cstheme="majorBidi"/>
          <w:sz w:val="24"/>
          <w:szCs w:val="24"/>
          <w:lang w:val="en-US"/>
        </w:rPr>
        <w:t>rij 78</w:t>
      </w:r>
      <w:r w:rsidR="008A2757" w:rsidRPr="00795222">
        <w:rPr>
          <w:rFonts w:asciiTheme="majorBidi" w:hAnsiTheme="majorBidi" w:cstheme="majorBidi"/>
          <w:sz w:val="24"/>
          <w:szCs w:val="24"/>
          <w:lang w:val="en-US"/>
        </w:rPr>
        <w:t xml:space="preserve"> were used </w:t>
      </w:r>
      <w:r w:rsidR="003C4842" w:rsidRPr="00795222">
        <w:rPr>
          <w:rFonts w:asciiTheme="majorBidi" w:hAnsiTheme="majorBidi" w:cstheme="majorBidi"/>
          <w:sz w:val="24"/>
          <w:szCs w:val="24"/>
          <w:lang w:val="en-US"/>
        </w:rPr>
        <w:t xml:space="preserve">the total </w:t>
      </w:r>
      <w:r w:rsidR="0051529C" w:rsidRPr="00795222">
        <w:rPr>
          <w:rFonts w:asciiTheme="majorBidi" w:hAnsiTheme="majorBidi" w:cstheme="majorBidi"/>
          <w:sz w:val="24"/>
          <w:szCs w:val="24"/>
          <w:lang w:val="en-US"/>
        </w:rPr>
        <w:t>stabilizer</w:t>
      </w:r>
      <w:r w:rsidR="00B15F2E" w:rsidRPr="00795222">
        <w:rPr>
          <w:rFonts w:asciiTheme="majorBidi" w:hAnsiTheme="majorBidi" w:cstheme="majorBidi"/>
          <w:sz w:val="24"/>
          <w:szCs w:val="24"/>
          <w:lang w:val="en-US"/>
        </w:rPr>
        <w:t>/</w:t>
      </w:r>
      <w:r w:rsidR="000F6731" w:rsidRPr="00795222">
        <w:rPr>
          <w:rFonts w:asciiTheme="majorBidi" w:hAnsiTheme="majorBidi" w:cstheme="majorBidi"/>
          <w:sz w:val="24"/>
          <w:szCs w:val="24"/>
          <w:lang w:val="en-US"/>
        </w:rPr>
        <w:t>PLGA</w:t>
      </w:r>
      <w:r w:rsidR="00EA2AE0" w:rsidRPr="00795222">
        <w:rPr>
          <w:rFonts w:asciiTheme="majorBidi" w:hAnsiTheme="majorBidi" w:cstheme="majorBidi"/>
          <w:sz w:val="24"/>
          <w:szCs w:val="24"/>
          <w:lang w:val="en-US"/>
        </w:rPr>
        <w:t xml:space="preserve"> </w:t>
      </w:r>
      <w:r w:rsidR="00BB5EB3" w:rsidRPr="00795222">
        <w:rPr>
          <w:rFonts w:asciiTheme="majorBidi" w:hAnsiTheme="majorBidi" w:cstheme="majorBidi"/>
          <w:sz w:val="24"/>
          <w:szCs w:val="24"/>
          <w:lang w:val="en-US"/>
        </w:rPr>
        <w:t xml:space="preserve">mass percentage </w:t>
      </w:r>
      <w:r w:rsidR="00EA2AE0" w:rsidRPr="00795222">
        <w:rPr>
          <w:rFonts w:asciiTheme="majorBidi" w:hAnsiTheme="majorBidi" w:cstheme="majorBidi"/>
          <w:sz w:val="24"/>
          <w:szCs w:val="24"/>
          <w:lang w:val="en-US"/>
        </w:rPr>
        <w:t xml:space="preserve">was </w:t>
      </w:r>
      <w:r w:rsidR="007C4CC2" w:rsidRPr="00795222">
        <w:rPr>
          <w:rFonts w:asciiTheme="majorBidi" w:hAnsiTheme="majorBidi" w:cstheme="majorBidi"/>
          <w:sz w:val="24"/>
          <w:szCs w:val="24"/>
          <w:lang w:val="en-US"/>
        </w:rPr>
        <w:t xml:space="preserve">kept </w:t>
      </w:r>
      <w:r w:rsidR="008A2757" w:rsidRPr="00795222">
        <w:rPr>
          <w:rFonts w:asciiTheme="majorBidi" w:hAnsiTheme="majorBidi" w:cstheme="majorBidi"/>
          <w:sz w:val="24"/>
          <w:szCs w:val="24"/>
          <w:lang w:val="en-US"/>
        </w:rPr>
        <w:lastRenderedPageBreak/>
        <w:t xml:space="preserve">constant </w:t>
      </w:r>
      <w:r w:rsidR="00EA2AE0" w:rsidRPr="00795222">
        <w:rPr>
          <w:rFonts w:asciiTheme="majorBidi" w:hAnsiTheme="majorBidi" w:cstheme="majorBidi"/>
          <w:sz w:val="24"/>
          <w:szCs w:val="24"/>
          <w:lang w:val="en-US"/>
        </w:rPr>
        <w:t>at 20</w:t>
      </w:r>
      <w:r w:rsidR="0078183D" w:rsidRPr="00795222">
        <w:rPr>
          <w:rFonts w:asciiTheme="majorBidi" w:hAnsiTheme="majorBidi" w:cstheme="majorBidi"/>
          <w:sz w:val="24"/>
          <w:szCs w:val="24"/>
          <w:lang w:val="en-US"/>
        </w:rPr>
        <w:t xml:space="preserve"> </w:t>
      </w:r>
      <w:r w:rsidR="00EA2AE0" w:rsidRPr="00795222">
        <w:rPr>
          <w:rFonts w:asciiTheme="majorBidi" w:hAnsiTheme="majorBidi" w:cstheme="majorBidi"/>
          <w:sz w:val="24"/>
          <w:szCs w:val="24"/>
          <w:lang w:val="en-US"/>
        </w:rPr>
        <w:t>% w/w</w:t>
      </w:r>
      <w:r w:rsidR="00B349A5" w:rsidRPr="00795222">
        <w:rPr>
          <w:rFonts w:asciiTheme="majorBidi" w:hAnsiTheme="majorBidi" w:cstheme="majorBidi"/>
          <w:sz w:val="24"/>
          <w:szCs w:val="24"/>
          <w:lang w:val="en-US"/>
        </w:rPr>
        <w:t xml:space="preserve"> and</w:t>
      </w:r>
      <w:r w:rsidR="00683EBD" w:rsidRPr="00795222">
        <w:rPr>
          <w:rFonts w:asciiTheme="majorBidi" w:hAnsiTheme="majorBidi" w:cstheme="majorBidi"/>
          <w:sz w:val="24"/>
          <w:szCs w:val="24"/>
          <w:lang w:val="en-US"/>
        </w:rPr>
        <w:t xml:space="preserve"> the </w:t>
      </w:r>
      <w:r w:rsidR="008A2757" w:rsidRPr="00795222">
        <w:rPr>
          <w:rFonts w:asciiTheme="majorBidi" w:hAnsiTheme="majorBidi" w:cstheme="majorBidi"/>
          <w:sz w:val="24"/>
          <w:szCs w:val="24"/>
          <w:lang w:val="en-US"/>
        </w:rPr>
        <w:t>B</w:t>
      </w:r>
      <w:r w:rsidR="00342DAF" w:rsidRPr="00795222">
        <w:rPr>
          <w:rFonts w:asciiTheme="majorBidi" w:hAnsiTheme="majorBidi" w:cstheme="majorBidi"/>
          <w:sz w:val="24"/>
          <w:szCs w:val="24"/>
          <w:lang w:val="en-US"/>
        </w:rPr>
        <w:t xml:space="preserve">rij 78/total </w:t>
      </w:r>
      <w:r w:rsidR="0051529C" w:rsidRPr="00795222">
        <w:rPr>
          <w:rFonts w:asciiTheme="majorBidi" w:hAnsiTheme="majorBidi" w:cstheme="majorBidi"/>
          <w:sz w:val="24"/>
          <w:szCs w:val="24"/>
          <w:lang w:val="en-US"/>
        </w:rPr>
        <w:t>stabilizer</w:t>
      </w:r>
      <w:r w:rsidR="00BB5EB3" w:rsidRPr="00795222">
        <w:rPr>
          <w:rFonts w:asciiTheme="majorBidi" w:hAnsiTheme="majorBidi" w:cstheme="majorBidi"/>
          <w:sz w:val="24"/>
          <w:szCs w:val="24"/>
          <w:lang w:val="en-US"/>
        </w:rPr>
        <w:t xml:space="preserve"> mass percentage </w:t>
      </w:r>
      <w:r w:rsidR="002D0442" w:rsidRPr="00795222">
        <w:rPr>
          <w:rFonts w:asciiTheme="majorBidi" w:hAnsiTheme="majorBidi" w:cstheme="majorBidi"/>
          <w:sz w:val="24"/>
          <w:szCs w:val="24"/>
          <w:lang w:val="en-US"/>
        </w:rPr>
        <w:t>was 10-90 % w/w</w:t>
      </w:r>
      <w:r w:rsidR="00BB5EB3"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t xml:space="preserve">The </w:t>
      </w:r>
      <w:r w:rsidR="008A2757" w:rsidRPr="00795222">
        <w:rPr>
          <w:rFonts w:asciiTheme="majorBidi" w:hAnsiTheme="majorBidi" w:cstheme="majorBidi"/>
          <w:sz w:val="24"/>
          <w:szCs w:val="24"/>
          <w:lang w:val="en-US"/>
        </w:rPr>
        <w:t xml:space="preserve">aqueous </w:t>
      </w:r>
      <w:r w:rsidRPr="00795222">
        <w:rPr>
          <w:rFonts w:asciiTheme="majorBidi" w:hAnsiTheme="majorBidi" w:cstheme="majorBidi"/>
          <w:sz w:val="24"/>
          <w:szCs w:val="24"/>
          <w:lang w:val="en-US"/>
        </w:rPr>
        <w:t xml:space="preserve">phase was heated to 60 °C for 3 minutes to ensure </w:t>
      </w:r>
      <w:r w:rsidR="008F1C2F" w:rsidRPr="00795222">
        <w:rPr>
          <w:rFonts w:asciiTheme="majorBidi" w:hAnsiTheme="majorBidi" w:cstheme="majorBidi"/>
          <w:sz w:val="24"/>
          <w:szCs w:val="24"/>
          <w:lang w:val="en-US"/>
        </w:rPr>
        <w:t xml:space="preserve">that the </w:t>
      </w:r>
      <w:r w:rsidR="008F1C2F" w:rsidRPr="00795222">
        <w:rPr>
          <w:rFonts w:asciiTheme="majorBidi" w:hAnsiTheme="majorBidi" w:cstheme="majorBidi"/>
          <w:sz w:val="24"/>
          <w:szCs w:val="24"/>
        </w:rPr>
        <w:t xml:space="preserve">SBL molecules do not self-assemble to form vesicular structure prior the addition of the PLGA solution, </w:t>
      </w:r>
      <w:r w:rsidR="00DA6AF5" w:rsidRPr="00795222">
        <w:rPr>
          <w:rFonts w:asciiTheme="majorBidi" w:hAnsiTheme="majorBidi" w:cstheme="majorBidi"/>
          <w:sz w:val="24"/>
          <w:szCs w:val="24"/>
          <w:lang w:val="en-US"/>
        </w:rPr>
        <w:t>this temperature</w:t>
      </w:r>
      <w:r w:rsidR="008F1C2F" w:rsidRPr="00795222">
        <w:rPr>
          <w:rFonts w:asciiTheme="majorBidi" w:hAnsiTheme="majorBidi" w:cstheme="majorBidi"/>
          <w:sz w:val="24"/>
          <w:szCs w:val="24"/>
          <w:lang w:val="en-US"/>
        </w:rPr>
        <w:t xml:space="preserve"> is above the gel-to-liquid transition temperature of SBL, which ensure the obtaining of a homogenously dispersed liquid crystalline phase, so the phospholipids molecules are not close enough to each other to self-assemble into vesicular structure.</w:t>
      </w:r>
      <w:r w:rsidR="008F1C2F" w:rsidRPr="00795222">
        <w:rPr>
          <w:rFonts w:asciiTheme="majorBidi" w:hAnsiTheme="majorBidi" w:cstheme="majorBidi"/>
          <w:sz w:val="24"/>
          <w:szCs w:val="24"/>
          <w:lang w:val="en-US"/>
        </w:rPr>
        <w:fldChar w:fldCharType="begin" w:fldLock="1"/>
      </w:r>
      <w:r w:rsidR="00017D47" w:rsidRPr="00795222">
        <w:rPr>
          <w:rFonts w:asciiTheme="majorBidi" w:hAnsiTheme="majorBidi" w:cstheme="majorBidi"/>
          <w:sz w:val="24"/>
          <w:szCs w:val="24"/>
          <w:lang w:val="en-US"/>
        </w:rPr>
        <w:instrText>ADDIN CSL_CITATION {"citationItems":[{"id":"ITEM-1","itemData":{"author":[{"dropping-particle":"","family":"Mukherjee","given":"Anubhab","non-dropping-particle":"","parse-names":false,"suffix":""},{"dropping-particle":"","family":"Waters","given":"K","non-dropping-particle":"","parse-names":false,"suffix":""},{"dropping-particle":"","family":"Kalyan","given":"Pranav","non-dropping-particle":"","parse-names":false,"suffix":""},{"dropping-particle":"","family":"Achrol","given":"Achal Singh","non-dropping-particle":"","parse-names":false,"suffix":""}],"id":"ITEM-1","issued":{"date-parts":[["2019"]]},"page":"1937-1952","title":"Lipid – polymer hybrid nanoparticles as a next- generation drug delivery platform : state of the art , emerging technologies , and perspectives","type":"article-journal"},"uris":["http://www.mendeley.com/documents/?uuid=38507e00-e007-411b-a158-67030cdd5628"]}],"mendeley":{"formattedCitation":"(Mukherjee et al., 2019b)","plainTextFormattedCitation":"(Mukherjee et al., 2019b)","previouslyFormattedCitation":"(Mukherjee et al., 2019b)"},"properties":{"noteIndex":0},"schema":"https://github.com/citation-style-language/schema/raw/master/csl-citation.json"}</w:instrText>
      </w:r>
      <w:r w:rsidR="008F1C2F" w:rsidRPr="00795222">
        <w:rPr>
          <w:rFonts w:asciiTheme="majorBidi" w:hAnsiTheme="majorBidi" w:cstheme="majorBidi"/>
          <w:sz w:val="24"/>
          <w:szCs w:val="24"/>
          <w:lang w:val="en-US"/>
        </w:rPr>
        <w:fldChar w:fldCharType="separate"/>
      </w:r>
      <w:r w:rsidR="007E2658" w:rsidRPr="00795222">
        <w:rPr>
          <w:rFonts w:asciiTheme="majorBidi" w:hAnsiTheme="majorBidi" w:cstheme="majorBidi"/>
          <w:noProof/>
          <w:sz w:val="24"/>
          <w:szCs w:val="24"/>
          <w:lang w:val="en-US"/>
        </w:rPr>
        <w:t>(Mukherjee et al., 2019b)</w:t>
      </w:r>
      <w:r w:rsidR="008F1C2F" w:rsidRPr="00795222">
        <w:rPr>
          <w:rFonts w:asciiTheme="majorBidi" w:hAnsiTheme="majorBidi" w:cstheme="majorBidi"/>
          <w:sz w:val="24"/>
          <w:szCs w:val="24"/>
          <w:lang w:val="en-US"/>
        </w:rPr>
        <w:fldChar w:fldCharType="end"/>
      </w:r>
      <w:r w:rsidRPr="00795222">
        <w:rPr>
          <w:rFonts w:asciiTheme="majorBidi" w:hAnsiTheme="majorBidi" w:cstheme="majorBidi"/>
          <w:sz w:val="24"/>
          <w:szCs w:val="24"/>
          <w:lang w:val="en-US"/>
        </w:rPr>
        <w:t xml:space="preserve"> The polymer solution was then injected dropwise</w:t>
      </w:r>
      <w:r w:rsidR="00F029D8" w:rsidRPr="00795222">
        <w:rPr>
          <w:rFonts w:asciiTheme="majorBidi" w:hAnsiTheme="majorBidi" w:cstheme="majorBidi"/>
          <w:sz w:val="24"/>
          <w:szCs w:val="24"/>
          <w:lang w:val="en-US"/>
        </w:rPr>
        <w:t xml:space="preserve"> (</w:t>
      </w:r>
      <w:r w:rsidR="00234CA6" w:rsidRPr="00795222">
        <w:rPr>
          <w:rFonts w:asciiTheme="majorBidi" w:hAnsiTheme="majorBidi" w:cstheme="majorBidi"/>
          <w:sz w:val="24"/>
          <w:szCs w:val="24"/>
          <w:lang w:val="en-US"/>
        </w:rPr>
        <w:t xml:space="preserve">over </w:t>
      </w:r>
      <w:r w:rsidR="00F029D8" w:rsidRPr="00795222">
        <w:rPr>
          <w:rFonts w:asciiTheme="majorBidi" w:hAnsiTheme="majorBidi" w:cstheme="majorBidi"/>
          <w:sz w:val="24"/>
          <w:szCs w:val="24"/>
          <w:lang w:val="en-US"/>
        </w:rPr>
        <w:t>approximately 1 minute)</w:t>
      </w:r>
      <w:r w:rsidRPr="00795222">
        <w:rPr>
          <w:rFonts w:asciiTheme="majorBidi" w:hAnsiTheme="majorBidi" w:cstheme="majorBidi"/>
          <w:sz w:val="24"/>
          <w:szCs w:val="24"/>
          <w:lang w:val="en-US"/>
        </w:rPr>
        <w:t xml:space="preserve"> into </w:t>
      </w:r>
      <w:r w:rsidR="0078183D" w:rsidRPr="00795222">
        <w:rPr>
          <w:rFonts w:asciiTheme="majorBidi" w:hAnsiTheme="majorBidi" w:cstheme="majorBidi"/>
          <w:sz w:val="24"/>
          <w:szCs w:val="24"/>
          <w:lang w:val="en-US"/>
        </w:rPr>
        <w:t xml:space="preserve">the </w:t>
      </w:r>
      <w:r w:rsidRPr="00795222">
        <w:rPr>
          <w:rFonts w:asciiTheme="majorBidi" w:hAnsiTheme="majorBidi" w:cstheme="majorBidi"/>
          <w:sz w:val="24"/>
          <w:szCs w:val="24"/>
          <w:lang w:val="en-US"/>
        </w:rPr>
        <w:t>heated stirring lipid aqueous</w:t>
      </w:r>
      <w:r w:rsidR="00E91010" w:rsidRPr="00795222">
        <w:rPr>
          <w:rFonts w:asciiTheme="majorBidi" w:hAnsiTheme="majorBidi" w:cstheme="majorBidi"/>
          <w:sz w:val="24"/>
          <w:szCs w:val="24"/>
          <w:lang w:val="en-US"/>
        </w:rPr>
        <w:t xml:space="preserve"> phase to form the LPHNs dispersion, which were</w:t>
      </w:r>
      <w:r w:rsidR="0049516E" w:rsidRPr="00795222">
        <w:rPr>
          <w:rFonts w:asciiTheme="majorBidi" w:hAnsiTheme="majorBidi" w:cstheme="majorBidi"/>
          <w:sz w:val="24"/>
          <w:szCs w:val="24"/>
          <w:lang w:val="en-US"/>
        </w:rPr>
        <w:t xml:space="preserve"> then</w:t>
      </w:r>
      <w:r w:rsidRPr="00795222">
        <w:rPr>
          <w:rFonts w:asciiTheme="majorBidi" w:hAnsiTheme="majorBidi" w:cstheme="majorBidi"/>
          <w:sz w:val="24"/>
          <w:szCs w:val="24"/>
          <w:lang w:val="en-US"/>
        </w:rPr>
        <w:t xml:space="preserve"> vortexed for 3 minutes and left to stir </w:t>
      </w:r>
      <w:r w:rsidR="00F66152" w:rsidRPr="00795222">
        <w:rPr>
          <w:rFonts w:asciiTheme="majorBidi" w:hAnsiTheme="majorBidi" w:cstheme="majorBidi"/>
          <w:sz w:val="24"/>
          <w:szCs w:val="24"/>
          <w:lang w:val="en-US"/>
        </w:rPr>
        <w:t>overnight</w:t>
      </w:r>
      <w:r w:rsidR="00B847AD" w:rsidRPr="00795222">
        <w:rPr>
          <w:rFonts w:asciiTheme="majorBidi" w:hAnsiTheme="majorBidi" w:cstheme="majorBidi"/>
          <w:sz w:val="24"/>
          <w:szCs w:val="24"/>
          <w:lang w:val="en-US"/>
        </w:rPr>
        <w:t>,</w:t>
      </w:r>
      <w:r w:rsidR="0078183D" w:rsidRPr="00795222">
        <w:rPr>
          <w:rFonts w:asciiTheme="majorBidi" w:hAnsiTheme="majorBidi" w:cstheme="majorBidi"/>
          <w:sz w:val="24"/>
          <w:szCs w:val="24"/>
          <w:lang w:val="en-US"/>
        </w:rPr>
        <w:t xml:space="preserve"> allowing for evaporation of </w:t>
      </w:r>
      <w:r w:rsidR="00234CA6" w:rsidRPr="00795222">
        <w:rPr>
          <w:rFonts w:asciiTheme="majorBidi" w:hAnsiTheme="majorBidi" w:cstheme="majorBidi"/>
          <w:sz w:val="24"/>
          <w:szCs w:val="24"/>
          <w:lang w:val="en-US"/>
        </w:rPr>
        <w:t>acetone</w:t>
      </w:r>
      <w:r w:rsidR="00E10FE8" w:rsidRPr="00795222">
        <w:rPr>
          <w:rFonts w:asciiTheme="majorBidi" w:hAnsiTheme="majorBidi" w:cstheme="majorBidi"/>
          <w:sz w:val="24"/>
          <w:szCs w:val="24"/>
          <w:lang w:val="en-US"/>
        </w:rPr>
        <w:t>. T</w:t>
      </w:r>
      <w:r w:rsidR="004D25A1" w:rsidRPr="00795222">
        <w:rPr>
          <w:rFonts w:asciiTheme="majorBidi" w:hAnsiTheme="majorBidi" w:cstheme="majorBidi"/>
          <w:sz w:val="24"/>
          <w:szCs w:val="24"/>
          <w:lang w:val="en-US"/>
        </w:rPr>
        <w:t xml:space="preserve">he LPHNs </w:t>
      </w:r>
      <w:r w:rsidR="009A0A26" w:rsidRPr="00795222">
        <w:rPr>
          <w:rFonts w:asciiTheme="majorBidi" w:hAnsiTheme="majorBidi" w:cstheme="majorBidi"/>
          <w:sz w:val="24"/>
          <w:szCs w:val="24"/>
          <w:lang w:val="en-US"/>
        </w:rPr>
        <w:t xml:space="preserve">were </w:t>
      </w:r>
      <w:r w:rsidR="008A2757" w:rsidRPr="00795222">
        <w:rPr>
          <w:rFonts w:asciiTheme="majorBidi" w:hAnsiTheme="majorBidi" w:cstheme="majorBidi"/>
          <w:sz w:val="24"/>
          <w:szCs w:val="24"/>
          <w:lang w:val="en-US"/>
        </w:rPr>
        <w:t>maintained as dispersions (4 mL) by addition of</w:t>
      </w:r>
      <w:r w:rsidR="00437663" w:rsidRPr="00795222">
        <w:rPr>
          <w:rFonts w:asciiTheme="majorBidi" w:hAnsiTheme="majorBidi" w:cstheme="majorBidi"/>
          <w:sz w:val="24"/>
          <w:szCs w:val="24"/>
          <w:lang w:val="en-US"/>
        </w:rPr>
        <w:t xml:space="preserve"> </w:t>
      </w:r>
      <w:r w:rsidR="0051529C" w:rsidRPr="00795222">
        <w:rPr>
          <w:rFonts w:asciiTheme="majorBidi" w:hAnsiTheme="majorBidi" w:cstheme="majorBidi"/>
          <w:sz w:val="24"/>
          <w:szCs w:val="24"/>
          <w:lang w:val="en-US"/>
        </w:rPr>
        <w:t>deionized</w:t>
      </w:r>
      <w:r w:rsidR="0061289F" w:rsidRPr="00795222">
        <w:rPr>
          <w:rFonts w:asciiTheme="majorBidi" w:hAnsiTheme="majorBidi" w:cstheme="majorBidi"/>
          <w:sz w:val="24"/>
          <w:szCs w:val="24"/>
          <w:lang w:val="en-US"/>
        </w:rPr>
        <w:t xml:space="preserve"> </w:t>
      </w:r>
      <w:r w:rsidR="00437663" w:rsidRPr="00795222">
        <w:rPr>
          <w:rFonts w:asciiTheme="majorBidi" w:hAnsiTheme="majorBidi" w:cstheme="majorBidi"/>
          <w:sz w:val="24"/>
          <w:szCs w:val="24"/>
          <w:lang w:val="en-US"/>
        </w:rPr>
        <w:t>water</w:t>
      </w:r>
      <w:r w:rsidR="007E0D46" w:rsidRPr="00795222">
        <w:rPr>
          <w:rFonts w:asciiTheme="majorBidi" w:hAnsiTheme="majorBidi" w:cstheme="majorBidi"/>
          <w:sz w:val="24"/>
          <w:szCs w:val="24"/>
          <w:lang w:val="en-US"/>
        </w:rPr>
        <w:t>.</w:t>
      </w:r>
      <w:r w:rsidR="00903439" w:rsidRPr="00795222">
        <w:rPr>
          <w:rFonts w:asciiTheme="majorBidi" w:hAnsiTheme="majorBidi" w:cstheme="majorBidi"/>
          <w:sz w:val="24"/>
          <w:szCs w:val="24"/>
          <w:lang w:val="en-US"/>
        </w:rPr>
        <w:t xml:space="preserve"> </w:t>
      </w:r>
    </w:p>
    <w:p w14:paraId="61D3B012" w14:textId="77777777" w:rsidR="003427AA" w:rsidRPr="00795222" w:rsidRDefault="003427AA" w:rsidP="00657F6C">
      <w:pPr>
        <w:spacing w:line="360" w:lineRule="auto"/>
        <w:jc w:val="both"/>
        <w:rPr>
          <w:rFonts w:asciiTheme="majorBidi" w:hAnsiTheme="majorBidi" w:cstheme="majorBidi"/>
          <w:sz w:val="24"/>
          <w:szCs w:val="24"/>
          <w:lang w:val="en-US"/>
        </w:rPr>
      </w:pPr>
    </w:p>
    <w:p w14:paraId="6B463113" w14:textId="76737E17" w:rsidR="001F701C" w:rsidRPr="00795222" w:rsidRDefault="001F701C" w:rsidP="00657F6C">
      <w:pPr>
        <w:pStyle w:val="Heading3"/>
        <w:spacing w:after="240"/>
        <w:jc w:val="both"/>
        <w:rPr>
          <w:rFonts w:ascii="Times New Roman" w:hAnsi="Times New Roman" w:cs="Times New Roman"/>
          <w:lang w:val="en-US"/>
        </w:rPr>
      </w:pPr>
      <w:r w:rsidRPr="00795222">
        <w:rPr>
          <w:rFonts w:ascii="Times New Roman" w:hAnsi="Times New Roman" w:cs="Times New Roman"/>
          <w:lang w:val="en-US"/>
        </w:rPr>
        <w:t>Freeze</w:t>
      </w:r>
      <w:r w:rsidR="001913BB" w:rsidRPr="00795222">
        <w:rPr>
          <w:rFonts w:ascii="Times New Roman" w:hAnsi="Times New Roman" w:cs="Times New Roman"/>
          <w:lang w:val="en-US"/>
        </w:rPr>
        <w:t xml:space="preserve"> </w:t>
      </w:r>
      <w:r w:rsidRPr="00795222">
        <w:rPr>
          <w:rFonts w:ascii="Times New Roman" w:hAnsi="Times New Roman" w:cs="Times New Roman"/>
          <w:lang w:val="en-US"/>
        </w:rPr>
        <w:t>drying  </w:t>
      </w:r>
    </w:p>
    <w:p w14:paraId="7ED58402" w14:textId="3A59744C" w:rsidR="001F701C" w:rsidRPr="00795222" w:rsidRDefault="001F701C" w:rsidP="00657F6C">
      <w:p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lang w:val="en-US"/>
        </w:rPr>
        <w:t>To obtain stable particles in solid form, the LPHN</w:t>
      </w:r>
      <w:r w:rsidR="00A74DD8" w:rsidRPr="00795222">
        <w:rPr>
          <w:rFonts w:asciiTheme="majorBidi" w:hAnsiTheme="majorBidi" w:cstheme="majorBidi"/>
          <w:sz w:val="24"/>
          <w:szCs w:val="24"/>
          <w:lang w:val="en-US"/>
        </w:rPr>
        <w:t>s</w:t>
      </w:r>
      <w:r w:rsidRPr="00795222">
        <w:rPr>
          <w:rFonts w:asciiTheme="majorBidi" w:hAnsiTheme="majorBidi" w:cstheme="majorBidi"/>
          <w:sz w:val="24"/>
          <w:szCs w:val="24"/>
          <w:lang w:val="en-US"/>
        </w:rPr>
        <w:t xml:space="preserve"> dispersions were freeze dried using </w:t>
      </w:r>
      <w:r w:rsidR="008A2757" w:rsidRPr="00795222">
        <w:rPr>
          <w:rFonts w:asciiTheme="majorBidi" w:hAnsiTheme="majorBidi" w:cstheme="majorBidi"/>
          <w:sz w:val="24"/>
          <w:szCs w:val="24"/>
          <w:lang w:val="en-US"/>
        </w:rPr>
        <w:t xml:space="preserve">a </w:t>
      </w:r>
      <w:proofErr w:type="spellStart"/>
      <w:r w:rsidRPr="00795222">
        <w:rPr>
          <w:rFonts w:asciiTheme="majorBidi" w:hAnsiTheme="majorBidi" w:cstheme="majorBidi"/>
          <w:sz w:val="24"/>
          <w:szCs w:val="24"/>
          <w:lang w:val="en-US"/>
        </w:rPr>
        <w:t>VirTis</w:t>
      </w:r>
      <w:proofErr w:type="spellEnd"/>
      <w:r w:rsidRPr="00795222">
        <w:rPr>
          <w:rFonts w:asciiTheme="majorBidi" w:hAnsiTheme="majorBidi" w:cstheme="majorBidi"/>
          <w:sz w:val="24"/>
          <w:szCs w:val="24"/>
          <w:lang w:val="en-US"/>
        </w:rPr>
        <w:t xml:space="preserve"> Freeze Dryer. Samples were prepared for freeze drying by </w:t>
      </w:r>
      <w:r w:rsidR="008A2757" w:rsidRPr="00795222">
        <w:rPr>
          <w:rFonts w:asciiTheme="majorBidi" w:hAnsiTheme="majorBidi" w:cstheme="majorBidi"/>
          <w:sz w:val="24"/>
          <w:szCs w:val="24"/>
          <w:lang w:val="en-US"/>
        </w:rPr>
        <w:t xml:space="preserve">the addition of a cryoprotectant, </w:t>
      </w:r>
      <w:r w:rsidRPr="00795222">
        <w:rPr>
          <w:rFonts w:asciiTheme="majorBidi" w:hAnsiTheme="majorBidi" w:cstheme="majorBidi"/>
          <w:sz w:val="24"/>
          <w:szCs w:val="24"/>
          <w:lang w:val="en-US"/>
        </w:rPr>
        <w:t>0.5</w:t>
      </w:r>
      <w:r w:rsidR="00040F1F"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t>% w/v PEG aqueous solution</w:t>
      </w:r>
      <w:r w:rsidR="006F22BC" w:rsidRPr="00795222">
        <w:rPr>
          <w:rFonts w:asciiTheme="majorBidi" w:hAnsiTheme="majorBidi" w:cstheme="majorBidi"/>
          <w:sz w:val="24"/>
          <w:szCs w:val="24"/>
          <w:lang w:val="en-US"/>
        </w:rPr>
        <w:t>. D</w:t>
      </w:r>
      <w:r w:rsidRPr="00795222">
        <w:rPr>
          <w:rFonts w:asciiTheme="majorBidi" w:hAnsiTheme="majorBidi" w:cstheme="majorBidi"/>
          <w:sz w:val="24"/>
          <w:szCs w:val="24"/>
          <w:lang w:val="en-US"/>
        </w:rPr>
        <w:t>iluted LPHN</w:t>
      </w:r>
      <w:r w:rsidR="000F3D24" w:rsidRPr="00795222">
        <w:rPr>
          <w:rFonts w:asciiTheme="majorBidi" w:hAnsiTheme="majorBidi" w:cstheme="majorBidi"/>
          <w:sz w:val="24"/>
          <w:szCs w:val="24"/>
          <w:lang w:val="en-US"/>
        </w:rPr>
        <w:t>s</w:t>
      </w:r>
      <w:r w:rsidRPr="00795222">
        <w:rPr>
          <w:rFonts w:asciiTheme="majorBidi" w:hAnsiTheme="majorBidi" w:cstheme="majorBidi"/>
          <w:sz w:val="24"/>
          <w:szCs w:val="24"/>
          <w:lang w:val="en-US"/>
        </w:rPr>
        <w:t xml:space="preserve"> dispersions </w:t>
      </w:r>
      <w:r w:rsidR="006F22BC" w:rsidRPr="00795222">
        <w:rPr>
          <w:rFonts w:asciiTheme="majorBidi" w:hAnsiTheme="majorBidi" w:cstheme="majorBidi"/>
          <w:sz w:val="24"/>
          <w:szCs w:val="24"/>
          <w:lang w:val="en-US"/>
        </w:rPr>
        <w:t xml:space="preserve">were used </w:t>
      </w:r>
      <w:r w:rsidRPr="00795222">
        <w:rPr>
          <w:rFonts w:asciiTheme="majorBidi" w:hAnsiTheme="majorBidi" w:cstheme="majorBidi"/>
          <w:sz w:val="24"/>
          <w:szCs w:val="24"/>
          <w:lang w:val="en-US"/>
        </w:rPr>
        <w:t xml:space="preserve">to limit particles aggregation, </w:t>
      </w:r>
      <w:r w:rsidR="006F22BC" w:rsidRPr="00795222">
        <w:rPr>
          <w:rFonts w:asciiTheme="majorBidi" w:hAnsiTheme="majorBidi" w:cstheme="majorBidi"/>
          <w:sz w:val="24"/>
          <w:szCs w:val="24"/>
          <w:lang w:val="en-US"/>
        </w:rPr>
        <w:t xml:space="preserve">and </w:t>
      </w:r>
      <w:r w:rsidRPr="00795222">
        <w:rPr>
          <w:rFonts w:asciiTheme="majorBidi" w:hAnsiTheme="majorBidi" w:cstheme="majorBidi"/>
          <w:sz w:val="24"/>
          <w:szCs w:val="24"/>
          <w:lang w:val="en-US"/>
        </w:rPr>
        <w:t xml:space="preserve">a </w:t>
      </w:r>
      <w:r w:rsidR="00CA72DB" w:rsidRPr="00795222">
        <w:rPr>
          <w:rFonts w:asciiTheme="majorBidi" w:hAnsiTheme="majorBidi" w:cstheme="majorBidi"/>
          <w:sz w:val="24"/>
          <w:szCs w:val="24"/>
          <w:lang w:val="en-US"/>
        </w:rPr>
        <w:t xml:space="preserve">volume </w:t>
      </w:r>
      <w:r w:rsidRPr="00795222">
        <w:rPr>
          <w:rFonts w:asciiTheme="majorBidi" w:hAnsiTheme="majorBidi" w:cstheme="majorBidi"/>
          <w:sz w:val="24"/>
          <w:szCs w:val="24"/>
          <w:lang w:val="en-US"/>
        </w:rPr>
        <w:t>ratio of LPHNs dispersion/</w:t>
      </w:r>
      <w:r w:rsidR="0051529C" w:rsidRPr="00795222">
        <w:rPr>
          <w:rFonts w:asciiTheme="majorBidi" w:hAnsiTheme="majorBidi" w:cstheme="majorBidi"/>
          <w:sz w:val="24"/>
          <w:szCs w:val="24"/>
          <w:lang w:val="en-US"/>
        </w:rPr>
        <w:t>deionized</w:t>
      </w:r>
      <w:r w:rsidR="00A52CB1"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t>water/cryoprotectant solution (0.</w:t>
      </w:r>
      <w:r w:rsidR="00F66152" w:rsidRPr="00795222">
        <w:rPr>
          <w:rFonts w:asciiTheme="majorBidi" w:hAnsiTheme="majorBidi" w:cstheme="majorBidi"/>
          <w:sz w:val="24"/>
          <w:szCs w:val="24"/>
          <w:lang w:val="en-US"/>
        </w:rPr>
        <w:t>4</w:t>
      </w:r>
      <w:r w:rsidRPr="00795222">
        <w:rPr>
          <w:rFonts w:asciiTheme="majorBidi" w:hAnsiTheme="majorBidi" w:cstheme="majorBidi"/>
          <w:sz w:val="24"/>
          <w:szCs w:val="24"/>
          <w:lang w:val="en-US"/>
        </w:rPr>
        <w:t>:0.</w:t>
      </w:r>
      <w:r w:rsidR="00F66152" w:rsidRPr="00795222">
        <w:rPr>
          <w:rFonts w:asciiTheme="majorBidi" w:hAnsiTheme="majorBidi" w:cstheme="majorBidi"/>
          <w:sz w:val="24"/>
          <w:szCs w:val="24"/>
          <w:lang w:val="en-US"/>
        </w:rPr>
        <w:t>6</w:t>
      </w:r>
      <w:r w:rsidRPr="00795222">
        <w:rPr>
          <w:rFonts w:asciiTheme="majorBidi" w:hAnsiTheme="majorBidi" w:cstheme="majorBidi"/>
          <w:sz w:val="24"/>
          <w:szCs w:val="24"/>
          <w:lang w:val="en-US"/>
        </w:rPr>
        <w:t>:1)</w:t>
      </w:r>
      <w:r w:rsidR="006F22BC" w:rsidRPr="00795222">
        <w:rPr>
          <w:rFonts w:asciiTheme="majorBidi" w:hAnsiTheme="majorBidi" w:cstheme="majorBidi"/>
          <w:sz w:val="24"/>
          <w:szCs w:val="24"/>
          <w:lang w:val="en-US"/>
        </w:rPr>
        <w:t xml:space="preserve"> obtained</w:t>
      </w:r>
      <w:r w:rsidRPr="00795222">
        <w:rPr>
          <w:rFonts w:asciiTheme="majorBidi" w:hAnsiTheme="majorBidi" w:cstheme="majorBidi"/>
          <w:sz w:val="24"/>
          <w:szCs w:val="24"/>
          <w:lang w:val="en-US"/>
        </w:rPr>
        <w:t xml:space="preserve">. </w:t>
      </w:r>
      <w:r w:rsidR="00040F1F" w:rsidRPr="00795222">
        <w:rPr>
          <w:rFonts w:asciiTheme="majorBidi" w:hAnsiTheme="majorBidi" w:cstheme="majorBidi"/>
          <w:sz w:val="24"/>
          <w:szCs w:val="24"/>
          <w:lang w:val="en-US"/>
        </w:rPr>
        <w:t>T</w:t>
      </w:r>
      <w:r w:rsidRPr="00795222">
        <w:rPr>
          <w:rFonts w:asciiTheme="majorBidi" w:hAnsiTheme="majorBidi" w:cstheme="majorBidi"/>
          <w:sz w:val="24"/>
          <w:szCs w:val="24"/>
          <w:lang w:val="en-US"/>
        </w:rPr>
        <w:t>he LPHN</w:t>
      </w:r>
      <w:r w:rsidR="00A74DD8" w:rsidRPr="00795222">
        <w:rPr>
          <w:rFonts w:asciiTheme="majorBidi" w:hAnsiTheme="majorBidi" w:cstheme="majorBidi"/>
          <w:sz w:val="24"/>
          <w:szCs w:val="24"/>
          <w:lang w:val="en-US"/>
        </w:rPr>
        <w:t>s</w:t>
      </w:r>
      <w:r w:rsidRPr="00795222">
        <w:rPr>
          <w:rFonts w:asciiTheme="majorBidi" w:hAnsiTheme="majorBidi" w:cstheme="majorBidi"/>
          <w:sz w:val="24"/>
          <w:szCs w:val="24"/>
          <w:lang w:val="en-US"/>
        </w:rPr>
        <w:t>/cryoprotectant mixture</w:t>
      </w:r>
      <w:r w:rsidR="006F22BC" w:rsidRPr="00795222">
        <w:rPr>
          <w:rFonts w:asciiTheme="majorBidi" w:hAnsiTheme="majorBidi" w:cstheme="majorBidi"/>
          <w:sz w:val="24"/>
          <w:szCs w:val="24"/>
          <w:lang w:val="en-US"/>
        </w:rPr>
        <w:t>s</w:t>
      </w:r>
      <w:r w:rsidRPr="00795222">
        <w:rPr>
          <w:rFonts w:asciiTheme="majorBidi" w:hAnsiTheme="majorBidi" w:cstheme="majorBidi"/>
          <w:sz w:val="24"/>
          <w:szCs w:val="24"/>
          <w:lang w:val="en-US"/>
        </w:rPr>
        <w:t xml:space="preserve"> </w:t>
      </w:r>
      <w:r w:rsidR="00040F1F" w:rsidRPr="00795222">
        <w:rPr>
          <w:rFonts w:asciiTheme="majorBidi" w:hAnsiTheme="majorBidi" w:cstheme="majorBidi"/>
          <w:sz w:val="24"/>
          <w:szCs w:val="24"/>
          <w:lang w:val="en-US"/>
        </w:rPr>
        <w:t xml:space="preserve">(2 mL) </w:t>
      </w:r>
      <w:r w:rsidRPr="00795222">
        <w:rPr>
          <w:rFonts w:asciiTheme="majorBidi" w:hAnsiTheme="majorBidi" w:cstheme="majorBidi"/>
          <w:sz w:val="24"/>
          <w:szCs w:val="24"/>
          <w:lang w:val="en-US"/>
        </w:rPr>
        <w:t>were placed in 1</w:t>
      </w:r>
      <w:r w:rsidR="00040F1F" w:rsidRPr="00795222">
        <w:rPr>
          <w:rFonts w:asciiTheme="majorBidi" w:hAnsiTheme="majorBidi" w:cstheme="majorBidi"/>
          <w:sz w:val="24"/>
          <w:szCs w:val="24"/>
          <w:lang w:val="en-US"/>
        </w:rPr>
        <w:t>4</w:t>
      </w:r>
      <w:r w:rsidRPr="00795222">
        <w:rPr>
          <w:rFonts w:asciiTheme="majorBidi" w:hAnsiTheme="majorBidi" w:cstheme="majorBidi"/>
          <w:sz w:val="24"/>
          <w:szCs w:val="24"/>
          <w:lang w:val="en-US"/>
        </w:rPr>
        <w:t xml:space="preserve"> mL vials and </w:t>
      </w:r>
      <w:r w:rsidR="006F22BC" w:rsidRPr="00795222">
        <w:rPr>
          <w:rFonts w:asciiTheme="majorBidi" w:hAnsiTheme="majorBidi" w:cstheme="majorBidi"/>
          <w:sz w:val="24"/>
          <w:szCs w:val="24"/>
          <w:lang w:val="en-US"/>
        </w:rPr>
        <w:t>snap-</w:t>
      </w:r>
      <w:r w:rsidRPr="00795222">
        <w:rPr>
          <w:rFonts w:asciiTheme="majorBidi" w:hAnsiTheme="majorBidi" w:cstheme="majorBidi"/>
          <w:sz w:val="24"/>
          <w:szCs w:val="24"/>
          <w:lang w:val="en-US"/>
        </w:rPr>
        <w:t xml:space="preserve">frozen </w:t>
      </w:r>
      <w:r w:rsidR="006F22BC" w:rsidRPr="00795222">
        <w:rPr>
          <w:rFonts w:asciiTheme="majorBidi" w:hAnsiTheme="majorBidi" w:cstheme="majorBidi"/>
          <w:sz w:val="24"/>
          <w:szCs w:val="24"/>
          <w:lang w:val="en-US"/>
        </w:rPr>
        <w:t xml:space="preserve">in </w:t>
      </w:r>
      <w:r w:rsidRPr="00795222">
        <w:rPr>
          <w:rFonts w:asciiTheme="majorBidi" w:hAnsiTheme="majorBidi" w:cstheme="majorBidi"/>
          <w:sz w:val="24"/>
          <w:szCs w:val="24"/>
          <w:lang w:val="en-US"/>
        </w:rPr>
        <w:t>liquid nitrogen</w:t>
      </w:r>
      <w:r w:rsidR="006F22BC" w:rsidRPr="00795222">
        <w:rPr>
          <w:rFonts w:asciiTheme="majorBidi" w:hAnsiTheme="majorBidi" w:cstheme="majorBidi"/>
          <w:sz w:val="24"/>
          <w:szCs w:val="24"/>
          <w:lang w:val="en-US"/>
        </w:rPr>
        <w:t xml:space="preserve">, the solid mixture was then </w:t>
      </w:r>
      <w:r w:rsidRPr="00795222">
        <w:rPr>
          <w:rFonts w:asciiTheme="majorBidi" w:hAnsiTheme="majorBidi" w:cstheme="majorBidi"/>
          <w:sz w:val="24"/>
          <w:szCs w:val="24"/>
          <w:lang w:val="en-US"/>
        </w:rPr>
        <w:t>placed in the freeze-drier for 4 days</w:t>
      </w:r>
      <w:r w:rsidR="006F22BC" w:rsidRPr="00795222">
        <w:rPr>
          <w:rFonts w:asciiTheme="majorBidi" w:hAnsiTheme="majorBidi" w:cstheme="majorBidi"/>
          <w:sz w:val="24"/>
          <w:szCs w:val="24"/>
          <w:lang w:val="en-US"/>
        </w:rPr>
        <w:t xml:space="preserve"> resulting in a solid monolith</w:t>
      </w:r>
      <w:r w:rsidR="003A3BD6" w:rsidRPr="00795222">
        <w:rPr>
          <w:rFonts w:asciiTheme="majorBidi" w:hAnsiTheme="majorBidi" w:cstheme="majorBidi"/>
          <w:sz w:val="24"/>
          <w:szCs w:val="24"/>
          <w:lang w:val="en-US"/>
        </w:rPr>
        <w:t xml:space="preserve"> in the form of white fluffy powder</w:t>
      </w:r>
      <w:r w:rsidRPr="00795222">
        <w:rPr>
          <w:rFonts w:asciiTheme="majorBidi" w:hAnsiTheme="majorBidi" w:cstheme="majorBidi"/>
          <w:sz w:val="24"/>
          <w:szCs w:val="24"/>
          <w:lang w:val="en-US"/>
        </w:rPr>
        <w:t>.  </w:t>
      </w:r>
    </w:p>
    <w:p w14:paraId="57696A5F" w14:textId="6C930DFE" w:rsidR="004E2F8F" w:rsidRPr="00795222" w:rsidRDefault="001F701C" w:rsidP="00657F6C">
      <w:pPr>
        <w:pStyle w:val="Heading3"/>
        <w:spacing w:line="360" w:lineRule="auto"/>
        <w:jc w:val="both"/>
        <w:rPr>
          <w:rFonts w:asciiTheme="majorBidi" w:hAnsiTheme="majorBidi"/>
          <w:lang w:val="en-US"/>
        </w:rPr>
      </w:pPr>
      <w:r w:rsidRPr="00795222">
        <w:rPr>
          <w:rFonts w:asciiTheme="majorBidi" w:hAnsiTheme="majorBidi"/>
          <w:lang w:val="en-US"/>
        </w:rPr>
        <w:t> </w:t>
      </w:r>
      <w:r w:rsidR="0051529C" w:rsidRPr="00795222">
        <w:rPr>
          <w:rFonts w:asciiTheme="majorBidi" w:hAnsiTheme="majorBidi"/>
          <w:lang w:val="en-US"/>
        </w:rPr>
        <w:t>Characterization</w:t>
      </w:r>
      <w:r w:rsidRPr="00795222">
        <w:rPr>
          <w:rFonts w:asciiTheme="majorBidi" w:hAnsiTheme="majorBidi"/>
          <w:lang w:val="en-US"/>
        </w:rPr>
        <w:t xml:space="preserve"> of the size and morphology of LPHNs</w:t>
      </w:r>
    </w:p>
    <w:p w14:paraId="21DD68BE" w14:textId="2CEC0C0F" w:rsidR="001F701C" w:rsidRPr="00795222" w:rsidRDefault="001F701C" w:rsidP="00657F6C">
      <w:p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lang w:val="en-US"/>
        </w:rPr>
        <w:t xml:space="preserve">The </w:t>
      </w:r>
      <w:r w:rsidR="00040F1F" w:rsidRPr="00795222">
        <w:rPr>
          <w:rFonts w:asciiTheme="majorBidi" w:hAnsiTheme="majorBidi" w:cstheme="majorBidi"/>
          <w:sz w:val="24"/>
          <w:szCs w:val="24"/>
          <w:lang w:val="en-US"/>
        </w:rPr>
        <w:t xml:space="preserve">predominant </w:t>
      </w:r>
      <w:r w:rsidRPr="00795222">
        <w:rPr>
          <w:rFonts w:asciiTheme="majorBidi" w:hAnsiTheme="majorBidi" w:cstheme="majorBidi"/>
          <w:sz w:val="24"/>
          <w:szCs w:val="24"/>
          <w:lang w:val="en-US"/>
        </w:rPr>
        <w:t>analytical method used to determine the size</w:t>
      </w:r>
      <w:r w:rsidR="00040F1F" w:rsidRPr="00795222">
        <w:rPr>
          <w:rFonts w:asciiTheme="majorBidi" w:hAnsiTheme="majorBidi" w:cstheme="majorBidi"/>
          <w:sz w:val="24"/>
          <w:szCs w:val="24"/>
          <w:lang w:val="en-US"/>
        </w:rPr>
        <w:t xml:space="preserve"> of LPHNs</w:t>
      </w:r>
      <w:r w:rsidRPr="00795222">
        <w:rPr>
          <w:rFonts w:asciiTheme="majorBidi" w:hAnsiTheme="majorBidi" w:cstheme="majorBidi"/>
          <w:sz w:val="24"/>
          <w:szCs w:val="24"/>
          <w:lang w:val="en-US"/>
        </w:rPr>
        <w:t xml:space="preserve"> was dynamic light scattering (DLS). Scanning electron microscopy (SEM) </w:t>
      </w:r>
      <w:r w:rsidR="00CA39EF" w:rsidRPr="00795222">
        <w:rPr>
          <w:rFonts w:asciiTheme="majorBidi" w:hAnsiTheme="majorBidi" w:cstheme="majorBidi"/>
          <w:sz w:val="24"/>
          <w:szCs w:val="24"/>
          <w:lang w:val="en-US"/>
        </w:rPr>
        <w:t xml:space="preserve">and </w:t>
      </w:r>
      <w:r w:rsidR="006F22BC" w:rsidRPr="00795222">
        <w:rPr>
          <w:rFonts w:asciiTheme="majorBidi" w:hAnsiTheme="majorBidi" w:cstheme="majorBidi"/>
          <w:sz w:val="24"/>
          <w:szCs w:val="24"/>
          <w:lang w:val="en-US"/>
        </w:rPr>
        <w:t>t</w:t>
      </w:r>
      <w:r w:rsidR="00CA39EF" w:rsidRPr="00795222">
        <w:rPr>
          <w:rFonts w:asciiTheme="majorBidi" w:hAnsiTheme="majorBidi" w:cstheme="majorBidi"/>
          <w:sz w:val="24"/>
          <w:szCs w:val="24"/>
          <w:lang w:val="en-US"/>
        </w:rPr>
        <w:t>ransmission electron microscopy (TEM) were</w:t>
      </w:r>
      <w:r w:rsidRPr="00795222">
        <w:rPr>
          <w:rFonts w:asciiTheme="majorBidi" w:hAnsiTheme="majorBidi" w:cstheme="majorBidi"/>
          <w:sz w:val="24"/>
          <w:szCs w:val="24"/>
          <w:lang w:val="en-US"/>
        </w:rPr>
        <w:t xml:space="preserve"> </w:t>
      </w:r>
      <w:r w:rsidR="00AF3602" w:rsidRPr="00795222">
        <w:rPr>
          <w:rFonts w:asciiTheme="majorBidi" w:hAnsiTheme="majorBidi" w:cstheme="majorBidi"/>
          <w:sz w:val="24"/>
          <w:szCs w:val="24"/>
          <w:lang w:val="en-US"/>
        </w:rPr>
        <w:t xml:space="preserve">also </w:t>
      </w:r>
      <w:r w:rsidRPr="00795222">
        <w:rPr>
          <w:rFonts w:asciiTheme="majorBidi" w:hAnsiTheme="majorBidi" w:cstheme="majorBidi"/>
          <w:sz w:val="24"/>
          <w:szCs w:val="24"/>
          <w:lang w:val="en-US"/>
        </w:rPr>
        <w:t xml:space="preserve">used for </w:t>
      </w:r>
      <w:r w:rsidR="0051529C" w:rsidRPr="00795222">
        <w:rPr>
          <w:rFonts w:asciiTheme="majorBidi" w:hAnsiTheme="majorBidi" w:cstheme="majorBidi"/>
          <w:sz w:val="24"/>
          <w:szCs w:val="24"/>
          <w:lang w:val="en-US"/>
        </w:rPr>
        <w:t>characterization</w:t>
      </w:r>
      <w:r w:rsidRPr="00795222">
        <w:rPr>
          <w:rFonts w:asciiTheme="majorBidi" w:hAnsiTheme="majorBidi" w:cstheme="majorBidi"/>
          <w:sz w:val="24"/>
          <w:szCs w:val="24"/>
          <w:lang w:val="en-US"/>
        </w:rPr>
        <w:t xml:space="preserve"> of the morphology and size of </w:t>
      </w:r>
      <w:r w:rsidR="006F22BC" w:rsidRPr="00795222">
        <w:rPr>
          <w:rFonts w:asciiTheme="majorBidi" w:hAnsiTheme="majorBidi" w:cstheme="majorBidi"/>
          <w:sz w:val="24"/>
          <w:szCs w:val="24"/>
          <w:lang w:val="en-US"/>
        </w:rPr>
        <w:t xml:space="preserve">selected </w:t>
      </w:r>
      <w:r w:rsidRPr="00795222">
        <w:rPr>
          <w:rFonts w:asciiTheme="majorBidi" w:hAnsiTheme="majorBidi" w:cstheme="majorBidi"/>
          <w:sz w:val="24"/>
          <w:szCs w:val="24"/>
          <w:lang w:val="en-US"/>
        </w:rPr>
        <w:t xml:space="preserve">samples. DLS measurements were performed using a Malvern Zetasizer Nano ZS (Malvern Instruments, Malvern, UK) with a detector positioned at 173°. The </w:t>
      </w:r>
      <w:r w:rsidR="00A917FF" w:rsidRPr="00795222">
        <w:rPr>
          <w:rFonts w:asciiTheme="majorBidi" w:hAnsiTheme="majorBidi" w:cstheme="majorBidi"/>
          <w:sz w:val="24"/>
          <w:szCs w:val="24"/>
          <w:lang w:val="en-US"/>
        </w:rPr>
        <w:t>concentration</w:t>
      </w:r>
      <w:r w:rsidR="003C5C35" w:rsidRPr="00795222">
        <w:rPr>
          <w:rFonts w:asciiTheme="majorBidi" w:hAnsiTheme="majorBidi" w:cstheme="majorBidi"/>
          <w:sz w:val="24"/>
          <w:szCs w:val="24"/>
          <w:lang w:val="en-US"/>
        </w:rPr>
        <w:t xml:space="preserve"> range</w:t>
      </w:r>
      <w:r w:rsidR="00A917FF" w:rsidRPr="00795222">
        <w:rPr>
          <w:rFonts w:asciiTheme="majorBidi" w:hAnsiTheme="majorBidi" w:cstheme="majorBidi"/>
          <w:sz w:val="24"/>
          <w:szCs w:val="24"/>
          <w:lang w:val="en-US"/>
        </w:rPr>
        <w:t xml:space="preserve"> of </w:t>
      </w:r>
      <w:r w:rsidR="003C5C35" w:rsidRPr="00795222">
        <w:rPr>
          <w:rFonts w:asciiTheme="majorBidi" w:hAnsiTheme="majorBidi" w:cstheme="majorBidi"/>
          <w:sz w:val="24"/>
          <w:szCs w:val="24"/>
          <w:lang w:val="en-US"/>
        </w:rPr>
        <w:t xml:space="preserve">the </w:t>
      </w:r>
      <w:r w:rsidR="00252348" w:rsidRPr="00795222">
        <w:rPr>
          <w:rFonts w:asciiTheme="majorBidi" w:hAnsiTheme="majorBidi" w:cstheme="majorBidi"/>
          <w:sz w:val="24"/>
          <w:szCs w:val="24"/>
          <w:lang w:val="en-US"/>
        </w:rPr>
        <w:t>LPHNs dispersions</w:t>
      </w:r>
      <w:r w:rsidR="00A917FF" w:rsidRPr="00795222">
        <w:rPr>
          <w:rFonts w:asciiTheme="majorBidi" w:hAnsiTheme="majorBidi" w:cstheme="majorBidi"/>
          <w:sz w:val="24"/>
          <w:szCs w:val="24"/>
          <w:lang w:val="en-US"/>
        </w:rPr>
        <w:t xml:space="preserve"> </w:t>
      </w:r>
      <w:r w:rsidR="0051529C" w:rsidRPr="00795222">
        <w:rPr>
          <w:rFonts w:asciiTheme="majorBidi" w:hAnsiTheme="majorBidi" w:cstheme="majorBidi"/>
          <w:sz w:val="24"/>
          <w:szCs w:val="24"/>
          <w:lang w:val="en-US"/>
        </w:rPr>
        <w:t>analyzed</w:t>
      </w:r>
      <w:r w:rsidRPr="00795222">
        <w:rPr>
          <w:rFonts w:asciiTheme="majorBidi" w:hAnsiTheme="majorBidi" w:cstheme="majorBidi"/>
          <w:sz w:val="24"/>
          <w:szCs w:val="24"/>
          <w:lang w:val="en-US"/>
        </w:rPr>
        <w:t xml:space="preserve"> </w:t>
      </w:r>
      <w:r w:rsidR="00E94931" w:rsidRPr="00795222">
        <w:rPr>
          <w:rFonts w:asciiTheme="majorBidi" w:hAnsiTheme="majorBidi" w:cstheme="majorBidi"/>
          <w:sz w:val="24"/>
          <w:szCs w:val="24"/>
          <w:lang w:val="en-US"/>
        </w:rPr>
        <w:t xml:space="preserve">was </w:t>
      </w:r>
      <w:r w:rsidR="00426654" w:rsidRPr="00795222">
        <w:rPr>
          <w:rFonts w:asciiTheme="majorBidi" w:hAnsiTheme="majorBidi" w:cstheme="majorBidi"/>
          <w:sz w:val="24"/>
          <w:szCs w:val="24"/>
        </w:rPr>
        <w:t>(0.65- 1) mg/m</w:t>
      </w:r>
      <w:r w:rsidR="00C45556" w:rsidRPr="00795222">
        <w:rPr>
          <w:rFonts w:asciiTheme="majorBidi" w:hAnsiTheme="majorBidi" w:cstheme="majorBidi"/>
          <w:sz w:val="24"/>
          <w:szCs w:val="24"/>
        </w:rPr>
        <w:t>L</w:t>
      </w:r>
      <w:r w:rsidR="00FE07A9" w:rsidRPr="00795222">
        <w:rPr>
          <w:rFonts w:asciiTheme="majorBidi" w:hAnsiTheme="majorBidi" w:cstheme="majorBidi"/>
          <w:sz w:val="24"/>
          <w:szCs w:val="24"/>
        </w:rPr>
        <w:t>,</w:t>
      </w:r>
      <w:r w:rsidR="00210F38" w:rsidRPr="00795222">
        <w:rPr>
          <w:rFonts w:asciiTheme="majorBidi" w:hAnsiTheme="majorBidi" w:cstheme="majorBidi"/>
          <w:sz w:val="24"/>
          <w:szCs w:val="24"/>
        </w:rPr>
        <w:t xml:space="preserve"> </w:t>
      </w:r>
      <w:r w:rsidR="004827F3" w:rsidRPr="00795222">
        <w:rPr>
          <w:rFonts w:asciiTheme="majorBidi" w:hAnsiTheme="majorBidi" w:cstheme="majorBidi"/>
          <w:sz w:val="24"/>
          <w:szCs w:val="24"/>
          <w:lang w:val="en-US"/>
        </w:rPr>
        <w:t>when the</w:t>
      </w:r>
      <w:r w:rsidR="003240EA" w:rsidRPr="00795222">
        <w:rPr>
          <w:rFonts w:asciiTheme="majorBidi" w:hAnsiTheme="majorBidi" w:cstheme="majorBidi"/>
          <w:sz w:val="24"/>
          <w:szCs w:val="24"/>
          <w:lang w:val="en-US"/>
        </w:rPr>
        <w:t>se</w:t>
      </w:r>
      <w:r w:rsidR="004827F3" w:rsidRPr="00795222">
        <w:rPr>
          <w:rFonts w:asciiTheme="majorBidi" w:hAnsiTheme="majorBidi" w:cstheme="majorBidi"/>
          <w:sz w:val="24"/>
          <w:szCs w:val="24"/>
          <w:lang w:val="en-US"/>
        </w:rPr>
        <w:t xml:space="preserve"> samples were measured in PBS </w:t>
      </w:r>
      <w:r w:rsidR="00B354C3" w:rsidRPr="00795222">
        <w:rPr>
          <w:rFonts w:asciiTheme="majorBidi" w:hAnsiTheme="majorBidi" w:cstheme="majorBidi"/>
          <w:sz w:val="24"/>
          <w:szCs w:val="24"/>
          <w:lang w:val="en-US"/>
        </w:rPr>
        <w:t xml:space="preserve">solution </w:t>
      </w:r>
      <w:r w:rsidR="00EC7B1D" w:rsidRPr="00795222">
        <w:rPr>
          <w:rFonts w:asciiTheme="majorBidi" w:hAnsiTheme="majorBidi" w:cstheme="majorBidi"/>
          <w:sz w:val="24"/>
          <w:szCs w:val="24"/>
          <w:lang w:val="en-US"/>
        </w:rPr>
        <w:t xml:space="preserve">(pH 7.4) </w:t>
      </w:r>
      <w:r w:rsidR="004827F3" w:rsidRPr="00795222">
        <w:rPr>
          <w:rFonts w:asciiTheme="majorBidi" w:hAnsiTheme="majorBidi" w:cstheme="majorBidi"/>
          <w:sz w:val="24"/>
          <w:szCs w:val="24"/>
          <w:lang w:val="en-US"/>
        </w:rPr>
        <w:t xml:space="preserve">or </w:t>
      </w:r>
      <w:r w:rsidR="00B354C3" w:rsidRPr="00795222">
        <w:rPr>
          <w:rFonts w:asciiTheme="majorBidi" w:hAnsiTheme="majorBidi" w:cstheme="majorBidi"/>
          <w:sz w:val="24"/>
          <w:szCs w:val="24"/>
          <w:lang w:val="en-US"/>
        </w:rPr>
        <w:t>simulated gastric fluid (SGF) (pH 1.2)</w:t>
      </w:r>
      <w:r w:rsidR="00C9060F" w:rsidRPr="00795222">
        <w:rPr>
          <w:rFonts w:asciiTheme="majorBidi" w:hAnsiTheme="majorBidi" w:cstheme="majorBidi"/>
          <w:sz w:val="24"/>
          <w:szCs w:val="24"/>
          <w:lang w:val="en-US"/>
        </w:rPr>
        <w:t>,</w:t>
      </w:r>
      <w:r w:rsidR="004827F3" w:rsidRPr="00795222">
        <w:rPr>
          <w:rFonts w:asciiTheme="majorBidi" w:hAnsiTheme="majorBidi" w:cstheme="majorBidi"/>
          <w:sz w:val="24"/>
          <w:szCs w:val="24"/>
          <w:lang w:val="en-US"/>
        </w:rPr>
        <w:t xml:space="preserve"> the above-mentioned concentration range was halved, as 0.5 mL of the LPHNs dispersions was diluted with either 0.5 mL of PBS</w:t>
      </w:r>
      <w:r w:rsidR="00917D0D" w:rsidRPr="00795222">
        <w:rPr>
          <w:rFonts w:asciiTheme="majorBidi" w:hAnsiTheme="majorBidi" w:cstheme="majorBidi"/>
          <w:sz w:val="24"/>
          <w:szCs w:val="24"/>
          <w:lang w:val="en-US"/>
        </w:rPr>
        <w:t xml:space="preserve"> solution</w:t>
      </w:r>
      <w:r w:rsidR="004827F3" w:rsidRPr="00795222">
        <w:rPr>
          <w:rFonts w:asciiTheme="majorBidi" w:hAnsiTheme="majorBidi" w:cstheme="majorBidi"/>
          <w:sz w:val="24"/>
          <w:szCs w:val="24"/>
          <w:lang w:val="en-US"/>
        </w:rPr>
        <w:t xml:space="preserve"> or </w:t>
      </w:r>
      <w:r w:rsidR="00EC7B1D" w:rsidRPr="00795222">
        <w:rPr>
          <w:rFonts w:asciiTheme="majorBidi" w:hAnsiTheme="majorBidi" w:cstheme="majorBidi"/>
          <w:sz w:val="24"/>
          <w:szCs w:val="24"/>
          <w:lang w:val="en-US"/>
        </w:rPr>
        <w:t>SGF.</w:t>
      </w:r>
      <w:r w:rsidR="004827F3" w:rsidRPr="00795222">
        <w:rPr>
          <w:rFonts w:asciiTheme="majorBidi" w:hAnsiTheme="majorBidi" w:cstheme="majorBidi"/>
          <w:sz w:val="24"/>
          <w:szCs w:val="24"/>
          <w:lang w:val="en-US"/>
        </w:rPr>
        <w:t xml:space="preserve"> </w:t>
      </w:r>
      <w:r w:rsidR="007568B2" w:rsidRPr="00795222">
        <w:rPr>
          <w:rFonts w:asciiTheme="majorBidi" w:hAnsiTheme="majorBidi" w:cstheme="majorBidi"/>
          <w:sz w:val="24"/>
          <w:szCs w:val="24"/>
          <w:lang w:val="en-US"/>
        </w:rPr>
        <w:t>T</w:t>
      </w:r>
      <w:r w:rsidR="00190014" w:rsidRPr="00795222">
        <w:rPr>
          <w:rFonts w:asciiTheme="majorBidi" w:hAnsiTheme="majorBidi" w:cstheme="majorBidi"/>
          <w:sz w:val="24"/>
          <w:szCs w:val="24"/>
          <w:lang w:val="en-US"/>
        </w:rPr>
        <w:t>he concentration of the re-dispersed freeze-dried formulation</w:t>
      </w:r>
      <w:r w:rsidR="00CB65AA" w:rsidRPr="00795222">
        <w:rPr>
          <w:rFonts w:asciiTheme="majorBidi" w:hAnsiTheme="majorBidi" w:cstheme="majorBidi"/>
          <w:sz w:val="24"/>
          <w:szCs w:val="24"/>
          <w:lang w:val="en-US"/>
        </w:rPr>
        <w:t>s</w:t>
      </w:r>
      <w:r w:rsidR="00190014" w:rsidRPr="00795222">
        <w:rPr>
          <w:rFonts w:asciiTheme="majorBidi" w:hAnsiTheme="majorBidi" w:cstheme="majorBidi"/>
          <w:sz w:val="24"/>
          <w:szCs w:val="24"/>
          <w:lang w:val="en-US"/>
        </w:rPr>
        <w:t xml:space="preserve"> was 1 mg/</w:t>
      </w:r>
      <w:proofErr w:type="spellStart"/>
      <w:r w:rsidR="00190014" w:rsidRPr="00795222">
        <w:rPr>
          <w:rFonts w:asciiTheme="majorBidi" w:hAnsiTheme="majorBidi" w:cstheme="majorBidi"/>
          <w:sz w:val="24"/>
          <w:szCs w:val="24"/>
          <w:lang w:val="en-US"/>
        </w:rPr>
        <w:t>m</w:t>
      </w:r>
      <w:r w:rsidR="00810523" w:rsidRPr="00795222">
        <w:rPr>
          <w:rFonts w:asciiTheme="majorBidi" w:hAnsiTheme="majorBidi" w:cstheme="majorBidi"/>
          <w:sz w:val="24"/>
          <w:szCs w:val="24"/>
          <w:lang w:val="en-US"/>
        </w:rPr>
        <w:t>L</w:t>
      </w:r>
      <w:r w:rsidR="00CB65AA" w:rsidRPr="00795222">
        <w:rPr>
          <w:rFonts w:asciiTheme="majorBidi" w:hAnsiTheme="majorBidi" w:cstheme="majorBidi"/>
          <w:sz w:val="24"/>
          <w:szCs w:val="24"/>
          <w:lang w:val="en-US"/>
        </w:rPr>
        <w:t>.</w:t>
      </w:r>
      <w:proofErr w:type="spellEnd"/>
      <w:r w:rsidR="00CB65AA" w:rsidRPr="00795222">
        <w:rPr>
          <w:rFonts w:asciiTheme="majorBidi" w:hAnsiTheme="majorBidi" w:cstheme="majorBidi"/>
          <w:sz w:val="24"/>
          <w:szCs w:val="24"/>
          <w:lang w:val="en-US"/>
        </w:rPr>
        <w:t xml:space="preserve"> </w:t>
      </w:r>
      <w:r w:rsidR="00596CDA" w:rsidRPr="00795222">
        <w:rPr>
          <w:rFonts w:asciiTheme="majorBidi" w:hAnsiTheme="majorBidi" w:cstheme="majorBidi"/>
          <w:sz w:val="24"/>
          <w:szCs w:val="24"/>
          <w:lang w:val="en-US"/>
        </w:rPr>
        <w:t>The</w:t>
      </w:r>
      <w:r w:rsidRPr="00795222">
        <w:rPr>
          <w:rFonts w:asciiTheme="majorBidi" w:hAnsiTheme="majorBidi" w:cstheme="majorBidi"/>
          <w:sz w:val="24"/>
          <w:szCs w:val="24"/>
          <w:lang w:val="en-US"/>
        </w:rPr>
        <w:t xml:space="preserve"> measurements recorded at room temperature (25 °C). The measurements were </w:t>
      </w:r>
      <w:r w:rsidR="00A52CB1" w:rsidRPr="00795222">
        <w:rPr>
          <w:rFonts w:asciiTheme="majorBidi" w:hAnsiTheme="majorBidi" w:cstheme="majorBidi"/>
          <w:sz w:val="24"/>
          <w:szCs w:val="24"/>
          <w:lang w:val="en-US"/>
        </w:rPr>
        <w:t xml:space="preserve">carried out </w:t>
      </w:r>
      <w:r w:rsidRPr="00795222">
        <w:rPr>
          <w:rFonts w:asciiTheme="majorBidi" w:hAnsiTheme="majorBidi" w:cstheme="majorBidi"/>
          <w:sz w:val="24"/>
          <w:szCs w:val="24"/>
          <w:lang w:val="en-US"/>
        </w:rPr>
        <w:t>in triplicate to</w:t>
      </w:r>
      <w:r w:rsidR="00A52CB1" w:rsidRPr="00795222">
        <w:rPr>
          <w:rFonts w:asciiTheme="majorBidi" w:hAnsiTheme="majorBidi" w:cstheme="majorBidi"/>
          <w:sz w:val="24"/>
          <w:szCs w:val="24"/>
          <w:lang w:val="en-US"/>
        </w:rPr>
        <w:t xml:space="preserve"> obtain</w:t>
      </w:r>
      <w:r w:rsidRPr="00795222">
        <w:rPr>
          <w:rFonts w:asciiTheme="majorBidi" w:hAnsiTheme="majorBidi" w:cstheme="majorBidi"/>
          <w:sz w:val="24"/>
          <w:szCs w:val="24"/>
          <w:lang w:val="en-US"/>
        </w:rPr>
        <w:t xml:space="preserve"> the size average (Z-average) diameter and polydispersity index (PDI). </w:t>
      </w:r>
      <w:r w:rsidR="00CB65AA" w:rsidRPr="00795222">
        <w:rPr>
          <w:rFonts w:asciiTheme="majorBidi" w:hAnsiTheme="majorBidi" w:cstheme="majorBidi"/>
          <w:sz w:val="24"/>
          <w:szCs w:val="24"/>
          <w:lang w:val="en-US"/>
        </w:rPr>
        <w:t xml:space="preserve">PBS </w:t>
      </w:r>
      <w:r w:rsidR="00CB65AA" w:rsidRPr="00795222">
        <w:rPr>
          <w:rFonts w:asciiTheme="majorBidi" w:hAnsiTheme="majorBidi" w:cstheme="majorBidi"/>
          <w:sz w:val="24"/>
          <w:szCs w:val="24"/>
          <w:lang w:val="en-US"/>
        </w:rPr>
        <w:lastRenderedPageBreak/>
        <w:t>solution was prepared by dissolving 1 PBS tablet in 100 mL deionized water, while SGF</w:t>
      </w:r>
      <w:r w:rsidR="006F1F68" w:rsidRPr="00795222">
        <w:rPr>
          <w:rFonts w:asciiTheme="majorBidi" w:hAnsiTheme="majorBidi" w:cstheme="majorBidi"/>
          <w:sz w:val="24"/>
          <w:szCs w:val="24"/>
          <w:lang w:val="en-US"/>
        </w:rPr>
        <w:t xml:space="preserve"> was prepared by dissolving </w:t>
      </w:r>
      <w:r w:rsidR="00761469" w:rsidRPr="00795222">
        <w:rPr>
          <w:rFonts w:asciiTheme="majorBidi" w:hAnsiTheme="majorBidi" w:cstheme="majorBidi"/>
          <w:sz w:val="24"/>
          <w:szCs w:val="24"/>
          <w:lang w:val="en-US"/>
        </w:rPr>
        <w:t>2 g</w:t>
      </w:r>
      <w:r w:rsidR="00832014" w:rsidRPr="00795222">
        <w:rPr>
          <w:rFonts w:asciiTheme="majorBidi" w:hAnsiTheme="majorBidi" w:cstheme="majorBidi"/>
          <w:sz w:val="24"/>
          <w:szCs w:val="24"/>
          <w:lang w:val="en-US"/>
        </w:rPr>
        <w:t xml:space="preserve"> of NaCl and 7 mL concentrated HCl per 1000 mL deionized water.</w:t>
      </w:r>
    </w:p>
    <w:p w14:paraId="58873BD7" w14:textId="11AA3AAF" w:rsidR="009831F9" w:rsidRPr="00795222" w:rsidRDefault="001F701C" w:rsidP="00657F6C">
      <w:p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lang w:val="en-US"/>
        </w:rPr>
        <w:t>Samples were prepared for SEM imaging</w:t>
      </w:r>
      <w:r w:rsidR="00A52CB1" w:rsidRPr="00795222">
        <w:rPr>
          <w:rFonts w:asciiTheme="majorBidi" w:hAnsiTheme="majorBidi" w:cstheme="majorBidi"/>
          <w:sz w:val="24"/>
          <w:szCs w:val="24"/>
          <w:lang w:val="en-US"/>
        </w:rPr>
        <w:t xml:space="preserve"> by pipetting the</w:t>
      </w:r>
      <w:r w:rsidRPr="00795222">
        <w:rPr>
          <w:rFonts w:asciiTheme="majorBidi" w:hAnsiTheme="majorBidi" w:cstheme="majorBidi"/>
          <w:sz w:val="24"/>
          <w:szCs w:val="24"/>
          <w:lang w:val="en-US"/>
        </w:rPr>
        <w:t xml:space="preserve"> LPHNs </w:t>
      </w:r>
      <w:r w:rsidR="007D0E8D" w:rsidRPr="00795222">
        <w:rPr>
          <w:rFonts w:asciiTheme="majorBidi" w:hAnsiTheme="majorBidi" w:cstheme="majorBidi"/>
          <w:sz w:val="24"/>
          <w:szCs w:val="24"/>
          <w:lang w:val="en-US"/>
        </w:rPr>
        <w:t>dispersions</w:t>
      </w:r>
      <w:r w:rsidR="00C61177" w:rsidRPr="00795222">
        <w:rPr>
          <w:rFonts w:asciiTheme="majorBidi" w:hAnsiTheme="majorBidi" w:cstheme="majorBidi"/>
          <w:sz w:val="24"/>
          <w:szCs w:val="24"/>
          <w:lang w:val="en-US"/>
        </w:rPr>
        <w:t xml:space="preserve"> (</w:t>
      </w:r>
      <w:r w:rsidR="00E350F5" w:rsidRPr="00795222">
        <w:rPr>
          <w:rFonts w:asciiTheme="majorBidi" w:hAnsiTheme="majorBidi" w:cstheme="majorBidi"/>
          <w:sz w:val="24"/>
          <w:szCs w:val="24"/>
          <w:lang w:val="en-US"/>
        </w:rPr>
        <w:t xml:space="preserve">0.75- </w:t>
      </w:r>
      <w:r w:rsidR="00B64FAA" w:rsidRPr="00795222">
        <w:rPr>
          <w:rFonts w:asciiTheme="majorBidi" w:hAnsiTheme="majorBidi" w:cstheme="majorBidi"/>
          <w:sz w:val="24"/>
          <w:szCs w:val="24"/>
          <w:lang w:val="en-US"/>
        </w:rPr>
        <w:t xml:space="preserve">0.9 </w:t>
      </w:r>
      <w:r w:rsidR="00C61177" w:rsidRPr="00795222">
        <w:rPr>
          <w:rFonts w:asciiTheme="majorBidi" w:hAnsiTheme="majorBidi" w:cstheme="majorBidi"/>
          <w:sz w:val="24"/>
          <w:szCs w:val="24"/>
          <w:lang w:val="en-US"/>
        </w:rPr>
        <w:t>mg/mL)</w:t>
      </w:r>
      <w:r w:rsidR="00A52CB1" w:rsidRPr="00795222">
        <w:rPr>
          <w:rFonts w:asciiTheme="majorBidi" w:hAnsiTheme="majorBidi" w:cstheme="majorBidi"/>
          <w:sz w:val="24"/>
          <w:szCs w:val="24"/>
          <w:lang w:val="en-US"/>
        </w:rPr>
        <w:t xml:space="preserve"> onto glass</w:t>
      </w:r>
      <w:r w:rsidR="007D0E8D"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t>coverslips with 10 mm diameter</w:t>
      </w:r>
      <w:r w:rsidR="00A52CB1" w:rsidRPr="00795222">
        <w:rPr>
          <w:rFonts w:asciiTheme="majorBidi" w:hAnsiTheme="majorBidi" w:cstheme="majorBidi"/>
          <w:sz w:val="24"/>
          <w:szCs w:val="24"/>
          <w:lang w:val="en-US"/>
        </w:rPr>
        <w:t xml:space="preserve"> which were</w:t>
      </w:r>
      <w:r w:rsidRPr="00795222">
        <w:rPr>
          <w:rFonts w:asciiTheme="majorBidi" w:hAnsiTheme="majorBidi" w:cstheme="majorBidi"/>
          <w:sz w:val="24"/>
          <w:szCs w:val="24"/>
          <w:lang w:val="en-US"/>
        </w:rPr>
        <w:t xml:space="preserve"> attached to a carbon adhesive disc on</w:t>
      </w:r>
      <w:r w:rsidR="00A52CB1" w:rsidRPr="00795222">
        <w:rPr>
          <w:rFonts w:asciiTheme="majorBidi" w:hAnsiTheme="majorBidi" w:cstheme="majorBidi"/>
          <w:sz w:val="24"/>
          <w:szCs w:val="24"/>
          <w:lang w:val="en-US"/>
        </w:rPr>
        <w:t xml:space="preserve"> top of</w:t>
      </w:r>
      <w:r w:rsidRPr="00795222">
        <w:rPr>
          <w:rFonts w:asciiTheme="majorBidi" w:hAnsiTheme="majorBidi" w:cstheme="majorBidi"/>
          <w:sz w:val="24"/>
          <w:szCs w:val="24"/>
          <w:lang w:val="en-US"/>
        </w:rPr>
        <w:t xml:space="preserve"> an </w:t>
      </w:r>
      <w:r w:rsidR="0051529C" w:rsidRPr="00795222">
        <w:rPr>
          <w:rFonts w:asciiTheme="majorBidi" w:hAnsiTheme="majorBidi" w:cstheme="majorBidi"/>
          <w:sz w:val="24"/>
          <w:szCs w:val="24"/>
          <w:lang w:val="en-US"/>
        </w:rPr>
        <w:t>aluminum</w:t>
      </w:r>
      <w:r w:rsidRPr="00795222">
        <w:rPr>
          <w:rFonts w:asciiTheme="majorBidi" w:hAnsiTheme="majorBidi" w:cstheme="majorBidi"/>
          <w:sz w:val="24"/>
          <w:szCs w:val="24"/>
          <w:lang w:val="en-US"/>
        </w:rPr>
        <w:t xml:space="preserve"> SEM specimen stub (12.5 mm diameter). The samples were left to dry overnight, this was followed by coating with gold (EMITECH K550X) with a deposition current of 25 mA for 100 seconds before imaging. The size and the morphology of LPHNs were then determined using a Hitachi S-4800 FE-SEM at 3 kV.  </w:t>
      </w:r>
      <w:r w:rsidR="00023C3F" w:rsidRPr="00795222">
        <w:rPr>
          <w:rFonts w:asciiTheme="majorBidi" w:hAnsiTheme="majorBidi" w:cstheme="majorBidi"/>
          <w:sz w:val="24"/>
          <w:szCs w:val="24"/>
          <w:lang w:val="en-US"/>
        </w:rPr>
        <w:t>For TEM imaging</w:t>
      </w:r>
      <w:r w:rsidR="00F13D01" w:rsidRPr="00795222">
        <w:rPr>
          <w:rFonts w:asciiTheme="majorBidi" w:hAnsiTheme="majorBidi" w:cstheme="majorBidi"/>
          <w:sz w:val="24"/>
          <w:szCs w:val="24"/>
          <w:lang w:val="en-US"/>
        </w:rPr>
        <w:t xml:space="preserve">, the </w:t>
      </w:r>
      <w:r w:rsidR="00023C3F" w:rsidRPr="00795222">
        <w:rPr>
          <w:rFonts w:asciiTheme="majorBidi" w:hAnsiTheme="majorBidi" w:cstheme="majorBidi"/>
          <w:sz w:val="24"/>
          <w:szCs w:val="24"/>
          <w:lang w:val="en-US"/>
        </w:rPr>
        <w:t>s</w:t>
      </w:r>
      <w:r w:rsidR="00016CDB" w:rsidRPr="00795222">
        <w:rPr>
          <w:rFonts w:asciiTheme="majorBidi" w:hAnsiTheme="majorBidi" w:cstheme="majorBidi"/>
          <w:sz w:val="24"/>
          <w:szCs w:val="24"/>
          <w:lang w:val="en-US"/>
        </w:rPr>
        <w:t>ample</w:t>
      </w:r>
      <w:r w:rsidR="00C13DEF" w:rsidRPr="00795222">
        <w:rPr>
          <w:rFonts w:asciiTheme="majorBidi" w:hAnsiTheme="majorBidi" w:cstheme="majorBidi"/>
          <w:sz w:val="24"/>
          <w:szCs w:val="24"/>
          <w:lang w:val="en-US"/>
        </w:rPr>
        <w:t xml:space="preserve"> </w:t>
      </w:r>
      <w:r w:rsidR="00016CDB" w:rsidRPr="00795222">
        <w:rPr>
          <w:rFonts w:asciiTheme="majorBidi" w:hAnsiTheme="majorBidi" w:cstheme="majorBidi"/>
          <w:sz w:val="24"/>
          <w:szCs w:val="24"/>
          <w:lang w:val="en-US"/>
        </w:rPr>
        <w:t xml:space="preserve">was incubated on a </w:t>
      </w:r>
      <w:r w:rsidR="0051529C" w:rsidRPr="00795222">
        <w:rPr>
          <w:rFonts w:asciiTheme="majorBidi" w:hAnsiTheme="majorBidi" w:cstheme="majorBidi"/>
          <w:sz w:val="24"/>
          <w:szCs w:val="24"/>
          <w:lang w:val="en-US"/>
        </w:rPr>
        <w:t>200-mesh</w:t>
      </w:r>
      <w:r w:rsidR="00016CDB" w:rsidRPr="00795222">
        <w:rPr>
          <w:rFonts w:asciiTheme="majorBidi" w:hAnsiTheme="majorBidi" w:cstheme="majorBidi"/>
          <w:sz w:val="24"/>
          <w:szCs w:val="24"/>
          <w:lang w:val="en-US"/>
        </w:rPr>
        <w:t xml:space="preserve"> copper formvar/carbon grid for 15</w:t>
      </w:r>
      <w:r w:rsidR="00A52CB1" w:rsidRPr="00795222">
        <w:rPr>
          <w:rFonts w:asciiTheme="majorBidi" w:hAnsiTheme="majorBidi" w:cstheme="majorBidi"/>
          <w:sz w:val="24"/>
          <w:szCs w:val="24"/>
          <w:lang w:val="en-US"/>
        </w:rPr>
        <w:t xml:space="preserve"> </w:t>
      </w:r>
      <w:r w:rsidR="00016CDB" w:rsidRPr="00795222">
        <w:rPr>
          <w:rFonts w:asciiTheme="majorBidi" w:hAnsiTheme="majorBidi" w:cstheme="majorBidi"/>
          <w:sz w:val="24"/>
          <w:szCs w:val="24"/>
          <w:lang w:val="en-US"/>
        </w:rPr>
        <w:t>min</w:t>
      </w:r>
      <w:r w:rsidR="00A52CB1" w:rsidRPr="00795222">
        <w:rPr>
          <w:rFonts w:asciiTheme="majorBidi" w:hAnsiTheme="majorBidi" w:cstheme="majorBidi"/>
          <w:sz w:val="24"/>
          <w:szCs w:val="24"/>
          <w:lang w:val="en-US"/>
        </w:rPr>
        <w:t>utes</w:t>
      </w:r>
      <w:r w:rsidR="00016CDB" w:rsidRPr="00795222">
        <w:rPr>
          <w:rFonts w:asciiTheme="majorBidi" w:hAnsiTheme="majorBidi" w:cstheme="majorBidi"/>
          <w:sz w:val="24"/>
          <w:szCs w:val="24"/>
          <w:lang w:val="en-US"/>
        </w:rPr>
        <w:t xml:space="preserve">. Excess </w:t>
      </w:r>
      <w:r w:rsidR="00A52CB1" w:rsidRPr="00795222">
        <w:rPr>
          <w:rFonts w:asciiTheme="majorBidi" w:hAnsiTheme="majorBidi" w:cstheme="majorBidi"/>
          <w:sz w:val="24"/>
          <w:szCs w:val="24"/>
          <w:lang w:val="en-US"/>
        </w:rPr>
        <w:t>sample</w:t>
      </w:r>
      <w:r w:rsidR="00016CDB" w:rsidRPr="00795222">
        <w:rPr>
          <w:rFonts w:asciiTheme="majorBidi" w:hAnsiTheme="majorBidi" w:cstheme="majorBidi"/>
          <w:sz w:val="24"/>
          <w:szCs w:val="24"/>
          <w:lang w:val="en-US"/>
        </w:rPr>
        <w:t xml:space="preserve"> was wicked o</w:t>
      </w:r>
      <w:r w:rsidR="00F13D01" w:rsidRPr="00795222">
        <w:rPr>
          <w:rFonts w:asciiTheme="majorBidi" w:hAnsiTheme="majorBidi" w:cstheme="majorBidi"/>
          <w:sz w:val="24"/>
          <w:szCs w:val="24"/>
          <w:lang w:val="en-US"/>
        </w:rPr>
        <w:t>f</w:t>
      </w:r>
      <w:r w:rsidR="00016CDB" w:rsidRPr="00795222">
        <w:rPr>
          <w:rFonts w:asciiTheme="majorBidi" w:hAnsiTheme="majorBidi" w:cstheme="majorBidi"/>
          <w:sz w:val="24"/>
          <w:szCs w:val="24"/>
          <w:lang w:val="en-US"/>
        </w:rPr>
        <w:t xml:space="preserve">f with filter paper before incubating </w:t>
      </w:r>
      <w:r w:rsidR="00F13D01" w:rsidRPr="00795222">
        <w:rPr>
          <w:rFonts w:asciiTheme="majorBidi" w:hAnsiTheme="majorBidi" w:cstheme="majorBidi"/>
          <w:sz w:val="24"/>
          <w:szCs w:val="24"/>
          <w:lang w:val="en-US"/>
        </w:rPr>
        <w:t xml:space="preserve">the </w:t>
      </w:r>
      <w:r w:rsidR="00016CDB" w:rsidRPr="00795222">
        <w:rPr>
          <w:rFonts w:asciiTheme="majorBidi" w:hAnsiTheme="majorBidi" w:cstheme="majorBidi"/>
          <w:sz w:val="24"/>
          <w:szCs w:val="24"/>
          <w:lang w:val="en-US"/>
        </w:rPr>
        <w:t>grid on 2% aqueous</w:t>
      </w:r>
      <w:r w:rsidR="00BC7831" w:rsidRPr="00795222">
        <w:rPr>
          <w:rFonts w:asciiTheme="majorBidi" w:hAnsiTheme="majorBidi" w:cstheme="majorBidi"/>
          <w:sz w:val="24"/>
          <w:szCs w:val="24"/>
          <w:lang w:val="en-US"/>
        </w:rPr>
        <w:t xml:space="preserve"> ura</w:t>
      </w:r>
      <w:r w:rsidR="00EA6046" w:rsidRPr="00795222">
        <w:rPr>
          <w:rFonts w:asciiTheme="majorBidi" w:hAnsiTheme="majorBidi" w:cstheme="majorBidi"/>
          <w:sz w:val="24"/>
          <w:szCs w:val="24"/>
          <w:lang w:val="en-US"/>
        </w:rPr>
        <w:t>nyl acetate</w:t>
      </w:r>
      <w:r w:rsidR="00016CDB" w:rsidRPr="00795222">
        <w:rPr>
          <w:rFonts w:asciiTheme="majorBidi" w:hAnsiTheme="majorBidi" w:cstheme="majorBidi"/>
          <w:sz w:val="24"/>
          <w:szCs w:val="24"/>
          <w:lang w:val="en-US"/>
        </w:rPr>
        <w:t xml:space="preserve"> </w:t>
      </w:r>
      <w:r w:rsidR="00EA6046" w:rsidRPr="00795222">
        <w:rPr>
          <w:rFonts w:asciiTheme="majorBidi" w:hAnsiTheme="majorBidi" w:cstheme="majorBidi"/>
          <w:sz w:val="24"/>
          <w:szCs w:val="24"/>
          <w:lang w:val="en-US"/>
        </w:rPr>
        <w:t>(</w:t>
      </w:r>
      <w:r w:rsidR="00016CDB" w:rsidRPr="00795222">
        <w:rPr>
          <w:rFonts w:asciiTheme="majorBidi" w:hAnsiTheme="majorBidi" w:cstheme="majorBidi"/>
          <w:sz w:val="24"/>
          <w:szCs w:val="24"/>
          <w:lang w:val="en-US"/>
        </w:rPr>
        <w:t>UA</w:t>
      </w:r>
      <w:r w:rsidR="00EA6046" w:rsidRPr="00795222">
        <w:rPr>
          <w:rFonts w:asciiTheme="majorBidi" w:hAnsiTheme="majorBidi" w:cstheme="majorBidi"/>
          <w:sz w:val="24"/>
          <w:szCs w:val="24"/>
          <w:lang w:val="en-US"/>
        </w:rPr>
        <w:t>)</w:t>
      </w:r>
      <w:r w:rsidR="00016CDB" w:rsidRPr="00795222">
        <w:rPr>
          <w:rFonts w:asciiTheme="majorBidi" w:hAnsiTheme="majorBidi" w:cstheme="majorBidi"/>
          <w:sz w:val="24"/>
          <w:szCs w:val="24"/>
          <w:lang w:val="en-US"/>
        </w:rPr>
        <w:t xml:space="preserve"> for 1</w:t>
      </w:r>
      <w:r w:rsidR="00A52CB1" w:rsidRPr="00795222">
        <w:rPr>
          <w:rFonts w:asciiTheme="majorBidi" w:hAnsiTheme="majorBidi" w:cstheme="majorBidi"/>
          <w:sz w:val="24"/>
          <w:szCs w:val="24"/>
          <w:lang w:val="en-US"/>
        </w:rPr>
        <w:t xml:space="preserve"> </w:t>
      </w:r>
      <w:r w:rsidR="00016CDB" w:rsidRPr="00795222">
        <w:rPr>
          <w:rFonts w:asciiTheme="majorBidi" w:hAnsiTheme="majorBidi" w:cstheme="majorBidi"/>
          <w:sz w:val="24"/>
          <w:szCs w:val="24"/>
          <w:lang w:val="en-US"/>
        </w:rPr>
        <w:t>minute. Excess UA was wicked off, grids left to dry for 10</w:t>
      </w:r>
      <w:r w:rsidR="00A52CB1" w:rsidRPr="00795222">
        <w:rPr>
          <w:rFonts w:asciiTheme="majorBidi" w:hAnsiTheme="majorBidi" w:cstheme="majorBidi"/>
          <w:sz w:val="24"/>
          <w:szCs w:val="24"/>
          <w:lang w:val="en-US"/>
        </w:rPr>
        <w:t xml:space="preserve"> </w:t>
      </w:r>
      <w:r w:rsidR="00016CDB" w:rsidRPr="00795222">
        <w:rPr>
          <w:rFonts w:asciiTheme="majorBidi" w:hAnsiTheme="majorBidi" w:cstheme="majorBidi"/>
          <w:sz w:val="24"/>
          <w:szCs w:val="24"/>
          <w:lang w:val="en-US"/>
        </w:rPr>
        <w:t>min</w:t>
      </w:r>
      <w:r w:rsidR="00A52CB1" w:rsidRPr="00795222">
        <w:rPr>
          <w:rFonts w:asciiTheme="majorBidi" w:hAnsiTheme="majorBidi" w:cstheme="majorBidi"/>
          <w:sz w:val="24"/>
          <w:szCs w:val="24"/>
          <w:lang w:val="en-US"/>
        </w:rPr>
        <w:t>utes</w:t>
      </w:r>
      <w:r w:rsidR="00016CDB" w:rsidRPr="00795222">
        <w:rPr>
          <w:rFonts w:asciiTheme="majorBidi" w:hAnsiTheme="majorBidi" w:cstheme="majorBidi"/>
          <w:sz w:val="24"/>
          <w:szCs w:val="24"/>
          <w:lang w:val="en-US"/>
        </w:rPr>
        <w:t xml:space="preserve"> and then viewed at 120</w:t>
      </w:r>
      <w:r w:rsidR="00A52CB1" w:rsidRPr="00795222">
        <w:rPr>
          <w:rFonts w:asciiTheme="majorBidi" w:hAnsiTheme="majorBidi" w:cstheme="majorBidi"/>
          <w:sz w:val="24"/>
          <w:szCs w:val="24"/>
          <w:lang w:val="en-US"/>
        </w:rPr>
        <w:t xml:space="preserve"> </w:t>
      </w:r>
      <w:r w:rsidR="00016CDB" w:rsidRPr="00795222">
        <w:rPr>
          <w:rFonts w:asciiTheme="majorBidi" w:hAnsiTheme="majorBidi" w:cstheme="majorBidi"/>
          <w:sz w:val="24"/>
          <w:szCs w:val="24"/>
          <w:lang w:val="en-US"/>
        </w:rPr>
        <w:t>k</w:t>
      </w:r>
      <w:r w:rsidR="00A52CB1" w:rsidRPr="00795222">
        <w:rPr>
          <w:rFonts w:asciiTheme="majorBidi" w:hAnsiTheme="majorBidi" w:cstheme="majorBidi"/>
          <w:sz w:val="24"/>
          <w:szCs w:val="24"/>
          <w:lang w:val="en-US"/>
        </w:rPr>
        <w:t>V</w:t>
      </w:r>
      <w:r w:rsidR="00016CDB" w:rsidRPr="00795222">
        <w:rPr>
          <w:rFonts w:asciiTheme="majorBidi" w:hAnsiTheme="majorBidi" w:cstheme="majorBidi"/>
          <w:sz w:val="24"/>
          <w:szCs w:val="24"/>
          <w:lang w:val="en-US"/>
        </w:rPr>
        <w:t xml:space="preserve"> in a </w:t>
      </w:r>
      <w:proofErr w:type="spellStart"/>
      <w:r w:rsidR="00016CDB" w:rsidRPr="00795222">
        <w:rPr>
          <w:rFonts w:asciiTheme="majorBidi" w:hAnsiTheme="majorBidi" w:cstheme="majorBidi"/>
          <w:sz w:val="24"/>
          <w:szCs w:val="24"/>
          <w:lang w:val="en-US"/>
        </w:rPr>
        <w:t>Tecnai</w:t>
      </w:r>
      <w:proofErr w:type="spellEnd"/>
      <w:r w:rsidR="00016CDB" w:rsidRPr="00795222">
        <w:rPr>
          <w:rFonts w:asciiTheme="majorBidi" w:hAnsiTheme="majorBidi" w:cstheme="majorBidi"/>
          <w:sz w:val="24"/>
          <w:szCs w:val="24"/>
          <w:lang w:val="en-US"/>
        </w:rPr>
        <w:t xml:space="preserve"> T12 </w:t>
      </w:r>
      <w:proofErr w:type="spellStart"/>
      <w:r w:rsidR="00016CDB" w:rsidRPr="00795222">
        <w:rPr>
          <w:rFonts w:asciiTheme="majorBidi" w:hAnsiTheme="majorBidi" w:cstheme="majorBidi"/>
          <w:sz w:val="24"/>
          <w:szCs w:val="24"/>
          <w:lang w:val="en-US"/>
        </w:rPr>
        <w:t>bioTwin</w:t>
      </w:r>
      <w:proofErr w:type="spellEnd"/>
      <w:r w:rsidR="00016CDB" w:rsidRPr="00795222">
        <w:rPr>
          <w:rFonts w:asciiTheme="majorBidi" w:hAnsiTheme="majorBidi" w:cstheme="majorBidi"/>
          <w:sz w:val="24"/>
          <w:szCs w:val="24"/>
          <w:lang w:val="en-US"/>
        </w:rPr>
        <w:t xml:space="preserve"> electron microscope with </w:t>
      </w:r>
      <w:proofErr w:type="spellStart"/>
      <w:r w:rsidR="00016CDB" w:rsidRPr="00795222">
        <w:rPr>
          <w:rFonts w:asciiTheme="majorBidi" w:hAnsiTheme="majorBidi" w:cstheme="majorBidi"/>
          <w:sz w:val="24"/>
          <w:szCs w:val="24"/>
          <w:lang w:val="en-US"/>
        </w:rPr>
        <w:t>Gatan</w:t>
      </w:r>
      <w:proofErr w:type="spellEnd"/>
      <w:r w:rsidR="00016CDB" w:rsidRPr="00795222">
        <w:rPr>
          <w:rFonts w:asciiTheme="majorBidi" w:hAnsiTheme="majorBidi" w:cstheme="majorBidi"/>
          <w:sz w:val="24"/>
          <w:szCs w:val="24"/>
          <w:lang w:val="en-US"/>
        </w:rPr>
        <w:t xml:space="preserve"> RIO16 camera.</w:t>
      </w:r>
      <w:r w:rsidR="004E1957" w:rsidRPr="00795222">
        <w:rPr>
          <w:rFonts w:asciiTheme="majorBidi" w:hAnsiTheme="majorBidi" w:cstheme="majorBidi"/>
          <w:sz w:val="24"/>
          <w:szCs w:val="24"/>
          <w:lang w:val="en-US"/>
        </w:rPr>
        <w:t xml:space="preserve"> </w:t>
      </w:r>
    </w:p>
    <w:p w14:paraId="60703F71" w14:textId="6BA14C17" w:rsidR="001E154D" w:rsidRPr="00795222" w:rsidRDefault="001F701C" w:rsidP="00657F6C">
      <w:pPr>
        <w:pStyle w:val="Heading3"/>
        <w:spacing w:line="360" w:lineRule="auto"/>
        <w:jc w:val="both"/>
        <w:rPr>
          <w:rFonts w:asciiTheme="majorBidi" w:hAnsiTheme="majorBidi"/>
          <w:lang w:val="en-US"/>
        </w:rPr>
      </w:pPr>
      <w:r w:rsidRPr="00795222">
        <w:rPr>
          <w:rFonts w:asciiTheme="majorBidi" w:hAnsiTheme="majorBidi"/>
          <w:lang w:val="en-US"/>
        </w:rPr>
        <w:t xml:space="preserve">Measurement of entrapment efficiency and drug </w:t>
      </w:r>
      <w:r w:rsidR="00A83992" w:rsidRPr="00795222">
        <w:rPr>
          <w:rFonts w:asciiTheme="majorBidi" w:hAnsiTheme="majorBidi"/>
          <w:lang w:val="en-US"/>
        </w:rPr>
        <w:t>release</w:t>
      </w:r>
      <w:r w:rsidR="001E154D" w:rsidRPr="00795222">
        <w:rPr>
          <w:rFonts w:asciiTheme="majorBidi" w:hAnsiTheme="majorBidi"/>
          <w:lang w:val="en-US"/>
        </w:rPr>
        <w:t xml:space="preserve"> using radiometric analysis</w:t>
      </w:r>
    </w:p>
    <w:p w14:paraId="4D3EB99A" w14:textId="13B36C94" w:rsidR="001E154D" w:rsidRPr="00795222" w:rsidRDefault="0051529C" w:rsidP="00657F6C">
      <w:p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lang w:val="en-US"/>
        </w:rPr>
        <w:t>Radiolabeled</w:t>
      </w:r>
      <w:r w:rsidR="00EB1F6C" w:rsidRPr="00795222">
        <w:rPr>
          <w:rFonts w:asciiTheme="majorBidi" w:hAnsiTheme="majorBidi" w:cstheme="majorBidi"/>
          <w:sz w:val="24"/>
          <w:szCs w:val="24"/>
          <w:lang w:val="en-US"/>
        </w:rPr>
        <w:t xml:space="preserve"> </w:t>
      </w:r>
      <w:r w:rsidR="00040F1F" w:rsidRPr="00795222">
        <w:rPr>
          <w:rFonts w:asciiTheme="majorBidi" w:hAnsiTheme="majorBidi" w:cstheme="majorBidi"/>
          <w:sz w:val="24"/>
          <w:szCs w:val="24"/>
          <w:lang w:val="en-US"/>
        </w:rPr>
        <w:t xml:space="preserve">DRV </w:t>
      </w:r>
      <w:r w:rsidR="00EB1F6C" w:rsidRPr="00795222">
        <w:rPr>
          <w:rFonts w:asciiTheme="majorBidi" w:hAnsiTheme="majorBidi" w:cstheme="majorBidi"/>
          <w:sz w:val="24"/>
          <w:szCs w:val="24"/>
          <w:lang w:val="en-US"/>
        </w:rPr>
        <w:t xml:space="preserve">containing </w:t>
      </w:r>
      <w:r w:rsidR="001E154D" w:rsidRPr="00795222">
        <w:rPr>
          <w:rFonts w:asciiTheme="majorBidi" w:hAnsiTheme="majorBidi" w:cstheme="majorBidi"/>
          <w:sz w:val="24"/>
          <w:szCs w:val="24"/>
          <w:lang w:val="en-US"/>
        </w:rPr>
        <w:t xml:space="preserve">LPHNs </w:t>
      </w:r>
      <w:r w:rsidR="00EB1F6C" w:rsidRPr="00795222">
        <w:rPr>
          <w:rFonts w:asciiTheme="majorBidi" w:hAnsiTheme="majorBidi" w:cstheme="majorBidi"/>
          <w:sz w:val="24"/>
          <w:szCs w:val="24"/>
          <w:lang w:val="en-US"/>
        </w:rPr>
        <w:t>(analogous to those</w:t>
      </w:r>
      <w:r w:rsidR="001E154D" w:rsidRPr="00795222">
        <w:rPr>
          <w:rFonts w:asciiTheme="majorBidi" w:hAnsiTheme="majorBidi" w:cstheme="majorBidi"/>
          <w:sz w:val="24"/>
          <w:szCs w:val="24"/>
          <w:lang w:val="en-US"/>
        </w:rPr>
        <w:t xml:space="preserve"> described</w:t>
      </w:r>
      <w:r w:rsidR="00EB1F6C" w:rsidRPr="00795222">
        <w:rPr>
          <w:rFonts w:asciiTheme="majorBidi" w:hAnsiTheme="majorBidi" w:cstheme="majorBidi"/>
          <w:sz w:val="24"/>
          <w:szCs w:val="24"/>
          <w:lang w:val="en-US"/>
        </w:rPr>
        <w:t xml:space="preserve"> in section 2.2.1)</w:t>
      </w:r>
      <w:r w:rsidR="001E154D" w:rsidRPr="00795222">
        <w:rPr>
          <w:rFonts w:asciiTheme="majorBidi" w:hAnsiTheme="majorBidi" w:cstheme="majorBidi"/>
          <w:sz w:val="24"/>
          <w:szCs w:val="24"/>
          <w:lang w:val="en-US"/>
        </w:rPr>
        <w:t xml:space="preserve"> were formulated with the addition of tritiated </w:t>
      </w:r>
      <w:r w:rsidR="00EC1DFC" w:rsidRPr="00795222">
        <w:rPr>
          <w:rFonts w:asciiTheme="majorBidi" w:hAnsiTheme="majorBidi" w:cstheme="majorBidi"/>
          <w:sz w:val="24"/>
          <w:szCs w:val="24"/>
          <w:lang w:val="en-US"/>
        </w:rPr>
        <w:t>[</w:t>
      </w:r>
      <w:r w:rsidR="00EC1DFC" w:rsidRPr="00795222">
        <w:rPr>
          <w:rFonts w:asciiTheme="majorBidi" w:hAnsiTheme="majorBidi" w:cstheme="majorBidi"/>
          <w:sz w:val="24"/>
          <w:szCs w:val="24"/>
          <w:vertAlign w:val="superscript"/>
          <w:lang w:val="en-US"/>
        </w:rPr>
        <w:t>3</w:t>
      </w:r>
      <w:r w:rsidR="00EC1DFC" w:rsidRPr="00795222">
        <w:rPr>
          <w:rFonts w:asciiTheme="majorBidi" w:hAnsiTheme="majorBidi" w:cstheme="majorBidi"/>
          <w:sz w:val="24"/>
          <w:szCs w:val="24"/>
          <w:lang w:val="en-US"/>
        </w:rPr>
        <w:t xml:space="preserve">H]-DRV </w:t>
      </w:r>
      <w:r w:rsidR="001E154D" w:rsidRPr="00795222">
        <w:rPr>
          <w:rFonts w:asciiTheme="majorBidi" w:hAnsiTheme="majorBidi" w:cstheme="majorBidi"/>
          <w:sz w:val="24"/>
          <w:szCs w:val="24"/>
          <w:lang w:val="en-US"/>
        </w:rPr>
        <w:t xml:space="preserve">(specific activity 25 µCi/mg) </w:t>
      </w:r>
      <w:r w:rsidR="00EB1F6C" w:rsidRPr="00795222">
        <w:rPr>
          <w:rFonts w:asciiTheme="majorBidi" w:hAnsiTheme="majorBidi" w:cstheme="majorBidi"/>
          <w:sz w:val="24"/>
          <w:szCs w:val="24"/>
          <w:lang w:val="en-US"/>
        </w:rPr>
        <w:t xml:space="preserve">to the </w:t>
      </w:r>
      <w:r w:rsidR="00E74FC1" w:rsidRPr="00795222">
        <w:rPr>
          <w:rFonts w:asciiTheme="majorBidi" w:hAnsiTheme="majorBidi" w:cstheme="majorBidi"/>
          <w:sz w:val="24"/>
          <w:szCs w:val="24"/>
          <w:lang w:val="en-US"/>
        </w:rPr>
        <w:t xml:space="preserve">organic solvent </w:t>
      </w:r>
      <w:r w:rsidR="001E154D" w:rsidRPr="00795222">
        <w:rPr>
          <w:rFonts w:asciiTheme="majorBidi" w:hAnsiTheme="majorBidi" w:cstheme="majorBidi"/>
          <w:sz w:val="24"/>
          <w:szCs w:val="24"/>
          <w:lang w:val="en-US"/>
        </w:rPr>
        <w:t xml:space="preserve">phase. Drug loading within LPHNs were determined </w:t>
      </w:r>
      <w:r w:rsidR="001E154D" w:rsidRPr="00795222">
        <w:rPr>
          <w:rFonts w:asciiTheme="majorBidi" w:hAnsiTheme="majorBidi" w:cstheme="majorBidi"/>
          <w:i/>
          <w:sz w:val="24"/>
          <w:szCs w:val="24"/>
          <w:lang w:val="en-US"/>
        </w:rPr>
        <w:t>via</w:t>
      </w:r>
      <w:r w:rsidR="001E154D" w:rsidRPr="00795222">
        <w:rPr>
          <w:rFonts w:asciiTheme="majorBidi" w:hAnsiTheme="majorBidi" w:cstheme="majorBidi"/>
          <w:sz w:val="24"/>
          <w:szCs w:val="24"/>
          <w:lang w:val="en-US"/>
        </w:rPr>
        <w:t xml:space="preserve"> liquid scintillation counting (LSC) analysis</w:t>
      </w:r>
      <w:r w:rsidR="00040F1F" w:rsidRPr="00795222">
        <w:rPr>
          <w:rFonts w:asciiTheme="majorBidi" w:hAnsiTheme="majorBidi" w:cstheme="majorBidi"/>
          <w:sz w:val="24"/>
          <w:szCs w:val="24"/>
          <w:lang w:val="en-US"/>
        </w:rPr>
        <w:t xml:space="preserve"> (Packard </w:t>
      </w:r>
      <w:proofErr w:type="spellStart"/>
      <w:r w:rsidR="00040F1F" w:rsidRPr="00795222">
        <w:rPr>
          <w:rFonts w:asciiTheme="majorBidi" w:hAnsiTheme="majorBidi" w:cstheme="majorBidi"/>
          <w:sz w:val="24"/>
          <w:szCs w:val="24"/>
          <w:lang w:val="en-US"/>
        </w:rPr>
        <w:t>Tricarb</w:t>
      </w:r>
      <w:proofErr w:type="spellEnd"/>
      <w:r w:rsidR="00040F1F" w:rsidRPr="00795222">
        <w:rPr>
          <w:rFonts w:asciiTheme="majorBidi" w:hAnsiTheme="majorBidi" w:cstheme="majorBidi"/>
          <w:sz w:val="24"/>
          <w:szCs w:val="24"/>
          <w:lang w:val="en-US"/>
        </w:rPr>
        <w:t xml:space="preserve"> 3100TR liquid scintillation counter)</w:t>
      </w:r>
      <w:r w:rsidR="001E154D" w:rsidRPr="00795222">
        <w:rPr>
          <w:rFonts w:asciiTheme="majorBidi" w:hAnsiTheme="majorBidi" w:cstheme="majorBidi"/>
          <w:sz w:val="24"/>
          <w:szCs w:val="24"/>
          <w:lang w:val="en-US"/>
        </w:rPr>
        <w:t xml:space="preserve">. To determine entrapment </w:t>
      </w:r>
      <w:r w:rsidR="00DD3D77" w:rsidRPr="00795222">
        <w:rPr>
          <w:rFonts w:asciiTheme="majorBidi" w:hAnsiTheme="majorBidi" w:cstheme="majorBidi"/>
          <w:sz w:val="24"/>
          <w:szCs w:val="24"/>
          <w:lang w:val="en-US"/>
        </w:rPr>
        <w:t>efficiency, (</w:t>
      </w:r>
      <w:r w:rsidR="00E11373" w:rsidRPr="00795222">
        <w:rPr>
          <w:rFonts w:asciiTheme="majorBidi" w:hAnsiTheme="majorBidi" w:cstheme="majorBidi"/>
          <w:sz w:val="24"/>
          <w:szCs w:val="24"/>
          <w:lang w:val="en-US"/>
        </w:rPr>
        <w:t xml:space="preserve">0.4 mL) </w:t>
      </w:r>
      <w:r w:rsidR="00DD3D77" w:rsidRPr="00795222">
        <w:rPr>
          <w:rFonts w:asciiTheme="majorBidi" w:hAnsiTheme="majorBidi" w:cstheme="majorBidi"/>
          <w:sz w:val="24"/>
          <w:szCs w:val="24"/>
          <w:lang w:val="en-US"/>
        </w:rPr>
        <w:t xml:space="preserve">of </w:t>
      </w:r>
      <w:r w:rsidR="00EB1F6C" w:rsidRPr="00795222">
        <w:rPr>
          <w:rFonts w:asciiTheme="majorBidi" w:hAnsiTheme="majorBidi" w:cstheme="majorBidi"/>
          <w:sz w:val="24"/>
          <w:szCs w:val="24"/>
          <w:lang w:val="en-US"/>
        </w:rPr>
        <w:t>a dispersion of the</w:t>
      </w:r>
      <w:r w:rsidR="001E154D" w:rsidRPr="00795222">
        <w:rPr>
          <w:rFonts w:asciiTheme="majorBidi" w:hAnsiTheme="majorBidi" w:cstheme="majorBidi"/>
          <w:sz w:val="24"/>
          <w:szCs w:val="24"/>
          <w:lang w:val="en-US"/>
        </w:rPr>
        <w:t xml:space="preserve"> </w:t>
      </w:r>
      <w:r w:rsidR="00381928" w:rsidRPr="00795222">
        <w:rPr>
          <w:rFonts w:asciiTheme="majorBidi" w:hAnsiTheme="majorBidi" w:cstheme="majorBidi"/>
          <w:sz w:val="24"/>
          <w:szCs w:val="24"/>
          <w:lang w:val="en-US"/>
        </w:rPr>
        <w:t xml:space="preserve">LPHNs (0.9 mg/mL) </w:t>
      </w:r>
      <w:r w:rsidR="001E154D" w:rsidRPr="00795222">
        <w:rPr>
          <w:rFonts w:asciiTheme="majorBidi" w:hAnsiTheme="majorBidi" w:cstheme="majorBidi"/>
          <w:sz w:val="24"/>
          <w:szCs w:val="24"/>
          <w:lang w:val="en-US"/>
        </w:rPr>
        <w:t xml:space="preserve">was added to a centrifugal unit fitted with a 10,000 </w:t>
      </w:r>
      <w:r w:rsidR="00850D2D" w:rsidRPr="00795222">
        <w:rPr>
          <w:rFonts w:asciiTheme="majorBidi" w:hAnsiTheme="majorBidi" w:cstheme="majorBidi"/>
          <w:sz w:val="24"/>
          <w:szCs w:val="24"/>
          <w:lang w:val="en-US"/>
        </w:rPr>
        <w:t xml:space="preserve">molecular weight cut-off (MWCO) </w:t>
      </w:r>
      <w:r w:rsidR="001E154D" w:rsidRPr="00795222">
        <w:rPr>
          <w:rFonts w:asciiTheme="majorBidi" w:hAnsiTheme="majorBidi" w:cstheme="majorBidi"/>
          <w:sz w:val="24"/>
          <w:szCs w:val="24"/>
          <w:lang w:val="en-US"/>
        </w:rPr>
        <w:t xml:space="preserve">filter and centrifuged (14,000 </w:t>
      </w:r>
      <w:r w:rsidR="00775633" w:rsidRPr="00795222">
        <w:rPr>
          <w:rFonts w:asciiTheme="majorBidi" w:hAnsiTheme="majorBidi" w:cstheme="majorBidi"/>
          <w:sz w:val="24"/>
          <w:szCs w:val="24"/>
          <w:lang w:val="en-US"/>
        </w:rPr>
        <w:t>re</w:t>
      </w:r>
      <w:r w:rsidR="006D4598" w:rsidRPr="00795222">
        <w:rPr>
          <w:rFonts w:asciiTheme="majorBidi" w:hAnsiTheme="majorBidi" w:cstheme="majorBidi"/>
          <w:sz w:val="24"/>
          <w:szCs w:val="24"/>
          <w:lang w:val="en-US"/>
        </w:rPr>
        <w:t>volutions per minute (</w:t>
      </w:r>
      <w:r w:rsidR="001E154D" w:rsidRPr="00795222">
        <w:rPr>
          <w:rFonts w:asciiTheme="majorBidi" w:hAnsiTheme="majorBidi" w:cstheme="majorBidi"/>
          <w:sz w:val="24"/>
          <w:szCs w:val="24"/>
          <w:lang w:val="en-US"/>
        </w:rPr>
        <w:t>rpm</w:t>
      </w:r>
      <w:r w:rsidR="006D4598" w:rsidRPr="00795222">
        <w:rPr>
          <w:rFonts w:asciiTheme="majorBidi" w:hAnsiTheme="majorBidi" w:cstheme="majorBidi"/>
          <w:sz w:val="24"/>
          <w:szCs w:val="24"/>
          <w:lang w:val="en-US"/>
        </w:rPr>
        <w:t>)</w:t>
      </w:r>
      <w:r w:rsidR="001E154D" w:rsidRPr="00795222">
        <w:rPr>
          <w:rFonts w:asciiTheme="majorBidi" w:hAnsiTheme="majorBidi" w:cstheme="majorBidi"/>
          <w:sz w:val="24"/>
          <w:szCs w:val="24"/>
          <w:lang w:val="en-US"/>
        </w:rPr>
        <w:t xml:space="preserve">, 60 minutes). Samples of </w:t>
      </w:r>
      <w:r w:rsidR="00E74FC1" w:rsidRPr="00795222">
        <w:rPr>
          <w:rFonts w:asciiTheme="majorBidi" w:hAnsiTheme="majorBidi" w:cstheme="majorBidi"/>
          <w:sz w:val="24"/>
          <w:szCs w:val="24"/>
          <w:lang w:val="en-US"/>
        </w:rPr>
        <w:t>the filtrate (3 x 100 µL)</w:t>
      </w:r>
      <w:r w:rsidR="001E154D" w:rsidRPr="00795222">
        <w:rPr>
          <w:rFonts w:asciiTheme="majorBidi" w:hAnsiTheme="majorBidi" w:cstheme="majorBidi"/>
          <w:sz w:val="24"/>
          <w:szCs w:val="24"/>
          <w:lang w:val="en-US"/>
        </w:rPr>
        <w:t xml:space="preserve"> were taken and </w:t>
      </w:r>
      <w:r w:rsidR="00E74FC1" w:rsidRPr="00795222">
        <w:rPr>
          <w:rFonts w:asciiTheme="majorBidi" w:hAnsiTheme="majorBidi" w:cstheme="majorBidi"/>
          <w:sz w:val="24"/>
          <w:szCs w:val="24"/>
          <w:lang w:val="en-US"/>
        </w:rPr>
        <w:t>scintillation cocktail (10 mL) added. T</w:t>
      </w:r>
      <w:r w:rsidR="001E154D" w:rsidRPr="00795222">
        <w:rPr>
          <w:rFonts w:asciiTheme="majorBidi" w:hAnsiTheme="majorBidi" w:cstheme="majorBidi"/>
          <w:sz w:val="24"/>
          <w:szCs w:val="24"/>
          <w:lang w:val="en-US"/>
        </w:rPr>
        <w:t xml:space="preserve">he ratio of drug which had crossed the filtration barrier determined. </w:t>
      </w:r>
    </w:p>
    <w:p w14:paraId="2D3F091C" w14:textId="4A401248" w:rsidR="00A779BF" w:rsidRPr="00795222" w:rsidRDefault="00EB1F6C" w:rsidP="00657F6C">
      <w:p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lang w:val="en-US"/>
        </w:rPr>
        <w:t xml:space="preserve">Drug release </w:t>
      </w:r>
      <w:r w:rsidR="0051529C" w:rsidRPr="00795222">
        <w:rPr>
          <w:rFonts w:asciiTheme="majorBidi" w:hAnsiTheme="majorBidi" w:cstheme="majorBidi"/>
          <w:sz w:val="24"/>
          <w:szCs w:val="24"/>
          <w:lang w:val="en-US"/>
        </w:rPr>
        <w:t>behavior</w:t>
      </w:r>
      <w:r w:rsidRPr="00795222">
        <w:rPr>
          <w:rFonts w:asciiTheme="majorBidi" w:hAnsiTheme="majorBidi" w:cstheme="majorBidi"/>
          <w:sz w:val="24"/>
          <w:szCs w:val="24"/>
          <w:lang w:val="en-US"/>
        </w:rPr>
        <w:t xml:space="preserve"> </w:t>
      </w:r>
      <w:r w:rsidR="00E74FC1" w:rsidRPr="00795222">
        <w:rPr>
          <w:rFonts w:asciiTheme="majorBidi" w:hAnsiTheme="majorBidi" w:cstheme="majorBidi"/>
          <w:sz w:val="24"/>
          <w:szCs w:val="24"/>
          <w:lang w:val="en-US"/>
        </w:rPr>
        <w:t>from the LPHN</w:t>
      </w:r>
      <w:r w:rsidR="00820783" w:rsidRPr="00795222">
        <w:rPr>
          <w:rFonts w:asciiTheme="majorBidi" w:hAnsiTheme="majorBidi" w:cstheme="majorBidi"/>
          <w:sz w:val="24"/>
          <w:szCs w:val="24"/>
          <w:lang w:val="en-US"/>
        </w:rPr>
        <w:t>s</w:t>
      </w:r>
      <w:r w:rsidR="00E74FC1"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t xml:space="preserve">was quantified by use of a dialysis method. </w:t>
      </w:r>
      <w:r w:rsidR="001E154D" w:rsidRPr="00795222">
        <w:rPr>
          <w:rFonts w:asciiTheme="majorBidi" w:hAnsiTheme="majorBidi" w:cstheme="majorBidi"/>
          <w:sz w:val="24"/>
          <w:szCs w:val="24"/>
          <w:lang w:val="en-US"/>
        </w:rPr>
        <w:t>LPHN</w:t>
      </w:r>
      <w:r w:rsidR="00820783" w:rsidRPr="00795222">
        <w:rPr>
          <w:rFonts w:asciiTheme="majorBidi" w:hAnsiTheme="majorBidi" w:cstheme="majorBidi"/>
          <w:sz w:val="24"/>
          <w:szCs w:val="24"/>
          <w:lang w:val="en-US"/>
        </w:rPr>
        <w:t>s</w:t>
      </w:r>
      <w:r w:rsidR="001E154D" w:rsidRPr="00795222">
        <w:rPr>
          <w:rFonts w:asciiTheme="majorBidi" w:hAnsiTheme="majorBidi" w:cstheme="majorBidi"/>
          <w:sz w:val="24"/>
          <w:szCs w:val="24"/>
          <w:lang w:val="en-US"/>
        </w:rPr>
        <w:t xml:space="preserve"> dispersions </w:t>
      </w:r>
      <w:r w:rsidR="00363A34" w:rsidRPr="00795222">
        <w:rPr>
          <w:rStyle w:val="CommentReference"/>
          <w:rFonts w:asciiTheme="majorBidi" w:hAnsiTheme="majorBidi" w:cstheme="majorBidi"/>
          <w:sz w:val="24"/>
          <w:szCs w:val="24"/>
          <w:lang w:val="en-US"/>
        </w:rPr>
        <w:t>(</w:t>
      </w:r>
      <w:r w:rsidR="00E74FC1" w:rsidRPr="00795222">
        <w:rPr>
          <w:rStyle w:val="CommentReference"/>
          <w:rFonts w:asciiTheme="majorBidi" w:hAnsiTheme="majorBidi" w:cstheme="majorBidi"/>
          <w:sz w:val="24"/>
          <w:szCs w:val="24"/>
          <w:lang w:val="en-US"/>
        </w:rPr>
        <w:t xml:space="preserve">1 mL, </w:t>
      </w:r>
      <w:r w:rsidR="00363A34" w:rsidRPr="00795222">
        <w:rPr>
          <w:rStyle w:val="CommentReference"/>
          <w:rFonts w:asciiTheme="majorBidi" w:hAnsiTheme="majorBidi" w:cstheme="majorBidi"/>
          <w:sz w:val="24"/>
          <w:szCs w:val="24"/>
          <w:lang w:val="en-US"/>
        </w:rPr>
        <w:t>0.9 mg/mL)</w:t>
      </w:r>
      <w:r w:rsidR="0082109B" w:rsidRPr="00795222">
        <w:rPr>
          <w:rStyle w:val="CommentReference"/>
          <w:rFonts w:asciiTheme="majorBidi" w:hAnsiTheme="majorBidi" w:cstheme="majorBidi"/>
          <w:sz w:val="24"/>
          <w:szCs w:val="24"/>
          <w:lang w:val="en-US"/>
        </w:rPr>
        <w:t xml:space="preserve"> </w:t>
      </w:r>
      <w:r w:rsidR="001E154D" w:rsidRPr="00795222">
        <w:rPr>
          <w:rFonts w:asciiTheme="majorBidi" w:hAnsiTheme="majorBidi" w:cstheme="majorBidi"/>
          <w:sz w:val="24"/>
          <w:szCs w:val="24"/>
          <w:lang w:val="en-US"/>
        </w:rPr>
        <w:t xml:space="preserve">were </w:t>
      </w:r>
      <w:r w:rsidRPr="00795222">
        <w:rPr>
          <w:rFonts w:asciiTheme="majorBidi" w:hAnsiTheme="majorBidi" w:cstheme="majorBidi"/>
          <w:sz w:val="24"/>
          <w:szCs w:val="24"/>
          <w:lang w:val="en-US"/>
        </w:rPr>
        <w:t>placed</w:t>
      </w:r>
      <w:r w:rsidR="001E154D" w:rsidRPr="00795222">
        <w:rPr>
          <w:rFonts w:asciiTheme="majorBidi" w:hAnsiTheme="majorBidi" w:cstheme="majorBidi"/>
          <w:sz w:val="24"/>
          <w:szCs w:val="24"/>
          <w:lang w:val="en-US"/>
        </w:rPr>
        <w:t xml:space="preserve"> within a double-sided bio-</w:t>
      </w:r>
      <w:r w:rsidR="0051529C" w:rsidRPr="00795222">
        <w:rPr>
          <w:rFonts w:asciiTheme="majorBidi" w:hAnsiTheme="majorBidi" w:cstheme="majorBidi"/>
          <w:sz w:val="24"/>
          <w:szCs w:val="24"/>
          <w:lang w:val="en-US"/>
        </w:rPr>
        <w:t>dialyzer</w:t>
      </w:r>
      <w:r w:rsidR="001E154D" w:rsidRPr="00795222">
        <w:rPr>
          <w:rFonts w:asciiTheme="majorBidi" w:hAnsiTheme="majorBidi" w:cstheme="majorBidi"/>
          <w:sz w:val="24"/>
          <w:szCs w:val="24"/>
          <w:lang w:val="en-US"/>
        </w:rPr>
        <w:t xml:space="preserve"> fitted with 3.5 </w:t>
      </w:r>
      <w:proofErr w:type="spellStart"/>
      <w:r w:rsidR="001E154D" w:rsidRPr="00795222">
        <w:rPr>
          <w:rFonts w:asciiTheme="majorBidi" w:hAnsiTheme="majorBidi" w:cstheme="majorBidi"/>
          <w:sz w:val="24"/>
          <w:szCs w:val="24"/>
          <w:lang w:val="en-US"/>
        </w:rPr>
        <w:t>kDa</w:t>
      </w:r>
      <w:proofErr w:type="spellEnd"/>
      <w:r w:rsidR="001E154D" w:rsidRPr="00795222">
        <w:rPr>
          <w:rFonts w:asciiTheme="majorBidi" w:hAnsiTheme="majorBidi" w:cstheme="majorBidi"/>
          <w:sz w:val="24"/>
          <w:szCs w:val="24"/>
          <w:lang w:val="en-US"/>
        </w:rPr>
        <w:t xml:space="preserve"> MWCO membranes. Dialyses were conducted within sink conditions (1:100) in </w:t>
      </w:r>
      <w:r w:rsidR="0051529C" w:rsidRPr="00795222">
        <w:rPr>
          <w:rFonts w:asciiTheme="majorBidi" w:hAnsiTheme="majorBidi" w:cstheme="majorBidi"/>
          <w:sz w:val="24"/>
          <w:szCs w:val="24"/>
          <w:lang w:val="en-US"/>
        </w:rPr>
        <w:t>deionized</w:t>
      </w:r>
      <w:r w:rsidRPr="00795222">
        <w:rPr>
          <w:rFonts w:asciiTheme="majorBidi" w:hAnsiTheme="majorBidi" w:cstheme="majorBidi"/>
          <w:sz w:val="24"/>
          <w:szCs w:val="24"/>
          <w:lang w:val="en-US"/>
        </w:rPr>
        <w:t xml:space="preserve"> </w:t>
      </w:r>
      <w:r w:rsidR="00040F1F" w:rsidRPr="00795222">
        <w:rPr>
          <w:rFonts w:asciiTheme="majorBidi" w:hAnsiTheme="majorBidi" w:cstheme="majorBidi"/>
          <w:sz w:val="24"/>
          <w:szCs w:val="24"/>
          <w:lang w:val="en-US"/>
        </w:rPr>
        <w:t xml:space="preserve">water </w:t>
      </w:r>
      <w:r w:rsidR="001E154D" w:rsidRPr="00795222">
        <w:rPr>
          <w:rFonts w:asciiTheme="majorBidi" w:hAnsiTheme="majorBidi" w:cstheme="majorBidi"/>
          <w:sz w:val="24"/>
          <w:szCs w:val="24"/>
          <w:lang w:val="en-US"/>
        </w:rPr>
        <w:t>at 37</w:t>
      </w:r>
      <w:r w:rsidRPr="00795222">
        <w:rPr>
          <w:rFonts w:asciiTheme="majorBidi" w:hAnsiTheme="majorBidi" w:cstheme="majorBidi"/>
          <w:sz w:val="24"/>
          <w:szCs w:val="24"/>
          <w:lang w:val="en-US"/>
        </w:rPr>
        <w:t xml:space="preserve"> °C</w:t>
      </w:r>
      <w:r w:rsidR="00040F1F" w:rsidRPr="00795222">
        <w:rPr>
          <w:rFonts w:asciiTheme="majorBidi" w:hAnsiTheme="majorBidi" w:cstheme="majorBidi"/>
          <w:sz w:val="24"/>
          <w:szCs w:val="24"/>
          <w:lang w:val="en-US"/>
        </w:rPr>
        <w:t>, 300 rpm</w:t>
      </w:r>
      <w:r w:rsidRPr="00795222">
        <w:rPr>
          <w:rFonts w:asciiTheme="majorBidi" w:hAnsiTheme="majorBidi" w:cstheme="majorBidi"/>
          <w:sz w:val="24"/>
          <w:szCs w:val="24"/>
          <w:lang w:val="en-US"/>
        </w:rPr>
        <w:t xml:space="preserve"> and</w:t>
      </w:r>
      <w:r w:rsidR="001E154D" w:rsidRPr="00795222">
        <w:rPr>
          <w:rFonts w:asciiTheme="majorBidi" w:hAnsiTheme="majorBidi" w:cstheme="majorBidi"/>
          <w:sz w:val="24"/>
          <w:szCs w:val="24"/>
          <w:lang w:val="en-US"/>
        </w:rPr>
        <w:t xml:space="preserve"> DRV release was monitored at set time points of: 0.5, 1, 2, 3, 4, 5, 6, 7</w:t>
      </w:r>
      <w:r w:rsidR="00D91EFF" w:rsidRPr="00795222">
        <w:rPr>
          <w:rFonts w:asciiTheme="majorBidi" w:hAnsiTheme="majorBidi" w:cstheme="majorBidi"/>
          <w:sz w:val="24"/>
          <w:szCs w:val="24"/>
          <w:lang w:val="en-US"/>
        </w:rPr>
        <w:t xml:space="preserve"> and</w:t>
      </w:r>
      <w:r w:rsidR="001E154D" w:rsidRPr="00795222">
        <w:rPr>
          <w:rFonts w:asciiTheme="majorBidi" w:hAnsiTheme="majorBidi" w:cstheme="majorBidi"/>
          <w:sz w:val="24"/>
          <w:szCs w:val="24"/>
          <w:lang w:val="en-US"/>
        </w:rPr>
        <w:t xml:space="preserve"> 8 hours.</w:t>
      </w:r>
      <w:r w:rsidR="00040F1F" w:rsidRPr="00795222">
        <w:rPr>
          <w:rFonts w:asciiTheme="majorBidi" w:hAnsiTheme="majorBidi" w:cstheme="majorBidi"/>
          <w:sz w:val="24"/>
          <w:szCs w:val="24"/>
          <w:lang w:val="en-US"/>
        </w:rPr>
        <w:t xml:space="preserve"> </w:t>
      </w:r>
      <w:r w:rsidR="00E74FC1" w:rsidRPr="00795222">
        <w:rPr>
          <w:rFonts w:asciiTheme="majorBidi" w:hAnsiTheme="majorBidi" w:cstheme="majorBidi"/>
          <w:sz w:val="24"/>
          <w:szCs w:val="24"/>
          <w:lang w:val="en-US"/>
        </w:rPr>
        <w:t xml:space="preserve">Samples of the reservoirs (1 mL) were taken and scintillation cocktail (10 mL) added. </w:t>
      </w:r>
      <w:r w:rsidR="00040F1F" w:rsidRPr="00795222">
        <w:rPr>
          <w:rFonts w:asciiTheme="majorBidi" w:hAnsiTheme="majorBidi" w:cstheme="majorBidi"/>
          <w:sz w:val="24"/>
          <w:szCs w:val="24"/>
          <w:lang w:val="en-US"/>
        </w:rPr>
        <w:t>At each time point the bio-</w:t>
      </w:r>
      <w:r w:rsidR="000A494B" w:rsidRPr="00795222">
        <w:rPr>
          <w:rFonts w:asciiTheme="majorBidi" w:hAnsiTheme="majorBidi" w:cstheme="majorBidi"/>
          <w:sz w:val="24"/>
          <w:szCs w:val="24"/>
          <w:lang w:val="en-US"/>
        </w:rPr>
        <w:t>dialyzer</w:t>
      </w:r>
      <w:r w:rsidR="00040F1F" w:rsidRPr="00795222">
        <w:rPr>
          <w:rFonts w:asciiTheme="majorBidi" w:hAnsiTheme="majorBidi" w:cstheme="majorBidi"/>
          <w:sz w:val="24"/>
          <w:szCs w:val="24"/>
          <w:lang w:val="en-US"/>
        </w:rPr>
        <w:t xml:space="preserve"> was removed from the reservoir and placed into fresh deionized water.</w:t>
      </w:r>
      <w:r w:rsidR="00702885" w:rsidRPr="00795222">
        <w:rPr>
          <w:rFonts w:asciiTheme="majorBidi" w:hAnsiTheme="majorBidi" w:cstheme="majorBidi"/>
          <w:sz w:val="24"/>
          <w:szCs w:val="24"/>
          <w:lang w:val="en-US"/>
        </w:rPr>
        <w:t xml:space="preserve"> Samples of water (1 mL) were taken to determine background of LSC, similarly to samples measuring drug release this was extrapolated to 100 </w:t>
      </w:r>
      <w:proofErr w:type="spellStart"/>
      <w:r w:rsidR="00702885" w:rsidRPr="00795222">
        <w:rPr>
          <w:rFonts w:asciiTheme="majorBidi" w:hAnsiTheme="majorBidi" w:cstheme="majorBidi"/>
          <w:sz w:val="24"/>
          <w:szCs w:val="24"/>
          <w:lang w:val="en-US"/>
        </w:rPr>
        <w:t>mL.</w:t>
      </w:r>
      <w:proofErr w:type="spellEnd"/>
    </w:p>
    <w:p w14:paraId="1B258F7A" w14:textId="350F3C1C" w:rsidR="003A5BB8" w:rsidRPr="00795222" w:rsidRDefault="00CB0EAD" w:rsidP="00657F6C">
      <w:pPr>
        <w:pStyle w:val="Heading3"/>
        <w:spacing w:before="0" w:line="360" w:lineRule="auto"/>
        <w:jc w:val="both"/>
        <w:rPr>
          <w:rFonts w:asciiTheme="majorBidi" w:hAnsiTheme="majorBidi"/>
          <w:lang w:val="en-US"/>
        </w:rPr>
      </w:pPr>
      <w:r w:rsidRPr="00795222">
        <w:rPr>
          <w:rFonts w:asciiTheme="majorBidi" w:hAnsiTheme="majorBidi"/>
          <w:lang w:val="en-US"/>
        </w:rPr>
        <w:lastRenderedPageBreak/>
        <w:t xml:space="preserve">Transcellular permeability of Darunavir across a triple culture model   </w:t>
      </w:r>
    </w:p>
    <w:p w14:paraId="722C7C5A" w14:textId="77777777" w:rsidR="003A5BB8" w:rsidRPr="00795222" w:rsidRDefault="003A5BB8" w:rsidP="00657F6C">
      <w:pPr>
        <w:pStyle w:val="Heading4"/>
        <w:spacing w:after="240"/>
        <w:jc w:val="both"/>
      </w:pPr>
      <w:r w:rsidRPr="00795222">
        <w:t xml:space="preserve">Cell culture and maintenance </w:t>
      </w:r>
    </w:p>
    <w:p w14:paraId="07171CEB" w14:textId="7D291905" w:rsidR="00CB0EAD" w:rsidRPr="00795222" w:rsidRDefault="003A5BB8" w:rsidP="00657F6C">
      <w:p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lang w:val="en-US"/>
        </w:rPr>
        <w:t>Cells were incubated at 37</w:t>
      </w:r>
      <w:r w:rsidR="000A494B"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t>C, 5 % CO</w:t>
      </w:r>
      <w:r w:rsidRPr="00795222">
        <w:rPr>
          <w:rFonts w:asciiTheme="majorBidi" w:hAnsiTheme="majorBidi" w:cstheme="majorBidi"/>
          <w:sz w:val="24"/>
          <w:szCs w:val="24"/>
          <w:vertAlign w:val="subscript"/>
          <w:lang w:val="en-US"/>
        </w:rPr>
        <w:t>2</w:t>
      </w:r>
      <w:r w:rsidRPr="00795222">
        <w:rPr>
          <w:rFonts w:asciiTheme="majorBidi" w:hAnsiTheme="majorBidi" w:cstheme="majorBidi"/>
          <w:sz w:val="24"/>
          <w:szCs w:val="24"/>
          <w:lang w:val="en-US"/>
        </w:rPr>
        <w:t xml:space="preserve">. Adherent cells were sub-cultured once ca. 85 % confluent and Raji B cells were sub-cultured every 3 days. Cell numbers and viability were assessed using a </w:t>
      </w:r>
      <w:proofErr w:type="spellStart"/>
      <w:r w:rsidRPr="00795222">
        <w:rPr>
          <w:rFonts w:asciiTheme="majorBidi" w:hAnsiTheme="majorBidi" w:cstheme="majorBidi"/>
          <w:sz w:val="24"/>
          <w:szCs w:val="24"/>
          <w:lang w:val="en-US"/>
        </w:rPr>
        <w:t>NucleoCounter</w:t>
      </w:r>
      <w:proofErr w:type="spellEnd"/>
      <w:r w:rsidRPr="00795222">
        <w:rPr>
          <w:rFonts w:asciiTheme="majorBidi" w:hAnsiTheme="majorBidi" w:cstheme="majorBidi"/>
          <w:sz w:val="24"/>
          <w:szCs w:val="24"/>
          <w:lang w:val="en-US"/>
        </w:rPr>
        <w:t xml:space="preserve"> NC-200 (Denmark). </w:t>
      </w:r>
      <w:r w:rsidR="00CB0EAD" w:rsidRPr="00795222">
        <w:rPr>
          <w:rFonts w:asciiTheme="majorBidi" w:hAnsiTheme="majorBidi" w:cstheme="majorBidi"/>
          <w:sz w:val="24"/>
          <w:szCs w:val="24"/>
          <w:lang w:val="en-US"/>
        </w:rPr>
        <w:t xml:space="preserve">     </w:t>
      </w:r>
    </w:p>
    <w:p w14:paraId="1CBD1859" w14:textId="58CF8E8E" w:rsidR="00CB0EAD" w:rsidRPr="00795222" w:rsidRDefault="00CB0EAD" w:rsidP="00657F6C">
      <w:p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lang w:val="en-US"/>
        </w:rPr>
        <w:t xml:space="preserve">The permeability of DRV and DRV loaded LPHNs was assessed across an </w:t>
      </w:r>
      <w:r w:rsidRPr="00795222">
        <w:rPr>
          <w:rFonts w:asciiTheme="majorBidi" w:hAnsiTheme="majorBidi" w:cstheme="majorBidi"/>
          <w:i/>
          <w:sz w:val="24"/>
          <w:szCs w:val="24"/>
          <w:lang w:val="en-US"/>
        </w:rPr>
        <w:t>in vitro</w:t>
      </w:r>
      <w:r w:rsidRPr="00795222">
        <w:rPr>
          <w:rFonts w:asciiTheme="majorBidi" w:hAnsiTheme="majorBidi" w:cstheme="majorBidi"/>
          <w:sz w:val="24"/>
          <w:szCs w:val="24"/>
          <w:lang w:val="en-US"/>
        </w:rPr>
        <w:t xml:space="preserve"> intestinal triple culture model using a method adapted from </w:t>
      </w:r>
      <w:proofErr w:type="spellStart"/>
      <w:r w:rsidRPr="00795222">
        <w:rPr>
          <w:rFonts w:asciiTheme="majorBidi" w:hAnsiTheme="majorBidi" w:cstheme="majorBidi"/>
          <w:sz w:val="24"/>
          <w:szCs w:val="24"/>
          <w:lang w:val="en-US"/>
        </w:rPr>
        <w:t>Schimpel</w:t>
      </w:r>
      <w:proofErr w:type="spellEnd"/>
      <w:r w:rsidRPr="00795222">
        <w:rPr>
          <w:rFonts w:asciiTheme="majorBidi" w:hAnsiTheme="majorBidi" w:cstheme="majorBidi"/>
          <w:sz w:val="24"/>
          <w:szCs w:val="24"/>
          <w:lang w:val="en-US"/>
        </w:rPr>
        <w:t xml:space="preserve"> </w:t>
      </w:r>
      <w:r w:rsidRPr="00795222">
        <w:rPr>
          <w:rFonts w:asciiTheme="majorBidi" w:hAnsiTheme="majorBidi" w:cstheme="majorBidi"/>
          <w:i/>
          <w:iCs/>
          <w:sz w:val="24"/>
          <w:szCs w:val="24"/>
          <w:lang w:val="en-US"/>
        </w:rPr>
        <w:t>et al</w:t>
      </w:r>
      <w:r w:rsidR="00EA0C3B" w:rsidRPr="00795222">
        <w:rPr>
          <w:rFonts w:asciiTheme="majorBidi" w:hAnsiTheme="majorBidi" w:cstheme="majorBidi"/>
          <w:i/>
          <w:iCs/>
          <w:sz w:val="24"/>
          <w:szCs w:val="24"/>
          <w:lang w:val="en-US"/>
        </w:rPr>
        <w:t>.</w:t>
      </w:r>
      <w:r w:rsidR="00A440DB" w:rsidRPr="00795222">
        <w:rPr>
          <w:rFonts w:asciiTheme="majorBidi" w:hAnsiTheme="majorBidi" w:cstheme="majorBidi"/>
          <w:i/>
          <w:iCs/>
          <w:sz w:val="24"/>
          <w:szCs w:val="24"/>
          <w:lang w:val="en-US"/>
        </w:rPr>
        <w:t xml:space="preserve"> </w:t>
      </w:r>
      <w:r w:rsidRPr="00795222">
        <w:rPr>
          <w:rFonts w:asciiTheme="majorBidi" w:hAnsiTheme="majorBidi" w:cstheme="majorBidi"/>
          <w:sz w:val="24"/>
          <w:szCs w:val="24"/>
          <w:lang w:val="en-US"/>
        </w:rPr>
        <w:fldChar w:fldCharType="begin" w:fldLock="1"/>
      </w:r>
      <w:r w:rsidR="001B7E74" w:rsidRPr="00795222">
        <w:rPr>
          <w:rFonts w:asciiTheme="majorBidi" w:hAnsiTheme="majorBidi" w:cstheme="majorBidi"/>
          <w:sz w:val="24"/>
          <w:szCs w:val="24"/>
          <w:lang w:val="en-US"/>
        </w:rPr>
        <w:instrText>ADDIN CSL_CITATION {"citationItems":[{"id":"ITEM-1","itemData":{"DOI":"10.1021/mp400507g","ISBN":"1543-8384","ISSN":"15438384","PMID":"24502507","abstract":"Intestinal epithelial cell culture models, such as Caco-2 cells, are commonly used to assess absorption of drug molecules and transcytosis of nanoparticles across the intestinal mucosa. However, it is known that mucus strongly impacts nanoparticle mobility and that specialized M cells are involved in particulate uptake. Thus, to get a clear understanding of how nanoparticles interact with the intestinal mucosa, in vitro models are necessary that integrate the main cell types. This work aimed at developing an alternative in vitro permeability model based on a triple culture: Caco-2 cells, mucus-secreting goblet cells and M cells. Therefore, Caco-2 cells and mucus-secreting goblet cells were cocultured on Transwells and Raji B cells were added to stimulate differentiation of M cells. The in vitro triple culture model was characterized regarding confluence, integrity, differentiation/expression of M cells and cell surface architecture. Permeability of model drugs and of 50 and 200 nm polystyrene nanoparticles was studied. Data from the in vitro model were compared with ex vivo permeability results (Ussing chambers and porcine intestine) and correlated well. Nanoparticle uptake was size-dependent and strongly impacted by the mucus layer. Moreover, nanoparticle permeability studies clearly demonstrated that particles were capable of penetrating the intestinal barrier mainly via specialized M cells. It can be concluded that goblet cells and M cells strongly impact nanoparticle uptake in the intestine and should thus be integrated in an in vitro permeability model. The presented model will be an efficient tool to study intestinal transcellular uptake of particulate systems.","author":[{"dropping-particle":"","family":"Schimpel","given":"Christa","non-dropping-particle":"","parse-names":false,"suffix":""},{"dropping-particle":"","family":"Teubl","given":"Birgit","non-dropping-particle":"","parse-names":false,"suffix":""},{"dropping-particle":"","family":"Absenger","given":"Markus","non-dropping-particle":"","parse-names":false,"suffix":""},{"dropping-particle":"","family":"Meindl","given":"Claudia","non-dropping-particle":"","parse-names":false,"suffix":""},{"dropping-particle":"","family":"Fröhlich","given":"Eleonore","non-dropping-particle":"","parse-names":false,"suffix":""},{"dropping-particle":"","family":"Leitinger","given":"Gerd","non-dropping-particle":"","parse-names":false,"suffix":""},{"dropping-particle":"","family":"Zimmer","given":"Andreas","non-dropping-particle":"","parse-names":false,"suffix":""},{"dropping-particle":"","family":"Roblegg","given":"Eva","non-dropping-particle":"","parse-names":false,"suffix":""}],"container-title":"Molecular Pharmaceutics","id":"ITEM-1","issued":{"date-parts":[["2014"]]},"page":"808-818","title":"Development of an advanced intestinal in vitro triple culture permeability model to study transport of nanoparticles","type":"article-journal","volume":"11"},"uris":["http://www.mendeley.com/documents/?uuid=3045e927-143e-41ae-b4a1-8be56ac09a10"]}],"mendeley":{"formattedCitation":"(Schimpel et al., 2014)","plainTextFormattedCitation":"(Schimpel et al., 2014)","previouslyFormattedCitation":"(Schimpel et al., 2014)"},"properties":{"noteIndex":0},"schema":"https://github.com/citation-style-language/schema/raw/master/csl-citation.json"}</w:instrText>
      </w:r>
      <w:r w:rsidRPr="00795222">
        <w:rPr>
          <w:rFonts w:asciiTheme="majorBidi" w:hAnsiTheme="majorBidi" w:cstheme="majorBidi"/>
          <w:sz w:val="24"/>
          <w:szCs w:val="24"/>
          <w:vertAlign w:val="superscript"/>
          <w:lang w:val="en-US"/>
        </w:rPr>
        <w:fldChar w:fldCharType="separate"/>
      </w:r>
      <w:r w:rsidR="00FF41FF" w:rsidRPr="00795222">
        <w:rPr>
          <w:rFonts w:asciiTheme="majorBidi" w:hAnsiTheme="majorBidi" w:cstheme="majorBidi"/>
          <w:noProof/>
          <w:sz w:val="24"/>
          <w:szCs w:val="24"/>
          <w:lang w:val="en-US"/>
        </w:rPr>
        <w:t>(Schimpel et al., 2014)</w:t>
      </w:r>
      <w:r w:rsidRPr="00795222">
        <w:rPr>
          <w:rFonts w:asciiTheme="majorBidi" w:hAnsiTheme="majorBidi" w:cstheme="majorBidi"/>
          <w:sz w:val="24"/>
          <w:szCs w:val="24"/>
          <w:lang w:val="en-US"/>
        </w:rPr>
        <w:fldChar w:fldCharType="end"/>
      </w:r>
      <w:r w:rsidRPr="00795222">
        <w:rPr>
          <w:rFonts w:asciiTheme="majorBidi" w:hAnsiTheme="majorBidi" w:cstheme="majorBidi"/>
          <w:sz w:val="24"/>
          <w:szCs w:val="24"/>
          <w:lang w:val="en-US"/>
        </w:rPr>
        <w:t xml:space="preserve"> Briefly, </w:t>
      </w:r>
      <w:proofErr w:type="spellStart"/>
      <w:r w:rsidRPr="00795222">
        <w:rPr>
          <w:rFonts w:asciiTheme="majorBidi" w:hAnsiTheme="majorBidi" w:cstheme="majorBidi"/>
          <w:sz w:val="24"/>
          <w:szCs w:val="24"/>
          <w:lang w:val="en-US"/>
        </w:rPr>
        <w:t>transwells</w:t>
      </w:r>
      <w:proofErr w:type="spellEnd"/>
      <w:r w:rsidRPr="00795222">
        <w:rPr>
          <w:rFonts w:asciiTheme="majorBidi" w:hAnsiTheme="majorBidi" w:cstheme="majorBidi"/>
          <w:sz w:val="24"/>
          <w:szCs w:val="24"/>
          <w:lang w:val="en-US"/>
        </w:rPr>
        <w:t xml:space="preserve"> were seeded apically with Caco-2 and HT-29-MTX cells in a 7:3 ratio with 1.4 x 10</w:t>
      </w:r>
      <w:r w:rsidRPr="00795222">
        <w:rPr>
          <w:rFonts w:asciiTheme="majorBidi" w:hAnsiTheme="majorBidi" w:cstheme="majorBidi"/>
          <w:sz w:val="24"/>
          <w:szCs w:val="24"/>
          <w:vertAlign w:val="superscript"/>
          <w:lang w:val="en-US"/>
        </w:rPr>
        <w:t>5</w:t>
      </w:r>
      <w:r w:rsidRPr="00795222">
        <w:rPr>
          <w:rFonts w:asciiTheme="majorBidi" w:hAnsiTheme="majorBidi" w:cstheme="majorBidi"/>
          <w:sz w:val="24"/>
          <w:szCs w:val="24"/>
          <w:lang w:val="en-US"/>
        </w:rPr>
        <w:t xml:space="preserve"> cells per well, respectively, and propagated over 21-days at 37</w:t>
      </w:r>
      <w:r w:rsidR="00E724DB"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t>C, 5</w:t>
      </w:r>
      <w:r w:rsidR="00040F1F"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t>% CO</w:t>
      </w:r>
      <w:r w:rsidRPr="00795222">
        <w:rPr>
          <w:rFonts w:asciiTheme="majorBidi" w:hAnsiTheme="majorBidi" w:cstheme="majorBidi"/>
          <w:sz w:val="24"/>
          <w:szCs w:val="24"/>
          <w:vertAlign w:val="subscript"/>
          <w:lang w:val="en-US"/>
        </w:rPr>
        <w:t>2</w:t>
      </w:r>
      <w:r w:rsidRPr="00795222">
        <w:rPr>
          <w:rFonts w:asciiTheme="majorBidi" w:hAnsiTheme="majorBidi" w:cstheme="majorBidi"/>
          <w:sz w:val="24"/>
          <w:szCs w:val="24"/>
          <w:lang w:val="en-US"/>
        </w:rPr>
        <w:t>. Following 16-days of co-culture, 1.4 x 10</w:t>
      </w:r>
      <w:r w:rsidRPr="00795222">
        <w:rPr>
          <w:rFonts w:asciiTheme="majorBidi" w:hAnsiTheme="majorBidi" w:cstheme="majorBidi"/>
          <w:sz w:val="24"/>
          <w:szCs w:val="24"/>
          <w:vertAlign w:val="superscript"/>
          <w:lang w:val="en-US"/>
        </w:rPr>
        <w:t xml:space="preserve">5 </w:t>
      </w:r>
      <w:r w:rsidRPr="00795222">
        <w:rPr>
          <w:rFonts w:asciiTheme="majorBidi" w:hAnsiTheme="majorBidi" w:cstheme="majorBidi"/>
          <w:sz w:val="24"/>
          <w:szCs w:val="24"/>
          <w:lang w:val="en-US"/>
        </w:rPr>
        <w:t>Raji B cells were added to the basolateral compartment of each well and the triple culture model propagated for a further 5-days at 37</w:t>
      </w:r>
      <w:r w:rsidR="00E724DB" w:rsidRPr="00795222">
        <w:rPr>
          <w:rFonts w:asciiTheme="majorBidi" w:hAnsiTheme="majorBidi" w:cstheme="majorBidi"/>
          <w:sz w:val="24"/>
          <w:szCs w:val="24"/>
          <w:lang w:val="en-US"/>
        </w:rPr>
        <w:t xml:space="preserve"> °C</w:t>
      </w:r>
      <w:r w:rsidRPr="00795222">
        <w:rPr>
          <w:rFonts w:asciiTheme="majorBidi" w:hAnsiTheme="majorBidi" w:cstheme="majorBidi"/>
          <w:sz w:val="24"/>
          <w:szCs w:val="24"/>
          <w:lang w:val="en-US"/>
        </w:rPr>
        <w:t>, 5</w:t>
      </w:r>
      <w:r w:rsidR="00040F1F"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t>% CO</w:t>
      </w:r>
      <w:r w:rsidRPr="00795222">
        <w:rPr>
          <w:rFonts w:asciiTheme="majorBidi" w:hAnsiTheme="majorBidi" w:cstheme="majorBidi"/>
          <w:sz w:val="24"/>
          <w:szCs w:val="24"/>
          <w:vertAlign w:val="subscript"/>
          <w:lang w:val="en-US"/>
        </w:rPr>
        <w:t>2</w:t>
      </w:r>
      <w:r w:rsidRPr="00795222">
        <w:rPr>
          <w:rFonts w:asciiTheme="majorBidi" w:hAnsiTheme="majorBidi" w:cstheme="majorBidi"/>
          <w:sz w:val="24"/>
          <w:szCs w:val="24"/>
          <w:lang w:val="en-US"/>
        </w:rPr>
        <w:t>. During the initial 16-days of propagation, the entire volume of media was aspirated from both apical and basolateral compartments and replaced with an equal volume of fresh pre-warmed media every other day. Following addition of the Raji B cells, 25</w:t>
      </w:r>
      <w:r w:rsidR="00040F1F"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t>% of the media was aspirated and replaced from the basolateral compartment every other day whilst the entire volume was changed apically as previously described. Transepithelial electrical resistance (TEER) values of &gt;800 Ω were observed for all cultured wells. After 21-days of culture, all the media was aspirated, wells washed twice with pre-warmed HBSS and replaced with either DMSO dissolved [</w:t>
      </w:r>
      <w:r w:rsidRPr="00795222">
        <w:rPr>
          <w:rFonts w:asciiTheme="majorBidi" w:hAnsiTheme="majorBidi" w:cstheme="majorBidi"/>
          <w:sz w:val="24"/>
          <w:szCs w:val="24"/>
          <w:vertAlign w:val="superscript"/>
          <w:lang w:val="en-US"/>
        </w:rPr>
        <w:t>3</w:t>
      </w:r>
      <w:r w:rsidRPr="00795222">
        <w:rPr>
          <w:rFonts w:asciiTheme="majorBidi" w:hAnsiTheme="majorBidi" w:cstheme="majorBidi"/>
          <w:sz w:val="24"/>
          <w:szCs w:val="24"/>
          <w:lang w:val="en-US"/>
        </w:rPr>
        <w:t>H]-DRV (&lt;1</w:t>
      </w:r>
      <w:r w:rsidR="00040F1F" w:rsidRPr="00795222">
        <w:rPr>
          <w:rFonts w:asciiTheme="majorBidi" w:hAnsiTheme="majorBidi" w:cstheme="majorBidi"/>
          <w:sz w:val="24"/>
          <w:szCs w:val="24"/>
          <w:lang w:val="en-US"/>
        </w:rPr>
        <w:t> </w:t>
      </w:r>
      <w:r w:rsidRPr="00795222">
        <w:rPr>
          <w:rFonts w:asciiTheme="majorBidi" w:hAnsiTheme="majorBidi" w:cstheme="majorBidi"/>
          <w:sz w:val="24"/>
          <w:szCs w:val="24"/>
          <w:lang w:val="en-US"/>
        </w:rPr>
        <w:t>% total DMSO volume per well) or [</w:t>
      </w:r>
      <w:r w:rsidRPr="00795222">
        <w:rPr>
          <w:rFonts w:asciiTheme="majorBidi" w:hAnsiTheme="majorBidi" w:cstheme="majorBidi"/>
          <w:sz w:val="24"/>
          <w:szCs w:val="24"/>
          <w:vertAlign w:val="superscript"/>
          <w:lang w:val="en-US"/>
        </w:rPr>
        <w:t>3</w:t>
      </w:r>
      <w:r w:rsidRPr="00795222">
        <w:rPr>
          <w:rFonts w:asciiTheme="majorBidi" w:hAnsiTheme="majorBidi" w:cstheme="majorBidi"/>
          <w:sz w:val="24"/>
          <w:szCs w:val="24"/>
          <w:lang w:val="en-US"/>
        </w:rPr>
        <w:t xml:space="preserve">H]-DRV LPHN suspensions spiked into transport buffer to a final concentration of 10 µM DRV. Each suspension was added to either apical or basolateral compartments and transport buffer was added to the opposing chamber. DRV transport from apical-to-basolateral (A&gt;B) and basolateral-to-apical (B&gt;A) directions was assessed. The </w:t>
      </w:r>
      <w:proofErr w:type="spellStart"/>
      <w:r w:rsidRPr="00795222">
        <w:rPr>
          <w:rFonts w:asciiTheme="majorBidi" w:hAnsiTheme="majorBidi" w:cstheme="majorBidi"/>
          <w:sz w:val="24"/>
          <w:szCs w:val="24"/>
          <w:lang w:val="en-US"/>
        </w:rPr>
        <w:t>transwell</w:t>
      </w:r>
      <w:proofErr w:type="spellEnd"/>
      <w:r w:rsidRPr="00795222">
        <w:rPr>
          <w:rFonts w:asciiTheme="majorBidi" w:hAnsiTheme="majorBidi" w:cstheme="majorBidi"/>
          <w:sz w:val="24"/>
          <w:szCs w:val="24"/>
          <w:lang w:val="en-US"/>
        </w:rPr>
        <w:t xml:space="preserve"> plates were incubated at 37</w:t>
      </w:r>
      <w:r w:rsidR="00F35B9C" w:rsidRPr="00795222">
        <w:rPr>
          <w:rFonts w:asciiTheme="majorBidi" w:hAnsiTheme="majorBidi" w:cstheme="majorBidi"/>
          <w:sz w:val="24"/>
          <w:szCs w:val="24"/>
          <w:lang w:val="en-US"/>
        </w:rPr>
        <w:t xml:space="preserve"> °C</w:t>
      </w:r>
      <w:r w:rsidRPr="00795222">
        <w:rPr>
          <w:rFonts w:asciiTheme="majorBidi" w:hAnsiTheme="majorBidi" w:cstheme="majorBidi"/>
          <w:sz w:val="24"/>
          <w:szCs w:val="24"/>
          <w:lang w:val="en-US"/>
        </w:rPr>
        <w:t>, 5</w:t>
      </w:r>
      <w:r w:rsidR="00040F1F"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t>% CO</w:t>
      </w:r>
      <w:r w:rsidRPr="00795222">
        <w:rPr>
          <w:rFonts w:asciiTheme="majorBidi" w:hAnsiTheme="majorBidi" w:cstheme="majorBidi"/>
          <w:sz w:val="24"/>
          <w:szCs w:val="24"/>
          <w:vertAlign w:val="subscript"/>
          <w:lang w:val="en-US"/>
        </w:rPr>
        <w:t>2</w:t>
      </w:r>
      <w:r w:rsidRPr="00795222">
        <w:rPr>
          <w:rFonts w:asciiTheme="majorBidi" w:hAnsiTheme="majorBidi" w:cstheme="majorBidi"/>
          <w:sz w:val="24"/>
          <w:szCs w:val="24"/>
          <w:lang w:val="en-US"/>
        </w:rPr>
        <w:t xml:space="preserve"> for the duration of the experiment and 0.1 m</w:t>
      </w:r>
      <w:r w:rsidR="00040F1F" w:rsidRPr="00795222">
        <w:rPr>
          <w:rFonts w:asciiTheme="majorBidi" w:hAnsiTheme="majorBidi" w:cstheme="majorBidi"/>
          <w:sz w:val="24"/>
          <w:szCs w:val="24"/>
          <w:lang w:val="en-US"/>
        </w:rPr>
        <w:t>L</w:t>
      </w:r>
      <w:r w:rsidRPr="00795222">
        <w:rPr>
          <w:rFonts w:asciiTheme="majorBidi" w:hAnsiTheme="majorBidi" w:cstheme="majorBidi"/>
          <w:sz w:val="24"/>
          <w:szCs w:val="24"/>
          <w:lang w:val="en-US"/>
        </w:rPr>
        <w:t xml:space="preserve"> was sampled hourly from the acceptor chamber over 4 h</w:t>
      </w:r>
      <w:r w:rsidR="00A90D4A" w:rsidRPr="00795222">
        <w:rPr>
          <w:rFonts w:asciiTheme="majorBidi" w:hAnsiTheme="majorBidi" w:cstheme="majorBidi"/>
          <w:sz w:val="24"/>
          <w:szCs w:val="24"/>
          <w:lang w:val="en-US"/>
        </w:rPr>
        <w:t>ours</w:t>
      </w:r>
      <w:r w:rsidRPr="00795222">
        <w:rPr>
          <w:rFonts w:asciiTheme="majorBidi" w:hAnsiTheme="majorBidi" w:cstheme="majorBidi"/>
          <w:sz w:val="24"/>
          <w:szCs w:val="24"/>
          <w:lang w:val="en-US"/>
        </w:rPr>
        <w:t xml:space="preserve"> and replaced with an equal volume of fresh pre-warmed transport buffer. Samples were placed into empty 5 m</w:t>
      </w:r>
      <w:r w:rsidR="00040F1F" w:rsidRPr="00795222">
        <w:rPr>
          <w:rFonts w:asciiTheme="majorBidi" w:hAnsiTheme="majorBidi" w:cstheme="majorBidi"/>
          <w:sz w:val="24"/>
          <w:szCs w:val="24"/>
          <w:lang w:val="en-US"/>
        </w:rPr>
        <w:t>L</w:t>
      </w:r>
      <w:r w:rsidRPr="00795222">
        <w:rPr>
          <w:rFonts w:asciiTheme="majorBidi" w:hAnsiTheme="majorBidi" w:cstheme="majorBidi"/>
          <w:sz w:val="24"/>
          <w:szCs w:val="24"/>
          <w:lang w:val="en-US"/>
        </w:rPr>
        <w:t xml:space="preserve"> scintillation vials before mixing with 4 m</w:t>
      </w:r>
      <w:r w:rsidR="00040F1F" w:rsidRPr="00795222">
        <w:rPr>
          <w:rFonts w:asciiTheme="majorBidi" w:hAnsiTheme="majorBidi" w:cstheme="majorBidi"/>
          <w:sz w:val="24"/>
          <w:szCs w:val="24"/>
          <w:lang w:val="en-US"/>
        </w:rPr>
        <w:t>L</w:t>
      </w:r>
      <w:r w:rsidRPr="00795222">
        <w:rPr>
          <w:rFonts w:asciiTheme="majorBidi" w:hAnsiTheme="majorBidi" w:cstheme="majorBidi"/>
          <w:sz w:val="24"/>
          <w:szCs w:val="24"/>
          <w:lang w:val="en-US"/>
        </w:rPr>
        <w:t xml:space="preserve"> of liquid scintillation fluid. Apparent permeability (Papp) and apparent oral absorption ((Papp (A&gt;B) / Papp (B&gt;A)) equations were used to calculate the rate of DRV permeation as previously described</w:t>
      </w:r>
      <w:r w:rsidR="000421D6" w:rsidRPr="00795222">
        <w:rPr>
          <w:rFonts w:asciiTheme="majorBidi" w:hAnsiTheme="majorBidi" w:cstheme="majorBidi"/>
          <w:sz w:val="24"/>
          <w:szCs w:val="24"/>
          <w:lang w:val="en-US"/>
        </w:rPr>
        <w:t>.</w:t>
      </w:r>
      <w:r w:rsidRPr="00795222">
        <w:rPr>
          <w:rFonts w:asciiTheme="majorBidi" w:hAnsiTheme="majorBidi" w:cstheme="majorBidi"/>
          <w:sz w:val="24"/>
          <w:szCs w:val="24"/>
          <w:lang w:val="en-US"/>
        </w:rPr>
        <w:fldChar w:fldCharType="begin" w:fldLock="1"/>
      </w:r>
      <w:r w:rsidR="00B82D25" w:rsidRPr="00795222">
        <w:rPr>
          <w:rFonts w:asciiTheme="majorBidi" w:hAnsiTheme="majorBidi" w:cstheme="majorBidi"/>
          <w:sz w:val="24"/>
          <w:szCs w:val="24"/>
          <w:lang w:val="en-US"/>
        </w:rPr>
        <w:instrText>ADDIN CSL_CITATION {"citationItems":[{"id":"ITEM-1","itemData":{"DOI":"10.1016/j.ejpb.2018.05.015","ISSN":"18733441","abstract":"Oral drug administration remains the preferred approach for treatment of HIV in most patients. Maraviroc (MVC) is the first in class co-receptor antagonist, which blocks HIV entry into host cells. MVC has an oral bioavailability of approximately 33%, which is limited by poor permeability as well as affinity for CYP3A and several drug transporters. While once-daily doses are now the favoured option for HIV therapy, dose-limiting postural hypotension has been of theoretical concern when administering doses high enough to achieve this for MVC (particularly during coadministration of enzyme inhibitors). To overcome low bioavailability and modify the pharmacokinetic profile, a series of 70 wt% MVC solid drug nanoparticle (SDN) formulations (containing 30 wt% of various polymer/surfactant excipients) were generated using emulsion templated freeze-drying. The lead formulation contained PVA and AOT excipients ( MVC SDN PVA/AOT ), and was demonstrated to be fully water-dispersible to release drug nanoparticles with z-average diameter of 728 nm and polydispersity index of 0.3. In vitro and in vivo studies of MVC SDN PVA/AOT showed increased apparent permeability of MVC, compared to a conventional MVC preparation, with in vivo studies in rats showing a 2.5-fold increase in AUC (145.33 vs. 58.71 ng h ml −1 ). MVC tissue distribution was similar or slightly increased in tissues examined compared to the conventional MVC preparation, with the exception of the liver, spleen and kidneys, which showed statistically significant increases in MVC for MVC SDN PVA/AOT . These data support a novel oral format with the potential for dose reduction while maintaining therapeutic MVC exposure and potentially enabling a once-daily fixed dose combination product.","author":[{"dropping-particle":"","family":"Savage","given":"Alison C.","non-dropping-particle":"","parse-names":false,"suffix":""},{"dropping-particle":"","family":"Tatham","given":"Lee M.","non-dropping-particle":"","parse-names":false,"suffix":""},{"dropping-particle":"","family":"Siccardi","given":"Marco","non-dropping-particle":"","parse-names":false,"suffix":""},{"dropping-particle":"","family":"Scott","given":"Trevor","non-dropping-particle":"","parse-names":false,"suffix":""},{"dropping-particle":"","family":"Vourvahis","given":"Manoli","non-dropping-particle":"","parse-names":false,"suffix":""},{"dropping-particle":"","family":"Clark","given":"Andrew","non-dropping-particle":"","parse-names":false,"suffix":""},{"dropping-particle":"","family":"Rannard","given":"Steve P.","non-dropping-particle":"","parse-names":false,"suffix":""},{"dropping-particle":"","family":"Owen","given":"Andrew","non-dropping-particle":"","parse-names":false,"suffix":""}],"container-title":"European Journal of Pharmaceutics and Biopharmaceutics","id":"ITEM-1","issued":{"date-parts":[["2019"]]},"page":"30-36","title":"Improving maraviroc oral bioavailability by formation of solid drug nanoparticles","type":"article-journal","volume":"138"},"uris":["http://www.mendeley.com/documents/?uuid=f557a068-459d-3456-bace-973144bfdfaf","http://www.mendeley.com/documents/?uuid=10618e42-9a07-4ae8-b768-658d3a0869ce","http://www.mendeley.com/documents/?uuid=2b40be77-9f4d-4d11-9e19-787f33af29a7","http://www.mendeley.com/documents/?uuid=4cc01d3f-e190-447e-b09d-7926e992ff29"]}],"mendeley":{"formattedCitation":"(Savage et al., 2019)","plainTextFormattedCitation":"(Savage et al., 2019)","previouslyFormattedCitation":"(Savage et al., 2019)"},"properties":{"noteIndex":0},"schema":"https://github.com/citation-style-language/schema/raw/master/csl-citation.json"}</w:instrText>
      </w:r>
      <w:r w:rsidRPr="00795222">
        <w:rPr>
          <w:rFonts w:asciiTheme="majorBidi" w:hAnsiTheme="majorBidi" w:cstheme="majorBidi"/>
          <w:sz w:val="24"/>
          <w:szCs w:val="24"/>
          <w:vertAlign w:val="superscript"/>
          <w:lang w:val="en-US"/>
        </w:rPr>
        <w:fldChar w:fldCharType="separate"/>
      </w:r>
      <w:r w:rsidR="00FF41FF" w:rsidRPr="00795222">
        <w:rPr>
          <w:rFonts w:asciiTheme="majorBidi" w:hAnsiTheme="majorBidi" w:cstheme="majorBidi"/>
          <w:noProof/>
          <w:sz w:val="24"/>
          <w:szCs w:val="24"/>
          <w:lang w:val="en-US"/>
        </w:rPr>
        <w:t>(Savage et al., 2019)</w:t>
      </w:r>
      <w:r w:rsidRPr="00795222">
        <w:rPr>
          <w:rFonts w:asciiTheme="majorBidi" w:hAnsiTheme="majorBidi" w:cstheme="majorBidi"/>
          <w:sz w:val="24"/>
          <w:szCs w:val="24"/>
          <w:lang w:val="en-US"/>
        </w:rPr>
        <w:fldChar w:fldCharType="end"/>
      </w:r>
      <w:r w:rsidRPr="00795222">
        <w:rPr>
          <w:rFonts w:asciiTheme="majorBidi" w:hAnsiTheme="majorBidi" w:cstheme="majorBidi"/>
          <w:sz w:val="24"/>
          <w:szCs w:val="24"/>
          <w:lang w:val="en-US"/>
        </w:rPr>
        <w:t xml:space="preserve"> The integrity of the triple culture models were assessed following the 4 h incubation with each test condition. Transport buffer was aspirated, and the wells washed twice with pre-warmed HBSS. Subsequently, 0.1 m</w:t>
      </w:r>
      <w:r w:rsidR="000421D6" w:rsidRPr="00795222">
        <w:rPr>
          <w:rFonts w:asciiTheme="majorBidi" w:hAnsiTheme="majorBidi" w:cstheme="majorBidi"/>
          <w:sz w:val="24"/>
          <w:szCs w:val="24"/>
          <w:lang w:val="en-US"/>
        </w:rPr>
        <w:t>L</w:t>
      </w:r>
      <w:r w:rsidRPr="00795222">
        <w:rPr>
          <w:rFonts w:asciiTheme="majorBidi" w:hAnsiTheme="majorBidi" w:cstheme="majorBidi"/>
          <w:sz w:val="24"/>
          <w:szCs w:val="24"/>
          <w:lang w:val="en-US"/>
        </w:rPr>
        <w:t xml:space="preserve"> of transport buffer containing [</w:t>
      </w:r>
      <w:r w:rsidRPr="00795222">
        <w:rPr>
          <w:rFonts w:asciiTheme="majorBidi" w:hAnsiTheme="majorBidi" w:cstheme="majorBidi"/>
          <w:sz w:val="24"/>
          <w:szCs w:val="24"/>
          <w:vertAlign w:val="superscript"/>
          <w:lang w:val="en-US"/>
        </w:rPr>
        <w:t>14</w:t>
      </w:r>
      <w:r w:rsidRPr="00795222">
        <w:rPr>
          <w:rFonts w:asciiTheme="majorBidi" w:hAnsiTheme="majorBidi" w:cstheme="majorBidi"/>
          <w:sz w:val="24"/>
          <w:szCs w:val="24"/>
          <w:lang w:val="en-US"/>
        </w:rPr>
        <w:t>C]-mannitol (50 µM, 2 µCi/m</w:t>
      </w:r>
      <w:r w:rsidR="000421D6" w:rsidRPr="00795222">
        <w:rPr>
          <w:rFonts w:asciiTheme="majorBidi" w:hAnsiTheme="majorBidi" w:cstheme="majorBidi"/>
          <w:sz w:val="24"/>
          <w:szCs w:val="24"/>
          <w:lang w:val="en-US"/>
        </w:rPr>
        <w:t>L</w:t>
      </w:r>
      <w:r w:rsidRPr="00795222">
        <w:rPr>
          <w:rFonts w:asciiTheme="majorBidi" w:hAnsiTheme="majorBidi" w:cstheme="majorBidi"/>
          <w:sz w:val="24"/>
          <w:szCs w:val="24"/>
          <w:lang w:val="en-US"/>
        </w:rPr>
        <w:t>) was added to the apical compartment of each well and 0.6 m</w:t>
      </w:r>
      <w:r w:rsidR="000421D6" w:rsidRPr="00795222">
        <w:rPr>
          <w:rFonts w:asciiTheme="majorBidi" w:hAnsiTheme="majorBidi" w:cstheme="majorBidi"/>
          <w:sz w:val="24"/>
          <w:szCs w:val="24"/>
          <w:lang w:val="en-US"/>
        </w:rPr>
        <w:t>L</w:t>
      </w:r>
      <w:r w:rsidRPr="00795222">
        <w:rPr>
          <w:rFonts w:asciiTheme="majorBidi" w:hAnsiTheme="majorBidi" w:cstheme="majorBidi"/>
          <w:sz w:val="24"/>
          <w:szCs w:val="24"/>
          <w:lang w:val="en-US"/>
        </w:rPr>
        <w:t xml:space="preserve"> of transport buffer was added to the basolateral compartments. The </w:t>
      </w:r>
      <w:proofErr w:type="spellStart"/>
      <w:r w:rsidRPr="00795222">
        <w:rPr>
          <w:rFonts w:asciiTheme="majorBidi" w:hAnsiTheme="majorBidi" w:cstheme="majorBidi"/>
          <w:sz w:val="24"/>
          <w:szCs w:val="24"/>
          <w:lang w:val="en-US"/>
        </w:rPr>
        <w:t>transwells</w:t>
      </w:r>
      <w:proofErr w:type="spellEnd"/>
      <w:r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lastRenderedPageBreak/>
        <w:t xml:space="preserve">were incubated for 1 h at </w:t>
      </w:r>
      <w:r w:rsidR="00F35B9C" w:rsidRPr="00795222">
        <w:rPr>
          <w:rFonts w:asciiTheme="majorBidi" w:hAnsiTheme="majorBidi" w:cstheme="majorBidi"/>
          <w:sz w:val="24"/>
          <w:szCs w:val="24"/>
          <w:lang w:val="en-US"/>
        </w:rPr>
        <w:t>37 °C</w:t>
      </w:r>
      <w:r w:rsidRPr="00795222">
        <w:rPr>
          <w:rFonts w:asciiTheme="majorBidi" w:hAnsiTheme="majorBidi" w:cstheme="majorBidi"/>
          <w:sz w:val="24"/>
          <w:szCs w:val="24"/>
          <w:lang w:val="en-US"/>
        </w:rPr>
        <w:t>, 5</w:t>
      </w:r>
      <w:r w:rsidR="000421D6"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t>% CO</w:t>
      </w:r>
      <w:r w:rsidRPr="00795222">
        <w:rPr>
          <w:rFonts w:asciiTheme="majorBidi" w:hAnsiTheme="majorBidi" w:cstheme="majorBidi"/>
          <w:sz w:val="24"/>
          <w:szCs w:val="24"/>
          <w:vertAlign w:val="subscript"/>
          <w:lang w:val="en-US"/>
        </w:rPr>
        <w:t>2</w:t>
      </w:r>
      <w:r w:rsidRPr="00795222">
        <w:rPr>
          <w:rFonts w:asciiTheme="majorBidi" w:hAnsiTheme="majorBidi" w:cstheme="majorBidi"/>
          <w:sz w:val="24"/>
          <w:szCs w:val="24"/>
          <w:lang w:val="en-US"/>
        </w:rPr>
        <w:t xml:space="preserve"> and 0.1 m</w:t>
      </w:r>
      <w:r w:rsidR="000421D6" w:rsidRPr="00795222">
        <w:rPr>
          <w:rFonts w:asciiTheme="majorBidi" w:hAnsiTheme="majorBidi" w:cstheme="majorBidi"/>
          <w:sz w:val="24"/>
          <w:szCs w:val="24"/>
          <w:lang w:val="en-US"/>
        </w:rPr>
        <w:t>L</w:t>
      </w:r>
      <w:r w:rsidRPr="00795222">
        <w:rPr>
          <w:rFonts w:asciiTheme="majorBidi" w:hAnsiTheme="majorBidi" w:cstheme="majorBidi"/>
          <w:sz w:val="24"/>
          <w:szCs w:val="24"/>
          <w:lang w:val="en-US"/>
        </w:rPr>
        <w:t xml:space="preserve"> of the basolateral contents were sampled and placed into a 5 m</w:t>
      </w:r>
      <w:r w:rsidR="000421D6" w:rsidRPr="00795222">
        <w:rPr>
          <w:rFonts w:asciiTheme="majorBidi" w:hAnsiTheme="majorBidi" w:cstheme="majorBidi"/>
          <w:sz w:val="24"/>
          <w:szCs w:val="24"/>
          <w:lang w:val="en-US"/>
        </w:rPr>
        <w:t>L</w:t>
      </w:r>
      <w:r w:rsidRPr="00795222">
        <w:rPr>
          <w:rFonts w:asciiTheme="majorBidi" w:hAnsiTheme="majorBidi" w:cstheme="majorBidi"/>
          <w:sz w:val="24"/>
          <w:szCs w:val="24"/>
          <w:lang w:val="en-US"/>
        </w:rPr>
        <w:t xml:space="preserve"> scintillation vial before mixing with 4 m</w:t>
      </w:r>
      <w:r w:rsidR="000421D6" w:rsidRPr="00795222">
        <w:rPr>
          <w:rFonts w:asciiTheme="majorBidi" w:hAnsiTheme="majorBidi" w:cstheme="majorBidi"/>
          <w:sz w:val="24"/>
          <w:szCs w:val="24"/>
          <w:lang w:val="en-US"/>
        </w:rPr>
        <w:t>L</w:t>
      </w:r>
      <w:r w:rsidRPr="00795222">
        <w:rPr>
          <w:rFonts w:asciiTheme="majorBidi" w:hAnsiTheme="majorBidi" w:cstheme="majorBidi"/>
          <w:sz w:val="24"/>
          <w:szCs w:val="24"/>
          <w:lang w:val="en-US"/>
        </w:rPr>
        <w:t xml:space="preserve"> scintillation fluid for radiometric analysis as described above.</w:t>
      </w:r>
    </w:p>
    <w:p w14:paraId="1D5BD1EB" w14:textId="77777777" w:rsidR="00CB0EAD" w:rsidRPr="00795222" w:rsidRDefault="00CB0EAD" w:rsidP="00657F6C">
      <w:pPr>
        <w:pStyle w:val="Heading4"/>
        <w:jc w:val="both"/>
      </w:pPr>
      <w:r w:rsidRPr="00795222">
        <w:t>Statistical analysis</w:t>
      </w:r>
    </w:p>
    <w:p w14:paraId="1D533E18" w14:textId="4770D9E7" w:rsidR="00CB0EAD" w:rsidRPr="00795222" w:rsidRDefault="00CB0EAD" w:rsidP="00657F6C">
      <w:p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lang w:val="en-US"/>
        </w:rPr>
        <w:t xml:space="preserve">Statistical analysis was performed using GraphPad Prism v.8.2 (US). Data normality was assessed using a Shapiro-Wilk test and subsequently unpaired, two-tailed t-test were applied to the datasets. Differences were considered statistically significant at *, P&lt;0.05; **, P &lt; 0.01; ***, P &lt; 0.001; ****, P &lt; 0.0001.    </w:t>
      </w:r>
    </w:p>
    <w:p w14:paraId="28EA558D" w14:textId="77777777" w:rsidR="001F701C" w:rsidRPr="00795222" w:rsidRDefault="001F701C" w:rsidP="00657F6C">
      <w:pPr>
        <w:pStyle w:val="Heading1"/>
        <w:jc w:val="both"/>
      </w:pPr>
      <w:r w:rsidRPr="00795222">
        <w:t>Results and discussion </w:t>
      </w:r>
    </w:p>
    <w:p w14:paraId="0814A0CA" w14:textId="75F88585" w:rsidR="001F701C" w:rsidRPr="00795222" w:rsidRDefault="0051529C" w:rsidP="00657F6C">
      <w:pPr>
        <w:pStyle w:val="Heading2"/>
        <w:spacing w:line="360" w:lineRule="auto"/>
        <w:jc w:val="both"/>
        <w:rPr>
          <w:rFonts w:asciiTheme="majorBidi" w:hAnsiTheme="majorBidi"/>
          <w:szCs w:val="24"/>
          <w:lang w:val="en-US"/>
        </w:rPr>
      </w:pPr>
      <w:r w:rsidRPr="00795222">
        <w:rPr>
          <w:rFonts w:asciiTheme="majorBidi" w:hAnsiTheme="majorBidi"/>
          <w:szCs w:val="24"/>
          <w:lang w:val="en-US"/>
        </w:rPr>
        <w:t>Optimization</w:t>
      </w:r>
      <w:r w:rsidR="001F701C" w:rsidRPr="00795222">
        <w:rPr>
          <w:rFonts w:asciiTheme="majorBidi" w:hAnsiTheme="majorBidi"/>
          <w:szCs w:val="24"/>
          <w:lang w:val="en-US"/>
        </w:rPr>
        <w:t xml:space="preserve"> of the synthesis of LPHNs </w:t>
      </w:r>
    </w:p>
    <w:p w14:paraId="4394E08A" w14:textId="7DCC1A80" w:rsidR="00785B60" w:rsidRPr="00795222" w:rsidRDefault="00DC07F1" w:rsidP="00657F6C">
      <w:p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lang w:val="en-US"/>
        </w:rPr>
        <w:t xml:space="preserve">In order to </w:t>
      </w:r>
      <w:r w:rsidR="0051529C" w:rsidRPr="00795222">
        <w:rPr>
          <w:rFonts w:asciiTheme="majorBidi" w:hAnsiTheme="majorBidi" w:cstheme="majorBidi"/>
          <w:sz w:val="24"/>
          <w:szCs w:val="24"/>
          <w:lang w:val="en-US"/>
        </w:rPr>
        <w:t>optimize</w:t>
      </w:r>
      <w:r w:rsidRPr="00795222">
        <w:rPr>
          <w:rFonts w:asciiTheme="majorBidi" w:hAnsiTheme="majorBidi" w:cstheme="majorBidi"/>
          <w:sz w:val="24"/>
          <w:szCs w:val="24"/>
          <w:lang w:val="en-US"/>
        </w:rPr>
        <w:t xml:space="preserve"> the</w:t>
      </w:r>
      <w:r w:rsidR="00C33445" w:rsidRPr="00795222">
        <w:rPr>
          <w:rFonts w:asciiTheme="majorBidi" w:hAnsiTheme="majorBidi" w:cstheme="majorBidi"/>
          <w:sz w:val="24"/>
          <w:szCs w:val="24"/>
          <w:lang w:val="en-US"/>
        </w:rPr>
        <w:t xml:space="preserve"> form</w:t>
      </w:r>
      <w:r w:rsidR="00CE6BA6" w:rsidRPr="00795222">
        <w:rPr>
          <w:rFonts w:asciiTheme="majorBidi" w:hAnsiTheme="majorBidi" w:cstheme="majorBidi"/>
          <w:sz w:val="24"/>
          <w:szCs w:val="24"/>
          <w:lang w:val="en-US"/>
        </w:rPr>
        <w:t>ul</w:t>
      </w:r>
      <w:r w:rsidR="00C33445" w:rsidRPr="00795222">
        <w:rPr>
          <w:rFonts w:asciiTheme="majorBidi" w:hAnsiTheme="majorBidi" w:cstheme="majorBidi"/>
          <w:sz w:val="24"/>
          <w:szCs w:val="24"/>
          <w:lang w:val="en-US"/>
        </w:rPr>
        <w:t>ation of</w:t>
      </w:r>
      <w:r w:rsidRPr="00795222">
        <w:rPr>
          <w:rFonts w:asciiTheme="majorBidi" w:hAnsiTheme="majorBidi" w:cstheme="majorBidi"/>
          <w:sz w:val="24"/>
          <w:szCs w:val="24"/>
          <w:lang w:val="en-US"/>
        </w:rPr>
        <w:t xml:space="preserve"> </w:t>
      </w:r>
      <w:r w:rsidR="00F70488" w:rsidRPr="00795222">
        <w:rPr>
          <w:rFonts w:asciiTheme="majorBidi" w:hAnsiTheme="majorBidi" w:cstheme="majorBidi"/>
          <w:sz w:val="24"/>
          <w:szCs w:val="24"/>
          <w:lang w:val="en-US"/>
        </w:rPr>
        <w:t>LPHN</w:t>
      </w:r>
      <w:r w:rsidR="009738F5" w:rsidRPr="00795222">
        <w:rPr>
          <w:rFonts w:asciiTheme="majorBidi" w:hAnsiTheme="majorBidi" w:cstheme="majorBidi"/>
          <w:sz w:val="24"/>
          <w:szCs w:val="24"/>
          <w:lang w:val="en-US"/>
        </w:rPr>
        <w:t>s</w:t>
      </w:r>
      <w:r w:rsidRPr="00795222">
        <w:rPr>
          <w:rFonts w:asciiTheme="majorBidi" w:hAnsiTheme="majorBidi" w:cstheme="majorBidi"/>
          <w:sz w:val="24"/>
          <w:szCs w:val="24"/>
          <w:lang w:val="en-US"/>
        </w:rPr>
        <w:t>, b</w:t>
      </w:r>
      <w:r w:rsidR="001F701C" w:rsidRPr="00795222">
        <w:rPr>
          <w:rFonts w:asciiTheme="majorBidi" w:hAnsiTheme="majorBidi" w:cstheme="majorBidi"/>
          <w:sz w:val="24"/>
          <w:szCs w:val="24"/>
          <w:lang w:val="en-US"/>
        </w:rPr>
        <w:t xml:space="preserve">lank (without drug) and </w:t>
      </w:r>
      <w:r w:rsidR="00C33445" w:rsidRPr="00795222">
        <w:rPr>
          <w:rFonts w:asciiTheme="majorBidi" w:hAnsiTheme="majorBidi" w:cstheme="majorBidi"/>
          <w:sz w:val="24"/>
          <w:szCs w:val="24"/>
          <w:lang w:val="en-US"/>
        </w:rPr>
        <w:t xml:space="preserve">DRV </w:t>
      </w:r>
      <w:r w:rsidR="006A1789" w:rsidRPr="00795222">
        <w:rPr>
          <w:rFonts w:asciiTheme="majorBidi" w:hAnsiTheme="majorBidi" w:cstheme="majorBidi"/>
          <w:sz w:val="24"/>
          <w:szCs w:val="24"/>
          <w:lang w:val="en-US"/>
        </w:rPr>
        <w:t>loaded</w:t>
      </w:r>
      <w:r w:rsidR="001F701C" w:rsidRPr="00795222">
        <w:rPr>
          <w:rFonts w:asciiTheme="majorBidi" w:hAnsiTheme="majorBidi" w:cstheme="majorBidi"/>
          <w:sz w:val="24"/>
          <w:szCs w:val="24"/>
          <w:lang w:val="en-US"/>
        </w:rPr>
        <w:t xml:space="preserve"> LPHNs were prepared </w:t>
      </w:r>
      <w:r w:rsidR="00E74FC1" w:rsidRPr="00795222">
        <w:rPr>
          <w:rFonts w:asciiTheme="majorBidi" w:hAnsiTheme="majorBidi" w:cstheme="majorBidi"/>
          <w:i/>
          <w:sz w:val="24"/>
          <w:szCs w:val="24"/>
          <w:lang w:val="en-US"/>
        </w:rPr>
        <w:t>via</w:t>
      </w:r>
      <w:r w:rsidR="000421D6" w:rsidRPr="00795222">
        <w:rPr>
          <w:rFonts w:asciiTheme="majorBidi" w:hAnsiTheme="majorBidi" w:cstheme="majorBidi"/>
          <w:sz w:val="24"/>
          <w:szCs w:val="24"/>
          <w:lang w:val="en-US"/>
        </w:rPr>
        <w:t xml:space="preserve"> </w:t>
      </w:r>
      <w:r w:rsidR="001F701C" w:rsidRPr="00795222">
        <w:rPr>
          <w:rFonts w:asciiTheme="majorBidi" w:hAnsiTheme="majorBidi" w:cstheme="majorBidi"/>
          <w:sz w:val="24"/>
          <w:szCs w:val="24"/>
          <w:lang w:val="en-US"/>
        </w:rPr>
        <w:t xml:space="preserve">nanoprecipitation. </w:t>
      </w:r>
      <w:r w:rsidR="00C5549D" w:rsidRPr="00795222">
        <w:rPr>
          <w:rFonts w:asciiTheme="majorBidi" w:hAnsiTheme="majorBidi" w:cstheme="majorBidi"/>
          <w:sz w:val="24"/>
          <w:szCs w:val="24"/>
          <w:lang w:val="en-US"/>
        </w:rPr>
        <w:t xml:space="preserve">The aim of this </w:t>
      </w:r>
      <w:r w:rsidR="0051529C" w:rsidRPr="00795222">
        <w:rPr>
          <w:rFonts w:asciiTheme="majorBidi" w:hAnsiTheme="majorBidi" w:cstheme="majorBidi"/>
          <w:sz w:val="24"/>
          <w:szCs w:val="24"/>
          <w:lang w:val="en-US"/>
        </w:rPr>
        <w:t>optimization</w:t>
      </w:r>
      <w:r w:rsidR="00C5549D" w:rsidRPr="00795222">
        <w:rPr>
          <w:rFonts w:asciiTheme="majorBidi" w:hAnsiTheme="majorBidi" w:cstheme="majorBidi"/>
          <w:sz w:val="24"/>
          <w:szCs w:val="24"/>
          <w:lang w:val="en-US"/>
        </w:rPr>
        <w:t xml:space="preserve"> was to prepare nanoparticles</w:t>
      </w:r>
      <w:r w:rsidR="00C33445" w:rsidRPr="00795222">
        <w:rPr>
          <w:rFonts w:asciiTheme="majorBidi" w:hAnsiTheme="majorBidi" w:cstheme="majorBidi"/>
          <w:sz w:val="24"/>
          <w:szCs w:val="24"/>
          <w:lang w:val="en-US"/>
        </w:rPr>
        <w:t xml:space="preserve"> that had</w:t>
      </w:r>
      <w:r w:rsidR="00C5549D" w:rsidRPr="00795222">
        <w:rPr>
          <w:rFonts w:asciiTheme="majorBidi" w:hAnsiTheme="majorBidi" w:cstheme="majorBidi"/>
          <w:sz w:val="24"/>
          <w:szCs w:val="24"/>
          <w:lang w:val="en-US"/>
        </w:rPr>
        <w:t xml:space="preserve"> the highest possible drug loading </w:t>
      </w:r>
      <w:r w:rsidR="000421D6" w:rsidRPr="00795222">
        <w:rPr>
          <w:rFonts w:asciiTheme="majorBidi" w:hAnsiTheme="majorBidi" w:cstheme="majorBidi"/>
          <w:sz w:val="24"/>
          <w:szCs w:val="24"/>
          <w:lang w:val="en-US"/>
        </w:rPr>
        <w:t xml:space="preserve">and </w:t>
      </w:r>
      <w:r w:rsidR="00C33445" w:rsidRPr="00795222">
        <w:rPr>
          <w:rFonts w:asciiTheme="majorBidi" w:hAnsiTheme="majorBidi" w:cstheme="majorBidi"/>
          <w:sz w:val="24"/>
          <w:szCs w:val="24"/>
          <w:lang w:val="en-US"/>
        </w:rPr>
        <w:t>p</w:t>
      </w:r>
      <w:r w:rsidR="00C5549D" w:rsidRPr="00795222">
        <w:rPr>
          <w:rFonts w:asciiTheme="majorBidi" w:hAnsiTheme="majorBidi" w:cstheme="majorBidi"/>
          <w:sz w:val="24"/>
          <w:szCs w:val="24"/>
          <w:lang w:val="en-US"/>
        </w:rPr>
        <w:t xml:space="preserve">ossessed colloidal stability under physiological ionic strength. </w:t>
      </w:r>
      <w:r w:rsidR="00982B84" w:rsidRPr="00795222">
        <w:rPr>
          <w:rFonts w:asciiTheme="majorBidi" w:hAnsiTheme="majorBidi" w:cstheme="majorBidi"/>
          <w:sz w:val="24"/>
          <w:szCs w:val="24"/>
          <w:lang w:val="en-US"/>
        </w:rPr>
        <w:t>Th</w:t>
      </w:r>
      <w:r w:rsidR="00E74FC1" w:rsidRPr="00795222">
        <w:rPr>
          <w:rFonts w:asciiTheme="majorBidi" w:hAnsiTheme="majorBidi" w:cstheme="majorBidi"/>
          <w:sz w:val="24"/>
          <w:szCs w:val="24"/>
          <w:lang w:val="en-US"/>
        </w:rPr>
        <w:t>re</w:t>
      </w:r>
      <w:r w:rsidR="00982B84" w:rsidRPr="00795222">
        <w:rPr>
          <w:rFonts w:asciiTheme="majorBidi" w:hAnsiTheme="majorBidi" w:cstheme="majorBidi"/>
          <w:sz w:val="24"/>
          <w:szCs w:val="24"/>
          <w:lang w:val="en-US"/>
        </w:rPr>
        <w:t>e variables were</w:t>
      </w:r>
      <w:r w:rsidR="00E74FC1" w:rsidRPr="00795222">
        <w:rPr>
          <w:rFonts w:asciiTheme="majorBidi" w:hAnsiTheme="majorBidi" w:cstheme="majorBidi"/>
          <w:sz w:val="24"/>
          <w:szCs w:val="24"/>
          <w:lang w:val="en-US"/>
        </w:rPr>
        <w:t xml:space="preserve"> tested</w:t>
      </w:r>
      <w:r w:rsidR="00982B84" w:rsidRPr="00795222">
        <w:rPr>
          <w:rFonts w:asciiTheme="majorBidi" w:hAnsiTheme="majorBidi" w:cstheme="majorBidi"/>
          <w:sz w:val="24"/>
          <w:szCs w:val="24"/>
          <w:lang w:val="en-US"/>
        </w:rPr>
        <w:t>:</w:t>
      </w:r>
      <w:r w:rsidR="001F701C" w:rsidRPr="00795222">
        <w:rPr>
          <w:rFonts w:asciiTheme="majorBidi" w:hAnsiTheme="majorBidi" w:cstheme="majorBidi"/>
          <w:sz w:val="24"/>
          <w:szCs w:val="24"/>
          <w:lang w:val="en-US"/>
        </w:rPr>
        <w:t xml:space="preserve"> </w:t>
      </w:r>
      <w:r w:rsidR="00C5549D" w:rsidRPr="00795222">
        <w:rPr>
          <w:rFonts w:asciiTheme="majorBidi" w:hAnsiTheme="majorBidi" w:cstheme="majorBidi"/>
          <w:sz w:val="24"/>
          <w:szCs w:val="24"/>
          <w:lang w:val="en-US"/>
        </w:rPr>
        <w:t xml:space="preserve">the effect of varying the mass </w:t>
      </w:r>
      <w:r w:rsidR="00830F07" w:rsidRPr="00795222">
        <w:rPr>
          <w:rFonts w:asciiTheme="majorBidi" w:hAnsiTheme="majorBidi" w:cstheme="majorBidi"/>
          <w:sz w:val="24"/>
          <w:szCs w:val="24"/>
          <w:lang w:val="en-US"/>
        </w:rPr>
        <w:t xml:space="preserve">percentage </w:t>
      </w:r>
      <w:r w:rsidR="00C5549D" w:rsidRPr="00795222">
        <w:rPr>
          <w:rFonts w:asciiTheme="majorBidi" w:hAnsiTheme="majorBidi" w:cstheme="majorBidi"/>
          <w:sz w:val="24"/>
          <w:szCs w:val="24"/>
          <w:lang w:val="en-US"/>
        </w:rPr>
        <w:t xml:space="preserve">of </w:t>
      </w:r>
      <w:r w:rsidR="004E270E" w:rsidRPr="00795222">
        <w:rPr>
          <w:rFonts w:asciiTheme="majorBidi" w:hAnsiTheme="majorBidi" w:cstheme="majorBidi"/>
          <w:sz w:val="24"/>
          <w:szCs w:val="24"/>
          <w:lang w:val="en-US"/>
        </w:rPr>
        <w:t xml:space="preserve">the </w:t>
      </w:r>
      <w:r w:rsidR="00C5549D" w:rsidRPr="00795222">
        <w:rPr>
          <w:rFonts w:asciiTheme="majorBidi" w:hAnsiTheme="majorBidi" w:cstheme="majorBidi"/>
          <w:sz w:val="24"/>
          <w:szCs w:val="24"/>
          <w:lang w:val="en-US"/>
        </w:rPr>
        <w:t xml:space="preserve">total </w:t>
      </w:r>
      <w:r w:rsidR="0051529C" w:rsidRPr="00795222">
        <w:rPr>
          <w:rFonts w:asciiTheme="majorBidi" w:hAnsiTheme="majorBidi" w:cstheme="majorBidi"/>
          <w:sz w:val="24"/>
          <w:szCs w:val="24"/>
          <w:lang w:val="en-US"/>
        </w:rPr>
        <w:t>stabilizer</w:t>
      </w:r>
      <w:r w:rsidR="00C5549D" w:rsidRPr="00795222">
        <w:rPr>
          <w:rFonts w:asciiTheme="majorBidi" w:hAnsiTheme="majorBidi" w:cstheme="majorBidi"/>
          <w:sz w:val="24"/>
          <w:szCs w:val="24"/>
          <w:lang w:val="en-US"/>
        </w:rPr>
        <w:t xml:space="preserve"> to the </w:t>
      </w:r>
      <w:r w:rsidR="00C33445" w:rsidRPr="00795222">
        <w:rPr>
          <w:rFonts w:asciiTheme="majorBidi" w:hAnsiTheme="majorBidi" w:cstheme="majorBidi"/>
          <w:sz w:val="24"/>
          <w:szCs w:val="24"/>
          <w:lang w:val="en-US"/>
        </w:rPr>
        <w:t xml:space="preserve">PLGA </w:t>
      </w:r>
      <w:r w:rsidR="00C5549D" w:rsidRPr="00795222">
        <w:rPr>
          <w:rFonts w:asciiTheme="majorBidi" w:hAnsiTheme="majorBidi" w:cstheme="majorBidi"/>
          <w:sz w:val="24"/>
          <w:szCs w:val="24"/>
          <w:lang w:val="en-US"/>
        </w:rPr>
        <w:t xml:space="preserve">polymer core, the mass </w:t>
      </w:r>
      <w:r w:rsidR="001D17B3" w:rsidRPr="00795222">
        <w:rPr>
          <w:rFonts w:asciiTheme="majorBidi" w:hAnsiTheme="majorBidi" w:cstheme="majorBidi"/>
          <w:sz w:val="24"/>
          <w:szCs w:val="24"/>
          <w:lang w:val="en-US"/>
        </w:rPr>
        <w:t xml:space="preserve">percentage </w:t>
      </w:r>
      <w:r w:rsidR="00C5549D" w:rsidRPr="00795222">
        <w:rPr>
          <w:rFonts w:asciiTheme="majorBidi" w:hAnsiTheme="majorBidi" w:cstheme="majorBidi"/>
          <w:sz w:val="24"/>
          <w:szCs w:val="24"/>
          <w:lang w:val="en-US"/>
        </w:rPr>
        <w:t xml:space="preserve">of </w:t>
      </w:r>
      <w:r w:rsidR="00E74FC1" w:rsidRPr="00795222">
        <w:rPr>
          <w:rFonts w:asciiTheme="majorBidi" w:hAnsiTheme="majorBidi" w:cstheme="majorBidi"/>
          <w:sz w:val="24"/>
          <w:szCs w:val="24"/>
          <w:lang w:val="en-US"/>
        </w:rPr>
        <w:t>B</w:t>
      </w:r>
      <w:r w:rsidR="00694AE0" w:rsidRPr="00795222">
        <w:rPr>
          <w:rFonts w:asciiTheme="majorBidi" w:hAnsiTheme="majorBidi" w:cstheme="majorBidi"/>
          <w:sz w:val="24"/>
          <w:szCs w:val="24"/>
          <w:lang w:val="en-US"/>
        </w:rPr>
        <w:t>ri</w:t>
      </w:r>
      <w:r w:rsidR="00B95606" w:rsidRPr="00795222">
        <w:rPr>
          <w:rFonts w:asciiTheme="majorBidi" w:hAnsiTheme="majorBidi" w:cstheme="majorBidi"/>
          <w:sz w:val="24"/>
          <w:szCs w:val="24"/>
          <w:lang w:val="en-US"/>
        </w:rPr>
        <w:t xml:space="preserve">j 78 to </w:t>
      </w:r>
      <w:r w:rsidR="00296C9B" w:rsidRPr="00795222">
        <w:rPr>
          <w:rFonts w:asciiTheme="majorBidi" w:hAnsiTheme="majorBidi" w:cstheme="majorBidi"/>
          <w:sz w:val="24"/>
          <w:szCs w:val="24"/>
          <w:lang w:val="en-US"/>
        </w:rPr>
        <w:t>total stabili</w:t>
      </w:r>
      <w:r w:rsidR="00960B74" w:rsidRPr="00795222">
        <w:rPr>
          <w:rFonts w:asciiTheme="majorBidi" w:hAnsiTheme="majorBidi" w:cstheme="majorBidi"/>
          <w:sz w:val="24"/>
          <w:szCs w:val="24"/>
          <w:lang w:val="en-US"/>
        </w:rPr>
        <w:t>z</w:t>
      </w:r>
      <w:r w:rsidR="00296C9B" w:rsidRPr="00795222">
        <w:rPr>
          <w:rFonts w:asciiTheme="majorBidi" w:hAnsiTheme="majorBidi" w:cstheme="majorBidi"/>
          <w:sz w:val="24"/>
          <w:szCs w:val="24"/>
          <w:lang w:val="en-US"/>
        </w:rPr>
        <w:t xml:space="preserve">er </w:t>
      </w:r>
      <w:r w:rsidR="00C5549D" w:rsidRPr="00795222">
        <w:rPr>
          <w:rFonts w:asciiTheme="majorBidi" w:hAnsiTheme="majorBidi" w:cstheme="majorBidi"/>
          <w:sz w:val="24"/>
          <w:szCs w:val="24"/>
          <w:lang w:val="en-US"/>
        </w:rPr>
        <w:t>and the drug loading.</w:t>
      </w:r>
      <w:r w:rsidR="00512210" w:rsidRPr="00795222">
        <w:rPr>
          <w:rFonts w:asciiTheme="majorBidi" w:hAnsiTheme="majorBidi" w:cstheme="majorBidi"/>
          <w:sz w:val="24"/>
          <w:szCs w:val="24"/>
          <w:lang w:val="en-US"/>
        </w:rPr>
        <w:t xml:space="preserve"> The first two variables were </w:t>
      </w:r>
      <w:r w:rsidR="0051529C" w:rsidRPr="00795222">
        <w:rPr>
          <w:rFonts w:asciiTheme="majorBidi" w:hAnsiTheme="majorBidi" w:cstheme="majorBidi"/>
          <w:sz w:val="24"/>
          <w:szCs w:val="24"/>
          <w:lang w:val="en-US"/>
        </w:rPr>
        <w:t>optimized</w:t>
      </w:r>
      <w:r w:rsidR="00512210" w:rsidRPr="00795222">
        <w:rPr>
          <w:rFonts w:asciiTheme="majorBidi" w:hAnsiTheme="majorBidi" w:cstheme="majorBidi"/>
          <w:sz w:val="24"/>
          <w:szCs w:val="24"/>
          <w:lang w:val="en-US"/>
        </w:rPr>
        <w:t xml:space="preserve"> using blank nanoparticles, then the drug loading was investigated</w:t>
      </w:r>
      <w:r w:rsidR="00AC1FE6" w:rsidRPr="00795222">
        <w:rPr>
          <w:rFonts w:asciiTheme="majorBidi" w:hAnsiTheme="majorBidi" w:cstheme="majorBidi"/>
          <w:sz w:val="24"/>
          <w:szCs w:val="24"/>
          <w:lang w:val="en-US"/>
        </w:rPr>
        <w:t xml:space="preserve"> once drug was incorporated</w:t>
      </w:r>
      <w:r w:rsidR="00512210" w:rsidRPr="00795222">
        <w:rPr>
          <w:rFonts w:asciiTheme="majorBidi" w:hAnsiTheme="majorBidi" w:cstheme="majorBidi"/>
          <w:sz w:val="24"/>
          <w:szCs w:val="24"/>
          <w:lang w:val="en-US"/>
        </w:rPr>
        <w:t>.</w:t>
      </w:r>
      <w:r w:rsidR="00C5549D" w:rsidRPr="00795222">
        <w:rPr>
          <w:rFonts w:asciiTheme="majorBidi" w:hAnsiTheme="majorBidi" w:cstheme="majorBidi"/>
          <w:sz w:val="24"/>
          <w:szCs w:val="24"/>
          <w:lang w:val="en-US"/>
        </w:rPr>
        <w:t xml:space="preserve"> </w:t>
      </w:r>
      <w:r w:rsidR="005C6233" w:rsidRPr="00795222">
        <w:rPr>
          <w:rFonts w:asciiTheme="majorBidi" w:hAnsiTheme="majorBidi" w:cstheme="majorBidi"/>
          <w:sz w:val="24"/>
          <w:szCs w:val="24"/>
          <w:lang w:val="en-US"/>
        </w:rPr>
        <w:t xml:space="preserve">DLS was used to measure the </w:t>
      </w:r>
      <w:r w:rsidR="00AC1FE6" w:rsidRPr="00795222">
        <w:rPr>
          <w:rFonts w:asciiTheme="majorBidi" w:hAnsiTheme="majorBidi" w:cstheme="majorBidi"/>
          <w:sz w:val="24"/>
          <w:szCs w:val="24"/>
          <w:lang w:val="en-US"/>
        </w:rPr>
        <w:t>Z</w:t>
      </w:r>
      <w:r w:rsidR="005C6233" w:rsidRPr="00795222">
        <w:rPr>
          <w:rFonts w:asciiTheme="majorBidi" w:hAnsiTheme="majorBidi" w:cstheme="majorBidi"/>
          <w:sz w:val="24"/>
          <w:szCs w:val="24"/>
          <w:lang w:val="en-US"/>
        </w:rPr>
        <w:t>-average</w:t>
      </w:r>
      <w:r w:rsidR="00AC1FE6" w:rsidRPr="00795222">
        <w:rPr>
          <w:rFonts w:asciiTheme="majorBidi" w:hAnsiTheme="majorBidi" w:cstheme="majorBidi"/>
          <w:sz w:val="24"/>
          <w:szCs w:val="24"/>
          <w:lang w:val="en-US"/>
        </w:rPr>
        <w:t xml:space="preserve"> diameter</w:t>
      </w:r>
      <w:r w:rsidR="005C6233" w:rsidRPr="00795222">
        <w:rPr>
          <w:rFonts w:asciiTheme="majorBidi" w:hAnsiTheme="majorBidi" w:cstheme="majorBidi"/>
          <w:sz w:val="24"/>
          <w:szCs w:val="24"/>
          <w:lang w:val="en-US"/>
        </w:rPr>
        <w:t xml:space="preserve">, the size </w:t>
      </w:r>
      <w:r w:rsidR="00A44F95" w:rsidRPr="00795222">
        <w:rPr>
          <w:rFonts w:asciiTheme="majorBidi" w:hAnsiTheme="majorBidi" w:cstheme="majorBidi"/>
          <w:sz w:val="24"/>
          <w:szCs w:val="24"/>
          <w:lang w:val="en-US"/>
        </w:rPr>
        <w:t>distribution,</w:t>
      </w:r>
      <w:r w:rsidR="005C6233" w:rsidRPr="00795222">
        <w:rPr>
          <w:rFonts w:asciiTheme="majorBidi" w:hAnsiTheme="majorBidi" w:cstheme="majorBidi"/>
          <w:sz w:val="24"/>
          <w:szCs w:val="24"/>
          <w:lang w:val="en-US"/>
        </w:rPr>
        <w:t xml:space="preserve"> and the polydispersity index of the particles in all formulations. The colloidal stability of the formulations </w:t>
      </w:r>
      <w:r w:rsidR="00072EC4" w:rsidRPr="00795222">
        <w:rPr>
          <w:rFonts w:asciiTheme="majorBidi" w:hAnsiTheme="majorBidi" w:cstheme="majorBidi"/>
          <w:sz w:val="24"/>
          <w:szCs w:val="24"/>
          <w:lang w:val="en-US"/>
        </w:rPr>
        <w:t>was</w:t>
      </w:r>
      <w:r w:rsidR="005C6233" w:rsidRPr="00795222">
        <w:rPr>
          <w:rFonts w:asciiTheme="majorBidi" w:hAnsiTheme="majorBidi" w:cstheme="majorBidi"/>
          <w:sz w:val="24"/>
          <w:szCs w:val="24"/>
          <w:lang w:val="en-US"/>
        </w:rPr>
        <w:t xml:space="preserve"> assessed </w:t>
      </w:r>
      <w:r w:rsidR="00AC1FE6" w:rsidRPr="00795222">
        <w:rPr>
          <w:rFonts w:asciiTheme="majorBidi" w:hAnsiTheme="majorBidi" w:cstheme="majorBidi"/>
          <w:i/>
          <w:sz w:val="24"/>
          <w:szCs w:val="24"/>
          <w:lang w:val="en-US"/>
        </w:rPr>
        <w:t>via</w:t>
      </w:r>
      <w:r w:rsidR="005C6233" w:rsidRPr="00795222">
        <w:rPr>
          <w:rFonts w:asciiTheme="majorBidi" w:hAnsiTheme="majorBidi" w:cstheme="majorBidi"/>
          <w:sz w:val="24"/>
          <w:szCs w:val="24"/>
          <w:lang w:val="en-US"/>
        </w:rPr>
        <w:t xml:space="preserve"> measur</w:t>
      </w:r>
      <w:r w:rsidR="00AC1FE6" w:rsidRPr="00795222">
        <w:rPr>
          <w:rFonts w:asciiTheme="majorBidi" w:hAnsiTheme="majorBidi" w:cstheme="majorBidi"/>
          <w:sz w:val="24"/>
          <w:szCs w:val="24"/>
          <w:lang w:val="en-US"/>
        </w:rPr>
        <w:t>ement of</w:t>
      </w:r>
      <w:r w:rsidR="005C6233" w:rsidRPr="00795222">
        <w:rPr>
          <w:rFonts w:asciiTheme="majorBidi" w:hAnsiTheme="majorBidi" w:cstheme="majorBidi"/>
          <w:sz w:val="24"/>
          <w:szCs w:val="24"/>
          <w:lang w:val="en-US"/>
        </w:rPr>
        <w:t xml:space="preserve"> the diameter of the particles upon exposure to physiological ionic strength (in PBS) at pH 7.4. Poor colloidal stability would result in aggregation of the particles which would be observed as an increase in diameter and polydispersity. </w:t>
      </w:r>
    </w:p>
    <w:p w14:paraId="4C6187CD" w14:textId="3A5452BD" w:rsidR="001F701C" w:rsidRPr="00795222" w:rsidRDefault="0064355C" w:rsidP="00657F6C">
      <w:pPr>
        <w:pStyle w:val="Heading2"/>
        <w:spacing w:line="360" w:lineRule="auto"/>
        <w:jc w:val="both"/>
        <w:rPr>
          <w:rFonts w:asciiTheme="majorBidi" w:hAnsiTheme="majorBidi"/>
          <w:szCs w:val="24"/>
          <w:lang w:val="en-US"/>
        </w:rPr>
      </w:pPr>
      <w:r w:rsidRPr="00795222">
        <w:rPr>
          <w:rFonts w:asciiTheme="majorBidi" w:hAnsiTheme="majorBidi"/>
          <w:szCs w:val="24"/>
          <w:lang w:val="en-US"/>
        </w:rPr>
        <w:t xml:space="preserve">LPHNs formulations parameters </w:t>
      </w:r>
    </w:p>
    <w:p w14:paraId="111D3369" w14:textId="24F11259" w:rsidR="00141773" w:rsidRPr="00795222" w:rsidRDefault="0064355C" w:rsidP="00657F6C">
      <w:pPr>
        <w:pStyle w:val="Heading3"/>
        <w:spacing w:line="360" w:lineRule="auto"/>
        <w:jc w:val="both"/>
        <w:rPr>
          <w:rFonts w:asciiTheme="majorBidi" w:hAnsiTheme="majorBidi"/>
          <w:lang w:val="en-US"/>
        </w:rPr>
      </w:pPr>
      <w:r w:rsidRPr="00795222">
        <w:rPr>
          <w:rFonts w:asciiTheme="majorBidi" w:hAnsiTheme="majorBidi"/>
          <w:lang w:val="en-US"/>
        </w:rPr>
        <w:t xml:space="preserve">The effect of </w:t>
      </w:r>
      <w:r w:rsidR="00F70488" w:rsidRPr="00795222">
        <w:rPr>
          <w:rFonts w:asciiTheme="majorBidi" w:hAnsiTheme="majorBidi"/>
          <w:lang w:val="en-US"/>
        </w:rPr>
        <w:t xml:space="preserve">varying the mass </w:t>
      </w:r>
      <w:r w:rsidR="006D4358" w:rsidRPr="00795222">
        <w:rPr>
          <w:rFonts w:asciiTheme="majorBidi" w:hAnsiTheme="majorBidi"/>
          <w:lang w:val="en-US"/>
        </w:rPr>
        <w:t>percent</w:t>
      </w:r>
      <w:r w:rsidR="0018386E" w:rsidRPr="00795222">
        <w:rPr>
          <w:rFonts w:asciiTheme="majorBidi" w:hAnsiTheme="majorBidi"/>
          <w:lang w:val="en-US"/>
        </w:rPr>
        <w:t>age</w:t>
      </w:r>
      <w:r w:rsidR="006D4358" w:rsidRPr="00795222">
        <w:rPr>
          <w:rFonts w:asciiTheme="majorBidi" w:hAnsiTheme="majorBidi"/>
          <w:lang w:val="en-US"/>
        </w:rPr>
        <w:t xml:space="preserve"> </w:t>
      </w:r>
      <w:r w:rsidR="00F70488" w:rsidRPr="00795222">
        <w:rPr>
          <w:rFonts w:asciiTheme="majorBidi" w:hAnsiTheme="majorBidi"/>
          <w:lang w:val="en-US"/>
        </w:rPr>
        <w:t xml:space="preserve">of total </w:t>
      </w:r>
      <w:r w:rsidR="0051529C" w:rsidRPr="00795222">
        <w:rPr>
          <w:rFonts w:asciiTheme="majorBidi" w:hAnsiTheme="majorBidi"/>
          <w:lang w:val="en-US"/>
        </w:rPr>
        <w:t>stabilizer</w:t>
      </w:r>
      <w:r w:rsidR="00F70488" w:rsidRPr="00795222">
        <w:rPr>
          <w:rFonts w:asciiTheme="majorBidi" w:hAnsiTheme="majorBidi"/>
          <w:lang w:val="en-US"/>
        </w:rPr>
        <w:t xml:space="preserve"> to the polymer core</w:t>
      </w:r>
      <w:r w:rsidR="00F70488" w:rsidRPr="00795222" w:rsidDel="005C6233">
        <w:rPr>
          <w:rFonts w:asciiTheme="majorBidi" w:hAnsiTheme="majorBidi"/>
          <w:lang w:val="en-US"/>
        </w:rPr>
        <w:t xml:space="preserve"> </w:t>
      </w:r>
    </w:p>
    <w:p w14:paraId="5DED2FCE" w14:textId="6E801FE9" w:rsidR="00785B60" w:rsidRPr="00795222" w:rsidRDefault="00F70488" w:rsidP="00657F6C">
      <w:p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lang w:val="en-US"/>
        </w:rPr>
        <w:t xml:space="preserve">The </w:t>
      </w:r>
      <w:r w:rsidR="00F9398A" w:rsidRPr="00795222">
        <w:rPr>
          <w:rFonts w:asciiTheme="majorBidi" w:hAnsiTheme="majorBidi" w:cstheme="majorBidi"/>
          <w:sz w:val="24"/>
          <w:szCs w:val="24"/>
          <w:lang w:val="en-US"/>
        </w:rPr>
        <w:t>repulsive interactions between nanoparticles that are provided by the stabilizers (surfactants) used in the formulation</w:t>
      </w:r>
      <w:r w:rsidR="00097612" w:rsidRPr="00795222">
        <w:rPr>
          <w:rFonts w:asciiTheme="majorBidi" w:hAnsiTheme="majorBidi" w:cstheme="majorBidi"/>
          <w:sz w:val="24"/>
          <w:szCs w:val="24"/>
          <w:lang w:val="en-US"/>
        </w:rPr>
        <w:t xml:space="preserve"> of LPHNs are integral to their</w:t>
      </w:r>
      <w:r w:rsidR="00F9398A" w:rsidRPr="00795222">
        <w:rPr>
          <w:rFonts w:asciiTheme="majorBidi" w:hAnsiTheme="majorBidi" w:cstheme="majorBidi"/>
          <w:sz w:val="24"/>
          <w:szCs w:val="24"/>
          <w:lang w:val="en-US"/>
        </w:rPr>
        <w:t xml:space="preserve"> </w:t>
      </w:r>
      <w:r w:rsidR="000954D3" w:rsidRPr="00795222">
        <w:rPr>
          <w:rFonts w:asciiTheme="majorBidi" w:hAnsiTheme="majorBidi" w:cstheme="majorBidi"/>
          <w:sz w:val="24"/>
          <w:szCs w:val="24"/>
          <w:lang w:val="en-US"/>
        </w:rPr>
        <w:t xml:space="preserve">colloidal stability. </w:t>
      </w:r>
      <w:r w:rsidR="0087516C" w:rsidRPr="00795222">
        <w:rPr>
          <w:rFonts w:asciiTheme="majorBidi" w:hAnsiTheme="majorBidi" w:cstheme="majorBidi"/>
          <w:sz w:val="24"/>
          <w:szCs w:val="24"/>
          <w:lang w:val="en-US"/>
        </w:rPr>
        <w:t xml:space="preserve">The mass </w:t>
      </w:r>
      <w:r w:rsidR="00764EE5" w:rsidRPr="00795222">
        <w:rPr>
          <w:rFonts w:asciiTheme="majorBidi" w:hAnsiTheme="majorBidi" w:cstheme="majorBidi"/>
          <w:sz w:val="24"/>
          <w:szCs w:val="24"/>
          <w:lang w:val="en-US"/>
        </w:rPr>
        <w:t>percent</w:t>
      </w:r>
      <w:r w:rsidR="008206CB" w:rsidRPr="00795222">
        <w:rPr>
          <w:rFonts w:asciiTheme="majorBidi" w:hAnsiTheme="majorBidi" w:cstheme="majorBidi"/>
          <w:sz w:val="24"/>
          <w:szCs w:val="24"/>
          <w:lang w:val="en-US"/>
        </w:rPr>
        <w:t>age</w:t>
      </w:r>
      <w:r w:rsidR="00764EE5" w:rsidRPr="00795222">
        <w:rPr>
          <w:rFonts w:asciiTheme="majorBidi" w:hAnsiTheme="majorBidi" w:cstheme="majorBidi"/>
          <w:sz w:val="24"/>
          <w:szCs w:val="24"/>
          <w:lang w:val="en-US"/>
        </w:rPr>
        <w:t xml:space="preserve"> </w:t>
      </w:r>
      <w:r w:rsidR="0087516C" w:rsidRPr="00795222">
        <w:rPr>
          <w:rFonts w:asciiTheme="majorBidi" w:hAnsiTheme="majorBidi" w:cstheme="majorBidi"/>
          <w:sz w:val="24"/>
          <w:szCs w:val="24"/>
          <w:lang w:val="en-US"/>
        </w:rPr>
        <w:t xml:space="preserve">of the </w:t>
      </w:r>
      <w:r w:rsidR="0051529C" w:rsidRPr="00795222">
        <w:rPr>
          <w:rFonts w:asciiTheme="majorBidi" w:hAnsiTheme="majorBidi" w:cstheme="majorBidi"/>
          <w:sz w:val="24"/>
          <w:szCs w:val="24"/>
          <w:lang w:val="en-US"/>
        </w:rPr>
        <w:t>stabilizer</w:t>
      </w:r>
      <w:r w:rsidR="0087516C" w:rsidRPr="00795222">
        <w:rPr>
          <w:rFonts w:asciiTheme="majorBidi" w:hAnsiTheme="majorBidi" w:cstheme="majorBidi"/>
          <w:sz w:val="24"/>
          <w:szCs w:val="24"/>
          <w:lang w:val="en-US"/>
        </w:rPr>
        <w:t xml:space="preserve"> to the </w:t>
      </w:r>
      <w:r w:rsidR="00056FD5" w:rsidRPr="00795222">
        <w:rPr>
          <w:rFonts w:asciiTheme="majorBidi" w:hAnsiTheme="majorBidi" w:cstheme="majorBidi"/>
          <w:sz w:val="24"/>
          <w:szCs w:val="24"/>
          <w:lang w:val="en-US"/>
        </w:rPr>
        <w:t xml:space="preserve">PLGA </w:t>
      </w:r>
      <w:r w:rsidR="0087516C" w:rsidRPr="00795222">
        <w:rPr>
          <w:rFonts w:asciiTheme="majorBidi" w:hAnsiTheme="majorBidi" w:cstheme="majorBidi"/>
          <w:sz w:val="24"/>
          <w:szCs w:val="24"/>
          <w:lang w:val="en-US"/>
        </w:rPr>
        <w:t xml:space="preserve">polymer core is a key variable as </w:t>
      </w:r>
      <w:r w:rsidR="00097612" w:rsidRPr="00795222">
        <w:rPr>
          <w:rFonts w:asciiTheme="majorBidi" w:hAnsiTheme="majorBidi" w:cstheme="majorBidi"/>
          <w:sz w:val="24"/>
          <w:szCs w:val="24"/>
          <w:lang w:val="en-US"/>
        </w:rPr>
        <w:t xml:space="preserve">it </w:t>
      </w:r>
      <w:r w:rsidR="0087516C" w:rsidRPr="00795222">
        <w:rPr>
          <w:rFonts w:asciiTheme="majorBidi" w:hAnsiTheme="majorBidi" w:cstheme="majorBidi"/>
          <w:sz w:val="24"/>
          <w:szCs w:val="24"/>
          <w:lang w:val="en-US"/>
        </w:rPr>
        <w:t>must</w:t>
      </w:r>
      <w:r w:rsidR="00097612" w:rsidRPr="00795222">
        <w:rPr>
          <w:rFonts w:asciiTheme="majorBidi" w:hAnsiTheme="majorBidi" w:cstheme="majorBidi"/>
          <w:sz w:val="24"/>
          <w:szCs w:val="24"/>
          <w:lang w:val="en-US"/>
        </w:rPr>
        <w:t xml:space="preserve"> provide</w:t>
      </w:r>
      <w:r w:rsidR="0087516C" w:rsidRPr="00795222">
        <w:rPr>
          <w:rFonts w:asciiTheme="majorBidi" w:hAnsiTheme="majorBidi" w:cstheme="majorBidi"/>
          <w:sz w:val="24"/>
          <w:szCs w:val="24"/>
          <w:lang w:val="en-US"/>
        </w:rPr>
        <w:t xml:space="preserve"> </w:t>
      </w:r>
      <w:r w:rsidR="009B04F5" w:rsidRPr="00795222">
        <w:rPr>
          <w:rFonts w:asciiTheme="majorBidi" w:hAnsiTheme="majorBidi" w:cstheme="majorBidi"/>
          <w:sz w:val="24"/>
          <w:szCs w:val="24"/>
          <w:lang w:val="en-US"/>
        </w:rPr>
        <w:t>enough</w:t>
      </w:r>
      <w:r w:rsidR="0087516C" w:rsidRPr="00795222">
        <w:rPr>
          <w:rFonts w:asciiTheme="majorBidi" w:hAnsiTheme="majorBidi" w:cstheme="majorBidi"/>
          <w:sz w:val="24"/>
          <w:szCs w:val="24"/>
          <w:lang w:val="en-US"/>
        </w:rPr>
        <w:t xml:space="preserve"> repulsion between particles to obtain colloidal stability.</w:t>
      </w:r>
      <w:r w:rsidR="006C5C84" w:rsidRPr="00795222">
        <w:rPr>
          <w:rFonts w:asciiTheme="majorBidi" w:hAnsiTheme="majorBidi" w:cstheme="majorBidi"/>
          <w:sz w:val="24"/>
          <w:szCs w:val="24"/>
          <w:lang w:val="en-US"/>
        </w:rPr>
        <w:t xml:space="preserve"> </w:t>
      </w:r>
      <w:r w:rsidR="0087516C" w:rsidRPr="00795222">
        <w:rPr>
          <w:rFonts w:asciiTheme="majorBidi" w:hAnsiTheme="majorBidi" w:cstheme="majorBidi"/>
          <w:sz w:val="24"/>
          <w:szCs w:val="24"/>
          <w:lang w:val="en-US"/>
        </w:rPr>
        <w:t>Initially</w:t>
      </w:r>
      <w:r w:rsidR="00C96234" w:rsidRPr="00795222">
        <w:rPr>
          <w:rFonts w:asciiTheme="majorBidi" w:hAnsiTheme="majorBidi" w:cstheme="majorBidi"/>
          <w:sz w:val="24"/>
          <w:szCs w:val="24"/>
          <w:lang w:val="en-US"/>
        </w:rPr>
        <w:t>,</w:t>
      </w:r>
      <w:r w:rsidR="00785B60" w:rsidRPr="00795222">
        <w:rPr>
          <w:rFonts w:asciiTheme="majorBidi" w:hAnsiTheme="majorBidi" w:cstheme="majorBidi"/>
          <w:sz w:val="24"/>
          <w:szCs w:val="24"/>
          <w:lang w:val="en-US"/>
        </w:rPr>
        <w:t xml:space="preserve"> the effect of each </w:t>
      </w:r>
      <w:r w:rsidR="0051529C" w:rsidRPr="00795222">
        <w:rPr>
          <w:rFonts w:asciiTheme="majorBidi" w:hAnsiTheme="majorBidi" w:cstheme="majorBidi"/>
          <w:sz w:val="24"/>
          <w:szCs w:val="24"/>
          <w:lang w:val="en-US"/>
        </w:rPr>
        <w:t>stabilizer</w:t>
      </w:r>
      <w:r w:rsidR="00785B60" w:rsidRPr="00795222">
        <w:rPr>
          <w:rFonts w:asciiTheme="majorBidi" w:hAnsiTheme="majorBidi" w:cstheme="majorBidi"/>
          <w:sz w:val="24"/>
          <w:szCs w:val="24"/>
          <w:lang w:val="en-US"/>
        </w:rPr>
        <w:t xml:space="preserve"> on the</w:t>
      </w:r>
      <w:r w:rsidR="00C96234" w:rsidRPr="00795222">
        <w:rPr>
          <w:rFonts w:asciiTheme="majorBidi" w:hAnsiTheme="majorBidi" w:cstheme="majorBidi"/>
          <w:sz w:val="24"/>
          <w:szCs w:val="24"/>
          <w:lang w:val="en-US"/>
        </w:rPr>
        <w:t xml:space="preserve"> colloidal</w:t>
      </w:r>
      <w:r w:rsidR="00785B60" w:rsidRPr="00795222">
        <w:rPr>
          <w:rFonts w:asciiTheme="majorBidi" w:hAnsiTheme="majorBidi" w:cstheme="majorBidi"/>
          <w:sz w:val="24"/>
          <w:szCs w:val="24"/>
          <w:lang w:val="en-US"/>
        </w:rPr>
        <w:t xml:space="preserve"> stability </w:t>
      </w:r>
      <w:r w:rsidR="00C96234" w:rsidRPr="00795222">
        <w:rPr>
          <w:rFonts w:asciiTheme="majorBidi" w:hAnsiTheme="majorBidi" w:cstheme="majorBidi"/>
          <w:sz w:val="24"/>
          <w:szCs w:val="24"/>
          <w:lang w:val="en-US"/>
        </w:rPr>
        <w:t>of the particles was studied.</w:t>
      </w:r>
      <w:r w:rsidR="00785B60" w:rsidRPr="00795222">
        <w:rPr>
          <w:rFonts w:asciiTheme="majorBidi" w:hAnsiTheme="majorBidi" w:cstheme="majorBidi"/>
          <w:sz w:val="24"/>
          <w:szCs w:val="24"/>
          <w:lang w:val="en-US"/>
        </w:rPr>
        <w:t xml:space="preserve"> </w:t>
      </w:r>
      <w:r w:rsidR="00C96234" w:rsidRPr="00795222">
        <w:rPr>
          <w:rFonts w:asciiTheme="majorBidi" w:hAnsiTheme="majorBidi" w:cstheme="majorBidi"/>
          <w:sz w:val="24"/>
          <w:szCs w:val="24"/>
          <w:lang w:val="en-US"/>
        </w:rPr>
        <w:t>T</w:t>
      </w:r>
      <w:r w:rsidR="006C5C84" w:rsidRPr="00795222">
        <w:rPr>
          <w:rFonts w:asciiTheme="majorBidi" w:hAnsiTheme="majorBidi" w:cstheme="majorBidi"/>
          <w:sz w:val="24"/>
          <w:szCs w:val="24"/>
          <w:lang w:val="en-US"/>
        </w:rPr>
        <w:t xml:space="preserve">he two </w:t>
      </w:r>
      <w:r w:rsidR="0051529C" w:rsidRPr="00795222">
        <w:rPr>
          <w:rFonts w:asciiTheme="majorBidi" w:hAnsiTheme="majorBidi" w:cstheme="majorBidi"/>
          <w:sz w:val="24"/>
          <w:szCs w:val="24"/>
          <w:lang w:val="en-US"/>
        </w:rPr>
        <w:t>stabilizers</w:t>
      </w:r>
      <w:r w:rsidR="006C5C84" w:rsidRPr="00795222">
        <w:rPr>
          <w:rFonts w:asciiTheme="majorBidi" w:hAnsiTheme="majorBidi" w:cstheme="majorBidi"/>
          <w:sz w:val="24"/>
          <w:szCs w:val="24"/>
          <w:lang w:val="en-US"/>
        </w:rPr>
        <w:t xml:space="preserve"> </w:t>
      </w:r>
      <w:r w:rsidR="00785B60" w:rsidRPr="00795222">
        <w:rPr>
          <w:rFonts w:asciiTheme="majorBidi" w:hAnsiTheme="majorBidi" w:cstheme="majorBidi"/>
          <w:sz w:val="24"/>
          <w:szCs w:val="24"/>
          <w:lang w:val="en-US"/>
        </w:rPr>
        <w:t xml:space="preserve">SBL </w:t>
      </w:r>
      <w:r w:rsidR="00097612" w:rsidRPr="00795222">
        <w:rPr>
          <w:rFonts w:asciiTheme="majorBidi" w:hAnsiTheme="majorBidi" w:cstheme="majorBidi"/>
          <w:sz w:val="24"/>
          <w:szCs w:val="24"/>
          <w:lang w:val="en-US"/>
        </w:rPr>
        <w:t>and B</w:t>
      </w:r>
      <w:r w:rsidR="00224B86" w:rsidRPr="00795222">
        <w:rPr>
          <w:rFonts w:asciiTheme="majorBidi" w:hAnsiTheme="majorBidi" w:cstheme="majorBidi"/>
          <w:sz w:val="24"/>
          <w:szCs w:val="24"/>
          <w:lang w:val="en-US"/>
        </w:rPr>
        <w:t>rij 78</w:t>
      </w:r>
      <w:r w:rsidR="00785B60" w:rsidRPr="00795222">
        <w:rPr>
          <w:rFonts w:asciiTheme="majorBidi" w:hAnsiTheme="majorBidi" w:cstheme="majorBidi"/>
          <w:sz w:val="24"/>
          <w:szCs w:val="24"/>
          <w:lang w:val="en-US"/>
        </w:rPr>
        <w:t xml:space="preserve"> were used as sole </w:t>
      </w:r>
      <w:r w:rsidR="0051529C" w:rsidRPr="00795222">
        <w:rPr>
          <w:rFonts w:asciiTheme="majorBidi" w:hAnsiTheme="majorBidi" w:cstheme="majorBidi"/>
          <w:sz w:val="24"/>
          <w:szCs w:val="24"/>
          <w:lang w:val="en-US"/>
        </w:rPr>
        <w:t>stabilizers</w:t>
      </w:r>
      <w:r w:rsidR="00785B60" w:rsidRPr="00795222">
        <w:rPr>
          <w:rFonts w:asciiTheme="majorBidi" w:hAnsiTheme="majorBidi" w:cstheme="majorBidi"/>
          <w:sz w:val="24"/>
          <w:szCs w:val="24"/>
          <w:lang w:val="en-US"/>
        </w:rPr>
        <w:t xml:space="preserve"> to form </w:t>
      </w:r>
      <w:r w:rsidR="00C5549D" w:rsidRPr="00795222">
        <w:rPr>
          <w:rFonts w:asciiTheme="majorBidi" w:hAnsiTheme="majorBidi" w:cstheme="majorBidi"/>
          <w:sz w:val="24"/>
          <w:szCs w:val="24"/>
          <w:lang w:val="en-US"/>
        </w:rPr>
        <w:t>b</w:t>
      </w:r>
      <w:r w:rsidR="00785B60" w:rsidRPr="00795222">
        <w:rPr>
          <w:rFonts w:asciiTheme="majorBidi" w:hAnsiTheme="majorBidi" w:cstheme="majorBidi"/>
          <w:sz w:val="24"/>
          <w:szCs w:val="24"/>
          <w:lang w:val="en-US"/>
        </w:rPr>
        <w:t>lank</w:t>
      </w:r>
      <w:r w:rsidR="002F6A90" w:rsidRPr="00795222">
        <w:rPr>
          <w:rFonts w:asciiTheme="majorBidi" w:hAnsiTheme="majorBidi" w:cstheme="majorBidi"/>
          <w:sz w:val="24"/>
          <w:szCs w:val="24"/>
          <w:lang w:val="en-US"/>
        </w:rPr>
        <w:t xml:space="preserve"> </w:t>
      </w:r>
      <w:r w:rsidR="00785B60" w:rsidRPr="00795222">
        <w:rPr>
          <w:rFonts w:asciiTheme="majorBidi" w:hAnsiTheme="majorBidi" w:cstheme="majorBidi"/>
          <w:sz w:val="24"/>
          <w:szCs w:val="24"/>
          <w:lang w:val="en-US"/>
        </w:rPr>
        <w:t>nanoparticles</w:t>
      </w:r>
      <w:r w:rsidR="00015E6E" w:rsidRPr="00795222">
        <w:rPr>
          <w:rFonts w:asciiTheme="majorBidi" w:hAnsiTheme="majorBidi" w:cstheme="majorBidi"/>
          <w:sz w:val="24"/>
          <w:szCs w:val="24"/>
          <w:lang w:val="en-US"/>
        </w:rPr>
        <w:t xml:space="preserve"> </w:t>
      </w:r>
      <w:r w:rsidR="00785B60" w:rsidRPr="00795222">
        <w:rPr>
          <w:rFonts w:asciiTheme="majorBidi" w:hAnsiTheme="majorBidi" w:cstheme="majorBidi"/>
          <w:sz w:val="24"/>
          <w:szCs w:val="24"/>
          <w:lang w:val="en-US"/>
        </w:rPr>
        <w:t xml:space="preserve">at different </w:t>
      </w:r>
      <w:r w:rsidR="0051529C" w:rsidRPr="00795222">
        <w:rPr>
          <w:rFonts w:asciiTheme="majorBidi" w:hAnsiTheme="majorBidi" w:cstheme="majorBidi"/>
          <w:sz w:val="24"/>
          <w:szCs w:val="24"/>
          <w:lang w:val="en-US"/>
        </w:rPr>
        <w:t>stabilizer</w:t>
      </w:r>
      <w:r w:rsidR="00785B60" w:rsidRPr="00795222">
        <w:rPr>
          <w:rFonts w:asciiTheme="majorBidi" w:hAnsiTheme="majorBidi" w:cstheme="majorBidi"/>
          <w:sz w:val="24"/>
          <w:szCs w:val="24"/>
          <w:lang w:val="en-US"/>
        </w:rPr>
        <w:t>/</w:t>
      </w:r>
      <w:r w:rsidR="00743BEB" w:rsidRPr="00795222">
        <w:rPr>
          <w:rFonts w:asciiTheme="majorBidi" w:hAnsiTheme="majorBidi" w:cstheme="majorBidi"/>
          <w:sz w:val="24"/>
          <w:szCs w:val="24"/>
          <w:lang w:val="en-US"/>
        </w:rPr>
        <w:t>PLGA</w:t>
      </w:r>
      <w:r w:rsidR="00A47186" w:rsidRPr="00795222">
        <w:rPr>
          <w:rFonts w:asciiTheme="majorBidi" w:hAnsiTheme="majorBidi" w:cstheme="majorBidi"/>
          <w:sz w:val="24"/>
          <w:szCs w:val="24"/>
          <w:lang w:val="en-US"/>
        </w:rPr>
        <w:t xml:space="preserve"> mass </w:t>
      </w:r>
      <w:r w:rsidR="0010221D" w:rsidRPr="00795222">
        <w:rPr>
          <w:rFonts w:asciiTheme="majorBidi" w:hAnsiTheme="majorBidi" w:cstheme="majorBidi"/>
          <w:sz w:val="24"/>
          <w:szCs w:val="24"/>
          <w:lang w:val="en-US"/>
        </w:rPr>
        <w:t>percentage:</w:t>
      </w:r>
      <w:r w:rsidR="00785B60" w:rsidRPr="00795222">
        <w:rPr>
          <w:rFonts w:asciiTheme="majorBidi" w:hAnsiTheme="majorBidi" w:cstheme="majorBidi"/>
          <w:sz w:val="24"/>
          <w:szCs w:val="24"/>
          <w:lang w:val="en-US"/>
        </w:rPr>
        <w:t xml:space="preserve"> (3.75- 20 % w/w</w:t>
      </w:r>
      <w:r w:rsidR="00056FD5" w:rsidRPr="00795222">
        <w:rPr>
          <w:rFonts w:asciiTheme="majorBidi" w:hAnsiTheme="majorBidi" w:cstheme="majorBidi"/>
          <w:sz w:val="24"/>
          <w:szCs w:val="24"/>
          <w:lang w:val="en-US"/>
        </w:rPr>
        <w:t>)</w:t>
      </w:r>
      <w:r w:rsidR="00785B60" w:rsidRPr="00795222">
        <w:rPr>
          <w:rFonts w:asciiTheme="majorBidi" w:hAnsiTheme="majorBidi" w:cstheme="majorBidi"/>
          <w:sz w:val="24"/>
          <w:szCs w:val="24"/>
          <w:lang w:val="en-US"/>
        </w:rPr>
        <w:t xml:space="preserve">, keeping the amount of PLGA </w:t>
      </w:r>
      <w:r w:rsidR="00097612" w:rsidRPr="00795222">
        <w:rPr>
          <w:rFonts w:asciiTheme="majorBidi" w:hAnsiTheme="majorBidi" w:cstheme="majorBidi"/>
          <w:sz w:val="24"/>
          <w:szCs w:val="24"/>
          <w:lang w:val="en-US"/>
        </w:rPr>
        <w:t>constant</w:t>
      </w:r>
      <w:r w:rsidR="00785B60" w:rsidRPr="00795222">
        <w:rPr>
          <w:rFonts w:asciiTheme="majorBidi" w:hAnsiTheme="majorBidi" w:cstheme="majorBidi"/>
          <w:sz w:val="24"/>
          <w:szCs w:val="24"/>
          <w:lang w:val="en-US"/>
        </w:rPr>
        <w:t xml:space="preserve">. Control nanoparticles made of PLGA cores only with no </w:t>
      </w:r>
      <w:r w:rsidR="0051529C" w:rsidRPr="00795222">
        <w:rPr>
          <w:rFonts w:asciiTheme="majorBidi" w:hAnsiTheme="majorBidi" w:cstheme="majorBidi"/>
          <w:sz w:val="24"/>
          <w:szCs w:val="24"/>
          <w:lang w:val="en-US"/>
        </w:rPr>
        <w:t>stabilizer</w:t>
      </w:r>
      <w:r w:rsidR="00785B60" w:rsidRPr="00795222">
        <w:rPr>
          <w:rFonts w:asciiTheme="majorBidi" w:hAnsiTheme="majorBidi" w:cstheme="majorBidi"/>
          <w:sz w:val="24"/>
          <w:szCs w:val="24"/>
          <w:lang w:val="en-US"/>
        </w:rPr>
        <w:t xml:space="preserve"> </w:t>
      </w:r>
      <w:r w:rsidR="00163E01" w:rsidRPr="00795222">
        <w:rPr>
          <w:rFonts w:asciiTheme="majorBidi" w:hAnsiTheme="majorBidi" w:cstheme="majorBidi"/>
          <w:sz w:val="24"/>
          <w:szCs w:val="24"/>
          <w:lang w:val="en-US"/>
        </w:rPr>
        <w:t xml:space="preserve">were </w:t>
      </w:r>
      <w:r w:rsidR="0051529C" w:rsidRPr="00795222">
        <w:rPr>
          <w:rFonts w:asciiTheme="majorBidi" w:hAnsiTheme="majorBidi" w:cstheme="majorBidi"/>
          <w:sz w:val="24"/>
          <w:szCs w:val="24"/>
          <w:lang w:val="en-US"/>
        </w:rPr>
        <w:t>synthesized</w:t>
      </w:r>
      <w:r w:rsidR="00A01AF9" w:rsidRPr="00795222">
        <w:rPr>
          <w:rFonts w:asciiTheme="majorBidi" w:hAnsiTheme="majorBidi" w:cstheme="majorBidi"/>
          <w:sz w:val="24"/>
          <w:szCs w:val="24"/>
          <w:lang w:val="en-US"/>
        </w:rPr>
        <w:t xml:space="preserve">, </w:t>
      </w:r>
      <w:r w:rsidR="009E5AA3" w:rsidRPr="00795222">
        <w:rPr>
          <w:rFonts w:asciiTheme="majorBidi" w:hAnsiTheme="majorBidi" w:cstheme="majorBidi"/>
          <w:sz w:val="24"/>
          <w:szCs w:val="24"/>
          <w:lang w:val="en-US"/>
        </w:rPr>
        <w:t xml:space="preserve">these </w:t>
      </w:r>
      <w:r w:rsidR="00097612" w:rsidRPr="00795222">
        <w:rPr>
          <w:rFonts w:asciiTheme="majorBidi" w:hAnsiTheme="majorBidi" w:cstheme="majorBidi"/>
          <w:sz w:val="24"/>
          <w:szCs w:val="24"/>
          <w:lang w:val="en-US"/>
        </w:rPr>
        <w:t xml:space="preserve">particles </w:t>
      </w:r>
      <w:r w:rsidR="009E5AA3" w:rsidRPr="00795222">
        <w:rPr>
          <w:rFonts w:asciiTheme="majorBidi" w:hAnsiTheme="majorBidi" w:cstheme="majorBidi"/>
          <w:sz w:val="24"/>
          <w:szCs w:val="24"/>
          <w:lang w:val="en-US"/>
        </w:rPr>
        <w:lastRenderedPageBreak/>
        <w:t xml:space="preserve">had </w:t>
      </w:r>
      <w:r w:rsidR="00646C01" w:rsidRPr="00795222">
        <w:rPr>
          <w:rFonts w:asciiTheme="majorBidi" w:hAnsiTheme="majorBidi" w:cstheme="majorBidi"/>
          <w:sz w:val="24"/>
          <w:szCs w:val="24"/>
          <w:lang w:val="en-US"/>
        </w:rPr>
        <w:t xml:space="preserve">a </w:t>
      </w:r>
      <w:r w:rsidR="00097612" w:rsidRPr="00795222">
        <w:rPr>
          <w:rFonts w:asciiTheme="majorBidi" w:hAnsiTheme="majorBidi" w:cstheme="majorBidi"/>
          <w:sz w:val="24"/>
          <w:szCs w:val="24"/>
          <w:lang w:val="en-US"/>
        </w:rPr>
        <w:t>Z</w:t>
      </w:r>
      <w:r w:rsidR="00646C01" w:rsidRPr="00795222">
        <w:rPr>
          <w:rFonts w:asciiTheme="majorBidi" w:hAnsiTheme="majorBidi" w:cstheme="majorBidi"/>
          <w:sz w:val="24"/>
          <w:szCs w:val="24"/>
          <w:lang w:val="en-US"/>
        </w:rPr>
        <w:t>-average of 66 nm and a PDI of 0.46</w:t>
      </w:r>
      <w:r w:rsidR="00DB144E" w:rsidRPr="00795222">
        <w:rPr>
          <w:rFonts w:asciiTheme="majorBidi" w:hAnsiTheme="majorBidi" w:cstheme="majorBidi"/>
          <w:sz w:val="24"/>
          <w:szCs w:val="24"/>
          <w:lang w:val="en-US"/>
        </w:rPr>
        <w:t xml:space="preserve">, however they </w:t>
      </w:r>
      <w:r w:rsidR="00785B60" w:rsidRPr="00795222">
        <w:rPr>
          <w:rFonts w:asciiTheme="majorBidi" w:hAnsiTheme="majorBidi" w:cstheme="majorBidi"/>
          <w:sz w:val="24"/>
          <w:szCs w:val="24"/>
          <w:lang w:val="en-US"/>
        </w:rPr>
        <w:t>aggregated immediately upon dispersion in PBS</w:t>
      </w:r>
      <w:r w:rsidR="0033172E" w:rsidRPr="00795222">
        <w:rPr>
          <w:rFonts w:asciiTheme="majorBidi" w:hAnsiTheme="majorBidi" w:cstheme="majorBidi"/>
          <w:sz w:val="24"/>
          <w:szCs w:val="24"/>
          <w:lang w:val="en-US"/>
        </w:rPr>
        <w:t>.</w:t>
      </w:r>
      <w:r w:rsidR="00785B60" w:rsidRPr="00795222">
        <w:rPr>
          <w:rFonts w:asciiTheme="majorBidi" w:hAnsiTheme="majorBidi" w:cstheme="majorBidi"/>
          <w:sz w:val="24"/>
          <w:szCs w:val="24"/>
          <w:lang w:val="en-US"/>
        </w:rPr>
        <w:t xml:space="preserve"> </w:t>
      </w:r>
    </w:p>
    <w:p w14:paraId="29F0061D" w14:textId="4AD2182F" w:rsidR="002E384A" w:rsidRPr="00795222" w:rsidRDefault="002E384A" w:rsidP="00657F6C">
      <w:pPr>
        <w:pStyle w:val="Heading4"/>
        <w:spacing w:after="240"/>
        <w:jc w:val="both"/>
      </w:pPr>
      <w:r w:rsidRPr="00795222">
        <w:t xml:space="preserve">Soybean </w:t>
      </w:r>
      <w:r w:rsidR="00FD2A25" w:rsidRPr="00795222">
        <w:t>l</w:t>
      </w:r>
      <w:r w:rsidR="00BB5EB3" w:rsidRPr="00795222">
        <w:t>ecithin</w:t>
      </w:r>
      <w:r w:rsidRPr="00795222">
        <w:t xml:space="preserve"> as a </w:t>
      </w:r>
      <w:r w:rsidR="0051529C" w:rsidRPr="00795222">
        <w:t>stabilizer</w:t>
      </w:r>
      <w:r w:rsidRPr="00795222">
        <w:t xml:space="preserve"> </w:t>
      </w:r>
      <w:r w:rsidR="00D62F1E" w:rsidRPr="00795222">
        <w:t>for LPHNs</w:t>
      </w:r>
    </w:p>
    <w:p w14:paraId="02FF7A85" w14:textId="00846C06" w:rsidR="00785B60" w:rsidRPr="00795222" w:rsidRDefault="0087516C" w:rsidP="00657F6C">
      <w:pPr>
        <w:autoSpaceDE w:val="0"/>
        <w:autoSpaceDN w:val="0"/>
        <w:adjustRightInd w:val="0"/>
        <w:spacing w:after="0" w:line="360" w:lineRule="auto"/>
        <w:jc w:val="both"/>
        <w:rPr>
          <w:rFonts w:asciiTheme="majorBidi" w:hAnsiTheme="majorBidi" w:cstheme="majorBidi"/>
          <w:sz w:val="24"/>
          <w:szCs w:val="24"/>
          <w:lang w:val="en-US"/>
        </w:rPr>
      </w:pPr>
      <w:r w:rsidRPr="00795222">
        <w:rPr>
          <w:rFonts w:asciiTheme="majorBidi" w:hAnsiTheme="majorBidi" w:cstheme="majorBidi"/>
          <w:sz w:val="24"/>
          <w:szCs w:val="24"/>
          <w:lang w:val="en-US"/>
        </w:rPr>
        <w:t>When SBL was used on its own as</w:t>
      </w:r>
      <w:r w:rsidR="00097612" w:rsidRPr="00795222">
        <w:rPr>
          <w:rFonts w:asciiTheme="majorBidi" w:hAnsiTheme="majorBidi" w:cstheme="majorBidi"/>
          <w:sz w:val="24"/>
          <w:szCs w:val="24"/>
          <w:lang w:val="en-US"/>
        </w:rPr>
        <w:t xml:space="preserve"> a</w:t>
      </w:r>
      <w:r w:rsidRPr="00795222">
        <w:rPr>
          <w:rFonts w:asciiTheme="majorBidi" w:hAnsiTheme="majorBidi" w:cstheme="majorBidi"/>
          <w:sz w:val="24"/>
          <w:szCs w:val="24"/>
          <w:lang w:val="en-US"/>
        </w:rPr>
        <w:t xml:space="preserve"> </w:t>
      </w:r>
      <w:r w:rsidR="0051529C" w:rsidRPr="00795222">
        <w:rPr>
          <w:rFonts w:asciiTheme="majorBidi" w:hAnsiTheme="majorBidi" w:cstheme="majorBidi"/>
          <w:sz w:val="24"/>
          <w:szCs w:val="24"/>
          <w:lang w:val="en-US"/>
        </w:rPr>
        <w:t>stabilizer</w:t>
      </w:r>
      <w:r w:rsidRPr="00795222">
        <w:rPr>
          <w:rFonts w:asciiTheme="majorBidi" w:hAnsiTheme="majorBidi" w:cstheme="majorBidi"/>
          <w:sz w:val="24"/>
          <w:szCs w:val="24"/>
          <w:lang w:val="en-US"/>
        </w:rPr>
        <w:t xml:space="preserve"> (</w:t>
      </w:r>
      <w:r w:rsidR="002F4BD1" w:rsidRPr="00795222">
        <w:rPr>
          <w:rFonts w:asciiTheme="majorBidi" w:hAnsiTheme="majorBidi" w:cstheme="majorBidi"/>
          <w:sz w:val="24"/>
          <w:szCs w:val="24"/>
          <w:lang w:val="en-US"/>
        </w:rPr>
        <w:t>Table 1</w:t>
      </w:r>
      <w:r w:rsidRPr="00795222">
        <w:rPr>
          <w:rFonts w:asciiTheme="majorBidi" w:hAnsiTheme="majorBidi" w:cstheme="majorBidi"/>
          <w:sz w:val="24"/>
          <w:szCs w:val="24"/>
          <w:lang w:val="en-US"/>
        </w:rPr>
        <w:t>)</w:t>
      </w:r>
      <w:r w:rsidR="00C96234" w:rsidRPr="00795222">
        <w:rPr>
          <w:rFonts w:asciiTheme="majorBidi" w:hAnsiTheme="majorBidi" w:cstheme="majorBidi"/>
          <w:sz w:val="24"/>
          <w:szCs w:val="24"/>
          <w:lang w:val="en-US"/>
        </w:rPr>
        <w:t xml:space="preserve"> </w:t>
      </w:r>
      <w:r w:rsidR="00097612" w:rsidRPr="00795222">
        <w:rPr>
          <w:rFonts w:asciiTheme="majorBidi" w:hAnsiTheme="majorBidi" w:cstheme="majorBidi"/>
          <w:sz w:val="24"/>
          <w:szCs w:val="24"/>
          <w:lang w:val="en-US"/>
        </w:rPr>
        <w:t>for LPHNs, and the particles</w:t>
      </w:r>
      <w:r w:rsidR="00C96234" w:rsidRPr="00795222">
        <w:rPr>
          <w:rFonts w:asciiTheme="majorBidi" w:hAnsiTheme="majorBidi" w:cstheme="majorBidi"/>
          <w:sz w:val="24"/>
          <w:szCs w:val="24"/>
          <w:lang w:val="en-US"/>
        </w:rPr>
        <w:t xml:space="preserve"> dispersed in water</w:t>
      </w:r>
      <w:r w:rsidR="00097612" w:rsidRPr="00795222">
        <w:rPr>
          <w:rFonts w:asciiTheme="majorBidi" w:hAnsiTheme="majorBidi" w:cstheme="majorBidi"/>
          <w:sz w:val="24"/>
          <w:szCs w:val="24"/>
          <w:lang w:val="en-US"/>
        </w:rPr>
        <w:t>,</w:t>
      </w:r>
      <w:r w:rsidR="00C96234" w:rsidRPr="00795222">
        <w:rPr>
          <w:rFonts w:asciiTheme="majorBidi" w:hAnsiTheme="majorBidi" w:cstheme="majorBidi"/>
          <w:sz w:val="24"/>
          <w:szCs w:val="24"/>
          <w:lang w:val="en-US"/>
        </w:rPr>
        <w:t xml:space="preserve"> mean diameters of 70-79 nm</w:t>
      </w:r>
      <w:r w:rsidR="00097612" w:rsidRPr="00795222">
        <w:rPr>
          <w:rFonts w:asciiTheme="majorBidi" w:hAnsiTheme="majorBidi" w:cstheme="majorBidi"/>
          <w:sz w:val="24"/>
          <w:szCs w:val="24"/>
          <w:lang w:val="en-US"/>
        </w:rPr>
        <w:t xml:space="preserve"> were observed.</w:t>
      </w:r>
      <w:r w:rsidR="00C96234" w:rsidRPr="00795222">
        <w:rPr>
          <w:rFonts w:asciiTheme="majorBidi" w:hAnsiTheme="majorBidi" w:cstheme="majorBidi"/>
          <w:sz w:val="24"/>
          <w:szCs w:val="24"/>
          <w:lang w:val="en-US"/>
        </w:rPr>
        <w:t xml:space="preserve"> </w:t>
      </w:r>
      <w:r w:rsidR="00097612" w:rsidRPr="00795222">
        <w:rPr>
          <w:rFonts w:asciiTheme="majorBidi" w:hAnsiTheme="majorBidi" w:cstheme="majorBidi"/>
          <w:sz w:val="24"/>
          <w:szCs w:val="24"/>
          <w:lang w:val="en-US"/>
        </w:rPr>
        <w:t>S</w:t>
      </w:r>
      <w:r w:rsidR="00C96234" w:rsidRPr="00795222">
        <w:rPr>
          <w:rFonts w:asciiTheme="majorBidi" w:hAnsiTheme="majorBidi" w:cstheme="majorBidi"/>
          <w:sz w:val="24"/>
          <w:szCs w:val="24"/>
          <w:lang w:val="en-US"/>
        </w:rPr>
        <w:t>maller particles fo</w:t>
      </w:r>
      <w:r w:rsidR="00056FD5" w:rsidRPr="00795222">
        <w:rPr>
          <w:rFonts w:asciiTheme="majorBidi" w:hAnsiTheme="majorBidi" w:cstheme="majorBidi"/>
          <w:sz w:val="24"/>
          <w:szCs w:val="24"/>
          <w:lang w:val="en-US"/>
        </w:rPr>
        <w:t>rmed</w:t>
      </w:r>
      <w:r w:rsidR="00C96234" w:rsidRPr="00795222">
        <w:rPr>
          <w:rFonts w:asciiTheme="majorBidi" w:hAnsiTheme="majorBidi" w:cstheme="majorBidi"/>
          <w:sz w:val="24"/>
          <w:szCs w:val="24"/>
          <w:lang w:val="en-US"/>
        </w:rPr>
        <w:t xml:space="preserve"> when higher amounts of SBL were used relative to the polymer core. If the particles were added to PBS at physiological ionic strength </w:t>
      </w:r>
      <w:r w:rsidR="00445CEB" w:rsidRPr="00795222">
        <w:rPr>
          <w:rFonts w:asciiTheme="majorBidi" w:hAnsiTheme="majorBidi" w:cstheme="majorBidi"/>
          <w:sz w:val="24"/>
          <w:szCs w:val="24"/>
          <w:lang w:val="en-US"/>
        </w:rPr>
        <w:t>the particles</w:t>
      </w:r>
      <w:r w:rsidRPr="00795222">
        <w:rPr>
          <w:rFonts w:asciiTheme="majorBidi" w:hAnsiTheme="majorBidi" w:cstheme="majorBidi"/>
          <w:sz w:val="24"/>
          <w:szCs w:val="24"/>
          <w:lang w:val="en-US"/>
        </w:rPr>
        <w:t xml:space="preserve"> aggregated </w:t>
      </w:r>
      <w:r w:rsidR="00C96234" w:rsidRPr="00795222">
        <w:rPr>
          <w:rFonts w:asciiTheme="majorBidi" w:hAnsiTheme="majorBidi" w:cstheme="majorBidi"/>
          <w:sz w:val="24"/>
          <w:szCs w:val="24"/>
          <w:lang w:val="en-US"/>
        </w:rPr>
        <w:t>at all SBL</w:t>
      </w:r>
      <w:r w:rsidRPr="00795222">
        <w:rPr>
          <w:rFonts w:asciiTheme="majorBidi" w:hAnsiTheme="majorBidi" w:cstheme="majorBidi"/>
          <w:sz w:val="24"/>
          <w:szCs w:val="24"/>
          <w:lang w:val="en-US"/>
        </w:rPr>
        <w:t xml:space="preserve">/PLGA </w:t>
      </w:r>
      <w:r w:rsidR="002F2CFC" w:rsidRPr="00795222">
        <w:rPr>
          <w:rFonts w:asciiTheme="majorBidi" w:hAnsiTheme="majorBidi" w:cstheme="majorBidi"/>
          <w:sz w:val="24"/>
          <w:szCs w:val="24"/>
          <w:lang w:val="en-US"/>
        </w:rPr>
        <w:t>mass percentage</w:t>
      </w:r>
      <w:r w:rsidR="00617A3F" w:rsidRPr="00795222">
        <w:rPr>
          <w:rFonts w:asciiTheme="majorBidi" w:hAnsiTheme="majorBidi" w:cstheme="majorBidi"/>
          <w:sz w:val="24"/>
          <w:szCs w:val="24"/>
          <w:lang w:val="en-US"/>
        </w:rPr>
        <w:t>s</w:t>
      </w:r>
      <w:r w:rsidR="002F2CFC" w:rsidRPr="00795222">
        <w:rPr>
          <w:rFonts w:asciiTheme="majorBidi" w:hAnsiTheme="majorBidi" w:cstheme="majorBidi"/>
          <w:sz w:val="24"/>
          <w:szCs w:val="24"/>
          <w:lang w:val="en-US"/>
        </w:rPr>
        <w:t xml:space="preserve"> </w:t>
      </w:r>
      <w:r w:rsidR="00DF544B" w:rsidRPr="00795222">
        <w:rPr>
          <w:rFonts w:asciiTheme="majorBidi" w:hAnsiTheme="majorBidi" w:cstheme="majorBidi"/>
          <w:sz w:val="24"/>
          <w:szCs w:val="24"/>
          <w:lang w:val="en-US"/>
        </w:rPr>
        <w:t>(</w:t>
      </w:r>
      <w:r w:rsidRPr="00795222">
        <w:rPr>
          <w:rFonts w:asciiTheme="majorBidi" w:hAnsiTheme="majorBidi" w:cstheme="majorBidi"/>
          <w:sz w:val="24"/>
          <w:szCs w:val="24"/>
          <w:lang w:val="en-US"/>
        </w:rPr>
        <w:t xml:space="preserve">0.375 </w:t>
      </w:r>
      <w:r w:rsidR="009771AB" w:rsidRPr="00795222">
        <w:rPr>
          <w:rFonts w:asciiTheme="majorBidi" w:hAnsiTheme="majorBidi" w:cstheme="majorBidi"/>
          <w:sz w:val="24"/>
          <w:szCs w:val="24"/>
          <w:lang w:val="en-US"/>
        </w:rPr>
        <w:t>–</w:t>
      </w:r>
      <w:r w:rsidR="000421D6"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t>20</w:t>
      </w:r>
      <w:r w:rsidR="009771AB" w:rsidRPr="00795222">
        <w:rPr>
          <w:rFonts w:asciiTheme="majorBidi" w:hAnsiTheme="majorBidi" w:cstheme="majorBidi"/>
          <w:sz w:val="24"/>
          <w:szCs w:val="24"/>
          <w:lang w:val="en-US"/>
        </w:rPr>
        <w:t>)</w:t>
      </w:r>
      <w:r w:rsidRPr="00795222">
        <w:rPr>
          <w:rFonts w:asciiTheme="majorBidi" w:hAnsiTheme="majorBidi" w:cstheme="majorBidi"/>
          <w:sz w:val="24"/>
          <w:szCs w:val="24"/>
          <w:lang w:val="en-US"/>
        </w:rPr>
        <w:t xml:space="preserve"> % w/w</w:t>
      </w:r>
      <w:r w:rsidR="00C96234" w:rsidRPr="00795222">
        <w:rPr>
          <w:rFonts w:asciiTheme="majorBidi" w:hAnsiTheme="majorBidi" w:cstheme="majorBidi"/>
          <w:sz w:val="24"/>
          <w:szCs w:val="24"/>
          <w:lang w:val="en-US"/>
        </w:rPr>
        <w:t>.</w:t>
      </w:r>
      <w:r w:rsidRPr="00795222">
        <w:rPr>
          <w:rFonts w:asciiTheme="majorBidi" w:hAnsiTheme="majorBidi" w:cstheme="majorBidi"/>
          <w:sz w:val="24"/>
          <w:szCs w:val="24"/>
          <w:lang w:val="en-US"/>
        </w:rPr>
        <w:t xml:space="preserve"> </w:t>
      </w:r>
      <w:r w:rsidR="00C96234" w:rsidRPr="00795222">
        <w:rPr>
          <w:rFonts w:asciiTheme="majorBidi" w:hAnsiTheme="majorBidi" w:cstheme="majorBidi"/>
          <w:sz w:val="24"/>
          <w:szCs w:val="24"/>
          <w:lang w:val="en-US"/>
        </w:rPr>
        <w:t>T</w:t>
      </w:r>
      <w:r w:rsidRPr="00795222">
        <w:rPr>
          <w:rFonts w:asciiTheme="majorBidi" w:hAnsiTheme="majorBidi" w:cstheme="majorBidi"/>
          <w:sz w:val="24"/>
          <w:szCs w:val="24"/>
          <w:lang w:val="en-US"/>
        </w:rPr>
        <w:t xml:space="preserve">his </w:t>
      </w:r>
      <w:r w:rsidR="00743BEB" w:rsidRPr="00795222">
        <w:rPr>
          <w:rFonts w:asciiTheme="majorBidi" w:hAnsiTheme="majorBidi" w:cstheme="majorBidi"/>
          <w:sz w:val="24"/>
          <w:szCs w:val="24"/>
          <w:lang w:val="en-US"/>
        </w:rPr>
        <w:t>was</w:t>
      </w:r>
      <w:r w:rsidR="00C96234" w:rsidRPr="00795222">
        <w:rPr>
          <w:rFonts w:asciiTheme="majorBidi" w:hAnsiTheme="majorBidi" w:cstheme="majorBidi"/>
          <w:sz w:val="24"/>
          <w:szCs w:val="24"/>
          <w:lang w:val="en-US"/>
        </w:rPr>
        <w:t xml:space="preserve"> likely due to the electrostatic </w:t>
      </w:r>
      <w:r w:rsidR="0051529C" w:rsidRPr="00795222">
        <w:rPr>
          <w:rFonts w:asciiTheme="majorBidi" w:hAnsiTheme="majorBidi" w:cstheme="majorBidi"/>
          <w:sz w:val="24"/>
          <w:szCs w:val="24"/>
          <w:lang w:val="en-US"/>
        </w:rPr>
        <w:t>stabilization</w:t>
      </w:r>
      <w:r w:rsidR="00C96234" w:rsidRPr="00795222">
        <w:rPr>
          <w:rFonts w:asciiTheme="majorBidi" w:hAnsiTheme="majorBidi" w:cstheme="majorBidi"/>
          <w:sz w:val="24"/>
          <w:szCs w:val="24"/>
          <w:lang w:val="en-US"/>
        </w:rPr>
        <w:t xml:space="preserve"> mechanism provided by </w:t>
      </w:r>
      <w:r w:rsidR="00056FD5" w:rsidRPr="00795222">
        <w:rPr>
          <w:rFonts w:asciiTheme="majorBidi" w:hAnsiTheme="majorBidi" w:cstheme="majorBidi"/>
          <w:sz w:val="24"/>
          <w:szCs w:val="24"/>
          <w:lang w:val="en-US"/>
        </w:rPr>
        <w:t>SBL</w:t>
      </w:r>
      <w:r w:rsidR="00743BEB" w:rsidRPr="00795222">
        <w:rPr>
          <w:rFonts w:asciiTheme="majorBidi" w:hAnsiTheme="majorBidi" w:cstheme="majorBidi"/>
          <w:sz w:val="24"/>
          <w:szCs w:val="24"/>
          <w:lang w:val="en-US"/>
        </w:rPr>
        <w:t>;</w:t>
      </w:r>
      <w:r w:rsidR="00C96234" w:rsidRPr="00795222">
        <w:rPr>
          <w:rFonts w:asciiTheme="majorBidi" w:hAnsiTheme="majorBidi" w:cstheme="majorBidi"/>
          <w:sz w:val="24"/>
          <w:szCs w:val="24"/>
          <w:lang w:val="en-US"/>
        </w:rPr>
        <w:t xml:space="preserve"> electrostatic </w:t>
      </w:r>
      <w:r w:rsidR="00056FD5" w:rsidRPr="00795222">
        <w:rPr>
          <w:rFonts w:asciiTheme="majorBidi" w:hAnsiTheme="majorBidi" w:cstheme="majorBidi"/>
          <w:sz w:val="24"/>
          <w:szCs w:val="24"/>
          <w:lang w:val="en-US"/>
        </w:rPr>
        <w:t xml:space="preserve">repulsion </w:t>
      </w:r>
      <w:r w:rsidR="00C96234" w:rsidRPr="00795222">
        <w:rPr>
          <w:rFonts w:asciiTheme="majorBidi" w:hAnsiTheme="majorBidi" w:cstheme="majorBidi"/>
          <w:sz w:val="24"/>
          <w:szCs w:val="24"/>
          <w:lang w:val="en-US"/>
        </w:rPr>
        <w:t xml:space="preserve">is greatly reduced in the presence of high ionic strength due to the electrostatic screening effect of the dissolved ions. </w:t>
      </w:r>
      <w:r w:rsidRPr="00795222">
        <w:rPr>
          <w:rFonts w:asciiTheme="majorBidi" w:hAnsiTheme="majorBidi" w:cstheme="majorBidi"/>
          <w:sz w:val="24"/>
          <w:szCs w:val="24"/>
          <w:lang w:val="en-US"/>
        </w:rPr>
        <w:t xml:space="preserve">The same </w:t>
      </w:r>
      <w:r w:rsidR="0051529C" w:rsidRPr="00795222">
        <w:rPr>
          <w:rFonts w:asciiTheme="majorBidi" w:hAnsiTheme="majorBidi" w:cstheme="majorBidi"/>
          <w:sz w:val="24"/>
          <w:szCs w:val="24"/>
          <w:lang w:val="en-US"/>
        </w:rPr>
        <w:t>behavior</w:t>
      </w:r>
      <w:r w:rsidRPr="00795222">
        <w:rPr>
          <w:rFonts w:asciiTheme="majorBidi" w:hAnsiTheme="majorBidi" w:cstheme="majorBidi"/>
          <w:sz w:val="24"/>
          <w:szCs w:val="24"/>
          <w:lang w:val="en-US"/>
        </w:rPr>
        <w:t xml:space="preserve"> was reported for a different phospholipid by Chan </w:t>
      </w:r>
      <w:r w:rsidRPr="00795222">
        <w:rPr>
          <w:rFonts w:asciiTheme="majorBidi" w:hAnsiTheme="majorBidi" w:cstheme="majorBidi"/>
          <w:i/>
          <w:iCs/>
          <w:sz w:val="24"/>
          <w:szCs w:val="24"/>
          <w:lang w:val="en-US"/>
        </w:rPr>
        <w:t>et al.</w:t>
      </w:r>
      <w:r w:rsidR="00155310" w:rsidRPr="00795222">
        <w:rPr>
          <w:rFonts w:asciiTheme="majorBidi" w:hAnsiTheme="majorBidi" w:cstheme="majorBidi"/>
          <w:i/>
          <w:iCs/>
          <w:sz w:val="24"/>
          <w:szCs w:val="24"/>
          <w:lang w:val="en-US"/>
        </w:rPr>
        <w:t xml:space="preserve"> </w:t>
      </w:r>
      <w:r w:rsidRPr="00795222">
        <w:rPr>
          <w:rFonts w:asciiTheme="majorBidi" w:hAnsiTheme="majorBidi" w:cstheme="majorBidi"/>
          <w:i/>
          <w:iCs/>
          <w:sz w:val="24"/>
          <w:szCs w:val="24"/>
          <w:lang w:val="en-US"/>
        </w:rPr>
        <w:fldChar w:fldCharType="begin" w:fldLock="1"/>
      </w:r>
      <w:r w:rsidR="008E225E" w:rsidRPr="00795222">
        <w:rPr>
          <w:rFonts w:asciiTheme="majorBidi" w:hAnsiTheme="majorBidi" w:cstheme="majorBidi"/>
          <w:i/>
          <w:iCs/>
          <w:sz w:val="24"/>
          <w:szCs w:val="24"/>
          <w:lang w:val="en-US"/>
        </w:rPr>
        <w:instrText>ADDIN CSL_CITATION {"citationItems":[{"id":"ITEM-1","itemData":{"DOI":"10.1016/j.biomaterials.2008.12.013","ISSN":"0142-9612","author":[{"dropping-particle":"","family":"Chan","given":"Juliana M","non-dropping-particle":"","parse-names":false,"suffix":""},{"dropping-particle":"","family":"Zhang","given":"Liangfang","non-dropping-particle":"","parse-names":false,"suffix":""},{"dropping-particle":"","family":"Yuet","given":"Kai P","non-dropping-particle":"","parse-names":false,"suffix":""},{"dropping-particle":"","family":"Liao","given":"Grace","non-dropping-particle":"","parse-names":false,"suffix":""},{"dropping-particle":"","family":"Rhee","given":"June-wha","non-dropping-particle":"","parse-names":false,"suffix":""},{"dropping-particle":"","family":"Langer","given":"Robert","non-dropping-particle":"","parse-names":false,"suffix":""},{"dropping-particle":"","family":"Farokhzad","given":"Omid C","non-dropping-particle":"","parse-names":false,"suffix":""}],"container-title":"Biomaterials","id":"ITEM-1","issue":"8","issued":{"date-parts":[["2009"]]},"page":"1627-1634","publisher":"Elsevier Ltd","title":"Biomaterials PLGA – lecithin – PEG core – shell nanoparticles for controlled drug delivery","type":"article-journal","volume":"30"},"uris":["http://www.mendeley.com/documents/?uuid=5c51ea4a-5945-44ce-a2aa-0c4b8cfac88d","http://www.mendeley.com/documents/?uuid=bc9a46a5-7cc4-415c-b3d2-8a3143a8bc94"]}],"mendeley":{"formattedCitation":"(Chan et al., 2009)","plainTextFormattedCitation":"(Chan et al., 2009)","previouslyFormattedCitation":"(Chan et al., 2009)"},"properties":{"noteIndex":0},"schema":"https://github.com/citation-style-language/schema/raw/master/csl-citation.json"}</w:instrText>
      </w:r>
      <w:r w:rsidRPr="00795222">
        <w:rPr>
          <w:rFonts w:asciiTheme="majorBidi" w:hAnsiTheme="majorBidi" w:cstheme="majorBidi"/>
          <w:i/>
          <w:iCs/>
          <w:sz w:val="24"/>
          <w:szCs w:val="24"/>
          <w:vertAlign w:val="superscript"/>
          <w:lang w:val="en-US"/>
        </w:rPr>
        <w:fldChar w:fldCharType="separate"/>
      </w:r>
      <w:r w:rsidR="00FF41FF" w:rsidRPr="00795222">
        <w:rPr>
          <w:rFonts w:asciiTheme="majorBidi" w:hAnsiTheme="majorBidi" w:cstheme="majorBidi"/>
          <w:iCs/>
          <w:noProof/>
          <w:sz w:val="24"/>
          <w:szCs w:val="24"/>
          <w:lang w:val="en-US"/>
        </w:rPr>
        <w:t>(Chan et al., 2009)</w:t>
      </w:r>
      <w:r w:rsidRPr="00795222">
        <w:rPr>
          <w:rFonts w:asciiTheme="majorBidi" w:hAnsiTheme="majorBidi" w:cstheme="majorBidi"/>
          <w:i/>
          <w:iCs/>
          <w:sz w:val="24"/>
          <w:szCs w:val="24"/>
          <w:lang w:val="en-US"/>
        </w:rPr>
        <w:fldChar w:fldCharType="end"/>
      </w:r>
      <w:r w:rsidRPr="00795222">
        <w:rPr>
          <w:rFonts w:asciiTheme="majorBidi" w:hAnsiTheme="majorBidi" w:cstheme="majorBidi"/>
          <w:i/>
          <w:iCs/>
          <w:sz w:val="24"/>
          <w:szCs w:val="24"/>
          <w:lang w:val="en-US"/>
        </w:rPr>
        <w:t xml:space="preserve"> </w:t>
      </w:r>
      <w:r w:rsidRPr="00795222">
        <w:rPr>
          <w:rFonts w:asciiTheme="majorBidi" w:hAnsiTheme="majorBidi" w:cstheme="majorBidi"/>
          <w:sz w:val="24"/>
          <w:szCs w:val="24"/>
          <w:lang w:val="en-US"/>
        </w:rPr>
        <w:t xml:space="preserve">their results showed that using phosphatidylcholine as a </w:t>
      </w:r>
      <w:r w:rsidR="0051529C" w:rsidRPr="00795222">
        <w:rPr>
          <w:rFonts w:asciiTheme="majorBidi" w:hAnsiTheme="majorBidi" w:cstheme="majorBidi"/>
          <w:sz w:val="24"/>
          <w:szCs w:val="24"/>
          <w:lang w:val="en-US"/>
        </w:rPr>
        <w:t>stabilizer</w:t>
      </w:r>
      <w:r w:rsidRPr="00795222">
        <w:rPr>
          <w:rFonts w:asciiTheme="majorBidi" w:hAnsiTheme="majorBidi" w:cstheme="majorBidi"/>
          <w:sz w:val="24"/>
          <w:szCs w:val="24"/>
          <w:lang w:val="en-US"/>
        </w:rPr>
        <w:t xml:space="preserve"> for docetaxel LPHNs led to particle aggregation even at lipid/polymer </w:t>
      </w:r>
      <w:r w:rsidR="009F6B80" w:rsidRPr="00795222">
        <w:rPr>
          <w:rFonts w:asciiTheme="majorBidi" w:hAnsiTheme="majorBidi" w:cstheme="majorBidi"/>
          <w:sz w:val="24"/>
          <w:szCs w:val="24"/>
          <w:lang w:val="en-US"/>
        </w:rPr>
        <w:t xml:space="preserve">mass percentage </w:t>
      </w:r>
      <w:r w:rsidRPr="00795222">
        <w:rPr>
          <w:rFonts w:asciiTheme="majorBidi" w:hAnsiTheme="majorBidi" w:cstheme="majorBidi"/>
          <w:sz w:val="24"/>
          <w:szCs w:val="24"/>
          <w:lang w:val="en-US"/>
        </w:rPr>
        <w:t xml:space="preserve">up to 20 % w/w. </w:t>
      </w:r>
      <w:r w:rsidR="00C96234" w:rsidRPr="00795222">
        <w:rPr>
          <w:rFonts w:asciiTheme="majorBidi" w:hAnsiTheme="majorBidi" w:cstheme="majorBidi"/>
          <w:sz w:val="24"/>
          <w:szCs w:val="24"/>
          <w:lang w:val="en-US"/>
        </w:rPr>
        <w:t>T</w:t>
      </w:r>
      <w:r w:rsidRPr="00795222">
        <w:rPr>
          <w:rFonts w:asciiTheme="majorBidi" w:hAnsiTheme="majorBidi" w:cstheme="majorBidi"/>
          <w:sz w:val="24"/>
          <w:szCs w:val="24"/>
          <w:lang w:val="en-US"/>
        </w:rPr>
        <w:t xml:space="preserve">he </w:t>
      </w:r>
      <w:r w:rsidR="00C96234" w:rsidRPr="00795222">
        <w:rPr>
          <w:rFonts w:asciiTheme="majorBidi" w:hAnsiTheme="majorBidi" w:cstheme="majorBidi"/>
          <w:sz w:val="24"/>
          <w:szCs w:val="24"/>
          <w:lang w:val="en-US"/>
        </w:rPr>
        <w:t>z</w:t>
      </w:r>
      <w:r w:rsidRPr="00795222">
        <w:rPr>
          <w:rFonts w:asciiTheme="majorBidi" w:hAnsiTheme="majorBidi" w:cstheme="majorBidi"/>
          <w:sz w:val="24"/>
          <w:szCs w:val="24"/>
          <w:lang w:val="en-US"/>
        </w:rPr>
        <w:t>eta potential of</w:t>
      </w:r>
      <w:r w:rsidR="00056FD5" w:rsidRPr="00795222">
        <w:rPr>
          <w:rFonts w:asciiTheme="majorBidi" w:hAnsiTheme="majorBidi" w:cstheme="majorBidi"/>
          <w:sz w:val="24"/>
          <w:szCs w:val="24"/>
          <w:lang w:val="en-US"/>
        </w:rPr>
        <w:t xml:space="preserve"> </w:t>
      </w:r>
      <w:r w:rsidR="00D65E8B" w:rsidRPr="00795222">
        <w:rPr>
          <w:rFonts w:asciiTheme="majorBidi" w:hAnsiTheme="majorBidi" w:cstheme="majorBidi"/>
          <w:sz w:val="24"/>
          <w:szCs w:val="24"/>
          <w:lang w:val="en-US"/>
        </w:rPr>
        <w:t xml:space="preserve">the </w:t>
      </w:r>
      <w:r w:rsidRPr="00795222">
        <w:rPr>
          <w:rFonts w:asciiTheme="majorBidi" w:hAnsiTheme="majorBidi" w:cstheme="majorBidi"/>
          <w:sz w:val="24"/>
          <w:szCs w:val="24"/>
          <w:lang w:val="en-US"/>
        </w:rPr>
        <w:t xml:space="preserve">particles </w:t>
      </w:r>
      <w:r w:rsidR="0051529C" w:rsidRPr="00795222">
        <w:rPr>
          <w:rFonts w:asciiTheme="majorBidi" w:hAnsiTheme="majorBidi" w:cstheme="majorBidi"/>
          <w:sz w:val="24"/>
          <w:szCs w:val="24"/>
          <w:lang w:val="en-US"/>
        </w:rPr>
        <w:t>stabilized</w:t>
      </w:r>
      <w:r w:rsidRPr="00795222">
        <w:rPr>
          <w:rFonts w:asciiTheme="majorBidi" w:hAnsiTheme="majorBidi" w:cstheme="majorBidi"/>
          <w:sz w:val="24"/>
          <w:szCs w:val="24"/>
          <w:lang w:val="en-US"/>
        </w:rPr>
        <w:t xml:space="preserve"> by SBL ranged from -54 to -67 mV when dispersed in water (</w:t>
      </w:r>
      <w:r w:rsidR="002F4BD1" w:rsidRPr="00795222">
        <w:rPr>
          <w:rFonts w:asciiTheme="majorBidi" w:hAnsiTheme="majorBidi" w:cstheme="majorBidi"/>
          <w:sz w:val="24"/>
          <w:szCs w:val="24"/>
          <w:lang w:val="en-US"/>
        </w:rPr>
        <w:t>Table 1</w:t>
      </w:r>
      <w:r w:rsidRPr="00795222">
        <w:rPr>
          <w:rFonts w:asciiTheme="majorBidi" w:hAnsiTheme="majorBidi" w:cstheme="majorBidi"/>
          <w:sz w:val="24"/>
          <w:szCs w:val="24"/>
          <w:lang w:val="en-US"/>
        </w:rPr>
        <w:t>), upon dispersion of the particles in</w:t>
      </w:r>
      <w:r w:rsidR="00D65E8B" w:rsidRPr="00795222">
        <w:rPr>
          <w:rFonts w:asciiTheme="majorBidi" w:hAnsiTheme="majorBidi" w:cstheme="majorBidi"/>
          <w:sz w:val="24"/>
          <w:szCs w:val="24"/>
          <w:lang w:val="en-US"/>
        </w:rPr>
        <w:t xml:space="preserve"> a</w:t>
      </w:r>
      <w:r w:rsidRPr="00795222">
        <w:rPr>
          <w:rFonts w:asciiTheme="majorBidi" w:hAnsiTheme="majorBidi" w:cstheme="majorBidi"/>
          <w:sz w:val="24"/>
          <w:szCs w:val="24"/>
          <w:lang w:val="en-US"/>
        </w:rPr>
        <w:t xml:space="preserve"> </w:t>
      </w:r>
      <w:r w:rsidR="004F0E2A" w:rsidRPr="00795222">
        <w:rPr>
          <w:rFonts w:asciiTheme="majorBidi" w:hAnsiTheme="majorBidi" w:cstheme="majorBidi"/>
          <w:sz w:val="24"/>
          <w:szCs w:val="24"/>
          <w:lang w:val="en-US"/>
        </w:rPr>
        <w:t>PBS</w:t>
      </w:r>
      <w:r w:rsidRPr="00795222">
        <w:rPr>
          <w:rFonts w:asciiTheme="majorBidi" w:hAnsiTheme="majorBidi" w:cstheme="majorBidi"/>
          <w:sz w:val="24"/>
          <w:szCs w:val="24"/>
          <w:lang w:val="en-US"/>
        </w:rPr>
        <w:t>, the</w:t>
      </w:r>
      <w:r w:rsidR="00056FD5" w:rsidRPr="00795222">
        <w:rPr>
          <w:rFonts w:asciiTheme="majorBidi" w:hAnsiTheme="majorBidi" w:cstheme="majorBidi"/>
          <w:sz w:val="24"/>
          <w:szCs w:val="24"/>
          <w:lang w:val="en-US"/>
        </w:rPr>
        <w:t xml:space="preserve">re was a </w:t>
      </w:r>
      <w:r w:rsidRPr="00795222">
        <w:rPr>
          <w:rFonts w:asciiTheme="majorBidi" w:hAnsiTheme="majorBidi" w:cstheme="majorBidi"/>
          <w:sz w:val="24"/>
          <w:szCs w:val="24"/>
          <w:lang w:val="en-US"/>
        </w:rPr>
        <w:t>decrease in the z</w:t>
      </w:r>
      <w:r w:rsidR="00743BEB" w:rsidRPr="00795222">
        <w:rPr>
          <w:rFonts w:asciiTheme="majorBidi" w:hAnsiTheme="majorBidi" w:cstheme="majorBidi"/>
          <w:sz w:val="24"/>
          <w:szCs w:val="24"/>
          <w:lang w:val="en-US"/>
        </w:rPr>
        <w:t xml:space="preserve">eta </w:t>
      </w:r>
      <w:r w:rsidRPr="00795222">
        <w:rPr>
          <w:rFonts w:asciiTheme="majorBidi" w:hAnsiTheme="majorBidi" w:cstheme="majorBidi"/>
          <w:sz w:val="24"/>
          <w:szCs w:val="24"/>
          <w:lang w:val="en-US"/>
        </w:rPr>
        <w:t>potential value of the LPHNs (-29 to -35</w:t>
      </w:r>
      <w:r w:rsidR="00C96234" w:rsidRPr="00795222">
        <w:rPr>
          <w:rFonts w:asciiTheme="majorBidi" w:hAnsiTheme="majorBidi" w:cstheme="majorBidi"/>
          <w:sz w:val="24"/>
          <w:szCs w:val="24"/>
          <w:lang w:val="en-US"/>
        </w:rPr>
        <w:t xml:space="preserve"> mV</w:t>
      </w:r>
      <w:r w:rsidRPr="00795222">
        <w:rPr>
          <w:rFonts w:asciiTheme="majorBidi" w:hAnsiTheme="majorBidi" w:cstheme="majorBidi"/>
          <w:sz w:val="24"/>
          <w:szCs w:val="24"/>
          <w:lang w:val="en-US"/>
        </w:rPr>
        <w:t>) which affects the colloidal stability</w:t>
      </w:r>
      <w:r w:rsidR="00D65E8B" w:rsidRPr="00795222">
        <w:rPr>
          <w:rFonts w:asciiTheme="majorBidi" w:hAnsiTheme="majorBidi" w:cstheme="majorBidi"/>
          <w:sz w:val="24"/>
          <w:szCs w:val="24"/>
          <w:lang w:val="en-US"/>
        </w:rPr>
        <w:t>. I</w:t>
      </w:r>
      <w:r w:rsidRPr="00795222">
        <w:rPr>
          <w:rFonts w:asciiTheme="majorBidi" w:hAnsiTheme="majorBidi" w:cstheme="majorBidi"/>
          <w:sz w:val="24"/>
          <w:szCs w:val="24"/>
          <w:lang w:val="en-US"/>
        </w:rPr>
        <w:t xml:space="preserve">t has been suggested by Hu </w:t>
      </w:r>
      <w:r w:rsidRPr="00795222">
        <w:rPr>
          <w:rFonts w:asciiTheme="majorBidi" w:hAnsiTheme="majorBidi" w:cstheme="majorBidi"/>
          <w:i/>
          <w:iCs/>
          <w:sz w:val="24"/>
          <w:szCs w:val="24"/>
          <w:lang w:val="en-US"/>
        </w:rPr>
        <w:t>et al</w:t>
      </w:r>
      <w:r w:rsidRPr="00795222">
        <w:rPr>
          <w:rFonts w:asciiTheme="majorBidi" w:hAnsiTheme="majorBidi" w:cstheme="majorBidi"/>
          <w:sz w:val="24"/>
          <w:szCs w:val="24"/>
          <w:lang w:val="en-US"/>
        </w:rPr>
        <w:t>.</w:t>
      </w:r>
      <w:r w:rsidR="00155310"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fldChar w:fldCharType="begin" w:fldLock="1"/>
      </w:r>
      <w:r w:rsidR="008E225E" w:rsidRPr="00795222">
        <w:rPr>
          <w:rFonts w:asciiTheme="majorBidi" w:hAnsiTheme="majorBidi" w:cstheme="majorBidi"/>
          <w:sz w:val="24"/>
          <w:szCs w:val="24"/>
          <w:lang w:val="en-US"/>
        </w:rPr>
        <w:instrText>ADDIN CSL_CITATION {"citationItems":[{"id":"ITEM-1","itemData":{"DOI":"10.3109/03639045.2012.702348","author":[{"dropping-particle":"","family":"Hu","given":"Haiyang","non-dropping-particle":"","parse-names":false,"suffix":""},{"dropping-particle":"","family":"Liu","given":"Dan","non-dropping-particle":"","parse-names":false,"suffix":""},{"dropping-particle":"","family":"Zhao","given":"Xiuli","non-dropping-particle":"","parse-names":false,"suffix":""},{"dropping-particle":"","family":"Qiao","given":"Mingxi","non-dropping-particle":"","parse-names":false,"suffix":""},{"dropping-particle":"","family":"Chen","given":"Dawei","non-dropping-particle":"","parse-names":false,"suffix":""}],"id":"ITEM-1","issued":{"date-parts":[["2013"]]},"title":"Preparation , characterization , cellular uptake and evaluation in vivo of solid lipid nanoparticles loaded with cucurbitacin B evaluation in vivo of solid lipid nanoparticles loaded with cucurbitacin B","type":"article-journal","volume":"9045"},"uris":["http://www.mendeley.com/documents/?uuid=e2aaa1db-bc9c-476e-a07f-ff56508158f1","http://www.mendeley.com/documents/?uuid=4abbd5db-abd8-497f-8d04-25b8459a3158","http://www.mendeley.com/documents/?uuid=c7ec19af-48af-4455-99df-8a8da241c9da"]}],"mendeley":{"formattedCitation":"(Hu et al., 2013)","plainTextFormattedCitation":"(Hu et al., 2013)","previouslyFormattedCitation":"(Hu et al., 2013)"},"properties":{"noteIndex":0},"schema":"https://github.com/citation-style-language/schema/raw/master/csl-citation.json"}</w:instrText>
      </w:r>
      <w:r w:rsidRPr="00795222">
        <w:rPr>
          <w:rFonts w:asciiTheme="majorBidi" w:hAnsiTheme="majorBidi" w:cstheme="majorBidi"/>
          <w:sz w:val="24"/>
          <w:szCs w:val="24"/>
          <w:lang w:val="en-US"/>
        </w:rPr>
        <w:fldChar w:fldCharType="separate"/>
      </w:r>
      <w:r w:rsidR="00FF41FF" w:rsidRPr="00795222">
        <w:rPr>
          <w:rFonts w:asciiTheme="majorBidi" w:hAnsiTheme="majorBidi" w:cstheme="majorBidi"/>
          <w:noProof/>
          <w:sz w:val="24"/>
          <w:szCs w:val="24"/>
          <w:lang w:val="en-US"/>
        </w:rPr>
        <w:t>(Hu et al., 2013)</w:t>
      </w:r>
      <w:r w:rsidRPr="00795222">
        <w:rPr>
          <w:rFonts w:asciiTheme="majorBidi" w:hAnsiTheme="majorBidi" w:cstheme="majorBidi"/>
          <w:sz w:val="24"/>
          <w:szCs w:val="24"/>
          <w:lang w:val="en-US"/>
        </w:rPr>
        <w:fldChar w:fldCharType="end"/>
      </w:r>
      <w:r w:rsidRPr="00795222">
        <w:rPr>
          <w:rFonts w:asciiTheme="majorBidi" w:hAnsiTheme="majorBidi" w:cstheme="majorBidi"/>
          <w:sz w:val="24"/>
          <w:szCs w:val="24"/>
          <w:lang w:val="en-US"/>
        </w:rPr>
        <w:t xml:space="preserve"> that to obtain a full electrostatic stabilization a zeta potential more than </w:t>
      </w:r>
      <w:r w:rsidR="00743BEB" w:rsidRPr="00795222">
        <w:rPr>
          <w:rFonts w:asciiTheme="majorBidi" w:hAnsiTheme="majorBidi" w:cstheme="majorBidi"/>
          <w:sz w:val="24"/>
          <w:szCs w:val="24"/>
          <w:lang w:val="en-US"/>
        </w:rPr>
        <w:t>±</w:t>
      </w:r>
      <w:r w:rsidRPr="00795222">
        <w:rPr>
          <w:rFonts w:asciiTheme="majorBidi" w:hAnsiTheme="majorBidi" w:cstheme="majorBidi"/>
          <w:sz w:val="24"/>
          <w:szCs w:val="24"/>
          <w:lang w:val="en-US"/>
        </w:rPr>
        <w:t xml:space="preserve">30 mV and ideally more than </w:t>
      </w:r>
      <w:r w:rsidR="00743BEB" w:rsidRPr="00795222">
        <w:rPr>
          <w:rFonts w:asciiTheme="majorBidi" w:hAnsiTheme="majorBidi" w:cstheme="majorBidi"/>
          <w:sz w:val="24"/>
          <w:szCs w:val="24"/>
          <w:lang w:val="en-US"/>
        </w:rPr>
        <w:t>±</w:t>
      </w:r>
      <w:r w:rsidRPr="00795222">
        <w:rPr>
          <w:rFonts w:asciiTheme="majorBidi" w:hAnsiTheme="majorBidi" w:cstheme="majorBidi"/>
          <w:sz w:val="24"/>
          <w:szCs w:val="24"/>
          <w:lang w:val="en-US"/>
        </w:rPr>
        <w:t xml:space="preserve">60 mV is required. </w:t>
      </w:r>
      <w:r w:rsidR="00D65E8B" w:rsidRPr="00795222">
        <w:rPr>
          <w:rFonts w:asciiTheme="majorBidi" w:hAnsiTheme="majorBidi" w:cstheme="majorBidi"/>
          <w:sz w:val="24"/>
          <w:szCs w:val="24"/>
          <w:lang w:val="en-US"/>
        </w:rPr>
        <w:t>It was t</w:t>
      </w:r>
      <w:r w:rsidR="003B278A" w:rsidRPr="00795222">
        <w:rPr>
          <w:rFonts w:asciiTheme="majorBidi" w:hAnsiTheme="majorBidi" w:cstheme="majorBidi"/>
          <w:sz w:val="24"/>
          <w:szCs w:val="24"/>
          <w:lang w:val="en-US"/>
        </w:rPr>
        <w:t>herefore</w:t>
      </w:r>
      <w:r w:rsidR="00D65E8B" w:rsidRPr="00795222">
        <w:rPr>
          <w:rFonts w:asciiTheme="majorBidi" w:hAnsiTheme="majorBidi" w:cstheme="majorBidi"/>
          <w:sz w:val="24"/>
          <w:szCs w:val="24"/>
          <w:lang w:val="en-US"/>
        </w:rPr>
        <w:t xml:space="preserve"> concluded</w:t>
      </w:r>
      <w:r w:rsidR="003B278A" w:rsidRPr="00795222">
        <w:rPr>
          <w:rFonts w:asciiTheme="majorBidi" w:hAnsiTheme="majorBidi" w:cstheme="majorBidi"/>
          <w:sz w:val="24"/>
          <w:szCs w:val="24"/>
          <w:lang w:val="en-US"/>
        </w:rPr>
        <w:t xml:space="preserve"> SBL</w:t>
      </w:r>
      <w:r w:rsidR="00743BEB" w:rsidRPr="00795222">
        <w:rPr>
          <w:rFonts w:asciiTheme="majorBidi" w:hAnsiTheme="majorBidi" w:cstheme="majorBidi"/>
          <w:sz w:val="24"/>
          <w:szCs w:val="24"/>
          <w:lang w:val="en-US"/>
        </w:rPr>
        <w:t xml:space="preserve"> </w:t>
      </w:r>
      <w:r w:rsidR="00D62F1E" w:rsidRPr="00795222">
        <w:rPr>
          <w:rFonts w:asciiTheme="majorBidi" w:hAnsiTheme="majorBidi" w:cstheme="majorBidi"/>
          <w:sz w:val="24"/>
          <w:szCs w:val="24"/>
          <w:lang w:val="en-US"/>
        </w:rPr>
        <w:t>as a lone stabili</w:t>
      </w:r>
      <w:r w:rsidR="00593692" w:rsidRPr="00795222">
        <w:rPr>
          <w:rFonts w:asciiTheme="majorBidi" w:hAnsiTheme="majorBidi" w:cstheme="majorBidi"/>
          <w:sz w:val="24"/>
          <w:szCs w:val="24"/>
          <w:lang w:val="en-US"/>
        </w:rPr>
        <w:t>z</w:t>
      </w:r>
      <w:r w:rsidR="00D62F1E" w:rsidRPr="00795222">
        <w:rPr>
          <w:rFonts w:asciiTheme="majorBidi" w:hAnsiTheme="majorBidi" w:cstheme="majorBidi"/>
          <w:sz w:val="24"/>
          <w:szCs w:val="24"/>
          <w:lang w:val="en-US"/>
        </w:rPr>
        <w:t xml:space="preserve">er </w:t>
      </w:r>
      <w:r w:rsidR="00743BEB" w:rsidRPr="00795222">
        <w:rPr>
          <w:rFonts w:asciiTheme="majorBidi" w:hAnsiTheme="majorBidi" w:cstheme="majorBidi"/>
          <w:sz w:val="24"/>
          <w:szCs w:val="24"/>
          <w:lang w:val="en-US"/>
        </w:rPr>
        <w:t xml:space="preserve">was </w:t>
      </w:r>
      <w:r w:rsidR="003B278A" w:rsidRPr="00795222">
        <w:rPr>
          <w:rFonts w:asciiTheme="majorBidi" w:hAnsiTheme="majorBidi" w:cstheme="majorBidi"/>
          <w:sz w:val="24"/>
          <w:szCs w:val="24"/>
          <w:lang w:val="en-US"/>
        </w:rPr>
        <w:t xml:space="preserve">not </w:t>
      </w:r>
      <w:r w:rsidR="00D65E8B" w:rsidRPr="00795222">
        <w:rPr>
          <w:rFonts w:asciiTheme="majorBidi" w:hAnsiTheme="majorBidi" w:cstheme="majorBidi"/>
          <w:sz w:val="24"/>
          <w:szCs w:val="24"/>
          <w:lang w:val="en-US"/>
        </w:rPr>
        <w:t>able t</w:t>
      </w:r>
      <w:r w:rsidR="003B278A" w:rsidRPr="00795222">
        <w:rPr>
          <w:rFonts w:asciiTheme="majorBidi" w:hAnsiTheme="majorBidi" w:cstheme="majorBidi"/>
          <w:sz w:val="24"/>
          <w:szCs w:val="24"/>
          <w:lang w:val="en-US"/>
        </w:rPr>
        <w:t>o provid</w:t>
      </w:r>
      <w:r w:rsidR="00D65E8B" w:rsidRPr="00795222">
        <w:rPr>
          <w:rFonts w:asciiTheme="majorBidi" w:hAnsiTheme="majorBidi" w:cstheme="majorBidi"/>
          <w:sz w:val="24"/>
          <w:szCs w:val="24"/>
          <w:lang w:val="en-US"/>
        </w:rPr>
        <w:t>e</w:t>
      </w:r>
      <w:r w:rsidR="003B278A" w:rsidRPr="00795222">
        <w:rPr>
          <w:rFonts w:asciiTheme="majorBidi" w:hAnsiTheme="majorBidi" w:cstheme="majorBidi"/>
          <w:sz w:val="24"/>
          <w:szCs w:val="24"/>
          <w:lang w:val="en-US"/>
        </w:rPr>
        <w:t xml:space="preserve"> </w:t>
      </w:r>
      <w:r w:rsidR="0026391C" w:rsidRPr="00795222">
        <w:rPr>
          <w:rFonts w:asciiTheme="majorBidi" w:hAnsiTheme="majorBidi" w:cstheme="majorBidi"/>
          <w:sz w:val="24"/>
          <w:szCs w:val="24"/>
          <w:lang w:val="en-US"/>
        </w:rPr>
        <w:t>enough</w:t>
      </w:r>
      <w:r w:rsidR="00D62F1E" w:rsidRPr="00795222">
        <w:rPr>
          <w:rFonts w:asciiTheme="majorBidi" w:hAnsiTheme="majorBidi" w:cstheme="majorBidi"/>
          <w:sz w:val="24"/>
          <w:szCs w:val="24"/>
          <w:lang w:val="en-US"/>
        </w:rPr>
        <w:t xml:space="preserve"> </w:t>
      </w:r>
      <w:r w:rsidR="0051529C" w:rsidRPr="00795222">
        <w:rPr>
          <w:rFonts w:asciiTheme="majorBidi" w:hAnsiTheme="majorBidi" w:cstheme="majorBidi"/>
          <w:sz w:val="24"/>
          <w:szCs w:val="24"/>
          <w:lang w:val="en-US"/>
        </w:rPr>
        <w:t>stabilization</w:t>
      </w:r>
      <w:r w:rsidR="003B278A" w:rsidRPr="00795222">
        <w:rPr>
          <w:rFonts w:asciiTheme="majorBidi" w:hAnsiTheme="majorBidi" w:cstheme="majorBidi"/>
          <w:sz w:val="24"/>
          <w:szCs w:val="24"/>
          <w:lang w:val="en-US"/>
        </w:rPr>
        <w:t xml:space="preserve"> under physiological conditions. </w:t>
      </w:r>
    </w:p>
    <w:p w14:paraId="47991DD4" w14:textId="2048E5DF" w:rsidR="00E62ECF" w:rsidRPr="00795222" w:rsidRDefault="00E62ECF" w:rsidP="00657F6C">
      <w:pPr>
        <w:spacing w:line="360" w:lineRule="auto"/>
        <w:jc w:val="both"/>
        <w:rPr>
          <w:rFonts w:asciiTheme="majorBidi" w:hAnsiTheme="majorBidi" w:cstheme="majorBidi"/>
          <w:sz w:val="24"/>
          <w:szCs w:val="24"/>
          <w:lang w:val="en-US"/>
        </w:rPr>
      </w:pPr>
    </w:p>
    <w:p w14:paraId="4B0443DE" w14:textId="13B725F9" w:rsidR="007B04D3" w:rsidRPr="00795222" w:rsidRDefault="007B04D3" w:rsidP="00657F6C">
      <w:pPr>
        <w:pStyle w:val="Caption"/>
        <w:jc w:val="both"/>
        <w:rPr>
          <w:rFonts w:asciiTheme="majorBidi" w:hAnsiTheme="majorBidi" w:cstheme="majorBidi"/>
          <w:b/>
          <w:sz w:val="24"/>
          <w:szCs w:val="24"/>
          <w:lang w:eastAsia="en-GB"/>
        </w:rPr>
      </w:pPr>
      <w:bookmarkStart w:id="6" w:name="_Ref23703693"/>
      <w:r w:rsidRPr="00795222">
        <w:rPr>
          <w:rFonts w:asciiTheme="majorBidi" w:hAnsiTheme="majorBidi" w:cstheme="majorBidi"/>
          <w:b/>
          <w:sz w:val="24"/>
          <w:szCs w:val="24"/>
          <w:lang w:eastAsia="en-GB"/>
        </w:rPr>
        <w:t>TABLE 1</w:t>
      </w:r>
    </w:p>
    <w:bookmarkEnd w:id="6"/>
    <w:p w14:paraId="063EF797" w14:textId="77777777" w:rsidR="002A7E77" w:rsidRPr="00795222" w:rsidRDefault="002A7E77" w:rsidP="00657F6C">
      <w:pPr>
        <w:spacing w:after="0" w:line="360" w:lineRule="auto"/>
        <w:jc w:val="both"/>
        <w:textAlignment w:val="bottom"/>
        <w:rPr>
          <w:rFonts w:asciiTheme="majorBidi" w:eastAsiaTheme="minorEastAsia" w:hAnsiTheme="majorBidi" w:cstheme="majorBidi"/>
          <w:color w:val="000000"/>
          <w:kern w:val="24"/>
          <w:sz w:val="24"/>
          <w:szCs w:val="24"/>
          <w:lang w:val="en-US" w:eastAsia="en-GB"/>
        </w:rPr>
      </w:pPr>
    </w:p>
    <w:p w14:paraId="6A47C3CA" w14:textId="18D41D9E" w:rsidR="00A7258D" w:rsidRPr="00795222" w:rsidRDefault="00224B86" w:rsidP="00657F6C">
      <w:pPr>
        <w:pStyle w:val="Heading4"/>
        <w:spacing w:after="240"/>
        <w:jc w:val="both"/>
      </w:pPr>
      <w:r w:rsidRPr="00795222">
        <w:t>Brij 78</w:t>
      </w:r>
      <w:r w:rsidR="00785B60" w:rsidRPr="00795222">
        <w:t xml:space="preserve"> as </w:t>
      </w:r>
      <w:r w:rsidR="00D62F1E" w:rsidRPr="00795222">
        <w:t xml:space="preserve">a </w:t>
      </w:r>
      <w:r w:rsidR="0051529C" w:rsidRPr="00795222">
        <w:t>stabilizer</w:t>
      </w:r>
      <w:r w:rsidR="00785B60" w:rsidRPr="00795222">
        <w:t xml:space="preserve"> </w:t>
      </w:r>
      <w:r w:rsidR="00D62F1E" w:rsidRPr="00795222">
        <w:t>for LPHNs</w:t>
      </w:r>
    </w:p>
    <w:p w14:paraId="4C52273D" w14:textId="434C97BB" w:rsidR="00A7258D" w:rsidRPr="00795222" w:rsidRDefault="00224B86" w:rsidP="00657F6C">
      <w:p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lang w:val="en-US"/>
        </w:rPr>
        <w:t>Brij 78</w:t>
      </w:r>
      <w:r w:rsidR="003B278A" w:rsidRPr="00795222">
        <w:rPr>
          <w:rFonts w:asciiTheme="majorBidi" w:hAnsiTheme="majorBidi" w:cstheme="majorBidi"/>
          <w:sz w:val="24"/>
          <w:szCs w:val="24"/>
          <w:lang w:val="en-US"/>
        </w:rPr>
        <w:t xml:space="preserve"> was </w:t>
      </w:r>
      <w:r w:rsidR="00D62F1E" w:rsidRPr="00795222">
        <w:rPr>
          <w:rFonts w:asciiTheme="majorBidi" w:hAnsiTheme="majorBidi" w:cstheme="majorBidi"/>
          <w:sz w:val="24"/>
          <w:szCs w:val="24"/>
          <w:lang w:val="en-US"/>
        </w:rPr>
        <w:t xml:space="preserve">used in a varying ratio to </w:t>
      </w:r>
      <w:r w:rsidR="00743BEB" w:rsidRPr="00795222">
        <w:rPr>
          <w:rFonts w:asciiTheme="majorBidi" w:hAnsiTheme="majorBidi" w:cstheme="majorBidi"/>
          <w:sz w:val="24"/>
          <w:szCs w:val="24"/>
          <w:lang w:val="en-US"/>
        </w:rPr>
        <w:t>PLGA mass percentage</w:t>
      </w:r>
      <w:r w:rsidR="00D62F1E" w:rsidRPr="00795222">
        <w:rPr>
          <w:rFonts w:asciiTheme="majorBidi" w:hAnsiTheme="majorBidi" w:cstheme="majorBidi"/>
          <w:sz w:val="24"/>
          <w:szCs w:val="24"/>
          <w:lang w:val="en-US"/>
        </w:rPr>
        <w:t>, resultant LPHNs</w:t>
      </w:r>
      <w:r w:rsidR="00743BEB" w:rsidRPr="00795222">
        <w:rPr>
          <w:rFonts w:asciiTheme="majorBidi" w:hAnsiTheme="majorBidi" w:cstheme="majorBidi"/>
          <w:sz w:val="24"/>
          <w:szCs w:val="24"/>
          <w:lang w:val="en-US"/>
        </w:rPr>
        <w:t xml:space="preserve"> </w:t>
      </w:r>
      <w:r w:rsidR="00D37881" w:rsidRPr="00795222">
        <w:rPr>
          <w:rFonts w:asciiTheme="majorBidi" w:hAnsiTheme="majorBidi" w:cstheme="majorBidi"/>
          <w:sz w:val="24"/>
          <w:szCs w:val="24"/>
          <w:lang w:val="en-US"/>
        </w:rPr>
        <w:t xml:space="preserve">had a mean </w:t>
      </w:r>
      <w:r w:rsidR="008C5C09" w:rsidRPr="00795222">
        <w:rPr>
          <w:rFonts w:asciiTheme="majorBidi" w:hAnsiTheme="majorBidi" w:cstheme="majorBidi"/>
          <w:sz w:val="24"/>
          <w:szCs w:val="24"/>
          <w:lang w:val="en-US"/>
        </w:rPr>
        <w:t xml:space="preserve">Z-average </w:t>
      </w:r>
      <w:r w:rsidR="00D37881" w:rsidRPr="00795222">
        <w:rPr>
          <w:rFonts w:asciiTheme="majorBidi" w:hAnsiTheme="majorBidi" w:cstheme="majorBidi"/>
          <w:sz w:val="24"/>
          <w:szCs w:val="24"/>
          <w:lang w:val="en-US"/>
        </w:rPr>
        <w:t>diameter of 62-85 nm with low PDIs (0.20-0.35).</w:t>
      </w:r>
      <w:r w:rsidR="003B278A" w:rsidRPr="00795222">
        <w:rPr>
          <w:rFonts w:asciiTheme="majorBidi" w:hAnsiTheme="majorBidi" w:cstheme="majorBidi"/>
          <w:sz w:val="24"/>
          <w:szCs w:val="24"/>
          <w:lang w:val="en-US"/>
        </w:rPr>
        <w:t xml:space="preserve"> </w:t>
      </w:r>
      <w:r w:rsidR="00CC1F53" w:rsidRPr="00795222">
        <w:rPr>
          <w:rFonts w:asciiTheme="majorBidi" w:hAnsiTheme="majorBidi" w:cstheme="majorBidi"/>
          <w:sz w:val="24"/>
          <w:szCs w:val="24"/>
          <w:lang w:val="en-US"/>
        </w:rPr>
        <w:t xml:space="preserve">An increase in the </w:t>
      </w:r>
      <w:r w:rsidR="00D62F1E" w:rsidRPr="00795222">
        <w:rPr>
          <w:rFonts w:asciiTheme="majorBidi" w:hAnsiTheme="majorBidi" w:cstheme="majorBidi"/>
          <w:sz w:val="24"/>
          <w:szCs w:val="24"/>
          <w:lang w:val="en-US"/>
        </w:rPr>
        <w:t>B</w:t>
      </w:r>
      <w:r w:rsidRPr="00795222">
        <w:rPr>
          <w:rFonts w:asciiTheme="majorBidi" w:hAnsiTheme="majorBidi" w:cstheme="majorBidi"/>
          <w:sz w:val="24"/>
          <w:szCs w:val="24"/>
          <w:lang w:val="en-US"/>
        </w:rPr>
        <w:t>rij 78</w:t>
      </w:r>
      <w:r w:rsidR="00CC1F53" w:rsidRPr="00795222">
        <w:rPr>
          <w:rFonts w:asciiTheme="majorBidi" w:hAnsiTheme="majorBidi" w:cstheme="majorBidi"/>
          <w:sz w:val="24"/>
          <w:szCs w:val="24"/>
          <w:lang w:val="en-US"/>
        </w:rPr>
        <w:t xml:space="preserve">/PLGA mass </w:t>
      </w:r>
      <w:r w:rsidR="006167A4" w:rsidRPr="00795222">
        <w:rPr>
          <w:rFonts w:asciiTheme="majorBidi" w:hAnsiTheme="majorBidi" w:cstheme="majorBidi"/>
          <w:sz w:val="24"/>
          <w:szCs w:val="24"/>
          <w:lang w:val="en-US"/>
        </w:rPr>
        <w:t>percent</w:t>
      </w:r>
      <w:r w:rsidR="00CB6042" w:rsidRPr="00795222">
        <w:rPr>
          <w:rFonts w:asciiTheme="majorBidi" w:hAnsiTheme="majorBidi" w:cstheme="majorBidi"/>
          <w:sz w:val="24"/>
          <w:szCs w:val="24"/>
          <w:lang w:val="en-US"/>
        </w:rPr>
        <w:t>age</w:t>
      </w:r>
      <w:r w:rsidR="00D37881" w:rsidRPr="00795222">
        <w:rPr>
          <w:rFonts w:asciiTheme="majorBidi" w:hAnsiTheme="majorBidi" w:cstheme="majorBidi"/>
          <w:sz w:val="24"/>
          <w:szCs w:val="24"/>
          <w:lang w:val="en-US"/>
        </w:rPr>
        <w:t xml:space="preserve"> above 3.5 % resulted in a</w:t>
      </w:r>
      <w:r w:rsidR="00CC1F53" w:rsidRPr="00795222">
        <w:rPr>
          <w:rFonts w:asciiTheme="majorBidi" w:hAnsiTheme="majorBidi" w:cstheme="majorBidi"/>
          <w:sz w:val="24"/>
          <w:szCs w:val="24"/>
          <w:lang w:val="en-US"/>
        </w:rPr>
        <w:t xml:space="preserve"> </w:t>
      </w:r>
      <w:r w:rsidR="00D37881" w:rsidRPr="00795222">
        <w:rPr>
          <w:rFonts w:asciiTheme="majorBidi" w:hAnsiTheme="majorBidi" w:cstheme="majorBidi"/>
          <w:sz w:val="24"/>
          <w:szCs w:val="24"/>
          <w:lang w:val="en-US"/>
        </w:rPr>
        <w:t xml:space="preserve">slight </w:t>
      </w:r>
      <w:r w:rsidR="00CC1F53" w:rsidRPr="00795222">
        <w:rPr>
          <w:rFonts w:asciiTheme="majorBidi" w:hAnsiTheme="majorBidi" w:cstheme="majorBidi"/>
          <w:sz w:val="24"/>
          <w:szCs w:val="24"/>
          <w:lang w:val="en-US"/>
        </w:rPr>
        <w:t xml:space="preserve">decrease in the </w:t>
      </w:r>
      <w:r w:rsidR="00550BAC" w:rsidRPr="00795222">
        <w:rPr>
          <w:rFonts w:asciiTheme="majorBidi" w:hAnsiTheme="majorBidi" w:cstheme="majorBidi"/>
          <w:sz w:val="24"/>
          <w:szCs w:val="24"/>
          <w:lang w:val="en-US"/>
        </w:rPr>
        <w:t>Z</w:t>
      </w:r>
      <w:r w:rsidR="00CC1F53" w:rsidRPr="00795222">
        <w:rPr>
          <w:rFonts w:asciiTheme="majorBidi" w:hAnsiTheme="majorBidi" w:cstheme="majorBidi"/>
          <w:sz w:val="24"/>
          <w:szCs w:val="24"/>
          <w:lang w:val="en-US"/>
        </w:rPr>
        <w:t xml:space="preserve">-average of the particles </w:t>
      </w:r>
      <w:r w:rsidR="003D7A96" w:rsidRPr="00795222">
        <w:rPr>
          <w:rFonts w:asciiTheme="majorBidi" w:hAnsiTheme="majorBidi" w:cstheme="majorBidi"/>
          <w:sz w:val="24"/>
          <w:szCs w:val="24"/>
          <w:lang w:val="en-US"/>
        </w:rPr>
        <w:t>(</w:t>
      </w:r>
      <w:r w:rsidR="00F72CD7" w:rsidRPr="00795222">
        <w:rPr>
          <w:rFonts w:asciiTheme="majorBidi" w:hAnsiTheme="majorBidi" w:cstheme="majorBidi"/>
          <w:sz w:val="24"/>
          <w:szCs w:val="24"/>
          <w:lang w:val="en-US"/>
        </w:rPr>
        <w:t>Figure 2</w:t>
      </w:r>
      <w:r w:rsidR="0048043F" w:rsidRPr="00795222">
        <w:rPr>
          <w:rFonts w:asciiTheme="majorBidi" w:hAnsiTheme="majorBidi" w:cstheme="majorBidi"/>
          <w:sz w:val="24"/>
          <w:szCs w:val="24"/>
          <w:lang w:val="en-US"/>
        </w:rPr>
        <w:t>)</w:t>
      </w:r>
      <w:r w:rsidR="00063E43" w:rsidRPr="00795222">
        <w:rPr>
          <w:rFonts w:asciiTheme="majorBidi" w:hAnsiTheme="majorBidi" w:cstheme="majorBidi"/>
          <w:sz w:val="24"/>
          <w:szCs w:val="24"/>
          <w:lang w:val="en-US"/>
        </w:rPr>
        <w:t>.</w:t>
      </w:r>
      <w:r w:rsidR="006E4C3A" w:rsidRPr="00795222">
        <w:rPr>
          <w:rFonts w:asciiTheme="majorBidi" w:hAnsiTheme="majorBidi" w:cstheme="majorBidi"/>
          <w:sz w:val="24"/>
          <w:szCs w:val="24"/>
          <w:lang w:val="en-US"/>
        </w:rPr>
        <w:t xml:space="preserve"> </w:t>
      </w:r>
      <w:r w:rsidR="00D83819" w:rsidRPr="00795222">
        <w:rPr>
          <w:rFonts w:asciiTheme="majorBidi" w:hAnsiTheme="majorBidi" w:cstheme="majorBidi"/>
          <w:sz w:val="24"/>
          <w:szCs w:val="24"/>
          <w:lang w:val="en-US"/>
        </w:rPr>
        <w:t>The particles had mean Z-average of 48-70 nm and PDI (0.23-0.2</w:t>
      </w:r>
      <w:r w:rsidR="0096331A" w:rsidRPr="00795222">
        <w:rPr>
          <w:rFonts w:asciiTheme="majorBidi" w:hAnsiTheme="majorBidi" w:cstheme="majorBidi"/>
          <w:sz w:val="24"/>
          <w:szCs w:val="24"/>
          <w:lang w:val="en-US"/>
        </w:rPr>
        <w:t>5</w:t>
      </w:r>
      <w:r w:rsidR="00D83819" w:rsidRPr="00795222">
        <w:rPr>
          <w:rFonts w:asciiTheme="majorBidi" w:hAnsiTheme="majorBidi" w:cstheme="majorBidi"/>
          <w:sz w:val="24"/>
          <w:szCs w:val="24"/>
          <w:lang w:val="en-US"/>
        </w:rPr>
        <w:t>) when dispersed in PBS</w:t>
      </w:r>
      <w:r w:rsidR="00A21F3C" w:rsidRPr="00795222">
        <w:rPr>
          <w:rFonts w:asciiTheme="majorBidi" w:hAnsiTheme="majorBidi" w:cstheme="majorBidi"/>
          <w:sz w:val="24"/>
          <w:szCs w:val="24"/>
          <w:lang w:val="en-US"/>
        </w:rPr>
        <w:t xml:space="preserve">. </w:t>
      </w:r>
      <w:r w:rsidR="006E4C3A" w:rsidRPr="00795222">
        <w:rPr>
          <w:rFonts w:asciiTheme="majorBidi" w:hAnsiTheme="majorBidi" w:cstheme="majorBidi"/>
          <w:sz w:val="24"/>
          <w:szCs w:val="24"/>
          <w:lang w:val="en-US"/>
        </w:rPr>
        <w:t>Unlike SBL, t</w:t>
      </w:r>
      <w:r w:rsidR="00D37881" w:rsidRPr="00795222">
        <w:rPr>
          <w:rFonts w:asciiTheme="majorBidi" w:hAnsiTheme="majorBidi" w:cstheme="majorBidi"/>
          <w:sz w:val="24"/>
          <w:szCs w:val="24"/>
          <w:lang w:val="en-US"/>
        </w:rPr>
        <w:t xml:space="preserve">he steric </w:t>
      </w:r>
      <w:r w:rsidR="0051529C" w:rsidRPr="00795222">
        <w:rPr>
          <w:rFonts w:asciiTheme="majorBidi" w:hAnsiTheme="majorBidi" w:cstheme="majorBidi"/>
          <w:sz w:val="24"/>
          <w:szCs w:val="24"/>
          <w:lang w:val="en-US"/>
        </w:rPr>
        <w:t>stabilization</w:t>
      </w:r>
      <w:r w:rsidR="00D37881" w:rsidRPr="00795222">
        <w:rPr>
          <w:rFonts w:asciiTheme="majorBidi" w:hAnsiTheme="majorBidi" w:cstheme="majorBidi"/>
          <w:sz w:val="24"/>
          <w:szCs w:val="24"/>
          <w:lang w:val="en-US"/>
        </w:rPr>
        <w:t xml:space="preserve"> provided by </w:t>
      </w:r>
      <w:r w:rsidR="00D62F1E" w:rsidRPr="00795222">
        <w:rPr>
          <w:rFonts w:asciiTheme="majorBidi" w:hAnsiTheme="majorBidi" w:cstheme="majorBidi"/>
          <w:sz w:val="24"/>
          <w:szCs w:val="24"/>
          <w:lang w:val="en-US"/>
        </w:rPr>
        <w:t>B</w:t>
      </w:r>
      <w:r w:rsidRPr="00795222">
        <w:rPr>
          <w:rFonts w:asciiTheme="majorBidi" w:hAnsiTheme="majorBidi" w:cstheme="majorBidi"/>
          <w:sz w:val="24"/>
          <w:szCs w:val="24"/>
          <w:lang w:val="en-US"/>
        </w:rPr>
        <w:t>rij 78</w:t>
      </w:r>
      <w:r w:rsidR="00D37881" w:rsidRPr="00795222">
        <w:rPr>
          <w:rFonts w:asciiTheme="majorBidi" w:hAnsiTheme="majorBidi" w:cstheme="majorBidi"/>
          <w:sz w:val="24"/>
          <w:szCs w:val="24"/>
          <w:lang w:val="en-US"/>
        </w:rPr>
        <w:t xml:space="preserve"> </w:t>
      </w:r>
      <w:r w:rsidR="00D62F1E" w:rsidRPr="00795222">
        <w:rPr>
          <w:rFonts w:asciiTheme="majorBidi" w:hAnsiTheme="majorBidi" w:cstheme="majorBidi"/>
          <w:sz w:val="24"/>
          <w:szCs w:val="24"/>
          <w:lang w:val="en-US"/>
        </w:rPr>
        <w:t>allowed</w:t>
      </w:r>
      <w:r w:rsidR="00D37881" w:rsidRPr="00795222">
        <w:rPr>
          <w:rFonts w:asciiTheme="majorBidi" w:hAnsiTheme="majorBidi" w:cstheme="majorBidi"/>
          <w:sz w:val="24"/>
          <w:szCs w:val="24"/>
          <w:lang w:val="en-US"/>
        </w:rPr>
        <w:t xml:space="preserve"> colloidal stab</w:t>
      </w:r>
      <w:r w:rsidR="00D62F1E" w:rsidRPr="00795222">
        <w:rPr>
          <w:rFonts w:asciiTheme="majorBidi" w:hAnsiTheme="majorBidi" w:cstheme="majorBidi"/>
          <w:sz w:val="24"/>
          <w:szCs w:val="24"/>
          <w:lang w:val="en-US"/>
        </w:rPr>
        <w:t>i</w:t>
      </w:r>
      <w:r w:rsidR="00D37881" w:rsidRPr="00795222">
        <w:rPr>
          <w:rFonts w:asciiTheme="majorBidi" w:hAnsiTheme="majorBidi" w:cstheme="majorBidi"/>
          <w:sz w:val="24"/>
          <w:szCs w:val="24"/>
          <w:lang w:val="en-US"/>
        </w:rPr>
        <w:t>l</w:t>
      </w:r>
      <w:r w:rsidR="00D62F1E" w:rsidRPr="00795222">
        <w:rPr>
          <w:rFonts w:asciiTheme="majorBidi" w:hAnsiTheme="majorBidi" w:cstheme="majorBidi"/>
          <w:sz w:val="24"/>
          <w:szCs w:val="24"/>
          <w:lang w:val="en-US"/>
        </w:rPr>
        <w:t>ity</w:t>
      </w:r>
      <w:r w:rsidR="00D37881" w:rsidRPr="00795222">
        <w:rPr>
          <w:rFonts w:asciiTheme="majorBidi" w:hAnsiTheme="majorBidi" w:cstheme="majorBidi"/>
          <w:sz w:val="24"/>
          <w:szCs w:val="24"/>
          <w:lang w:val="en-US"/>
        </w:rPr>
        <w:t xml:space="preserve"> in PBS </w:t>
      </w:r>
      <w:r w:rsidR="00D62F1E" w:rsidRPr="00795222">
        <w:rPr>
          <w:rFonts w:asciiTheme="majorBidi" w:hAnsiTheme="majorBidi" w:cstheme="majorBidi"/>
          <w:sz w:val="24"/>
          <w:szCs w:val="24"/>
          <w:lang w:val="en-US"/>
        </w:rPr>
        <w:t>when &gt;</w:t>
      </w:r>
      <w:r w:rsidR="00D37881" w:rsidRPr="00795222">
        <w:rPr>
          <w:rFonts w:asciiTheme="majorBidi" w:hAnsiTheme="majorBidi" w:cstheme="majorBidi"/>
          <w:sz w:val="24"/>
          <w:szCs w:val="24"/>
          <w:lang w:val="en-US"/>
        </w:rPr>
        <w:t xml:space="preserve"> 7.5 % of the mass</w:t>
      </w:r>
      <w:r w:rsidR="00A1650A" w:rsidRPr="00795222">
        <w:rPr>
          <w:rFonts w:asciiTheme="majorBidi" w:hAnsiTheme="majorBidi" w:cstheme="majorBidi"/>
          <w:sz w:val="24"/>
          <w:szCs w:val="24"/>
          <w:lang w:val="en-US"/>
        </w:rPr>
        <w:t xml:space="preserve"> percentage of</w:t>
      </w:r>
      <w:r w:rsidR="00D37881" w:rsidRPr="00795222">
        <w:rPr>
          <w:rFonts w:asciiTheme="majorBidi" w:hAnsiTheme="majorBidi" w:cstheme="majorBidi"/>
          <w:sz w:val="24"/>
          <w:szCs w:val="24"/>
          <w:lang w:val="en-US"/>
        </w:rPr>
        <w:t xml:space="preserve"> </w:t>
      </w:r>
      <w:r w:rsidR="00401CA3" w:rsidRPr="00795222">
        <w:rPr>
          <w:rFonts w:asciiTheme="majorBidi" w:hAnsiTheme="majorBidi" w:cstheme="majorBidi"/>
          <w:sz w:val="24"/>
          <w:szCs w:val="24"/>
          <w:lang w:val="en-US"/>
        </w:rPr>
        <w:t>Brij 78/PLGA was used.</w:t>
      </w:r>
      <w:r w:rsidR="00D37881" w:rsidRPr="00795222">
        <w:rPr>
          <w:rFonts w:asciiTheme="majorBidi" w:hAnsiTheme="majorBidi" w:cstheme="majorBidi"/>
          <w:sz w:val="24"/>
          <w:szCs w:val="24"/>
          <w:lang w:val="en-US"/>
        </w:rPr>
        <w:t xml:space="preserve"> </w:t>
      </w:r>
      <w:r w:rsidR="00D62F1E" w:rsidRPr="00795222">
        <w:rPr>
          <w:rFonts w:asciiTheme="majorBidi" w:hAnsiTheme="majorBidi" w:cstheme="majorBidi"/>
          <w:sz w:val="24"/>
          <w:szCs w:val="24"/>
          <w:lang w:val="en-US"/>
        </w:rPr>
        <w:t>Below this a</w:t>
      </w:r>
      <w:r w:rsidR="003B278A" w:rsidRPr="00795222">
        <w:rPr>
          <w:rFonts w:asciiTheme="majorBidi" w:hAnsiTheme="majorBidi" w:cstheme="majorBidi"/>
          <w:sz w:val="24"/>
          <w:szCs w:val="24"/>
          <w:lang w:val="en-US"/>
        </w:rPr>
        <w:t>t</w:t>
      </w:r>
      <w:r w:rsidR="00D62F1E" w:rsidRPr="00795222">
        <w:rPr>
          <w:rFonts w:asciiTheme="majorBidi" w:hAnsiTheme="majorBidi" w:cstheme="majorBidi"/>
          <w:sz w:val="24"/>
          <w:szCs w:val="24"/>
          <w:lang w:val="en-US"/>
        </w:rPr>
        <w:t xml:space="preserve"> a</w:t>
      </w:r>
      <w:r w:rsidR="003B278A" w:rsidRPr="00795222">
        <w:rPr>
          <w:rFonts w:asciiTheme="majorBidi" w:hAnsiTheme="majorBidi" w:cstheme="majorBidi"/>
          <w:sz w:val="24"/>
          <w:szCs w:val="24"/>
          <w:lang w:val="en-US"/>
        </w:rPr>
        <w:t xml:space="preserve"> </w:t>
      </w:r>
      <w:r w:rsidR="00D62F1E" w:rsidRPr="00795222">
        <w:rPr>
          <w:rFonts w:asciiTheme="majorBidi" w:hAnsiTheme="majorBidi" w:cstheme="majorBidi"/>
          <w:sz w:val="24"/>
          <w:szCs w:val="24"/>
          <w:lang w:val="en-US"/>
        </w:rPr>
        <w:t>B</w:t>
      </w:r>
      <w:r w:rsidRPr="00795222">
        <w:rPr>
          <w:rFonts w:asciiTheme="majorBidi" w:hAnsiTheme="majorBidi" w:cstheme="majorBidi"/>
          <w:sz w:val="24"/>
          <w:szCs w:val="24"/>
          <w:lang w:val="en-US"/>
        </w:rPr>
        <w:t>rij 78</w:t>
      </w:r>
      <w:r w:rsidR="003B278A" w:rsidRPr="00795222">
        <w:rPr>
          <w:rFonts w:asciiTheme="majorBidi" w:hAnsiTheme="majorBidi" w:cstheme="majorBidi"/>
          <w:sz w:val="24"/>
          <w:szCs w:val="24"/>
          <w:lang w:val="en-US"/>
        </w:rPr>
        <w:t xml:space="preserve">/PLGA mass </w:t>
      </w:r>
      <w:r w:rsidR="00191956" w:rsidRPr="00795222">
        <w:rPr>
          <w:rFonts w:asciiTheme="majorBidi" w:hAnsiTheme="majorBidi" w:cstheme="majorBidi"/>
          <w:sz w:val="24"/>
          <w:szCs w:val="24"/>
          <w:lang w:val="en-US"/>
        </w:rPr>
        <w:t>percent</w:t>
      </w:r>
      <w:r w:rsidR="00743BEB" w:rsidRPr="00795222">
        <w:rPr>
          <w:rFonts w:asciiTheme="majorBidi" w:hAnsiTheme="majorBidi" w:cstheme="majorBidi"/>
          <w:sz w:val="24"/>
          <w:szCs w:val="24"/>
          <w:lang w:val="en-US"/>
        </w:rPr>
        <w:t>age</w:t>
      </w:r>
      <w:r w:rsidR="003B278A" w:rsidRPr="00795222">
        <w:rPr>
          <w:rFonts w:asciiTheme="majorBidi" w:hAnsiTheme="majorBidi" w:cstheme="majorBidi"/>
          <w:sz w:val="24"/>
          <w:szCs w:val="24"/>
          <w:lang w:val="en-US"/>
        </w:rPr>
        <w:t xml:space="preserve"> of 3.75 %, aggregation of the particles</w:t>
      </w:r>
      <w:r w:rsidR="006E4C3A" w:rsidRPr="00795222">
        <w:rPr>
          <w:rFonts w:asciiTheme="majorBidi" w:hAnsiTheme="majorBidi" w:cstheme="majorBidi"/>
          <w:sz w:val="24"/>
          <w:szCs w:val="24"/>
          <w:lang w:val="en-US"/>
        </w:rPr>
        <w:t xml:space="preserve"> occurred in PBS as </w:t>
      </w:r>
      <w:r w:rsidR="0085254E" w:rsidRPr="00795222">
        <w:rPr>
          <w:rFonts w:asciiTheme="majorBidi" w:hAnsiTheme="majorBidi" w:cstheme="majorBidi"/>
          <w:sz w:val="24"/>
          <w:szCs w:val="24"/>
          <w:lang w:val="en-US"/>
        </w:rPr>
        <w:t xml:space="preserve">the amount of </w:t>
      </w:r>
      <w:r w:rsidR="00D62F1E" w:rsidRPr="00795222">
        <w:rPr>
          <w:rFonts w:asciiTheme="majorBidi" w:hAnsiTheme="majorBidi" w:cstheme="majorBidi"/>
          <w:sz w:val="24"/>
          <w:szCs w:val="24"/>
          <w:lang w:val="en-US"/>
        </w:rPr>
        <w:t>surfactant</w:t>
      </w:r>
      <w:r w:rsidR="0085254E" w:rsidRPr="00795222">
        <w:rPr>
          <w:rFonts w:asciiTheme="majorBidi" w:hAnsiTheme="majorBidi" w:cstheme="majorBidi"/>
          <w:sz w:val="24"/>
          <w:szCs w:val="24"/>
          <w:lang w:val="en-US"/>
        </w:rPr>
        <w:t xml:space="preserve"> was</w:t>
      </w:r>
      <w:r w:rsidR="00290913" w:rsidRPr="00795222">
        <w:rPr>
          <w:rFonts w:asciiTheme="majorBidi" w:hAnsiTheme="majorBidi" w:cstheme="majorBidi"/>
          <w:sz w:val="24"/>
          <w:szCs w:val="24"/>
          <w:lang w:val="en-US"/>
        </w:rPr>
        <w:t xml:space="preserve"> </w:t>
      </w:r>
      <w:r w:rsidR="003B278A" w:rsidRPr="00795222">
        <w:rPr>
          <w:rFonts w:asciiTheme="majorBidi" w:hAnsiTheme="majorBidi" w:cstheme="majorBidi"/>
          <w:sz w:val="24"/>
          <w:szCs w:val="24"/>
          <w:lang w:val="en-US"/>
        </w:rPr>
        <w:t>insufficien</w:t>
      </w:r>
      <w:r w:rsidR="0085254E" w:rsidRPr="00795222">
        <w:rPr>
          <w:rFonts w:asciiTheme="majorBidi" w:hAnsiTheme="majorBidi" w:cstheme="majorBidi"/>
          <w:sz w:val="24"/>
          <w:szCs w:val="24"/>
          <w:lang w:val="en-US"/>
        </w:rPr>
        <w:t xml:space="preserve">t </w:t>
      </w:r>
      <w:r w:rsidR="003B278A" w:rsidRPr="00795222">
        <w:rPr>
          <w:rFonts w:asciiTheme="majorBidi" w:hAnsiTheme="majorBidi" w:cstheme="majorBidi"/>
          <w:sz w:val="24"/>
          <w:szCs w:val="24"/>
          <w:lang w:val="en-US"/>
        </w:rPr>
        <w:t>to give full</w:t>
      </w:r>
      <w:r w:rsidR="00D37881" w:rsidRPr="00795222">
        <w:rPr>
          <w:rFonts w:asciiTheme="majorBidi" w:hAnsiTheme="majorBidi" w:cstheme="majorBidi"/>
          <w:sz w:val="24"/>
          <w:szCs w:val="24"/>
          <w:lang w:val="en-US"/>
        </w:rPr>
        <w:t xml:space="preserve"> steric</w:t>
      </w:r>
      <w:r w:rsidR="003B278A" w:rsidRPr="00795222">
        <w:rPr>
          <w:rFonts w:asciiTheme="majorBidi" w:hAnsiTheme="majorBidi" w:cstheme="majorBidi"/>
          <w:sz w:val="24"/>
          <w:szCs w:val="24"/>
          <w:lang w:val="en-US"/>
        </w:rPr>
        <w:t xml:space="preserve"> coverage of the PLGA cores</w:t>
      </w:r>
      <w:r w:rsidR="006E4C3A" w:rsidRPr="00795222">
        <w:rPr>
          <w:rFonts w:asciiTheme="majorBidi" w:hAnsiTheme="majorBidi" w:cstheme="majorBidi"/>
          <w:sz w:val="24"/>
          <w:szCs w:val="24"/>
          <w:lang w:val="en-US"/>
        </w:rPr>
        <w:t>.</w:t>
      </w:r>
      <w:r w:rsidR="003B278A" w:rsidRPr="00795222">
        <w:rPr>
          <w:rFonts w:asciiTheme="majorBidi" w:hAnsiTheme="majorBidi" w:cstheme="majorBidi"/>
          <w:sz w:val="24"/>
          <w:szCs w:val="24"/>
          <w:lang w:val="en-US"/>
        </w:rPr>
        <w:t xml:space="preserve"> </w:t>
      </w:r>
      <w:r w:rsidR="00BF4D9A" w:rsidRPr="00795222">
        <w:rPr>
          <w:rFonts w:asciiTheme="majorBidi" w:hAnsiTheme="majorBidi" w:cstheme="majorBidi"/>
          <w:sz w:val="24"/>
          <w:szCs w:val="24"/>
          <w:lang w:val="en-US"/>
        </w:rPr>
        <w:t>B</w:t>
      </w:r>
      <w:r w:rsidRPr="00795222">
        <w:rPr>
          <w:rFonts w:asciiTheme="majorBidi" w:hAnsiTheme="majorBidi" w:cstheme="majorBidi"/>
          <w:sz w:val="24"/>
          <w:szCs w:val="24"/>
          <w:lang w:val="en-US"/>
        </w:rPr>
        <w:t>rij 78</w:t>
      </w:r>
      <w:r w:rsidR="00D404B3" w:rsidRPr="00795222">
        <w:rPr>
          <w:rFonts w:asciiTheme="majorBidi" w:hAnsiTheme="majorBidi" w:cstheme="majorBidi"/>
          <w:sz w:val="24"/>
          <w:szCs w:val="24"/>
          <w:lang w:val="en-US"/>
        </w:rPr>
        <w:t xml:space="preserve"> </w:t>
      </w:r>
      <w:r w:rsidR="00D62F1E" w:rsidRPr="00795222">
        <w:rPr>
          <w:rFonts w:asciiTheme="majorBidi" w:hAnsiTheme="majorBidi" w:cstheme="majorBidi"/>
          <w:sz w:val="24"/>
          <w:szCs w:val="24"/>
          <w:lang w:val="en-US"/>
        </w:rPr>
        <w:lastRenderedPageBreak/>
        <w:t>s</w:t>
      </w:r>
      <w:r w:rsidR="003B278A" w:rsidRPr="00795222">
        <w:rPr>
          <w:rFonts w:asciiTheme="majorBidi" w:hAnsiTheme="majorBidi" w:cstheme="majorBidi"/>
          <w:sz w:val="24"/>
          <w:szCs w:val="24"/>
          <w:lang w:val="en-US"/>
        </w:rPr>
        <w:t xml:space="preserve">urfactant/PLGA ratio of 20 % w/w was chosen for further studies, as it provided the particles with the smallest Z-average </w:t>
      </w:r>
      <w:r w:rsidR="00743BEB" w:rsidRPr="00795222">
        <w:rPr>
          <w:rFonts w:asciiTheme="majorBidi" w:hAnsiTheme="majorBidi" w:cstheme="majorBidi"/>
          <w:sz w:val="24"/>
          <w:szCs w:val="24"/>
          <w:lang w:val="en-US"/>
        </w:rPr>
        <w:t>diameter</w:t>
      </w:r>
      <w:r w:rsidR="003B278A" w:rsidRPr="00795222">
        <w:rPr>
          <w:rFonts w:asciiTheme="majorBidi" w:hAnsiTheme="majorBidi" w:cstheme="majorBidi"/>
          <w:sz w:val="24"/>
          <w:szCs w:val="24"/>
          <w:lang w:val="en-US"/>
        </w:rPr>
        <w:t xml:space="preserve"> </w:t>
      </w:r>
      <w:r w:rsidR="00F560D0" w:rsidRPr="00795222">
        <w:rPr>
          <w:rFonts w:asciiTheme="majorBidi" w:hAnsiTheme="majorBidi" w:cstheme="majorBidi"/>
          <w:sz w:val="24"/>
          <w:szCs w:val="24"/>
          <w:lang w:val="en-US"/>
        </w:rPr>
        <w:t xml:space="preserve">following </w:t>
      </w:r>
      <w:r w:rsidR="003B278A" w:rsidRPr="00795222">
        <w:rPr>
          <w:rFonts w:asciiTheme="majorBidi" w:hAnsiTheme="majorBidi" w:cstheme="majorBidi"/>
          <w:sz w:val="24"/>
          <w:szCs w:val="24"/>
          <w:lang w:val="en-US"/>
        </w:rPr>
        <w:t>dispersion in PBS.</w:t>
      </w:r>
      <w:r w:rsidR="006E4C3A" w:rsidRPr="00795222">
        <w:rPr>
          <w:rFonts w:asciiTheme="majorBidi" w:hAnsiTheme="majorBidi" w:cstheme="majorBidi"/>
          <w:sz w:val="24"/>
          <w:szCs w:val="24"/>
          <w:lang w:val="en-US"/>
        </w:rPr>
        <w:t xml:space="preserve"> </w:t>
      </w:r>
    </w:p>
    <w:p w14:paraId="6F327CBF" w14:textId="77777777" w:rsidR="007B04D3" w:rsidRPr="00795222" w:rsidRDefault="007B04D3" w:rsidP="00657F6C">
      <w:pPr>
        <w:pStyle w:val="Caption"/>
        <w:jc w:val="both"/>
        <w:rPr>
          <w:rFonts w:asciiTheme="majorBidi" w:hAnsiTheme="majorBidi" w:cstheme="majorBidi"/>
          <w:sz w:val="24"/>
          <w:szCs w:val="24"/>
        </w:rPr>
      </w:pPr>
    </w:p>
    <w:p w14:paraId="6E826530" w14:textId="08C1003B" w:rsidR="000D650E" w:rsidRPr="00795222" w:rsidRDefault="007B04D3" w:rsidP="00657F6C">
      <w:pPr>
        <w:pStyle w:val="Caption"/>
        <w:jc w:val="both"/>
        <w:rPr>
          <w:rFonts w:asciiTheme="majorBidi" w:hAnsiTheme="majorBidi" w:cstheme="majorBidi"/>
          <w:b/>
          <w:sz w:val="24"/>
          <w:szCs w:val="24"/>
        </w:rPr>
      </w:pPr>
      <w:r w:rsidRPr="00795222">
        <w:rPr>
          <w:rFonts w:asciiTheme="majorBidi" w:hAnsiTheme="majorBidi" w:cstheme="majorBidi"/>
          <w:b/>
          <w:sz w:val="24"/>
          <w:szCs w:val="24"/>
        </w:rPr>
        <w:t>FIGURE 2</w:t>
      </w:r>
    </w:p>
    <w:p w14:paraId="5B73E910" w14:textId="77777777" w:rsidR="007B04D3" w:rsidRPr="00795222" w:rsidRDefault="007B04D3" w:rsidP="00657F6C">
      <w:pPr>
        <w:jc w:val="both"/>
        <w:rPr>
          <w:lang w:val="en-US"/>
        </w:rPr>
      </w:pPr>
    </w:p>
    <w:p w14:paraId="67D53B52" w14:textId="2D1B2DBE" w:rsidR="00C123A7" w:rsidRPr="00795222" w:rsidRDefault="003E45FE" w:rsidP="00657F6C">
      <w:pPr>
        <w:pStyle w:val="Heading4"/>
        <w:spacing w:after="240"/>
        <w:jc w:val="both"/>
      </w:pPr>
      <w:r w:rsidRPr="00795222">
        <w:t xml:space="preserve">Using a </w:t>
      </w:r>
      <w:r w:rsidR="008468D2" w:rsidRPr="00795222">
        <w:t xml:space="preserve">combination </w:t>
      </w:r>
      <w:r w:rsidRPr="00795222">
        <w:t xml:space="preserve">of </w:t>
      </w:r>
      <w:r w:rsidR="00D62F1E" w:rsidRPr="00795222">
        <w:t>B</w:t>
      </w:r>
      <w:r w:rsidR="00224B86" w:rsidRPr="00795222">
        <w:t>rij 78</w:t>
      </w:r>
      <w:r w:rsidRPr="00795222">
        <w:t xml:space="preserve"> and soybean </w:t>
      </w:r>
      <w:r w:rsidR="000B0665" w:rsidRPr="00795222">
        <w:t>l</w:t>
      </w:r>
      <w:r w:rsidR="00BB5EB3" w:rsidRPr="00795222">
        <w:t>ecithin</w:t>
      </w:r>
      <w:r w:rsidRPr="00795222">
        <w:t xml:space="preserve"> as </w:t>
      </w:r>
      <w:r w:rsidR="0051529C" w:rsidRPr="00795222">
        <w:t>stabilizers</w:t>
      </w:r>
      <w:r w:rsidRPr="00795222">
        <w:t xml:space="preserve"> </w:t>
      </w:r>
      <w:r w:rsidR="008468D2" w:rsidRPr="00795222">
        <w:t xml:space="preserve">for </w:t>
      </w:r>
      <w:r w:rsidRPr="00795222">
        <w:t>LPHNs</w:t>
      </w:r>
    </w:p>
    <w:p w14:paraId="4B7E4BD3" w14:textId="2FF069A6" w:rsidR="0093342E" w:rsidRPr="00795222" w:rsidRDefault="00C6267E" w:rsidP="00657F6C">
      <w:pPr>
        <w:pStyle w:val="Caption"/>
        <w:jc w:val="both"/>
        <w:rPr>
          <w:rFonts w:asciiTheme="majorBidi" w:hAnsiTheme="majorBidi" w:cstheme="majorBidi"/>
          <w:sz w:val="24"/>
          <w:szCs w:val="24"/>
        </w:rPr>
      </w:pPr>
      <w:r w:rsidRPr="00795222">
        <w:rPr>
          <w:rFonts w:asciiTheme="majorBidi" w:hAnsiTheme="majorBidi" w:cstheme="majorBidi"/>
          <w:sz w:val="24"/>
          <w:szCs w:val="24"/>
        </w:rPr>
        <w:t xml:space="preserve">In order to </w:t>
      </w:r>
      <w:r w:rsidR="0093342E" w:rsidRPr="00795222">
        <w:rPr>
          <w:rFonts w:asciiTheme="majorBidi" w:hAnsiTheme="majorBidi" w:cstheme="majorBidi"/>
          <w:sz w:val="24"/>
          <w:szCs w:val="24"/>
        </w:rPr>
        <w:t>obtain LPHNs that offer</w:t>
      </w:r>
      <w:r w:rsidR="001D050B" w:rsidRPr="00795222">
        <w:rPr>
          <w:rFonts w:asciiTheme="majorBidi" w:hAnsiTheme="majorBidi" w:cstheme="majorBidi"/>
          <w:sz w:val="24"/>
          <w:szCs w:val="24"/>
        </w:rPr>
        <w:t xml:space="preserve"> the combination of</w:t>
      </w:r>
      <w:r w:rsidR="0093342E" w:rsidRPr="00795222">
        <w:rPr>
          <w:rFonts w:asciiTheme="majorBidi" w:hAnsiTheme="majorBidi" w:cstheme="majorBidi"/>
          <w:sz w:val="24"/>
          <w:szCs w:val="24"/>
        </w:rPr>
        <w:t xml:space="preserve"> enhance</w:t>
      </w:r>
      <w:r w:rsidR="00F566C8" w:rsidRPr="00795222">
        <w:rPr>
          <w:rFonts w:asciiTheme="majorBidi" w:hAnsiTheme="majorBidi" w:cstheme="majorBidi"/>
          <w:sz w:val="24"/>
          <w:szCs w:val="24"/>
        </w:rPr>
        <w:t>d</w:t>
      </w:r>
      <w:r w:rsidR="0093342E" w:rsidRPr="00795222">
        <w:rPr>
          <w:rFonts w:asciiTheme="majorBidi" w:hAnsiTheme="majorBidi" w:cstheme="majorBidi"/>
          <w:sz w:val="24"/>
          <w:szCs w:val="24"/>
        </w:rPr>
        <w:t xml:space="preserve"> pharmacokinetic </w:t>
      </w:r>
      <w:r w:rsidR="0051529C" w:rsidRPr="00795222">
        <w:rPr>
          <w:rFonts w:asciiTheme="majorBidi" w:hAnsiTheme="majorBidi" w:cstheme="majorBidi"/>
          <w:sz w:val="24"/>
          <w:szCs w:val="24"/>
        </w:rPr>
        <w:t>behavior</w:t>
      </w:r>
      <w:r w:rsidR="0093342E" w:rsidRPr="00795222">
        <w:rPr>
          <w:rFonts w:asciiTheme="majorBidi" w:hAnsiTheme="majorBidi" w:cstheme="majorBidi"/>
          <w:sz w:val="24"/>
          <w:szCs w:val="24"/>
        </w:rPr>
        <w:t xml:space="preserve"> from a lipid shell with the colloidal stability under physiological ionic strength, the effect of varying the </w:t>
      </w:r>
      <w:r w:rsidR="008468D2" w:rsidRPr="00795222">
        <w:rPr>
          <w:rFonts w:asciiTheme="majorBidi" w:hAnsiTheme="majorBidi" w:cstheme="majorBidi"/>
          <w:sz w:val="24"/>
          <w:szCs w:val="24"/>
        </w:rPr>
        <w:t>B</w:t>
      </w:r>
      <w:r w:rsidR="00224B86" w:rsidRPr="00795222">
        <w:rPr>
          <w:rFonts w:asciiTheme="majorBidi" w:hAnsiTheme="majorBidi" w:cstheme="majorBidi"/>
          <w:sz w:val="24"/>
          <w:szCs w:val="24"/>
        </w:rPr>
        <w:t>rij 78</w:t>
      </w:r>
      <w:r w:rsidR="0093342E" w:rsidRPr="00795222">
        <w:rPr>
          <w:rFonts w:asciiTheme="majorBidi" w:hAnsiTheme="majorBidi" w:cstheme="majorBidi"/>
          <w:sz w:val="24"/>
          <w:szCs w:val="24"/>
        </w:rPr>
        <w:t xml:space="preserve"> and SBL </w:t>
      </w:r>
      <w:r w:rsidR="0059027F" w:rsidRPr="00795222">
        <w:rPr>
          <w:rFonts w:asciiTheme="majorBidi" w:hAnsiTheme="majorBidi" w:cstheme="majorBidi"/>
          <w:sz w:val="24"/>
          <w:szCs w:val="24"/>
        </w:rPr>
        <w:t>mass percentage</w:t>
      </w:r>
      <w:r w:rsidR="00196224" w:rsidRPr="00795222">
        <w:rPr>
          <w:rFonts w:asciiTheme="majorBidi" w:hAnsiTheme="majorBidi" w:cstheme="majorBidi"/>
          <w:sz w:val="24"/>
          <w:szCs w:val="24"/>
        </w:rPr>
        <w:t>s</w:t>
      </w:r>
      <w:r w:rsidR="0059027F" w:rsidRPr="00795222">
        <w:rPr>
          <w:rFonts w:asciiTheme="majorBidi" w:hAnsiTheme="majorBidi" w:cstheme="majorBidi"/>
          <w:sz w:val="24"/>
          <w:szCs w:val="24"/>
        </w:rPr>
        <w:t xml:space="preserve"> </w:t>
      </w:r>
      <w:r w:rsidR="008468D2" w:rsidRPr="00795222">
        <w:rPr>
          <w:rFonts w:asciiTheme="majorBidi" w:hAnsiTheme="majorBidi" w:cstheme="majorBidi"/>
          <w:sz w:val="24"/>
          <w:szCs w:val="24"/>
        </w:rPr>
        <w:t xml:space="preserve">were </w:t>
      </w:r>
      <w:r w:rsidR="0093342E" w:rsidRPr="00795222">
        <w:rPr>
          <w:rFonts w:asciiTheme="majorBidi" w:hAnsiTheme="majorBidi" w:cstheme="majorBidi"/>
          <w:sz w:val="24"/>
          <w:szCs w:val="24"/>
        </w:rPr>
        <w:t xml:space="preserve">investigated. The mass </w:t>
      </w:r>
      <w:r w:rsidR="006D4600" w:rsidRPr="00795222">
        <w:rPr>
          <w:rFonts w:asciiTheme="majorBidi" w:hAnsiTheme="majorBidi" w:cstheme="majorBidi"/>
          <w:sz w:val="24"/>
          <w:szCs w:val="24"/>
        </w:rPr>
        <w:t xml:space="preserve">percentage </w:t>
      </w:r>
      <w:r w:rsidR="0093342E" w:rsidRPr="00795222">
        <w:rPr>
          <w:rFonts w:asciiTheme="majorBidi" w:hAnsiTheme="majorBidi" w:cstheme="majorBidi"/>
          <w:sz w:val="24"/>
          <w:szCs w:val="24"/>
        </w:rPr>
        <w:t xml:space="preserve">of the surfactant relative to the </w:t>
      </w:r>
      <w:r w:rsidR="001D050B" w:rsidRPr="00795222">
        <w:rPr>
          <w:rFonts w:asciiTheme="majorBidi" w:hAnsiTheme="majorBidi" w:cstheme="majorBidi"/>
          <w:sz w:val="24"/>
          <w:szCs w:val="24"/>
        </w:rPr>
        <w:t xml:space="preserve">PLGA </w:t>
      </w:r>
      <w:r w:rsidR="004514B2" w:rsidRPr="00795222">
        <w:rPr>
          <w:rFonts w:asciiTheme="majorBidi" w:hAnsiTheme="majorBidi" w:cstheme="majorBidi"/>
          <w:sz w:val="24"/>
          <w:szCs w:val="24"/>
        </w:rPr>
        <w:t>polymer core</w:t>
      </w:r>
      <w:r w:rsidR="00EB249A" w:rsidRPr="00795222">
        <w:rPr>
          <w:rFonts w:asciiTheme="majorBidi" w:hAnsiTheme="majorBidi" w:cstheme="majorBidi"/>
          <w:sz w:val="24"/>
          <w:szCs w:val="24"/>
        </w:rPr>
        <w:t xml:space="preserve"> was kept </w:t>
      </w:r>
      <w:r w:rsidR="0093342E" w:rsidRPr="00795222">
        <w:rPr>
          <w:rFonts w:asciiTheme="majorBidi" w:hAnsiTheme="majorBidi" w:cstheme="majorBidi"/>
          <w:sz w:val="24"/>
          <w:szCs w:val="24"/>
        </w:rPr>
        <w:t>fixed at 20</w:t>
      </w:r>
      <w:r w:rsidR="000421D6" w:rsidRPr="00795222">
        <w:rPr>
          <w:rFonts w:asciiTheme="majorBidi" w:hAnsiTheme="majorBidi" w:cstheme="majorBidi"/>
          <w:sz w:val="24"/>
          <w:szCs w:val="24"/>
        </w:rPr>
        <w:t xml:space="preserve"> </w:t>
      </w:r>
      <w:r w:rsidR="0093342E" w:rsidRPr="00795222">
        <w:rPr>
          <w:rFonts w:asciiTheme="majorBidi" w:hAnsiTheme="majorBidi" w:cstheme="majorBidi"/>
          <w:sz w:val="24"/>
          <w:szCs w:val="24"/>
        </w:rPr>
        <w:t xml:space="preserve">% w/w as this was the </w:t>
      </w:r>
      <w:r w:rsidR="00B77AA8" w:rsidRPr="00795222">
        <w:rPr>
          <w:rFonts w:asciiTheme="majorBidi" w:hAnsiTheme="majorBidi" w:cstheme="majorBidi"/>
          <w:sz w:val="24"/>
          <w:szCs w:val="24"/>
        </w:rPr>
        <w:t>percent</w:t>
      </w:r>
      <w:r w:rsidR="007B52ED" w:rsidRPr="00795222">
        <w:rPr>
          <w:rFonts w:asciiTheme="majorBidi" w:hAnsiTheme="majorBidi" w:cstheme="majorBidi"/>
          <w:sz w:val="24"/>
          <w:szCs w:val="24"/>
        </w:rPr>
        <w:t>age</w:t>
      </w:r>
      <w:r w:rsidR="0093342E" w:rsidRPr="00795222">
        <w:rPr>
          <w:rFonts w:asciiTheme="majorBidi" w:hAnsiTheme="majorBidi" w:cstheme="majorBidi"/>
          <w:sz w:val="24"/>
          <w:szCs w:val="24"/>
        </w:rPr>
        <w:t xml:space="preserve"> that showed </w:t>
      </w:r>
      <w:r w:rsidR="000421D6" w:rsidRPr="00795222">
        <w:rPr>
          <w:rFonts w:asciiTheme="majorBidi" w:hAnsiTheme="majorBidi" w:cstheme="majorBidi"/>
          <w:sz w:val="24"/>
          <w:szCs w:val="24"/>
        </w:rPr>
        <w:t xml:space="preserve">the </w:t>
      </w:r>
      <w:r w:rsidR="0093342E" w:rsidRPr="00795222">
        <w:rPr>
          <w:rFonts w:asciiTheme="majorBidi" w:hAnsiTheme="majorBidi" w:cstheme="majorBidi"/>
          <w:sz w:val="24"/>
          <w:szCs w:val="24"/>
        </w:rPr>
        <w:t>lowest Z-average</w:t>
      </w:r>
      <w:r w:rsidR="003947E2" w:rsidRPr="00795222">
        <w:rPr>
          <w:rFonts w:asciiTheme="majorBidi" w:hAnsiTheme="majorBidi" w:cstheme="majorBidi"/>
          <w:sz w:val="24"/>
          <w:szCs w:val="24"/>
        </w:rPr>
        <w:t xml:space="preserve"> for LPHNs dispersions</w:t>
      </w:r>
      <w:r w:rsidR="0093342E" w:rsidRPr="00795222">
        <w:rPr>
          <w:rFonts w:asciiTheme="majorBidi" w:hAnsiTheme="majorBidi" w:cstheme="majorBidi"/>
          <w:sz w:val="24"/>
          <w:szCs w:val="24"/>
        </w:rPr>
        <w:t xml:space="preserve"> when dispersed in water and PBS</w:t>
      </w:r>
      <w:r w:rsidR="007E1355" w:rsidRPr="00795222">
        <w:rPr>
          <w:rFonts w:asciiTheme="majorBidi" w:hAnsiTheme="majorBidi" w:cstheme="majorBidi"/>
          <w:sz w:val="24"/>
          <w:szCs w:val="24"/>
        </w:rPr>
        <w:t xml:space="preserve"> for both SBL</w:t>
      </w:r>
      <w:r w:rsidR="00FD2B05" w:rsidRPr="00795222">
        <w:rPr>
          <w:rFonts w:asciiTheme="majorBidi" w:hAnsiTheme="majorBidi" w:cstheme="majorBidi"/>
          <w:sz w:val="24"/>
          <w:szCs w:val="24"/>
        </w:rPr>
        <w:t xml:space="preserve"> (</w:t>
      </w:r>
      <w:r w:rsidR="000421D6" w:rsidRPr="00795222">
        <w:rPr>
          <w:rFonts w:asciiTheme="majorBidi" w:hAnsiTheme="majorBidi" w:cstheme="majorBidi"/>
          <w:sz w:val="24"/>
          <w:szCs w:val="24"/>
        </w:rPr>
        <w:t>T</w:t>
      </w:r>
      <w:r w:rsidR="00FD2B05" w:rsidRPr="00795222">
        <w:rPr>
          <w:rFonts w:asciiTheme="majorBidi" w:hAnsiTheme="majorBidi" w:cstheme="majorBidi"/>
          <w:sz w:val="24"/>
          <w:szCs w:val="24"/>
        </w:rPr>
        <w:t>able 1)</w:t>
      </w:r>
      <w:r w:rsidR="007E1355" w:rsidRPr="00795222">
        <w:rPr>
          <w:rFonts w:asciiTheme="majorBidi" w:hAnsiTheme="majorBidi" w:cstheme="majorBidi"/>
          <w:sz w:val="24"/>
          <w:szCs w:val="24"/>
        </w:rPr>
        <w:t xml:space="preserve"> and </w:t>
      </w:r>
      <w:r w:rsidR="008468D2" w:rsidRPr="00795222">
        <w:rPr>
          <w:rFonts w:asciiTheme="majorBidi" w:hAnsiTheme="majorBidi" w:cstheme="majorBidi"/>
          <w:sz w:val="24"/>
          <w:szCs w:val="24"/>
        </w:rPr>
        <w:t>B</w:t>
      </w:r>
      <w:r w:rsidR="007E1355" w:rsidRPr="00795222">
        <w:rPr>
          <w:rFonts w:asciiTheme="majorBidi" w:hAnsiTheme="majorBidi" w:cstheme="majorBidi"/>
          <w:sz w:val="24"/>
          <w:szCs w:val="24"/>
        </w:rPr>
        <w:t>rij 78</w:t>
      </w:r>
      <w:r w:rsidR="00FD2B05" w:rsidRPr="00795222">
        <w:rPr>
          <w:rFonts w:asciiTheme="majorBidi" w:hAnsiTheme="majorBidi" w:cstheme="majorBidi"/>
          <w:sz w:val="24"/>
          <w:szCs w:val="24"/>
        </w:rPr>
        <w:t xml:space="preserve"> (</w:t>
      </w:r>
      <w:r w:rsidR="000421D6" w:rsidRPr="00795222">
        <w:rPr>
          <w:rFonts w:asciiTheme="majorBidi" w:hAnsiTheme="majorBidi" w:cstheme="majorBidi"/>
          <w:sz w:val="24"/>
          <w:szCs w:val="24"/>
        </w:rPr>
        <w:t>F</w:t>
      </w:r>
      <w:r w:rsidR="00FD2B05" w:rsidRPr="00795222">
        <w:rPr>
          <w:rFonts w:asciiTheme="majorBidi" w:hAnsiTheme="majorBidi" w:cstheme="majorBidi"/>
          <w:sz w:val="24"/>
          <w:szCs w:val="24"/>
        </w:rPr>
        <w:t>igure 2)</w:t>
      </w:r>
      <w:r w:rsidR="00512210" w:rsidRPr="00795222">
        <w:rPr>
          <w:rFonts w:asciiTheme="majorBidi" w:hAnsiTheme="majorBidi" w:cstheme="majorBidi"/>
          <w:sz w:val="24"/>
          <w:szCs w:val="24"/>
        </w:rPr>
        <w:t>.</w:t>
      </w:r>
    </w:p>
    <w:p w14:paraId="281E2659" w14:textId="029E10F4" w:rsidR="006E4C3A" w:rsidRPr="00795222" w:rsidRDefault="006E4C3A" w:rsidP="00657F6C">
      <w:pPr>
        <w:pStyle w:val="Caption"/>
        <w:jc w:val="both"/>
        <w:rPr>
          <w:rFonts w:asciiTheme="majorBidi" w:hAnsiTheme="majorBidi" w:cstheme="majorBidi"/>
          <w:sz w:val="24"/>
          <w:szCs w:val="24"/>
        </w:rPr>
      </w:pPr>
      <w:r w:rsidRPr="00795222">
        <w:rPr>
          <w:rFonts w:asciiTheme="majorBidi" w:hAnsiTheme="majorBidi" w:cstheme="majorBidi"/>
          <w:sz w:val="24"/>
          <w:szCs w:val="24"/>
        </w:rPr>
        <w:t>LPHNs with different</w:t>
      </w:r>
      <w:r w:rsidR="00415700" w:rsidRPr="00795222">
        <w:rPr>
          <w:rFonts w:asciiTheme="majorBidi" w:hAnsiTheme="majorBidi" w:cstheme="majorBidi"/>
          <w:sz w:val="24"/>
          <w:szCs w:val="24"/>
        </w:rPr>
        <w:t xml:space="preserve"> mass</w:t>
      </w:r>
      <w:r w:rsidRPr="00795222">
        <w:rPr>
          <w:rFonts w:asciiTheme="majorBidi" w:hAnsiTheme="majorBidi" w:cstheme="majorBidi"/>
          <w:sz w:val="24"/>
          <w:szCs w:val="24"/>
        </w:rPr>
        <w:t xml:space="preserve"> </w:t>
      </w:r>
      <w:r w:rsidR="0093342E" w:rsidRPr="00795222">
        <w:rPr>
          <w:rFonts w:asciiTheme="majorBidi" w:hAnsiTheme="majorBidi" w:cstheme="majorBidi"/>
          <w:sz w:val="24"/>
          <w:szCs w:val="24"/>
        </w:rPr>
        <w:t>percentages of</w:t>
      </w:r>
      <w:r w:rsidRPr="00795222">
        <w:rPr>
          <w:rFonts w:asciiTheme="majorBidi" w:hAnsiTheme="majorBidi" w:cstheme="majorBidi"/>
          <w:sz w:val="24"/>
          <w:szCs w:val="24"/>
        </w:rPr>
        <w:t xml:space="preserve"> </w:t>
      </w:r>
      <w:r w:rsidR="008468D2" w:rsidRPr="00795222">
        <w:rPr>
          <w:rFonts w:asciiTheme="majorBidi" w:hAnsiTheme="majorBidi" w:cstheme="majorBidi"/>
          <w:sz w:val="24"/>
          <w:szCs w:val="24"/>
        </w:rPr>
        <w:t>B</w:t>
      </w:r>
      <w:r w:rsidR="00224B86" w:rsidRPr="00795222">
        <w:rPr>
          <w:rFonts w:asciiTheme="majorBidi" w:hAnsiTheme="majorBidi" w:cstheme="majorBidi"/>
          <w:sz w:val="24"/>
          <w:szCs w:val="24"/>
        </w:rPr>
        <w:t>rij 78</w:t>
      </w:r>
      <w:r w:rsidR="0093342E" w:rsidRPr="00795222">
        <w:rPr>
          <w:rFonts w:asciiTheme="majorBidi" w:hAnsiTheme="majorBidi" w:cstheme="majorBidi"/>
          <w:sz w:val="24"/>
          <w:szCs w:val="24"/>
        </w:rPr>
        <w:t xml:space="preserve"> with respect to the total mass of </w:t>
      </w:r>
      <w:r w:rsidR="004D4121" w:rsidRPr="00795222">
        <w:rPr>
          <w:rFonts w:asciiTheme="majorBidi" w:hAnsiTheme="majorBidi" w:cstheme="majorBidi"/>
          <w:sz w:val="24"/>
          <w:szCs w:val="24"/>
        </w:rPr>
        <w:t xml:space="preserve">surfactants </w:t>
      </w:r>
      <w:r w:rsidR="00752E4D" w:rsidRPr="00795222">
        <w:rPr>
          <w:rFonts w:asciiTheme="majorBidi" w:hAnsiTheme="majorBidi" w:cstheme="majorBidi"/>
          <w:sz w:val="24"/>
          <w:szCs w:val="24"/>
        </w:rPr>
        <w:t>(</w:t>
      </w:r>
      <w:r w:rsidR="0093342E" w:rsidRPr="00795222">
        <w:rPr>
          <w:rFonts w:asciiTheme="majorBidi" w:hAnsiTheme="majorBidi" w:cstheme="majorBidi"/>
          <w:sz w:val="24"/>
          <w:szCs w:val="24"/>
        </w:rPr>
        <w:t>SBL</w:t>
      </w:r>
      <w:r w:rsidRPr="00795222">
        <w:rPr>
          <w:rFonts w:asciiTheme="majorBidi" w:hAnsiTheme="majorBidi" w:cstheme="majorBidi"/>
          <w:sz w:val="24"/>
          <w:szCs w:val="24"/>
        </w:rPr>
        <w:t xml:space="preserve"> and </w:t>
      </w:r>
      <w:r w:rsidR="00C81D5F" w:rsidRPr="00795222">
        <w:rPr>
          <w:rFonts w:asciiTheme="majorBidi" w:hAnsiTheme="majorBidi" w:cstheme="majorBidi"/>
          <w:sz w:val="24"/>
          <w:szCs w:val="24"/>
        </w:rPr>
        <w:t>B</w:t>
      </w:r>
      <w:r w:rsidR="00224B86" w:rsidRPr="00795222">
        <w:rPr>
          <w:rFonts w:asciiTheme="majorBidi" w:hAnsiTheme="majorBidi" w:cstheme="majorBidi"/>
          <w:sz w:val="24"/>
          <w:szCs w:val="24"/>
        </w:rPr>
        <w:t>rij 78</w:t>
      </w:r>
      <w:r w:rsidRPr="00795222">
        <w:rPr>
          <w:rFonts w:asciiTheme="majorBidi" w:hAnsiTheme="majorBidi" w:cstheme="majorBidi"/>
          <w:sz w:val="24"/>
          <w:szCs w:val="24"/>
        </w:rPr>
        <w:t>)</w:t>
      </w:r>
      <w:r w:rsidR="0093342E" w:rsidRPr="00795222">
        <w:rPr>
          <w:rFonts w:asciiTheme="majorBidi" w:hAnsiTheme="majorBidi" w:cstheme="majorBidi"/>
          <w:sz w:val="24"/>
          <w:szCs w:val="24"/>
        </w:rPr>
        <w:t xml:space="preserve"> ranging from 10-90</w:t>
      </w:r>
      <w:r w:rsidR="000421D6" w:rsidRPr="00795222">
        <w:rPr>
          <w:rFonts w:asciiTheme="majorBidi" w:hAnsiTheme="majorBidi" w:cstheme="majorBidi"/>
          <w:sz w:val="24"/>
          <w:szCs w:val="24"/>
        </w:rPr>
        <w:t xml:space="preserve"> </w:t>
      </w:r>
      <w:r w:rsidR="0093342E" w:rsidRPr="00795222">
        <w:rPr>
          <w:rFonts w:asciiTheme="majorBidi" w:hAnsiTheme="majorBidi" w:cstheme="majorBidi"/>
          <w:sz w:val="24"/>
          <w:szCs w:val="24"/>
        </w:rPr>
        <w:t xml:space="preserve">% </w:t>
      </w:r>
      <w:r w:rsidRPr="00795222">
        <w:rPr>
          <w:rFonts w:asciiTheme="majorBidi" w:hAnsiTheme="majorBidi" w:cstheme="majorBidi"/>
          <w:sz w:val="24"/>
          <w:szCs w:val="24"/>
        </w:rPr>
        <w:t>were investigated</w:t>
      </w:r>
      <w:r w:rsidR="00F57280" w:rsidRPr="00795222">
        <w:rPr>
          <w:rFonts w:asciiTheme="majorBidi" w:hAnsiTheme="majorBidi" w:cstheme="majorBidi"/>
          <w:sz w:val="24"/>
          <w:szCs w:val="24"/>
        </w:rPr>
        <w:t xml:space="preserve"> (Figure </w:t>
      </w:r>
      <w:r w:rsidR="004371E2" w:rsidRPr="00795222">
        <w:rPr>
          <w:rFonts w:asciiTheme="majorBidi" w:hAnsiTheme="majorBidi" w:cstheme="majorBidi"/>
          <w:sz w:val="24"/>
          <w:szCs w:val="24"/>
        </w:rPr>
        <w:t>3</w:t>
      </w:r>
      <w:r w:rsidR="00F57280" w:rsidRPr="00795222">
        <w:rPr>
          <w:rFonts w:asciiTheme="majorBidi" w:hAnsiTheme="majorBidi" w:cstheme="majorBidi"/>
          <w:sz w:val="24"/>
          <w:szCs w:val="24"/>
        </w:rPr>
        <w:t>)</w:t>
      </w:r>
      <w:r w:rsidR="0093342E" w:rsidRPr="00795222">
        <w:rPr>
          <w:rFonts w:asciiTheme="majorBidi" w:hAnsiTheme="majorBidi" w:cstheme="majorBidi"/>
          <w:sz w:val="24"/>
          <w:szCs w:val="24"/>
        </w:rPr>
        <w:t>. The aim was</w:t>
      </w:r>
      <w:r w:rsidRPr="00795222">
        <w:rPr>
          <w:rFonts w:asciiTheme="majorBidi" w:hAnsiTheme="majorBidi" w:cstheme="majorBidi"/>
          <w:sz w:val="24"/>
          <w:szCs w:val="24"/>
        </w:rPr>
        <w:t xml:space="preserve"> to determine the optimum mass </w:t>
      </w:r>
      <w:r w:rsidR="00802FDF" w:rsidRPr="00795222">
        <w:rPr>
          <w:rFonts w:asciiTheme="majorBidi" w:hAnsiTheme="majorBidi" w:cstheme="majorBidi"/>
          <w:sz w:val="24"/>
          <w:szCs w:val="24"/>
        </w:rPr>
        <w:t>percent</w:t>
      </w:r>
      <w:r w:rsidR="003D4E27" w:rsidRPr="00795222">
        <w:rPr>
          <w:rFonts w:asciiTheme="majorBidi" w:hAnsiTheme="majorBidi" w:cstheme="majorBidi"/>
          <w:sz w:val="24"/>
          <w:szCs w:val="24"/>
        </w:rPr>
        <w:t>age</w:t>
      </w:r>
      <w:r w:rsidRPr="00795222">
        <w:rPr>
          <w:rFonts w:asciiTheme="majorBidi" w:hAnsiTheme="majorBidi" w:cstheme="majorBidi"/>
          <w:sz w:val="24"/>
          <w:szCs w:val="24"/>
        </w:rPr>
        <w:t xml:space="preserve"> that would </w:t>
      </w:r>
      <w:r w:rsidR="00C81D5F" w:rsidRPr="00795222">
        <w:rPr>
          <w:rFonts w:asciiTheme="majorBidi" w:hAnsiTheme="majorBidi" w:cstheme="majorBidi"/>
          <w:sz w:val="24"/>
          <w:szCs w:val="24"/>
        </w:rPr>
        <w:t xml:space="preserve">allow LPHNs to </w:t>
      </w:r>
      <w:r w:rsidRPr="00795222">
        <w:rPr>
          <w:rFonts w:asciiTheme="majorBidi" w:hAnsiTheme="majorBidi" w:cstheme="majorBidi"/>
          <w:sz w:val="24"/>
          <w:szCs w:val="24"/>
        </w:rPr>
        <w:t xml:space="preserve">maintain stability in PBS, </w:t>
      </w:r>
      <w:r w:rsidR="0093342E" w:rsidRPr="00795222">
        <w:rPr>
          <w:rFonts w:asciiTheme="majorBidi" w:hAnsiTheme="majorBidi" w:cstheme="majorBidi"/>
          <w:sz w:val="24"/>
          <w:szCs w:val="24"/>
        </w:rPr>
        <w:t>with the highest amount of SBL that might</w:t>
      </w:r>
      <w:r w:rsidRPr="00795222">
        <w:rPr>
          <w:rFonts w:asciiTheme="majorBidi" w:hAnsiTheme="majorBidi" w:cstheme="majorBidi"/>
          <w:sz w:val="24"/>
          <w:szCs w:val="24"/>
        </w:rPr>
        <w:t xml:space="preserve"> enhance the biological </w:t>
      </w:r>
      <w:r w:rsidR="0051529C" w:rsidRPr="00795222">
        <w:rPr>
          <w:rFonts w:asciiTheme="majorBidi" w:hAnsiTheme="majorBidi" w:cstheme="majorBidi"/>
          <w:sz w:val="24"/>
          <w:szCs w:val="24"/>
        </w:rPr>
        <w:t>behavior</w:t>
      </w:r>
      <w:r w:rsidRPr="00795222">
        <w:rPr>
          <w:rFonts w:asciiTheme="majorBidi" w:hAnsiTheme="majorBidi" w:cstheme="majorBidi"/>
          <w:sz w:val="24"/>
          <w:szCs w:val="24"/>
        </w:rPr>
        <w:t xml:space="preserve"> of the particles</w:t>
      </w:r>
      <w:r w:rsidR="001D2492" w:rsidRPr="00795222">
        <w:rPr>
          <w:rFonts w:asciiTheme="majorBidi" w:hAnsiTheme="majorBidi" w:cstheme="majorBidi"/>
          <w:sz w:val="24"/>
          <w:szCs w:val="24"/>
        </w:rPr>
        <w:t>.</w:t>
      </w:r>
      <w:r w:rsidR="007422A4" w:rsidRPr="00795222">
        <w:rPr>
          <w:rFonts w:asciiTheme="majorBidi" w:hAnsiTheme="majorBidi" w:cstheme="majorBidi"/>
          <w:sz w:val="24"/>
          <w:szCs w:val="24"/>
        </w:rPr>
        <w:t xml:space="preserve"> </w:t>
      </w:r>
      <w:r w:rsidR="001D2492" w:rsidRPr="00795222">
        <w:rPr>
          <w:rFonts w:asciiTheme="majorBidi" w:hAnsiTheme="majorBidi" w:cstheme="majorBidi"/>
          <w:sz w:val="24"/>
          <w:szCs w:val="24"/>
        </w:rPr>
        <w:t>P</w:t>
      </w:r>
      <w:r w:rsidR="007E2217" w:rsidRPr="00795222">
        <w:rPr>
          <w:rFonts w:asciiTheme="majorBidi" w:hAnsiTheme="majorBidi" w:cstheme="majorBidi"/>
          <w:sz w:val="24"/>
          <w:szCs w:val="24"/>
        </w:rPr>
        <w:t xml:space="preserve">reviously </w:t>
      </w:r>
      <w:r w:rsidR="00C81D5F" w:rsidRPr="00795222">
        <w:rPr>
          <w:rFonts w:asciiTheme="majorBidi" w:hAnsiTheme="majorBidi" w:cstheme="majorBidi"/>
          <w:sz w:val="24"/>
          <w:szCs w:val="24"/>
        </w:rPr>
        <w:t xml:space="preserve">SBL </w:t>
      </w:r>
      <w:r w:rsidR="007E2217" w:rsidRPr="00795222">
        <w:rPr>
          <w:rFonts w:asciiTheme="majorBidi" w:hAnsiTheme="majorBidi" w:cstheme="majorBidi"/>
          <w:sz w:val="24"/>
          <w:szCs w:val="24"/>
        </w:rPr>
        <w:t>has been s</w:t>
      </w:r>
      <w:r w:rsidR="0035178A" w:rsidRPr="00795222">
        <w:rPr>
          <w:rFonts w:asciiTheme="majorBidi" w:hAnsiTheme="majorBidi" w:cstheme="majorBidi"/>
          <w:sz w:val="24"/>
          <w:szCs w:val="24"/>
        </w:rPr>
        <w:t xml:space="preserve">hown to enhance the bioavailability of </w:t>
      </w:r>
      <w:r w:rsidR="008A7EA3" w:rsidRPr="00795222">
        <w:rPr>
          <w:rFonts w:asciiTheme="majorBidi" w:hAnsiTheme="majorBidi" w:cstheme="majorBidi"/>
          <w:sz w:val="24"/>
          <w:szCs w:val="24"/>
        </w:rPr>
        <w:t>hydrophobic drugs</w:t>
      </w:r>
      <w:r w:rsidR="00155C4C" w:rsidRPr="00795222">
        <w:rPr>
          <w:rFonts w:asciiTheme="majorBidi" w:hAnsiTheme="majorBidi" w:cstheme="majorBidi"/>
          <w:sz w:val="24"/>
          <w:szCs w:val="24"/>
        </w:rPr>
        <w:t xml:space="preserve"> </w:t>
      </w:r>
      <w:r w:rsidR="00C81D5F" w:rsidRPr="00795222">
        <w:rPr>
          <w:rFonts w:asciiTheme="majorBidi" w:hAnsiTheme="majorBidi" w:cstheme="majorBidi"/>
          <w:sz w:val="24"/>
          <w:szCs w:val="24"/>
        </w:rPr>
        <w:t xml:space="preserve">such </w:t>
      </w:r>
      <w:r w:rsidR="002C020E" w:rsidRPr="00795222">
        <w:rPr>
          <w:rFonts w:asciiTheme="majorBidi" w:hAnsiTheme="majorBidi" w:cstheme="majorBidi"/>
          <w:sz w:val="24"/>
          <w:szCs w:val="24"/>
        </w:rPr>
        <w:t xml:space="preserve">as curcumin in </w:t>
      </w:r>
      <w:r w:rsidR="00195EEB" w:rsidRPr="00795222">
        <w:rPr>
          <w:rFonts w:asciiTheme="majorBidi" w:hAnsiTheme="majorBidi" w:cstheme="majorBidi"/>
          <w:sz w:val="24"/>
          <w:szCs w:val="24"/>
        </w:rPr>
        <w:t xml:space="preserve">a mixed polymeric </w:t>
      </w:r>
      <w:r w:rsidR="00C66BDC" w:rsidRPr="00795222">
        <w:rPr>
          <w:rFonts w:asciiTheme="majorBidi" w:hAnsiTheme="majorBidi" w:cstheme="majorBidi"/>
          <w:sz w:val="24"/>
          <w:szCs w:val="24"/>
        </w:rPr>
        <w:t>micellar system</w:t>
      </w:r>
      <w:r w:rsidRPr="00795222">
        <w:rPr>
          <w:rFonts w:asciiTheme="majorBidi" w:hAnsiTheme="majorBidi" w:cstheme="majorBidi"/>
          <w:sz w:val="24"/>
          <w:szCs w:val="24"/>
        </w:rPr>
        <w:t>.</w:t>
      </w:r>
      <w:r w:rsidR="00197076" w:rsidRPr="00795222">
        <w:rPr>
          <w:rFonts w:asciiTheme="majorBidi" w:hAnsiTheme="majorBidi" w:cstheme="majorBidi"/>
          <w:sz w:val="24"/>
          <w:szCs w:val="24"/>
        </w:rPr>
        <w:fldChar w:fldCharType="begin" w:fldLock="1"/>
      </w:r>
      <w:r w:rsidR="005563A9" w:rsidRPr="00795222">
        <w:rPr>
          <w:rFonts w:asciiTheme="majorBidi" w:hAnsiTheme="majorBidi" w:cstheme="majorBidi"/>
          <w:sz w:val="24"/>
          <w:szCs w:val="24"/>
        </w:rPr>
        <w:instrText>ADDIN CSL_CITATION {"citationItems":[{"id":"ITEM-1","itemData":{"DOI":"10.1038/srep37122","ISSN":"20452322","abstract":"Self-assembling mixed polymeric micelles (saMPMs) were developed for overcoming major obstacles of poor bioavailability (BA) associated with curcumin delivery. Lecithin added was functioned to enlarge the hydrophobic core of MPMs providing greater solubilization capacity. Amphiphilic polymers (sodium deoxycholate [NaDOC], TPGS, CREMOPHOR, or a PLURONIC series) were examined for potentially self-assembling to form MPMs (saMPMs) with the addition of lecithin. Particle size, size distribution, encapsulation efficacy (E.E.), and drug loading (D.L.) of the mixed micelles were optimally studied for their influences on the physical stability and release of encapsulated drugs. Overall, curcumin:lecithin:NaDOC and curcumin:lecithin:PLURONIC P123 in ratios of 2:1:5 and 5:2:20, respectively, were optimally obtained with a particle size of &lt; 200 nm, an E.E. of &gt;80%, and a D.L. of &gt;10%. The formulated system efficiently stabilized curcumin in phosphate-buffered saline (PBS) at room temperature or 4 °C and in fetal bovine serum or PBS at 37 °C and delayed the in vitro curcumin release. In vivo results further demonstrated that the slow release of curcumin from micelles and prolonged duration increased the curcumin BA followed oral and intravenous administrations in rats. Thus, lecithin-based saMPMs represent an effective curcumin delivery system, and enhancing BA of curcumin can enable its wide applications for treating human disorders.","author":[{"dropping-particle":"","family":"Chen","given":"Ling Chun","non-dropping-particle":"","parse-names":false,"suffix":""},{"dropping-particle":"","family":"Chen","given":"Yin Chen","non-dropping-particle":"","parse-names":false,"suffix":""},{"dropping-particle":"","family":"Su","given":"Chia Yu","non-dropping-particle":"","parse-names":false,"suffix":""},{"dropping-particle":"","family":"Wong","given":"Wan Ping","non-dropping-particle":"","parse-names":false,"suffix":""},{"dropping-particle":"","family":"Sheu","given":"Ming Thau","non-dropping-particle":"","parse-names":false,"suffix":""},{"dropping-particle":"","family":"Ho","given":"Hsiu O.","non-dropping-particle":"","parse-names":false,"suffix":""}],"container-title":"Scientific Reports","id":"ITEM-1","issue":"1","issued":{"date-parts":[["2016","12","16"]]},"page":"37122","publisher":"Nature Publishing Group","title":"Development and Characterization of Lecithin-based Self-assembling Mixed Polymeric Micellar (saMPMs) Drug Delivery Systems for Curcumin","type":"article-journal","volume":"6"},"uris":["http://www.mendeley.com/documents/?uuid=0a01a5ea-123d-4957-b667-cb822e5c81be"]}],"mendeley":{"formattedCitation":"(Chen et al., 2016)","plainTextFormattedCitation":"(Chen et al., 2016)","previouslyFormattedCitation":"(Chen et al., 2016)"},"properties":{"noteIndex":0},"schema":"https://github.com/citation-style-language/schema/raw/master/csl-citation.json"}</w:instrText>
      </w:r>
      <w:r w:rsidR="00197076" w:rsidRPr="00795222">
        <w:rPr>
          <w:rFonts w:asciiTheme="majorBidi" w:hAnsiTheme="majorBidi" w:cstheme="majorBidi"/>
          <w:sz w:val="24"/>
          <w:szCs w:val="24"/>
        </w:rPr>
        <w:fldChar w:fldCharType="separate"/>
      </w:r>
      <w:r w:rsidR="00FF41FF" w:rsidRPr="00795222">
        <w:rPr>
          <w:rFonts w:asciiTheme="majorBidi" w:hAnsiTheme="majorBidi" w:cstheme="majorBidi"/>
          <w:noProof/>
          <w:sz w:val="24"/>
          <w:szCs w:val="24"/>
        </w:rPr>
        <w:t>(Chen et al., 2016)</w:t>
      </w:r>
      <w:r w:rsidR="00197076" w:rsidRPr="00795222">
        <w:rPr>
          <w:rFonts w:asciiTheme="majorBidi" w:hAnsiTheme="majorBidi" w:cstheme="majorBidi"/>
          <w:sz w:val="24"/>
          <w:szCs w:val="24"/>
        </w:rPr>
        <w:fldChar w:fldCharType="end"/>
      </w:r>
      <w:r w:rsidR="00A30A9F" w:rsidRPr="00795222">
        <w:rPr>
          <w:rFonts w:asciiTheme="majorBidi" w:hAnsiTheme="majorBidi" w:cstheme="majorBidi"/>
          <w:sz w:val="24"/>
          <w:szCs w:val="24"/>
        </w:rPr>
        <w:t xml:space="preserve"> In water, all samples showed very similar mean diameters regardless of the composition, indicating that both </w:t>
      </w:r>
      <w:r w:rsidR="0051529C" w:rsidRPr="00795222">
        <w:rPr>
          <w:rFonts w:asciiTheme="majorBidi" w:hAnsiTheme="majorBidi" w:cstheme="majorBidi"/>
          <w:sz w:val="24"/>
          <w:szCs w:val="24"/>
        </w:rPr>
        <w:t>stabilizers</w:t>
      </w:r>
      <w:r w:rsidR="00A30A9F" w:rsidRPr="00795222">
        <w:rPr>
          <w:rFonts w:asciiTheme="majorBidi" w:hAnsiTheme="majorBidi" w:cstheme="majorBidi"/>
          <w:sz w:val="24"/>
          <w:szCs w:val="24"/>
        </w:rPr>
        <w:t xml:space="preserve"> were equally effective surfactants. However, in PBS</w:t>
      </w:r>
      <w:r w:rsidR="00F9412A" w:rsidRPr="00795222">
        <w:rPr>
          <w:rFonts w:asciiTheme="majorBidi" w:hAnsiTheme="majorBidi" w:cstheme="majorBidi"/>
          <w:sz w:val="24"/>
          <w:szCs w:val="24"/>
        </w:rPr>
        <w:t xml:space="preserve"> </w:t>
      </w:r>
      <w:r w:rsidR="00A30A9F" w:rsidRPr="00795222">
        <w:rPr>
          <w:rFonts w:asciiTheme="majorBidi" w:hAnsiTheme="majorBidi" w:cstheme="majorBidi"/>
          <w:sz w:val="24"/>
          <w:szCs w:val="24"/>
        </w:rPr>
        <w:t>the effect of surfactant composition was much more pronounced,</w:t>
      </w:r>
      <w:r w:rsidRPr="00795222">
        <w:rPr>
          <w:rFonts w:asciiTheme="majorBidi" w:hAnsiTheme="majorBidi" w:cstheme="majorBidi"/>
          <w:sz w:val="24"/>
          <w:szCs w:val="24"/>
        </w:rPr>
        <w:t xml:space="preserve"> </w:t>
      </w:r>
      <w:r w:rsidR="00A30A9F" w:rsidRPr="00795222">
        <w:rPr>
          <w:rFonts w:asciiTheme="majorBidi" w:hAnsiTheme="majorBidi" w:cstheme="majorBidi"/>
          <w:sz w:val="24"/>
          <w:szCs w:val="24"/>
        </w:rPr>
        <w:t>when</w:t>
      </w:r>
      <w:r w:rsidR="00732F26" w:rsidRPr="00795222">
        <w:rPr>
          <w:rFonts w:asciiTheme="majorBidi" w:hAnsiTheme="majorBidi" w:cstheme="majorBidi"/>
          <w:sz w:val="24"/>
          <w:szCs w:val="24"/>
        </w:rPr>
        <w:t xml:space="preserve"> the total mass of </w:t>
      </w:r>
      <w:r w:rsidR="0051529C" w:rsidRPr="00795222">
        <w:rPr>
          <w:rFonts w:asciiTheme="majorBidi" w:hAnsiTheme="majorBidi" w:cstheme="majorBidi"/>
          <w:sz w:val="24"/>
          <w:szCs w:val="24"/>
        </w:rPr>
        <w:t>stabilizer</w:t>
      </w:r>
      <w:r w:rsidR="00732F26" w:rsidRPr="00795222">
        <w:rPr>
          <w:rFonts w:asciiTheme="majorBidi" w:hAnsiTheme="majorBidi" w:cstheme="majorBidi"/>
          <w:sz w:val="24"/>
          <w:szCs w:val="24"/>
        </w:rPr>
        <w:t xml:space="preserve"> contained less than</w:t>
      </w:r>
      <w:r w:rsidR="00A30A9F" w:rsidRPr="00795222">
        <w:rPr>
          <w:rFonts w:asciiTheme="majorBidi" w:hAnsiTheme="majorBidi" w:cstheme="majorBidi"/>
          <w:sz w:val="24"/>
          <w:szCs w:val="24"/>
        </w:rPr>
        <w:t xml:space="preserve"> 30</w:t>
      </w:r>
      <w:r w:rsidR="000421D6" w:rsidRPr="00795222">
        <w:rPr>
          <w:rFonts w:asciiTheme="majorBidi" w:hAnsiTheme="majorBidi" w:cstheme="majorBidi"/>
          <w:sz w:val="24"/>
          <w:szCs w:val="24"/>
        </w:rPr>
        <w:t xml:space="preserve"> </w:t>
      </w:r>
      <w:r w:rsidR="00A30A9F" w:rsidRPr="00795222">
        <w:rPr>
          <w:rFonts w:asciiTheme="majorBidi" w:hAnsiTheme="majorBidi" w:cstheme="majorBidi"/>
          <w:sz w:val="24"/>
          <w:szCs w:val="24"/>
        </w:rPr>
        <w:t xml:space="preserve">% </w:t>
      </w:r>
      <w:r w:rsidR="00C81D5F" w:rsidRPr="00795222">
        <w:rPr>
          <w:rFonts w:asciiTheme="majorBidi" w:hAnsiTheme="majorBidi" w:cstheme="majorBidi"/>
          <w:sz w:val="24"/>
          <w:szCs w:val="24"/>
        </w:rPr>
        <w:t>B</w:t>
      </w:r>
      <w:r w:rsidR="00224B86" w:rsidRPr="00795222">
        <w:rPr>
          <w:rFonts w:asciiTheme="majorBidi" w:hAnsiTheme="majorBidi" w:cstheme="majorBidi"/>
          <w:sz w:val="24"/>
          <w:szCs w:val="24"/>
        </w:rPr>
        <w:t>rij 78</w:t>
      </w:r>
      <w:r w:rsidR="00732F26" w:rsidRPr="00795222">
        <w:rPr>
          <w:rFonts w:asciiTheme="majorBidi" w:hAnsiTheme="majorBidi" w:cstheme="majorBidi"/>
          <w:sz w:val="24"/>
          <w:szCs w:val="24"/>
        </w:rPr>
        <w:t xml:space="preserve"> then </w:t>
      </w:r>
      <w:r w:rsidR="00A30A9F" w:rsidRPr="00795222">
        <w:rPr>
          <w:rFonts w:asciiTheme="majorBidi" w:hAnsiTheme="majorBidi" w:cstheme="majorBidi"/>
          <w:sz w:val="24"/>
          <w:szCs w:val="24"/>
        </w:rPr>
        <w:t>aggregation</w:t>
      </w:r>
      <w:r w:rsidR="00732F26" w:rsidRPr="00795222">
        <w:rPr>
          <w:rFonts w:asciiTheme="majorBidi" w:hAnsiTheme="majorBidi" w:cstheme="majorBidi"/>
          <w:sz w:val="24"/>
          <w:szCs w:val="24"/>
        </w:rPr>
        <w:t xml:space="preserve"> was </w:t>
      </w:r>
      <w:r w:rsidR="00205311" w:rsidRPr="00795222">
        <w:rPr>
          <w:rFonts w:asciiTheme="majorBidi" w:hAnsiTheme="majorBidi" w:cstheme="majorBidi"/>
          <w:sz w:val="24"/>
          <w:szCs w:val="24"/>
        </w:rPr>
        <w:t>observed</w:t>
      </w:r>
      <w:r w:rsidR="00A30A9F" w:rsidRPr="00795222">
        <w:rPr>
          <w:rFonts w:asciiTheme="majorBidi" w:hAnsiTheme="majorBidi" w:cstheme="majorBidi"/>
          <w:sz w:val="24"/>
          <w:szCs w:val="24"/>
        </w:rPr>
        <w:t>. A</w:t>
      </w:r>
      <w:r w:rsidRPr="00795222">
        <w:rPr>
          <w:rFonts w:asciiTheme="majorBidi" w:hAnsiTheme="majorBidi" w:cstheme="majorBidi"/>
          <w:sz w:val="24"/>
          <w:szCs w:val="24"/>
        </w:rPr>
        <w:t xml:space="preserve">n increase in </w:t>
      </w:r>
      <w:r w:rsidR="00C81D5F" w:rsidRPr="00795222">
        <w:rPr>
          <w:rFonts w:asciiTheme="majorBidi" w:hAnsiTheme="majorBidi" w:cstheme="majorBidi"/>
          <w:sz w:val="24"/>
          <w:szCs w:val="24"/>
        </w:rPr>
        <w:t>B</w:t>
      </w:r>
      <w:r w:rsidR="00224B86" w:rsidRPr="00795222">
        <w:rPr>
          <w:rFonts w:asciiTheme="majorBidi" w:hAnsiTheme="majorBidi" w:cstheme="majorBidi"/>
          <w:sz w:val="24"/>
          <w:szCs w:val="24"/>
        </w:rPr>
        <w:t>rij 78</w:t>
      </w:r>
      <w:r w:rsidRPr="00795222">
        <w:rPr>
          <w:rFonts w:asciiTheme="majorBidi" w:hAnsiTheme="majorBidi" w:cstheme="majorBidi"/>
          <w:sz w:val="24"/>
          <w:szCs w:val="24"/>
        </w:rPr>
        <w:t>/</w:t>
      </w:r>
      <w:r w:rsidR="00732F26" w:rsidRPr="00795222">
        <w:rPr>
          <w:rFonts w:asciiTheme="majorBidi" w:hAnsiTheme="majorBidi" w:cstheme="majorBidi"/>
          <w:sz w:val="24"/>
          <w:szCs w:val="24"/>
        </w:rPr>
        <w:t>t</w:t>
      </w:r>
      <w:r w:rsidRPr="00795222">
        <w:rPr>
          <w:rFonts w:asciiTheme="majorBidi" w:hAnsiTheme="majorBidi" w:cstheme="majorBidi"/>
          <w:sz w:val="24"/>
          <w:szCs w:val="24"/>
        </w:rPr>
        <w:t xml:space="preserve">otal </w:t>
      </w:r>
      <w:r w:rsidR="0051529C" w:rsidRPr="00795222">
        <w:rPr>
          <w:rFonts w:asciiTheme="majorBidi" w:hAnsiTheme="majorBidi" w:cstheme="majorBidi"/>
          <w:sz w:val="24"/>
          <w:szCs w:val="24"/>
        </w:rPr>
        <w:t>stabilizer</w:t>
      </w:r>
      <w:r w:rsidR="00732F26" w:rsidRPr="00795222">
        <w:rPr>
          <w:rFonts w:asciiTheme="majorBidi" w:hAnsiTheme="majorBidi" w:cstheme="majorBidi"/>
          <w:sz w:val="24"/>
          <w:szCs w:val="24"/>
        </w:rPr>
        <w:t xml:space="preserve"> </w:t>
      </w:r>
      <w:r w:rsidRPr="00795222">
        <w:rPr>
          <w:rFonts w:asciiTheme="majorBidi" w:hAnsiTheme="majorBidi" w:cstheme="majorBidi"/>
          <w:sz w:val="24"/>
          <w:szCs w:val="24"/>
        </w:rPr>
        <w:t>to</w:t>
      </w:r>
      <w:r w:rsidR="00732F26" w:rsidRPr="00795222">
        <w:rPr>
          <w:rFonts w:asciiTheme="majorBidi" w:hAnsiTheme="majorBidi" w:cstheme="majorBidi"/>
          <w:sz w:val="24"/>
          <w:szCs w:val="24"/>
        </w:rPr>
        <w:t xml:space="preserve"> greater than </w:t>
      </w:r>
      <w:r w:rsidRPr="00795222">
        <w:rPr>
          <w:rFonts w:asciiTheme="majorBidi" w:hAnsiTheme="majorBidi" w:cstheme="majorBidi"/>
          <w:sz w:val="24"/>
          <w:szCs w:val="24"/>
        </w:rPr>
        <w:t>50</w:t>
      </w:r>
      <w:r w:rsidR="000421D6" w:rsidRPr="00795222">
        <w:rPr>
          <w:rFonts w:asciiTheme="majorBidi" w:hAnsiTheme="majorBidi" w:cstheme="majorBidi"/>
          <w:sz w:val="24"/>
          <w:szCs w:val="24"/>
        </w:rPr>
        <w:t xml:space="preserve"> </w:t>
      </w:r>
      <w:r w:rsidRPr="00795222">
        <w:rPr>
          <w:rFonts w:asciiTheme="majorBidi" w:hAnsiTheme="majorBidi" w:cstheme="majorBidi"/>
          <w:sz w:val="24"/>
          <w:szCs w:val="24"/>
        </w:rPr>
        <w:t>%</w:t>
      </w:r>
      <w:r w:rsidR="00732F26" w:rsidRPr="00795222">
        <w:rPr>
          <w:rFonts w:asciiTheme="majorBidi" w:hAnsiTheme="majorBidi" w:cstheme="majorBidi"/>
          <w:sz w:val="24"/>
          <w:szCs w:val="24"/>
        </w:rPr>
        <w:t xml:space="preserve"> </w:t>
      </w:r>
      <w:r w:rsidRPr="00795222">
        <w:rPr>
          <w:rFonts w:asciiTheme="majorBidi" w:hAnsiTheme="majorBidi" w:cstheme="majorBidi"/>
          <w:sz w:val="24"/>
          <w:szCs w:val="24"/>
        </w:rPr>
        <w:t xml:space="preserve">showed </w:t>
      </w:r>
      <w:r w:rsidR="00732F26" w:rsidRPr="00795222">
        <w:rPr>
          <w:rFonts w:asciiTheme="majorBidi" w:hAnsiTheme="majorBidi" w:cstheme="majorBidi"/>
          <w:sz w:val="24"/>
          <w:szCs w:val="24"/>
        </w:rPr>
        <w:t xml:space="preserve">effective </w:t>
      </w:r>
      <w:r w:rsidRPr="00795222">
        <w:rPr>
          <w:rFonts w:asciiTheme="majorBidi" w:hAnsiTheme="majorBidi" w:cstheme="majorBidi"/>
          <w:sz w:val="24"/>
          <w:szCs w:val="24"/>
        </w:rPr>
        <w:t>stability</w:t>
      </w:r>
      <w:r w:rsidR="00CB22BF" w:rsidRPr="00795222">
        <w:rPr>
          <w:rFonts w:asciiTheme="majorBidi" w:hAnsiTheme="majorBidi" w:cstheme="majorBidi"/>
          <w:sz w:val="24"/>
          <w:szCs w:val="24"/>
        </w:rPr>
        <w:t xml:space="preserve"> in </w:t>
      </w:r>
      <w:r w:rsidR="001C688A" w:rsidRPr="00795222">
        <w:rPr>
          <w:rFonts w:asciiTheme="majorBidi" w:hAnsiTheme="majorBidi" w:cstheme="majorBidi"/>
          <w:sz w:val="24"/>
          <w:szCs w:val="24"/>
        </w:rPr>
        <w:t>PBS</w:t>
      </w:r>
      <w:r w:rsidRPr="00795222">
        <w:rPr>
          <w:rFonts w:asciiTheme="majorBidi" w:hAnsiTheme="majorBidi" w:cstheme="majorBidi"/>
          <w:sz w:val="24"/>
          <w:szCs w:val="24"/>
        </w:rPr>
        <w:t xml:space="preserve">. </w:t>
      </w:r>
      <w:r w:rsidR="00732F26" w:rsidRPr="00795222">
        <w:rPr>
          <w:rFonts w:asciiTheme="majorBidi" w:hAnsiTheme="majorBidi" w:cstheme="majorBidi"/>
          <w:sz w:val="24"/>
          <w:szCs w:val="24"/>
        </w:rPr>
        <w:t xml:space="preserve">The samples with </w:t>
      </w:r>
      <w:r w:rsidR="00C81D5F" w:rsidRPr="00795222">
        <w:rPr>
          <w:rFonts w:asciiTheme="majorBidi" w:hAnsiTheme="majorBidi" w:cstheme="majorBidi"/>
          <w:sz w:val="24"/>
          <w:szCs w:val="24"/>
        </w:rPr>
        <w:t>B</w:t>
      </w:r>
      <w:r w:rsidR="00732F26" w:rsidRPr="00795222">
        <w:rPr>
          <w:rFonts w:asciiTheme="majorBidi" w:hAnsiTheme="majorBidi" w:cstheme="majorBidi"/>
          <w:sz w:val="24"/>
          <w:szCs w:val="24"/>
        </w:rPr>
        <w:t>rij 78 content o</w:t>
      </w:r>
      <w:r w:rsidR="009273D3" w:rsidRPr="00795222">
        <w:rPr>
          <w:rFonts w:asciiTheme="majorBidi" w:hAnsiTheme="majorBidi" w:cstheme="majorBidi"/>
          <w:sz w:val="24"/>
          <w:szCs w:val="24"/>
        </w:rPr>
        <w:t>f</w:t>
      </w:r>
      <w:r w:rsidR="00732F26" w:rsidRPr="00795222">
        <w:rPr>
          <w:rFonts w:asciiTheme="majorBidi" w:hAnsiTheme="majorBidi" w:cstheme="majorBidi"/>
          <w:sz w:val="24"/>
          <w:szCs w:val="24"/>
        </w:rPr>
        <w:t xml:space="preserve"> either </w:t>
      </w:r>
      <w:r w:rsidRPr="00795222">
        <w:rPr>
          <w:rFonts w:asciiTheme="majorBidi" w:hAnsiTheme="majorBidi" w:cstheme="majorBidi"/>
          <w:sz w:val="24"/>
          <w:szCs w:val="24"/>
        </w:rPr>
        <w:t xml:space="preserve">70 </w:t>
      </w:r>
      <w:r w:rsidR="00C81D5F" w:rsidRPr="00795222">
        <w:rPr>
          <w:rFonts w:asciiTheme="majorBidi" w:hAnsiTheme="majorBidi" w:cstheme="majorBidi"/>
          <w:sz w:val="24"/>
          <w:szCs w:val="24"/>
        </w:rPr>
        <w:t xml:space="preserve">or </w:t>
      </w:r>
      <w:r w:rsidRPr="00795222">
        <w:rPr>
          <w:rFonts w:asciiTheme="majorBidi" w:hAnsiTheme="majorBidi" w:cstheme="majorBidi"/>
          <w:sz w:val="24"/>
          <w:szCs w:val="24"/>
        </w:rPr>
        <w:t xml:space="preserve">90 % w/w </w:t>
      </w:r>
      <w:r w:rsidR="00732F26" w:rsidRPr="00795222">
        <w:rPr>
          <w:rFonts w:asciiTheme="majorBidi" w:hAnsiTheme="majorBidi" w:cstheme="majorBidi"/>
          <w:sz w:val="24"/>
          <w:szCs w:val="24"/>
        </w:rPr>
        <w:t xml:space="preserve">were selected for further </w:t>
      </w:r>
      <w:r w:rsidR="0051529C" w:rsidRPr="00795222">
        <w:rPr>
          <w:rFonts w:asciiTheme="majorBidi" w:hAnsiTheme="majorBidi" w:cstheme="majorBidi"/>
          <w:sz w:val="24"/>
          <w:szCs w:val="24"/>
        </w:rPr>
        <w:t>optimization</w:t>
      </w:r>
      <w:r w:rsidR="00732F26" w:rsidRPr="00795222">
        <w:rPr>
          <w:rFonts w:asciiTheme="majorBidi" w:hAnsiTheme="majorBidi" w:cstheme="majorBidi"/>
          <w:sz w:val="24"/>
          <w:szCs w:val="24"/>
        </w:rPr>
        <w:t xml:space="preserve"> of drug loading due to their</w:t>
      </w:r>
      <w:r w:rsidRPr="00795222">
        <w:rPr>
          <w:rFonts w:asciiTheme="majorBidi" w:hAnsiTheme="majorBidi" w:cstheme="majorBidi"/>
          <w:sz w:val="24"/>
          <w:szCs w:val="24"/>
        </w:rPr>
        <w:t xml:space="preserve"> </w:t>
      </w:r>
      <w:r w:rsidR="00732F26" w:rsidRPr="00795222">
        <w:rPr>
          <w:rFonts w:asciiTheme="majorBidi" w:hAnsiTheme="majorBidi" w:cstheme="majorBidi"/>
          <w:sz w:val="24"/>
          <w:szCs w:val="24"/>
        </w:rPr>
        <w:t>small diameters.</w:t>
      </w:r>
      <w:r w:rsidRPr="00795222">
        <w:rPr>
          <w:rFonts w:asciiTheme="majorBidi" w:hAnsiTheme="majorBidi" w:cstheme="majorBidi"/>
          <w:sz w:val="24"/>
          <w:szCs w:val="24"/>
        </w:rPr>
        <w:t xml:space="preserve"> </w:t>
      </w:r>
      <w:r w:rsidR="00C81D5F" w:rsidRPr="00795222">
        <w:rPr>
          <w:rFonts w:asciiTheme="majorBidi" w:hAnsiTheme="majorBidi" w:cstheme="majorBidi"/>
          <w:sz w:val="24"/>
          <w:szCs w:val="24"/>
        </w:rPr>
        <w:t>These r</w:t>
      </w:r>
      <w:r w:rsidRPr="00795222">
        <w:rPr>
          <w:rFonts w:asciiTheme="majorBidi" w:hAnsiTheme="majorBidi" w:cstheme="majorBidi"/>
          <w:sz w:val="24"/>
          <w:szCs w:val="24"/>
        </w:rPr>
        <w:t xml:space="preserve">esults shows that the formulation requirements for LPHNs in terms of the ratio between </w:t>
      </w:r>
      <w:r w:rsidR="00C81D5F" w:rsidRPr="00795222">
        <w:rPr>
          <w:rFonts w:asciiTheme="majorBidi" w:hAnsiTheme="majorBidi" w:cstheme="majorBidi"/>
          <w:sz w:val="24"/>
          <w:szCs w:val="24"/>
        </w:rPr>
        <w:t>B</w:t>
      </w:r>
      <w:r w:rsidR="00224B86" w:rsidRPr="00795222">
        <w:rPr>
          <w:rFonts w:asciiTheme="majorBidi" w:hAnsiTheme="majorBidi" w:cstheme="majorBidi"/>
          <w:sz w:val="24"/>
          <w:szCs w:val="24"/>
        </w:rPr>
        <w:t>rij 78</w:t>
      </w:r>
      <w:r w:rsidRPr="00795222">
        <w:rPr>
          <w:rFonts w:asciiTheme="majorBidi" w:hAnsiTheme="majorBidi" w:cstheme="majorBidi"/>
          <w:sz w:val="24"/>
          <w:szCs w:val="24"/>
        </w:rPr>
        <w:t xml:space="preserve"> and phospholipids mixture</w:t>
      </w:r>
      <w:r w:rsidR="009273D3" w:rsidRPr="00795222">
        <w:rPr>
          <w:rFonts w:asciiTheme="majorBidi" w:hAnsiTheme="majorBidi" w:cstheme="majorBidi"/>
          <w:sz w:val="24"/>
          <w:szCs w:val="24"/>
        </w:rPr>
        <w:t xml:space="preserve"> (7:3 and 9:1) </w:t>
      </w:r>
      <w:r w:rsidR="006A4A23" w:rsidRPr="00795222">
        <w:rPr>
          <w:rFonts w:asciiTheme="majorBidi" w:hAnsiTheme="majorBidi" w:cstheme="majorBidi"/>
          <w:sz w:val="24"/>
          <w:szCs w:val="24"/>
        </w:rPr>
        <w:t xml:space="preserve">compares closely to the work of Chan </w:t>
      </w:r>
      <w:r w:rsidR="006A4A23" w:rsidRPr="00795222">
        <w:rPr>
          <w:rFonts w:asciiTheme="majorBidi" w:hAnsiTheme="majorBidi" w:cstheme="majorBidi"/>
          <w:i/>
          <w:sz w:val="24"/>
          <w:szCs w:val="24"/>
        </w:rPr>
        <w:t>et al</w:t>
      </w:r>
      <w:r w:rsidR="006A4A23" w:rsidRPr="00795222">
        <w:rPr>
          <w:rFonts w:asciiTheme="majorBidi" w:hAnsiTheme="majorBidi" w:cstheme="majorBidi"/>
          <w:sz w:val="24"/>
          <w:szCs w:val="24"/>
        </w:rPr>
        <w:t xml:space="preserve">. who used a </w:t>
      </w:r>
      <w:r w:rsidR="00DB063E" w:rsidRPr="00795222">
        <w:rPr>
          <w:rFonts w:asciiTheme="majorBidi" w:hAnsiTheme="majorBidi" w:cstheme="majorBidi"/>
          <w:sz w:val="24"/>
          <w:szCs w:val="24"/>
        </w:rPr>
        <w:t>lipid</w:t>
      </w:r>
      <w:r w:rsidR="00B71148" w:rsidRPr="00795222">
        <w:rPr>
          <w:rFonts w:asciiTheme="majorBidi" w:hAnsiTheme="majorBidi" w:cstheme="majorBidi"/>
          <w:sz w:val="24"/>
          <w:szCs w:val="24"/>
        </w:rPr>
        <w:t xml:space="preserve"> to </w:t>
      </w:r>
      <w:r w:rsidR="006A4A23" w:rsidRPr="00795222">
        <w:rPr>
          <w:rFonts w:asciiTheme="majorBidi" w:hAnsiTheme="majorBidi" w:cstheme="majorBidi"/>
          <w:sz w:val="24"/>
          <w:szCs w:val="24"/>
        </w:rPr>
        <w:t xml:space="preserve">lipid-PEG conjugate at a </w:t>
      </w:r>
      <w:r w:rsidRPr="00795222">
        <w:rPr>
          <w:rFonts w:asciiTheme="majorBidi" w:hAnsiTheme="majorBidi" w:cstheme="majorBidi"/>
          <w:sz w:val="24"/>
          <w:szCs w:val="24"/>
        </w:rPr>
        <w:t>2.5:7.2</w:t>
      </w:r>
      <w:r w:rsidR="006A4A23" w:rsidRPr="00795222">
        <w:rPr>
          <w:rFonts w:asciiTheme="majorBidi" w:hAnsiTheme="majorBidi" w:cstheme="majorBidi"/>
          <w:sz w:val="24"/>
          <w:szCs w:val="24"/>
        </w:rPr>
        <w:t xml:space="preserve"> ratio.</w:t>
      </w:r>
      <w:r w:rsidRPr="00795222">
        <w:rPr>
          <w:rFonts w:asciiTheme="majorBidi" w:hAnsiTheme="majorBidi" w:cstheme="majorBidi"/>
          <w:sz w:val="24"/>
          <w:szCs w:val="24"/>
          <w:vertAlign w:val="superscript"/>
        </w:rPr>
        <w:fldChar w:fldCharType="begin" w:fldLock="1"/>
      </w:r>
      <w:r w:rsidR="008E225E" w:rsidRPr="00795222">
        <w:rPr>
          <w:rFonts w:asciiTheme="majorBidi" w:hAnsiTheme="majorBidi" w:cstheme="majorBidi"/>
          <w:sz w:val="24"/>
          <w:szCs w:val="24"/>
          <w:vertAlign w:val="superscript"/>
        </w:rPr>
        <w:instrText>ADDIN CSL_CITATION {"citationItems":[{"id":"ITEM-1","itemData":{"DOI":"10.1016/j.biomaterials.2008.12.013","ISSN":"0142-9612","author":[{"dropping-particle":"","family":"Chan","given":"Juliana M","non-dropping-particle":"","parse-names":false,"suffix":""},{"dropping-particle":"","family":"Zhang","given":"Liangfang","non-dropping-particle":"","parse-names":false,"suffix":""},{"dropping-particle":"","family":"Yuet","given":"Kai P","non-dropping-particle":"","parse-names":false,"suffix":""},{"dropping-particle":"","family":"Liao","given":"Grace","non-dropping-particle":"","parse-names":false,"suffix":""},{"dropping-particle":"","family":"Rhee","given":"June-wha","non-dropping-particle":"","parse-names":false,"suffix":""},{"dropping-particle":"","family":"Langer","given":"Robert","non-dropping-particle":"","parse-names":false,"suffix":""},{"dropping-particle":"","family":"Farokhzad","given":"Omid C","non-dropping-particle":"","parse-names":false,"suffix":""}],"container-title":"Biomaterials","id":"ITEM-1","issue":"8","issued":{"date-parts":[["2009"]]},"page":"1627-1634","publisher":"Elsevier Ltd","title":"Biomaterials PLGA – lecithin – PEG core – shell nanoparticles for controlled drug delivery","type":"article-journal","volume":"30"},"uris":["http://www.mendeley.com/documents/?uuid=5c51ea4a-5945-44ce-a2aa-0c4b8cfac88d","http://www.mendeley.com/documents/?uuid=bc9a46a5-7cc4-415c-b3d2-8a3143a8bc94"]}],"mendeley":{"formattedCitation":"(Chan et al., 2009)","plainTextFormattedCitation":"(Chan et al., 2009)","previouslyFormattedCitation":"(Chan et al., 2009)"},"properties":{"noteIndex":0},"schema":"https://github.com/citation-style-language/schema/raw/master/csl-citation.json"}</w:instrText>
      </w:r>
      <w:r w:rsidRPr="00795222">
        <w:rPr>
          <w:rFonts w:asciiTheme="majorBidi" w:hAnsiTheme="majorBidi" w:cstheme="majorBidi"/>
          <w:sz w:val="24"/>
          <w:szCs w:val="24"/>
          <w:vertAlign w:val="superscript"/>
        </w:rPr>
        <w:fldChar w:fldCharType="separate"/>
      </w:r>
      <w:r w:rsidR="00FF41FF" w:rsidRPr="00795222">
        <w:rPr>
          <w:rFonts w:asciiTheme="majorBidi" w:hAnsiTheme="majorBidi" w:cstheme="majorBidi"/>
          <w:noProof/>
          <w:sz w:val="24"/>
          <w:szCs w:val="24"/>
        </w:rPr>
        <w:t>(Chan et al., 2009)</w:t>
      </w:r>
      <w:r w:rsidRPr="00795222">
        <w:rPr>
          <w:rFonts w:asciiTheme="majorBidi" w:hAnsiTheme="majorBidi" w:cstheme="majorBidi"/>
          <w:sz w:val="24"/>
          <w:szCs w:val="24"/>
          <w:vertAlign w:val="superscript"/>
        </w:rPr>
        <w:fldChar w:fldCharType="end"/>
      </w:r>
    </w:p>
    <w:p w14:paraId="63535B8A" w14:textId="77777777" w:rsidR="000A5AE1" w:rsidRPr="00795222" w:rsidRDefault="000A5AE1" w:rsidP="00657F6C">
      <w:pPr>
        <w:pStyle w:val="Caption"/>
        <w:jc w:val="both"/>
        <w:rPr>
          <w:rFonts w:asciiTheme="majorBidi" w:hAnsiTheme="majorBidi" w:cstheme="majorBidi"/>
          <w:sz w:val="24"/>
          <w:szCs w:val="24"/>
        </w:rPr>
      </w:pPr>
    </w:p>
    <w:p w14:paraId="22CC3482" w14:textId="30DB2CD3" w:rsidR="00C123A7" w:rsidRPr="00795222" w:rsidRDefault="007B04D3" w:rsidP="00657F6C">
      <w:pPr>
        <w:pStyle w:val="Caption"/>
        <w:jc w:val="both"/>
        <w:rPr>
          <w:rFonts w:asciiTheme="majorBidi" w:hAnsiTheme="majorBidi" w:cstheme="majorBidi"/>
          <w:b/>
          <w:sz w:val="24"/>
          <w:szCs w:val="24"/>
        </w:rPr>
      </w:pPr>
      <w:r w:rsidRPr="00795222">
        <w:rPr>
          <w:rFonts w:asciiTheme="majorBidi" w:hAnsiTheme="majorBidi" w:cstheme="majorBidi"/>
          <w:b/>
          <w:sz w:val="24"/>
          <w:szCs w:val="24"/>
        </w:rPr>
        <w:t>FIGURE 3</w:t>
      </w:r>
    </w:p>
    <w:p w14:paraId="4F97812F" w14:textId="77777777" w:rsidR="00711294" w:rsidRPr="00795222" w:rsidRDefault="00711294" w:rsidP="00657F6C">
      <w:pPr>
        <w:jc w:val="both"/>
        <w:rPr>
          <w:lang w:val="en-US"/>
        </w:rPr>
      </w:pPr>
    </w:p>
    <w:p w14:paraId="256BE313" w14:textId="50925F16" w:rsidR="00370E25" w:rsidRPr="00795222" w:rsidRDefault="00370E25" w:rsidP="00657F6C">
      <w:pPr>
        <w:pStyle w:val="Heading3"/>
        <w:spacing w:line="360" w:lineRule="auto"/>
        <w:jc w:val="both"/>
        <w:rPr>
          <w:rFonts w:asciiTheme="majorBidi" w:hAnsiTheme="majorBidi"/>
          <w:lang w:val="en-US"/>
        </w:rPr>
      </w:pPr>
      <w:r w:rsidRPr="00795222">
        <w:rPr>
          <w:rFonts w:asciiTheme="majorBidi" w:hAnsiTheme="majorBidi"/>
          <w:lang w:val="en-US"/>
        </w:rPr>
        <w:lastRenderedPageBreak/>
        <w:t xml:space="preserve">Effect of Drug/PLGA </w:t>
      </w:r>
      <w:r w:rsidR="00C51838" w:rsidRPr="00795222">
        <w:rPr>
          <w:rFonts w:asciiTheme="majorBidi" w:hAnsiTheme="majorBidi"/>
          <w:lang w:val="en-US"/>
        </w:rPr>
        <w:t xml:space="preserve">mass </w:t>
      </w:r>
      <w:r w:rsidR="00575397" w:rsidRPr="00795222">
        <w:rPr>
          <w:rFonts w:asciiTheme="majorBidi" w:hAnsiTheme="majorBidi"/>
          <w:lang w:val="en-US"/>
        </w:rPr>
        <w:t>percent</w:t>
      </w:r>
      <w:r w:rsidR="00984472" w:rsidRPr="00795222">
        <w:rPr>
          <w:rFonts w:asciiTheme="majorBidi" w:hAnsiTheme="majorBidi"/>
          <w:lang w:val="en-US"/>
        </w:rPr>
        <w:t>age</w:t>
      </w:r>
      <w:r w:rsidRPr="00795222">
        <w:rPr>
          <w:rFonts w:asciiTheme="majorBidi" w:hAnsiTheme="majorBidi"/>
          <w:lang w:val="en-US"/>
        </w:rPr>
        <w:t xml:space="preserve"> on </w:t>
      </w:r>
      <w:r w:rsidR="00440A3E" w:rsidRPr="00795222">
        <w:rPr>
          <w:rFonts w:asciiTheme="majorBidi" w:hAnsiTheme="majorBidi"/>
          <w:lang w:val="en-US"/>
        </w:rPr>
        <w:t>particle properties and formation of dispersible formulation</w:t>
      </w:r>
    </w:p>
    <w:p w14:paraId="08796D3C" w14:textId="0013FEA3" w:rsidR="001B29DB" w:rsidRPr="00795222" w:rsidRDefault="00370E25" w:rsidP="00657F6C">
      <w:p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lang w:val="en-US"/>
        </w:rPr>
        <w:t xml:space="preserve">As the role of each surfactant has been established in </w:t>
      </w:r>
      <w:r w:rsidR="0051529C" w:rsidRPr="00795222">
        <w:rPr>
          <w:rFonts w:asciiTheme="majorBidi" w:hAnsiTheme="majorBidi" w:cstheme="majorBidi"/>
          <w:sz w:val="24"/>
          <w:szCs w:val="24"/>
          <w:lang w:val="en-US"/>
        </w:rPr>
        <w:t>stabilizing</w:t>
      </w:r>
      <w:r w:rsidRPr="00795222">
        <w:rPr>
          <w:rFonts w:asciiTheme="majorBidi" w:hAnsiTheme="majorBidi" w:cstheme="majorBidi"/>
          <w:sz w:val="24"/>
          <w:szCs w:val="24"/>
          <w:lang w:val="en-US"/>
        </w:rPr>
        <w:t xml:space="preserve"> blank</w:t>
      </w:r>
      <w:r w:rsidR="00AA2780"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t xml:space="preserve">LPHNs, </w:t>
      </w:r>
      <w:r w:rsidR="00E82907" w:rsidRPr="00795222">
        <w:rPr>
          <w:rFonts w:asciiTheme="majorBidi" w:hAnsiTheme="majorBidi" w:cstheme="majorBidi"/>
          <w:sz w:val="24"/>
          <w:szCs w:val="24"/>
          <w:lang w:val="en-US"/>
        </w:rPr>
        <w:t>drug loaded</w:t>
      </w:r>
      <w:r w:rsidRPr="00795222">
        <w:rPr>
          <w:rFonts w:asciiTheme="majorBidi" w:hAnsiTheme="majorBidi" w:cstheme="majorBidi"/>
          <w:sz w:val="24"/>
          <w:szCs w:val="24"/>
          <w:lang w:val="en-US"/>
        </w:rPr>
        <w:t xml:space="preserve"> LPHNs were prepared to det</w:t>
      </w:r>
      <w:r w:rsidR="00A94329" w:rsidRPr="00795222">
        <w:rPr>
          <w:rFonts w:asciiTheme="majorBidi" w:hAnsiTheme="majorBidi" w:cstheme="majorBidi"/>
          <w:sz w:val="24"/>
          <w:szCs w:val="24"/>
          <w:lang w:val="en-US"/>
        </w:rPr>
        <w:t>ermine</w:t>
      </w:r>
      <w:r w:rsidRPr="00795222">
        <w:rPr>
          <w:rFonts w:asciiTheme="majorBidi" w:hAnsiTheme="majorBidi" w:cstheme="majorBidi"/>
          <w:sz w:val="24"/>
          <w:szCs w:val="24"/>
          <w:lang w:val="en-US"/>
        </w:rPr>
        <w:t xml:space="preserve"> the highest possible drug loading</w:t>
      </w:r>
      <w:r w:rsidR="00A30A9F" w:rsidRPr="00795222">
        <w:rPr>
          <w:rFonts w:asciiTheme="majorBidi" w:hAnsiTheme="majorBidi" w:cstheme="majorBidi"/>
          <w:sz w:val="24"/>
          <w:szCs w:val="24"/>
          <w:lang w:val="en-US"/>
        </w:rPr>
        <w:t>.</w:t>
      </w:r>
      <w:r w:rsidR="009273D3" w:rsidRPr="00795222">
        <w:rPr>
          <w:rFonts w:asciiTheme="majorBidi" w:hAnsiTheme="majorBidi" w:cstheme="majorBidi"/>
          <w:sz w:val="24"/>
          <w:szCs w:val="24"/>
          <w:lang w:val="en-US"/>
        </w:rPr>
        <w:t xml:space="preserve"> </w:t>
      </w:r>
      <w:r w:rsidR="00CA07F3" w:rsidRPr="00795222">
        <w:rPr>
          <w:rFonts w:asciiTheme="majorBidi" w:hAnsiTheme="majorBidi" w:cstheme="majorBidi"/>
          <w:sz w:val="24"/>
          <w:szCs w:val="24"/>
          <w:lang w:val="en-US"/>
        </w:rPr>
        <w:t xml:space="preserve">The </w:t>
      </w:r>
      <w:r w:rsidR="00C81D5F" w:rsidRPr="00795222">
        <w:rPr>
          <w:rFonts w:asciiTheme="majorBidi" w:hAnsiTheme="majorBidi" w:cstheme="majorBidi"/>
          <w:sz w:val="24"/>
          <w:szCs w:val="24"/>
          <w:lang w:val="en-US"/>
        </w:rPr>
        <w:t>B</w:t>
      </w:r>
      <w:r w:rsidR="00224B86" w:rsidRPr="00795222">
        <w:rPr>
          <w:rFonts w:asciiTheme="majorBidi" w:hAnsiTheme="majorBidi" w:cstheme="majorBidi"/>
          <w:sz w:val="24"/>
          <w:szCs w:val="24"/>
          <w:lang w:val="en-US"/>
        </w:rPr>
        <w:t>rij 78</w:t>
      </w:r>
      <w:r w:rsidR="00CA07F3" w:rsidRPr="00795222">
        <w:rPr>
          <w:rFonts w:asciiTheme="majorBidi" w:hAnsiTheme="majorBidi" w:cstheme="majorBidi"/>
          <w:sz w:val="24"/>
          <w:szCs w:val="24"/>
          <w:lang w:val="en-US"/>
        </w:rPr>
        <w:t xml:space="preserve">/total </w:t>
      </w:r>
      <w:r w:rsidR="0051529C" w:rsidRPr="00795222">
        <w:rPr>
          <w:rFonts w:asciiTheme="majorBidi" w:hAnsiTheme="majorBidi" w:cstheme="majorBidi"/>
          <w:sz w:val="24"/>
          <w:szCs w:val="24"/>
          <w:lang w:val="en-US"/>
        </w:rPr>
        <w:t>stabilizer</w:t>
      </w:r>
      <w:r w:rsidR="0082703F" w:rsidRPr="00795222">
        <w:rPr>
          <w:rFonts w:asciiTheme="majorBidi" w:hAnsiTheme="majorBidi" w:cstheme="majorBidi"/>
          <w:sz w:val="24"/>
          <w:szCs w:val="24"/>
          <w:lang w:val="en-US"/>
        </w:rPr>
        <w:t xml:space="preserve"> percentage</w:t>
      </w:r>
      <w:r w:rsidR="00CA07F3" w:rsidRPr="00795222">
        <w:rPr>
          <w:rFonts w:asciiTheme="majorBidi" w:hAnsiTheme="majorBidi" w:cstheme="majorBidi"/>
          <w:sz w:val="24"/>
          <w:szCs w:val="24"/>
          <w:lang w:val="en-US"/>
        </w:rPr>
        <w:t xml:space="preserve"> chosen for </w:t>
      </w:r>
      <w:r w:rsidR="00A30A9F" w:rsidRPr="00795222">
        <w:rPr>
          <w:rFonts w:asciiTheme="majorBidi" w:hAnsiTheme="majorBidi" w:cstheme="majorBidi"/>
          <w:sz w:val="24"/>
          <w:szCs w:val="24"/>
          <w:lang w:val="en-US"/>
        </w:rPr>
        <w:t>these studies</w:t>
      </w:r>
      <w:r w:rsidR="00CA07F3" w:rsidRPr="00795222">
        <w:rPr>
          <w:rFonts w:asciiTheme="majorBidi" w:hAnsiTheme="majorBidi" w:cstheme="majorBidi"/>
          <w:sz w:val="24"/>
          <w:szCs w:val="24"/>
          <w:lang w:val="en-US"/>
        </w:rPr>
        <w:t xml:space="preserve"> were 70 and 90 % w/w</w:t>
      </w:r>
      <w:r w:rsidR="00C81D5F" w:rsidRPr="00795222">
        <w:rPr>
          <w:rFonts w:asciiTheme="majorBidi" w:hAnsiTheme="majorBidi" w:cstheme="majorBidi"/>
          <w:sz w:val="24"/>
          <w:szCs w:val="24"/>
          <w:lang w:val="en-US"/>
        </w:rPr>
        <w:t>,</w:t>
      </w:r>
      <w:r w:rsidR="00CA07F3" w:rsidRPr="00795222">
        <w:rPr>
          <w:rFonts w:asciiTheme="majorBidi" w:hAnsiTheme="majorBidi" w:cstheme="majorBidi"/>
          <w:sz w:val="24"/>
          <w:szCs w:val="24"/>
          <w:lang w:val="en-US"/>
        </w:rPr>
        <w:t xml:space="preserve"> </w:t>
      </w:r>
      <w:r w:rsidR="00A94329" w:rsidRPr="00795222">
        <w:rPr>
          <w:rFonts w:asciiTheme="majorBidi" w:hAnsiTheme="majorBidi" w:cstheme="majorBidi"/>
          <w:sz w:val="24"/>
          <w:szCs w:val="24"/>
          <w:lang w:val="en-US"/>
        </w:rPr>
        <w:t>and a</w:t>
      </w:r>
      <w:r w:rsidR="00CA07F3" w:rsidRPr="00795222">
        <w:rPr>
          <w:rFonts w:asciiTheme="majorBidi" w:hAnsiTheme="majorBidi" w:cstheme="majorBidi"/>
          <w:sz w:val="24"/>
          <w:szCs w:val="24"/>
          <w:lang w:val="en-US"/>
        </w:rPr>
        <w:t xml:space="preserve"> 100 % </w:t>
      </w:r>
      <w:r w:rsidR="00C81D5F" w:rsidRPr="00795222">
        <w:rPr>
          <w:rFonts w:asciiTheme="majorBidi" w:hAnsiTheme="majorBidi" w:cstheme="majorBidi"/>
          <w:sz w:val="24"/>
          <w:szCs w:val="24"/>
          <w:lang w:val="en-US"/>
        </w:rPr>
        <w:t>B</w:t>
      </w:r>
      <w:r w:rsidR="00224B86" w:rsidRPr="00795222">
        <w:rPr>
          <w:rFonts w:asciiTheme="majorBidi" w:hAnsiTheme="majorBidi" w:cstheme="majorBidi"/>
          <w:sz w:val="24"/>
          <w:szCs w:val="24"/>
          <w:lang w:val="en-US"/>
        </w:rPr>
        <w:t>rij 78</w:t>
      </w:r>
      <w:r w:rsidR="00CA07F3" w:rsidRPr="00795222">
        <w:rPr>
          <w:rFonts w:asciiTheme="majorBidi" w:hAnsiTheme="majorBidi" w:cstheme="majorBidi"/>
          <w:sz w:val="24"/>
          <w:szCs w:val="24"/>
          <w:lang w:val="en-US"/>
        </w:rPr>
        <w:t xml:space="preserve"> </w:t>
      </w:r>
      <w:r w:rsidR="00613313" w:rsidRPr="00795222">
        <w:rPr>
          <w:rFonts w:asciiTheme="majorBidi" w:hAnsiTheme="majorBidi" w:cstheme="majorBidi"/>
          <w:sz w:val="24"/>
          <w:szCs w:val="24"/>
          <w:lang w:val="en-US"/>
        </w:rPr>
        <w:t xml:space="preserve">was used </w:t>
      </w:r>
      <w:r w:rsidR="00CA07F3" w:rsidRPr="00795222">
        <w:rPr>
          <w:rFonts w:asciiTheme="majorBidi" w:hAnsiTheme="majorBidi" w:cstheme="majorBidi"/>
          <w:sz w:val="24"/>
          <w:szCs w:val="24"/>
          <w:lang w:val="en-US"/>
        </w:rPr>
        <w:t>as a control</w:t>
      </w:r>
      <w:r w:rsidR="00613313" w:rsidRPr="00795222">
        <w:rPr>
          <w:rFonts w:asciiTheme="majorBidi" w:hAnsiTheme="majorBidi" w:cstheme="majorBidi"/>
          <w:sz w:val="24"/>
          <w:szCs w:val="24"/>
          <w:lang w:val="en-US"/>
        </w:rPr>
        <w:t>. T</w:t>
      </w:r>
      <w:r w:rsidRPr="00795222">
        <w:rPr>
          <w:rFonts w:asciiTheme="majorBidi" w:hAnsiTheme="majorBidi" w:cstheme="majorBidi"/>
          <w:sz w:val="24"/>
          <w:szCs w:val="24"/>
          <w:lang w:val="en-US"/>
        </w:rPr>
        <w:t xml:space="preserve">he drug mixture </w:t>
      </w:r>
      <w:r w:rsidR="00A30A9F" w:rsidRPr="00795222">
        <w:rPr>
          <w:rFonts w:asciiTheme="majorBidi" w:hAnsiTheme="majorBidi" w:cstheme="majorBidi"/>
          <w:sz w:val="24"/>
          <w:szCs w:val="24"/>
          <w:lang w:val="en-US"/>
        </w:rPr>
        <w:t xml:space="preserve">was </w:t>
      </w:r>
      <w:r w:rsidRPr="00795222">
        <w:rPr>
          <w:rFonts w:asciiTheme="majorBidi" w:hAnsiTheme="majorBidi" w:cstheme="majorBidi"/>
          <w:sz w:val="24"/>
          <w:szCs w:val="24"/>
          <w:lang w:val="en-US"/>
        </w:rPr>
        <w:t xml:space="preserve">composed of a mixture of DRV and </w:t>
      </w:r>
      <w:r w:rsidR="00CA07F3" w:rsidRPr="00795222">
        <w:rPr>
          <w:rFonts w:asciiTheme="majorBidi" w:hAnsiTheme="majorBidi" w:cstheme="majorBidi"/>
          <w:sz w:val="24"/>
          <w:szCs w:val="24"/>
          <w:lang w:val="en-US"/>
        </w:rPr>
        <w:t>RTV with a ratio 8:1 w/w</w:t>
      </w:r>
      <w:r w:rsidR="00A30A9F" w:rsidRPr="00795222">
        <w:rPr>
          <w:rFonts w:asciiTheme="majorBidi" w:hAnsiTheme="majorBidi" w:cstheme="majorBidi"/>
          <w:sz w:val="24"/>
          <w:szCs w:val="24"/>
          <w:lang w:val="en-US"/>
        </w:rPr>
        <w:t xml:space="preserve"> as this is the clinically used </w:t>
      </w:r>
      <w:r w:rsidR="009273D3" w:rsidRPr="00795222">
        <w:rPr>
          <w:rFonts w:asciiTheme="majorBidi" w:hAnsiTheme="majorBidi" w:cstheme="majorBidi"/>
          <w:sz w:val="24"/>
          <w:szCs w:val="24"/>
          <w:lang w:val="en-US"/>
        </w:rPr>
        <w:t>ratio</w:t>
      </w:r>
      <w:r w:rsidR="00CA07F3" w:rsidRPr="00795222">
        <w:rPr>
          <w:rFonts w:asciiTheme="majorBidi" w:hAnsiTheme="majorBidi" w:cstheme="majorBidi"/>
          <w:sz w:val="24"/>
          <w:szCs w:val="24"/>
          <w:lang w:val="en-US"/>
        </w:rPr>
        <w:t>.</w:t>
      </w:r>
      <w:r w:rsidR="00DE075A" w:rsidRPr="00795222">
        <w:rPr>
          <w:rFonts w:asciiTheme="majorBidi" w:hAnsiTheme="majorBidi" w:cstheme="majorBidi"/>
          <w:sz w:val="24"/>
          <w:szCs w:val="24"/>
          <w:lang w:val="en-US"/>
        </w:rPr>
        <w:t xml:space="preserve"> Given the benefits that would be offered by a dispersible formulation, the effect of freeze drying was also investigated on the particle properties. </w:t>
      </w:r>
      <w:r w:rsidR="00E021FD" w:rsidRPr="00795222">
        <w:rPr>
          <w:rFonts w:asciiTheme="majorBidi" w:hAnsiTheme="majorBidi" w:cstheme="majorBidi"/>
          <w:sz w:val="24"/>
          <w:szCs w:val="24"/>
          <w:lang w:val="en-US"/>
        </w:rPr>
        <w:t>Drug loaded LPHNs (</w:t>
      </w:r>
      <w:r w:rsidR="00EE3A3D" w:rsidRPr="00795222">
        <w:rPr>
          <w:rFonts w:asciiTheme="majorBidi" w:hAnsiTheme="majorBidi" w:cstheme="majorBidi"/>
          <w:sz w:val="24"/>
          <w:szCs w:val="24"/>
          <w:lang w:val="en-US"/>
        </w:rPr>
        <w:t>DRV-RTV</w:t>
      </w:r>
      <w:r w:rsidR="002D73C1" w:rsidRPr="00795222">
        <w:rPr>
          <w:rFonts w:asciiTheme="majorBidi" w:hAnsiTheme="majorBidi" w:cstheme="majorBidi"/>
          <w:sz w:val="24"/>
          <w:szCs w:val="24"/>
          <w:lang w:val="en-US"/>
        </w:rPr>
        <w:t>-</w:t>
      </w:r>
      <w:r w:rsidR="004418F0" w:rsidRPr="00795222">
        <w:rPr>
          <w:rFonts w:asciiTheme="majorBidi" w:hAnsiTheme="majorBidi" w:cstheme="majorBidi"/>
          <w:sz w:val="24"/>
          <w:szCs w:val="24"/>
          <w:lang w:val="en-US"/>
        </w:rPr>
        <w:t>LPHNs</w:t>
      </w:r>
      <w:r w:rsidR="00E021FD" w:rsidRPr="00795222">
        <w:rPr>
          <w:rFonts w:asciiTheme="majorBidi" w:hAnsiTheme="majorBidi" w:cstheme="majorBidi"/>
          <w:sz w:val="24"/>
          <w:szCs w:val="24"/>
          <w:lang w:val="en-US"/>
        </w:rPr>
        <w:t>)</w:t>
      </w:r>
      <w:r w:rsidR="004418F0" w:rsidRPr="00795222">
        <w:rPr>
          <w:rFonts w:asciiTheme="majorBidi" w:hAnsiTheme="majorBidi" w:cstheme="majorBidi"/>
          <w:sz w:val="24"/>
          <w:szCs w:val="24"/>
          <w:lang w:val="en-US"/>
        </w:rPr>
        <w:t xml:space="preserve"> with a</w:t>
      </w:r>
      <w:r w:rsidR="00CA07F3" w:rsidRPr="00795222">
        <w:rPr>
          <w:rFonts w:asciiTheme="majorBidi" w:hAnsiTheme="majorBidi" w:cstheme="majorBidi"/>
          <w:sz w:val="24"/>
          <w:szCs w:val="24"/>
          <w:lang w:val="en-US"/>
        </w:rPr>
        <w:t xml:space="preserve"> range of </w:t>
      </w:r>
      <w:r w:rsidR="00613313" w:rsidRPr="00795222">
        <w:rPr>
          <w:rFonts w:asciiTheme="majorBidi" w:hAnsiTheme="majorBidi" w:cstheme="majorBidi"/>
          <w:sz w:val="24"/>
          <w:szCs w:val="24"/>
          <w:lang w:val="en-US"/>
        </w:rPr>
        <w:t xml:space="preserve">different </w:t>
      </w:r>
      <w:r w:rsidR="00CA07F3" w:rsidRPr="00795222">
        <w:rPr>
          <w:rFonts w:asciiTheme="majorBidi" w:hAnsiTheme="majorBidi" w:cstheme="majorBidi"/>
          <w:sz w:val="24"/>
          <w:szCs w:val="24"/>
          <w:lang w:val="en-US"/>
        </w:rPr>
        <w:t>DRV/PLGA</w:t>
      </w:r>
      <w:r w:rsidR="00613313" w:rsidRPr="00795222">
        <w:rPr>
          <w:rFonts w:asciiTheme="majorBidi" w:hAnsiTheme="majorBidi" w:cstheme="majorBidi"/>
          <w:sz w:val="24"/>
          <w:szCs w:val="24"/>
          <w:lang w:val="en-US"/>
        </w:rPr>
        <w:t xml:space="preserve"> mass </w:t>
      </w:r>
      <w:r w:rsidR="004418F0" w:rsidRPr="00795222">
        <w:rPr>
          <w:rFonts w:asciiTheme="majorBidi" w:hAnsiTheme="majorBidi" w:cstheme="majorBidi"/>
          <w:sz w:val="24"/>
          <w:szCs w:val="24"/>
          <w:lang w:val="en-US"/>
        </w:rPr>
        <w:t xml:space="preserve">percentages </w:t>
      </w:r>
      <w:r w:rsidR="00613313" w:rsidRPr="00795222">
        <w:rPr>
          <w:rFonts w:asciiTheme="majorBidi" w:hAnsiTheme="majorBidi" w:cstheme="majorBidi"/>
          <w:sz w:val="24"/>
          <w:szCs w:val="24"/>
          <w:lang w:val="en-US"/>
        </w:rPr>
        <w:t>were</w:t>
      </w:r>
      <w:r w:rsidR="00CA07F3" w:rsidRPr="00795222">
        <w:rPr>
          <w:rFonts w:asciiTheme="majorBidi" w:hAnsiTheme="majorBidi" w:cstheme="majorBidi"/>
          <w:sz w:val="24"/>
          <w:szCs w:val="24"/>
          <w:lang w:val="en-US"/>
        </w:rPr>
        <w:t xml:space="preserve"> studied (5</w:t>
      </w:r>
      <w:r w:rsidR="00A94329" w:rsidRPr="00795222">
        <w:rPr>
          <w:rFonts w:asciiTheme="majorBidi" w:hAnsiTheme="majorBidi" w:cstheme="majorBidi"/>
          <w:sz w:val="24"/>
          <w:szCs w:val="24"/>
          <w:lang w:val="en-US"/>
        </w:rPr>
        <w:t>-</w:t>
      </w:r>
      <w:r w:rsidR="00CA07F3" w:rsidRPr="00795222">
        <w:rPr>
          <w:rFonts w:asciiTheme="majorBidi" w:hAnsiTheme="majorBidi" w:cstheme="majorBidi"/>
          <w:sz w:val="24"/>
          <w:szCs w:val="24"/>
          <w:lang w:val="en-US"/>
        </w:rPr>
        <w:t>80</w:t>
      </w:r>
      <w:r w:rsidR="00A94329" w:rsidRPr="00795222">
        <w:rPr>
          <w:rFonts w:asciiTheme="majorBidi" w:hAnsiTheme="majorBidi" w:cstheme="majorBidi"/>
          <w:sz w:val="24"/>
          <w:szCs w:val="24"/>
          <w:lang w:val="en-US"/>
        </w:rPr>
        <w:t xml:space="preserve"> % w/w</w:t>
      </w:r>
      <w:r w:rsidR="00CA07F3" w:rsidRPr="00795222">
        <w:rPr>
          <w:rFonts w:asciiTheme="majorBidi" w:hAnsiTheme="majorBidi" w:cstheme="majorBidi"/>
          <w:sz w:val="24"/>
          <w:szCs w:val="24"/>
          <w:lang w:val="en-US"/>
        </w:rPr>
        <w:t>)</w:t>
      </w:r>
      <w:r w:rsidR="00A30A9F" w:rsidRPr="00795222">
        <w:rPr>
          <w:rFonts w:asciiTheme="majorBidi" w:hAnsiTheme="majorBidi" w:cstheme="majorBidi"/>
          <w:sz w:val="24"/>
          <w:szCs w:val="24"/>
          <w:lang w:val="en-US"/>
        </w:rPr>
        <w:t>.</w:t>
      </w:r>
      <w:r w:rsidR="00DE075A" w:rsidRPr="00795222">
        <w:rPr>
          <w:rFonts w:asciiTheme="majorBidi" w:hAnsiTheme="majorBidi" w:cstheme="majorBidi"/>
          <w:sz w:val="24"/>
          <w:szCs w:val="24"/>
          <w:lang w:val="en-US"/>
        </w:rPr>
        <w:t xml:space="preserve"> </w:t>
      </w:r>
      <w:r w:rsidR="004F15AC" w:rsidRPr="00795222">
        <w:rPr>
          <w:rFonts w:asciiTheme="majorBidi" w:hAnsiTheme="majorBidi" w:cstheme="majorBidi"/>
          <w:sz w:val="24"/>
          <w:szCs w:val="24"/>
          <w:lang w:val="en-US"/>
        </w:rPr>
        <w:t xml:space="preserve"> </w:t>
      </w:r>
      <w:r w:rsidR="00EC61FA" w:rsidRPr="00795222">
        <w:rPr>
          <w:rFonts w:asciiTheme="majorBidi" w:hAnsiTheme="majorBidi" w:cstheme="majorBidi"/>
          <w:sz w:val="24"/>
          <w:szCs w:val="24"/>
          <w:lang w:val="en-US"/>
        </w:rPr>
        <w:t>The DLS data sho</w:t>
      </w:r>
      <w:r w:rsidR="00333E6A" w:rsidRPr="00795222">
        <w:rPr>
          <w:rFonts w:asciiTheme="majorBidi" w:hAnsiTheme="majorBidi" w:cstheme="majorBidi"/>
          <w:sz w:val="24"/>
          <w:szCs w:val="24"/>
          <w:lang w:val="en-US"/>
        </w:rPr>
        <w:t xml:space="preserve">wn in </w:t>
      </w:r>
      <w:r w:rsidR="001A7A1E" w:rsidRPr="00795222">
        <w:rPr>
          <w:rFonts w:asciiTheme="majorBidi" w:hAnsiTheme="majorBidi" w:cstheme="majorBidi"/>
          <w:sz w:val="24"/>
          <w:szCs w:val="24"/>
          <w:lang w:val="en-US"/>
        </w:rPr>
        <w:t>Table</w:t>
      </w:r>
      <w:r w:rsidR="008B37AF" w:rsidRPr="00795222">
        <w:rPr>
          <w:rFonts w:asciiTheme="majorBidi" w:hAnsiTheme="majorBidi" w:cstheme="majorBidi"/>
          <w:sz w:val="24"/>
          <w:szCs w:val="24"/>
          <w:lang w:val="en-US"/>
        </w:rPr>
        <w:t xml:space="preserve"> Supporting Information</w:t>
      </w:r>
      <w:r w:rsidR="001A7A1E" w:rsidRPr="00795222">
        <w:rPr>
          <w:rFonts w:asciiTheme="majorBidi" w:hAnsiTheme="majorBidi" w:cstheme="majorBidi"/>
          <w:sz w:val="24"/>
          <w:szCs w:val="24"/>
          <w:lang w:val="en-US"/>
        </w:rPr>
        <w:t xml:space="preserve"> </w:t>
      </w:r>
      <w:r w:rsidR="008B37AF" w:rsidRPr="00795222">
        <w:rPr>
          <w:rFonts w:asciiTheme="majorBidi" w:hAnsiTheme="majorBidi" w:cstheme="majorBidi"/>
          <w:sz w:val="24"/>
          <w:szCs w:val="24"/>
          <w:lang w:val="en-US"/>
        </w:rPr>
        <w:t>(</w:t>
      </w:r>
      <w:r w:rsidR="001A7A1E" w:rsidRPr="00795222">
        <w:rPr>
          <w:rFonts w:asciiTheme="majorBidi" w:hAnsiTheme="majorBidi" w:cstheme="majorBidi"/>
          <w:sz w:val="24"/>
          <w:szCs w:val="24"/>
          <w:lang w:val="en-US"/>
        </w:rPr>
        <w:t>SI</w:t>
      </w:r>
      <w:r w:rsidR="008B37AF" w:rsidRPr="00795222">
        <w:rPr>
          <w:rFonts w:asciiTheme="majorBidi" w:hAnsiTheme="majorBidi" w:cstheme="majorBidi"/>
          <w:sz w:val="24"/>
          <w:szCs w:val="24"/>
          <w:lang w:val="en-US"/>
        </w:rPr>
        <w:t xml:space="preserve">) </w:t>
      </w:r>
      <w:r w:rsidR="001A7A1E" w:rsidRPr="00795222">
        <w:rPr>
          <w:rFonts w:asciiTheme="majorBidi" w:hAnsiTheme="majorBidi" w:cstheme="majorBidi"/>
          <w:sz w:val="24"/>
          <w:szCs w:val="24"/>
          <w:lang w:val="en-US"/>
        </w:rPr>
        <w:t>1</w:t>
      </w:r>
      <w:r w:rsidR="00C91A05" w:rsidRPr="00795222">
        <w:rPr>
          <w:rFonts w:asciiTheme="majorBidi" w:hAnsiTheme="majorBidi" w:cstheme="majorBidi"/>
          <w:sz w:val="24"/>
          <w:szCs w:val="24"/>
          <w:lang w:val="en-US"/>
        </w:rPr>
        <w:t xml:space="preserve"> </w:t>
      </w:r>
      <w:r w:rsidR="00333E6A" w:rsidRPr="00795222">
        <w:rPr>
          <w:rFonts w:asciiTheme="majorBidi" w:hAnsiTheme="majorBidi" w:cstheme="majorBidi"/>
          <w:sz w:val="24"/>
          <w:szCs w:val="24"/>
          <w:lang w:val="en-US"/>
        </w:rPr>
        <w:t>sho</w:t>
      </w:r>
      <w:r w:rsidR="00C91A05" w:rsidRPr="00795222">
        <w:rPr>
          <w:rFonts w:asciiTheme="majorBidi" w:hAnsiTheme="majorBidi" w:cstheme="majorBidi"/>
          <w:sz w:val="24"/>
          <w:szCs w:val="24"/>
          <w:lang w:val="en-US"/>
        </w:rPr>
        <w:t xml:space="preserve">ws that </w:t>
      </w:r>
      <w:r w:rsidR="00FC1F7E" w:rsidRPr="00795222">
        <w:rPr>
          <w:rFonts w:asciiTheme="majorBidi" w:hAnsiTheme="majorBidi" w:cstheme="majorBidi"/>
          <w:sz w:val="24"/>
          <w:szCs w:val="24"/>
          <w:lang w:val="en-US"/>
        </w:rPr>
        <w:t>before freeze drying</w:t>
      </w:r>
      <w:r w:rsidR="00065AF5" w:rsidRPr="00795222">
        <w:rPr>
          <w:rFonts w:asciiTheme="majorBidi" w:hAnsiTheme="majorBidi" w:cstheme="majorBidi"/>
          <w:sz w:val="24"/>
          <w:szCs w:val="24"/>
          <w:lang w:val="en-US"/>
        </w:rPr>
        <w:t>,</w:t>
      </w:r>
      <w:r w:rsidR="00FC1F7E" w:rsidRPr="00795222">
        <w:rPr>
          <w:rFonts w:asciiTheme="majorBidi" w:hAnsiTheme="majorBidi" w:cstheme="majorBidi"/>
          <w:sz w:val="24"/>
          <w:szCs w:val="24"/>
          <w:lang w:val="en-US"/>
        </w:rPr>
        <w:t xml:space="preserve"> </w:t>
      </w:r>
      <w:r w:rsidR="00065AF5" w:rsidRPr="00795222">
        <w:rPr>
          <w:rFonts w:asciiTheme="majorBidi" w:hAnsiTheme="majorBidi" w:cstheme="majorBidi"/>
          <w:sz w:val="24"/>
          <w:szCs w:val="24"/>
          <w:lang w:val="en-US"/>
        </w:rPr>
        <w:t xml:space="preserve">the </w:t>
      </w:r>
      <w:r w:rsidR="007A3458" w:rsidRPr="00795222">
        <w:rPr>
          <w:rFonts w:asciiTheme="majorBidi" w:hAnsiTheme="majorBidi" w:cstheme="majorBidi"/>
          <w:sz w:val="24"/>
          <w:szCs w:val="24"/>
          <w:lang w:val="en-US"/>
        </w:rPr>
        <w:t xml:space="preserve">samples </w:t>
      </w:r>
      <w:r w:rsidR="00F828AA" w:rsidRPr="00795222">
        <w:rPr>
          <w:rFonts w:asciiTheme="majorBidi" w:hAnsiTheme="majorBidi" w:cstheme="majorBidi"/>
          <w:sz w:val="24"/>
          <w:szCs w:val="24"/>
          <w:lang w:val="en-US"/>
        </w:rPr>
        <w:t>had</w:t>
      </w:r>
      <w:r w:rsidR="007A3458" w:rsidRPr="00795222">
        <w:rPr>
          <w:rFonts w:asciiTheme="majorBidi" w:hAnsiTheme="majorBidi" w:cstheme="majorBidi"/>
          <w:sz w:val="24"/>
          <w:szCs w:val="24"/>
          <w:lang w:val="en-US"/>
        </w:rPr>
        <w:t xml:space="preserve"> similar </w:t>
      </w:r>
      <w:r w:rsidR="00F452E4" w:rsidRPr="00795222">
        <w:rPr>
          <w:rFonts w:asciiTheme="majorBidi" w:hAnsiTheme="majorBidi" w:cstheme="majorBidi"/>
          <w:sz w:val="24"/>
          <w:szCs w:val="24"/>
          <w:lang w:val="en-US"/>
        </w:rPr>
        <w:t>Z</w:t>
      </w:r>
      <w:r w:rsidR="007A3458" w:rsidRPr="00795222">
        <w:rPr>
          <w:rFonts w:asciiTheme="majorBidi" w:hAnsiTheme="majorBidi" w:cstheme="majorBidi"/>
          <w:sz w:val="24"/>
          <w:szCs w:val="24"/>
          <w:lang w:val="en-US"/>
        </w:rPr>
        <w:t>-average</w:t>
      </w:r>
      <w:r w:rsidR="00F828AA" w:rsidRPr="00795222">
        <w:rPr>
          <w:rFonts w:asciiTheme="majorBidi" w:hAnsiTheme="majorBidi" w:cstheme="majorBidi"/>
          <w:sz w:val="24"/>
          <w:szCs w:val="24"/>
          <w:lang w:val="en-US"/>
        </w:rPr>
        <w:t xml:space="preserve"> diameters</w:t>
      </w:r>
      <w:r w:rsidR="007A3458" w:rsidRPr="00795222">
        <w:rPr>
          <w:rFonts w:asciiTheme="majorBidi" w:hAnsiTheme="majorBidi" w:cstheme="majorBidi"/>
          <w:sz w:val="24"/>
          <w:szCs w:val="24"/>
          <w:lang w:val="en-US"/>
        </w:rPr>
        <w:t xml:space="preserve"> </w:t>
      </w:r>
      <w:r w:rsidR="00374905" w:rsidRPr="00795222">
        <w:rPr>
          <w:rFonts w:asciiTheme="majorBidi" w:hAnsiTheme="majorBidi" w:cstheme="majorBidi"/>
          <w:sz w:val="24"/>
          <w:szCs w:val="24"/>
          <w:lang w:val="en-US"/>
        </w:rPr>
        <w:t xml:space="preserve">even with </w:t>
      </w:r>
      <w:r w:rsidR="00F452E4" w:rsidRPr="00795222">
        <w:rPr>
          <w:rFonts w:asciiTheme="majorBidi" w:hAnsiTheme="majorBidi" w:cstheme="majorBidi"/>
          <w:sz w:val="24"/>
          <w:szCs w:val="24"/>
          <w:lang w:val="en-US"/>
        </w:rPr>
        <w:t>an</w:t>
      </w:r>
      <w:r w:rsidR="005A4EF7" w:rsidRPr="00795222">
        <w:rPr>
          <w:rFonts w:asciiTheme="majorBidi" w:hAnsiTheme="majorBidi" w:cstheme="majorBidi"/>
          <w:sz w:val="24"/>
          <w:szCs w:val="24"/>
          <w:lang w:val="en-US"/>
        </w:rPr>
        <w:t xml:space="preserve"> </w:t>
      </w:r>
      <w:r w:rsidR="00374905" w:rsidRPr="00795222">
        <w:rPr>
          <w:rFonts w:asciiTheme="majorBidi" w:hAnsiTheme="majorBidi" w:cstheme="majorBidi"/>
          <w:sz w:val="24"/>
          <w:szCs w:val="24"/>
          <w:lang w:val="en-US"/>
        </w:rPr>
        <w:t xml:space="preserve">increase of </w:t>
      </w:r>
      <w:r w:rsidR="005A4EF7" w:rsidRPr="00795222">
        <w:rPr>
          <w:rFonts w:asciiTheme="majorBidi" w:hAnsiTheme="majorBidi" w:cstheme="majorBidi"/>
          <w:sz w:val="24"/>
          <w:szCs w:val="24"/>
          <w:lang w:val="en-US"/>
        </w:rPr>
        <w:t>DRV/PLGA mass percentage</w:t>
      </w:r>
      <w:r w:rsidR="004B151F" w:rsidRPr="00795222">
        <w:rPr>
          <w:rFonts w:asciiTheme="majorBidi" w:hAnsiTheme="majorBidi" w:cstheme="majorBidi"/>
          <w:sz w:val="24"/>
          <w:szCs w:val="24"/>
          <w:lang w:val="en-US"/>
        </w:rPr>
        <w:t xml:space="preserve"> from 5</w:t>
      </w:r>
      <w:r w:rsidR="004A2799" w:rsidRPr="00795222">
        <w:rPr>
          <w:rFonts w:asciiTheme="majorBidi" w:hAnsiTheme="majorBidi" w:cstheme="majorBidi"/>
          <w:sz w:val="24"/>
          <w:szCs w:val="24"/>
          <w:lang w:val="en-US"/>
        </w:rPr>
        <w:t>-</w:t>
      </w:r>
      <w:r w:rsidR="004B151F" w:rsidRPr="00795222">
        <w:rPr>
          <w:rFonts w:asciiTheme="majorBidi" w:hAnsiTheme="majorBidi" w:cstheme="majorBidi"/>
          <w:sz w:val="24"/>
          <w:szCs w:val="24"/>
          <w:lang w:val="en-US"/>
        </w:rPr>
        <w:t>40 % w/w</w:t>
      </w:r>
      <w:r w:rsidR="0074690B" w:rsidRPr="00795222">
        <w:rPr>
          <w:rFonts w:asciiTheme="majorBidi" w:hAnsiTheme="majorBidi" w:cstheme="majorBidi"/>
          <w:sz w:val="24"/>
          <w:szCs w:val="24"/>
          <w:lang w:val="en-US"/>
        </w:rPr>
        <w:t xml:space="preserve"> </w:t>
      </w:r>
      <w:r w:rsidR="00575C5E" w:rsidRPr="00795222">
        <w:rPr>
          <w:rFonts w:asciiTheme="majorBidi" w:hAnsiTheme="majorBidi" w:cstheme="majorBidi"/>
          <w:sz w:val="24"/>
          <w:szCs w:val="24"/>
          <w:lang w:val="en-US"/>
        </w:rPr>
        <w:t>at the three different</w:t>
      </w:r>
      <w:r w:rsidR="007D4813" w:rsidRPr="00795222">
        <w:rPr>
          <w:rFonts w:asciiTheme="majorBidi" w:hAnsiTheme="majorBidi" w:cstheme="majorBidi"/>
          <w:sz w:val="24"/>
          <w:szCs w:val="24"/>
          <w:lang w:val="en-US"/>
        </w:rPr>
        <w:t xml:space="preserve"> </w:t>
      </w:r>
      <w:r w:rsidR="00BB1225" w:rsidRPr="00795222">
        <w:rPr>
          <w:rFonts w:asciiTheme="majorBidi" w:hAnsiTheme="majorBidi" w:cstheme="majorBidi"/>
          <w:sz w:val="24"/>
          <w:szCs w:val="24"/>
          <w:lang w:val="en-US"/>
        </w:rPr>
        <w:t>B</w:t>
      </w:r>
      <w:r w:rsidR="007D4813" w:rsidRPr="00795222">
        <w:rPr>
          <w:rFonts w:asciiTheme="majorBidi" w:hAnsiTheme="majorBidi" w:cstheme="majorBidi"/>
          <w:sz w:val="24"/>
          <w:szCs w:val="24"/>
          <w:lang w:val="en-US"/>
        </w:rPr>
        <w:t xml:space="preserve">rij 78/total </w:t>
      </w:r>
      <w:r w:rsidR="0051529C" w:rsidRPr="00795222">
        <w:rPr>
          <w:rFonts w:asciiTheme="majorBidi" w:hAnsiTheme="majorBidi" w:cstheme="majorBidi"/>
          <w:sz w:val="24"/>
          <w:szCs w:val="24"/>
          <w:lang w:val="en-US"/>
        </w:rPr>
        <w:t>stabilizer</w:t>
      </w:r>
      <w:r w:rsidR="007D4813" w:rsidRPr="00795222">
        <w:rPr>
          <w:rFonts w:asciiTheme="majorBidi" w:hAnsiTheme="majorBidi" w:cstheme="majorBidi"/>
          <w:sz w:val="24"/>
          <w:szCs w:val="24"/>
          <w:lang w:val="en-US"/>
        </w:rPr>
        <w:t xml:space="preserve"> mass percentage</w:t>
      </w:r>
      <w:r w:rsidR="00723A67" w:rsidRPr="00795222">
        <w:rPr>
          <w:rFonts w:asciiTheme="majorBidi" w:hAnsiTheme="majorBidi" w:cstheme="majorBidi"/>
          <w:sz w:val="24"/>
          <w:szCs w:val="24"/>
          <w:lang w:val="en-US"/>
        </w:rPr>
        <w:t xml:space="preserve"> used</w:t>
      </w:r>
      <w:r w:rsidR="009F4152" w:rsidRPr="00795222">
        <w:rPr>
          <w:rFonts w:asciiTheme="majorBidi" w:hAnsiTheme="majorBidi" w:cstheme="majorBidi"/>
          <w:sz w:val="24"/>
          <w:szCs w:val="24"/>
          <w:lang w:val="en-US"/>
        </w:rPr>
        <w:t xml:space="preserve"> (</w:t>
      </w:r>
      <w:r w:rsidR="00600124" w:rsidRPr="00795222">
        <w:rPr>
          <w:rFonts w:asciiTheme="majorBidi" w:hAnsiTheme="majorBidi" w:cstheme="majorBidi"/>
          <w:sz w:val="24"/>
          <w:szCs w:val="24"/>
          <w:lang w:val="en-US"/>
        </w:rPr>
        <w:t>70, 90 and 100 % w/w)</w:t>
      </w:r>
      <w:r w:rsidR="003A365D" w:rsidRPr="00795222">
        <w:rPr>
          <w:rFonts w:asciiTheme="majorBidi" w:hAnsiTheme="majorBidi" w:cstheme="majorBidi"/>
          <w:sz w:val="24"/>
          <w:szCs w:val="24"/>
          <w:lang w:val="en-US"/>
        </w:rPr>
        <w:t xml:space="preserve">. The </w:t>
      </w:r>
      <w:r w:rsidR="00F452E4" w:rsidRPr="00795222">
        <w:rPr>
          <w:rFonts w:asciiTheme="majorBidi" w:hAnsiTheme="majorBidi" w:cstheme="majorBidi"/>
          <w:sz w:val="24"/>
          <w:szCs w:val="24"/>
          <w:lang w:val="en-US"/>
        </w:rPr>
        <w:t>Z</w:t>
      </w:r>
      <w:r w:rsidR="003A365D" w:rsidRPr="00795222">
        <w:rPr>
          <w:rFonts w:asciiTheme="majorBidi" w:hAnsiTheme="majorBidi" w:cstheme="majorBidi"/>
          <w:sz w:val="24"/>
          <w:szCs w:val="24"/>
          <w:lang w:val="en-US"/>
        </w:rPr>
        <w:t>-average</w:t>
      </w:r>
      <w:r w:rsidR="00EC5865" w:rsidRPr="00795222">
        <w:rPr>
          <w:rFonts w:asciiTheme="majorBidi" w:hAnsiTheme="majorBidi" w:cstheme="majorBidi"/>
          <w:sz w:val="24"/>
          <w:szCs w:val="24"/>
          <w:lang w:val="en-US"/>
        </w:rPr>
        <w:t xml:space="preserve"> diameter</w:t>
      </w:r>
      <w:r w:rsidR="003A365D" w:rsidRPr="00795222">
        <w:rPr>
          <w:rFonts w:asciiTheme="majorBidi" w:hAnsiTheme="majorBidi" w:cstheme="majorBidi"/>
          <w:sz w:val="24"/>
          <w:szCs w:val="24"/>
          <w:lang w:val="en-US"/>
        </w:rPr>
        <w:t xml:space="preserve"> ranged from</w:t>
      </w:r>
      <w:r w:rsidR="00F452E4" w:rsidRPr="00795222">
        <w:rPr>
          <w:rFonts w:asciiTheme="majorBidi" w:hAnsiTheme="majorBidi" w:cstheme="majorBidi"/>
          <w:sz w:val="24"/>
          <w:szCs w:val="24"/>
          <w:lang w:val="en-US"/>
        </w:rPr>
        <w:t xml:space="preserve"> </w:t>
      </w:r>
      <w:r w:rsidR="00AD58C6" w:rsidRPr="00795222">
        <w:rPr>
          <w:rFonts w:asciiTheme="majorBidi" w:hAnsiTheme="majorBidi" w:cstheme="majorBidi"/>
          <w:sz w:val="24"/>
          <w:szCs w:val="24"/>
          <w:lang w:val="en-US"/>
        </w:rPr>
        <w:t>45-109</w:t>
      </w:r>
      <w:r w:rsidR="00F452E4" w:rsidRPr="00795222">
        <w:rPr>
          <w:rFonts w:asciiTheme="majorBidi" w:hAnsiTheme="majorBidi" w:cstheme="majorBidi"/>
          <w:sz w:val="24"/>
          <w:szCs w:val="24"/>
          <w:lang w:val="en-US"/>
        </w:rPr>
        <w:t xml:space="preserve"> nm</w:t>
      </w:r>
      <w:r w:rsidR="00E94260" w:rsidRPr="00795222">
        <w:rPr>
          <w:rFonts w:asciiTheme="majorBidi" w:hAnsiTheme="majorBidi" w:cstheme="majorBidi"/>
          <w:sz w:val="24"/>
          <w:szCs w:val="24"/>
          <w:lang w:val="en-US"/>
        </w:rPr>
        <w:t xml:space="preserve"> and</w:t>
      </w:r>
      <w:r w:rsidR="00B84FBF" w:rsidRPr="00795222">
        <w:rPr>
          <w:rFonts w:asciiTheme="majorBidi" w:hAnsiTheme="majorBidi" w:cstheme="majorBidi"/>
          <w:sz w:val="24"/>
          <w:szCs w:val="24"/>
          <w:lang w:val="en-US"/>
        </w:rPr>
        <w:t xml:space="preserve"> </w:t>
      </w:r>
      <w:r w:rsidR="00047A72" w:rsidRPr="00795222">
        <w:rPr>
          <w:rFonts w:asciiTheme="majorBidi" w:hAnsiTheme="majorBidi" w:cstheme="majorBidi"/>
          <w:sz w:val="24"/>
          <w:szCs w:val="24"/>
          <w:lang w:val="en-US"/>
        </w:rPr>
        <w:t>the</w:t>
      </w:r>
      <w:r w:rsidR="00B84FBF" w:rsidRPr="00795222">
        <w:rPr>
          <w:rFonts w:asciiTheme="majorBidi" w:hAnsiTheme="majorBidi" w:cstheme="majorBidi"/>
          <w:sz w:val="24"/>
          <w:szCs w:val="24"/>
          <w:lang w:val="en-US"/>
        </w:rPr>
        <w:t xml:space="preserve"> </w:t>
      </w:r>
      <w:r w:rsidR="00DE73B8" w:rsidRPr="00795222">
        <w:rPr>
          <w:rFonts w:asciiTheme="majorBidi" w:hAnsiTheme="majorBidi" w:cstheme="majorBidi"/>
          <w:sz w:val="24"/>
          <w:szCs w:val="24"/>
          <w:lang w:val="en-US"/>
        </w:rPr>
        <w:t xml:space="preserve">PDI </w:t>
      </w:r>
      <w:r w:rsidR="00047A72" w:rsidRPr="00795222">
        <w:rPr>
          <w:rFonts w:asciiTheme="majorBidi" w:hAnsiTheme="majorBidi" w:cstheme="majorBidi"/>
          <w:sz w:val="24"/>
          <w:szCs w:val="24"/>
          <w:lang w:val="en-US"/>
        </w:rPr>
        <w:t xml:space="preserve">was </w:t>
      </w:r>
      <w:r w:rsidR="00852A38" w:rsidRPr="00795222">
        <w:rPr>
          <w:rFonts w:asciiTheme="majorBidi" w:hAnsiTheme="majorBidi" w:cstheme="majorBidi"/>
          <w:sz w:val="24"/>
          <w:szCs w:val="24"/>
          <w:lang w:val="en-US"/>
        </w:rPr>
        <w:t xml:space="preserve">0.16-0.37 </w:t>
      </w:r>
      <w:r w:rsidR="004A2799" w:rsidRPr="00795222">
        <w:rPr>
          <w:rFonts w:asciiTheme="majorBidi" w:hAnsiTheme="majorBidi" w:cstheme="majorBidi"/>
          <w:sz w:val="24"/>
          <w:szCs w:val="24"/>
          <w:lang w:val="en-US"/>
        </w:rPr>
        <w:t xml:space="preserve">for </w:t>
      </w:r>
      <w:r w:rsidR="00AD58C6" w:rsidRPr="00795222">
        <w:rPr>
          <w:rFonts w:asciiTheme="majorBidi" w:hAnsiTheme="majorBidi" w:cstheme="majorBidi"/>
          <w:sz w:val="24"/>
          <w:szCs w:val="24"/>
          <w:lang w:val="en-US"/>
        </w:rPr>
        <w:t>LPHNs dispersed in</w:t>
      </w:r>
      <w:r w:rsidR="00560EF9" w:rsidRPr="00795222">
        <w:rPr>
          <w:rFonts w:asciiTheme="majorBidi" w:hAnsiTheme="majorBidi" w:cstheme="majorBidi"/>
          <w:sz w:val="24"/>
          <w:szCs w:val="24"/>
          <w:lang w:val="en-US"/>
        </w:rPr>
        <w:t xml:space="preserve"> DI</w:t>
      </w:r>
      <w:r w:rsidR="00AD58C6" w:rsidRPr="00795222">
        <w:rPr>
          <w:rFonts w:asciiTheme="majorBidi" w:hAnsiTheme="majorBidi" w:cstheme="majorBidi"/>
          <w:sz w:val="24"/>
          <w:szCs w:val="24"/>
          <w:lang w:val="en-US"/>
        </w:rPr>
        <w:t xml:space="preserve"> water</w:t>
      </w:r>
      <w:r w:rsidR="00573477" w:rsidRPr="00795222">
        <w:rPr>
          <w:rFonts w:asciiTheme="majorBidi" w:hAnsiTheme="majorBidi" w:cstheme="majorBidi"/>
          <w:sz w:val="24"/>
          <w:szCs w:val="24"/>
          <w:lang w:val="en-US"/>
        </w:rPr>
        <w:t xml:space="preserve"> </w:t>
      </w:r>
      <w:r w:rsidR="00624020" w:rsidRPr="00795222">
        <w:rPr>
          <w:rFonts w:asciiTheme="majorBidi" w:hAnsiTheme="majorBidi" w:cstheme="majorBidi"/>
          <w:sz w:val="24"/>
          <w:szCs w:val="24"/>
          <w:lang w:val="en-US"/>
        </w:rPr>
        <w:t>(</w:t>
      </w:r>
      <w:r w:rsidR="001A7A1E" w:rsidRPr="00795222">
        <w:rPr>
          <w:rFonts w:asciiTheme="majorBidi" w:hAnsiTheme="majorBidi" w:cstheme="majorBidi"/>
          <w:sz w:val="24"/>
          <w:szCs w:val="24"/>
          <w:lang w:val="en-US"/>
        </w:rPr>
        <w:t>Table SI1</w:t>
      </w:r>
      <w:r w:rsidR="00624020" w:rsidRPr="00795222">
        <w:rPr>
          <w:rFonts w:asciiTheme="majorBidi" w:hAnsiTheme="majorBidi" w:cstheme="majorBidi"/>
          <w:sz w:val="24"/>
          <w:szCs w:val="24"/>
          <w:lang w:val="en-US"/>
        </w:rPr>
        <w:t>)</w:t>
      </w:r>
      <w:r w:rsidR="0011563D" w:rsidRPr="00795222">
        <w:rPr>
          <w:rFonts w:asciiTheme="majorBidi" w:hAnsiTheme="majorBidi" w:cstheme="majorBidi"/>
          <w:sz w:val="24"/>
          <w:szCs w:val="24"/>
          <w:lang w:val="en-US"/>
        </w:rPr>
        <w:t>.</w:t>
      </w:r>
      <w:r w:rsidR="00263958" w:rsidRPr="00795222">
        <w:rPr>
          <w:rFonts w:asciiTheme="majorBidi" w:hAnsiTheme="majorBidi" w:cstheme="majorBidi"/>
          <w:sz w:val="24"/>
          <w:szCs w:val="24"/>
          <w:lang w:val="en-US"/>
        </w:rPr>
        <w:t xml:space="preserve"> </w:t>
      </w:r>
      <w:r w:rsidR="008D1000" w:rsidRPr="00795222">
        <w:rPr>
          <w:rFonts w:asciiTheme="majorBidi" w:hAnsiTheme="majorBidi" w:cstheme="majorBidi"/>
          <w:sz w:val="24"/>
          <w:szCs w:val="24"/>
          <w:lang w:val="en-US"/>
        </w:rPr>
        <w:t xml:space="preserve">Upon </w:t>
      </w:r>
      <w:r w:rsidR="00327C1A" w:rsidRPr="00795222">
        <w:rPr>
          <w:rFonts w:asciiTheme="majorBidi" w:hAnsiTheme="majorBidi" w:cstheme="majorBidi"/>
          <w:sz w:val="24"/>
          <w:szCs w:val="24"/>
          <w:lang w:val="en-US"/>
        </w:rPr>
        <w:t>dispers</w:t>
      </w:r>
      <w:r w:rsidR="004A2799" w:rsidRPr="00795222">
        <w:rPr>
          <w:rFonts w:asciiTheme="majorBidi" w:hAnsiTheme="majorBidi" w:cstheme="majorBidi"/>
          <w:sz w:val="24"/>
          <w:szCs w:val="24"/>
          <w:lang w:val="en-US"/>
        </w:rPr>
        <w:t>ion</w:t>
      </w:r>
      <w:r w:rsidR="00327C1A" w:rsidRPr="00795222">
        <w:rPr>
          <w:rFonts w:asciiTheme="majorBidi" w:hAnsiTheme="majorBidi" w:cstheme="majorBidi"/>
          <w:sz w:val="24"/>
          <w:szCs w:val="24"/>
          <w:lang w:val="en-US"/>
        </w:rPr>
        <w:t xml:space="preserve"> in PBS</w:t>
      </w:r>
      <w:r w:rsidR="008D1000" w:rsidRPr="00795222">
        <w:rPr>
          <w:rFonts w:asciiTheme="majorBidi" w:hAnsiTheme="majorBidi" w:cstheme="majorBidi"/>
          <w:sz w:val="24"/>
          <w:szCs w:val="24"/>
          <w:lang w:val="en-US"/>
        </w:rPr>
        <w:t>,</w:t>
      </w:r>
      <w:r w:rsidR="00263958" w:rsidRPr="00795222">
        <w:rPr>
          <w:rFonts w:asciiTheme="majorBidi" w:hAnsiTheme="majorBidi" w:cstheme="majorBidi"/>
          <w:sz w:val="24"/>
          <w:szCs w:val="24"/>
          <w:lang w:val="en-US"/>
        </w:rPr>
        <w:t xml:space="preserve"> </w:t>
      </w:r>
      <w:r w:rsidR="00327C1A" w:rsidRPr="00795222">
        <w:rPr>
          <w:rFonts w:asciiTheme="majorBidi" w:hAnsiTheme="majorBidi" w:cstheme="majorBidi"/>
          <w:sz w:val="24"/>
          <w:szCs w:val="24"/>
          <w:lang w:val="en-US"/>
        </w:rPr>
        <w:t xml:space="preserve">the </w:t>
      </w:r>
      <w:r w:rsidR="00BB1225" w:rsidRPr="00795222">
        <w:rPr>
          <w:rFonts w:asciiTheme="majorBidi" w:hAnsiTheme="majorBidi" w:cstheme="majorBidi"/>
          <w:sz w:val="24"/>
          <w:szCs w:val="24"/>
          <w:lang w:val="en-US"/>
        </w:rPr>
        <w:t>Z</w:t>
      </w:r>
      <w:r w:rsidR="00327C1A" w:rsidRPr="00795222">
        <w:rPr>
          <w:rFonts w:asciiTheme="majorBidi" w:hAnsiTheme="majorBidi" w:cstheme="majorBidi"/>
          <w:sz w:val="24"/>
          <w:szCs w:val="24"/>
          <w:lang w:val="en-US"/>
        </w:rPr>
        <w:t>-average</w:t>
      </w:r>
      <w:r w:rsidR="00AD58C6" w:rsidRPr="00795222">
        <w:rPr>
          <w:rFonts w:asciiTheme="majorBidi" w:hAnsiTheme="majorBidi" w:cstheme="majorBidi"/>
          <w:sz w:val="24"/>
          <w:szCs w:val="24"/>
          <w:lang w:val="en-US"/>
        </w:rPr>
        <w:t xml:space="preserve"> </w:t>
      </w:r>
      <w:r w:rsidR="00F44DC9" w:rsidRPr="00795222">
        <w:rPr>
          <w:rFonts w:asciiTheme="majorBidi" w:hAnsiTheme="majorBidi" w:cstheme="majorBidi"/>
          <w:sz w:val="24"/>
          <w:szCs w:val="24"/>
          <w:lang w:val="en-US"/>
        </w:rPr>
        <w:t xml:space="preserve">of LPHNs </w:t>
      </w:r>
      <w:r w:rsidR="00AD58C6" w:rsidRPr="00795222">
        <w:rPr>
          <w:rFonts w:asciiTheme="majorBidi" w:hAnsiTheme="majorBidi" w:cstheme="majorBidi"/>
          <w:sz w:val="24"/>
          <w:szCs w:val="24"/>
          <w:lang w:val="en-US"/>
        </w:rPr>
        <w:t xml:space="preserve">ranged from </w:t>
      </w:r>
      <w:r w:rsidR="00202017" w:rsidRPr="00795222">
        <w:rPr>
          <w:rFonts w:asciiTheme="majorBidi" w:hAnsiTheme="majorBidi" w:cstheme="majorBidi"/>
          <w:sz w:val="24"/>
          <w:szCs w:val="24"/>
          <w:lang w:val="en-US"/>
        </w:rPr>
        <w:t>50-98</w:t>
      </w:r>
      <w:r w:rsidR="00F452E4" w:rsidRPr="00795222">
        <w:rPr>
          <w:rFonts w:asciiTheme="majorBidi" w:hAnsiTheme="majorBidi" w:cstheme="majorBidi"/>
          <w:sz w:val="24"/>
          <w:szCs w:val="24"/>
          <w:lang w:val="en-US"/>
        </w:rPr>
        <w:t xml:space="preserve"> nm</w:t>
      </w:r>
      <w:r w:rsidR="001F31C9" w:rsidRPr="00795222">
        <w:rPr>
          <w:rFonts w:asciiTheme="majorBidi" w:hAnsiTheme="majorBidi" w:cstheme="majorBidi"/>
          <w:sz w:val="24"/>
          <w:szCs w:val="24"/>
          <w:lang w:val="en-US"/>
        </w:rPr>
        <w:t xml:space="preserve"> and</w:t>
      </w:r>
      <w:r w:rsidR="00C243DB" w:rsidRPr="00795222">
        <w:rPr>
          <w:rFonts w:asciiTheme="majorBidi" w:hAnsiTheme="majorBidi" w:cstheme="majorBidi"/>
          <w:sz w:val="24"/>
          <w:szCs w:val="24"/>
          <w:lang w:val="en-US"/>
        </w:rPr>
        <w:t xml:space="preserve"> the PDI was 0.13-0.24</w:t>
      </w:r>
      <w:r w:rsidR="00624020" w:rsidRPr="00795222">
        <w:rPr>
          <w:rFonts w:asciiTheme="majorBidi" w:hAnsiTheme="majorBidi" w:cstheme="majorBidi"/>
          <w:sz w:val="24"/>
          <w:szCs w:val="24"/>
          <w:lang w:val="en-US"/>
        </w:rPr>
        <w:t xml:space="preserve"> (</w:t>
      </w:r>
      <w:r w:rsidR="001A7A1E" w:rsidRPr="00795222">
        <w:rPr>
          <w:rFonts w:asciiTheme="majorBidi" w:hAnsiTheme="majorBidi" w:cstheme="majorBidi"/>
          <w:sz w:val="24"/>
          <w:szCs w:val="24"/>
          <w:lang w:val="en-US"/>
        </w:rPr>
        <w:t>Table SI2</w:t>
      </w:r>
      <w:r w:rsidR="00F828AA" w:rsidRPr="00795222">
        <w:rPr>
          <w:rFonts w:asciiTheme="majorBidi" w:hAnsiTheme="majorBidi" w:cstheme="majorBidi"/>
          <w:sz w:val="24"/>
          <w:szCs w:val="24"/>
          <w:lang w:val="en-US"/>
        </w:rPr>
        <w:t>)</w:t>
      </w:r>
      <w:r w:rsidR="006438A0" w:rsidRPr="00795222">
        <w:rPr>
          <w:rFonts w:asciiTheme="majorBidi" w:hAnsiTheme="majorBidi" w:cstheme="majorBidi"/>
          <w:sz w:val="24"/>
          <w:szCs w:val="24"/>
          <w:lang w:val="en-US"/>
        </w:rPr>
        <w:t>.</w:t>
      </w:r>
      <w:r w:rsidR="00D51CD7" w:rsidRPr="00795222">
        <w:rPr>
          <w:rFonts w:asciiTheme="majorBidi" w:hAnsiTheme="majorBidi" w:cstheme="majorBidi"/>
          <w:sz w:val="24"/>
          <w:szCs w:val="24"/>
          <w:lang w:val="en-US"/>
        </w:rPr>
        <w:t xml:space="preserve"> </w:t>
      </w:r>
      <w:r w:rsidR="00CD71BA" w:rsidRPr="00795222">
        <w:rPr>
          <w:rFonts w:asciiTheme="majorBidi" w:hAnsiTheme="majorBidi" w:cstheme="majorBidi"/>
          <w:sz w:val="24"/>
          <w:szCs w:val="24"/>
          <w:lang w:val="en-US"/>
        </w:rPr>
        <w:t>Increasing DRV</w:t>
      </w:r>
      <w:r w:rsidR="00E8786C" w:rsidRPr="00795222">
        <w:rPr>
          <w:rFonts w:asciiTheme="majorBidi" w:hAnsiTheme="majorBidi" w:cstheme="majorBidi"/>
          <w:sz w:val="24"/>
          <w:szCs w:val="24"/>
          <w:lang w:val="en-US"/>
        </w:rPr>
        <w:t xml:space="preserve">/PLGA mass percentage </w:t>
      </w:r>
      <w:r w:rsidR="00837920" w:rsidRPr="00795222">
        <w:rPr>
          <w:rFonts w:asciiTheme="majorBidi" w:hAnsiTheme="majorBidi" w:cstheme="majorBidi"/>
          <w:sz w:val="24"/>
          <w:szCs w:val="24"/>
          <w:lang w:val="en-US"/>
        </w:rPr>
        <w:t>above 40 % w/w led to particle aggregation</w:t>
      </w:r>
      <w:r w:rsidR="00D00B46" w:rsidRPr="00795222">
        <w:rPr>
          <w:rFonts w:asciiTheme="majorBidi" w:hAnsiTheme="majorBidi" w:cstheme="majorBidi"/>
          <w:sz w:val="24"/>
          <w:szCs w:val="24"/>
          <w:lang w:val="en-US"/>
        </w:rPr>
        <w:t xml:space="preserve"> with poor quality DLS data</w:t>
      </w:r>
      <w:r w:rsidR="008B6245" w:rsidRPr="00795222">
        <w:rPr>
          <w:rFonts w:asciiTheme="majorBidi" w:hAnsiTheme="majorBidi" w:cstheme="majorBidi"/>
          <w:sz w:val="24"/>
          <w:szCs w:val="24"/>
          <w:lang w:val="en-US"/>
        </w:rPr>
        <w:t>.</w:t>
      </w:r>
      <w:r w:rsidR="00837920" w:rsidRPr="00795222">
        <w:rPr>
          <w:rFonts w:asciiTheme="majorBidi" w:hAnsiTheme="majorBidi" w:cstheme="majorBidi"/>
          <w:sz w:val="24"/>
          <w:szCs w:val="24"/>
          <w:lang w:val="en-US"/>
        </w:rPr>
        <w:t xml:space="preserve"> </w:t>
      </w:r>
      <w:r w:rsidR="00D00B46" w:rsidRPr="00795222">
        <w:rPr>
          <w:rFonts w:asciiTheme="majorBidi" w:hAnsiTheme="majorBidi" w:cstheme="majorBidi"/>
          <w:sz w:val="24"/>
          <w:szCs w:val="24"/>
          <w:lang w:val="en-US"/>
        </w:rPr>
        <w:t xml:space="preserve">This showed that LPHNs with high drug loading </w:t>
      </w:r>
      <w:r w:rsidR="00BB1225" w:rsidRPr="00795222">
        <w:rPr>
          <w:rFonts w:asciiTheme="majorBidi" w:hAnsiTheme="majorBidi" w:cstheme="majorBidi"/>
          <w:sz w:val="24"/>
          <w:szCs w:val="24"/>
          <w:lang w:val="en-US"/>
        </w:rPr>
        <w:t xml:space="preserve">of up to 20 % w/w </w:t>
      </w:r>
      <w:r w:rsidR="00D00B46" w:rsidRPr="00795222">
        <w:rPr>
          <w:rFonts w:asciiTheme="majorBidi" w:hAnsiTheme="majorBidi" w:cstheme="majorBidi"/>
          <w:sz w:val="24"/>
          <w:szCs w:val="24"/>
          <w:lang w:val="en-US"/>
        </w:rPr>
        <w:t xml:space="preserve">could be formed with </w:t>
      </w:r>
      <w:r w:rsidR="00624020" w:rsidRPr="00795222">
        <w:rPr>
          <w:rFonts w:asciiTheme="majorBidi" w:hAnsiTheme="majorBidi" w:cstheme="majorBidi"/>
          <w:sz w:val="24"/>
          <w:szCs w:val="24"/>
          <w:lang w:val="en-US"/>
        </w:rPr>
        <w:t>a range of</w:t>
      </w:r>
      <w:r w:rsidR="00D00B46" w:rsidRPr="00795222">
        <w:rPr>
          <w:rFonts w:asciiTheme="majorBidi" w:hAnsiTheme="majorBidi" w:cstheme="majorBidi"/>
          <w:sz w:val="24"/>
          <w:szCs w:val="24"/>
          <w:lang w:val="en-US"/>
        </w:rPr>
        <w:t xml:space="preserve"> </w:t>
      </w:r>
      <w:r w:rsidR="0051529C" w:rsidRPr="00795222">
        <w:rPr>
          <w:rFonts w:asciiTheme="majorBidi" w:hAnsiTheme="majorBidi" w:cstheme="majorBidi"/>
          <w:sz w:val="24"/>
          <w:szCs w:val="24"/>
          <w:lang w:val="en-US"/>
        </w:rPr>
        <w:t>stabilizer</w:t>
      </w:r>
      <w:r w:rsidR="00D00B46" w:rsidRPr="00795222">
        <w:rPr>
          <w:rFonts w:asciiTheme="majorBidi" w:hAnsiTheme="majorBidi" w:cstheme="majorBidi"/>
          <w:sz w:val="24"/>
          <w:szCs w:val="24"/>
          <w:lang w:val="en-US"/>
        </w:rPr>
        <w:t xml:space="preserve"> composition</w:t>
      </w:r>
      <w:r w:rsidR="00624020" w:rsidRPr="00795222">
        <w:rPr>
          <w:rFonts w:asciiTheme="majorBidi" w:hAnsiTheme="majorBidi" w:cstheme="majorBidi"/>
          <w:sz w:val="24"/>
          <w:szCs w:val="24"/>
          <w:lang w:val="en-US"/>
        </w:rPr>
        <w:t>s</w:t>
      </w:r>
      <w:r w:rsidR="00D00B46" w:rsidRPr="00795222">
        <w:rPr>
          <w:rFonts w:asciiTheme="majorBidi" w:hAnsiTheme="majorBidi" w:cstheme="majorBidi"/>
          <w:sz w:val="24"/>
          <w:szCs w:val="24"/>
          <w:lang w:val="en-US"/>
        </w:rPr>
        <w:t>.</w:t>
      </w:r>
    </w:p>
    <w:p w14:paraId="37557DE8" w14:textId="08EE72EE" w:rsidR="00A937D8" w:rsidRPr="00795222" w:rsidRDefault="00D00B46" w:rsidP="00657F6C">
      <w:p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lang w:val="en-US"/>
        </w:rPr>
        <w:t xml:space="preserve">The effect of </w:t>
      </w:r>
      <w:r w:rsidR="006438A0" w:rsidRPr="00795222">
        <w:rPr>
          <w:rFonts w:asciiTheme="majorBidi" w:hAnsiTheme="majorBidi" w:cstheme="majorBidi"/>
          <w:sz w:val="24"/>
          <w:szCs w:val="24"/>
          <w:lang w:val="en-US"/>
        </w:rPr>
        <w:t>freeze drying</w:t>
      </w:r>
      <w:r w:rsidR="00255794"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t>on the formulations was investigated</w:t>
      </w:r>
      <w:r w:rsidR="00335011" w:rsidRPr="00795222">
        <w:rPr>
          <w:rFonts w:asciiTheme="majorBidi" w:hAnsiTheme="majorBidi" w:cstheme="majorBidi"/>
          <w:sz w:val="24"/>
          <w:szCs w:val="24"/>
          <w:lang w:val="en-US"/>
        </w:rPr>
        <w:t xml:space="preserve"> </w:t>
      </w:r>
      <w:r w:rsidR="00D246B5" w:rsidRPr="00795222">
        <w:rPr>
          <w:rFonts w:asciiTheme="majorBidi" w:hAnsiTheme="majorBidi" w:cstheme="majorBidi"/>
          <w:sz w:val="24"/>
          <w:szCs w:val="24"/>
          <w:lang w:val="en-US"/>
        </w:rPr>
        <w:t>using</w:t>
      </w:r>
      <w:r w:rsidR="00AF3337" w:rsidRPr="00795222">
        <w:rPr>
          <w:rFonts w:asciiTheme="majorBidi" w:hAnsiTheme="majorBidi" w:cstheme="majorBidi"/>
          <w:sz w:val="24"/>
          <w:szCs w:val="24"/>
          <w:lang w:val="en-US"/>
        </w:rPr>
        <w:t xml:space="preserve"> </w:t>
      </w:r>
      <w:r w:rsidR="00335011" w:rsidRPr="00795222">
        <w:rPr>
          <w:rFonts w:asciiTheme="majorBidi" w:hAnsiTheme="majorBidi" w:cstheme="majorBidi"/>
          <w:sz w:val="24"/>
          <w:szCs w:val="24"/>
          <w:lang w:val="en-US"/>
        </w:rPr>
        <w:t>a cryoprotectant</w:t>
      </w:r>
      <w:r w:rsidR="00D246B5" w:rsidRPr="00795222">
        <w:rPr>
          <w:rFonts w:asciiTheme="majorBidi" w:hAnsiTheme="majorBidi" w:cstheme="majorBidi"/>
          <w:sz w:val="24"/>
          <w:szCs w:val="24"/>
          <w:lang w:val="en-US"/>
        </w:rPr>
        <w:t>,</w:t>
      </w:r>
      <w:r w:rsidR="00BB1225" w:rsidRPr="00795222">
        <w:rPr>
          <w:rFonts w:asciiTheme="majorBidi" w:hAnsiTheme="majorBidi" w:cstheme="majorBidi"/>
          <w:sz w:val="24"/>
          <w:szCs w:val="24"/>
          <w:lang w:val="en-US"/>
        </w:rPr>
        <w:t xml:space="preserve"> 0.5 % w/v PEG,</w:t>
      </w:r>
      <w:r w:rsidR="00D246B5" w:rsidRPr="00795222">
        <w:rPr>
          <w:rFonts w:asciiTheme="majorBidi" w:hAnsiTheme="majorBidi" w:cstheme="majorBidi"/>
          <w:sz w:val="24"/>
          <w:szCs w:val="24"/>
          <w:lang w:val="en-US"/>
        </w:rPr>
        <w:t xml:space="preserve"> which is </w:t>
      </w:r>
      <w:r w:rsidR="00CA3EF6" w:rsidRPr="00795222">
        <w:rPr>
          <w:rFonts w:asciiTheme="majorBidi" w:hAnsiTheme="majorBidi" w:cstheme="majorBidi"/>
          <w:sz w:val="24"/>
          <w:szCs w:val="24"/>
          <w:lang w:val="en-US"/>
        </w:rPr>
        <w:t>a</w:t>
      </w:r>
      <w:r w:rsidR="00D246B5" w:rsidRPr="00795222">
        <w:rPr>
          <w:rFonts w:asciiTheme="majorBidi" w:hAnsiTheme="majorBidi" w:cstheme="majorBidi"/>
          <w:sz w:val="24"/>
          <w:szCs w:val="24"/>
          <w:lang w:val="en-US"/>
        </w:rPr>
        <w:t xml:space="preserve"> </w:t>
      </w:r>
      <w:r w:rsidR="00CA3EF6" w:rsidRPr="00795222">
        <w:rPr>
          <w:rFonts w:asciiTheme="majorBidi" w:hAnsiTheme="majorBidi" w:cstheme="majorBidi"/>
          <w:sz w:val="24"/>
          <w:szCs w:val="24"/>
          <w:lang w:val="en-US"/>
        </w:rPr>
        <w:t>significantly</w:t>
      </w:r>
      <w:r w:rsidR="00D246B5" w:rsidRPr="00795222">
        <w:rPr>
          <w:rFonts w:asciiTheme="majorBidi" w:hAnsiTheme="majorBidi" w:cstheme="majorBidi"/>
          <w:sz w:val="24"/>
          <w:szCs w:val="24"/>
          <w:lang w:val="en-US"/>
        </w:rPr>
        <w:t xml:space="preserve"> low</w:t>
      </w:r>
      <w:r w:rsidR="001D2492" w:rsidRPr="00795222">
        <w:rPr>
          <w:rFonts w:asciiTheme="majorBidi" w:hAnsiTheme="majorBidi" w:cstheme="majorBidi"/>
          <w:sz w:val="24"/>
          <w:szCs w:val="24"/>
          <w:lang w:val="en-US"/>
        </w:rPr>
        <w:t>er</w:t>
      </w:r>
      <w:r w:rsidR="00D246B5" w:rsidRPr="00795222">
        <w:rPr>
          <w:rFonts w:asciiTheme="majorBidi" w:hAnsiTheme="majorBidi" w:cstheme="majorBidi"/>
          <w:sz w:val="24"/>
          <w:szCs w:val="24"/>
          <w:lang w:val="en-US"/>
        </w:rPr>
        <w:t xml:space="preserve"> concentration</w:t>
      </w:r>
      <w:r w:rsidR="00CA3EF6" w:rsidRPr="00795222">
        <w:rPr>
          <w:rFonts w:asciiTheme="majorBidi" w:hAnsiTheme="majorBidi" w:cstheme="majorBidi"/>
          <w:sz w:val="24"/>
          <w:szCs w:val="24"/>
          <w:lang w:val="en-US"/>
        </w:rPr>
        <w:t xml:space="preserve"> of the cryoprotectant</w:t>
      </w:r>
      <w:r w:rsidR="00606E47" w:rsidRPr="00795222">
        <w:rPr>
          <w:rFonts w:asciiTheme="majorBidi" w:hAnsiTheme="majorBidi" w:cstheme="majorBidi"/>
          <w:sz w:val="24"/>
          <w:szCs w:val="24"/>
          <w:lang w:val="en-US"/>
        </w:rPr>
        <w:t xml:space="preserve"> </w:t>
      </w:r>
      <w:r w:rsidR="00D103B6" w:rsidRPr="00795222">
        <w:rPr>
          <w:rFonts w:asciiTheme="majorBidi" w:hAnsiTheme="majorBidi" w:cstheme="majorBidi"/>
          <w:sz w:val="24"/>
          <w:szCs w:val="24"/>
          <w:lang w:val="en-US"/>
        </w:rPr>
        <w:t xml:space="preserve">compared to </w:t>
      </w:r>
      <w:r w:rsidR="001D2492" w:rsidRPr="00795222">
        <w:rPr>
          <w:rFonts w:asciiTheme="majorBidi" w:hAnsiTheme="majorBidi" w:cstheme="majorBidi"/>
          <w:sz w:val="24"/>
          <w:szCs w:val="24"/>
          <w:lang w:val="en-US"/>
        </w:rPr>
        <w:t>that</w:t>
      </w:r>
      <w:r w:rsidR="00D103B6" w:rsidRPr="00795222">
        <w:rPr>
          <w:rFonts w:asciiTheme="majorBidi" w:hAnsiTheme="majorBidi" w:cstheme="majorBidi"/>
          <w:sz w:val="24"/>
          <w:szCs w:val="24"/>
          <w:lang w:val="en-US"/>
        </w:rPr>
        <w:t xml:space="preserve"> reported</w:t>
      </w:r>
      <w:r w:rsidR="00E504F4" w:rsidRPr="00795222">
        <w:rPr>
          <w:rFonts w:asciiTheme="majorBidi" w:hAnsiTheme="majorBidi" w:cstheme="majorBidi"/>
          <w:sz w:val="24"/>
          <w:szCs w:val="24"/>
          <w:lang w:val="en-US"/>
        </w:rPr>
        <w:t xml:space="preserve"> by</w:t>
      </w:r>
      <w:r w:rsidR="00D103B6" w:rsidRPr="00795222">
        <w:rPr>
          <w:rFonts w:asciiTheme="majorBidi" w:hAnsiTheme="majorBidi" w:cstheme="majorBidi"/>
          <w:sz w:val="24"/>
          <w:szCs w:val="24"/>
          <w:lang w:val="en-US"/>
        </w:rPr>
        <w:t xml:space="preserve"> </w:t>
      </w:r>
      <w:r w:rsidR="006F5C31" w:rsidRPr="00795222">
        <w:rPr>
          <w:rFonts w:asciiTheme="majorBidi" w:hAnsiTheme="majorBidi" w:cstheme="majorBidi"/>
          <w:sz w:val="24"/>
          <w:szCs w:val="24"/>
          <w:lang w:val="en-US"/>
        </w:rPr>
        <w:t>Nidhi</w:t>
      </w:r>
      <w:r w:rsidR="00E504F4" w:rsidRPr="00795222">
        <w:rPr>
          <w:rFonts w:asciiTheme="majorBidi" w:hAnsiTheme="majorBidi" w:cstheme="majorBidi"/>
          <w:sz w:val="24"/>
          <w:szCs w:val="24"/>
          <w:lang w:val="en-US"/>
        </w:rPr>
        <w:t xml:space="preserve"> </w:t>
      </w:r>
      <w:r w:rsidR="00E504F4" w:rsidRPr="00795222">
        <w:rPr>
          <w:rFonts w:asciiTheme="majorBidi" w:hAnsiTheme="majorBidi" w:cstheme="majorBidi"/>
          <w:i/>
          <w:iCs/>
          <w:sz w:val="24"/>
          <w:szCs w:val="24"/>
          <w:lang w:val="en-US"/>
        </w:rPr>
        <w:t>et al.</w:t>
      </w:r>
      <w:r w:rsidR="00E504F4" w:rsidRPr="00795222">
        <w:rPr>
          <w:rFonts w:asciiTheme="majorBidi" w:hAnsiTheme="majorBidi" w:cstheme="majorBidi"/>
          <w:sz w:val="24"/>
          <w:szCs w:val="24"/>
          <w:lang w:val="en-US"/>
        </w:rPr>
        <w:fldChar w:fldCharType="begin" w:fldLock="1"/>
      </w:r>
      <w:r w:rsidR="001B7E74" w:rsidRPr="00795222">
        <w:rPr>
          <w:rFonts w:asciiTheme="majorBidi" w:hAnsiTheme="majorBidi" w:cstheme="majorBidi"/>
          <w:sz w:val="24"/>
          <w:szCs w:val="24"/>
          <w:lang w:val="en-US"/>
        </w:rPr>
        <w:instrText>ADDIN CSL_CITATION {"citationItems":[{"id":"ITEM-1","itemData":{"DOI":"10.1002/jps","ISBN":"1528-7483","ISSN":"09759344","PMID":"26555993","abstract":"The study on solubility yields information about the structure and intermolecular forces of drugs. Use of the solubility characteristics in bioavailability, pharmacological action and solubility enhancement of various poorly soluble compounds is a challenging task for researchers and pharmaceutical scientists. Hydrotropy is one of the solubility enhancement techniques which enhance solubility to many folds with use of hydrotropes like sodium benzoate, sodium citrate, urea, niacinamide etc. and have many advantages like; it does not require chemical modification of hydrophobic drugs, use of organic solvents, or preparation of emulsion system etc.","author":[{"dropping-particle":"","family":"Nidhi","given":"Kapadiya","non-dropping-particle":"","parse-names":false,"suffix":""},{"dropping-particle":"","family":"Indrajeet","given":"Singhvi","non-dropping-particle":"","parse-names":false,"suffix":""},{"dropping-particle":"","family":"Khushboo","given":"Mehta","non-dropping-particle":"","parse-names":false,"suffix":""},{"dropping-particle":"","family":"Gauri","given":"Karwani","non-dropping-particle":"","parse-names":false,"suffix":""},{"dropping-particle":"","family":"Sen","given":"Dhrubo Jyoti","non-dropping-particle":"","parse-names":false,"suffix":""}],"container-title":"International Journal of Drug Development and Research","id":"ITEM-1","issue":"2","issued":{"date-parts":[["2011"]]},"page":"26-33","title":"Hydrotropy: A promising tool for solubility enhancement: A review","type":"article-journal","volume":"3"},"uris":["http://www.mendeley.com/documents/?uuid=e90344ad-607e-44bc-a937-3ef5fc9070df"]}],"mendeley":{"formattedCitation":"(Nidhi et al., 2011)","plainTextFormattedCitation":"(Nidhi et al., 2011)","previouslyFormattedCitation":"(Nidhi et al., 2011)"},"properties":{"noteIndex":0},"schema":"https://github.com/citation-style-language/schema/raw/master/csl-citation.json"}</w:instrText>
      </w:r>
      <w:r w:rsidR="00E504F4" w:rsidRPr="00795222">
        <w:rPr>
          <w:rFonts w:asciiTheme="majorBidi" w:hAnsiTheme="majorBidi" w:cstheme="majorBidi"/>
          <w:sz w:val="24"/>
          <w:szCs w:val="24"/>
          <w:lang w:val="en-US"/>
        </w:rPr>
        <w:fldChar w:fldCharType="separate"/>
      </w:r>
      <w:r w:rsidR="00FF41FF" w:rsidRPr="00795222">
        <w:rPr>
          <w:rFonts w:asciiTheme="majorBidi" w:hAnsiTheme="majorBidi" w:cstheme="majorBidi"/>
          <w:noProof/>
          <w:sz w:val="24"/>
          <w:szCs w:val="24"/>
          <w:lang w:val="en-US"/>
        </w:rPr>
        <w:t>(Nidhi et al., 2011)</w:t>
      </w:r>
      <w:r w:rsidR="00E504F4" w:rsidRPr="00795222">
        <w:rPr>
          <w:rFonts w:asciiTheme="majorBidi" w:hAnsiTheme="majorBidi" w:cstheme="majorBidi"/>
          <w:sz w:val="24"/>
          <w:szCs w:val="24"/>
          <w:lang w:val="en-US"/>
        </w:rPr>
        <w:fldChar w:fldCharType="end"/>
      </w:r>
      <w:r w:rsidR="00D60F96" w:rsidRPr="00795222">
        <w:rPr>
          <w:rFonts w:asciiTheme="majorBidi" w:hAnsiTheme="majorBidi" w:cstheme="majorBidi"/>
          <w:sz w:val="24"/>
          <w:szCs w:val="24"/>
          <w:lang w:val="en-US"/>
        </w:rPr>
        <w:t xml:space="preserve"> </w:t>
      </w:r>
      <w:r w:rsidR="003A0E3F" w:rsidRPr="00795222">
        <w:rPr>
          <w:rFonts w:asciiTheme="majorBidi" w:hAnsiTheme="majorBidi" w:cstheme="majorBidi"/>
          <w:sz w:val="24"/>
          <w:szCs w:val="24"/>
          <w:lang w:val="en-US"/>
        </w:rPr>
        <w:t>L</w:t>
      </w:r>
      <w:r w:rsidR="00C63C2C" w:rsidRPr="00795222">
        <w:rPr>
          <w:rFonts w:asciiTheme="majorBidi" w:hAnsiTheme="majorBidi" w:cstheme="majorBidi"/>
          <w:sz w:val="24"/>
          <w:szCs w:val="24"/>
          <w:lang w:val="en-US"/>
        </w:rPr>
        <w:t xml:space="preserve">ower </w:t>
      </w:r>
      <w:r w:rsidR="00D60F96" w:rsidRPr="00795222">
        <w:rPr>
          <w:rFonts w:asciiTheme="majorBidi" w:hAnsiTheme="majorBidi" w:cstheme="majorBidi"/>
          <w:sz w:val="24"/>
          <w:szCs w:val="24"/>
          <w:lang w:val="en-US"/>
        </w:rPr>
        <w:t xml:space="preserve"> </w:t>
      </w:r>
      <w:r w:rsidR="00D03D78" w:rsidRPr="00795222">
        <w:rPr>
          <w:rFonts w:asciiTheme="majorBidi" w:hAnsiTheme="majorBidi" w:cstheme="majorBidi"/>
          <w:sz w:val="24"/>
          <w:szCs w:val="24"/>
          <w:lang w:val="en-US"/>
        </w:rPr>
        <w:t>concentration</w:t>
      </w:r>
      <w:r w:rsidR="00C63C2C" w:rsidRPr="00795222">
        <w:rPr>
          <w:rFonts w:asciiTheme="majorBidi" w:hAnsiTheme="majorBidi" w:cstheme="majorBidi"/>
          <w:sz w:val="24"/>
          <w:szCs w:val="24"/>
          <w:lang w:val="en-US"/>
        </w:rPr>
        <w:t xml:space="preserve"> of excipients as cryoprotectants</w:t>
      </w:r>
      <w:r w:rsidR="00D03D78" w:rsidRPr="00795222">
        <w:rPr>
          <w:rFonts w:asciiTheme="majorBidi" w:hAnsiTheme="majorBidi" w:cstheme="majorBidi"/>
          <w:sz w:val="24"/>
          <w:szCs w:val="24"/>
          <w:lang w:val="en-US"/>
        </w:rPr>
        <w:t xml:space="preserve"> </w:t>
      </w:r>
      <w:r w:rsidR="00733558" w:rsidRPr="00795222">
        <w:rPr>
          <w:rFonts w:asciiTheme="majorBidi" w:hAnsiTheme="majorBidi" w:cstheme="majorBidi"/>
          <w:sz w:val="24"/>
          <w:szCs w:val="24"/>
          <w:lang w:val="en-US"/>
        </w:rPr>
        <w:t>was</w:t>
      </w:r>
      <w:r w:rsidR="00D03D78" w:rsidRPr="00795222">
        <w:rPr>
          <w:rFonts w:asciiTheme="majorBidi" w:hAnsiTheme="majorBidi" w:cstheme="majorBidi"/>
          <w:sz w:val="24"/>
          <w:szCs w:val="24"/>
          <w:lang w:val="en-US"/>
        </w:rPr>
        <w:t xml:space="preserve"> targeted </w:t>
      </w:r>
      <w:r w:rsidR="00DC72D8" w:rsidRPr="00795222">
        <w:rPr>
          <w:rFonts w:asciiTheme="majorBidi" w:hAnsiTheme="majorBidi" w:cstheme="majorBidi"/>
          <w:sz w:val="24"/>
          <w:szCs w:val="24"/>
          <w:lang w:val="en-US"/>
        </w:rPr>
        <w:t xml:space="preserve">as </w:t>
      </w:r>
      <w:r w:rsidR="00443756" w:rsidRPr="00795222">
        <w:rPr>
          <w:rFonts w:asciiTheme="majorBidi" w:hAnsiTheme="majorBidi" w:cstheme="majorBidi"/>
          <w:sz w:val="24"/>
          <w:szCs w:val="24"/>
          <w:lang w:val="en-US"/>
        </w:rPr>
        <w:t>it mean</w:t>
      </w:r>
      <w:r w:rsidR="006F2CEB" w:rsidRPr="00795222">
        <w:rPr>
          <w:rFonts w:asciiTheme="majorBidi" w:hAnsiTheme="majorBidi" w:cstheme="majorBidi"/>
          <w:sz w:val="24"/>
          <w:szCs w:val="24"/>
          <w:lang w:val="en-US"/>
        </w:rPr>
        <w:t>t</w:t>
      </w:r>
      <w:r w:rsidR="00530F7B" w:rsidRPr="00795222">
        <w:rPr>
          <w:rFonts w:asciiTheme="majorBidi" w:hAnsiTheme="majorBidi" w:cstheme="majorBidi"/>
          <w:sz w:val="24"/>
          <w:szCs w:val="24"/>
          <w:lang w:val="en-US"/>
        </w:rPr>
        <w:t xml:space="preserve"> a</w:t>
      </w:r>
      <w:r w:rsidR="00951224" w:rsidRPr="00795222">
        <w:rPr>
          <w:rFonts w:asciiTheme="majorBidi" w:hAnsiTheme="majorBidi" w:cstheme="majorBidi"/>
          <w:sz w:val="24"/>
          <w:szCs w:val="24"/>
          <w:lang w:val="en-US"/>
        </w:rPr>
        <w:t xml:space="preserve"> </w:t>
      </w:r>
      <w:r w:rsidR="004C5875" w:rsidRPr="00795222">
        <w:rPr>
          <w:rFonts w:asciiTheme="majorBidi" w:hAnsiTheme="majorBidi" w:cstheme="majorBidi"/>
          <w:sz w:val="24"/>
          <w:szCs w:val="24"/>
          <w:lang w:val="en-US"/>
        </w:rPr>
        <w:t xml:space="preserve">relative </w:t>
      </w:r>
      <w:r w:rsidR="00951224" w:rsidRPr="00795222">
        <w:rPr>
          <w:rFonts w:asciiTheme="majorBidi" w:hAnsiTheme="majorBidi" w:cstheme="majorBidi"/>
          <w:sz w:val="24"/>
          <w:szCs w:val="24"/>
          <w:lang w:val="en-US"/>
        </w:rPr>
        <w:t xml:space="preserve">higher </w:t>
      </w:r>
      <w:r w:rsidR="004C5875" w:rsidRPr="00795222">
        <w:rPr>
          <w:rFonts w:asciiTheme="majorBidi" w:hAnsiTheme="majorBidi" w:cstheme="majorBidi"/>
          <w:sz w:val="24"/>
          <w:szCs w:val="24"/>
          <w:lang w:val="en-US"/>
        </w:rPr>
        <w:t>concentration</w:t>
      </w:r>
      <w:r w:rsidR="00951224" w:rsidRPr="00795222">
        <w:rPr>
          <w:rFonts w:asciiTheme="majorBidi" w:hAnsiTheme="majorBidi" w:cstheme="majorBidi"/>
          <w:sz w:val="24"/>
          <w:szCs w:val="24"/>
          <w:lang w:val="en-US"/>
        </w:rPr>
        <w:t xml:space="preserve"> of drug loaded LPHNs</w:t>
      </w:r>
      <w:r w:rsidR="004C5875" w:rsidRPr="00795222">
        <w:rPr>
          <w:rFonts w:asciiTheme="majorBidi" w:hAnsiTheme="majorBidi" w:cstheme="majorBidi"/>
          <w:sz w:val="24"/>
          <w:szCs w:val="24"/>
          <w:lang w:val="en-US"/>
        </w:rPr>
        <w:t xml:space="preserve"> can be achieved</w:t>
      </w:r>
      <w:r w:rsidR="005B38E2" w:rsidRPr="00795222">
        <w:rPr>
          <w:rFonts w:asciiTheme="majorBidi" w:hAnsiTheme="majorBidi" w:cstheme="majorBidi"/>
          <w:sz w:val="24"/>
          <w:szCs w:val="24"/>
          <w:lang w:val="en-US"/>
        </w:rPr>
        <w:t>.</w:t>
      </w:r>
      <w:r w:rsidR="00D03D78" w:rsidRPr="00795222">
        <w:rPr>
          <w:rFonts w:asciiTheme="majorBidi" w:hAnsiTheme="majorBidi" w:cstheme="majorBidi"/>
          <w:sz w:val="24"/>
          <w:szCs w:val="24"/>
          <w:lang w:val="en-US"/>
        </w:rPr>
        <w:t xml:space="preserve"> </w:t>
      </w:r>
      <w:r w:rsidR="00BB1225" w:rsidRPr="00795222">
        <w:rPr>
          <w:rFonts w:asciiTheme="majorBidi" w:hAnsiTheme="majorBidi" w:cstheme="majorBidi"/>
          <w:sz w:val="24"/>
          <w:szCs w:val="24"/>
          <w:lang w:val="en-US"/>
        </w:rPr>
        <w:t>A</w:t>
      </w:r>
      <w:r w:rsidRPr="00795222">
        <w:rPr>
          <w:rFonts w:asciiTheme="majorBidi" w:hAnsiTheme="majorBidi" w:cstheme="majorBidi"/>
          <w:sz w:val="24"/>
          <w:szCs w:val="24"/>
          <w:lang w:val="en-US"/>
        </w:rPr>
        <w:t xml:space="preserve">fter redispersion </w:t>
      </w:r>
      <w:r w:rsidR="00255794" w:rsidRPr="00795222">
        <w:rPr>
          <w:rFonts w:asciiTheme="majorBidi" w:hAnsiTheme="majorBidi" w:cstheme="majorBidi"/>
          <w:sz w:val="24"/>
          <w:szCs w:val="24"/>
          <w:lang w:val="en-US"/>
        </w:rPr>
        <w:t>the effect of increasing the</w:t>
      </w:r>
      <w:r w:rsidR="00095A8B" w:rsidRPr="00795222">
        <w:rPr>
          <w:rFonts w:asciiTheme="majorBidi" w:hAnsiTheme="majorBidi" w:cstheme="majorBidi"/>
          <w:sz w:val="24"/>
          <w:szCs w:val="24"/>
          <w:lang w:val="en-US"/>
        </w:rPr>
        <w:t xml:space="preserve"> DRV/PLGA mass percentage</w:t>
      </w:r>
      <w:r w:rsidR="001F31C9" w:rsidRPr="00795222">
        <w:rPr>
          <w:rFonts w:asciiTheme="majorBidi" w:hAnsiTheme="majorBidi" w:cstheme="majorBidi"/>
          <w:sz w:val="24"/>
          <w:szCs w:val="24"/>
          <w:lang w:val="en-US"/>
        </w:rPr>
        <w:t xml:space="preserve"> </w:t>
      </w:r>
      <w:r w:rsidR="00927534" w:rsidRPr="00795222">
        <w:rPr>
          <w:rFonts w:asciiTheme="majorBidi" w:hAnsiTheme="majorBidi" w:cstheme="majorBidi"/>
          <w:sz w:val="24"/>
          <w:szCs w:val="24"/>
          <w:lang w:val="en-US"/>
        </w:rPr>
        <w:t xml:space="preserve">on particles properties </w:t>
      </w:r>
      <w:r w:rsidR="00BB1225" w:rsidRPr="00795222">
        <w:rPr>
          <w:rFonts w:asciiTheme="majorBidi" w:hAnsiTheme="majorBidi" w:cstheme="majorBidi"/>
          <w:sz w:val="24"/>
          <w:szCs w:val="24"/>
          <w:lang w:val="en-US"/>
        </w:rPr>
        <w:t>became</w:t>
      </w:r>
      <w:r w:rsidR="001F31C9"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t>apparent;</w:t>
      </w:r>
      <w:r w:rsidR="006438A0" w:rsidRPr="00795222">
        <w:rPr>
          <w:rFonts w:asciiTheme="majorBidi" w:hAnsiTheme="majorBidi" w:cstheme="majorBidi"/>
          <w:sz w:val="24"/>
          <w:szCs w:val="24"/>
          <w:lang w:val="en-US"/>
        </w:rPr>
        <w:t xml:space="preserve"> </w:t>
      </w:r>
      <w:r w:rsidR="00BD4469" w:rsidRPr="00795222">
        <w:rPr>
          <w:rFonts w:asciiTheme="majorBidi" w:hAnsiTheme="majorBidi" w:cstheme="majorBidi"/>
          <w:sz w:val="24"/>
          <w:szCs w:val="24"/>
          <w:lang w:val="en-US"/>
        </w:rPr>
        <w:t>increasing the DRV/PLGA mass percentage above 20 % w/w led to particle aggregation.</w:t>
      </w:r>
      <w:r w:rsidRPr="00795222">
        <w:rPr>
          <w:rFonts w:asciiTheme="majorBidi" w:hAnsiTheme="majorBidi" w:cstheme="majorBidi"/>
          <w:sz w:val="24"/>
          <w:szCs w:val="24"/>
          <w:lang w:val="en-US"/>
        </w:rPr>
        <w:t xml:space="preserve"> For LPHNs with DRV/PLGA mass percentage between 5-20 % w/w, the </w:t>
      </w:r>
      <w:r w:rsidR="00BB1225" w:rsidRPr="00795222">
        <w:rPr>
          <w:rFonts w:asciiTheme="majorBidi" w:hAnsiTheme="majorBidi" w:cstheme="majorBidi"/>
          <w:sz w:val="24"/>
          <w:szCs w:val="24"/>
          <w:lang w:val="en-US"/>
        </w:rPr>
        <w:t>Z</w:t>
      </w:r>
      <w:r w:rsidRPr="00795222">
        <w:rPr>
          <w:rFonts w:asciiTheme="majorBidi" w:hAnsiTheme="majorBidi" w:cstheme="majorBidi"/>
          <w:sz w:val="24"/>
          <w:szCs w:val="24"/>
          <w:lang w:val="en-US"/>
        </w:rPr>
        <w:t>-average for freeze-dried LPHNs dispersed in DI water ranged between 125-255 nm</w:t>
      </w:r>
      <w:r w:rsidR="002B70AE" w:rsidRPr="00795222">
        <w:rPr>
          <w:rFonts w:asciiTheme="majorBidi" w:hAnsiTheme="majorBidi" w:cstheme="majorBidi"/>
          <w:sz w:val="24"/>
          <w:szCs w:val="24"/>
          <w:lang w:val="en-US"/>
        </w:rPr>
        <w:t xml:space="preserve"> (</w:t>
      </w:r>
      <w:r w:rsidR="001A7A1E" w:rsidRPr="00795222">
        <w:rPr>
          <w:rFonts w:asciiTheme="majorBidi" w:hAnsiTheme="majorBidi" w:cstheme="majorBidi"/>
          <w:sz w:val="24"/>
          <w:szCs w:val="24"/>
          <w:lang w:val="en-US"/>
        </w:rPr>
        <w:t>Table SI1</w:t>
      </w:r>
      <w:r w:rsidR="002B70AE" w:rsidRPr="00795222">
        <w:rPr>
          <w:rFonts w:asciiTheme="majorBidi" w:hAnsiTheme="majorBidi" w:cstheme="majorBidi"/>
          <w:sz w:val="24"/>
          <w:szCs w:val="24"/>
          <w:lang w:val="en-US"/>
        </w:rPr>
        <w:t>)</w:t>
      </w:r>
      <w:r w:rsidRPr="00795222">
        <w:rPr>
          <w:rFonts w:asciiTheme="majorBidi" w:hAnsiTheme="majorBidi" w:cstheme="majorBidi"/>
          <w:sz w:val="24"/>
          <w:szCs w:val="24"/>
          <w:lang w:val="en-US"/>
        </w:rPr>
        <w:t>, while upon dispersion in PBS</w:t>
      </w:r>
      <w:r w:rsidR="002B70AE" w:rsidRPr="00795222">
        <w:rPr>
          <w:rFonts w:asciiTheme="majorBidi" w:hAnsiTheme="majorBidi" w:cstheme="majorBidi"/>
          <w:sz w:val="24"/>
          <w:szCs w:val="24"/>
          <w:lang w:val="en-US"/>
        </w:rPr>
        <w:t xml:space="preserve"> (</w:t>
      </w:r>
      <w:r w:rsidR="001A7A1E" w:rsidRPr="00795222">
        <w:rPr>
          <w:rFonts w:asciiTheme="majorBidi" w:hAnsiTheme="majorBidi" w:cstheme="majorBidi"/>
          <w:sz w:val="24"/>
          <w:szCs w:val="24"/>
          <w:lang w:val="en-US"/>
        </w:rPr>
        <w:t>Table SI2</w:t>
      </w:r>
      <w:r w:rsidR="00F828AA" w:rsidRPr="00795222">
        <w:rPr>
          <w:rFonts w:asciiTheme="majorBidi" w:hAnsiTheme="majorBidi" w:cstheme="majorBidi"/>
          <w:sz w:val="24"/>
          <w:szCs w:val="24"/>
          <w:lang w:val="en-US"/>
        </w:rPr>
        <w:t>)</w:t>
      </w:r>
      <w:r w:rsidRPr="00795222">
        <w:rPr>
          <w:rFonts w:asciiTheme="majorBidi" w:hAnsiTheme="majorBidi" w:cstheme="majorBidi"/>
          <w:sz w:val="24"/>
          <w:szCs w:val="24"/>
          <w:lang w:val="en-US"/>
        </w:rPr>
        <w:t xml:space="preserve">, the </w:t>
      </w:r>
      <w:r w:rsidR="00BB1225" w:rsidRPr="00795222">
        <w:rPr>
          <w:rFonts w:asciiTheme="majorBidi" w:hAnsiTheme="majorBidi" w:cstheme="majorBidi"/>
          <w:sz w:val="24"/>
          <w:szCs w:val="24"/>
          <w:lang w:val="en-US"/>
        </w:rPr>
        <w:t>Z</w:t>
      </w:r>
      <w:r w:rsidRPr="00795222">
        <w:rPr>
          <w:rFonts w:asciiTheme="majorBidi" w:hAnsiTheme="majorBidi" w:cstheme="majorBidi"/>
          <w:sz w:val="24"/>
          <w:szCs w:val="24"/>
          <w:lang w:val="en-US"/>
        </w:rPr>
        <w:t xml:space="preserve">-average of freeze-dried LPHNs </w:t>
      </w:r>
      <w:r w:rsidR="00BB1225" w:rsidRPr="00795222">
        <w:rPr>
          <w:rFonts w:asciiTheme="majorBidi" w:hAnsiTheme="majorBidi" w:cstheme="majorBidi"/>
          <w:sz w:val="24"/>
          <w:szCs w:val="24"/>
          <w:lang w:val="en-US"/>
        </w:rPr>
        <w:t xml:space="preserve">became larger </w:t>
      </w:r>
      <w:r w:rsidRPr="00795222">
        <w:rPr>
          <w:rFonts w:asciiTheme="majorBidi" w:hAnsiTheme="majorBidi" w:cstheme="majorBidi"/>
          <w:sz w:val="24"/>
          <w:szCs w:val="24"/>
          <w:lang w:val="en-US"/>
        </w:rPr>
        <w:t>rang</w:t>
      </w:r>
      <w:r w:rsidR="00BB1225" w:rsidRPr="00795222">
        <w:rPr>
          <w:rFonts w:asciiTheme="majorBidi" w:hAnsiTheme="majorBidi" w:cstheme="majorBidi"/>
          <w:sz w:val="24"/>
          <w:szCs w:val="24"/>
          <w:lang w:val="en-US"/>
        </w:rPr>
        <w:t>ing</w:t>
      </w:r>
      <w:r w:rsidRPr="00795222">
        <w:rPr>
          <w:rFonts w:asciiTheme="majorBidi" w:hAnsiTheme="majorBidi" w:cstheme="majorBidi"/>
          <w:sz w:val="24"/>
          <w:szCs w:val="24"/>
          <w:lang w:val="en-US"/>
        </w:rPr>
        <w:t xml:space="preserve"> between 185-374 nm. </w:t>
      </w:r>
      <w:r w:rsidR="00BB1225" w:rsidRPr="00795222">
        <w:rPr>
          <w:rFonts w:asciiTheme="majorBidi" w:hAnsiTheme="majorBidi" w:cstheme="majorBidi"/>
          <w:sz w:val="24"/>
          <w:szCs w:val="24"/>
          <w:lang w:val="en-US"/>
        </w:rPr>
        <w:t>A</w:t>
      </w:r>
      <w:r w:rsidRPr="00795222">
        <w:rPr>
          <w:rFonts w:asciiTheme="majorBidi" w:hAnsiTheme="majorBidi" w:cstheme="majorBidi"/>
          <w:sz w:val="24"/>
          <w:szCs w:val="24"/>
          <w:lang w:val="en-US"/>
        </w:rPr>
        <w:t>fter freeze drying a</w:t>
      </w:r>
      <w:r w:rsidR="006438A0" w:rsidRPr="00795222">
        <w:rPr>
          <w:rFonts w:asciiTheme="majorBidi" w:hAnsiTheme="majorBidi" w:cstheme="majorBidi"/>
          <w:sz w:val="24"/>
          <w:szCs w:val="24"/>
          <w:lang w:val="en-US"/>
        </w:rPr>
        <w:t>ll samples</w:t>
      </w:r>
      <w:r w:rsidR="004A2799" w:rsidRPr="00795222">
        <w:rPr>
          <w:rFonts w:asciiTheme="majorBidi" w:hAnsiTheme="majorBidi" w:cstheme="majorBidi"/>
          <w:sz w:val="24"/>
          <w:szCs w:val="24"/>
          <w:lang w:val="en-US"/>
        </w:rPr>
        <w:t>,</w:t>
      </w:r>
      <w:r w:rsidR="008F3CFC" w:rsidRPr="00795222">
        <w:rPr>
          <w:rFonts w:asciiTheme="majorBidi" w:hAnsiTheme="majorBidi" w:cstheme="majorBidi"/>
          <w:sz w:val="24"/>
          <w:szCs w:val="24"/>
          <w:lang w:val="en-US"/>
        </w:rPr>
        <w:t xml:space="preserve"> </w:t>
      </w:r>
      <w:r w:rsidR="00BB1225" w:rsidRPr="00795222">
        <w:rPr>
          <w:rFonts w:asciiTheme="majorBidi" w:hAnsiTheme="majorBidi" w:cstheme="majorBidi"/>
          <w:sz w:val="24"/>
          <w:szCs w:val="24"/>
          <w:lang w:val="en-US"/>
        </w:rPr>
        <w:t>independent of dispersion media</w:t>
      </w:r>
      <w:r w:rsidR="004A2799" w:rsidRPr="00795222">
        <w:rPr>
          <w:rFonts w:asciiTheme="majorBidi" w:hAnsiTheme="majorBidi" w:cstheme="majorBidi"/>
          <w:sz w:val="24"/>
          <w:szCs w:val="24"/>
          <w:lang w:val="en-US"/>
        </w:rPr>
        <w:t>,</w:t>
      </w:r>
      <w:r w:rsidR="006438A0" w:rsidRPr="00795222">
        <w:rPr>
          <w:rFonts w:asciiTheme="majorBidi" w:hAnsiTheme="majorBidi" w:cstheme="majorBidi"/>
          <w:sz w:val="24"/>
          <w:szCs w:val="24"/>
          <w:lang w:val="en-US"/>
        </w:rPr>
        <w:t xml:space="preserve"> increase</w:t>
      </w:r>
      <w:r w:rsidR="00BB1225" w:rsidRPr="00795222">
        <w:rPr>
          <w:rFonts w:asciiTheme="majorBidi" w:hAnsiTheme="majorBidi" w:cstheme="majorBidi"/>
          <w:sz w:val="24"/>
          <w:szCs w:val="24"/>
          <w:lang w:val="en-US"/>
        </w:rPr>
        <w:t>d</w:t>
      </w:r>
      <w:r w:rsidR="006438A0" w:rsidRPr="00795222">
        <w:rPr>
          <w:rFonts w:asciiTheme="majorBidi" w:hAnsiTheme="majorBidi" w:cstheme="majorBidi"/>
          <w:sz w:val="24"/>
          <w:szCs w:val="24"/>
          <w:lang w:val="en-US"/>
        </w:rPr>
        <w:t xml:space="preserve"> in </w:t>
      </w:r>
      <w:r w:rsidRPr="00795222">
        <w:rPr>
          <w:rFonts w:asciiTheme="majorBidi" w:hAnsiTheme="majorBidi" w:cstheme="majorBidi"/>
          <w:sz w:val="24"/>
          <w:szCs w:val="24"/>
          <w:lang w:val="en-US"/>
        </w:rPr>
        <w:t>diameter</w:t>
      </w:r>
      <w:r w:rsidR="00BB1225" w:rsidRPr="00795222">
        <w:rPr>
          <w:rFonts w:asciiTheme="majorBidi" w:hAnsiTheme="majorBidi" w:cstheme="majorBidi"/>
          <w:sz w:val="24"/>
          <w:szCs w:val="24"/>
          <w:lang w:val="en-US"/>
        </w:rPr>
        <w:t xml:space="preserve">. </w:t>
      </w:r>
      <w:r w:rsidR="00711294" w:rsidRPr="00795222">
        <w:rPr>
          <w:rFonts w:asciiTheme="majorBidi" w:hAnsiTheme="majorBidi" w:cstheme="majorBidi"/>
          <w:sz w:val="24"/>
          <w:szCs w:val="24"/>
          <w:lang w:val="en-US"/>
        </w:rPr>
        <w:t>Such increases</w:t>
      </w:r>
      <w:r w:rsidR="00AD03F4" w:rsidRPr="00795222">
        <w:rPr>
          <w:rFonts w:asciiTheme="majorBidi" w:hAnsiTheme="majorBidi" w:cstheme="majorBidi"/>
          <w:sz w:val="24"/>
          <w:szCs w:val="24"/>
          <w:lang w:val="en-US"/>
        </w:rPr>
        <w:t xml:space="preserve"> in particle size have previously been shown to be</w:t>
      </w:r>
      <w:r w:rsidR="008319C4" w:rsidRPr="00795222">
        <w:rPr>
          <w:rFonts w:asciiTheme="majorBidi" w:hAnsiTheme="majorBidi" w:cstheme="majorBidi"/>
          <w:sz w:val="24"/>
          <w:szCs w:val="24"/>
          <w:lang w:val="en-US"/>
        </w:rPr>
        <w:t xml:space="preserve"> due to the aggregation of particles in the freezing step.</w:t>
      </w:r>
      <w:r w:rsidR="00AD03F4" w:rsidRPr="00795222">
        <w:rPr>
          <w:rFonts w:asciiTheme="majorBidi" w:hAnsiTheme="majorBidi" w:cstheme="majorBidi"/>
          <w:sz w:val="24"/>
          <w:szCs w:val="24"/>
          <w:lang w:val="en-US"/>
        </w:rPr>
        <w:t xml:space="preserve"> </w:t>
      </w:r>
      <w:r w:rsidR="008319C4" w:rsidRPr="00795222">
        <w:rPr>
          <w:rFonts w:asciiTheme="majorBidi" w:hAnsiTheme="majorBidi" w:cstheme="majorBidi"/>
          <w:sz w:val="24"/>
          <w:szCs w:val="24"/>
          <w:lang w:val="en-US"/>
        </w:rPr>
        <w:fldChar w:fldCharType="begin" w:fldLock="1"/>
      </w:r>
      <w:r w:rsidR="001B7E74" w:rsidRPr="00795222">
        <w:rPr>
          <w:rFonts w:asciiTheme="majorBidi" w:hAnsiTheme="majorBidi" w:cstheme="majorBidi"/>
          <w:sz w:val="24"/>
          <w:szCs w:val="24"/>
          <w:lang w:val="en-US"/>
        </w:rPr>
        <w:instrText>ADDIN CSL_CITATION {"citationItems":[{"id":"ITEM-1","itemData":{"DOI":"10.1016/j.jconrel.2017.01.019","ISSN":"18734995","abstract":"Long-term storage of stable nanoparticulate systems is critical to the utilization of nanotechnology in biomedical applications. Freeze-drying or lyophilization is the most commonly used approach to preparing stable injectable nano formulations. A detailed understanding of the freezing stress on nanoparticles is essential to the successful preservation of original particle attributes and to the development of reliable lyophilization processes. However, visualization of the freezing process and the underlying mechanisms that result in particle aggregation remains challenging. Here, we show a clear causal relationship between the freeze-concentration event and particle aggregation by employing correlative imaging techniques, encompassing both real-time dynamic visualization and super-resolution imaging for frozen systems. Direct evidence was obtained to corroborate the particle isolation hypothesis. Moreover, ice-ice, ice-air and ice-container interfaces were identified as hotspots for generating freezing stress on susceptible nanoparticles. In light of these observations, sphere close packing models were explored. Based on the relationship between jammed particles and void fraction within a confined interfacial space, we are able to define the boundary condition of the minimal ‘cryoprotectant to particle ratio’ required for effective design space of particle isolation and cryoprotection. These findings clearly demonstrated the utility of visualization techniques and modeling in elucidating the mechanism of freezing stress and protection, providing guiding tools to the rational design of cryoprotectant containing nano formulations and processes.","author":[{"dropping-particle":"","family":"Niu","given":"Lin","non-dropping-particle":"","parse-names":false,"suffix":""},{"dropping-particle":"","family":"Panyam","given":"Jayanth","non-dropping-particle":"","parse-names":false,"suffix":""}],"container-title":"Journal of Controlled Release","id":"ITEM-1","issued":{"date-parts":[["2017"]]},"page":"125-132","publisher":"Elsevier B.V.","title":"Freeze concentration-induced PLGA and polystyrene nanoparticle aggregation: Imaging and rational design of lyoprotection","type":"article-journal","volume":"248"},"uris":["http://www.mendeley.com/documents/?uuid=08a8b376-e50e-4b57-9a45-9fad4fed1c4c"]}],"mendeley":{"formattedCitation":"(Niu and Panyam, 2017)","plainTextFormattedCitation":"(Niu and Panyam, 2017)","previouslyFormattedCitation":"(Niu and Panyam, 2017)"},"properties":{"noteIndex":0},"schema":"https://github.com/citation-style-language/schema/raw/master/csl-citation.json"}</w:instrText>
      </w:r>
      <w:r w:rsidR="008319C4" w:rsidRPr="00795222">
        <w:rPr>
          <w:rFonts w:asciiTheme="majorBidi" w:hAnsiTheme="majorBidi" w:cstheme="majorBidi"/>
          <w:sz w:val="24"/>
          <w:szCs w:val="24"/>
          <w:vertAlign w:val="superscript"/>
          <w:lang w:val="en-US"/>
        </w:rPr>
        <w:fldChar w:fldCharType="separate"/>
      </w:r>
      <w:r w:rsidR="00FF41FF" w:rsidRPr="00795222">
        <w:rPr>
          <w:rFonts w:asciiTheme="majorBidi" w:hAnsiTheme="majorBidi" w:cstheme="majorBidi"/>
          <w:noProof/>
          <w:sz w:val="24"/>
          <w:szCs w:val="24"/>
          <w:lang w:val="en-US"/>
        </w:rPr>
        <w:t>(Niu and Panyam, 2017)</w:t>
      </w:r>
      <w:r w:rsidR="008319C4" w:rsidRPr="00795222">
        <w:rPr>
          <w:rFonts w:asciiTheme="majorBidi" w:hAnsiTheme="majorBidi" w:cstheme="majorBidi"/>
          <w:sz w:val="24"/>
          <w:szCs w:val="24"/>
          <w:lang w:val="en-US"/>
        </w:rPr>
        <w:fldChar w:fldCharType="end"/>
      </w:r>
      <w:r w:rsidR="00457099" w:rsidRPr="00795222">
        <w:rPr>
          <w:rFonts w:asciiTheme="majorBidi" w:hAnsiTheme="majorBidi" w:cstheme="majorBidi"/>
          <w:sz w:val="24"/>
          <w:szCs w:val="24"/>
          <w:lang w:val="en-US"/>
        </w:rPr>
        <w:t xml:space="preserve"> </w:t>
      </w:r>
      <w:r w:rsidR="00870BD7" w:rsidRPr="00795222">
        <w:rPr>
          <w:rFonts w:asciiTheme="majorBidi" w:hAnsiTheme="majorBidi" w:cstheme="majorBidi"/>
          <w:sz w:val="24"/>
          <w:szCs w:val="24"/>
          <w:lang w:val="en-US"/>
        </w:rPr>
        <w:t xml:space="preserve">For </w:t>
      </w:r>
      <w:r w:rsidRPr="00795222">
        <w:rPr>
          <w:rFonts w:asciiTheme="majorBidi" w:hAnsiTheme="majorBidi" w:cstheme="majorBidi"/>
          <w:sz w:val="24"/>
          <w:szCs w:val="24"/>
          <w:lang w:val="en-US"/>
        </w:rPr>
        <w:t xml:space="preserve">drug loaded </w:t>
      </w:r>
      <w:r w:rsidR="001B0F99" w:rsidRPr="00795222">
        <w:rPr>
          <w:rFonts w:asciiTheme="majorBidi" w:hAnsiTheme="majorBidi" w:cstheme="majorBidi"/>
          <w:sz w:val="24"/>
          <w:szCs w:val="24"/>
          <w:lang w:val="en-US"/>
        </w:rPr>
        <w:t xml:space="preserve">LPHNs </w:t>
      </w:r>
      <w:r w:rsidR="008A4CB3" w:rsidRPr="00795222">
        <w:rPr>
          <w:rFonts w:asciiTheme="majorBidi" w:hAnsiTheme="majorBidi" w:cstheme="majorBidi"/>
          <w:sz w:val="24"/>
          <w:szCs w:val="24"/>
          <w:lang w:val="en-US"/>
        </w:rPr>
        <w:t>(DRV-RTV-LPHNs)</w:t>
      </w:r>
      <w:r w:rsidR="00967CDE" w:rsidRPr="00795222">
        <w:rPr>
          <w:rFonts w:asciiTheme="majorBidi" w:hAnsiTheme="majorBidi" w:cstheme="majorBidi"/>
          <w:sz w:val="24"/>
          <w:szCs w:val="24"/>
          <w:lang w:val="en-US"/>
        </w:rPr>
        <w:t xml:space="preserve">, </w:t>
      </w:r>
      <w:r w:rsidR="00616B8F" w:rsidRPr="00795222">
        <w:rPr>
          <w:rFonts w:asciiTheme="majorBidi" w:hAnsiTheme="majorBidi" w:cstheme="majorBidi"/>
          <w:sz w:val="24"/>
          <w:szCs w:val="24"/>
          <w:lang w:val="en-US"/>
        </w:rPr>
        <w:t xml:space="preserve">it </w:t>
      </w:r>
      <w:r w:rsidRPr="00795222">
        <w:rPr>
          <w:rFonts w:asciiTheme="majorBidi" w:hAnsiTheme="majorBidi" w:cstheme="majorBidi"/>
          <w:sz w:val="24"/>
          <w:szCs w:val="24"/>
          <w:lang w:val="en-US"/>
        </w:rPr>
        <w:t xml:space="preserve">was possible to </w:t>
      </w:r>
      <w:r w:rsidR="00FC22C9" w:rsidRPr="00795222">
        <w:rPr>
          <w:rFonts w:asciiTheme="majorBidi" w:hAnsiTheme="majorBidi" w:cstheme="majorBidi"/>
          <w:sz w:val="24"/>
          <w:szCs w:val="24"/>
          <w:lang w:val="en-US"/>
        </w:rPr>
        <w:t xml:space="preserve">incorporate relatively high amount of the drug into the </w:t>
      </w:r>
      <w:r w:rsidR="001C4E85" w:rsidRPr="00795222">
        <w:rPr>
          <w:rFonts w:asciiTheme="majorBidi" w:hAnsiTheme="majorBidi" w:cstheme="majorBidi"/>
          <w:sz w:val="24"/>
          <w:szCs w:val="24"/>
          <w:lang w:val="en-US"/>
        </w:rPr>
        <w:t>polymeric cores (</w:t>
      </w:r>
      <w:r w:rsidRPr="00795222">
        <w:rPr>
          <w:rFonts w:asciiTheme="majorBidi" w:hAnsiTheme="majorBidi" w:cstheme="majorBidi"/>
          <w:sz w:val="24"/>
          <w:szCs w:val="24"/>
          <w:lang w:val="en-US"/>
        </w:rPr>
        <w:t>up to 20</w:t>
      </w:r>
      <w:r w:rsidR="004A2799"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t xml:space="preserve">% w/w </w:t>
      </w:r>
      <w:r w:rsidR="00B973F2" w:rsidRPr="00795222">
        <w:rPr>
          <w:rFonts w:asciiTheme="majorBidi" w:hAnsiTheme="majorBidi" w:cstheme="majorBidi"/>
          <w:sz w:val="24"/>
          <w:szCs w:val="24"/>
          <w:lang w:val="en-US"/>
        </w:rPr>
        <w:t>of DRV/PLGA</w:t>
      </w:r>
      <w:r w:rsidR="00AD03F4" w:rsidRPr="00795222">
        <w:rPr>
          <w:rFonts w:asciiTheme="majorBidi" w:hAnsiTheme="majorBidi" w:cstheme="majorBidi"/>
          <w:sz w:val="24"/>
          <w:szCs w:val="24"/>
          <w:lang w:val="en-US"/>
        </w:rPr>
        <w:t>, the DRV/RTV ratio was kept at (8:1)</w:t>
      </w:r>
      <w:r w:rsidR="001C4E85" w:rsidRPr="00795222">
        <w:rPr>
          <w:rFonts w:asciiTheme="majorBidi" w:hAnsiTheme="majorBidi" w:cstheme="majorBidi"/>
          <w:sz w:val="24"/>
          <w:szCs w:val="24"/>
          <w:lang w:val="en-US"/>
        </w:rPr>
        <w:t>)</w:t>
      </w:r>
      <w:r w:rsidR="00B973F2"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t>whil</w:t>
      </w:r>
      <w:r w:rsidR="00BB1225" w:rsidRPr="00795222">
        <w:rPr>
          <w:rFonts w:asciiTheme="majorBidi" w:hAnsiTheme="majorBidi" w:cstheme="majorBidi"/>
          <w:sz w:val="24"/>
          <w:szCs w:val="24"/>
          <w:lang w:val="en-US"/>
        </w:rPr>
        <w:t>st</w:t>
      </w:r>
      <w:r w:rsidRPr="00795222">
        <w:rPr>
          <w:rFonts w:asciiTheme="majorBidi" w:hAnsiTheme="majorBidi" w:cstheme="majorBidi"/>
          <w:sz w:val="24"/>
          <w:szCs w:val="24"/>
          <w:lang w:val="en-US"/>
        </w:rPr>
        <w:t xml:space="preserve"> maintaining </w:t>
      </w:r>
      <w:r w:rsidR="004A2799" w:rsidRPr="00795222">
        <w:rPr>
          <w:rFonts w:asciiTheme="majorBidi" w:hAnsiTheme="majorBidi" w:cstheme="majorBidi"/>
          <w:sz w:val="24"/>
          <w:szCs w:val="24"/>
          <w:lang w:val="en-US"/>
        </w:rPr>
        <w:t xml:space="preserve">a </w:t>
      </w:r>
      <w:r w:rsidRPr="00795222">
        <w:rPr>
          <w:rFonts w:asciiTheme="majorBidi" w:hAnsiTheme="majorBidi" w:cstheme="majorBidi"/>
          <w:sz w:val="24"/>
          <w:szCs w:val="24"/>
          <w:lang w:val="en-US"/>
        </w:rPr>
        <w:t xml:space="preserve">mean diameter below </w:t>
      </w:r>
      <w:r w:rsidR="004A2799" w:rsidRPr="00795222">
        <w:rPr>
          <w:rFonts w:asciiTheme="majorBidi" w:hAnsiTheme="majorBidi" w:cstheme="majorBidi"/>
          <w:sz w:val="24"/>
          <w:szCs w:val="24"/>
          <w:lang w:val="en-US"/>
        </w:rPr>
        <w:t>&lt;</w:t>
      </w:r>
      <w:r w:rsidRPr="00795222">
        <w:rPr>
          <w:rFonts w:asciiTheme="majorBidi" w:hAnsiTheme="majorBidi" w:cstheme="majorBidi"/>
          <w:sz w:val="24"/>
          <w:szCs w:val="24"/>
          <w:lang w:val="en-US"/>
        </w:rPr>
        <w:t>330 nm</w:t>
      </w:r>
      <w:r w:rsidR="00AD03F4" w:rsidRPr="00795222">
        <w:rPr>
          <w:rFonts w:asciiTheme="majorBidi" w:hAnsiTheme="majorBidi" w:cstheme="majorBidi"/>
          <w:sz w:val="24"/>
          <w:szCs w:val="24"/>
          <w:lang w:val="en-US"/>
        </w:rPr>
        <w:t>.</w:t>
      </w:r>
      <w:r w:rsidR="001C4E85" w:rsidRPr="00795222">
        <w:rPr>
          <w:rFonts w:asciiTheme="majorBidi" w:hAnsiTheme="majorBidi" w:cstheme="majorBidi"/>
          <w:sz w:val="24"/>
          <w:szCs w:val="24"/>
          <w:lang w:val="en-US"/>
        </w:rPr>
        <w:t xml:space="preserve"> </w:t>
      </w:r>
      <w:r w:rsidR="00BB1225" w:rsidRPr="00795222">
        <w:rPr>
          <w:rFonts w:asciiTheme="majorBidi" w:hAnsiTheme="majorBidi" w:cstheme="majorBidi"/>
          <w:sz w:val="24"/>
          <w:szCs w:val="24"/>
          <w:lang w:val="en-US"/>
        </w:rPr>
        <w:lastRenderedPageBreak/>
        <w:t>V</w:t>
      </w:r>
      <w:r w:rsidRPr="00795222">
        <w:rPr>
          <w:rFonts w:asciiTheme="majorBidi" w:hAnsiTheme="majorBidi" w:cstheme="majorBidi"/>
          <w:sz w:val="24"/>
          <w:szCs w:val="24"/>
          <w:lang w:val="en-US"/>
        </w:rPr>
        <w:t xml:space="preserve">arying </w:t>
      </w:r>
      <w:r w:rsidR="00285B29" w:rsidRPr="00795222">
        <w:rPr>
          <w:rFonts w:asciiTheme="majorBidi" w:hAnsiTheme="majorBidi" w:cstheme="majorBidi"/>
          <w:sz w:val="24"/>
          <w:szCs w:val="24"/>
          <w:lang w:val="en-US"/>
        </w:rPr>
        <w:t xml:space="preserve">the </w:t>
      </w:r>
      <w:r w:rsidR="00BB1225" w:rsidRPr="00795222">
        <w:rPr>
          <w:rFonts w:asciiTheme="majorBidi" w:hAnsiTheme="majorBidi" w:cstheme="majorBidi"/>
          <w:sz w:val="24"/>
          <w:szCs w:val="24"/>
          <w:lang w:val="en-US"/>
        </w:rPr>
        <w:t>B</w:t>
      </w:r>
      <w:r w:rsidR="00285B29" w:rsidRPr="00795222">
        <w:rPr>
          <w:rFonts w:asciiTheme="majorBidi" w:hAnsiTheme="majorBidi" w:cstheme="majorBidi"/>
          <w:sz w:val="24"/>
          <w:szCs w:val="24"/>
          <w:lang w:val="en-US"/>
        </w:rPr>
        <w:t xml:space="preserve">rij 78/total </w:t>
      </w:r>
      <w:r w:rsidR="0051529C" w:rsidRPr="00795222">
        <w:rPr>
          <w:rFonts w:asciiTheme="majorBidi" w:hAnsiTheme="majorBidi" w:cstheme="majorBidi"/>
          <w:sz w:val="24"/>
          <w:szCs w:val="24"/>
          <w:lang w:val="en-US"/>
        </w:rPr>
        <w:t>stabilizer</w:t>
      </w:r>
      <w:r w:rsidR="00285B29" w:rsidRPr="00795222">
        <w:rPr>
          <w:rFonts w:asciiTheme="majorBidi" w:hAnsiTheme="majorBidi" w:cstheme="majorBidi"/>
          <w:sz w:val="24"/>
          <w:szCs w:val="24"/>
          <w:lang w:val="en-US"/>
        </w:rPr>
        <w:t xml:space="preserve"> mass percentage </w:t>
      </w:r>
      <w:r w:rsidRPr="00795222">
        <w:rPr>
          <w:rFonts w:asciiTheme="majorBidi" w:hAnsiTheme="majorBidi" w:cstheme="majorBidi"/>
          <w:sz w:val="24"/>
          <w:szCs w:val="24"/>
          <w:lang w:val="en-US"/>
        </w:rPr>
        <w:t>between</w:t>
      </w:r>
      <w:r w:rsidR="00285B29" w:rsidRPr="00795222">
        <w:rPr>
          <w:rFonts w:asciiTheme="majorBidi" w:hAnsiTheme="majorBidi" w:cstheme="majorBidi"/>
          <w:sz w:val="24"/>
          <w:szCs w:val="24"/>
          <w:lang w:val="en-US"/>
        </w:rPr>
        <w:t xml:space="preserve"> </w:t>
      </w:r>
      <w:r w:rsidR="00630ED2" w:rsidRPr="00795222">
        <w:rPr>
          <w:rFonts w:asciiTheme="majorBidi" w:hAnsiTheme="majorBidi" w:cstheme="majorBidi"/>
          <w:sz w:val="24"/>
          <w:szCs w:val="24"/>
          <w:lang w:val="en-US"/>
        </w:rPr>
        <w:t xml:space="preserve">70-100 % </w:t>
      </w:r>
      <w:r w:rsidR="003F6976" w:rsidRPr="00795222">
        <w:rPr>
          <w:rFonts w:asciiTheme="majorBidi" w:hAnsiTheme="majorBidi" w:cstheme="majorBidi"/>
          <w:sz w:val="24"/>
          <w:szCs w:val="24"/>
          <w:lang w:val="en-US"/>
        </w:rPr>
        <w:t>w/w did</w:t>
      </w:r>
      <w:r w:rsidRPr="00795222">
        <w:rPr>
          <w:rFonts w:asciiTheme="majorBidi" w:hAnsiTheme="majorBidi" w:cstheme="majorBidi"/>
          <w:sz w:val="24"/>
          <w:szCs w:val="24"/>
          <w:lang w:val="en-US"/>
        </w:rPr>
        <w:t xml:space="preserve"> not</w:t>
      </w:r>
      <w:r w:rsidR="003F6976" w:rsidRPr="00795222">
        <w:rPr>
          <w:rFonts w:asciiTheme="majorBidi" w:hAnsiTheme="majorBidi" w:cstheme="majorBidi"/>
          <w:sz w:val="24"/>
          <w:szCs w:val="24"/>
          <w:lang w:val="en-US"/>
        </w:rPr>
        <w:t xml:space="preserve"> show a </w:t>
      </w:r>
      <w:r w:rsidR="003B7DEB" w:rsidRPr="00795222">
        <w:rPr>
          <w:rFonts w:asciiTheme="majorBidi" w:hAnsiTheme="majorBidi" w:cstheme="majorBidi"/>
          <w:sz w:val="24"/>
          <w:szCs w:val="24"/>
          <w:lang w:val="en-US"/>
        </w:rPr>
        <w:t xml:space="preserve">significant </w:t>
      </w:r>
      <w:r w:rsidR="006F4414" w:rsidRPr="00795222">
        <w:rPr>
          <w:rFonts w:asciiTheme="majorBidi" w:hAnsiTheme="majorBidi" w:cstheme="majorBidi"/>
          <w:sz w:val="24"/>
          <w:szCs w:val="24"/>
          <w:lang w:val="en-US"/>
        </w:rPr>
        <w:t>difference</w:t>
      </w:r>
      <w:r w:rsidRPr="00795222">
        <w:rPr>
          <w:rFonts w:asciiTheme="majorBidi" w:hAnsiTheme="majorBidi" w:cstheme="majorBidi"/>
          <w:sz w:val="24"/>
          <w:szCs w:val="24"/>
          <w:lang w:val="en-US"/>
        </w:rPr>
        <w:t xml:space="preserve"> on particle properties</w:t>
      </w:r>
      <w:r w:rsidR="00365476" w:rsidRPr="00795222">
        <w:rPr>
          <w:rFonts w:asciiTheme="majorBidi" w:hAnsiTheme="majorBidi" w:cstheme="majorBidi"/>
          <w:sz w:val="24"/>
          <w:szCs w:val="24"/>
          <w:lang w:val="en-US"/>
        </w:rPr>
        <w:t>.</w:t>
      </w:r>
      <w:r w:rsidR="00544E1B" w:rsidRPr="00795222">
        <w:rPr>
          <w:rFonts w:asciiTheme="majorBidi" w:hAnsiTheme="majorBidi" w:cstheme="majorBidi"/>
          <w:sz w:val="24"/>
          <w:szCs w:val="24"/>
          <w:lang w:val="en-US"/>
        </w:rPr>
        <w:t xml:space="preserve"> </w:t>
      </w:r>
      <w:bookmarkStart w:id="7" w:name="_Ref23709825"/>
      <w:bookmarkStart w:id="8" w:name="_Ref23705223"/>
    </w:p>
    <w:p w14:paraId="4ADCF5B0" w14:textId="34E3C266" w:rsidR="000A5AE1" w:rsidRPr="00795222" w:rsidRDefault="00131033" w:rsidP="00657F6C">
      <w:p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lang w:val="en-US"/>
        </w:rPr>
        <w:t xml:space="preserve">From the </w:t>
      </w:r>
      <w:r w:rsidR="008C65C9" w:rsidRPr="00795222">
        <w:rPr>
          <w:rFonts w:asciiTheme="majorBidi" w:hAnsiTheme="majorBidi" w:cstheme="majorBidi"/>
          <w:sz w:val="24"/>
          <w:szCs w:val="24"/>
          <w:lang w:val="en-US"/>
        </w:rPr>
        <w:t>parameters tested</w:t>
      </w:r>
      <w:r w:rsidRPr="00795222">
        <w:rPr>
          <w:rFonts w:asciiTheme="majorBidi" w:hAnsiTheme="majorBidi" w:cstheme="majorBidi"/>
          <w:sz w:val="24"/>
          <w:szCs w:val="24"/>
          <w:lang w:val="en-US"/>
        </w:rPr>
        <w:t xml:space="preserve"> </w:t>
      </w:r>
      <w:r w:rsidR="008C65C9" w:rsidRPr="00795222">
        <w:rPr>
          <w:rFonts w:asciiTheme="majorBidi" w:hAnsiTheme="majorBidi" w:cstheme="majorBidi"/>
          <w:sz w:val="24"/>
          <w:szCs w:val="24"/>
          <w:lang w:val="en-US"/>
        </w:rPr>
        <w:t>(</w:t>
      </w:r>
      <w:r w:rsidR="001A7A1E" w:rsidRPr="00795222">
        <w:rPr>
          <w:rFonts w:asciiTheme="majorBidi" w:hAnsiTheme="majorBidi" w:cstheme="majorBidi"/>
          <w:sz w:val="24"/>
          <w:szCs w:val="24"/>
          <w:lang w:val="en-US"/>
        </w:rPr>
        <w:t>Table SI2</w:t>
      </w:r>
      <w:r w:rsidR="008C65C9" w:rsidRPr="00795222">
        <w:rPr>
          <w:rFonts w:asciiTheme="majorBidi" w:hAnsiTheme="majorBidi" w:cstheme="majorBidi"/>
          <w:sz w:val="24"/>
          <w:szCs w:val="24"/>
          <w:lang w:val="en-US"/>
        </w:rPr>
        <w:t>)</w:t>
      </w:r>
      <w:r w:rsidRPr="00795222">
        <w:rPr>
          <w:rFonts w:asciiTheme="majorBidi" w:hAnsiTheme="majorBidi" w:cstheme="majorBidi"/>
          <w:sz w:val="24"/>
          <w:szCs w:val="24"/>
          <w:lang w:val="en-US"/>
        </w:rPr>
        <w:t xml:space="preserve">, it was apparent that 20 % w/w DRV/PLGA mass percentage is the highest value that can be achieved </w:t>
      </w:r>
      <w:r w:rsidR="00026C09" w:rsidRPr="00795222">
        <w:rPr>
          <w:rFonts w:asciiTheme="majorBidi" w:hAnsiTheme="majorBidi" w:cstheme="majorBidi"/>
          <w:sz w:val="24"/>
          <w:szCs w:val="24"/>
          <w:lang w:val="en-US"/>
        </w:rPr>
        <w:t>among the studied mass</w:t>
      </w:r>
      <w:r w:rsidR="00B117F3" w:rsidRPr="00795222">
        <w:rPr>
          <w:rFonts w:asciiTheme="majorBidi" w:hAnsiTheme="majorBidi" w:cstheme="majorBidi"/>
          <w:sz w:val="24"/>
          <w:szCs w:val="24"/>
          <w:lang w:val="en-US"/>
        </w:rPr>
        <w:t xml:space="preserve"> percentages </w:t>
      </w:r>
      <w:r w:rsidRPr="00795222">
        <w:rPr>
          <w:rFonts w:asciiTheme="majorBidi" w:hAnsiTheme="majorBidi" w:cstheme="majorBidi"/>
          <w:sz w:val="24"/>
          <w:szCs w:val="24"/>
          <w:lang w:val="en-US"/>
        </w:rPr>
        <w:t xml:space="preserve">while maintaining good quality DLS data. The drug loading of these DRV-RTV-LPHNs is much higher than those reported in the literature. For example, </w:t>
      </w:r>
      <w:proofErr w:type="spellStart"/>
      <w:r w:rsidRPr="00795222">
        <w:rPr>
          <w:rFonts w:asciiTheme="majorBidi" w:hAnsiTheme="majorBidi" w:cstheme="majorBidi"/>
          <w:sz w:val="24"/>
          <w:szCs w:val="24"/>
          <w:lang w:val="en-US"/>
        </w:rPr>
        <w:t>Dalmoro</w:t>
      </w:r>
      <w:proofErr w:type="spellEnd"/>
      <w:r w:rsidRPr="00795222">
        <w:rPr>
          <w:rFonts w:asciiTheme="majorBidi" w:hAnsiTheme="majorBidi" w:cstheme="majorBidi"/>
          <w:sz w:val="24"/>
          <w:szCs w:val="24"/>
          <w:lang w:val="en-US"/>
        </w:rPr>
        <w:t xml:space="preserve"> </w:t>
      </w:r>
      <w:r w:rsidRPr="00795222">
        <w:rPr>
          <w:rFonts w:asciiTheme="majorBidi" w:hAnsiTheme="majorBidi" w:cstheme="majorBidi"/>
          <w:i/>
          <w:iCs/>
          <w:sz w:val="24"/>
          <w:szCs w:val="24"/>
          <w:lang w:val="en-US"/>
        </w:rPr>
        <w:t>et al.</w:t>
      </w:r>
      <w:r w:rsidRPr="00795222">
        <w:rPr>
          <w:rFonts w:asciiTheme="majorBidi" w:hAnsiTheme="majorBidi" w:cstheme="majorBidi"/>
          <w:i/>
          <w:iCs/>
          <w:sz w:val="24"/>
          <w:szCs w:val="24"/>
          <w:lang w:val="en-US"/>
        </w:rPr>
        <w:fldChar w:fldCharType="begin" w:fldLock="1"/>
      </w:r>
      <w:r w:rsidR="001B7E74" w:rsidRPr="00795222">
        <w:rPr>
          <w:rFonts w:asciiTheme="majorBidi" w:hAnsiTheme="majorBidi" w:cstheme="majorBidi"/>
          <w:i/>
          <w:iCs/>
          <w:sz w:val="24"/>
          <w:szCs w:val="24"/>
          <w:lang w:val="en-US"/>
        </w:rPr>
        <w:instrText>ADDIN CSL_CITATION {"citationItems":[{"id":"ITEM-1","itemData":{"DOI":"10.1016/j.ejps.2018.05.014","ISSN":"18790720","abstract":"Non-steroidal anti-inflammatory drugs (NSAIDs), i.e. indomethacin used for rheumatoid arthritis and non-rheumatoid inflammatory diseases, are known for their injurious actions on the gastrointestinal (GI) tract. Mucosal damage can be avoided by using nanoscale systems composed by a combination of liposomes and biodegradable natural polymer, i.e. chitosan, for enhancing drug activity. Aim of this study was to prepare chitosan-lipid hybrid delivery systems for indomethacin dosage through a novel continuous method based on microfluidic principles. The drop-wise conventional method was also applied in order to investigate the effect of the two polymeric coverage processes on the nanostructures features and their interactions with indomethacin. Thermal-physical properties, mucoadhesiveness, drug entrapment efficiency, in vitro release behavior in simulated GI fluids and stability in stocking conditions were assayed and compared, respectively, for the uncoated and chitosan-coated nanoliposomes prepared by the two introduced methods. The prepared chitosan-lipid hybrid structures, with nanometric size, have shown high indomethacin loading (about 10%) and drug encapsulation efficiency up to 99%. TEM investigation has highlighted that the developed novel simil-microfluidic method is able to put a polymeric layer, surrounding indomethacin loaded nanoliposomes, thicker and smoother than that achievable by the drop-wise method, improving their storage stability. Finally, double pH tests have confirmed that the chitosan-lipid hybrid nanostructures have a gastro retentive behavior in simulated gastric and intestinal fluids thus can be used as delivery systems for the oral-controlled release of indomethacin. Based on the present results, the simil-microfluidic method, working with large volumes, in a rapid manner, without the use of drastic conditions and with a precise control over the covering process, seems to be the most promising method for the production of suitable indomethacin delivery system, with a great potential in industrial manufacturing.","author":[{"dropping-particle":"","family":"Dalmoro","given":"Annalisa","non-dropping-particle":"","parse-names":false,"suffix":""},{"dropping-particle":"","family":"Bochicchio","given":"Sabrina","non-dropping-particle":"","parse-names":false,"suffix":""},{"dropping-particle":"","family":"Nasibullin","given":"Shamil F.","non-dropping-particle":"","parse-names":false,"suffix":""},{"dropping-particle":"","family":"Bertoncin","given":"Paolo","non-dropping-particle":"","parse-names":false,"suffix":""},{"dropping-particle":"","family":"Lamberti","given":"Gaetano","non-dropping-particle":"","parse-names":false,"suffix":""},{"dropping-particle":"","family":"Barba","given":"Anna Angela","non-dropping-particle":"","parse-names":false,"suffix":""},{"dropping-particle":"","family":"Moustafine","given":"Rouslan I.","non-dropping-particle":"","parse-names":false,"suffix":""}],"container-title":"European Journal of Pharmaceutical Sciences","id":"ITEM-1","issue":"December 2017","issued":{"date-parts":[["2018"]]},"page":"16-28","title":"Polymer-lipid hybrid nanoparticles as enhanced indomethacin delivery systems","type":"article-journal","volume":"121"},"uris":["http://www.mendeley.com/documents/?uuid=fa55554c-c40d-426a-a928-b49dfcce8b9c"]}],"mendeley":{"formattedCitation":"(Dalmoro et al., 2018)","plainTextFormattedCitation":"(Dalmoro et al., 2018)","previouslyFormattedCitation":"(Dalmoro et al., 2018)"},"properties":{"noteIndex":0},"schema":"https://github.com/citation-style-language/schema/raw/master/csl-citation.json"}</w:instrText>
      </w:r>
      <w:r w:rsidRPr="00795222">
        <w:rPr>
          <w:rFonts w:asciiTheme="majorBidi" w:hAnsiTheme="majorBidi" w:cstheme="majorBidi"/>
          <w:i/>
          <w:iCs/>
          <w:sz w:val="24"/>
          <w:szCs w:val="24"/>
          <w:vertAlign w:val="superscript"/>
          <w:lang w:val="en-US"/>
        </w:rPr>
        <w:fldChar w:fldCharType="separate"/>
      </w:r>
      <w:r w:rsidR="00FF41FF" w:rsidRPr="00795222">
        <w:rPr>
          <w:rFonts w:asciiTheme="majorBidi" w:hAnsiTheme="majorBidi" w:cstheme="majorBidi"/>
          <w:iCs/>
          <w:noProof/>
          <w:sz w:val="24"/>
          <w:szCs w:val="24"/>
          <w:lang w:val="en-US"/>
        </w:rPr>
        <w:t>(Dalmoro et al., 2018)</w:t>
      </w:r>
      <w:r w:rsidRPr="00795222">
        <w:rPr>
          <w:rFonts w:asciiTheme="majorBidi" w:hAnsiTheme="majorBidi" w:cstheme="majorBidi"/>
          <w:i/>
          <w:iCs/>
          <w:sz w:val="24"/>
          <w:szCs w:val="24"/>
          <w:lang w:val="en-US"/>
        </w:rPr>
        <w:fldChar w:fldCharType="end"/>
      </w:r>
      <w:r w:rsidRPr="00795222">
        <w:rPr>
          <w:rFonts w:asciiTheme="majorBidi" w:hAnsiTheme="majorBidi" w:cstheme="majorBidi"/>
          <w:sz w:val="24"/>
          <w:szCs w:val="24"/>
          <w:lang w:val="en-US"/>
        </w:rPr>
        <w:t xml:space="preserve"> reported a drug loading of 10 % for indomethacin-loaded LPHNs synthesized using chitosan as a polymer. In another study</w:t>
      </w:r>
      <w:r w:rsidRPr="00795222">
        <w:rPr>
          <w:rFonts w:asciiTheme="majorBidi" w:hAnsiTheme="majorBidi" w:cstheme="majorBidi"/>
          <w:i/>
          <w:iCs/>
          <w:sz w:val="24"/>
          <w:szCs w:val="24"/>
          <w:lang w:val="en-US"/>
        </w:rPr>
        <w:t>,</w:t>
      </w:r>
      <w:r w:rsidR="008C65C9" w:rsidRPr="00795222">
        <w:rPr>
          <w:rFonts w:asciiTheme="majorBidi" w:hAnsiTheme="majorBidi" w:cstheme="majorBidi"/>
          <w:i/>
          <w:iCs/>
          <w:sz w:val="24"/>
          <w:szCs w:val="24"/>
          <w:lang w:val="en-US"/>
        </w:rPr>
        <w:t xml:space="preserve"> </w:t>
      </w:r>
      <w:r w:rsidRPr="00795222">
        <w:rPr>
          <w:rFonts w:asciiTheme="majorBidi" w:hAnsiTheme="majorBidi" w:cstheme="majorBidi"/>
          <w:sz w:val="24"/>
          <w:szCs w:val="24"/>
          <w:lang w:val="en-US"/>
        </w:rPr>
        <w:t xml:space="preserve">the drug loading of bupivacaine-LPHNs was found to be 8.6 % also prepared by a nanoprecipitation method. </w:t>
      </w:r>
      <w:r w:rsidR="008C65C9" w:rsidRPr="00795222">
        <w:rPr>
          <w:rFonts w:asciiTheme="majorBidi" w:hAnsiTheme="majorBidi" w:cstheme="majorBidi"/>
          <w:i/>
          <w:iCs/>
          <w:sz w:val="24"/>
          <w:szCs w:val="24"/>
          <w:lang w:val="en-US"/>
        </w:rPr>
        <w:fldChar w:fldCharType="begin" w:fldLock="1"/>
      </w:r>
      <w:r w:rsidR="008C65C9" w:rsidRPr="00795222">
        <w:rPr>
          <w:rFonts w:asciiTheme="majorBidi" w:hAnsiTheme="majorBidi" w:cstheme="majorBidi"/>
          <w:i/>
          <w:iCs/>
          <w:sz w:val="24"/>
          <w:szCs w:val="24"/>
          <w:lang w:val="en-US"/>
        </w:rPr>
        <w:instrText xml:space="preserve">ADDIN CSL_CITATION {"citationItems":[{"id":"ITEM-1","itemData":{"DOI":"10.1016/j.biopha.2017.01.175","ISSN":"19506007","abstract":"Purpose There is a compelling need for prolonged local anesthetic that would be used for analgesia with a single administration. However, due to the low molecular weight of local anesthetics (LA) (lidocaine, bupivacaine, procaine, dibucaine, etc), they present fast systemic absorption. Methods The aim of the present study was to develop and evaluate bupivacaine lipid-polymer hybrid nanoparticles (BVC LPNs), and compared with BVC loaded PLGA nanoparticles (BVC NPs). Their morphology, particle size, zeta potential and drug loading capacity were evaluated. In vitro release study, stability and cytotoxicity were studied. In vivo evaluation of anesthetic effects was performed on animal models. Results A facile nanoprecipitation and self-assembly method was optimized to obtain BVC LPNs, composed of PLGA, lecithin and DSPE-PEG2000, of </w:instrText>
      </w:r>
      <w:r w:rsidR="008C65C9" w:rsidRPr="00795222">
        <w:rPr>
          <w:rFonts w:ascii="Cambria Math" w:hAnsi="Cambria Math" w:cs="Cambria Math"/>
          <w:i/>
          <w:iCs/>
          <w:sz w:val="24"/>
          <w:szCs w:val="24"/>
          <w:lang w:val="en-US"/>
        </w:rPr>
        <w:instrText>∼</w:instrText>
      </w:r>
      <w:r w:rsidR="008C65C9" w:rsidRPr="00795222">
        <w:rPr>
          <w:rFonts w:asciiTheme="majorBidi" w:hAnsiTheme="majorBidi" w:cstheme="majorBidi"/>
          <w:i/>
          <w:iCs/>
          <w:sz w:val="24"/>
          <w:szCs w:val="24"/>
          <w:lang w:val="en-US"/>
        </w:rPr>
        <w:instrText>175</w:instrText>
      </w:r>
      <w:r w:rsidR="008C65C9" w:rsidRPr="00795222">
        <w:rPr>
          <w:rFonts w:ascii="Times New Roman" w:hAnsi="Times New Roman" w:cs="Times New Roman"/>
          <w:i/>
          <w:iCs/>
          <w:sz w:val="24"/>
          <w:szCs w:val="24"/>
          <w:lang w:val="en-US"/>
        </w:rPr>
        <w:instrText> </w:instrText>
      </w:r>
      <w:r w:rsidR="008C65C9" w:rsidRPr="00795222">
        <w:rPr>
          <w:rFonts w:asciiTheme="majorBidi" w:hAnsiTheme="majorBidi" w:cstheme="majorBidi"/>
          <w:i/>
          <w:iCs/>
          <w:sz w:val="24"/>
          <w:szCs w:val="24"/>
          <w:lang w:val="en-US"/>
        </w:rPr>
        <w:instrText>nm particle size. Compared to BVC NPs, BVC LPNs exhibited prolonged in vitro release in phosphate-buffered saline (pH</w:instrText>
      </w:r>
      <w:r w:rsidR="008C65C9" w:rsidRPr="00795222">
        <w:rPr>
          <w:rFonts w:ascii="Times New Roman" w:hAnsi="Times New Roman" w:cs="Times New Roman"/>
          <w:i/>
          <w:iCs/>
          <w:sz w:val="24"/>
          <w:szCs w:val="24"/>
          <w:lang w:val="en-US"/>
        </w:rPr>
        <w:instrText> </w:instrText>
      </w:r>
      <w:r w:rsidR="008C65C9" w:rsidRPr="00795222">
        <w:rPr>
          <w:rFonts w:asciiTheme="majorBidi" w:hAnsiTheme="majorBidi" w:cstheme="majorBidi"/>
          <w:i/>
          <w:iCs/>
          <w:sz w:val="24"/>
          <w:szCs w:val="24"/>
          <w:lang w:val="en-US"/>
        </w:rPr>
        <w:instrText>=</w:instrText>
      </w:r>
      <w:r w:rsidR="008C65C9" w:rsidRPr="00795222">
        <w:rPr>
          <w:rFonts w:ascii="Times New Roman" w:hAnsi="Times New Roman" w:cs="Times New Roman"/>
          <w:i/>
          <w:iCs/>
          <w:sz w:val="24"/>
          <w:szCs w:val="24"/>
          <w:lang w:val="en-US"/>
        </w:rPr>
        <w:instrText> </w:instrText>
      </w:r>
      <w:r w:rsidR="008C65C9" w:rsidRPr="00795222">
        <w:rPr>
          <w:rFonts w:asciiTheme="majorBidi" w:hAnsiTheme="majorBidi" w:cstheme="majorBidi"/>
          <w:i/>
          <w:iCs/>
          <w:sz w:val="24"/>
          <w:szCs w:val="24"/>
          <w:lang w:val="en-US"/>
        </w:rPr>
        <w:instrText>7.4). Further, BVC LPNs displayed enhanced in vitro stability in 10% FBS and lower cytotoxicity (the concentration of BVC ranging from 1.0 μM to 20 μM). In addition, BVC LPNs exhibited significantly prolonged analgesic duration. Conclusion These results demonstrate that the LPNs could function as promising drug delivery system for overcoming the drawbacks of poor stability and rapid drug leakage, and prolonging the anesthetic effect with slight toxicity.","author":[{"dropping-particle":"","family":"Ma","given":"Pengju","non-dropping-particle":"","parse-names":false,"suffix":""},{"dropping-particle":"","family":"Li","given":"Ting","non-dropping-particle":"","parse-names":false,"suffix":""},{"dropping-particle":"","family":"Xing","given":"Huaixin","non-dropping-particle":"","parse-names":false,"suffix":""},{"dropping-particle":"","family":"Wang","given":"Suzhen","non-dropping-particle":"","parse-names":false,"suffix":""},{"dropping-particle":"","family":"Sun","given":"Yingui","non-dropping-particle":"","parse-names":false,"suffix":""},{"dropping-particle":"","family":"Sheng","given":"Xiugui","non-dropping-particle":"","parse-names":false,"suffix":""},{"dropping-particle":"","family":"Wang","given":"Kaiguo","non-dropping-particle":"","parse-names":false,"suffix":""}],"container-title":"Biomedicine and Pharmacotherapy","id":"ITEM-1","issue":"October 2011","issued":{"date-parts":[["2017"]]},"page":"689-695","publisher":"Elsevier Masson SAS","title":"Local anesthetic effects of bupivacaine loaded lipid-polymer hybrid nanoparticles: In vitro and in vivo evaluation","type":"article-journal","volume":"89"},"uris":["http://www.mendeley.com/documents/?uuid=957843d5-9ef9-414b-9e3d-6bbdb281d00a"]}],"mendeley":{"formattedCitation":"(Ma et al., 2017)","plainTextFormattedCitation":"(Ma et al., 2017)","previouslyFormattedCitation":"(Ma et al., 2017)"},"properties":{"noteIndex":0},"schema":"https://github.com/citation-style-language/schema/raw/master/csl-citation.json"}</w:instrText>
      </w:r>
      <w:r w:rsidR="008C65C9" w:rsidRPr="00795222">
        <w:rPr>
          <w:rFonts w:asciiTheme="majorBidi" w:hAnsiTheme="majorBidi" w:cstheme="majorBidi"/>
          <w:i/>
          <w:iCs/>
          <w:sz w:val="24"/>
          <w:szCs w:val="24"/>
          <w:lang w:val="en-US"/>
        </w:rPr>
        <w:fldChar w:fldCharType="separate"/>
      </w:r>
      <w:r w:rsidR="008C65C9" w:rsidRPr="00795222">
        <w:rPr>
          <w:rFonts w:asciiTheme="majorBidi" w:hAnsiTheme="majorBidi" w:cstheme="majorBidi"/>
          <w:iCs/>
          <w:noProof/>
          <w:sz w:val="24"/>
          <w:szCs w:val="24"/>
          <w:lang w:val="en-US"/>
        </w:rPr>
        <w:t>(Ma et al., 2017)</w:t>
      </w:r>
      <w:r w:rsidR="008C65C9" w:rsidRPr="00795222">
        <w:rPr>
          <w:rFonts w:asciiTheme="majorBidi" w:hAnsiTheme="majorBidi" w:cstheme="majorBidi"/>
          <w:sz w:val="24"/>
          <w:szCs w:val="24"/>
          <w:lang w:val="en-US"/>
        </w:rPr>
        <w:fldChar w:fldCharType="end"/>
      </w:r>
    </w:p>
    <w:bookmarkEnd w:id="7"/>
    <w:p w14:paraId="30333281" w14:textId="77777777" w:rsidR="00D27796" w:rsidRPr="00795222" w:rsidRDefault="00D27796" w:rsidP="00657F6C">
      <w:p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lang w:val="en-US"/>
        </w:rPr>
        <w:t>The optimum DRV-RTV-LPHNs formulas selected for further studies were referred to as LPHN70, LPHN90 and LPHN100, which refers to Brij 78/Total stabilizer % w/w of 70, 90 and 100, respectively. In all three formulations, the mass percentage of Total stabilizer/PLGA was 20 % w/w and DRV/PLGA was also 20 % w/w.</w:t>
      </w:r>
    </w:p>
    <w:p w14:paraId="1AECBEDA" w14:textId="330D609A" w:rsidR="002C3FC9" w:rsidRPr="00795222" w:rsidRDefault="00ED648E" w:rsidP="00657F6C">
      <w:pPr>
        <w:spacing w:line="360" w:lineRule="auto"/>
        <w:jc w:val="both"/>
        <w:rPr>
          <w:rFonts w:asciiTheme="majorBidi" w:hAnsiTheme="majorBidi" w:cstheme="majorBidi"/>
          <w:sz w:val="24"/>
          <w:szCs w:val="24"/>
          <w:lang w:val="en-US"/>
        </w:rPr>
      </w:pPr>
      <w:bookmarkStart w:id="9" w:name="_Hlk48062594"/>
      <w:bookmarkStart w:id="10" w:name="_Hlk48579838"/>
      <w:r w:rsidRPr="00795222">
        <w:rPr>
          <w:rFonts w:asciiTheme="majorBidi" w:hAnsiTheme="majorBidi" w:cstheme="majorBidi"/>
          <w:sz w:val="24"/>
          <w:szCs w:val="24"/>
          <w:lang w:val="en-US"/>
        </w:rPr>
        <w:t>The sta</w:t>
      </w:r>
      <w:r w:rsidR="00731B64" w:rsidRPr="00795222">
        <w:rPr>
          <w:rFonts w:asciiTheme="majorBidi" w:hAnsiTheme="majorBidi" w:cstheme="majorBidi"/>
          <w:sz w:val="24"/>
          <w:szCs w:val="24"/>
          <w:lang w:val="en-US"/>
        </w:rPr>
        <w:t>bility of LPHN70, LPHN90 and LPHN100</w:t>
      </w:r>
      <w:r w:rsidR="00B37CED" w:rsidRPr="00795222">
        <w:rPr>
          <w:rFonts w:asciiTheme="majorBidi" w:hAnsiTheme="majorBidi" w:cstheme="majorBidi"/>
          <w:sz w:val="24"/>
          <w:szCs w:val="24"/>
          <w:lang w:val="en-US"/>
        </w:rPr>
        <w:t xml:space="preserve"> in SGF was tested</w:t>
      </w:r>
      <w:r w:rsidR="000737E9" w:rsidRPr="00795222">
        <w:rPr>
          <w:rFonts w:asciiTheme="majorBidi" w:hAnsiTheme="majorBidi" w:cstheme="majorBidi"/>
          <w:sz w:val="24"/>
          <w:szCs w:val="24"/>
          <w:lang w:val="en-US"/>
        </w:rPr>
        <w:t xml:space="preserve">, </w:t>
      </w:r>
      <w:r w:rsidR="00074B15" w:rsidRPr="00795222">
        <w:rPr>
          <w:rFonts w:asciiTheme="majorBidi" w:hAnsiTheme="majorBidi" w:cstheme="majorBidi"/>
          <w:sz w:val="24"/>
          <w:szCs w:val="24"/>
          <w:lang w:val="en-US"/>
        </w:rPr>
        <w:t xml:space="preserve">DLS data in </w:t>
      </w:r>
      <w:r w:rsidR="00A15B68" w:rsidRPr="00795222">
        <w:rPr>
          <w:rFonts w:asciiTheme="majorBidi" w:hAnsiTheme="majorBidi" w:cstheme="majorBidi"/>
          <w:sz w:val="24"/>
          <w:szCs w:val="24"/>
          <w:lang w:val="en-US"/>
        </w:rPr>
        <w:t>Table SI3</w:t>
      </w:r>
      <w:r w:rsidR="00074B15" w:rsidRPr="00795222">
        <w:rPr>
          <w:rFonts w:asciiTheme="majorBidi" w:hAnsiTheme="majorBidi" w:cstheme="majorBidi"/>
          <w:color w:val="FF0000"/>
          <w:sz w:val="24"/>
          <w:szCs w:val="24"/>
          <w:lang w:val="en-US"/>
        </w:rPr>
        <w:t xml:space="preserve"> </w:t>
      </w:r>
      <w:r w:rsidR="00074B15" w:rsidRPr="00795222">
        <w:rPr>
          <w:rFonts w:asciiTheme="majorBidi" w:hAnsiTheme="majorBidi" w:cstheme="majorBidi"/>
          <w:sz w:val="24"/>
          <w:szCs w:val="24"/>
          <w:lang w:val="en-US"/>
        </w:rPr>
        <w:t>show</w:t>
      </w:r>
      <w:r w:rsidR="00514483" w:rsidRPr="00795222">
        <w:rPr>
          <w:rFonts w:asciiTheme="majorBidi" w:hAnsiTheme="majorBidi" w:cstheme="majorBidi"/>
          <w:sz w:val="24"/>
          <w:szCs w:val="24"/>
          <w:lang w:val="en-US"/>
        </w:rPr>
        <w:t>ed</w:t>
      </w:r>
      <w:r w:rsidR="00074B15" w:rsidRPr="00795222">
        <w:rPr>
          <w:rFonts w:asciiTheme="majorBidi" w:hAnsiTheme="majorBidi" w:cstheme="majorBidi"/>
          <w:sz w:val="24"/>
          <w:szCs w:val="24"/>
          <w:lang w:val="en-US"/>
        </w:rPr>
        <w:t xml:space="preserve"> that </w:t>
      </w:r>
      <w:r w:rsidR="00CA50EA" w:rsidRPr="00795222">
        <w:rPr>
          <w:rFonts w:asciiTheme="majorBidi" w:hAnsiTheme="majorBidi" w:cstheme="majorBidi"/>
          <w:sz w:val="24"/>
          <w:szCs w:val="24"/>
          <w:lang w:val="en-US"/>
        </w:rPr>
        <w:t xml:space="preserve">all three formulations were stable in </w:t>
      </w:r>
      <w:r w:rsidR="00E2478D" w:rsidRPr="00795222">
        <w:rPr>
          <w:rFonts w:asciiTheme="majorBidi" w:hAnsiTheme="majorBidi" w:cstheme="majorBidi"/>
          <w:sz w:val="24"/>
          <w:szCs w:val="24"/>
          <w:lang w:val="en-US"/>
        </w:rPr>
        <w:t xml:space="preserve">SGF </w:t>
      </w:r>
      <w:r w:rsidR="007D5C97" w:rsidRPr="00795222">
        <w:rPr>
          <w:rFonts w:asciiTheme="majorBidi" w:hAnsiTheme="majorBidi" w:cstheme="majorBidi"/>
          <w:sz w:val="24"/>
          <w:szCs w:val="24"/>
          <w:lang w:val="en-US"/>
        </w:rPr>
        <w:t xml:space="preserve">as LPHNs dispersions </w:t>
      </w:r>
      <w:r w:rsidR="003530FF" w:rsidRPr="00795222">
        <w:rPr>
          <w:rFonts w:asciiTheme="majorBidi" w:hAnsiTheme="majorBidi" w:cstheme="majorBidi"/>
          <w:sz w:val="24"/>
          <w:szCs w:val="24"/>
          <w:lang w:val="en-US"/>
        </w:rPr>
        <w:t>(</w:t>
      </w:r>
      <w:r w:rsidR="008326C7" w:rsidRPr="00795222">
        <w:rPr>
          <w:rFonts w:asciiTheme="majorBidi" w:hAnsiTheme="majorBidi" w:cstheme="majorBidi"/>
          <w:sz w:val="24"/>
          <w:szCs w:val="24"/>
          <w:lang w:val="en-US"/>
        </w:rPr>
        <w:t>before freeze drying</w:t>
      </w:r>
      <w:r w:rsidR="003530FF" w:rsidRPr="00795222">
        <w:rPr>
          <w:rFonts w:asciiTheme="majorBidi" w:hAnsiTheme="majorBidi" w:cstheme="majorBidi"/>
          <w:sz w:val="24"/>
          <w:szCs w:val="24"/>
          <w:lang w:val="en-US"/>
        </w:rPr>
        <w:t>)</w:t>
      </w:r>
      <w:r w:rsidR="006D2BEF" w:rsidRPr="00795222">
        <w:rPr>
          <w:rFonts w:asciiTheme="majorBidi" w:hAnsiTheme="majorBidi" w:cstheme="majorBidi"/>
          <w:sz w:val="24"/>
          <w:szCs w:val="24"/>
          <w:lang w:val="en-US"/>
        </w:rPr>
        <w:t>.</w:t>
      </w:r>
      <w:r w:rsidR="00330F8F" w:rsidRPr="00795222">
        <w:rPr>
          <w:rFonts w:asciiTheme="majorBidi" w:hAnsiTheme="majorBidi" w:cstheme="majorBidi"/>
          <w:sz w:val="24"/>
          <w:szCs w:val="24"/>
          <w:lang w:val="en-US"/>
        </w:rPr>
        <w:t xml:space="preserve"> </w:t>
      </w:r>
      <w:r w:rsidR="00514483" w:rsidRPr="00795222">
        <w:rPr>
          <w:rFonts w:asciiTheme="majorBidi" w:hAnsiTheme="majorBidi" w:cstheme="majorBidi"/>
          <w:sz w:val="24"/>
          <w:szCs w:val="24"/>
          <w:lang w:val="en-US"/>
        </w:rPr>
        <w:t>The</w:t>
      </w:r>
      <w:r w:rsidR="00E408F4" w:rsidRPr="00795222">
        <w:rPr>
          <w:rFonts w:asciiTheme="majorBidi" w:hAnsiTheme="majorBidi" w:cstheme="majorBidi"/>
          <w:sz w:val="24"/>
          <w:szCs w:val="24"/>
          <w:lang w:val="en-US"/>
        </w:rPr>
        <w:t xml:space="preserve"> LPHNs had a mean</w:t>
      </w:r>
      <w:r w:rsidR="00E2478D" w:rsidRPr="00795222">
        <w:rPr>
          <w:rFonts w:asciiTheme="majorBidi" w:hAnsiTheme="majorBidi" w:cstheme="majorBidi"/>
          <w:sz w:val="24"/>
          <w:szCs w:val="24"/>
          <w:lang w:val="en-US"/>
        </w:rPr>
        <w:t xml:space="preserve"> Z-average diameter</w:t>
      </w:r>
      <w:r w:rsidR="00514483" w:rsidRPr="00795222">
        <w:rPr>
          <w:rFonts w:asciiTheme="majorBidi" w:hAnsiTheme="majorBidi" w:cstheme="majorBidi"/>
          <w:sz w:val="24"/>
          <w:szCs w:val="24"/>
          <w:lang w:val="en-US"/>
        </w:rPr>
        <w:t xml:space="preserve"> </w:t>
      </w:r>
      <w:r w:rsidR="00A15307" w:rsidRPr="00795222">
        <w:rPr>
          <w:rFonts w:asciiTheme="majorBidi" w:hAnsiTheme="majorBidi" w:cstheme="majorBidi"/>
          <w:sz w:val="24"/>
          <w:szCs w:val="24"/>
          <w:lang w:val="en-US"/>
        </w:rPr>
        <w:t>of</w:t>
      </w:r>
      <w:r w:rsidR="00E2478D" w:rsidRPr="00795222">
        <w:rPr>
          <w:rFonts w:asciiTheme="majorBidi" w:hAnsiTheme="majorBidi" w:cstheme="majorBidi"/>
          <w:sz w:val="24"/>
          <w:szCs w:val="24"/>
          <w:lang w:val="en-US"/>
        </w:rPr>
        <w:t xml:space="preserve"> </w:t>
      </w:r>
      <w:r w:rsidR="002B67D8" w:rsidRPr="00795222">
        <w:rPr>
          <w:rFonts w:asciiTheme="majorBidi" w:hAnsiTheme="majorBidi" w:cstheme="majorBidi"/>
          <w:sz w:val="24"/>
          <w:szCs w:val="24"/>
          <w:lang w:val="en-US"/>
        </w:rPr>
        <w:t>12</w:t>
      </w:r>
      <w:r w:rsidR="005A778F" w:rsidRPr="00795222">
        <w:rPr>
          <w:rFonts w:asciiTheme="majorBidi" w:hAnsiTheme="majorBidi" w:cstheme="majorBidi"/>
          <w:sz w:val="24"/>
          <w:szCs w:val="24"/>
          <w:lang w:val="en-US"/>
        </w:rPr>
        <w:t>9</w:t>
      </w:r>
      <w:r w:rsidR="002B67D8" w:rsidRPr="00795222">
        <w:rPr>
          <w:rFonts w:asciiTheme="majorBidi" w:hAnsiTheme="majorBidi" w:cstheme="majorBidi"/>
          <w:sz w:val="24"/>
          <w:szCs w:val="24"/>
          <w:lang w:val="en-US"/>
        </w:rPr>
        <w:t>- 138</w:t>
      </w:r>
      <w:r w:rsidR="00A57609" w:rsidRPr="00795222">
        <w:rPr>
          <w:rFonts w:asciiTheme="majorBidi" w:hAnsiTheme="majorBidi" w:cstheme="majorBidi"/>
          <w:sz w:val="24"/>
          <w:szCs w:val="24"/>
          <w:lang w:val="en-US"/>
        </w:rPr>
        <w:t xml:space="preserve"> </w:t>
      </w:r>
      <w:r w:rsidR="005A778F" w:rsidRPr="00795222">
        <w:rPr>
          <w:rFonts w:asciiTheme="majorBidi" w:hAnsiTheme="majorBidi" w:cstheme="majorBidi"/>
          <w:sz w:val="24"/>
          <w:szCs w:val="24"/>
          <w:lang w:val="en-US"/>
        </w:rPr>
        <w:t xml:space="preserve">nm </w:t>
      </w:r>
      <w:r w:rsidR="002B67D8" w:rsidRPr="00795222">
        <w:rPr>
          <w:rFonts w:asciiTheme="majorBidi" w:hAnsiTheme="majorBidi" w:cstheme="majorBidi"/>
          <w:sz w:val="24"/>
          <w:szCs w:val="24"/>
          <w:lang w:val="en-US"/>
        </w:rPr>
        <w:t xml:space="preserve">and </w:t>
      </w:r>
      <w:r w:rsidR="00A57609" w:rsidRPr="00795222">
        <w:rPr>
          <w:rFonts w:asciiTheme="majorBidi" w:hAnsiTheme="majorBidi" w:cstheme="majorBidi"/>
          <w:sz w:val="24"/>
          <w:szCs w:val="24"/>
          <w:lang w:val="en-US"/>
        </w:rPr>
        <w:t xml:space="preserve">the </w:t>
      </w:r>
      <w:r w:rsidR="002B67D8" w:rsidRPr="00795222">
        <w:rPr>
          <w:rFonts w:asciiTheme="majorBidi" w:hAnsiTheme="majorBidi" w:cstheme="majorBidi"/>
          <w:sz w:val="24"/>
          <w:szCs w:val="24"/>
          <w:lang w:val="en-US"/>
        </w:rPr>
        <w:t>PDI</w:t>
      </w:r>
      <w:r w:rsidR="00A57609" w:rsidRPr="00795222">
        <w:rPr>
          <w:rFonts w:asciiTheme="majorBidi" w:hAnsiTheme="majorBidi" w:cstheme="majorBidi"/>
          <w:sz w:val="24"/>
          <w:szCs w:val="24"/>
          <w:lang w:val="en-US"/>
        </w:rPr>
        <w:t xml:space="preserve"> was</w:t>
      </w:r>
      <w:r w:rsidR="002B67D8" w:rsidRPr="00795222">
        <w:rPr>
          <w:rFonts w:asciiTheme="majorBidi" w:hAnsiTheme="majorBidi" w:cstheme="majorBidi"/>
          <w:sz w:val="24"/>
          <w:szCs w:val="24"/>
          <w:lang w:val="en-US"/>
        </w:rPr>
        <w:t xml:space="preserve"> (</w:t>
      </w:r>
      <w:r w:rsidR="00950665" w:rsidRPr="00795222">
        <w:rPr>
          <w:rFonts w:asciiTheme="majorBidi" w:hAnsiTheme="majorBidi" w:cstheme="majorBidi"/>
          <w:sz w:val="24"/>
          <w:szCs w:val="24"/>
          <w:lang w:val="en-US"/>
        </w:rPr>
        <w:t>0.31-0.34)</w:t>
      </w:r>
      <w:r w:rsidR="00A57609" w:rsidRPr="00795222">
        <w:rPr>
          <w:rFonts w:asciiTheme="majorBidi" w:hAnsiTheme="majorBidi" w:cstheme="majorBidi"/>
          <w:sz w:val="24"/>
          <w:szCs w:val="24"/>
          <w:lang w:val="en-US"/>
        </w:rPr>
        <w:t>. However</w:t>
      </w:r>
      <w:r w:rsidR="007330ED" w:rsidRPr="00795222">
        <w:rPr>
          <w:rFonts w:asciiTheme="majorBidi" w:hAnsiTheme="majorBidi" w:cstheme="majorBidi"/>
          <w:sz w:val="24"/>
          <w:szCs w:val="24"/>
          <w:lang w:val="en-US"/>
        </w:rPr>
        <w:t xml:space="preserve">, </w:t>
      </w:r>
      <w:r w:rsidR="005205F6" w:rsidRPr="00795222">
        <w:rPr>
          <w:rFonts w:asciiTheme="majorBidi" w:hAnsiTheme="majorBidi" w:cstheme="majorBidi"/>
          <w:sz w:val="24"/>
          <w:szCs w:val="24"/>
          <w:lang w:val="en-US"/>
        </w:rPr>
        <w:t xml:space="preserve">the freeze-dried formulations all aggregated once dispersed in SGF, </w:t>
      </w:r>
      <w:bookmarkEnd w:id="9"/>
      <w:r w:rsidR="00E40983" w:rsidRPr="00795222">
        <w:rPr>
          <w:rFonts w:asciiTheme="majorBidi" w:hAnsiTheme="majorBidi" w:cstheme="majorBidi"/>
          <w:sz w:val="24"/>
          <w:szCs w:val="24"/>
          <w:lang w:val="en-US"/>
        </w:rPr>
        <w:t xml:space="preserve">the cause for this aggregation is unclear and will be investigated in our future work. </w:t>
      </w:r>
    </w:p>
    <w:bookmarkEnd w:id="8"/>
    <w:bookmarkEnd w:id="10"/>
    <w:p w14:paraId="4FA33D35" w14:textId="1E5CB710" w:rsidR="00C51838" w:rsidRPr="00795222" w:rsidRDefault="00C51838" w:rsidP="00657F6C">
      <w:pPr>
        <w:spacing w:after="0" w:line="360" w:lineRule="auto"/>
        <w:jc w:val="both"/>
        <w:textAlignment w:val="baseline"/>
        <w:rPr>
          <w:rFonts w:asciiTheme="majorBidi" w:hAnsiTheme="majorBidi" w:cstheme="majorBidi"/>
          <w:b/>
          <w:bCs/>
          <w:sz w:val="24"/>
          <w:szCs w:val="24"/>
          <w:lang w:val="en-US"/>
        </w:rPr>
      </w:pPr>
    </w:p>
    <w:p w14:paraId="22E3A7CD" w14:textId="792DC3FD" w:rsidR="00493A93" w:rsidRPr="00795222" w:rsidRDefault="00493A93" w:rsidP="00657F6C">
      <w:pPr>
        <w:pStyle w:val="Heading2"/>
        <w:spacing w:after="240" w:line="360" w:lineRule="auto"/>
        <w:jc w:val="both"/>
        <w:rPr>
          <w:rFonts w:asciiTheme="majorBidi" w:hAnsiTheme="majorBidi"/>
          <w:szCs w:val="24"/>
          <w:lang w:val="en-US"/>
        </w:rPr>
      </w:pPr>
      <w:r w:rsidRPr="00795222">
        <w:rPr>
          <w:rFonts w:asciiTheme="majorBidi" w:hAnsiTheme="majorBidi"/>
          <w:szCs w:val="24"/>
          <w:lang w:val="en-US"/>
        </w:rPr>
        <w:t xml:space="preserve">Analysis of </w:t>
      </w:r>
      <w:r w:rsidR="002B70AE" w:rsidRPr="00795222">
        <w:rPr>
          <w:rFonts w:asciiTheme="majorBidi" w:hAnsiTheme="majorBidi"/>
          <w:szCs w:val="24"/>
          <w:lang w:val="en-US"/>
        </w:rPr>
        <w:t>the morphology</w:t>
      </w:r>
      <w:r w:rsidR="00A842BF" w:rsidRPr="00795222">
        <w:rPr>
          <w:rFonts w:asciiTheme="majorBidi" w:hAnsiTheme="majorBidi"/>
          <w:szCs w:val="24"/>
          <w:lang w:val="en-US"/>
        </w:rPr>
        <w:t xml:space="preserve"> and size of the LPHNs by SEM and TEM</w:t>
      </w:r>
    </w:p>
    <w:p w14:paraId="7926B94A" w14:textId="21334D87" w:rsidR="00E60504" w:rsidRPr="00795222" w:rsidRDefault="002B70AE" w:rsidP="00657F6C">
      <w:p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lang w:val="en-US"/>
        </w:rPr>
        <w:t xml:space="preserve">SEM and TEM were used to explore the structure and morphology of DRV-RTV-LPHNs with either SBL as the </w:t>
      </w:r>
      <w:r w:rsidR="004A2799" w:rsidRPr="00795222">
        <w:rPr>
          <w:rFonts w:asciiTheme="majorBidi" w:hAnsiTheme="majorBidi" w:cstheme="majorBidi"/>
          <w:sz w:val="24"/>
          <w:szCs w:val="24"/>
          <w:lang w:val="en-US"/>
        </w:rPr>
        <w:t xml:space="preserve">sole </w:t>
      </w:r>
      <w:r w:rsidRPr="00795222">
        <w:rPr>
          <w:rFonts w:asciiTheme="majorBidi" w:hAnsiTheme="majorBidi" w:cstheme="majorBidi"/>
          <w:sz w:val="24"/>
          <w:szCs w:val="24"/>
          <w:lang w:val="en-US"/>
        </w:rPr>
        <w:t>stabili</w:t>
      </w:r>
      <w:r w:rsidR="009E7C9A" w:rsidRPr="00795222">
        <w:rPr>
          <w:rFonts w:asciiTheme="majorBidi" w:hAnsiTheme="majorBidi" w:cstheme="majorBidi"/>
          <w:sz w:val="24"/>
          <w:szCs w:val="24"/>
          <w:lang w:val="en-US"/>
        </w:rPr>
        <w:t>z</w:t>
      </w:r>
      <w:r w:rsidRPr="00795222">
        <w:rPr>
          <w:rFonts w:asciiTheme="majorBidi" w:hAnsiTheme="majorBidi" w:cstheme="majorBidi"/>
          <w:sz w:val="24"/>
          <w:szCs w:val="24"/>
          <w:lang w:val="en-US"/>
        </w:rPr>
        <w:t xml:space="preserve">er or with a </w:t>
      </w:r>
      <w:r w:rsidR="00291E77" w:rsidRPr="00795222">
        <w:rPr>
          <w:rFonts w:asciiTheme="majorBidi" w:hAnsiTheme="majorBidi" w:cstheme="majorBidi"/>
          <w:sz w:val="24"/>
          <w:szCs w:val="24"/>
          <w:lang w:val="en-US"/>
        </w:rPr>
        <w:t xml:space="preserve">combination </w:t>
      </w:r>
      <w:r w:rsidRPr="00795222">
        <w:rPr>
          <w:rFonts w:asciiTheme="majorBidi" w:hAnsiTheme="majorBidi" w:cstheme="majorBidi"/>
          <w:sz w:val="24"/>
          <w:szCs w:val="24"/>
          <w:lang w:val="en-US"/>
        </w:rPr>
        <w:t xml:space="preserve">of surfactants </w:t>
      </w:r>
      <w:r w:rsidR="00291E77" w:rsidRPr="00795222">
        <w:rPr>
          <w:rFonts w:asciiTheme="majorBidi" w:hAnsiTheme="majorBidi" w:cstheme="majorBidi"/>
          <w:sz w:val="24"/>
          <w:szCs w:val="24"/>
          <w:lang w:val="en-US"/>
        </w:rPr>
        <w:t>B</w:t>
      </w:r>
      <w:r w:rsidRPr="00795222">
        <w:rPr>
          <w:rFonts w:asciiTheme="majorBidi" w:hAnsiTheme="majorBidi" w:cstheme="majorBidi"/>
          <w:sz w:val="24"/>
          <w:szCs w:val="24"/>
          <w:lang w:val="en-US"/>
        </w:rPr>
        <w:t>rij</w:t>
      </w:r>
      <w:r w:rsidR="00291E77" w:rsidRPr="00795222">
        <w:rPr>
          <w:rFonts w:asciiTheme="majorBidi" w:hAnsiTheme="majorBidi" w:cstheme="majorBidi"/>
          <w:sz w:val="24"/>
          <w:szCs w:val="24"/>
          <w:lang w:val="en-US"/>
        </w:rPr>
        <w:t xml:space="preserve"> 78</w:t>
      </w:r>
      <w:r w:rsidRPr="00795222">
        <w:rPr>
          <w:rFonts w:asciiTheme="majorBidi" w:hAnsiTheme="majorBidi" w:cstheme="majorBidi"/>
          <w:sz w:val="24"/>
          <w:szCs w:val="24"/>
          <w:lang w:val="en-US"/>
        </w:rPr>
        <w:t xml:space="preserve"> 7</w:t>
      </w:r>
      <w:r w:rsidR="00545BBB" w:rsidRPr="00795222">
        <w:rPr>
          <w:rFonts w:asciiTheme="majorBidi" w:hAnsiTheme="majorBidi" w:cstheme="majorBidi"/>
          <w:sz w:val="24"/>
          <w:szCs w:val="24"/>
          <w:lang w:val="en-US"/>
        </w:rPr>
        <w:t>0 %</w:t>
      </w:r>
      <w:r w:rsidR="00291E77" w:rsidRPr="00795222">
        <w:rPr>
          <w:rFonts w:asciiTheme="majorBidi" w:hAnsiTheme="majorBidi" w:cstheme="majorBidi"/>
          <w:sz w:val="24"/>
          <w:szCs w:val="24"/>
          <w:lang w:val="en-US"/>
        </w:rPr>
        <w:t xml:space="preserve"> w/w and </w:t>
      </w:r>
      <w:r w:rsidRPr="00795222">
        <w:rPr>
          <w:rFonts w:asciiTheme="majorBidi" w:hAnsiTheme="majorBidi" w:cstheme="majorBidi"/>
          <w:sz w:val="24"/>
          <w:szCs w:val="24"/>
          <w:lang w:val="en-US"/>
        </w:rPr>
        <w:t>SBL</w:t>
      </w:r>
      <w:r w:rsidR="007C23D1" w:rsidRPr="00795222">
        <w:rPr>
          <w:rFonts w:asciiTheme="majorBidi" w:hAnsiTheme="majorBidi" w:cstheme="majorBidi"/>
          <w:sz w:val="24"/>
          <w:szCs w:val="24"/>
          <w:lang w:val="en-US"/>
        </w:rPr>
        <w:t xml:space="preserve"> 3</w:t>
      </w:r>
      <w:r w:rsidR="00291E77" w:rsidRPr="00795222">
        <w:rPr>
          <w:rFonts w:asciiTheme="majorBidi" w:hAnsiTheme="majorBidi" w:cstheme="majorBidi"/>
          <w:sz w:val="24"/>
          <w:szCs w:val="24"/>
          <w:lang w:val="en-US"/>
        </w:rPr>
        <w:t>0 % w/w</w:t>
      </w:r>
      <w:r w:rsidRPr="00795222">
        <w:rPr>
          <w:rFonts w:asciiTheme="majorBidi" w:hAnsiTheme="majorBidi" w:cstheme="majorBidi"/>
          <w:sz w:val="24"/>
          <w:szCs w:val="24"/>
          <w:lang w:val="en-US"/>
        </w:rPr>
        <w:t xml:space="preserve"> (Figure 4). SEM analysis</w:t>
      </w:r>
      <w:r w:rsidR="004A2799" w:rsidRPr="00795222">
        <w:rPr>
          <w:rFonts w:asciiTheme="majorBidi" w:hAnsiTheme="majorBidi" w:cstheme="majorBidi"/>
          <w:sz w:val="24"/>
          <w:szCs w:val="24"/>
          <w:lang w:val="en-US"/>
        </w:rPr>
        <w:t xml:space="preserve"> provided images</w:t>
      </w:r>
      <w:r w:rsidRPr="00795222">
        <w:rPr>
          <w:rFonts w:asciiTheme="majorBidi" w:hAnsiTheme="majorBidi" w:cstheme="majorBidi"/>
          <w:sz w:val="24"/>
          <w:szCs w:val="24"/>
          <w:lang w:val="en-US"/>
        </w:rPr>
        <w:t xml:space="preserve"> of spherical particles with smooth surface</w:t>
      </w:r>
      <w:r w:rsidR="004A2799" w:rsidRPr="00795222">
        <w:rPr>
          <w:rFonts w:asciiTheme="majorBidi" w:hAnsiTheme="majorBidi" w:cstheme="majorBidi"/>
          <w:sz w:val="24"/>
          <w:szCs w:val="24"/>
          <w:lang w:val="en-US"/>
        </w:rPr>
        <w:t>s</w:t>
      </w:r>
      <w:r w:rsidR="00291E77" w:rsidRPr="00795222">
        <w:rPr>
          <w:rFonts w:asciiTheme="majorBidi" w:hAnsiTheme="majorBidi" w:cstheme="majorBidi"/>
          <w:sz w:val="24"/>
          <w:szCs w:val="24"/>
          <w:lang w:val="en-US"/>
        </w:rPr>
        <w:t xml:space="preserve"> (Figure 4A and 4B)</w:t>
      </w:r>
      <w:r w:rsidR="004A2799" w:rsidRPr="00795222">
        <w:rPr>
          <w:rFonts w:asciiTheme="majorBidi" w:hAnsiTheme="majorBidi" w:cstheme="majorBidi"/>
          <w:sz w:val="24"/>
          <w:szCs w:val="24"/>
          <w:lang w:val="en-US"/>
        </w:rPr>
        <w:t>. A</w:t>
      </w:r>
      <w:r w:rsidRPr="00795222">
        <w:rPr>
          <w:rFonts w:asciiTheme="majorBidi" w:hAnsiTheme="majorBidi" w:cstheme="majorBidi"/>
          <w:sz w:val="24"/>
          <w:szCs w:val="24"/>
          <w:lang w:val="en-US"/>
        </w:rPr>
        <w:t xml:space="preserve">n average diameter of </w:t>
      </w:r>
      <w:r w:rsidR="004A2799" w:rsidRPr="00795222">
        <w:rPr>
          <w:rFonts w:asciiTheme="majorBidi" w:hAnsiTheme="majorBidi" w:cstheme="majorBidi"/>
          <w:sz w:val="24"/>
          <w:szCs w:val="24"/>
          <w:lang w:val="en-US"/>
        </w:rPr>
        <w:t xml:space="preserve">approximately </w:t>
      </w:r>
      <w:r w:rsidRPr="00795222">
        <w:rPr>
          <w:rFonts w:asciiTheme="majorBidi" w:hAnsiTheme="majorBidi" w:cstheme="majorBidi"/>
          <w:sz w:val="24"/>
          <w:szCs w:val="24"/>
          <w:lang w:val="en-US"/>
        </w:rPr>
        <w:t xml:space="preserve">50 nm </w:t>
      </w:r>
      <w:r w:rsidR="004A2799" w:rsidRPr="00795222">
        <w:rPr>
          <w:rFonts w:asciiTheme="majorBidi" w:hAnsiTheme="majorBidi" w:cstheme="majorBidi"/>
          <w:sz w:val="24"/>
          <w:szCs w:val="24"/>
          <w:lang w:val="en-US"/>
        </w:rPr>
        <w:t>with</w:t>
      </w:r>
      <w:r w:rsidRPr="00795222">
        <w:rPr>
          <w:rFonts w:asciiTheme="majorBidi" w:hAnsiTheme="majorBidi" w:cstheme="majorBidi"/>
          <w:sz w:val="24"/>
          <w:szCs w:val="24"/>
          <w:lang w:val="en-US"/>
        </w:rPr>
        <w:t xml:space="preserve"> narrow size distributions </w:t>
      </w:r>
      <w:r w:rsidR="004A2799" w:rsidRPr="00795222">
        <w:rPr>
          <w:rFonts w:asciiTheme="majorBidi" w:hAnsiTheme="majorBidi" w:cstheme="majorBidi"/>
          <w:sz w:val="24"/>
          <w:szCs w:val="24"/>
          <w:lang w:val="en-US"/>
        </w:rPr>
        <w:t>was determined</w:t>
      </w:r>
      <w:r w:rsidR="007C23D1" w:rsidRPr="00795222">
        <w:rPr>
          <w:rFonts w:asciiTheme="majorBidi" w:hAnsiTheme="majorBidi" w:cstheme="majorBidi"/>
          <w:sz w:val="24"/>
          <w:szCs w:val="24"/>
          <w:lang w:val="en-US"/>
        </w:rPr>
        <w:t>,</w:t>
      </w:r>
      <w:r w:rsidR="004A2799" w:rsidRPr="00795222">
        <w:rPr>
          <w:rFonts w:asciiTheme="majorBidi" w:hAnsiTheme="majorBidi" w:cstheme="majorBidi"/>
          <w:sz w:val="24"/>
          <w:szCs w:val="24"/>
          <w:lang w:val="en-US"/>
        </w:rPr>
        <w:t xml:space="preserve"> concordant </w:t>
      </w:r>
      <w:r w:rsidRPr="00795222">
        <w:rPr>
          <w:rFonts w:asciiTheme="majorBidi" w:hAnsiTheme="majorBidi" w:cstheme="majorBidi"/>
          <w:sz w:val="24"/>
          <w:szCs w:val="24"/>
          <w:lang w:val="en-US"/>
        </w:rPr>
        <w:t>with the DLS size distribution data shown in Fig</w:t>
      </w:r>
      <w:r w:rsidR="004A2799" w:rsidRPr="00795222">
        <w:rPr>
          <w:rFonts w:asciiTheme="majorBidi" w:hAnsiTheme="majorBidi" w:cstheme="majorBidi"/>
          <w:sz w:val="24"/>
          <w:szCs w:val="24"/>
          <w:lang w:val="en-US"/>
        </w:rPr>
        <w:t>ure</w:t>
      </w:r>
      <w:r w:rsidRPr="00795222">
        <w:rPr>
          <w:rFonts w:asciiTheme="majorBidi" w:hAnsiTheme="majorBidi" w:cstheme="majorBidi"/>
          <w:sz w:val="24"/>
          <w:szCs w:val="24"/>
          <w:lang w:val="en-US"/>
        </w:rPr>
        <w:t xml:space="preserve"> </w:t>
      </w:r>
      <w:r w:rsidR="005867CB" w:rsidRPr="00795222">
        <w:rPr>
          <w:rFonts w:asciiTheme="majorBidi" w:hAnsiTheme="majorBidi" w:cstheme="majorBidi"/>
          <w:sz w:val="24"/>
          <w:szCs w:val="24"/>
          <w:lang w:val="en-US"/>
        </w:rPr>
        <w:t>4</w:t>
      </w:r>
      <w:r w:rsidRPr="00795222">
        <w:rPr>
          <w:rFonts w:asciiTheme="majorBidi" w:hAnsiTheme="majorBidi" w:cstheme="majorBidi"/>
          <w:sz w:val="24"/>
          <w:szCs w:val="24"/>
          <w:lang w:val="en-US"/>
        </w:rPr>
        <w:t>E. TEM analysis was used to give an insight into the structure of the nanoparticles (Fig</w:t>
      </w:r>
      <w:r w:rsidR="004A2799" w:rsidRPr="00795222">
        <w:rPr>
          <w:rFonts w:asciiTheme="majorBidi" w:hAnsiTheme="majorBidi" w:cstheme="majorBidi"/>
          <w:sz w:val="24"/>
          <w:szCs w:val="24"/>
          <w:lang w:val="en-US"/>
        </w:rPr>
        <w:t>ure</w:t>
      </w:r>
      <w:r w:rsidRPr="00795222">
        <w:rPr>
          <w:rFonts w:asciiTheme="majorBidi" w:hAnsiTheme="majorBidi" w:cstheme="majorBidi"/>
          <w:sz w:val="24"/>
          <w:szCs w:val="24"/>
          <w:lang w:val="en-US"/>
        </w:rPr>
        <w:t xml:space="preserve"> 4C and 4D), both samples had a dark ring surrounding the cores of the particles. </w:t>
      </w:r>
      <w:bookmarkStart w:id="11" w:name="_Hlk48049205"/>
      <w:r w:rsidRPr="00795222">
        <w:rPr>
          <w:rFonts w:asciiTheme="majorBidi" w:hAnsiTheme="majorBidi" w:cstheme="majorBidi"/>
          <w:sz w:val="24"/>
          <w:szCs w:val="24"/>
          <w:lang w:val="en-US"/>
        </w:rPr>
        <w:t>Th</w:t>
      </w:r>
      <w:r w:rsidR="007C23D1" w:rsidRPr="00795222">
        <w:rPr>
          <w:rFonts w:asciiTheme="majorBidi" w:hAnsiTheme="majorBidi" w:cstheme="majorBidi"/>
          <w:sz w:val="24"/>
          <w:szCs w:val="24"/>
          <w:lang w:val="en-US"/>
        </w:rPr>
        <w:t>ese</w:t>
      </w:r>
      <w:r w:rsidRPr="00795222">
        <w:rPr>
          <w:rFonts w:asciiTheme="majorBidi" w:hAnsiTheme="majorBidi" w:cstheme="majorBidi"/>
          <w:sz w:val="24"/>
          <w:szCs w:val="24"/>
          <w:lang w:val="en-US"/>
        </w:rPr>
        <w:t xml:space="preserve"> dark ring</w:t>
      </w:r>
      <w:r w:rsidR="007C23D1" w:rsidRPr="00795222">
        <w:rPr>
          <w:rFonts w:asciiTheme="majorBidi" w:hAnsiTheme="majorBidi" w:cstheme="majorBidi"/>
          <w:sz w:val="24"/>
          <w:szCs w:val="24"/>
          <w:lang w:val="en-US"/>
        </w:rPr>
        <w:t>s</w:t>
      </w:r>
      <w:r w:rsidRPr="00795222">
        <w:rPr>
          <w:rFonts w:asciiTheme="majorBidi" w:hAnsiTheme="majorBidi" w:cstheme="majorBidi"/>
          <w:sz w:val="24"/>
          <w:szCs w:val="24"/>
          <w:lang w:val="en-US"/>
        </w:rPr>
        <w:t xml:space="preserve"> represent</w:t>
      </w:r>
      <w:r w:rsidR="007C23D1"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t>the lipid shell of the particles which were stained with uranyl acetate</w:t>
      </w:r>
      <w:r w:rsidR="007C23D1" w:rsidRPr="00795222">
        <w:rPr>
          <w:rFonts w:asciiTheme="majorBidi" w:hAnsiTheme="majorBidi" w:cstheme="majorBidi"/>
          <w:sz w:val="24"/>
          <w:szCs w:val="24"/>
          <w:lang w:val="en-US"/>
        </w:rPr>
        <w:t xml:space="preserve"> to</w:t>
      </w:r>
      <w:r w:rsidRPr="00795222">
        <w:rPr>
          <w:rFonts w:asciiTheme="majorBidi" w:hAnsiTheme="majorBidi" w:cstheme="majorBidi"/>
          <w:sz w:val="24"/>
          <w:szCs w:val="24"/>
          <w:lang w:val="en-US"/>
        </w:rPr>
        <w:t xml:space="preserve"> increas</w:t>
      </w:r>
      <w:r w:rsidR="007C23D1" w:rsidRPr="00795222">
        <w:rPr>
          <w:rFonts w:asciiTheme="majorBidi" w:hAnsiTheme="majorBidi" w:cstheme="majorBidi"/>
          <w:sz w:val="24"/>
          <w:szCs w:val="24"/>
          <w:lang w:val="en-US"/>
        </w:rPr>
        <w:t>e</w:t>
      </w:r>
      <w:r w:rsidRPr="00795222">
        <w:rPr>
          <w:rFonts w:asciiTheme="majorBidi" w:hAnsiTheme="majorBidi" w:cstheme="majorBidi"/>
          <w:sz w:val="24"/>
          <w:szCs w:val="24"/>
          <w:lang w:val="en-US"/>
        </w:rPr>
        <w:t xml:space="preserve"> the electron density in this peripheral region</w:t>
      </w:r>
      <w:r w:rsidR="00CD3A74" w:rsidRPr="00795222">
        <w:rPr>
          <w:rFonts w:asciiTheme="majorBidi" w:hAnsiTheme="majorBidi" w:cstheme="majorBidi"/>
          <w:sz w:val="24"/>
          <w:szCs w:val="24"/>
          <w:lang w:val="en-US"/>
        </w:rPr>
        <w:t xml:space="preserve"> </w:t>
      </w:r>
      <w:r w:rsidR="001A16F4" w:rsidRPr="00795222">
        <w:rPr>
          <w:rFonts w:asciiTheme="majorBidi" w:hAnsiTheme="majorBidi" w:cstheme="majorBidi"/>
          <w:sz w:val="24"/>
          <w:szCs w:val="24"/>
          <w:lang w:val="en-US"/>
        </w:rPr>
        <w:t xml:space="preserve">as </w:t>
      </w:r>
      <w:r w:rsidR="00CD3A74" w:rsidRPr="00795222">
        <w:rPr>
          <w:rFonts w:asciiTheme="majorBidi" w:hAnsiTheme="majorBidi" w:cstheme="majorBidi"/>
          <w:sz w:val="24"/>
          <w:szCs w:val="24"/>
          <w:lang w:val="en-US"/>
        </w:rPr>
        <w:t xml:space="preserve">was reported by Mandal </w:t>
      </w:r>
      <w:r w:rsidR="00CD3A74" w:rsidRPr="00795222">
        <w:rPr>
          <w:rFonts w:asciiTheme="majorBidi" w:hAnsiTheme="majorBidi" w:cstheme="majorBidi"/>
          <w:i/>
          <w:iCs/>
          <w:sz w:val="24"/>
          <w:szCs w:val="24"/>
          <w:lang w:val="en-US"/>
        </w:rPr>
        <w:t>et al</w:t>
      </w:r>
      <w:r w:rsidR="00CD3A74" w:rsidRPr="00795222">
        <w:rPr>
          <w:rFonts w:asciiTheme="majorBidi" w:hAnsiTheme="majorBidi" w:cstheme="majorBidi"/>
          <w:sz w:val="24"/>
          <w:szCs w:val="24"/>
          <w:lang w:val="en-US"/>
        </w:rPr>
        <w:t>.</w:t>
      </w:r>
      <w:r w:rsidR="001A16F4" w:rsidRPr="00795222">
        <w:rPr>
          <w:rFonts w:asciiTheme="majorBidi" w:hAnsiTheme="majorBidi" w:cstheme="majorBidi"/>
          <w:sz w:val="24"/>
          <w:szCs w:val="24"/>
          <w:lang w:val="en-US"/>
        </w:rPr>
        <w:fldChar w:fldCharType="begin" w:fldLock="1"/>
      </w:r>
      <w:r w:rsidR="001B7E74" w:rsidRPr="00795222">
        <w:rPr>
          <w:rFonts w:asciiTheme="majorBidi" w:hAnsiTheme="majorBidi" w:cstheme="majorBidi"/>
          <w:sz w:val="24"/>
          <w:szCs w:val="24"/>
          <w:lang w:val="en-US"/>
        </w:rPr>
        <w:instrText>ADDIN CSL_CITATION {"citationItems":[{"id":"ITEM-1","itemData":{"DOI":"10.1016/j.ejps.2015.10.021","ISSN":"0928-0987","author":[{"dropping-particle":"","family":"Mandal","given":"Bivash","non-dropping-particle":"","parse-names":false,"suffix":""},{"dropping-particle":"","family":"Mittal","given":"Nivesh K","non-dropping-particle":"","parse-names":false,"suffix":""},{"dropping-particle":"","family":"Balabathula","given":"Pavan","non-dropping-particle":"","parse-names":false,"suffix":""},{"dropping-particle":"","family":"Thoma","given":"Laura A","non-dropping-particle":"","parse-names":false,"suffix":""},{"dropping-particle":"","family":"Wood","given":"George C","non-dropping-particle":"","parse-names":false,"suffix":""}],"container-title":"PHASCI","id":"ITEM-1","issued":{"date-parts":[["2016"]]},"page":"162-171","publisher":"Elsevier B.V.","title":"European Journal of Pharmaceutical Sciences Development and in vitro evaluation of core – shell type lipid – polymer hybrid nanoparticles for the delivery of erlotinib in non-small cell lung cancer","type":"article-journal","volume":"81"},"uris":["http://www.mendeley.com/documents/?uuid=2a16c947-99bd-400a-871a-51d8b8e21953"]}],"mendeley":{"formattedCitation":"(Mandal et al., 2016)","plainTextFormattedCitation":"(Mandal et al., 2016)","previouslyFormattedCitation":"(Mandal et al., 2016)"},"properties":{"noteIndex":0},"schema":"https://github.com/citation-style-language/schema/raw/master/csl-citation.json"}</w:instrText>
      </w:r>
      <w:r w:rsidR="001A16F4" w:rsidRPr="00795222">
        <w:rPr>
          <w:rFonts w:asciiTheme="majorBidi" w:hAnsiTheme="majorBidi" w:cstheme="majorBidi"/>
          <w:sz w:val="24"/>
          <w:szCs w:val="24"/>
          <w:lang w:val="en-US"/>
        </w:rPr>
        <w:fldChar w:fldCharType="separate"/>
      </w:r>
      <w:r w:rsidR="00FF41FF" w:rsidRPr="00795222">
        <w:rPr>
          <w:rFonts w:asciiTheme="majorBidi" w:hAnsiTheme="majorBidi" w:cstheme="majorBidi"/>
          <w:noProof/>
          <w:sz w:val="24"/>
          <w:szCs w:val="24"/>
          <w:lang w:val="en-US"/>
        </w:rPr>
        <w:t>(Mandal et al., 2016)</w:t>
      </w:r>
      <w:r w:rsidR="001A16F4" w:rsidRPr="00795222">
        <w:rPr>
          <w:rFonts w:asciiTheme="majorBidi" w:hAnsiTheme="majorBidi" w:cstheme="majorBidi"/>
          <w:sz w:val="24"/>
          <w:szCs w:val="24"/>
          <w:lang w:val="en-US"/>
        </w:rPr>
        <w:fldChar w:fldCharType="end"/>
      </w:r>
      <w:bookmarkEnd w:id="11"/>
      <w:r w:rsidRPr="00795222">
        <w:rPr>
          <w:rFonts w:asciiTheme="majorBidi" w:hAnsiTheme="majorBidi" w:cstheme="majorBidi"/>
          <w:sz w:val="24"/>
          <w:szCs w:val="24"/>
          <w:lang w:val="en-US"/>
        </w:rPr>
        <w:t xml:space="preserve"> It is apparent that the use of mixture of </w:t>
      </w:r>
      <w:r w:rsidR="007C23D1" w:rsidRPr="00795222">
        <w:rPr>
          <w:rFonts w:asciiTheme="majorBidi" w:hAnsiTheme="majorBidi" w:cstheme="majorBidi"/>
          <w:sz w:val="24"/>
          <w:szCs w:val="24"/>
          <w:lang w:val="en-US"/>
        </w:rPr>
        <w:t>B</w:t>
      </w:r>
      <w:r w:rsidRPr="00795222">
        <w:rPr>
          <w:rFonts w:asciiTheme="majorBidi" w:hAnsiTheme="majorBidi" w:cstheme="majorBidi"/>
          <w:sz w:val="24"/>
          <w:szCs w:val="24"/>
          <w:lang w:val="en-US"/>
        </w:rPr>
        <w:t xml:space="preserve">rij 78 and SBL result in a LPHN structure with a polymer core and a shell containing the lipid. </w:t>
      </w:r>
    </w:p>
    <w:p w14:paraId="0C534E2A" w14:textId="72EA5734" w:rsidR="000A5AE1" w:rsidRPr="00795222" w:rsidRDefault="000A5AE1" w:rsidP="00657F6C">
      <w:pPr>
        <w:jc w:val="both"/>
        <w:rPr>
          <w:lang w:val="en-US"/>
        </w:rPr>
      </w:pPr>
      <w:bookmarkStart w:id="12" w:name="_Ref23707783"/>
      <w:bookmarkStart w:id="13" w:name="_Ref23707691"/>
    </w:p>
    <w:p w14:paraId="23205DB4" w14:textId="4886B010" w:rsidR="000A5AE1" w:rsidRPr="00795222" w:rsidRDefault="000A5AE1" w:rsidP="00657F6C">
      <w:pPr>
        <w:jc w:val="both"/>
        <w:rPr>
          <w:rFonts w:asciiTheme="majorBidi" w:eastAsia="Calibri" w:hAnsiTheme="majorBidi" w:cstheme="majorBidi"/>
          <w:b/>
          <w:sz w:val="24"/>
          <w:szCs w:val="24"/>
          <w:lang w:val="en-US"/>
        </w:rPr>
      </w:pPr>
      <w:r w:rsidRPr="00795222">
        <w:rPr>
          <w:rFonts w:asciiTheme="majorBidi" w:eastAsia="Calibri" w:hAnsiTheme="majorBidi" w:cstheme="majorBidi"/>
          <w:b/>
          <w:sz w:val="24"/>
          <w:szCs w:val="24"/>
          <w:lang w:val="en-US"/>
        </w:rPr>
        <w:t>FIGURE 4</w:t>
      </w:r>
    </w:p>
    <w:p w14:paraId="02C9672C" w14:textId="77777777" w:rsidR="000A5AE1" w:rsidRPr="00795222" w:rsidRDefault="000A5AE1" w:rsidP="00657F6C">
      <w:pPr>
        <w:jc w:val="both"/>
        <w:rPr>
          <w:lang w:val="en-US"/>
        </w:rPr>
      </w:pPr>
    </w:p>
    <w:bookmarkEnd w:id="12"/>
    <w:bookmarkEnd w:id="13"/>
    <w:p w14:paraId="1C1E30A3" w14:textId="7428D01C" w:rsidR="00311707" w:rsidRPr="00795222" w:rsidRDefault="0034702E" w:rsidP="00657F6C">
      <w:pPr>
        <w:pStyle w:val="Heading2"/>
        <w:spacing w:line="360" w:lineRule="auto"/>
        <w:jc w:val="both"/>
        <w:rPr>
          <w:rFonts w:asciiTheme="majorBidi" w:hAnsiTheme="majorBidi"/>
          <w:szCs w:val="24"/>
          <w:lang w:val="en-US"/>
        </w:rPr>
      </w:pPr>
      <w:r w:rsidRPr="00795222">
        <w:rPr>
          <w:rFonts w:asciiTheme="majorBidi" w:hAnsiTheme="majorBidi"/>
          <w:szCs w:val="24"/>
          <w:lang w:val="en-US"/>
        </w:rPr>
        <w:t xml:space="preserve">Encapsulation </w:t>
      </w:r>
      <w:r w:rsidR="00FB167C" w:rsidRPr="00795222">
        <w:rPr>
          <w:rFonts w:asciiTheme="majorBidi" w:hAnsiTheme="majorBidi"/>
          <w:szCs w:val="24"/>
          <w:lang w:val="en-US"/>
        </w:rPr>
        <w:t xml:space="preserve">efficiency and drug release </w:t>
      </w:r>
    </w:p>
    <w:p w14:paraId="373FAAD0" w14:textId="1B645C6D" w:rsidR="00D1113A" w:rsidRPr="00795222" w:rsidRDefault="0034702E" w:rsidP="00657F6C">
      <w:pPr>
        <w:spacing w:line="360" w:lineRule="auto"/>
        <w:jc w:val="both"/>
        <w:rPr>
          <w:rFonts w:asciiTheme="majorBidi" w:hAnsiTheme="majorBidi" w:cstheme="majorBidi"/>
          <w:sz w:val="24"/>
          <w:szCs w:val="24"/>
          <w:lang w:val="en-US"/>
        </w:rPr>
      </w:pPr>
      <w:r w:rsidRPr="00795222">
        <w:rPr>
          <w:rFonts w:asciiTheme="majorBidi" w:eastAsia="Calibri" w:hAnsiTheme="majorBidi" w:cstheme="majorBidi"/>
          <w:sz w:val="24"/>
          <w:szCs w:val="24"/>
          <w:lang w:val="en-US"/>
        </w:rPr>
        <w:t>In order to assess the effect of surfactant composition</w:t>
      </w:r>
      <w:r w:rsidR="00B9232A" w:rsidRPr="00795222">
        <w:rPr>
          <w:rFonts w:asciiTheme="majorBidi" w:eastAsia="Calibri" w:hAnsiTheme="majorBidi" w:cstheme="majorBidi"/>
          <w:sz w:val="24"/>
          <w:szCs w:val="24"/>
          <w:lang w:val="en-US"/>
        </w:rPr>
        <w:t xml:space="preserve"> o</w:t>
      </w:r>
      <w:r w:rsidR="00D1113A" w:rsidRPr="00795222">
        <w:rPr>
          <w:rFonts w:asciiTheme="majorBidi" w:eastAsia="Calibri" w:hAnsiTheme="majorBidi" w:cstheme="majorBidi"/>
          <w:sz w:val="24"/>
          <w:szCs w:val="24"/>
          <w:lang w:val="en-US"/>
        </w:rPr>
        <w:t>n</w:t>
      </w:r>
      <w:r w:rsidR="00B9232A" w:rsidRPr="00795222">
        <w:rPr>
          <w:rFonts w:asciiTheme="majorBidi" w:eastAsia="Calibri" w:hAnsiTheme="majorBidi" w:cstheme="majorBidi"/>
          <w:sz w:val="24"/>
          <w:szCs w:val="24"/>
          <w:lang w:val="en-US"/>
        </w:rPr>
        <w:t xml:space="preserve"> </w:t>
      </w:r>
      <w:r w:rsidR="00D1113A" w:rsidRPr="00795222">
        <w:rPr>
          <w:rFonts w:asciiTheme="majorBidi" w:eastAsia="Calibri" w:hAnsiTheme="majorBidi" w:cstheme="majorBidi"/>
          <w:sz w:val="24"/>
          <w:szCs w:val="24"/>
          <w:lang w:val="en-US"/>
        </w:rPr>
        <w:t xml:space="preserve">drug encapsulation and </w:t>
      </w:r>
      <w:r w:rsidR="00B9232A" w:rsidRPr="00795222">
        <w:rPr>
          <w:rFonts w:asciiTheme="majorBidi" w:eastAsia="Calibri" w:hAnsiTheme="majorBidi" w:cstheme="majorBidi"/>
          <w:sz w:val="24"/>
          <w:szCs w:val="24"/>
          <w:lang w:val="en-US"/>
        </w:rPr>
        <w:t>drug release behavior</w:t>
      </w:r>
      <w:r w:rsidR="007A1C46" w:rsidRPr="00795222">
        <w:rPr>
          <w:rFonts w:asciiTheme="majorBidi" w:eastAsia="Calibri" w:hAnsiTheme="majorBidi" w:cstheme="majorBidi"/>
          <w:sz w:val="24"/>
          <w:szCs w:val="24"/>
          <w:lang w:val="en-US"/>
        </w:rPr>
        <w:t>,</w:t>
      </w:r>
      <w:r w:rsidR="00D1113A" w:rsidRPr="00795222">
        <w:rPr>
          <w:rFonts w:asciiTheme="majorBidi" w:eastAsia="Calibri" w:hAnsiTheme="majorBidi" w:cstheme="majorBidi"/>
          <w:sz w:val="24"/>
          <w:szCs w:val="24"/>
          <w:lang w:val="en-US"/>
        </w:rPr>
        <w:t xml:space="preserve"> </w:t>
      </w:r>
      <w:r w:rsidRPr="00795222">
        <w:rPr>
          <w:rFonts w:asciiTheme="majorBidi" w:eastAsia="Calibri" w:hAnsiTheme="majorBidi" w:cstheme="majorBidi"/>
          <w:sz w:val="24"/>
          <w:szCs w:val="24"/>
          <w:lang w:val="en-US"/>
        </w:rPr>
        <w:t>th</w:t>
      </w:r>
      <w:r w:rsidR="00D1113A" w:rsidRPr="00795222">
        <w:rPr>
          <w:rFonts w:asciiTheme="majorBidi" w:eastAsia="Calibri" w:hAnsiTheme="majorBidi" w:cstheme="majorBidi"/>
          <w:sz w:val="24"/>
          <w:szCs w:val="24"/>
          <w:lang w:val="en-US"/>
        </w:rPr>
        <w:t>ree</w:t>
      </w:r>
      <w:r w:rsidRPr="00795222">
        <w:rPr>
          <w:rFonts w:asciiTheme="majorBidi" w:eastAsia="Calibri" w:hAnsiTheme="majorBidi" w:cstheme="majorBidi"/>
          <w:sz w:val="24"/>
          <w:szCs w:val="24"/>
          <w:lang w:val="en-US"/>
        </w:rPr>
        <w:t xml:space="preserve"> different </w:t>
      </w:r>
      <w:r w:rsidR="00305AB9" w:rsidRPr="00795222">
        <w:rPr>
          <w:rFonts w:asciiTheme="majorBidi" w:eastAsia="Calibri" w:hAnsiTheme="majorBidi" w:cstheme="majorBidi"/>
          <w:sz w:val="24"/>
          <w:szCs w:val="24"/>
          <w:lang w:val="en-US"/>
        </w:rPr>
        <w:t>LPHNs formulations</w:t>
      </w:r>
      <w:r w:rsidRPr="00795222">
        <w:rPr>
          <w:rFonts w:asciiTheme="majorBidi" w:eastAsia="Calibri" w:hAnsiTheme="majorBidi" w:cstheme="majorBidi"/>
          <w:sz w:val="24"/>
          <w:szCs w:val="24"/>
          <w:lang w:val="en-US"/>
        </w:rPr>
        <w:t xml:space="preserve"> were tested</w:t>
      </w:r>
      <w:r w:rsidR="00111559" w:rsidRPr="00795222">
        <w:rPr>
          <w:rFonts w:asciiTheme="majorBidi" w:eastAsia="Calibri" w:hAnsiTheme="majorBidi" w:cstheme="majorBidi"/>
          <w:sz w:val="24"/>
          <w:szCs w:val="24"/>
          <w:lang w:val="en-US"/>
        </w:rPr>
        <w:t>:</w:t>
      </w:r>
      <w:r w:rsidRPr="00795222">
        <w:rPr>
          <w:rFonts w:asciiTheme="majorBidi" w:eastAsia="Calibri" w:hAnsiTheme="majorBidi" w:cstheme="majorBidi"/>
          <w:sz w:val="24"/>
          <w:szCs w:val="24"/>
          <w:lang w:val="en-US"/>
        </w:rPr>
        <w:t xml:space="preserve"> </w:t>
      </w:r>
      <w:bookmarkStart w:id="14" w:name="_Hlk39713612"/>
      <w:r w:rsidR="003F65B1" w:rsidRPr="00795222">
        <w:rPr>
          <w:rFonts w:asciiTheme="majorBidi" w:eastAsia="Calibri" w:hAnsiTheme="majorBidi" w:cstheme="majorBidi"/>
          <w:sz w:val="24"/>
          <w:szCs w:val="24"/>
          <w:lang w:val="en-US"/>
        </w:rPr>
        <w:t>LPHN70, LPHN</w:t>
      </w:r>
      <w:r w:rsidR="00C372F7" w:rsidRPr="00795222">
        <w:rPr>
          <w:rFonts w:asciiTheme="majorBidi" w:eastAsia="Calibri" w:hAnsiTheme="majorBidi" w:cstheme="majorBidi"/>
          <w:sz w:val="24"/>
          <w:szCs w:val="24"/>
          <w:lang w:val="en-US"/>
        </w:rPr>
        <w:t xml:space="preserve">90 and </w:t>
      </w:r>
      <w:r w:rsidR="00C8654B" w:rsidRPr="00795222">
        <w:rPr>
          <w:rFonts w:asciiTheme="majorBidi" w:eastAsia="Calibri" w:hAnsiTheme="majorBidi" w:cstheme="majorBidi"/>
          <w:sz w:val="24"/>
          <w:szCs w:val="24"/>
          <w:lang w:val="en-US"/>
        </w:rPr>
        <w:t>LPHN100</w:t>
      </w:r>
      <w:r w:rsidR="00024118" w:rsidRPr="00795222">
        <w:rPr>
          <w:rFonts w:asciiTheme="majorBidi" w:eastAsia="Calibri" w:hAnsiTheme="majorBidi" w:cstheme="majorBidi"/>
          <w:sz w:val="24"/>
          <w:szCs w:val="24"/>
          <w:lang w:val="en-US"/>
        </w:rPr>
        <w:t>.</w:t>
      </w:r>
      <w:r w:rsidR="00C372F7" w:rsidRPr="00795222">
        <w:rPr>
          <w:rFonts w:asciiTheme="majorBidi" w:eastAsia="Calibri" w:hAnsiTheme="majorBidi" w:cstheme="majorBidi"/>
          <w:sz w:val="24"/>
          <w:szCs w:val="24"/>
          <w:lang w:val="en-US"/>
        </w:rPr>
        <w:t xml:space="preserve"> </w:t>
      </w:r>
      <w:bookmarkEnd w:id="14"/>
      <w:r w:rsidR="00A86CC2" w:rsidRPr="00795222">
        <w:rPr>
          <w:rFonts w:asciiTheme="majorBidi" w:eastAsia="Calibri" w:hAnsiTheme="majorBidi" w:cstheme="majorBidi"/>
          <w:sz w:val="24"/>
          <w:szCs w:val="24"/>
          <w:lang w:val="en-US"/>
        </w:rPr>
        <w:t xml:space="preserve">These formulations all contained DRV at 20 % w/w using both </w:t>
      </w:r>
      <w:r w:rsidR="00EC1DFC" w:rsidRPr="00795222">
        <w:rPr>
          <w:rFonts w:asciiTheme="majorBidi" w:hAnsiTheme="majorBidi" w:cstheme="majorBidi"/>
          <w:sz w:val="24"/>
          <w:szCs w:val="24"/>
          <w:lang w:val="en-US"/>
        </w:rPr>
        <w:t>[</w:t>
      </w:r>
      <w:r w:rsidR="00EC1DFC" w:rsidRPr="00795222">
        <w:rPr>
          <w:rFonts w:asciiTheme="majorBidi" w:hAnsiTheme="majorBidi" w:cstheme="majorBidi"/>
          <w:sz w:val="24"/>
          <w:szCs w:val="24"/>
          <w:vertAlign w:val="superscript"/>
          <w:lang w:val="en-US"/>
        </w:rPr>
        <w:t>3</w:t>
      </w:r>
      <w:r w:rsidR="00EC1DFC" w:rsidRPr="00795222">
        <w:rPr>
          <w:rFonts w:asciiTheme="majorBidi" w:hAnsiTheme="majorBidi" w:cstheme="majorBidi"/>
          <w:sz w:val="24"/>
          <w:szCs w:val="24"/>
          <w:lang w:val="en-US"/>
        </w:rPr>
        <w:t>H]-DRV</w:t>
      </w:r>
      <w:r w:rsidR="00464816" w:rsidRPr="00795222">
        <w:rPr>
          <w:rFonts w:asciiTheme="majorBidi" w:eastAsia="Calibri" w:hAnsiTheme="majorBidi" w:cstheme="majorBidi"/>
          <w:sz w:val="24"/>
          <w:szCs w:val="24"/>
          <w:lang w:val="en-US"/>
        </w:rPr>
        <w:t>/DRV</w:t>
      </w:r>
      <w:r w:rsidR="00A86CC2" w:rsidRPr="00795222">
        <w:rPr>
          <w:rFonts w:asciiTheme="majorBidi" w:eastAsia="Calibri" w:hAnsiTheme="majorBidi" w:cstheme="majorBidi"/>
          <w:sz w:val="24"/>
          <w:szCs w:val="24"/>
          <w:lang w:val="en-US"/>
        </w:rPr>
        <w:t xml:space="preserve"> and unlabeled RTV in an 8:1 ratio into PLGA cores</w:t>
      </w:r>
      <w:r w:rsidR="004A5C64" w:rsidRPr="00795222">
        <w:rPr>
          <w:rFonts w:asciiTheme="majorBidi" w:eastAsia="Calibri" w:hAnsiTheme="majorBidi" w:cstheme="majorBidi"/>
          <w:sz w:val="24"/>
          <w:szCs w:val="24"/>
          <w:lang w:val="en-US"/>
        </w:rPr>
        <w:t xml:space="preserve">. </w:t>
      </w:r>
      <w:r w:rsidR="00C84A65" w:rsidRPr="00795222">
        <w:rPr>
          <w:rFonts w:asciiTheme="majorBidi" w:eastAsia="Calibri" w:hAnsiTheme="majorBidi" w:cstheme="majorBidi"/>
          <w:sz w:val="24"/>
          <w:szCs w:val="24"/>
          <w:lang w:val="en-US"/>
        </w:rPr>
        <w:t>Firstly,</w:t>
      </w:r>
      <w:r w:rsidR="00BF71F0" w:rsidRPr="00795222">
        <w:rPr>
          <w:rFonts w:asciiTheme="majorBidi" w:eastAsia="Calibri" w:hAnsiTheme="majorBidi" w:cstheme="majorBidi"/>
          <w:sz w:val="24"/>
          <w:szCs w:val="24"/>
          <w:lang w:val="en-US"/>
        </w:rPr>
        <w:t xml:space="preserve"> the encapsulation efficiency of the formulations </w:t>
      </w:r>
      <w:r w:rsidR="00747D7C" w:rsidRPr="00795222">
        <w:rPr>
          <w:rFonts w:asciiTheme="majorBidi" w:eastAsia="Calibri" w:hAnsiTheme="majorBidi" w:cstheme="majorBidi"/>
          <w:sz w:val="24"/>
          <w:szCs w:val="24"/>
          <w:lang w:val="en-US"/>
        </w:rPr>
        <w:t>was</w:t>
      </w:r>
      <w:r w:rsidR="00BF71F0" w:rsidRPr="00795222">
        <w:rPr>
          <w:rFonts w:asciiTheme="majorBidi" w:eastAsia="Calibri" w:hAnsiTheme="majorBidi" w:cstheme="majorBidi"/>
          <w:sz w:val="24"/>
          <w:szCs w:val="24"/>
          <w:lang w:val="en-US"/>
        </w:rPr>
        <w:t xml:space="preserve"> investigated using a spin filter method to separate the free drug from the encapsulated drug. The analysis of this showed that the</w:t>
      </w:r>
      <w:r w:rsidR="00D80F71" w:rsidRPr="00795222">
        <w:rPr>
          <w:rFonts w:asciiTheme="majorBidi" w:eastAsia="Calibri" w:hAnsiTheme="majorBidi" w:cstheme="majorBidi"/>
          <w:sz w:val="24"/>
          <w:szCs w:val="24"/>
          <w:lang w:val="en-US"/>
        </w:rPr>
        <w:t xml:space="preserve"> DRV</w:t>
      </w:r>
      <w:r w:rsidR="00BF71F0" w:rsidRPr="00795222">
        <w:rPr>
          <w:rFonts w:asciiTheme="majorBidi" w:eastAsia="Calibri" w:hAnsiTheme="majorBidi" w:cstheme="majorBidi"/>
          <w:sz w:val="24"/>
          <w:szCs w:val="24"/>
          <w:lang w:val="en-US"/>
        </w:rPr>
        <w:t xml:space="preserve"> encapsulation efficiency of the three formulations was similar</w:t>
      </w:r>
      <w:r w:rsidR="00D1113A" w:rsidRPr="00795222">
        <w:rPr>
          <w:rFonts w:asciiTheme="majorBidi" w:eastAsia="Calibri" w:hAnsiTheme="majorBidi" w:cstheme="majorBidi"/>
          <w:sz w:val="24"/>
          <w:szCs w:val="24"/>
          <w:lang w:val="en-US"/>
        </w:rPr>
        <w:t xml:space="preserve"> (62</w:t>
      </w:r>
      <w:r w:rsidR="00540A62" w:rsidRPr="00795222">
        <w:rPr>
          <w:rFonts w:asciiTheme="majorBidi" w:eastAsia="Calibri" w:hAnsiTheme="majorBidi" w:cstheme="majorBidi"/>
          <w:sz w:val="24"/>
          <w:szCs w:val="24"/>
          <w:lang w:val="en-US"/>
        </w:rPr>
        <w:t>,</w:t>
      </w:r>
      <w:r w:rsidR="00D1113A" w:rsidRPr="00795222">
        <w:rPr>
          <w:rFonts w:asciiTheme="majorBidi" w:eastAsia="Calibri" w:hAnsiTheme="majorBidi" w:cstheme="majorBidi"/>
          <w:sz w:val="24"/>
          <w:szCs w:val="24"/>
          <w:lang w:val="en-US"/>
        </w:rPr>
        <w:t xml:space="preserve"> </w:t>
      </w:r>
      <w:r w:rsidR="00540A62" w:rsidRPr="00795222">
        <w:rPr>
          <w:rFonts w:asciiTheme="majorBidi" w:eastAsia="Calibri" w:hAnsiTheme="majorBidi" w:cstheme="majorBidi"/>
          <w:sz w:val="24"/>
          <w:szCs w:val="24"/>
          <w:lang w:val="en-US"/>
        </w:rPr>
        <w:t xml:space="preserve">68.1 and </w:t>
      </w:r>
      <w:r w:rsidR="00D1113A" w:rsidRPr="00795222">
        <w:rPr>
          <w:rFonts w:asciiTheme="majorBidi" w:eastAsia="Calibri" w:hAnsiTheme="majorBidi" w:cstheme="majorBidi"/>
          <w:sz w:val="24"/>
          <w:szCs w:val="24"/>
          <w:lang w:val="en-US"/>
        </w:rPr>
        <w:t>68.5 %</w:t>
      </w:r>
      <w:r w:rsidR="00540A62" w:rsidRPr="00795222">
        <w:rPr>
          <w:rFonts w:asciiTheme="majorBidi" w:eastAsia="Calibri" w:hAnsiTheme="majorBidi" w:cstheme="majorBidi"/>
          <w:sz w:val="24"/>
          <w:szCs w:val="24"/>
          <w:lang w:val="en-US"/>
        </w:rPr>
        <w:t xml:space="preserve"> w/w</w:t>
      </w:r>
      <w:r w:rsidR="00D1113A" w:rsidRPr="00795222">
        <w:rPr>
          <w:rFonts w:asciiTheme="majorBidi" w:eastAsia="Calibri" w:hAnsiTheme="majorBidi" w:cstheme="majorBidi"/>
          <w:sz w:val="24"/>
          <w:szCs w:val="24"/>
          <w:lang w:val="en-US"/>
        </w:rPr>
        <w:t>)</w:t>
      </w:r>
      <w:r w:rsidR="00540A62" w:rsidRPr="00795222">
        <w:rPr>
          <w:rFonts w:asciiTheme="majorBidi" w:eastAsia="Calibri" w:hAnsiTheme="majorBidi" w:cstheme="majorBidi"/>
          <w:sz w:val="24"/>
          <w:szCs w:val="24"/>
          <w:lang w:val="en-US"/>
        </w:rPr>
        <w:t xml:space="preserve"> for formulations </w:t>
      </w:r>
      <w:r w:rsidR="000F35CB" w:rsidRPr="00795222">
        <w:rPr>
          <w:rFonts w:asciiTheme="majorBidi" w:eastAsia="Calibri" w:hAnsiTheme="majorBidi" w:cstheme="majorBidi"/>
          <w:sz w:val="24"/>
          <w:szCs w:val="24"/>
          <w:lang w:val="en-US"/>
        </w:rPr>
        <w:t>LPHN70, LPHN90 and LPHN100 respectively</w:t>
      </w:r>
      <w:r w:rsidR="00D1113A" w:rsidRPr="00795222">
        <w:rPr>
          <w:rFonts w:asciiTheme="majorBidi" w:eastAsia="Calibri" w:hAnsiTheme="majorBidi" w:cstheme="majorBidi"/>
          <w:sz w:val="24"/>
          <w:szCs w:val="24"/>
          <w:lang w:val="en-US"/>
        </w:rPr>
        <w:t xml:space="preserve">, with a slight </w:t>
      </w:r>
      <w:r w:rsidR="00747D7C" w:rsidRPr="00795222">
        <w:rPr>
          <w:rFonts w:asciiTheme="majorBidi" w:eastAsia="Calibri" w:hAnsiTheme="majorBidi" w:cstheme="majorBidi"/>
          <w:sz w:val="24"/>
          <w:szCs w:val="24"/>
          <w:lang w:val="en-US"/>
        </w:rPr>
        <w:t>increase in encapsulation efficiency</w:t>
      </w:r>
      <w:r w:rsidR="000121D9" w:rsidRPr="00795222">
        <w:rPr>
          <w:rFonts w:asciiTheme="majorBidi" w:eastAsia="Calibri" w:hAnsiTheme="majorBidi" w:cstheme="majorBidi"/>
          <w:sz w:val="24"/>
          <w:szCs w:val="24"/>
          <w:lang w:val="en-US"/>
        </w:rPr>
        <w:t xml:space="preserve"> noticed</w:t>
      </w:r>
      <w:r w:rsidR="00747D7C" w:rsidRPr="00795222">
        <w:rPr>
          <w:rFonts w:asciiTheme="majorBidi" w:eastAsia="Calibri" w:hAnsiTheme="majorBidi" w:cstheme="majorBidi"/>
          <w:sz w:val="24"/>
          <w:szCs w:val="24"/>
          <w:lang w:val="en-US"/>
        </w:rPr>
        <w:t xml:space="preserve"> with increasing</w:t>
      </w:r>
      <w:r w:rsidR="00464816" w:rsidRPr="00795222">
        <w:rPr>
          <w:rFonts w:asciiTheme="majorBidi" w:eastAsia="Calibri" w:hAnsiTheme="majorBidi" w:cstheme="majorBidi"/>
          <w:sz w:val="24"/>
          <w:szCs w:val="24"/>
          <w:lang w:val="en-US"/>
        </w:rPr>
        <w:t xml:space="preserve"> B</w:t>
      </w:r>
      <w:r w:rsidR="00747D7C" w:rsidRPr="00795222">
        <w:rPr>
          <w:rFonts w:asciiTheme="majorBidi" w:eastAsia="Calibri" w:hAnsiTheme="majorBidi" w:cstheme="majorBidi"/>
          <w:sz w:val="24"/>
          <w:szCs w:val="24"/>
          <w:lang w:val="en-US"/>
        </w:rPr>
        <w:t>rij 78</w:t>
      </w:r>
      <w:r w:rsidR="00D1113A" w:rsidRPr="00795222">
        <w:rPr>
          <w:rFonts w:asciiTheme="majorBidi" w:eastAsia="Calibri" w:hAnsiTheme="majorBidi" w:cstheme="majorBidi"/>
          <w:sz w:val="24"/>
          <w:szCs w:val="24"/>
          <w:lang w:val="en-US"/>
        </w:rPr>
        <w:t xml:space="preserve"> </w:t>
      </w:r>
      <w:r w:rsidR="00464816" w:rsidRPr="00795222">
        <w:rPr>
          <w:rFonts w:asciiTheme="majorBidi" w:eastAsia="Calibri" w:hAnsiTheme="majorBidi" w:cstheme="majorBidi"/>
          <w:sz w:val="24"/>
          <w:szCs w:val="24"/>
          <w:lang w:val="en-US"/>
        </w:rPr>
        <w:t>content</w:t>
      </w:r>
      <w:r w:rsidR="00F55281" w:rsidRPr="00795222">
        <w:rPr>
          <w:rFonts w:asciiTheme="majorBidi" w:eastAsia="Calibri" w:hAnsiTheme="majorBidi" w:cstheme="majorBidi"/>
          <w:sz w:val="24"/>
          <w:szCs w:val="24"/>
          <w:lang w:val="en-US"/>
        </w:rPr>
        <w:t>.</w:t>
      </w:r>
    </w:p>
    <w:p w14:paraId="426BC233" w14:textId="3EA097AB" w:rsidR="00B63A38" w:rsidRPr="00795222" w:rsidRDefault="00B63A38" w:rsidP="00657F6C">
      <w:pPr>
        <w:spacing w:line="360" w:lineRule="auto"/>
        <w:jc w:val="both"/>
        <w:rPr>
          <w:rFonts w:asciiTheme="majorBidi" w:eastAsia="Calibri" w:hAnsiTheme="majorBidi" w:cstheme="majorBidi"/>
          <w:sz w:val="24"/>
          <w:szCs w:val="24"/>
          <w:lang w:val="en-US"/>
        </w:rPr>
      </w:pPr>
      <w:r w:rsidRPr="00795222">
        <w:rPr>
          <w:rFonts w:asciiTheme="majorBidi" w:eastAsia="Calibri" w:hAnsiTheme="majorBidi" w:cstheme="majorBidi"/>
          <w:sz w:val="24"/>
          <w:szCs w:val="24"/>
          <w:lang w:val="en-US"/>
        </w:rPr>
        <w:t>The effect of freeze drying and drug combination on the drug encapsulation efficiency of LPHN70 was also studied. The encapsulation efficiency of freeze-dried LPHN70 loaded with DRV/RTV (8:1) or DRV on its own was 90.8 and 95.7 % w/w, respectively. We can conclude that freeze drying increased the</w:t>
      </w:r>
      <w:r w:rsidR="00D80F71" w:rsidRPr="00795222">
        <w:rPr>
          <w:rFonts w:asciiTheme="majorBidi" w:eastAsia="Calibri" w:hAnsiTheme="majorBidi" w:cstheme="majorBidi"/>
          <w:sz w:val="24"/>
          <w:szCs w:val="24"/>
          <w:lang w:val="en-US"/>
        </w:rPr>
        <w:t xml:space="preserve"> DRV</w:t>
      </w:r>
      <w:r w:rsidRPr="00795222">
        <w:rPr>
          <w:rFonts w:asciiTheme="majorBidi" w:eastAsia="Calibri" w:hAnsiTheme="majorBidi" w:cstheme="majorBidi"/>
          <w:sz w:val="24"/>
          <w:szCs w:val="24"/>
          <w:lang w:val="en-US"/>
        </w:rPr>
        <w:t xml:space="preserve"> encapsulation efficiency of LPHN70 from 62 to 90.8 %. This increase in the encapsulation efficiency may be </w:t>
      </w:r>
      <w:r w:rsidR="006A30A2" w:rsidRPr="00795222">
        <w:rPr>
          <w:rFonts w:asciiTheme="majorBidi" w:eastAsia="Calibri" w:hAnsiTheme="majorBidi" w:cstheme="majorBidi"/>
          <w:sz w:val="24"/>
          <w:szCs w:val="24"/>
          <w:lang w:val="en-US"/>
        </w:rPr>
        <w:t>caused by</w:t>
      </w:r>
      <w:r w:rsidR="00B25D28" w:rsidRPr="00795222">
        <w:rPr>
          <w:rFonts w:asciiTheme="majorBidi" w:eastAsia="Calibri" w:hAnsiTheme="majorBidi" w:cstheme="majorBidi"/>
          <w:sz w:val="24"/>
          <w:szCs w:val="24"/>
          <w:lang w:val="en-US"/>
        </w:rPr>
        <w:t xml:space="preserve"> the</w:t>
      </w:r>
      <w:r w:rsidR="00EA6B3B" w:rsidRPr="00795222">
        <w:rPr>
          <w:rFonts w:asciiTheme="majorBidi" w:eastAsia="Calibri" w:hAnsiTheme="majorBidi" w:cstheme="majorBidi"/>
          <w:sz w:val="24"/>
          <w:szCs w:val="24"/>
          <w:lang w:val="en-US"/>
        </w:rPr>
        <w:t xml:space="preserve"> cryogenic freezing of the samples result</w:t>
      </w:r>
      <w:r w:rsidR="006A30A2" w:rsidRPr="00795222">
        <w:rPr>
          <w:rFonts w:asciiTheme="majorBidi" w:eastAsia="Calibri" w:hAnsiTheme="majorBidi" w:cstheme="majorBidi"/>
          <w:sz w:val="24"/>
          <w:szCs w:val="24"/>
          <w:lang w:val="en-US"/>
        </w:rPr>
        <w:t>ing</w:t>
      </w:r>
      <w:r w:rsidR="00EA6B3B" w:rsidRPr="00795222">
        <w:rPr>
          <w:rFonts w:asciiTheme="majorBidi" w:eastAsia="Calibri" w:hAnsiTheme="majorBidi" w:cstheme="majorBidi"/>
          <w:sz w:val="24"/>
          <w:szCs w:val="24"/>
          <w:lang w:val="en-US"/>
        </w:rPr>
        <w:t xml:space="preserve"> in the formation of </w:t>
      </w:r>
      <w:r w:rsidR="002D38A2" w:rsidRPr="00795222">
        <w:rPr>
          <w:rFonts w:asciiTheme="majorBidi" w:eastAsia="Calibri" w:hAnsiTheme="majorBidi" w:cstheme="majorBidi"/>
          <w:sz w:val="24"/>
          <w:szCs w:val="24"/>
          <w:lang w:val="en-US"/>
        </w:rPr>
        <w:t>solid drug nanoparticles</w:t>
      </w:r>
      <w:r w:rsidR="00B47D3E" w:rsidRPr="00795222">
        <w:rPr>
          <w:rFonts w:asciiTheme="majorBidi" w:eastAsia="Calibri" w:hAnsiTheme="majorBidi" w:cstheme="majorBidi"/>
          <w:sz w:val="24"/>
          <w:szCs w:val="24"/>
          <w:lang w:val="en-US"/>
        </w:rPr>
        <w:t xml:space="preserve"> from the non-encapsulated </w:t>
      </w:r>
      <w:r w:rsidR="00B25D28" w:rsidRPr="00795222">
        <w:rPr>
          <w:rFonts w:asciiTheme="majorBidi" w:eastAsia="Calibri" w:hAnsiTheme="majorBidi" w:cstheme="majorBidi"/>
          <w:sz w:val="24"/>
          <w:szCs w:val="24"/>
          <w:lang w:val="en-US"/>
        </w:rPr>
        <w:t>drug</w:t>
      </w:r>
      <w:r w:rsidR="006A30A2" w:rsidRPr="00795222">
        <w:rPr>
          <w:rFonts w:asciiTheme="majorBidi" w:eastAsia="Calibri" w:hAnsiTheme="majorBidi" w:cstheme="majorBidi"/>
          <w:sz w:val="24"/>
          <w:szCs w:val="24"/>
          <w:lang w:val="en-US"/>
        </w:rPr>
        <w:t>.</w:t>
      </w:r>
      <w:r w:rsidR="00B47D3E" w:rsidRPr="00795222">
        <w:rPr>
          <w:rFonts w:asciiTheme="majorBidi" w:eastAsia="Calibri" w:hAnsiTheme="majorBidi" w:cstheme="majorBidi"/>
          <w:sz w:val="24"/>
          <w:szCs w:val="24"/>
          <w:lang w:val="en-US"/>
        </w:rPr>
        <w:t xml:space="preserve"> </w:t>
      </w:r>
      <w:r w:rsidR="006A30A2" w:rsidRPr="00795222">
        <w:rPr>
          <w:rFonts w:asciiTheme="majorBidi" w:eastAsia="Calibri" w:hAnsiTheme="majorBidi" w:cstheme="majorBidi"/>
          <w:sz w:val="24"/>
          <w:szCs w:val="24"/>
          <w:lang w:val="en-US"/>
        </w:rPr>
        <w:t>I</w:t>
      </w:r>
      <w:r w:rsidR="00B47D3E" w:rsidRPr="00795222">
        <w:rPr>
          <w:rFonts w:asciiTheme="majorBidi" w:eastAsia="Calibri" w:hAnsiTheme="majorBidi" w:cstheme="majorBidi"/>
          <w:sz w:val="24"/>
          <w:szCs w:val="24"/>
          <w:lang w:val="en-US"/>
        </w:rPr>
        <w:t>ndeed</w:t>
      </w:r>
      <w:r w:rsidR="006A30A2" w:rsidRPr="00795222">
        <w:rPr>
          <w:rFonts w:asciiTheme="majorBidi" w:eastAsia="Calibri" w:hAnsiTheme="majorBidi" w:cstheme="majorBidi"/>
          <w:sz w:val="24"/>
          <w:szCs w:val="24"/>
          <w:lang w:val="en-US"/>
        </w:rPr>
        <w:t>,</w:t>
      </w:r>
      <w:r w:rsidR="00B47D3E" w:rsidRPr="00795222">
        <w:rPr>
          <w:rFonts w:asciiTheme="majorBidi" w:eastAsia="Calibri" w:hAnsiTheme="majorBidi" w:cstheme="majorBidi"/>
          <w:sz w:val="24"/>
          <w:szCs w:val="24"/>
          <w:lang w:val="en-US"/>
        </w:rPr>
        <w:t xml:space="preserve"> freezing and freeze drying</w:t>
      </w:r>
      <w:r w:rsidR="00873D32" w:rsidRPr="00795222">
        <w:rPr>
          <w:rFonts w:asciiTheme="majorBidi" w:eastAsia="Calibri" w:hAnsiTheme="majorBidi" w:cstheme="majorBidi"/>
          <w:sz w:val="24"/>
          <w:szCs w:val="24"/>
          <w:lang w:val="en-US"/>
        </w:rPr>
        <w:t xml:space="preserve"> in the presence of surfactants</w:t>
      </w:r>
      <w:r w:rsidR="00B47D3E" w:rsidRPr="00795222">
        <w:rPr>
          <w:rFonts w:asciiTheme="majorBidi" w:eastAsia="Calibri" w:hAnsiTheme="majorBidi" w:cstheme="majorBidi"/>
          <w:sz w:val="24"/>
          <w:szCs w:val="24"/>
          <w:lang w:val="en-US"/>
        </w:rPr>
        <w:t xml:space="preserve"> are key steps used in the process of some solid drug nanoparticles formulations. </w:t>
      </w:r>
      <w:r w:rsidR="00B47D3E" w:rsidRPr="00795222">
        <w:rPr>
          <w:rFonts w:asciiTheme="majorBidi" w:eastAsia="Calibri" w:hAnsiTheme="majorBidi" w:cstheme="majorBidi"/>
          <w:sz w:val="24"/>
          <w:szCs w:val="24"/>
          <w:lang w:val="en-US"/>
        </w:rPr>
        <w:fldChar w:fldCharType="begin" w:fldLock="1"/>
      </w:r>
      <w:r w:rsidR="00873D32" w:rsidRPr="00795222">
        <w:rPr>
          <w:rFonts w:asciiTheme="majorBidi" w:eastAsia="Calibri" w:hAnsiTheme="majorBidi" w:cstheme="majorBidi"/>
          <w:sz w:val="24"/>
          <w:szCs w:val="24"/>
          <w:lang w:val="en-US"/>
        </w:rPr>
        <w:instrText>ADDIN CSL_CITATION {"citationItems":[{"id":"ITEM-1","itemData":{"ISSN":"2192-2640","abstract":"1","author":[{"dropping-particle":"","family":"McDonald","given":"Tom O.","non-dropping-particle":"","parse-names":false,"suffix":""},{"dropping-particle":"","family":"Giardiello","given":"Marco","non-dropping-particle":"","parse-names":false,"suffix":""},{"dropping-particle":"","family":"Martin","given":"Philip","non-dropping-particle":"","parse-names":false,"suffix":""},{"dropping-particle":"","family":"Siccardi","given":"Marco","non-dropping-particle":"","parse-names":false,"suffix":""},{"dropping-particle":"","family":"Liptrott","given":"Neill J.","non-dropping-particle":"","parse-names":false,"suffix":""},{"dropping-particle":"","family":"Smith","given":"Darren","non-dropping-particle":"","parse-names":false,"suffix":""},{"dropping-particle":"","family":"Roberts","given":"Phill","non-dropping-particle":"","parse-names":false,"suffix":""},{"dropping-particle":"","family":"Curley","given":"Paul","non-dropping-particle":"","parse-names":false,"suffix":""},{"dropping-particle":"","family":"Schipani","given":"Alessandro","non-dropping-particle":"","parse-names":false,"suffix":""},{"dropping-particle":"","family":"Khoo","given":"Saye H.","non-dropping-particle":"","parse-names":false,"suffix":""},{"dropping-particle":"","family":"Long","given":"James","non-dropping-particle":"","parse-names":false,"suffix":""},{"dropping-particle":"","family":"Foster","given":"Alison J.","non-dropping-particle":"","parse-names":false,"suffix":""},{"dropping-particle":"","family":"Rannard","given":"Steven P.","non-dropping-particle":"","parse-names":false,"suffix":""},{"dropping-particle":"","family":"Owen","given":"Andrew","non-dropping-particle":"","parse-names":false,"suffix":""}],"container-title":"Advanced Healthcare Materials","genre":"JOUR","id":"ITEM-1","issue":"3","issued":{"date-parts":[["2014","3"]]},"page":"400-411","publisher":"Wiley","title":"Antiretroviral solid drug nanoparticles with enhanced oral bioavailability: production, characterization, and in vitro-in vivo correlation.","type":"article-journal","volume":"3"},"uris":["http://www.mendeley.com/documents/?uuid=d8028898-6d14-4294-8be3-d94444381fcf"]},{"id":"ITEM-2","itemData":{"DOI":"10.1038/ncomms13184","ISSN":"2041-1723","author":[{"dropping-particle":"","family":"Giardiello","given":"Marco","non-dropping-particle":"","parse-names":false,"suffix":""},{"dropping-particle":"","family":"Liptrott","given":"Neill J.","non-dropping-particle":"","parse-names":false,"suffix":""},{"dropping-particle":"","family":"McDonald","given":"Tom O.","non-dropping-particle":"","parse-names":false,"suffix":""},{"dropping-particle":"","family":"Moss","given":"Darren","non-dropping-particle":"","parse-names":false,"suffix":""},{"dropping-particle":"","family":"Siccardi","given":"Marco","non-dropping-particle":"","parse-names":false,"suffix":""},{"dropping-particle":"","family":"Martin","given":"Phil","non-dropping-particle":"","parse-names":false,"suffix":""},{"dropping-particle":"","family":"Smith","given":"Darren","non-dropping-particle":"","parse-names":false,"suffix":""},{"dropping-particle":"","family":"Gurjar","given":"Rohan","non-dropping-particle":"","parse-names":false,"suffix":""},{"dropping-particle":"","family":"Rannard","given":"Steve P.","non-dropping-particle":"","parse-names":false,"suffix":""},{"dropping-particle":"","family":"Owen","given":"Andrew","non-dropping-particle":"","parse-names":false,"suffix":""}],"container-title":"Nature Communications","id":"ITEM-2","issued":{"date-parts":[["2016"]]},"page":"13184","publisher":"Nature Publishing Group","title":"Accelerated oral nanomedicine discovery from miniaturized screening to clinical production exemplified by paediatric HIV nanotherapies","type":"article-journal","volume":"7"},"uris":["http://www.mendeley.com/documents/?uuid=9fdff313-73f4-4c6e-b025-9eedfe7891dd"]}],"mendeley":{"formattedCitation":"(Giardiello et al., 2016; McDonald et al., 2014b)","plainTextFormattedCitation":"(Giardiello et al., 2016; McDonald et al., 2014b)","previouslyFormattedCitation":"(Giardiello et al., 2016; McDonald et al., 2014b)"},"properties":{"noteIndex":0},"schema":"https://github.com/citation-style-language/schema/raw/master/csl-citation.json"}</w:instrText>
      </w:r>
      <w:r w:rsidR="00B47D3E" w:rsidRPr="00795222">
        <w:rPr>
          <w:rFonts w:asciiTheme="majorBidi" w:eastAsia="Calibri" w:hAnsiTheme="majorBidi" w:cstheme="majorBidi"/>
          <w:sz w:val="24"/>
          <w:szCs w:val="24"/>
          <w:lang w:val="en-US"/>
        </w:rPr>
        <w:fldChar w:fldCharType="separate"/>
      </w:r>
      <w:r w:rsidR="00B47D3E" w:rsidRPr="00795222">
        <w:rPr>
          <w:rFonts w:asciiTheme="majorBidi" w:eastAsia="Calibri" w:hAnsiTheme="majorBidi" w:cstheme="majorBidi"/>
          <w:noProof/>
          <w:sz w:val="24"/>
          <w:szCs w:val="24"/>
          <w:lang w:val="en-US"/>
        </w:rPr>
        <w:t>(Giardiello et al., 2016; McDonald et al., 2014b)</w:t>
      </w:r>
      <w:r w:rsidR="00B47D3E" w:rsidRPr="00795222">
        <w:rPr>
          <w:rFonts w:asciiTheme="majorBidi" w:eastAsia="Calibri" w:hAnsiTheme="majorBidi" w:cstheme="majorBidi"/>
          <w:sz w:val="24"/>
          <w:szCs w:val="24"/>
          <w:lang w:val="en-US"/>
        </w:rPr>
        <w:fldChar w:fldCharType="end"/>
      </w:r>
      <w:r w:rsidR="00E1512E" w:rsidRPr="00795222">
        <w:rPr>
          <w:rFonts w:asciiTheme="majorBidi" w:eastAsia="Calibri" w:hAnsiTheme="majorBidi" w:cstheme="majorBidi"/>
          <w:sz w:val="24"/>
          <w:szCs w:val="24"/>
          <w:lang w:val="en-US"/>
        </w:rPr>
        <w:t xml:space="preserve"> These solid drug nanoparticles would have been unable to penetrate the dialysis membrane and would therefore be measured as encapsulated drug. The formation of such nanoparticles would be difficult to detect by DLS as this technique provides a limited ability to resolve separate nanoparticle populations unless the size differences are approximately </w:t>
      </w:r>
      <w:r w:rsidR="00873D32" w:rsidRPr="00795222">
        <w:rPr>
          <w:rFonts w:asciiTheme="majorBidi" w:eastAsia="Calibri" w:hAnsiTheme="majorBidi" w:cstheme="majorBidi"/>
          <w:sz w:val="24"/>
          <w:szCs w:val="24"/>
          <w:lang w:val="en-US"/>
        </w:rPr>
        <w:t xml:space="preserve">4 fold. </w:t>
      </w:r>
      <w:r w:rsidR="00873D32" w:rsidRPr="00795222">
        <w:rPr>
          <w:rFonts w:asciiTheme="majorBidi" w:eastAsia="Calibri" w:hAnsiTheme="majorBidi" w:cstheme="majorBidi"/>
          <w:sz w:val="24"/>
          <w:szCs w:val="24"/>
          <w:lang w:val="en-US"/>
        </w:rPr>
        <w:fldChar w:fldCharType="begin" w:fldLock="1"/>
      </w:r>
      <w:r w:rsidR="00873D32" w:rsidRPr="00795222">
        <w:rPr>
          <w:rFonts w:asciiTheme="majorBidi" w:eastAsia="Calibri" w:hAnsiTheme="majorBidi" w:cstheme="majorBidi"/>
          <w:sz w:val="24"/>
          <w:szCs w:val="24"/>
          <w:lang w:val="en-US"/>
        </w:rPr>
        <w:instrText>ADDIN CSL_CITATION {"citationItems":[{"id":"ITEM-1","itemData":{"DOI":"10.1007/s11095-010-0073-2","ISSN":"07248741","abstract":"Purpose. To evaluate the nanoparticle tracking analysis (NTA) technique, compare it with dynamic light scattering (DLS) and test its performance in characterizing drug delivery nanoparticles and protein aggregates. Methods. Standard polystyrene beads of sizes ranging from 60 to 1,000 nm and physical mixtures thereof were analyzed with NTA and DLS. The influence of different ratios of particle populations was tested. Drug delivery nanoparticles and protein aggregates were analyzed by NTA and DLS. Live monitoring of heat-induced protein aggregation was performed with NTA. Results. NTA was shown to accurately analyze the size distribution of monodisperse and polydisperse samples. Sample visualization and individual particle tracking are features that enable a thorough size distribution analysis. The presence of small amounts of large (1,000 nm) particles generally does not compromise the accuracy of NTA measurements, and a broad range of population ratios can easily be detected and accurately sized. NTA proved to be suitable to characterize drug delivery nanoparticles and protein aggregates, complementing DLS. Live monitoring of heat-induced protein aggregation provides information about aggregation kinetics and size of submicron aggregates. Conclusion. NTA is a powerful characterization technique that complements DLS and is particularly valuable for analyzing polydisperse nanosized particles and protein aggregates. © 2010 The Author(s).","author":[{"dropping-particle":"","family":"Filipe","given":"Vasco","non-dropping-particle":"","parse-names":false,"suffix":""},{"dropping-particle":"","family":"Hawe","given":"Andrea","non-dropping-particle":"","parse-names":false,"suffix":""},{"dropping-particle":"","family":"Jiskoot","given":"Wim","non-dropping-particle":"","parse-names":false,"suffix":""}],"container-title":"Pharmaceutical Research","id":"ITEM-1","issue":"5","issued":{"date-parts":[["2010"]]},"page":"796-810","title":"Critical evaluation of nanoparticle tracking analysis (NTA) by NanoSight for the measurement of nanoparticles and protein aggregates","type":"article-journal","volume":"27"},"uris":["http://www.mendeley.com/documents/?uuid=e0082cc3-6810-471b-ab10-e330508393c2"]}],"mendeley":{"formattedCitation":"(Filipe et al., 2010)","plainTextFormattedCitation":"(Filipe et al., 2010)"},"properties":{"noteIndex":0},"schema":"https://github.com/citation-style-language/schema/raw/master/csl-citation.json"}</w:instrText>
      </w:r>
      <w:r w:rsidR="00873D32" w:rsidRPr="00795222">
        <w:rPr>
          <w:rFonts w:asciiTheme="majorBidi" w:eastAsia="Calibri" w:hAnsiTheme="majorBidi" w:cstheme="majorBidi"/>
          <w:sz w:val="24"/>
          <w:szCs w:val="24"/>
          <w:lang w:val="en-US"/>
        </w:rPr>
        <w:fldChar w:fldCharType="separate"/>
      </w:r>
      <w:r w:rsidR="00873D32" w:rsidRPr="00795222">
        <w:rPr>
          <w:rFonts w:asciiTheme="majorBidi" w:eastAsia="Calibri" w:hAnsiTheme="majorBidi" w:cstheme="majorBidi"/>
          <w:noProof/>
          <w:sz w:val="24"/>
          <w:szCs w:val="24"/>
          <w:lang w:val="en-US"/>
        </w:rPr>
        <w:t>(Filipe et al., 2010)</w:t>
      </w:r>
      <w:r w:rsidR="00873D32" w:rsidRPr="00795222">
        <w:rPr>
          <w:rFonts w:asciiTheme="majorBidi" w:eastAsia="Calibri" w:hAnsiTheme="majorBidi" w:cstheme="majorBidi"/>
          <w:sz w:val="24"/>
          <w:szCs w:val="24"/>
          <w:lang w:val="en-US"/>
        </w:rPr>
        <w:fldChar w:fldCharType="end"/>
      </w:r>
      <w:r w:rsidR="00873D32" w:rsidRPr="00795222">
        <w:rPr>
          <w:rFonts w:asciiTheme="majorBidi" w:eastAsia="Calibri" w:hAnsiTheme="majorBidi" w:cstheme="majorBidi"/>
          <w:sz w:val="24"/>
          <w:szCs w:val="24"/>
          <w:lang w:val="en-US"/>
        </w:rPr>
        <w:t xml:space="preserve"> Unfortunately, it was not possible to carry out useful SEM analysis on thes</w:t>
      </w:r>
      <w:r w:rsidR="006D7002" w:rsidRPr="00795222">
        <w:rPr>
          <w:rFonts w:asciiTheme="majorBidi" w:eastAsia="Calibri" w:hAnsiTheme="majorBidi" w:cstheme="majorBidi"/>
          <w:sz w:val="24"/>
          <w:szCs w:val="24"/>
          <w:lang w:val="en-US"/>
        </w:rPr>
        <w:t>e</w:t>
      </w:r>
      <w:r w:rsidR="00873D32" w:rsidRPr="00795222">
        <w:rPr>
          <w:rFonts w:asciiTheme="majorBidi" w:eastAsia="Calibri" w:hAnsiTheme="majorBidi" w:cstheme="majorBidi"/>
          <w:sz w:val="24"/>
          <w:szCs w:val="24"/>
          <w:lang w:val="en-US"/>
        </w:rPr>
        <w:t xml:space="preserve"> samples after freeze drying in order to investigate the potential presence of solid drug nanoparticles, this was due to the film forming behavior of the PEG cryoprotectant which meant that it was not possible to resolve individual nanoparticles. </w:t>
      </w:r>
      <w:r w:rsidR="00B47D3E" w:rsidRPr="00795222">
        <w:rPr>
          <w:rFonts w:asciiTheme="majorBidi" w:eastAsia="Calibri" w:hAnsiTheme="majorBidi" w:cstheme="majorBidi"/>
          <w:sz w:val="24"/>
          <w:szCs w:val="24"/>
          <w:lang w:val="en-US"/>
        </w:rPr>
        <w:t>It was also found that</w:t>
      </w:r>
      <w:r w:rsidRPr="00795222">
        <w:rPr>
          <w:rFonts w:asciiTheme="majorBidi" w:eastAsia="Calibri" w:hAnsiTheme="majorBidi" w:cstheme="majorBidi"/>
          <w:sz w:val="24"/>
          <w:szCs w:val="24"/>
          <w:lang w:val="en-US"/>
        </w:rPr>
        <w:t xml:space="preserve"> the incorporation of RTV led to an increase in the total drug content which caused a decrease in the encapsulation efficiency from 95.7 to 90.8 % w/w. </w:t>
      </w:r>
      <w:bookmarkStart w:id="15" w:name="_Hlk48040466"/>
      <w:r w:rsidR="005E682D" w:rsidRPr="00795222">
        <w:rPr>
          <w:rFonts w:asciiTheme="majorBidi" w:eastAsia="Calibri" w:hAnsiTheme="majorBidi" w:cstheme="majorBidi"/>
          <w:sz w:val="24"/>
          <w:szCs w:val="24"/>
          <w:lang w:val="en-US"/>
        </w:rPr>
        <w:t>Due to the role of RTV as a booster for DRV, th</w:t>
      </w:r>
      <w:r w:rsidR="004C55AB" w:rsidRPr="00795222">
        <w:rPr>
          <w:rFonts w:asciiTheme="majorBidi" w:eastAsia="Calibri" w:hAnsiTheme="majorBidi" w:cstheme="majorBidi"/>
          <w:sz w:val="24"/>
          <w:szCs w:val="24"/>
          <w:lang w:val="en-US"/>
        </w:rPr>
        <w:t>e encapsulation efficiency of RTV in the formulations was not investigated</w:t>
      </w:r>
      <w:r w:rsidR="005E682D" w:rsidRPr="00795222">
        <w:rPr>
          <w:rFonts w:asciiTheme="majorBidi" w:eastAsia="Calibri" w:hAnsiTheme="majorBidi" w:cstheme="majorBidi"/>
          <w:sz w:val="24"/>
          <w:szCs w:val="24"/>
          <w:lang w:val="en-US"/>
        </w:rPr>
        <w:t xml:space="preserve"> in this study. </w:t>
      </w:r>
      <w:r w:rsidR="004C55AB" w:rsidRPr="00795222">
        <w:rPr>
          <w:rFonts w:asciiTheme="majorBidi" w:eastAsia="Calibri" w:hAnsiTheme="majorBidi" w:cstheme="majorBidi"/>
          <w:sz w:val="24"/>
          <w:szCs w:val="24"/>
          <w:lang w:val="en-US"/>
        </w:rPr>
        <w:t xml:space="preserve"> </w:t>
      </w:r>
      <w:bookmarkEnd w:id="15"/>
    </w:p>
    <w:p w14:paraId="59E7967E" w14:textId="5FDB0FD1" w:rsidR="00770A92" w:rsidRPr="00795222" w:rsidRDefault="00A600AC" w:rsidP="00657F6C">
      <w:pPr>
        <w:spacing w:line="360" w:lineRule="auto"/>
        <w:jc w:val="both"/>
        <w:rPr>
          <w:rFonts w:asciiTheme="majorBidi" w:hAnsiTheme="majorBidi" w:cstheme="majorBidi"/>
          <w:sz w:val="24"/>
          <w:szCs w:val="24"/>
          <w:lang w:eastAsia="en-GB"/>
        </w:rPr>
      </w:pPr>
      <w:r w:rsidRPr="00795222">
        <w:rPr>
          <w:rFonts w:asciiTheme="majorBidi" w:eastAsia="Calibri" w:hAnsiTheme="majorBidi" w:cstheme="majorBidi"/>
          <w:sz w:val="24"/>
          <w:szCs w:val="24"/>
          <w:lang w:val="en-US"/>
        </w:rPr>
        <w:lastRenderedPageBreak/>
        <w:t xml:space="preserve">The drug release behavior </w:t>
      </w:r>
      <w:r w:rsidR="00464816" w:rsidRPr="00795222">
        <w:rPr>
          <w:rFonts w:asciiTheme="majorBidi" w:eastAsia="Calibri" w:hAnsiTheme="majorBidi" w:cstheme="majorBidi"/>
          <w:sz w:val="24"/>
          <w:szCs w:val="24"/>
          <w:lang w:val="en-US"/>
        </w:rPr>
        <w:t xml:space="preserve">from LPHNs </w:t>
      </w:r>
      <w:r w:rsidRPr="00795222">
        <w:rPr>
          <w:rFonts w:asciiTheme="majorBidi" w:eastAsia="Calibri" w:hAnsiTheme="majorBidi" w:cstheme="majorBidi"/>
          <w:sz w:val="24"/>
          <w:szCs w:val="24"/>
          <w:lang w:val="en-US"/>
        </w:rPr>
        <w:t>was</w:t>
      </w:r>
      <w:r w:rsidR="00D50911" w:rsidRPr="00795222">
        <w:rPr>
          <w:rFonts w:asciiTheme="majorBidi" w:eastAsia="Calibri" w:hAnsiTheme="majorBidi" w:cstheme="majorBidi"/>
          <w:sz w:val="24"/>
          <w:szCs w:val="24"/>
          <w:lang w:val="en-US"/>
        </w:rPr>
        <w:t xml:space="preserve"> </w:t>
      </w:r>
      <w:r w:rsidR="001C6DB8" w:rsidRPr="00795222">
        <w:rPr>
          <w:rFonts w:asciiTheme="majorBidi" w:eastAsia="Calibri" w:hAnsiTheme="majorBidi" w:cstheme="majorBidi"/>
          <w:sz w:val="24"/>
          <w:szCs w:val="24"/>
          <w:lang w:val="en-US"/>
        </w:rPr>
        <w:t xml:space="preserve">investigated using </w:t>
      </w:r>
      <w:r w:rsidR="00D1113A" w:rsidRPr="00795222">
        <w:rPr>
          <w:rFonts w:asciiTheme="majorBidi" w:eastAsia="Calibri" w:hAnsiTheme="majorBidi" w:cstheme="majorBidi"/>
          <w:sz w:val="24"/>
          <w:szCs w:val="24"/>
          <w:lang w:val="en-US"/>
        </w:rPr>
        <w:t xml:space="preserve">radiometric </w:t>
      </w:r>
      <w:r w:rsidR="001C6DB8" w:rsidRPr="00795222">
        <w:rPr>
          <w:rFonts w:asciiTheme="majorBidi" w:eastAsia="Calibri" w:hAnsiTheme="majorBidi" w:cstheme="majorBidi"/>
          <w:sz w:val="24"/>
          <w:szCs w:val="24"/>
          <w:lang w:val="en-US"/>
        </w:rPr>
        <w:t xml:space="preserve">dialysis </w:t>
      </w:r>
      <w:r w:rsidR="00B661EA" w:rsidRPr="00795222">
        <w:rPr>
          <w:rFonts w:asciiTheme="majorBidi" w:eastAsia="Calibri" w:hAnsiTheme="majorBidi" w:cstheme="majorBidi"/>
          <w:sz w:val="24"/>
          <w:szCs w:val="24"/>
          <w:lang w:val="en-US"/>
        </w:rPr>
        <w:t>and the drug release</w:t>
      </w:r>
      <w:r w:rsidR="00331AE8" w:rsidRPr="00795222">
        <w:rPr>
          <w:rFonts w:asciiTheme="majorBidi" w:eastAsia="Calibri" w:hAnsiTheme="majorBidi" w:cstheme="majorBidi"/>
          <w:sz w:val="24"/>
          <w:szCs w:val="24"/>
          <w:lang w:val="en-US"/>
        </w:rPr>
        <w:t>d</w:t>
      </w:r>
      <w:r w:rsidR="00B661EA" w:rsidRPr="00795222">
        <w:rPr>
          <w:rFonts w:asciiTheme="majorBidi" w:eastAsia="Calibri" w:hAnsiTheme="majorBidi" w:cstheme="majorBidi"/>
          <w:sz w:val="24"/>
          <w:szCs w:val="24"/>
          <w:lang w:val="en-US"/>
        </w:rPr>
        <w:t xml:space="preserve"> </w:t>
      </w:r>
      <w:r w:rsidR="00D1113A" w:rsidRPr="00795222">
        <w:rPr>
          <w:rFonts w:asciiTheme="majorBidi" w:eastAsia="Calibri" w:hAnsiTheme="majorBidi" w:cstheme="majorBidi"/>
          <w:sz w:val="24"/>
          <w:szCs w:val="24"/>
          <w:lang w:val="en-US"/>
        </w:rPr>
        <w:t xml:space="preserve">quantified </w:t>
      </w:r>
      <w:r w:rsidR="00B661EA" w:rsidRPr="00795222">
        <w:rPr>
          <w:rFonts w:asciiTheme="majorBidi" w:eastAsia="Calibri" w:hAnsiTheme="majorBidi" w:cstheme="majorBidi"/>
          <w:sz w:val="24"/>
          <w:szCs w:val="24"/>
          <w:lang w:val="en-US"/>
        </w:rPr>
        <w:t xml:space="preserve">using radiolabeled </w:t>
      </w:r>
      <w:r w:rsidR="00EC1DFC" w:rsidRPr="00795222">
        <w:rPr>
          <w:rFonts w:asciiTheme="majorBidi" w:hAnsiTheme="majorBidi" w:cstheme="majorBidi"/>
          <w:sz w:val="24"/>
          <w:szCs w:val="24"/>
          <w:lang w:val="en-US"/>
        </w:rPr>
        <w:t>[</w:t>
      </w:r>
      <w:r w:rsidR="00EC1DFC" w:rsidRPr="00795222">
        <w:rPr>
          <w:rFonts w:asciiTheme="majorBidi" w:hAnsiTheme="majorBidi" w:cstheme="majorBidi"/>
          <w:sz w:val="24"/>
          <w:szCs w:val="24"/>
          <w:vertAlign w:val="superscript"/>
          <w:lang w:val="en-US"/>
        </w:rPr>
        <w:t>3</w:t>
      </w:r>
      <w:r w:rsidR="00EC1DFC" w:rsidRPr="00795222">
        <w:rPr>
          <w:rFonts w:asciiTheme="majorBidi" w:hAnsiTheme="majorBidi" w:cstheme="majorBidi"/>
          <w:sz w:val="24"/>
          <w:szCs w:val="24"/>
          <w:lang w:val="en-US"/>
        </w:rPr>
        <w:t xml:space="preserve">H]-DRV </w:t>
      </w:r>
      <w:r w:rsidR="00BE09C6" w:rsidRPr="00795222">
        <w:rPr>
          <w:rFonts w:asciiTheme="majorBidi" w:eastAsia="Calibri" w:hAnsiTheme="majorBidi" w:cstheme="majorBidi"/>
          <w:sz w:val="24"/>
          <w:szCs w:val="24"/>
          <w:lang w:val="en-US"/>
        </w:rPr>
        <w:fldChar w:fldCharType="begin"/>
      </w:r>
      <w:r w:rsidR="00BE09C6" w:rsidRPr="00795222">
        <w:rPr>
          <w:rFonts w:asciiTheme="majorBidi" w:eastAsia="Calibri" w:hAnsiTheme="majorBidi" w:cstheme="majorBidi"/>
          <w:sz w:val="24"/>
          <w:szCs w:val="24"/>
          <w:lang w:val="en-US"/>
        </w:rPr>
        <w:instrText xml:space="preserve"> REF _Ref23708612 \h  \* MERGEFORMAT </w:instrText>
      </w:r>
      <w:r w:rsidR="00BE09C6" w:rsidRPr="00795222">
        <w:rPr>
          <w:rFonts w:asciiTheme="majorBidi" w:eastAsia="Calibri" w:hAnsiTheme="majorBidi" w:cstheme="majorBidi"/>
          <w:sz w:val="24"/>
          <w:szCs w:val="24"/>
          <w:lang w:val="en-US"/>
        </w:rPr>
      </w:r>
      <w:r w:rsidR="00BE09C6" w:rsidRPr="00795222">
        <w:rPr>
          <w:rFonts w:asciiTheme="majorBidi" w:eastAsia="Calibri" w:hAnsiTheme="majorBidi" w:cstheme="majorBidi"/>
          <w:sz w:val="24"/>
          <w:szCs w:val="24"/>
          <w:lang w:val="en-US"/>
        </w:rPr>
        <w:fldChar w:fldCharType="separate"/>
      </w:r>
      <w:r w:rsidR="002F4BD1" w:rsidRPr="00795222">
        <w:rPr>
          <w:rFonts w:asciiTheme="majorBidi" w:eastAsia="Calibri" w:hAnsiTheme="majorBidi" w:cstheme="majorBidi"/>
          <w:sz w:val="24"/>
          <w:szCs w:val="24"/>
          <w:lang w:val="en-US"/>
        </w:rPr>
        <w:t xml:space="preserve">Figure </w:t>
      </w:r>
      <w:r w:rsidR="009D4FCA" w:rsidRPr="00795222">
        <w:rPr>
          <w:rFonts w:asciiTheme="majorBidi" w:eastAsia="Calibri" w:hAnsiTheme="majorBidi" w:cstheme="majorBidi"/>
          <w:sz w:val="24"/>
          <w:szCs w:val="24"/>
          <w:lang w:val="en-US"/>
        </w:rPr>
        <w:t>5</w:t>
      </w:r>
      <w:r w:rsidR="00BE09C6" w:rsidRPr="00795222">
        <w:rPr>
          <w:rFonts w:asciiTheme="majorBidi" w:eastAsia="Calibri" w:hAnsiTheme="majorBidi" w:cstheme="majorBidi"/>
          <w:sz w:val="24"/>
          <w:szCs w:val="24"/>
          <w:lang w:val="en-US"/>
        </w:rPr>
        <w:fldChar w:fldCharType="end"/>
      </w:r>
      <w:r w:rsidR="00BE09C6" w:rsidRPr="00795222">
        <w:rPr>
          <w:rFonts w:asciiTheme="majorBidi" w:eastAsia="Calibri" w:hAnsiTheme="majorBidi" w:cstheme="majorBidi"/>
          <w:sz w:val="24"/>
          <w:szCs w:val="24"/>
          <w:lang w:val="en-US"/>
        </w:rPr>
        <w:t xml:space="preserve">A. </w:t>
      </w:r>
      <w:r w:rsidR="00A155ED" w:rsidRPr="00795222">
        <w:rPr>
          <w:rFonts w:asciiTheme="majorBidi" w:eastAsia="Calibri" w:hAnsiTheme="majorBidi" w:cstheme="majorBidi"/>
          <w:sz w:val="24"/>
          <w:szCs w:val="24"/>
          <w:lang w:val="en-US"/>
        </w:rPr>
        <w:t>DRV is slightly soluble in water (0.15 mg/mL</w:t>
      </w:r>
      <w:r w:rsidR="00A1172C" w:rsidRPr="00795222">
        <w:rPr>
          <w:rFonts w:asciiTheme="majorBidi" w:eastAsia="Calibri" w:hAnsiTheme="majorBidi" w:cstheme="majorBidi"/>
          <w:sz w:val="24"/>
          <w:szCs w:val="24"/>
          <w:lang w:val="en-US"/>
        </w:rPr>
        <w:t xml:space="preserve"> as listed on the FDA datasheet</w:t>
      </w:r>
      <w:r w:rsidR="00A155ED" w:rsidRPr="00795222">
        <w:rPr>
          <w:rFonts w:asciiTheme="majorBidi" w:eastAsia="Calibri" w:hAnsiTheme="majorBidi" w:cstheme="majorBidi"/>
          <w:sz w:val="24"/>
          <w:szCs w:val="24"/>
          <w:lang w:val="en-US"/>
        </w:rPr>
        <w:t>)</w:t>
      </w:r>
      <w:r w:rsidR="004F76DE" w:rsidRPr="00795222">
        <w:rPr>
          <w:rFonts w:asciiTheme="majorBidi" w:eastAsia="Calibri" w:hAnsiTheme="majorBidi" w:cstheme="majorBidi"/>
          <w:sz w:val="24"/>
          <w:szCs w:val="24"/>
          <w:lang w:val="en-US"/>
        </w:rPr>
        <w:t xml:space="preserve"> </w:t>
      </w:r>
      <w:r w:rsidR="00A155ED" w:rsidRPr="00795222">
        <w:rPr>
          <w:rFonts w:asciiTheme="majorBidi" w:eastAsia="Calibri" w:hAnsiTheme="majorBidi" w:cstheme="majorBidi"/>
          <w:sz w:val="24"/>
          <w:szCs w:val="24"/>
          <w:lang w:val="en-US"/>
        </w:rPr>
        <w:t>and the concentration of DRV used in the release study was below this limit.</w:t>
      </w:r>
      <w:r w:rsidR="009D1A66" w:rsidRPr="00795222">
        <w:rPr>
          <w:rFonts w:asciiTheme="majorBidi" w:eastAsia="Calibri" w:hAnsiTheme="majorBidi" w:cstheme="majorBidi"/>
          <w:sz w:val="24"/>
          <w:szCs w:val="24"/>
          <w:lang w:val="en-US"/>
        </w:rPr>
        <w:t xml:space="preserve"> </w:t>
      </w:r>
      <w:r w:rsidR="00B661EA" w:rsidRPr="00795222">
        <w:rPr>
          <w:rFonts w:asciiTheme="majorBidi" w:eastAsia="Calibri" w:hAnsiTheme="majorBidi" w:cstheme="majorBidi"/>
          <w:sz w:val="24"/>
          <w:szCs w:val="24"/>
          <w:lang w:val="en-US"/>
        </w:rPr>
        <w:t>T</w:t>
      </w:r>
      <w:r w:rsidR="00BE09C6" w:rsidRPr="00795222">
        <w:rPr>
          <w:rFonts w:asciiTheme="majorBidi" w:eastAsia="Calibri" w:hAnsiTheme="majorBidi" w:cstheme="majorBidi"/>
          <w:sz w:val="24"/>
          <w:szCs w:val="24"/>
          <w:lang w:val="en-US"/>
        </w:rPr>
        <w:t>he three formulations</w:t>
      </w:r>
      <w:r w:rsidR="00B661EA" w:rsidRPr="00795222">
        <w:rPr>
          <w:rFonts w:asciiTheme="majorBidi" w:eastAsia="Calibri" w:hAnsiTheme="majorBidi" w:cstheme="majorBidi"/>
          <w:sz w:val="24"/>
          <w:szCs w:val="24"/>
          <w:lang w:val="en-US"/>
        </w:rPr>
        <w:t xml:space="preserve"> showed little </w:t>
      </w:r>
      <w:r w:rsidR="00BE09C6" w:rsidRPr="00795222">
        <w:rPr>
          <w:rFonts w:asciiTheme="majorBidi" w:eastAsia="Calibri" w:hAnsiTheme="majorBidi" w:cstheme="majorBidi"/>
          <w:sz w:val="24"/>
          <w:szCs w:val="24"/>
          <w:lang w:val="en-US"/>
        </w:rPr>
        <w:t>burst release</w:t>
      </w:r>
      <w:r w:rsidR="00C84A65" w:rsidRPr="00795222">
        <w:rPr>
          <w:rFonts w:asciiTheme="majorBidi" w:eastAsia="Calibri" w:hAnsiTheme="majorBidi" w:cstheme="majorBidi"/>
          <w:sz w:val="24"/>
          <w:szCs w:val="24"/>
          <w:lang w:val="en-US"/>
        </w:rPr>
        <w:t xml:space="preserve"> (measured at the first time point of 30 minutes)</w:t>
      </w:r>
      <w:r w:rsidR="00BF71F0" w:rsidRPr="00795222">
        <w:rPr>
          <w:rFonts w:asciiTheme="majorBidi" w:eastAsia="Calibri" w:hAnsiTheme="majorBidi" w:cstheme="majorBidi"/>
          <w:sz w:val="24"/>
          <w:szCs w:val="24"/>
          <w:lang w:val="en-US"/>
        </w:rPr>
        <w:t xml:space="preserve"> of less than 14</w:t>
      </w:r>
      <w:r w:rsidR="00D1113A" w:rsidRPr="00795222">
        <w:rPr>
          <w:rFonts w:asciiTheme="majorBidi" w:eastAsia="Calibri" w:hAnsiTheme="majorBidi" w:cstheme="majorBidi"/>
          <w:sz w:val="24"/>
          <w:szCs w:val="24"/>
          <w:lang w:val="en-US"/>
        </w:rPr>
        <w:t xml:space="preserve"> </w:t>
      </w:r>
      <w:r w:rsidR="00BF71F0" w:rsidRPr="00795222">
        <w:rPr>
          <w:rFonts w:asciiTheme="majorBidi" w:eastAsia="Calibri" w:hAnsiTheme="majorBidi" w:cstheme="majorBidi"/>
          <w:sz w:val="24"/>
          <w:szCs w:val="24"/>
          <w:lang w:val="en-US"/>
        </w:rPr>
        <w:t>%</w:t>
      </w:r>
      <w:r w:rsidR="00BE09C6" w:rsidRPr="00795222">
        <w:rPr>
          <w:rFonts w:asciiTheme="majorBidi" w:eastAsia="Calibri" w:hAnsiTheme="majorBidi" w:cstheme="majorBidi"/>
          <w:sz w:val="24"/>
          <w:szCs w:val="24"/>
          <w:lang w:val="en-US"/>
        </w:rPr>
        <w:t xml:space="preserve"> which </w:t>
      </w:r>
      <w:r w:rsidR="00464816" w:rsidRPr="00795222">
        <w:rPr>
          <w:rFonts w:asciiTheme="majorBidi" w:eastAsia="Calibri" w:hAnsiTheme="majorBidi" w:cstheme="majorBidi"/>
          <w:sz w:val="24"/>
          <w:szCs w:val="24"/>
          <w:lang w:val="en-US"/>
        </w:rPr>
        <w:t xml:space="preserve">can be contributed to drug not encapsulated within the particles which </w:t>
      </w:r>
      <w:r w:rsidR="00BE09C6" w:rsidRPr="00795222">
        <w:rPr>
          <w:rFonts w:asciiTheme="majorBidi" w:eastAsia="Calibri" w:hAnsiTheme="majorBidi" w:cstheme="majorBidi"/>
          <w:sz w:val="24"/>
          <w:szCs w:val="24"/>
          <w:lang w:val="en-US"/>
        </w:rPr>
        <w:t>m</w:t>
      </w:r>
      <w:r w:rsidR="00464816" w:rsidRPr="00795222">
        <w:rPr>
          <w:rFonts w:asciiTheme="majorBidi" w:eastAsia="Calibri" w:hAnsiTheme="majorBidi" w:cstheme="majorBidi"/>
          <w:sz w:val="24"/>
          <w:szCs w:val="24"/>
          <w:lang w:val="en-US"/>
        </w:rPr>
        <w:t xml:space="preserve">ay </w:t>
      </w:r>
      <w:r w:rsidR="00BE09C6" w:rsidRPr="00795222">
        <w:rPr>
          <w:rFonts w:asciiTheme="majorBidi" w:eastAsia="Calibri" w:hAnsiTheme="majorBidi" w:cstheme="majorBidi"/>
          <w:sz w:val="24"/>
          <w:szCs w:val="24"/>
          <w:lang w:val="en-US"/>
        </w:rPr>
        <w:t>be adsorbed on</w:t>
      </w:r>
      <w:r w:rsidR="00C84A65" w:rsidRPr="00795222">
        <w:rPr>
          <w:rFonts w:asciiTheme="majorBidi" w:eastAsia="Calibri" w:hAnsiTheme="majorBidi" w:cstheme="majorBidi"/>
          <w:sz w:val="24"/>
          <w:szCs w:val="24"/>
          <w:lang w:val="en-US"/>
        </w:rPr>
        <w:t>to</w:t>
      </w:r>
      <w:r w:rsidR="00BE09C6" w:rsidRPr="00795222">
        <w:rPr>
          <w:rFonts w:asciiTheme="majorBidi" w:eastAsia="Calibri" w:hAnsiTheme="majorBidi" w:cstheme="majorBidi"/>
          <w:sz w:val="24"/>
          <w:szCs w:val="24"/>
          <w:lang w:val="en-US"/>
        </w:rPr>
        <w:t xml:space="preserve"> the surface of the particles. </w:t>
      </w:r>
      <w:r w:rsidR="00C84A65" w:rsidRPr="00795222">
        <w:rPr>
          <w:rFonts w:asciiTheme="majorBidi" w:eastAsia="Calibri" w:hAnsiTheme="majorBidi" w:cstheme="majorBidi"/>
          <w:sz w:val="24"/>
          <w:szCs w:val="24"/>
          <w:lang w:val="en-US"/>
        </w:rPr>
        <w:t>This value for burst release was lower</w:t>
      </w:r>
      <w:r w:rsidR="00770A92" w:rsidRPr="00795222">
        <w:rPr>
          <w:rFonts w:asciiTheme="majorBidi" w:eastAsia="Calibri" w:hAnsiTheme="majorBidi" w:cstheme="majorBidi"/>
          <w:sz w:val="24"/>
          <w:szCs w:val="24"/>
          <w:lang w:val="en-US"/>
        </w:rPr>
        <w:t xml:space="preserve"> than</w:t>
      </w:r>
      <w:r w:rsidR="00C84A65" w:rsidRPr="00795222">
        <w:rPr>
          <w:rFonts w:asciiTheme="majorBidi" w:eastAsia="Calibri" w:hAnsiTheme="majorBidi" w:cstheme="majorBidi"/>
          <w:sz w:val="24"/>
          <w:szCs w:val="24"/>
          <w:lang w:val="en-US"/>
        </w:rPr>
        <w:t xml:space="preserve"> expected given that the encapsulation efficiency studies suggested that at least 30</w:t>
      </w:r>
      <w:r w:rsidR="00282DCD" w:rsidRPr="00795222">
        <w:rPr>
          <w:rFonts w:asciiTheme="majorBidi" w:eastAsia="Calibri" w:hAnsiTheme="majorBidi" w:cstheme="majorBidi"/>
          <w:sz w:val="24"/>
          <w:szCs w:val="24"/>
          <w:lang w:val="en-US"/>
        </w:rPr>
        <w:t xml:space="preserve"> </w:t>
      </w:r>
      <w:r w:rsidR="00C84A65" w:rsidRPr="00795222">
        <w:rPr>
          <w:rFonts w:asciiTheme="majorBidi" w:eastAsia="Calibri" w:hAnsiTheme="majorBidi" w:cstheme="majorBidi"/>
          <w:sz w:val="24"/>
          <w:szCs w:val="24"/>
          <w:lang w:val="en-US"/>
        </w:rPr>
        <w:t>% of the drug was not trapped within the particles. However, this discrepancy might be due to harsher separation conditions that occurred during the spin-filter separation</w:t>
      </w:r>
      <w:r w:rsidR="007961C3" w:rsidRPr="00795222">
        <w:rPr>
          <w:rFonts w:asciiTheme="majorBidi" w:eastAsia="Calibri" w:hAnsiTheme="majorBidi" w:cstheme="majorBidi"/>
          <w:sz w:val="24"/>
          <w:szCs w:val="24"/>
          <w:lang w:val="en-US"/>
        </w:rPr>
        <w:t xml:space="preserve">. </w:t>
      </w:r>
      <w:r w:rsidR="0009447C" w:rsidRPr="00795222">
        <w:rPr>
          <w:rFonts w:asciiTheme="majorBidi" w:eastAsia="Calibri" w:hAnsiTheme="majorBidi" w:cstheme="majorBidi"/>
          <w:sz w:val="24"/>
          <w:szCs w:val="24"/>
          <w:lang w:val="en-US"/>
        </w:rPr>
        <w:t>W</w:t>
      </w:r>
      <w:r w:rsidR="00C84A65" w:rsidRPr="00795222">
        <w:rPr>
          <w:rFonts w:asciiTheme="majorBidi" w:eastAsia="Calibri" w:hAnsiTheme="majorBidi" w:cstheme="majorBidi"/>
          <w:sz w:val="24"/>
          <w:szCs w:val="24"/>
          <w:lang w:val="en-US"/>
        </w:rPr>
        <w:t>ith regards to the drug release profile of the three formulations, they were relatively similar with over 75</w:t>
      </w:r>
      <w:r w:rsidR="00282DCD" w:rsidRPr="00795222">
        <w:rPr>
          <w:rFonts w:asciiTheme="majorBidi" w:eastAsia="Calibri" w:hAnsiTheme="majorBidi" w:cstheme="majorBidi"/>
          <w:sz w:val="24"/>
          <w:szCs w:val="24"/>
          <w:lang w:val="en-US"/>
        </w:rPr>
        <w:t xml:space="preserve"> </w:t>
      </w:r>
      <w:r w:rsidR="00C84A65" w:rsidRPr="00795222">
        <w:rPr>
          <w:rFonts w:asciiTheme="majorBidi" w:eastAsia="Calibri" w:hAnsiTheme="majorBidi" w:cstheme="majorBidi"/>
          <w:sz w:val="24"/>
          <w:szCs w:val="24"/>
          <w:lang w:val="en-US"/>
        </w:rPr>
        <w:t>% of the drug being released in the first 8 hours</w:t>
      </w:r>
      <w:r w:rsidR="0009700F" w:rsidRPr="00795222">
        <w:rPr>
          <w:rFonts w:asciiTheme="majorBidi" w:eastAsia="Calibri" w:hAnsiTheme="majorBidi" w:cstheme="majorBidi"/>
          <w:sz w:val="24"/>
          <w:szCs w:val="24"/>
          <w:lang w:val="en-US"/>
        </w:rPr>
        <w:t xml:space="preserve"> </w:t>
      </w:r>
      <w:r w:rsidR="004F2331" w:rsidRPr="00795222">
        <w:rPr>
          <w:rFonts w:asciiTheme="majorBidi" w:eastAsia="Calibri" w:hAnsiTheme="majorBidi" w:cstheme="majorBidi"/>
          <w:sz w:val="24"/>
          <w:szCs w:val="24"/>
          <w:lang w:val="en-US"/>
        </w:rPr>
        <w:t>(</w:t>
      </w:r>
      <w:r w:rsidR="004F2331" w:rsidRPr="00795222">
        <w:rPr>
          <w:rFonts w:asciiTheme="majorBidi" w:eastAsia="Calibri" w:hAnsiTheme="majorBidi" w:cstheme="majorBidi"/>
          <w:sz w:val="24"/>
          <w:szCs w:val="24"/>
          <w:lang w:val="en-US"/>
        </w:rPr>
        <w:fldChar w:fldCharType="begin"/>
      </w:r>
      <w:r w:rsidR="004F2331" w:rsidRPr="00795222">
        <w:rPr>
          <w:rFonts w:asciiTheme="majorBidi" w:eastAsia="Calibri" w:hAnsiTheme="majorBidi" w:cstheme="majorBidi"/>
          <w:sz w:val="24"/>
          <w:szCs w:val="24"/>
          <w:lang w:val="en-US"/>
        </w:rPr>
        <w:instrText xml:space="preserve"> REF _Ref23708612 \h  \* MERGEFORMAT </w:instrText>
      </w:r>
      <w:r w:rsidR="004F2331" w:rsidRPr="00795222">
        <w:rPr>
          <w:rFonts w:asciiTheme="majorBidi" w:eastAsia="Calibri" w:hAnsiTheme="majorBidi" w:cstheme="majorBidi"/>
          <w:sz w:val="24"/>
          <w:szCs w:val="24"/>
          <w:lang w:val="en-US"/>
        </w:rPr>
      </w:r>
      <w:r w:rsidR="004F2331" w:rsidRPr="00795222">
        <w:rPr>
          <w:rFonts w:asciiTheme="majorBidi" w:eastAsia="Calibri" w:hAnsiTheme="majorBidi" w:cstheme="majorBidi"/>
          <w:sz w:val="24"/>
          <w:szCs w:val="24"/>
          <w:lang w:val="en-US"/>
        </w:rPr>
        <w:fldChar w:fldCharType="separate"/>
      </w:r>
      <w:r w:rsidR="002F4BD1" w:rsidRPr="00795222">
        <w:rPr>
          <w:rFonts w:asciiTheme="majorBidi" w:eastAsia="Times New Roman" w:hAnsiTheme="majorBidi" w:cstheme="majorBidi"/>
          <w:iCs/>
          <w:color w:val="000000"/>
          <w:kern w:val="24"/>
          <w:sz w:val="24"/>
          <w:szCs w:val="24"/>
          <w:lang w:val="en-US" w:eastAsia="en-GB"/>
        </w:rPr>
        <w:t xml:space="preserve">Figure </w:t>
      </w:r>
      <w:r w:rsidR="009D4FCA" w:rsidRPr="00795222">
        <w:rPr>
          <w:rFonts w:asciiTheme="majorBidi" w:eastAsia="Times New Roman" w:hAnsiTheme="majorBidi" w:cstheme="majorBidi"/>
          <w:iCs/>
          <w:color w:val="000000"/>
          <w:kern w:val="24"/>
          <w:sz w:val="24"/>
          <w:szCs w:val="24"/>
          <w:lang w:val="en-US" w:eastAsia="en-GB"/>
        </w:rPr>
        <w:t>5</w:t>
      </w:r>
      <w:r w:rsidR="004F2331" w:rsidRPr="00795222">
        <w:rPr>
          <w:rFonts w:asciiTheme="majorBidi" w:eastAsia="Calibri" w:hAnsiTheme="majorBidi" w:cstheme="majorBidi"/>
          <w:sz w:val="24"/>
          <w:szCs w:val="24"/>
          <w:lang w:val="en-US"/>
        </w:rPr>
        <w:fldChar w:fldCharType="end"/>
      </w:r>
      <w:r w:rsidR="004F2331" w:rsidRPr="00795222">
        <w:rPr>
          <w:rFonts w:asciiTheme="majorBidi" w:eastAsia="Calibri" w:hAnsiTheme="majorBidi" w:cstheme="majorBidi"/>
          <w:sz w:val="24"/>
          <w:szCs w:val="24"/>
          <w:lang w:val="en-US"/>
        </w:rPr>
        <w:t>A)</w:t>
      </w:r>
      <w:r w:rsidR="00C84A65" w:rsidRPr="00795222">
        <w:rPr>
          <w:rFonts w:asciiTheme="majorBidi" w:eastAsia="Calibri" w:hAnsiTheme="majorBidi" w:cstheme="majorBidi"/>
          <w:sz w:val="24"/>
          <w:szCs w:val="24"/>
          <w:lang w:val="en-US"/>
        </w:rPr>
        <w:t>. The sample co</w:t>
      </w:r>
      <w:r w:rsidR="0009700F" w:rsidRPr="00795222">
        <w:rPr>
          <w:rFonts w:asciiTheme="majorBidi" w:eastAsia="Calibri" w:hAnsiTheme="majorBidi" w:cstheme="majorBidi"/>
          <w:sz w:val="24"/>
          <w:szCs w:val="24"/>
          <w:lang w:val="en-US"/>
        </w:rPr>
        <w:t>ntaining the most SBL</w:t>
      </w:r>
      <w:r w:rsidR="004F2331" w:rsidRPr="00795222">
        <w:rPr>
          <w:rFonts w:asciiTheme="majorBidi" w:eastAsia="Calibri" w:hAnsiTheme="majorBidi" w:cstheme="majorBidi"/>
          <w:sz w:val="24"/>
          <w:szCs w:val="24"/>
          <w:lang w:val="en-US"/>
        </w:rPr>
        <w:t xml:space="preserve"> </w:t>
      </w:r>
      <w:r w:rsidR="00897328" w:rsidRPr="00795222">
        <w:rPr>
          <w:rFonts w:asciiTheme="majorBidi" w:eastAsia="Calibri" w:hAnsiTheme="majorBidi" w:cstheme="majorBidi"/>
          <w:sz w:val="24"/>
          <w:szCs w:val="24"/>
          <w:lang w:val="en-US"/>
        </w:rPr>
        <w:t>(</w:t>
      </w:r>
      <w:r w:rsidR="004F2331" w:rsidRPr="00795222">
        <w:rPr>
          <w:rFonts w:asciiTheme="majorBidi" w:eastAsia="Calibri" w:hAnsiTheme="majorBidi" w:cstheme="majorBidi"/>
          <w:sz w:val="24"/>
          <w:szCs w:val="24"/>
          <w:lang w:val="en-US"/>
        </w:rPr>
        <w:t>30</w:t>
      </w:r>
      <w:r w:rsidR="00282DCD" w:rsidRPr="00795222">
        <w:rPr>
          <w:rFonts w:asciiTheme="majorBidi" w:eastAsia="Calibri" w:hAnsiTheme="majorBidi" w:cstheme="majorBidi"/>
          <w:sz w:val="24"/>
          <w:szCs w:val="24"/>
          <w:lang w:val="en-US"/>
        </w:rPr>
        <w:t xml:space="preserve"> </w:t>
      </w:r>
      <w:r w:rsidR="004F2331" w:rsidRPr="00795222">
        <w:rPr>
          <w:rFonts w:asciiTheme="majorBidi" w:eastAsia="Calibri" w:hAnsiTheme="majorBidi" w:cstheme="majorBidi"/>
          <w:sz w:val="24"/>
          <w:szCs w:val="24"/>
          <w:lang w:val="en-US"/>
        </w:rPr>
        <w:t>%</w:t>
      </w:r>
      <w:r w:rsidR="00897328" w:rsidRPr="00795222">
        <w:rPr>
          <w:rFonts w:asciiTheme="majorBidi" w:eastAsia="Calibri" w:hAnsiTheme="majorBidi" w:cstheme="majorBidi"/>
          <w:sz w:val="24"/>
          <w:szCs w:val="24"/>
          <w:lang w:val="en-US"/>
        </w:rPr>
        <w:t>)</w:t>
      </w:r>
      <w:r w:rsidR="00464816" w:rsidRPr="00795222">
        <w:rPr>
          <w:rFonts w:asciiTheme="majorBidi" w:eastAsia="Calibri" w:hAnsiTheme="majorBidi" w:cstheme="majorBidi"/>
          <w:sz w:val="24"/>
          <w:szCs w:val="24"/>
          <w:lang w:val="en-US"/>
        </w:rPr>
        <w:t xml:space="preserve"> </w:t>
      </w:r>
      <w:r w:rsidR="00897328" w:rsidRPr="00795222">
        <w:rPr>
          <w:rFonts w:asciiTheme="majorBidi" w:eastAsia="Calibri" w:hAnsiTheme="majorBidi" w:cstheme="majorBidi"/>
          <w:sz w:val="24"/>
          <w:szCs w:val="24"/>
          <w:lang w:val="en-US"/>
        </w:rPr>
        <w:t>and least</w:t>
      </w:r>
      <w:r w:rsidR="0009700F" w:rsidRPr="00795222">
        <w:rPr>
          <w:rFonts w:asciiTheme="majorBidi" w:eastAsia="Calibri" w:hAnsiTheme="majorBidi" w:cstheme="majorBidi"/>
          <w:sz w:val="24"/>
          <w:szCs w:val="24"/>
          <w:lang w:val="en-US"/>
        </w:rPr>
        <w:t xml:space="preserve"> </w:t>
      </w:r>
      <w:r w:rsidR="00464816" w:rsidRPr="00795222">
        <w:rPr>
          <w:rFonts w:asciiTheme="majorBidi" w:eastAsia="Calibri" w:hAnsiTheme="majorBidi" w:cstheme="majorBidi"/>
          <w:sz w:val="24"/>
          <w:szCs w:val="24"/>
          <w:lang w:val="en-US"/>
        </w:rPr>
        <w:t>B</w:t>
      </w:r>
      <w:r w:rsidR="00224B86" w:rsidRPr="00795222">
        <w:rPr>
          <w:rFonts w:asciiTheme="majorBidi" w:eastAsia="Calibri" w:hAnsiTheme="majorBidi" w:cstheme="majorBidi"/>
          <w:sz w:val="24"/>
          <w:szCs w:val="24"/>
          <w:lang w:val="en-US"/>
        </w:rPr>
        <w:t>rij 78</w:t>
      </w:r>
      <w:r w:rsidR="00897328" w:rsidRPr="00795222">
        <w:rPr>
          <w:rFonts w:asciiTheme="majorBidi" w:eastAsia="Calibri" w:hAnsiTheme="majorBidi" w:cstheme="majorBidi"/>
          <w:sz w:val="24"/>
          <w:szCs w:val="24"/>
          <w:lang w:val="en-US"/>
        </w:rPr>
        <w:t xml:space="preserve"> (70 %)</w:t>
      </w:r>
      <w:r w:rsidR="0009700F" w:rsidRPr="00795222">
        <w:rPr>
          <w:rFonts w:asciiTheme="majorBidi" w:eastAsia="Calibri" w:hAnsiTheme="majorBidi" w:cstheme="majorBidi"/>
          <w:sz w:val="24"/>
          <w:szCs w:val="24"/>
          <w:lang w:val="en-US"/>
        </w:rPr>
        <w:t xml:space="preserve"> showed the fastest release. </w:t>
      </w:r>
      <w:r w:rsidR="00BE09C6" w:rsidRPr="00795222">
        <w:rPr>
          <w:rFonts w:asciiTheme="majorBidi" w:eastAsia="Calibri" w:hAnsiTheme="majorBidi" w:cstheme="majorBidi"/>
          <w:sz w:val="24"/>
          <w:szCs w:val="24"/>
          <w:lang w:val="en-US"/>
        </w:rPr>
        <w:t xml:space="preserve">Increasing the </w:t>
      </w:r>
      <w:r w:rsidR="00897328" w:rsidRPr="00795222">
        <w:rPr>
          <w:rFonts w:asciiTheme="majorBidi" w:eastAsia="Calibri" w:hAnsiTheme="majorBidi" w:cstheme="majorBidi"/>
          <w:sz w:val="24"/>
          <w:szCs w:val="24"/>
          <w:lang w:val="en-US"/>
        </w:rPr>
        <w:t>B</w:t>
      </w:r>
      <w:r w:rsidR="00224B86" w:rsidRPr="00795222">
        <w:rPr>
          <w:rFonts w:asciiTheme="majorBidi" w:eastAsia="Calibri" w:hAnsiTheme="majorBidi" w:cstheme="majorBidi"/>
          <w:sz w:val="24"/>
          <w:szCs w:val="24"/>
          <w:lang w:val="en-US"/>
        </w:rPr>
        <w:t>rij 78</w:t>
      </w:r>
      <w:r w:rsidR="00BE09C6" w:rsidRPr="00795222">
        <w:rPr>
          <w:rFonts w:asciiTheme="majorBidi" w:eastAsia="Calibri" w:hAnsiTheme="majorBidi" w:cstheme="majorBidi"/>
          <w:sz w:val="24"/>
          <w:szCs w:val="24"/>
          <w:lang w:val="en-US"/>
        </w:rPr>
        <w:t>/</w:t>
      </w:r>
      <w:r w:rsidR="00331AE8" w:rsidRPr="00795222">
        <w:rPr>
          <w:rFonts w:asciiTheme="majorBidi" w:eastAsia="Calibri" w:hAnsiTheme="majorBidi" w:cstheme="majorBidi"/>
          <w:sz w:val="24"/>
          <w:szCs w:val="24"/>
          <w:lang w:val="en-US"/>
        </w:rPr>
        <w:t>t</w:t>
      </w:r>
      <w:r w:rsidR="00BE09C6" w:rsidRPr="00795222">
        <w:rPr>
          <w:rFonts w:asciiTheme="majorBidi" w:eastAsia="Calibri" w:hAnsiTheme="majorBidi" w:cstheme="majorBidi"/>
          <w:sz w:val="24"/>
          <w:szCs w:val="24"/>
          <w:lang w:val="en-US"/>
        </w:rPr>
        <w:t>otal</w:t>
      </w:r>
      <w:r w:rsidR="00331AE8" w:rsidRPr="00795222">
        <w:rPr>
          <w:rFonts w:asciiTheme="majorBidi" w:eastAsia="Calibri" w:hAnsiTheme="majorBidi" w:cstheme="majorBidi"/>
          <w:sz w:val="24"/>
          <w:szCs w:val="24"/>
          <w:lang w:val="en-US"/>
        </w:rPr>
        <w:t xml:space="preserve"> </w:t>
      </w:r>
      <w:r w:rsidR="0051529C" w:rsidRPr="00795222">
        <w:rPr>
          <w:rFonts w:asciiTheme="majorBidi" w:eastAsia="Calibri" w:hAnsiTheme="majorBidi" w:cstheme="majorBidi"/>
          <w:sz w:val="24"/>
          <w:szCs w:val="24"/>
          <w:lang w:val="en-US"/>
        </w:rPr>
        <w:t>stabilizer</w:t>
      </w:r>
      <w:r w:rsidR="00BE09C6" w:rsidRPr="00795222">
        <w:rPr>
          <w:rFonts w:asciiTheme="majorBidi" w:eastAsia="Calibri" w:hAnsiTheme="majorBidi" w:cstheme="majorBidi"/>
          <w:sz w:val="24"/>
          <w:szCs w:val="24"/>
          <w:lang w:val="en-US"/>
        </w:rPr>
        <w:t xml:space="preserve"> mass from 70 to 100</w:t>
      </w:r>
      <w:r w:rsidR="00282DCD" w:rsidRPr="00795222">
        <w:rPr>
          <w:rFonts w:asciiTheme="majorBidi" w:eastAsia="Calibri" w:hAnsiTheme="majorBidi" w:cstheme="majorBidi"/>
          <w:sz w:val="24"/>
          <w:szCs w:val="24"/>
          <w:lang w:val="en-US"/>
        </w:rPr>
        <w:t xml:space="preserve"> </w:t>
      </w:r>
      <w:r w:rsidR="004F2331" w:rsidRPr="00795222">
        <w:rPr>
          <w:rFonts w:asciiTheme="majorBidi" w:eastAsia="Calibri" w:hAnsiTheme="majorBidi" w:cstheme="majorBidi"/>
          <w:sz w:val="24"/>
          <w:szCs w:val="24"/>
          <w:lang w:val="en-US"/>
        </w:rPr>
        <w:t>% w</w:t>
      </w:r>
      <w:r w:rsidR="00331AE8" w:rsidRPr="00795222">
        <w:rPr>
          <w:rFonts w:asciiTheme="majorBidi" w:eastAsia="Calibri" w:hAnsiTheme="majorBidi" w:cstheme="majorBidi"/>
          <w:sz w:val="24"/>
          <w:szCs w:val="24"/>
          <w:lang w:val="en-US"/>
        </w:rPr>
        <w:t>/w</w:t>
      </w:r>
      <w:r w:rsidR="004F2331" w:rsidRPr="00795222">
        <w:rPr>
          <w:rFonts w:asciiTheme="majorBidi" w:eastAsia="Calibri" w:hAnsiTheme="majorBidi" w:cstheme="majorBidi"/>
          <w:sz w:val="24"/>
          <w:szCs w:val="24"/>
          <w:lang w:val="en-US"/>
        </w:rPr>
        <w:t xml:space="preserve"> </w:t>
      </w:r>
      <w:r w:rsidR="00BE09C6" w:rsidRPr="00795222">
        <w:rPr>
          <w:rFonts w:asciiTheme="majorBidi" w:eastAsia="Calibri" w:hAnsiTheme="majorBidi" w:cstheme="majorBidi"/>
          <w:sz w:val="24"/>
          <w:szCs w:val="24"/>
          <w:lang w:val="en-US"/>
        </w:rPr>
        <w:t>le</w:t>
      </w:r>
      <w:r w:rsidR="004F2331" w:rsidRPr="00795222">
        <w:rPr>
          <w:rFonts w:asciiTheme="majorBidi" w:eastAsia="Calibri" w:hAnsiTheme="majorBidi" w:cstheme="majorBidi"/>
          <w:sz w:val="24"/>
          <w:szCs w:val="24"/>
          <w:lang w:val="en-US"/>
        </w:rPr>
        <w:t>d</w:t>
      </w:r>
      <w:r w:rsidR="00BE09C6" w:rsidRPr="00795222">
        <w:rPr>
          <w:rFonts w:asciiTheme="majorBidi" w:eastAsia="Calibri" w:hAnsiTheme="majorBidi" w:cstheme="majorBidi"/>
          <w:sz w:val="24"/>
          <w:szCs w:val="24"/>
          <w:lang w:val="en-US"/>
        </w:rPr>
        <w:t xml:space="preserve"> to slow</w:t>
      </w:r>
      <w:r w:rsidR="004F2331" w:rsidRPr="00795222">
        <w:rPr>
          <w:rFonts w:asciiTheme="majorBidi" w:eastAsia="Calibri" w:hAnsiTheme="majorBidi" w:cstheme="majorBidi"/>
          <w:sz w:val="24"/>
          <w:szCs w:val="24"/>
          <w:lang w:val="en-US"/>
        </w:rPr>
        <w:t>er</w:t>
      </w:r>
      <w:r w:rsidR="00BE09C6" w:rsidRPr="00795222">
        <w:rPr>
          <w:rFonts w:asciiTheme="majorBidi" w:eastAsia="Calibri" w:hAnsiTheme="majorBidi" w:cstheme="majorBidi"/>
          <w:sz w:val="24"/>
          <w:szCs w:val="24"/>
          <w:lang w:val="en-US"/>
        </w:rPr>
        <w:t xml:space="preserve"> release. This </w:t>
      </w:r>
      <w:r w:rsidR="00897328" w:rsidRPr="00795222">
        <w:rPr>
          <w:rFonts w:asciiTheme="majorBidi" w:eastAsia="Calibri" w:hAnsiTheme="majorBidi" w:cstheme="majorBidi"/>
          <w:sz w:val="24"/>
          <w:szCs w:val="24"/>
          <w:lang w:val="en-US"/>
        </w:rPr>
        <w:t xml:space="preserve">may </w:t>
      </w:r>
      <w:r w:rsidR="00BE09C6" w:rsidRPr="00795222">
        <w:rPr>
          <w:rFonts w:asciiTheme="majorBidi" w:eastAsia="Calibri" w:hAnsiTheme="majorBidi" w:cstheme="majorBidi"/>
          <w:sz w:val="24"/>
          <w:szCs w:val="24"/>
          <w:lang w:val="en-US"/>
        </w:rPr>
        <w:t xml:space="preserve">be attributed to the PEG corona </w:t>
      </w:r>
      <w:r w:rsidR="00897328" w:rsidRPr="00795222">
        <w:rPr>
          <w:rFonts w:asciiTheme="majorBidi" w:eastAsia="Calibri" w:hAnsiTheme="majorBidi" w:cstheme="majorBidi"/>
          <w:sz w:val="24"/>
          <w:szCs w:val="24"/>
          <w:lang w:val="en-US"/>
        </w:rPr>
        <w:t xml:space="preserve">surrounding </w:t>
      </w:r>
      <w:r w:rsidR="00BE09C6" w:rsidRPr="00795222">
        <w:rPr>
          <w:rFonts w:asciiTheme="majorBidi" w:eastAsia="Calibri" w:hAnsiTheme="majorBidi" w:cstheme="majorBidi"/>
          <w:sz w:val="24"/>
          <w:szCs w:val="24"/>
          <w:lang w:val="en-US"/>
        </w:rPr>
        <w:t>the PLGA cores</w:t>
      </w:r>
      <w:r w:rsidR="00897328" w:rsidRPr="00795222">
        <w:rPr>
          <w:rFonts w:asciiTheme="majorBidi" w:eastAsia="Calibri" w:hAnsiTheme="majorBidi" w:cstheme="majorBidi"/>
          <w:sz w:val="24"/>
          <w:szCs w:val="24"/>
          <w:lang w:val="en-US"/>
        </w:rPr>
        <w:t xml:space="preserve"> </w:t>
      </w:r>
      <w:r w:rsidR="004F2331" w:rsidRPr="00795222">
        <w:rPr>
          <w:rFonts w:asciiTheme="majorBidi" w:eastAsia="Calibri" w:hAnsiTheme="majorBidi" w:cstheme="majorBidi"/>
          <w:sz w:val="24"/>
          <w:szCs w:val="24"/>
          <w:lang w:val="en-US"/>
        </w:rPr>
        <w:t xml:space="preserve">derived from the </w:t>
      </w:r>
      <w:r w:rsidR="00897328" w:rsidRPr="00795222">
        <w:rPr>
          <w:rFonts w:asciiTheme="majorBidi" w:eastAsia="Calibri" w:hAnsiTheme="majorBidi" w:cstheme="majorBidi"/>
          <w:sz w:val="24"/>
          <w:szCs w:val="24"/>
          <w:lang w:val="en-US"/>
        </w:rPr>
        <w:t>B</w:t>
      </w:r>
      <w:r w:rsidR="00224B86" w:rsidRPr="00795222">
        <w:rPr>
          <w:rFonts w:asciiTheme="majorBidi" w:eastAsia="Calibri" w:hAnsiTheme="majorBidi" w:cstheme="majorBidi"/>
          <w:sz w:val="24"/>
          <w:szCs w:val="24"/>
          <w:lang w:val="en-US"/>
        </w:rPr>
        <w:t>rij 78</w:t>
      </w:r>
      <w:r w:rsidR="00BE09C6" w:rsidRPr="00795222">
        <w:rPr>
          <w:rFonts w:asciiTheme="majorBidi" w:eastAsia="Calibri" w:hAnsiTheme="majorBidi" w:cstheme="majorBidi"/>
          <w:sz w:val="24"/>
          <w:szCs w:val="24"/>
          <w:lang w:val="en-US"/>
        </w:rPr>
        <w:t xml:space="preserve">, as this corona layer becomes denser, it </w:t>
      </w:r>
      <w:r w:rsidR="004F2331" w:rsidRPr="00795222">
        <w:rPr>
          <w:rFonts w:asciiTheme="majorBidi" w:eastAsia="Calibri" w:hAnsiTheme="majorBidi" w:cstheme="majorBidi"/>
          <w:sz w:val="24"/>
          <w:szCs w:val="24"/>
          <w:lang w:val="en-US"/>
        </w:rPr>
        <w:t>retards</w:t>
      </w:r>
      <w:r w:rsidR="00BE09C6" w:rsidRPr="00795222">
        <w:rPr>
          <w:rFonts w:asciiTheme="majorBidi" w:eastAsia="Calibri" w:hAnsiTheme="majorBidi" w:cstheme="majorBidi"/>
          <w:sz w:val="24"/>
          <w:szCs w:val="24"/>
          <w:lang w:val="en-US"/>
        </w:rPr>
        <w:t xml:space="preserve"> drug release from the cores, leading to slower release and higher encapsulation efficiency. </w:t>
      </w:r>
      <w:r w:rsidR="00617F0F" w:rsidRPr="00795222">
        <w:rPr>
          <w:rFonts w:asciiTheme="majorBidi" w:eastAsia="Calibri" w:hAnsiTheme="majorBidi" w:cstheme="majorBidi"/>
          <w:noProof/>
          <w:sz w:val="24"/>
          <w:szCs w:val="24"/>
          <w:lang w:val="en-US"/>
        </w:rPr>
        <w:t>Zhang and Chen</w:t>
      </w:r>
      <w:r w:rsidR="00617F0F" w:rsidRPr="00795222">
        <w:rPr>
          <w:rFonts w:asciiTheme="majorBidi" w:eastAsia="Calibri" w:hAnsiTheme="majorBidi" w:cstheme="majorBidi"/>
          <w:sz w:val="24"/>
          <w:szCs w:val="24"/>
          <w:lang w:val="en-US"/>
        </w:rPr>
        <w:t xml:space="preserve"> </w:t>
      </w:r>
      <w:r w:rsidR="00BE09C6" w:rsidRPr="00795222">
        <w:rPr>
          <w:rFonts w:asciiTheme="majorBidi" w:eastAsia="Calibri" w:hAnsiTheme="majorBidi" w:cstheme="majorBidi"/>
          <w:sz w:val="24"/>
          <w:szCs w:val="24"/>
          <w:lang w:val="en-US"/>
        </w:rPr>
        <w:fldChar w:fldCharType="begin" w:fldLock="1"/>
      </w:r>
      <w:r w:rsidR="00B82D25" w:rsidRPr="00795222">
        <w:rPr>
          <w:rFonts w:asciiTheme="majorBidi" w:eastAsia="Calibri" w:hAnsiTheme="majorBidi" w:cstheme="majorBidi"/>
          <w:sz w:val="24"/>
          <w:szCs w:val="24"/>
          <w:lang w:val="en-US"/>
        </w:rPr>
        <w:instrText>ADDIN CSL_CITATION {"citationItems":[{"id":"ITEM-1","itemData":{"DOI":"10.2147/IJN.S73340","ISSN":"11782013","abstract":"Lipid nanocarriers are becoming a versatile platform for oral delivery of lipophilic drugs. In this article, we aimed to explore the gastrointestinal behaviors of lipid nanoparticles and the effect of PEGylation on oral absorption of fenofibrate (FN), a Biopharmaceutics Clas- sification System (BCS) II model drug. FN-loaded PEGylated lipid nanoparticles (FN-PLNs) were prepared by the solvent-diffusion method and characterized by particle size distribution, morphology, Fourier transform infrared spectroscopy, and drug release. Lipolytic experiments were performed to assess the resistance of lipid nanoparticles against pancreatic lipase. Phar- macokinetics was evaluated in rats after oral administration of FN preparations. The obtained FN-PLNs were 186.7 nm in size with an entrapment efficiency of.95%. Compared to conven- tional lipid nanoparticles, PLNs exhibited slower drug release in the lipase-containing medium, strikingly reduced mucin binding, and suppressed lipolysis in vitro. Further, oral absorption of FN was significantly enhanced using PLNs with relative bioavailability of 123.9% and 157.0% to conventional lipid nanoparticles and a commercial formulation (Lipanthyl®), respectively. It was demonstrated that reduced mucin trapping, suppressed lipolysis, and/or improved mucosal permeability were responsible for increased oral absorption. These results facilitated a better understanding of the in vivo fate of lipid nanoparticles, and suggested the potential of PLNs as oral carriers of BCS II drugs.","author":[{"dropping-particle":"","family":"Zhang","given":"Xingwang","non-dropping-particle":"","parse-names":false,"suffix":""},{"dropping-particle":"","family":"Chen","given":"Guijiang","non-dropping-particle":"","parse-names":false,"suffix":""},{"dropping-particle":"","family":"Zhang","given":"Tianpeng","non-dropping-particle":"","parse-names":false,"suffix":""},{"dropping-particle":"","family":"Ma","given":"Zhiguo","non-dropping-particle":"","parse-names":false,"suffix":""},{"dropping-particle":"","family":"Wu","given":"Baojian","non-dropping-particle":"","parse-names":false,"suffix":""}],"container-title":"International Journal of Nanomedicine","id":"ITEM-1","issue":"1","issued":{"date-parts":[["2014"]]},"page":"5503-5514","title":"Effects of pegylated lipid nanoparticles on the oral absorption of one BCS II drug: A mechanistic investigation","type":"article-journal","volume":"9"},"uris":["http://www.mendeley.com/documents/?uuid=1050bf19-5dd2-45e6-af35-6a447f4b17ed","http://www.mendeley.com/documents/?uuid=70ba8b84-e496-4b0e-be12-d87d0f65a559","http://www.mendeley.com/documents/?uuid=8967a0bf-c836-4519-ac22-69fa42843d52"]}],"mendeley":{"formattedCitation":"(Zhang et al., 2014)","plainTextFormattedCitation":"(Zhang et al., 2014)","previouslyFormattedCitation":"(Zhang et al., 2014)"},"properties":{"noteIndex":0},"schema":"https://github.com/citation-style-language/schema/raw/master/csl-citation.json"}</w:instrText>
      </w:r>
      <w:r w:rsidR="00BE09C6" w:rsidRPr="00795222">
        <w:rPr>
          <w:rFonts w:asciiTheme="majorBidi" w:eastAsia="Calibri" w:hAnsiTheme="majorBidi" w:cstheme="majorBidi"/>
          <w:sz w:val="24"/>
          <w:szCs w:val="24"/>
          <w:vertAlign w:val="superscript"/>
          <w:lang w:val="en-US"/>
        </w:rPr>
        <w:fldChar w:fldCharType="separate"/>
      </w:r>
      <w:r w:rsidR="00B82D25" w:rsidRPr="00795222">
        <w:rPr>
          <w:rFonts w:asciiTheme="majorBidi" w:eastAsia="Calibri" w:hAnsiTheme="majorBidi" w:cstheme="majorBidi"/>
          <w:noProof/>
          <w:sz w:val="24"/>
          <w:szCs w:val="24"/>
          <w:lang w:val="en-US"/>
        </w:rPr>
        <w:t>(Zhang et al., 2014)</w:t>
      </w:r>
      <w:r w:rsidR="00BE09C6" w:rsidRPr="00795222">
        <w:rPr>
          <w:rFonts w:asciiTheme="majorBidi" w:eastAsia="Calibri" w:hAnsiTheme="majorBidi" w:cstheme="majorBidi"/>
          <w:sz w:val="24"/>
          <w:szCs w:val="24"/>
          <w:lang w:val="en-US"/>
        </w:rPr>
        <w:fldChar w:fldCharType="end"/>
      </w:r>
      <w:r w:rsidR="00BE09C6" w:rsidRPr="00795222">
        <w:rPr>
          <w:rFonts w:asciiTheme="majorBidi" w:eastAsia="Calibri" w:hAnsiTheme="majorBidi" w:cstheme="majorBidi"/>
          <w:sz w:val="24"/>
          <w:szCs w:val="24"/>
          <w:lang w:val="en-US"/>
        </w:rPr>
        <w:t xml:space="preserve"> showed that pegylated lipid nanoparticles </w:t>
      </w:r>
      <w:r w:rsidR="00897328" w:rsidRPr="00795222">
        <w:rPr>
          <w:rFonts w:asciiTheme="majorBidi" w:eastAsia="Calibri" w:hAnsiTheme="majorBidi" w:cstheme="majorBidi"/>
          <w:sz w:val="24"/>
          <w:szCs w:val="24"/>
          <w:lang w:val="en-US"/>
        </w:rPr>
        <w:t>displayed</w:t>
      </w:r>
      <w:r w:rsidR="00BE09C6" w:rsidRPr="00795222">
        <w:rPr>
          <w:rFonts w:asciiTheme="majorBidi" w:eastAsia="Calibri" w:hAnsiTheme="majorBidi" w:cstheme="majorBidi"/>
          <w:sz w:val="24"/>
          <w:szCs w:val="24"/>
          <w:lang w:val="en-US"/>
        </w:rPr>
        <w:t xml:space="preserve"> slower and sustained drug release compared to the non-pegylated ones</w:t>
      </w:r>
      <w:r w:rsidR="004F2331" w:rsidRPr="00795222">
        <w:rPr>
          <w:rFonts w:asciiTheme="majorBidi" w:eastAsia="Calibri" w:hAnsiTheme="majorBidi" w:cstheme="majorBidi"/>
          <w:sz w:val="24"/>
          <w:szCs w:val="24"/>
          <w:lang w:val="en-US"/>
        </w:rPr>
        <w:t xml:space="preserve">. </w:t>
      </w:r>
      <w:r w:rsidR="00BE09C6" w:rsidRPr="00795222">
        <w:rPr>
          <w:rFonts w:asciiTheme="majorBidi" w:eastAsia="Calibri" w:hAnsiTheme="majorBidi" w:cstheme="majorBidi"/>
          <w:sz w:val="24"/>
          <w:szCs w:val="24"/>
          <w:lang w:val="en-US"/>
        </w:rPr>
        <w:t>A</w:t>
      </w:r>
      <w:r w:rsidR="004F2331" w:rsidRPr="00795222">
        <w:rPr>
          <w:rFonts w:asciiTheme="majorBidi" w:eastAsia="Calibri" w:hAnsiTheme="majorBidi" w:cstheme="majorBidi"/>
          <w:sz w:val="24"/>
          <w:szCs w:val="24"/>
          <w:lang w:val="en-US"/>
        </w:rPr>
        <w:t>ll three formulations showed low burst release and were selected for</w:t>
      </w:r>
      <w:r w:rsidR="00BE09C6" w:rsidRPr="00795222">
        <w:rPr>
          <w:rFonts w:asciiTheme="majorBidi" w:eastAsia="Calibri" w:hAnsiTheme="majorBidi" w:cstheme="majorBidi"/>
          <w:sz w:val="24"/>
          <w:szCs w:val="24"/>
          <w:lang w:val="en-US"/>
        </w:rPr>
        <w:t xml:space="preserve"> further</w:t>
      </w:r>
      <w:r w:rsidR="004F2331" w:rsidRPr="00795222">
        <w:rPr>
          <w:rFonts w:asciiTheme="majorBidi" w:eastAsia="Calibri" w:hAnsiTheme="majorBidi" w:cstheme="majorBidi"/>
          <w:sz w:val="24"/>
          <w:szCs w:val="24"/>
          <w:lang w:val="en-US"/>
        </w:rPr>
        <w:t xml:space="preserve"> biological</w:t>
      </w:r>
      <w:r w:rsidR="00BE09C6" w:rsidRPr="00795222">
        <w:rPr>
          <w:rFonts w:asciiTheme="majorBidi" w:eastAsia="Calibri" w:hAnsiTheme="majorBidi" w:cstheme="majorBidi"/>
          <w:sz w:val="24"/>
          <w:szCs w:val="24"/>
          <w:lang w:val="en-US"/>
        </w:rPr>
        <w:t xml:space="preserve"> studies </w:t>
      </w:r>
      <w:r w:rsidR="004F2331" w:rsidRPr="00795222">
        <w:rPr>
          <w:rFonts w:asciiTheme="majorBidi" w:eastAsia="Calibri" w:hAnsiTheme="majorBidi" w:cstheme="majorBidi"/>
          <w:sz w:val="24"/>
          <w:szCs w:val="24"/>
          <w:lang w:val="en-US"/>
        </w:rPr>
        <w:t xml:space="preserve">to assess how the composition of the surfactant might influence the </w:t>
      </w:r>
      <w:r w:rsidR="00280E82" w:rsidRPr="00795222">
        <w:rPr>
          <w:rFonts w:asciiTheme="majorBidi" w:eastAsia="Calibri" w:hAnsiTheme="majorBidi" w:cstheme="majorBidi"/>
          <w:sz w:val="24"/>
          <w:szCs w:val="24"/>
          <w:lang w:val="en-US"/>
        </w:rPr>
        <w:t>biological behavior.</w:t>
      </w:r>
      <w:r w:rsidR="00BE09C6" w:rsidRPr="00795222">
        <w:rPr>
          <w:rFonts w:asciiTheme="majorBidi" w:eastAsia="Calibri" w:hAnsiTheme="majorBidi" w:cstheme="majorBidi"/>
          <w:sz w:val="24"/>
          <w:szCs w:val="24"/>
          <w:lang w:val="en-US"/>
        </w:rPr>
        <w:t xml:space="preserve"> </w:t>
      </w:r>
      <w:r w:rsidR="00282DCD" w:rsidRPr="00795222">
        <w:rPr>
          <w:rFonts w:asciiTheme="majorBidi" w:eastAsia="Calibri" w:hAnsiTheme="majorBidi" w:cstheme="majorBidi"/>
          <w:sz w:val="24"/>
          <w:szCs w:val="24"/>
          <w:lang w:val="en-US"/>
        </w:rPr>
        <w:t>Interestingly</w:t>
      </w:r>
      <w:r w:rsidR="00B5021A" w:rsidRPr="00795222">
        <w:rPr>
          <w:rFonts w:asciiTheme="majorBidi" w:eastAsia="Calibri" w:hAnsiTheme="majorBidi" w:cstheme="majorBidi"/>
          <w:sz w:val="24"/>
          <w:szCs w:val="24"/>
          <w:lang w:val="en-US"/>
        </w:rPr>
        <w:t>,</w:t>
      </w:r>
      <w:r w:rsidR="00282DCD" w:rsidRPr="00795222">
        <w:rPr>
          <w:rFonts w:asciiTheme="majorBidi" w:eastAsia="Calibri" w:hAnsiTheme="majorBidi" w:cstheme="majorBidi"/>
          <w:sz w:val="24"/>
          <w:szCs w:val="24"/>
          <w:lang w:val="en-US"/>
        </w:rPr>
        <w:t xml:space="preserve"> LPHN</w:t>
      </w:r>
      <w:r w:rsidR="00B5021A" w:rsidRPr="00795222">
        <w:rPr>
          <w:rFonts w:asciiTheme="majorBidi" w:eastAsia="Calibri" w:hAnsiTheme="majorBidi" w:cstheme="majorBidi"/>
          <w:sz w:val="24"/>
          <w:szCs w:val="24"/>
          <w:lang w:val="en-US"/>
        </w:rPr>
        <w:t>s</w:t>
      </w:r>
      <w:r w:rsidR="00282DCD" w:rsidRPr="00795222">
        <w:rPr>
          <w:rFonts w:asciiTheme="majorBidi" w:eastAsia="Calibri" w:hAnsiTheme="majorBidi" w:cstheme="majorBidi"/>
          <w:sz w:val="24"/>
          <w:szCs w:val="24"/>
          <w:lang w:val="en-US"/>
        </w:rPr>
        <w:t xml:space="preserve"> post-freeze-drying (</w:t>
      </w:r>
      <w:r w:rsidR="00282DCD" w:rsidRPr="00795222">
        <w:rPr>
          <w:rFonts w:asciiTheme="majorBidi" w:eastAsia="Calibri" w:hAnsiTheme="majorBidi" w:cstheme="majorBidi"/>
          <w:sz w:val="24"/>
          <w:szCs w:val="24"/>
          <w:lang w:val="en-US"/>
        </w:rPr>
        <w:fldChar w:fldCharType="begin"/>
      </w:r>
      <w:r w:rsidR="00282DCD" w:rsidRPr="00795222">
        <w:rPr>
          <w:rFonts w:asciiTheme="majorBidi" w:eastAsia="Calibri" w:hAnsiTheme="majorBidi" w:cstheme="majorBidi"/>
          <w:sz w:val="24"/>
          <w:szCs w:val="24"/>
          <w:lang w:val="en-US"/>
        </w:rPr>
        <w:instrText xml:space="preserve"> REF _Ref23708612 \h  \* MERGEFORMAT </w:instrText>
      </w:r>
      <w:r w:rsidR="00282DCD" w:rsidRPr="00795222">
        <w:rPr>
          <w:rFonts w:asciiTheme="majorBidi" w:eastAsia="Calibri" w:hAnsiTheme="majorBidi" w:cstheme="majorBidi"/>
          <w:sz w:val="24"/>
          <w:szCs w:val="24"/>
          <w:lang w:val="en-US"/>
        </w:rPr>
      </w:r>
      <w:r w:rsidR="00282DCD" w:rsidRPr="00795222">
        <w:rPr>
          <w:rFonts w:asciiTheme="majorBidi" w:eastAsia="Calibri" w:hAnsiTheme="majorBidi" w:cstheme="majorBidi"/>
          <w:sz w:val="24"/>
          <w:szCs w:val="24"/>
          <w:lang w:val="en-US"/>
        </w:rPr>
        <w:fldChar w:fldCharType="separate"/>
      </w:r>
      <w:r w:rsidR="002F4BD1" w:rsidRPr="00795222">
        <w:rPr>
          <w:rFonts w:asciiTheme="majorBidi" w:eastAsia="Calibri" w:hAnsiTheme="majorBidi" w:cstheme="majorBidi"/>
          <w:sz w:val="24"/>
          <w:szCs w:val="24"/>
          <w:lang w:val="en-US"/>
        </w:rPr>
        <w:t xml:space="preserve">Figure </w:t>
      </w:r>
      <w:r w:rsidR="009D4FCA" w:rsidRPr="00795222">
        <w:rPr>
          <w:rFonts w:asciiTheme="majorBidi" w:eastAsia="Calibri" w:hAnsiTheme="majorBidi" w:cstheme="majorBidi"/>
          <w:sz w:val="24"/>
          <w:szCs w:val="24"/>
          <w:lang w:val="en-US"/>
        </w:rPr>
        <w:t>5</w:t>
      </w:r>
      <w:r w:rsidR="00282DCD" w:rsidRPr="00795222">
        <w:rPr>
          <w:rFonts w:asciiTheme="majorBidi" w:eastAsia="Calibri" w:hAnsiTheme="majorBidi" w:cstheme="majorBidi"/>
          <w:sz w:val="24"/>
          <w:szCs w:val="24"/>
          <w:lang w:val="en-US"/>
        </w:rPr>
        <w:fldChar w:fldCharType="end"/>
      </w:r>
      <w:r w:rsidR="00282DCD" w:rsidRPr="00795222">
        <w:rPr>
          <w:rFonts w:asciiTheme="majorBidi" w:eastAsia="Calibri" w:hAnsiTheme="majorBidi" w:cstheme="majorBidi"/>
          <w:sz w:val="24"/>
          <w:szCs w:val="24"/>
          <w:lang w:val="en-US"/>
        </w:rPr>
        <w:t xml:space="preserve">B) showed that freeze-drying did not influence the release behavior of the particles. </w:t>
      </w:r>
    </w:p>
    <w:p w14:paraId="6369EE84" w14:textId="0EDA04C3" w:rsidR="00D50636" w:rsidRPr="00795222" w:rsidRDefault="00D50636" w:rsidP="00657F6C">
      <w:pPr>
        <w:pStyle w:val="Caption"/>
        <w:jc w:val="both"/>
        <w:rPr>
          <w:rFonts w:asciiTheme="majorBidi" w:hAnsiTheme="majorBidi" w:cstheme="majorBidi"/>
          <w:sz w:val="24"/>
          <w:szCs w:val="24"/>
          <w:lang w:eastAsia="en-GB"/>
        </w:rPr>
      </w:pPr>
    </w:p>
    <w:p w14:paraId="5CF55753" w14:textId="3ED0B1B9" w:rsidR="000A5AE1" w:rsidRPr="00795222" w:rsidRDefault="000A5AE1" w:rsidP="00657F6C">
      <w:pPr>
        <w:jc w:val="both"/>
        <w:rPr>
          <w:rFonts w:asciiTheme="majorBidi" w:hAnsiTheme="majorBidi" w:cstheme="majorBidi"/>
          <w:b/>
          <w:iCs/>
          <w:sz w:val="24"/>
          <w:szCs w:val="24"/>
          <w:lang w:val="en-US" w:eastAsia="en-GB"/>
        </w:rPr>
      </w:pPr>
      <w:r w:rsidRPr="00795222">
        <w:rPr>
          <w:rFonts w:asciiTheme="majorBidi" w:hAnsiTheme="majorBidi" w:cstheme="majorBidi"/>
          <w:b/>
          <w:iCs/>
          <w:sz w:val="24"/>
          <w:szCs w:val="24"/>
          <w:lang w:val="en-US" w:eastAsia="en-GB"/>
        </w:rPr>
        <w:t>FIGURE 5</w:t>
      </w:r>
    </w:p>
    <w:p w14:paraId="6F9E803B" w14:textId="2EAA58FC" w:rsidR="000A5AE1" w:rsidRPr="00795222" w:rsidRDefault="000A5AE1" w:rsidP="00657F6C">
      <w:pPr>
        <w:jc w:val="both"/>
        <w:rPr>
          <w:lang w:val="en-US" w:eastAsia="en-GB"/>
        </w:rPr>
      </w:pPr>
    </w:p>
    <w:p w14:paraId="582497A2" w14:textId="77777777" w:rsidR="000A5AE1" w:rsidRPr="00795222" w:rsidRDefault="000A5AE1" w:rsidP="00657F6C">
      <w:pPr>
        <w:jc w:val="both"/>
        <w:rPr>
          <w:lang w:val="en-US" w:eastAsia="en-GB"/>
        </w:rPr>
      </w:pPr>
    </w:p>
    <w:p w14:paraId="232C1450" w14:textId="79BEE665" w:rsidR="00AC050A" w:rsidRPr="00795222" w:rsidRDefault="003F03B4" w:rsidP="00657F6C">
      <w:pPr>
        <w:pStyle w:val="Heading2"/>
        <w:spacing w:line="360" w:lineRule="auto"/>
        <w:jc w:val="both"/>
        <w:rPr>
          <w:rFonts w:asciiTheme="majorBidi" w:hAnsiTheme="majorBidi"/>
          <w:szCs w:val="24"/>
          <w:lang w:val="en-US"/>
        </w:rPr>
      </w:pPr>
      <w:r w:rsidRPr="00795222">
        <w:rPr>
          <w:rFonts w:asciiTheme="majorBidi" w:hAnsiTheme="majorBidi"/>
          <w:szCs w:val="24"/>
          <w:lang w:val="en-US"/>
        </w:rPr>
        <w:t>The effect of LPHN</w:t>
      </w:r>
      <w:r w:rsidR="00C119D5" w:rsidRPr="00795222">
        <w:rPr>
          <w:rFonts w:asciiTheme="majorBidi" w:hAnsiTheme="majorBidi"/>
          <w:szCs w:val="24"/>
          <w:lang w:val="en-US"/>
        </w:rPr>
        <w:t>s</w:t>
      </w:r>
      <w:r w:rsidRPr="00795222">
        <w:rPr>
          <w:rFonts w:asciiTheme="majorBidi" w:hAnsiTheme="majorBidi"/>
          <w:szCs w:val="24"/>
          <w:lang w:val="en-US"/>
        </w:rPr>
        <w:t xml:space="preserve"> surfactant composition on the absorption of DRV across a triple culture model  </w:t>
      </w:r>
    </w:p>
    <w:p w14:paraId="09B3C829" w14:textId="16CB6E01" w:rsidR="00EB6E4C" w:rsidRPr="00795222" w:rsidRDefault="001F2526" w:rsidP="00657F6C">
      <w:pPr>
        <w:spacing w:line="360" w:lineRule="auto"/>
        <w:jc w:val="both"/>
        <w:rPr>
          <w:rFonts w:asciiTheme="majorBidi" w:eastAsia="Calibri" w:hAnsiTheme="majorBidi" w:cstheme="majorBidi"/>
          <w:sz w:val="24"/>
          <w:szCs w:val="24"/>
          <w:lang w:val="en-US"/>
        </w:rPr>
      </w:pPr>
      <w:r w:rsidRPr="00795222">
        <w:rPr>
          <w:rFonts w:asciiTheme="majorBidi" w:eastAsia="Calibri" w:hAnsiTheme="majorBidi" w:cstheme="majorBidi"/>
          <w:sz w:val="24"/>
          <w:szCs w:val="24"/>
          <w:lang w:val="en-US"/>
        </w:rPr>
        <w:t>The t</w:t>
      </w:r>
      <w:r w:rsidR="008A068B" w:rsidRPr="00795222">
        <w:rPr>
          <w:rFonts w:asciiTheme="majorBidi" w:eastAsia="Calibri" w:hAnsiTheme="majorBidi" w:cstheme="majorBidi"/>
          <w:sz w:val="24"/>
          <w:szCs w:val="24"/>
          <w:lang w:val="en-US"/>
        </w:rPr>
        <w:t>hree LPHN</w:t>
      </w:r>
      <w:r w:rsidR="00A25E01" w:rsidRPr="00795222">
        <w:rPr>
          <w:rFonts w:asciiTheme="majorBidi" w:eastAsia="Calibri" w:hAnsiTheme="majorBidi" w:cstheme="majorBidi"/>
          <w:sz w:val="24"/>
          <w:szCs w:val="24"/>
          <w:lang w:val="en-US"/>
        </w:rPr>
        <w:t>s</w:t>
      </w:r>
      <w:r w:rsidR="008A068B" w:rsidRPr="00795222">
        <w:rPr>
          <w:rFonts w:asciiTheme="majorBidi" w:eastAsia="Calibri" w:hAnsiTheme="majorBidi" w:cstheme="majorBidi"/>
          <w:sz w:val="24"/>
          <w:szCs w:val="24"/>
          <w:lang w:val="en-US"/>
        </w:rPr>
        <w:t xml:space="preserve"> formulations, namely LPHN70, LPHN90 and LPHN100 were investigated </w:t>
      </w:r>
      <w:r w:rsidR="0087177D" w:rsidRPr="00795222">
        <w:rPr>
          <w:rFonts w:asciiTheme="majorBidi" w:eastAsia="Calibri" w:hAnsiTheme="majorBidi" w:cstheme="majorBidi"/>
          <w:sz w:val="24"/>
          <w:szCs w:val="24"/>
          <w:lang w:val="en-US"/>
        </w:rPr>
        <w:t>for</w:t>
      </w:r>
      <w:r w:rsidR="008A068B" w:rsidRPr="00795222">
        <w:rPr>
          <w:rFonts w:asciiTheme="majorBidi" w:eastAsia="Calibri" w:hAnsiTheme="majorBidi" w:cstheme="majorBidi"/>
          <w:sz w:val="24"/>
          <w:szCs w:val="24"/>
          <w:lang w:val="en-US"/>
        </w:rPr>
        <w:t xml:space="preserve"> their potential to deliver DRV in a model for the human intestinal epithelium. These formulations all contained DRV</w:t>
      </w:r>
      <w:r w:rsidR="00FC02E1" w:rsidRPr="00795222">
        <w:rPr>
          <w:rFonts w:asciiTheme="majorBidi" w:eastAsia="Calibri" w:hAnsiTheme="majorBidi" w:cstheme="majorBidi"/>
          <w:sz w:val="24"/>
          <w:szCs w:val="24"/>
          <w:lang w:val="en-US"/>
        </w:rPr>
        <w:t>/PLGA</w:t>
      </w:r>
      <w:r w:rsidR="008A068B" w:rsidRPr="00795222">
        <w:rPr>
          <w:rFonts w:asciiTheme="majorBidi" w:eastAsia="Calibri" w:hAnsiTheme="majorBidi" w:cstheme="majorBidi"/>
          <w:sz w:val="24"/>
          <w:szCs w:val="24"/>
          <w:lang w:val="en-US"/>
        </w:rPr>
        <w:t xml:space="preserve"> at 20</w:t>
      </w:r>
      <w:r w:rsidR="0051529C" w:rsidRPr="00795222">
        <w:rPr>
          <w:rFonts w:asciiTheme="majorBidi" w:eastAsia="Calibri" w:hAnsiTheme="majorBidi" w:cstheme="majorBidi"/>
          <w:sz w:val="24"/>
          <w:szCs w:val="24"/>
          <w:lang w:val="en-US"/>
        </w:rPr>
        <w:t xml:space="preserve"> </w:t>
      </w:r>
      <w:r w:rsidR="008A068B" w:rsidRPr="00795222">
        <w:rPr>
          <w:rFonts w:asciiTheme="majorBidi" w:eastAsia="Calibri" w:hAnsiTheme="majorBidi" w:cstheme="majorBidi"/>
          <w:sz w:val="24"/>
          <w:szCs w:val="24"/>
          <w:lang w:val="en-US"/>
        </w:rPr>
        <w:t>%</w:t>
      </w:r>
      <w:r w:rsidR="0051529C" w:rsidRPr="00795222">
        <w:rPr>
          <w:rFonts w:asciiTheme="majorBidi" w:eastAsia="Calibri" w:hAnsiTheme="majorBidi" w:cstheme="majorBidi"/>
          <w:sz w:val="24"/>
          <w:szCs w:val="24"/>
          <w:lang w:val="en-US"/>
        </w:rPr>
        <w:t xml:space="preserve"> w/w</w:t>
      </w:r>
      <w:r w:rsidR="008A068B" w:rsidRPr="00795222">
        <w:rPr>
          <w:rFonts w:asciiTheme="majorBidi" w:eastAsia="Calibri" w:hAnsiTheme="majorBidi" w:cstheme="majorBidi"/>
          <w:sz w:val="24"/>
          <w:szCs w:val="24"/>
          <w:lang w:val="en-US"/>
        </w:rPr>
        <w:t xml:space="preserve"> using both </w:t>
      </w:r>
      <w:r w:rsidR="00EC1DFC" w:rsidRPr="00795222">
        <w:rPr>
          <w:rFonts w:asciiTheme="majorBidi" w:hAnsiTheme="majorBidi" w:cstheme="majorBidi"/>
          <w:sz w:val="24"/>
          <w:szCs w:val="24"/>
          <w:lang w:val="en-US"/>
        </w:rPr>
        <w:t>[</w:t>
      </w:r>
      <w:r w:rsidR="00EC1DFC" w:rsidRPr="00795222">
        <w:rPr>
          <w:rFonts w:asciiTheme="majorBidi" w:hAnsiTheme="majorBidi" w:cstheme="majorBidi"/>
          <w:sz w:val="24"/>
          <w:szCs w:val="24"/>
          <w:vertAlign w:val="superscript"/>
          <w:lang w:val="en-US"/>
        </w:rPr>
        <w:t>3</w:t>
      </w:r>
      <w:r w:rsidR="00EC1DFC" w:rsidRPr="00795222">
        <w:rPr>
          <w:rFonts w:asciiTheme="majorBidi" w:hAnsiTheme="majorBidi" w:cstheme="majorBidi"/>
          <w:sz w:val="24"/>
          <w:szCs w:val="24"/>
          <w:lang w:val="en-US"/>
        </w:rPr>
        <w:t>H]-DRV</w:t>
      </w:r>
      <w:r w:rsidR="006A0BC9" w:rsidRPr="00795222">
        <w:rPr>
          <w:rFonts w:asciiTheme="majorBidi" w:eastAsia="Calibri" w:hAnsiTheme="majorBidi" w:cstheme="majorBidi"/>
          <w:sz w:val="24"/>
          <w:szCs w:val="24"/>
          <w:lang w:val="en-US"/>
        </w:rPr>
        <w:t>/DRV</w:t>
      </w:r>
      <w:r w:rsidR="008A068B" w:rsidRPr="00795222">
        <w:rPr>
          <w:rFonts w:asciiTheme="majorBidi" w:eastAsia="Calibri" w:hAnsiTheme="majorBidi" w:cstheme="majorBidi"/>
          <w:sz w:val="24"/>
          <w:szCs w:val="24"/>
          <w:lang w:val="en-US"/>
        </w:rPr>
        <w:t xml:space="preserve"> and unlabeled RTV in an 8:1 ratio</w:t>
      </w:r>
      <w:r w:rsidR="00546AC7" w:rsidRPr="00795222">
        <w:rPr>
          <w:rFonts w:asciiTheme="majorBidi" w:eastAsia="Calibri" w:hAnsiTheme="majorBidi" w:cstheme="majorBidi"/>
          <w:sz w:val="24"/>
          <w:szCs w:val="24"/>
          <w:lang w:val="en-US"/>
        </w:rPr>
        <w:t xml:space="preserve"> both before and after freeze drying</w:t>
      </w:r>
      <w:r w:rsidR="008A068B" w:rsidRPr="00795222">
        <w:rPr>
          <w:rFonts w:asciiTheme="majorBidi" w:eastAsia="Calibri" w:hAnsiTheme="majorBidi" w:cstheme="majorBidi"/>
          <w:sz w:val="24"/>
          <w:szCs w:val="24"/>
          <w:lang w:val="en-US"/>
        </w:rPr>
        <w:t xml:space="preserve">. Radiolabeling was used to permit a quantitative assessment of DRV transcellular permeation and enabled a comparison to a </w:t>
      </w:r>
      <w:r w:rsidR="008A068B" w:rsidRPr="00795222">
        <w:rPr>
          <w:rFonts w:asciiTheme="majorBidi" w:eastAsia="Calibri" w:hAnsiTheme="majorBidi" w:cstheme="majorBidi"/>
          <w:sz w:val="24"/>
          <w:szCs w:val="24"/>
          <w:lang w:val="en-US"/>
        </w:rPr>
        <w:lastRenderedPageBreak/>
        <w:t xml:space="preserve">conventional </w:t>
      </w:r>
      <w:r w:rsidR="00EC1DFC" w:rsidRPr="00795222">
        <w:rPr>
          <w:rFonts w:asciiTheme="majorBidi" w:hAnsiTheme="majorBidi" w:cstheme="majorBidi"/>
          <w:sz w:val="24"/>
          <w:szCs w:val="24"/>
          <w:lang w:val="en-US"/>
        </w:rPr>
        <w:t>[</w:t>
      </w:r>
      <w:r w:rsidR="00EC1DFC" w:rsidRPr="00795222">
        <w:rPr>
          <w:rFonts w:asciiTheme="majorBidi" w:hAnsiTheme="majorBidi" w:cstheme="majorBidi"/>
          <w:sz w:val="24"/>
          <w:szCs w:val="24"/>
          <w:vertAlign w:val="superscript"/>
          <w:lang w:val="en-US"/>
        </w:rPr>
        <w:t>3</w:t>
      </w:r>
      <w:r w:rsidR="00EC1DFC" w:rsidRPr="00795222">
        <w:rPr>
          <w:rFonts w:asciiTheme="majorBidi" w:hAnsiTheme="majorBidi" w:cstheme="majorBidi"/>
          <w:sz w:val="24"/>
          <w:szCs w:val="24"/>
          <w:lang w:val="en-US"/>
        </w:rPr>
        <w:t>H]-DRV</w:t>
      </w:r>
      <w:r w:rsidR="006A0BC9" w:rsidRPr="00795222">
        <w:rPr>
          <w:rFonts w:asciiTheme="majorBidi" w:eastAsia="Calibri" w:hAnsiTheme="majorBidi" w:cstheme="majorBidi"/>
          <w:sz w:val="24"/>
          <w:szCs w:val="24"/>
          <w:lang w:val="en-US"/>
        </w:rPr>
        <w:t>/DRV</w:t>
      </w:r>
      <w:r w:rsidR="008A068B" w:rsidRPr="00795222">
        <w:rPr>
          <w:rFonts w:asciiTheme="majorBidi" w:eastAsia="Calibri" w:hAnsiTheme="majorBidi" w:cstheme="majorBidi"/>
          <w:sz w:val="24"/>
          <w:szCs w:val="24"/>
          <w:lang w:val="en-US"/>
        </w:rPr>
        <w:t xml:space="preserve"> (&lt;1</w:t>
      </w:r>
      <w:r w:rsidR="00A86CC2" w:rsidRPr="00795222">
        <w:rPr>
          <w:rFonts w:asciiTheme="majorBidi" w:eastAsia="Calibri" w:hAnsiTheme="majorBidi" w:cstheme="majorBidi"/>
          <w:sz w:val="24"/>
          <w:szCs w:val="24"/>
          <w:lang w:val="en-US"/>
        </w:rPr>
        <w:t xml:space="preserve"> </w:t>
      </w:r>
      <w:r w:rsidR="008A068B" w:rsidRPr="00795222">
        <w:rPr>
          <w:rFonts w:asciiTheme="majorBidi" w:eastAsia="Calibri" w:hAnsiTheme="majorBidi" w:cstheme="majorBidi"/>
          <w:sz w:val="24"/>
          <w:szCs w:val="24"/>
          <w:lang w:val="en-US"/>
        </w:rPr>
        <w:t xml:space="preserve">% DMSO) aqueous preparation. </w:t>
      </w:r>
      <w:r w:rsidR="003F03B4" w:rsidRPr="00795222">
        <w:rPr>
          <w:rFonts w:asciiTheme="majorBidi" w:eastAsia="Calibri" w:hAnsiTheme="majorBidi" w:cstheme="majorBidi"/>
          <w:sz w:val="24"/>
          <w:szCs w:val="24"/>
          <w:lang w:val="en-US"/>
        </w:rPr>
        <w:t xml:space="preserve">An </w:t>
      </w:r>
      <w:r w:rsidR="008A068B" w:rsidRPr="00795222">
        <w:rPr>
          <w:rFonts w:asciiTheme="majorBidi" w:eastAsia="Calibri" w:hAnsiTheme="majorBidi" w:cstheme="majorBidi"/>
          <w:i/>
          <w:sz w:val="24"/>
          <w:szCs w:val="24"/>
          <w:lang w:val="en-US"/>
        </w:rPr>
        <w:t>in vitro</w:t>
      </w:r>
      <w:r w:rsidR="008A068B" w:rsidRPr="00795222">
        <w:rPr>
          <w:rFonts w:asciiTheme="majorBidi" w:eastAsia="Calibri" w:hAnsiTheme="majorBidi" w:cstheme="majorBidi"/>
          <w:sz w:val="24"/>
          <w:szCs w:val="24"/>
          <w:lang w:val="en-US"/>
        </w:rPr>
        <w:t xml:space="preserve"> triple culture model comprising; Caco-2 cells, HT-29-MTX mucus secreting goblet cells and Raji B lymphocytes which stimulate the differentiation of Caco-2 cells into microfold cells (M cells) were utilized to study the absorption of </w:t>
      </w:r>
      <w:r w:rsidR="00080A2A" w:rsidRPr="00795222">
        <w:rPr>
          <w:rFonts w:asciiTheme="majorBidi" w:hAnsiTheme="majorBidi" w:cstheme="majorBidi"/>
          <w:sz w:val="24"/>
          <w:szCs w:val="24"/>
          <w:lang w:val="en-US"/>
        </w:rPr>
        <w:t>[</w:t>
      </w:r>
      <w:r w:rsidR="00080A2A" w:rsidRPr="00795222">
        <w:rPr>
          <w:rFonts w:asciiTheme="majorBidi" w:hAnsiTheme="majorBidi" w:cstheme="majorBidi"/>
          <w:sz w:val="24"/>
          <w:szCs w:val="24"/>
          <w:vertAlign w:val="superscript"/>
          <w:lang w:val="en-US"/>
        </w:rPr>
        <w:t>3</w:t>
      </w:r>
      <w:r w:rsidR="00080A2A" w:rsidRPr="00795222">
        <w:rPr>
          <w:rFonts w:asciiTheme="majorBidi" w:hAnsiTheme="majorBidi" w:cstheme="majorBidi"/>
          <w:sz w:val="24"/>
          <w:szCs w:val="24"/>
          <w:lang w:val="en-US"/>
        </w:rPr>
        <w:t>H]-DRV</w:t>
      </w:r>
      <w:r w:rsidR="006A0BC9" w:rsidRPr="00795222">
        <w:rPr>
          <w:rFonts w:asciiTheme="majorBidi" w:eastAsia="Calibri" w:hAnsiTheme="majorBidi" w:cstheme="majorBidi"/>
          <w:sz w:val="24"/>
          <w:szCs w:val="24"/>
          <w:lang w:val="en-US"/>
        </w:rPr>
        <w:t>/DRV</w:t>
      </w:r>
      <w:r w:rsidR="008A068B" w:rsidRPr="00795222">
        <w:rPr>
          <w:rFonts w:asciiTheme="majorBidi" w:eastAsia="Calibri" w:hAnsiTheme="majorBidi" w:cstheme="majorBidi"/>
          <w:sz w:val="24"/>
          <w:szCs w:val="24"/>
          <w:lang w:val="en-US"/>
        </w:rPr>
        <w:t xml:space="preserve"> loaded LPHNs. </w:t>
      </w:r>
      <w:bookmarkStart w:id="16" w:name="_Hlk48117409"/>
      <w:r w:rsidR="0050618F" w:rsidRPr="00795222">
        <w:rPr>
          <w:rFonts w:asciiTheme="majorBidi" w:eastAsia="Calibri" w:hAnsiTheme="majorBidi" w:cstheme="majorBidi"/>
          <w:sz w:val="24"/>
          <w:szCs w:val="24"/>
          <w:lang w:val="en-US"/>
        </w:rPr>
        <w:t xml:space="preserve">This </w:t>
      </w:r>
      <w:r w:rsidR="0050618F" w:rsidRPr="00795222">
        <w:rPr>
          <w:rFonts w:asciiTheme="majorBidi" w:eastAsia="Calibri" w:hAnsiTheme="majorBidi" w:cstheme="majorBidi"/>
          <w:i/>
          <w:sz w:val="24"/>
          <w:szCs w:val="24"/>
          <w:lang w:val="en-US"/>
        </w:rPr>
        <w:t>in vitro</w:t>
      </w:r>
      <w:r w:rsidR="0050618F" w:rsidRPr="00795222">
        <w:rPr>
          <w:rFonts w:asciiTheme="majorBidi" w:eastAsia="Calibri" w:hAnsiTheme="majorBidi" w:cstheme="majorBidi"/>
          <w:sz w:val="24"/>
          <w:szCs w:val="24"/>
          <w:lang w:val="en-US"/>
        </w:rPr>
        <w:t xml:space="preserve"> </w:t>
      </w:r>
      <w:r w:rsidR="007E2658" w:rsidRPr="00795222">
        <w:rPr>
          <w:rFonts w:asciiTheme="majorBidi" w:eastAsia="Calibri" w:hAnsiTheme="majorBidi" w:cstheme="majorBidi"/>
          <w:sz w:val="24"/>
          <w:szCs w:val="24"/>
          <w:lang w:val="en-US"/>
        </w:rPr>
        <w:t xml:space="preserve">model has been shown to be a useful predictive model for intestinal permeability of small molecules </w:t>
      </w:r>
      <w:r w:rsidR="007E2658" w:rsidRPr="00795222">
        <w:rPr>
          <w:rFonts w:asciiTheme="majorBidi" w:eastAsia="Calibri" w:hAnsiTheme="majorBidi" w:cstheme="majorBidi"/>
          <w:sz w:val="24"/>
          <w:szCs w:val="24"/>
          <w:lang w:val="en-US"/>
        </w:rPr>
        <w:fldChar w:fldCharType="begin" w:fldLock="1"/>
      </w:r>
      <w:r w:rsidR="00017D47" w:rsidRPr="00795222">
        <w:rPr>
          <w:rFonts w:asciiTheme="majorBidi" w:eastAsia="Calibri" w:hAnsiTheme="majorBidi" w:cstheme="majorBidi"/>
          <w:sz w:val="24"/>
          <w:szCs w:val="24"/>
          <w:lang w:val="en-US"/>
        </w:rPr>
        <w:instrText>ADDIN CSL_CITATION {"citationItems":[{"id":"ITEM-1","itemData":{"DOI":"10.1021/acs.molpharmaceut.6b01165","ISSN":"15438392","abstract":"The Caco-2 cellular monolayer is a widely accepted in vitro model to predict human permeability but suffering from several and critical limitations. Therefore, some alternative cell cultures to mimic the human intestinal epithelium, as closely as possible, have been developed to achieve more physiological conditions, as the Caco-2/HT29-MTX coculture and the triple Caco-2/HT29-MTX/Raji B models. In this work the permeability of 12 model drugs of different Biopharmaceutical Classification System (BCS) characteristics, in the coculture and triple coculture models was assessed. Additionally, the utility of both models to classify compounds according to the BCS criteria was scrutinized. The obtained results suggested that the coculture of Caco-2/HT29-MTX and the triple coculture of Caco-2/HT29-MTX/Raji B were useful models to predict intestinal permeability and to classify the drugs in high or low permeability according to BCS. Moreover, to study thoroughly the transport mechanism of a specific drug, using a more complex model than Caco-2 monocultures is more suitable because coculture and triple coculture are more physiological models, so the results obtained with them will be closer to those obtained in the human intestine. (Graph Presented).","author":[{"dropping-particle":"","family":"Lozoya-Agullo","given":"Isabel","non-dropping-particle":"","parse-names":false,"suffix":""},{"dropping-particle":"","family":"Araújo","given":"Francisca","non-dropping-particle":"","parse-names":false,"suffix":""},{"dropping-particle":"","family":"González-Álvarez","given":"Isabel","non-dropping-particle":"","parse-names":false,"suffix":""},{"dropping-particle":"","family":"Merino-Sanjuán","given":"Matilde","non-dropping-particle":"","parse-names":false,"suffix":""},{"dropping-particle":"","family":"González-Álvarez","given":"Marta","non-dropping-particle":"","parse-names":false,"suffix":""},{"dropping-particle":"","family":"Bermejo","given":"Marival","non-dropping-particle":"","parse-names":false,"suffix":""},{"dropping-particle":"","family":"Sarmento","given":"Bruno","non-dropping-particle":"","parse-names":false,"suffix":""}],"container-title":"Molecular Pharmaceutics","id":"ITEM-1","issue":"4","issued":{"date-parts":[["2017"]]},"page":"1264-1270","title":"Usefulness of Caco-2/HT29-MTX and Caco-2/HT29-MTX/Raji B coculture models to predict intestinal and colonic permeability compared to Caco-2 monoculture","type":"article-journal","volume":"14"},"uris":["http://www.mendeley.com/documents/?uuid=48279d47-d39d-4c2e-b57f-fb12e83f2ee8"]}],"mendeley":{"formattedCitation":"(Lozoya-Agullo et al., 2017)","plainTextFormattedCitation":"(Lozoya-Agullo et al., 2017)","previouslyFormattedCitation":"(Lozoya-Agullo et al., 2017)"},"properties":{"noteIndex":0},"schema":"https://github.com/citation-style-language/schema/raw/master/csl-citation.json"}</w:instrText>
      </w:r>
      <w:r w:rsidR="007E2658" w:rsidRPr="00795222">
        <w:rPr>
          <w:rFonts w:asciiTheme="majorBidi" w:eastAsia="Calibri" w:hAnsiTheme="majorBidi" w:cstheme="majorBidi"/>
          <w:sz w:val="24"/>
          <w:szCs w:val="24"/>
          <w:lang w:val="en-US"/>
        </w:rPr>
        <w:fldChar w:fldCharType="separate"/>
      </w:r>
      <w:r w:rsidR="007E2658" w:rsidRPr="00795222">
        <w:rPr>
          <w:rFonts w:asciiTheme="majorBidi" w:eastAsia="Calibri" w:hAnsiTheme="majorBidi" w:cstheme="majorBidi"/>
          <w:noProof/>
          <w:sz w:val="24"/>
          <w:szCs w:val="24"/>
          <w:lang w:val="en-US"/>
        </w:rPr>
        <w:t>(Lozoya-Agullo et al., 2017)</w:t>
      </w:r>
      <w:r w:rsidR="007E2658" w:rsidRPr="00795222">
        <w:rPr>
          <w:rFonts w:asciiTheme="majorBidi" w:eastAsia="Calibri" w:hAnsiTheme="majorBidi" w:cstheme="majorBidi"/>
          <w:sz w:val="24"/>
          <w:szCs w:val="24"/>
          <w:lang w:val="en-US"/>
        </w:rPr>
        <w:fldChar w:fldCharType="end"/>
      </w:r>
      <w:r w:rsidR="007E2658" w:rsidRPr="00795222">
        <w:rPr>
          <w:rFonts w:asciiTheme="majorBidi" w:eastAsia="Calibri" w:hAnsiTheme="majorBidi" w:cstheme="majorBidi"/>
          <w:sz w:val="24"/>
          <w:szCs w:val="24"/>
          <w:lang w:val="en-US"/>
        </w:rPr>
        <w:t xml:space="preserve"> while also providing a more physiologically accurate representation of the permeability of nanoparticles</w:t>
      </w:r>
      <w:r w:rsidR="00017D47" w:rsidRPr="00795222">
        <w:rPr>
          <w:rFonts w:asciiTheme="majorBidi" w:eastAsia="Calibri" w:hAnsiTheme="majorBidi" w:cstheme="majorBidi"/>
          <w:sz w:val="24"/>
          <w:szCs w:val="24"/>
          <w:lang w:val="en-US"/>
        </w:rPr>
        <w:t xml:space="preserve"> compared to Caco-2 monolayers</w:t>
      </w:r>
      <w:r w:rsidR="008805AE" w:rsidRPr="00795222">
        <w:rPr>
          <w:rFonts w:asciiTheme="majorBidi" w:eastAsia="Calibri" w:hAnsiTheme="majorBidi" w:cstheme="majorBidi"/>
          <w:sz w:val="24"/>
          <w:szCs w:val="24"/>
          <w:lang w:val="en-US"/>
        </w:rPr>
        <w:t xml:space="preserve"> alone</w:t>
      </w:r>
      <w:r w:rsidR="00017D47" w:rsidRPr="00795222">
        <w:rPr>
          <w:rFonts w:asciiTheme="majorBidi" w:eastAsia="Calibri" w:hAnsiTheme="majorBidi" w:cstheme="majorBidi"/>
          <w:sz w:val="24"/>
          <w:szCs w:val="24"/>
          <w:lang w:val="en-US"/>
        </w:rPr>
        <w:t xml:space="preserve">. </w:t>
      </w:r>
      <w:r w:rsidR="00017D47" w:rsidRPr="00795222">
        <w:rPr>
          <w:rFonts w:asciiTheme="majorBidi" w:eastAsia="Calibri" w:hAnsiTheme="majorBidi" w:cstheme="majorBidi"/>
          <w:sz w:val="24"/>
          <w:szCs w:val="24"/>
          <w:lang w:val="en-US"/>
        </w:rPr>
        <w:fldChar w:fldCharType="begin" w:fldLock="1"/>
      </w:r>
      <w:r w:rsidR="00B47D3E" w:rsidRPr="00795222">
        <w:rPr>
          <w:rFonts w:asciiTheme="majorBidi" w:eastAsia="Calibri" w:hAnsiTheme="majorBidi" w:cstheme="majorBidi"/>
          <w:sz w:val="24"/>
          <w:szCs w:val="24"/>
          <w:lang w:val="en-US"/>
        </w:rPr>
        <w:instrText>ADDIN CSL_CITATION {"citationItems":[{"id":"ITEM-1","itemData":{"DOI":"10.1021/mp400507g","ISBN":"1543-8384","ISSN":"15438384","PMID":"24502507","abstract":"Intestinal epithelial cell culture models, such as Caco-2 cells, are commonly used to assess absorption of drug molecules and transcytosis of nanoparticles across the intestinal mucosa. However, it is known that mucus strongly impacts nanoparticle mobility and that specialized M cells are involved in particulate uptake. Thus, to get a clear understanding of how nanoparticles interact with the intestinal mucosa, in vitro models are necessary that integrate the main cell types. This work aimed at developing an alternative in vitro permeability model based on a triple culture: Caco-2 cells, mucus-secreting goblet cells and M cells. Therefore, Caco-2 cells and mucus-secreting goblet cells were cocultured on Transwells and Raji B cells were added to stimulate differentiation of M cells. The in vitro triple culture model was characterized regarding confluence, integrity, differentiation/expression of M cells and cell surface architecture. Permeability of model drugs and of 50 and 200 nm polystyrene nanoparticles was studied. Data from the in vitro model were compared with ex vivo permeability results (Ussing chambers and porcine intestine) and correlated well. Nanoparticle uptake was size-dependent and strongly impacted by the mucus layer. Moreover, nanoparticle permeability studies clearly demonstrated that particles were capable of penetrating the intestinal barrier mainly via specialized M cells. It can be concluded that goblet cells and M cells strongly impact nanoparticle uptake in the intestine and should thus be integrated in an in vitro permeability model. The presented model will be an efficient tool to study intestinal transcellular uptake of particulate systems.","author":[{"dropping-particle":"","family":"Schimpel","given":"Christa","non-dropping-particle":"","parse-names":false,"suffix":""},{"dropping-particle":"","family":"Teubl","given":"Birgit","non-dropping-particle":"","parse-names":false,"suffix":""},{"dropping-particle":"","family":"Absenger","given":"Markus","non-dropping-particle":"","parse-names":false,"suffix":""},{"dropping-particle":"","family":"Meindl","given":"Claudia","non-dropping-particle":"","parse-names":false,"suffix":""},{"dropping-particle":"","family":"Fröhlich","given":"Eleonore","non-dropping-particle":"","parse-names":false,"suffix":""},{"dropping-particle":"","family":"Leitinger","given":"Gerd","non-dropping-particle":"","parse-names":false,"suffix":""},{"dropping-particle":"","family":"Zimmer","given":"Andreas","non-dropping-particle":"","parse-names":false,"suffix":""},{"dropping-particle":"","family":"Roblegg","given":"Eva","non-dropping-particle":"","parse-names":false,"suffix":""}],"container-title":"Molecular Pharmaceutics","id":"ITEM-1","issued":{"date-parts":[["2014"]]},"page":"808-818","title":"Development of an advanced intestinal in vitro triple culture permeability model to study transport of nanoparticles","type":"article-journal","volume":"11"},"uris":["http://www.mendeley.com/documents/?uuid=3045e927-143e-41ae-b4a1-8be56ac09a10"]}],"mendeley":{"formattedCitation":"(Schimpel et al., 2014)","plainTextFormattedCitation":"(Schimpel et al., 2014)","previouslyFormattedCitation":"(Schimpel et al., 2014)"},"properties":{"noteIndex":0},"schema":"https://github.com/citation-style-language/schema/raw/master/csl-citation.json"}</w:instrText>
      </w:r>
      <w:r w:rsidR="00017D47" w:rsidRPr="00795222">
        <w:rPr>
          <w:rFonts w:asciiTheme="majorBidi" w:eastAsia="Calibri" w:hAnsiTheme="majorBidi" w:cstheme="majorBidi"/>
          <w:sz w:val="24"/>
          <w:szCs w:val="24"/>
          <w:lang w:val="en-US"/>
        </w:rPr>
        <w:fldChar w:fldCharType="separate"/>
      </w:r>
      <w:r w:rsidR="00017D47" w:rsidRPr="00795222">
        <w:rPr>
          <w:rFonts w:asciiTheme="majorBidi" w:eastAsia="Calibri" w:hAnsiTheme="majorBidi" w:cstheme="majorBidi"/>
          <w:noProof/>
          <w:sz w:val="24"/>
          <w:szCs w:val="24"/>
          <w:lang w:val="en-US"/>
        </w:rPr>
        <w:t>(Schimpel et al., 2014)</w:t>
      </w:r>
      <w:r w:rsidR="00017D47" w:rsidRPr="00795222">
        <w:rPr>
          <w:rFonts w:asciiTheme="majorBidi" w:eastAsia="Calibri" w:hAnsiTheme="majorBidi" w:cstheme="majorBidi"/>
          <w:sz w:val="24"/>
          <w:szCs w:val="24"/>
          <w:lang w:val="en-US"/>
        </w:rPr>
        <w:fldChar w:fldCharType="end"/>
      </w:r>
      <w:bookmarkEnd w:id="16"/>
    </w:p>
    <w:p w14:paraId="5BCF4E12" w14:textId="7697C7EE" w:rsidR="00EC5909" w:rsidRPr="00795222" w:rsidRDefault="008A068B" w:rsidP="00657F6C">
      <w:pPr>
        <w:spacing w:line="360" w:lineRule="auto"/>
        <w:jc w:val="both"/>
        <w:rPr>
          <w:rFonts w:asciiTheme="majorBidi" w:eastAsia="Calibri" w:hAnsiTheme="majorBidi" w:cstheme="majorBidi"/>
          <w:sz w:val="24"/>
          <w:szCs w:val="24"/>
          <w:lang w:val="en-US"/>
        </w:rPr>
      </w:pPr>
      <w:r w:rsidRPr="00795222">
        <w:rPr>
          <w:rFonts w:asciiTheme="majorBidi" w:eastAsia="Calibri" w:hAnsiTheme="majorBidi" w:cstheme="majorBidi"/>
          <w:sz w:val="24"/>
          <w:szCs w:val="24"/>
          <w:lang w:val="en-US"/>
        </w:rPr>
        <w:t>The p</w:t>
      </w:r>
      <w:r w:rsidR="002F4C2F" w:rsidRPr="00795222">
        <w:rPr>
          <w:rFonts w:asciiTheme="majorBidi" w:eastAsia="Calibri" w:hAnsiTheme="majorBidi" w:cstheme="majorBidi"/>
          <w:sz w:val="24"/>
          <w:szCs w:val="24"/>
          <w:lang w:val="en-US"/>
        </w:rPr>
        <w:t>ermeation</w:t>
      </w:r>
      <w:r w:rsidRPr="00795222">
        <w:rPr>
          <w:rFonts w:asciiTheme="majorBidi" w:eastAsia="Calibri" w:hAnsiTheme="majorBidi" w:cstheme="majorBidi"/>
          <w:sz w:val="24"/>
          <w:szCs w:val="24"/>
          <w:lang w:val="en-US"/>
        </w:rPr>
        <w:t xml:space="preserve"> of DRV</w:t>
      </w:r>
      <w:r w:rsidR="002F4C2F" w:rsidRPr="00795222">
        <w:rPr>
          <w:rFonts w:asciiTheme="majorBidi" w:eastAsia="Calibri" w:hAnsiTheme="majorBidi" w:cstheme="majorBidi"/>
          <w:sz w:val="24"/>
          <w:szCs w:val="24"/>
          <w:lang w:val="en-US"/>
        </w:rPr>
        <w:t xml:space="preserve"> in both apical-to-basolateral and basolateral-to-apical directions was assessed. The results in </w:t>
      </w:r>
      <w:r w:rsidR="006278AD" w:rsidRPr="00795222">
        <w:rPr>
          <w:rFonts w:asciiTheme="majorBidi" w:eastAsia="Calibri" w:hAnsiTheme="majorBidi" w:cstheme="majorBidi"/>
          <w:sz w:val="24"/>
          <w:szCs w:val="24"/>
          <w:lang w:val="en-US"/>
        </w:rPr>
        <w:fldChar w:fldCharType="begin"/>
      </w:r>
      <w:r w:rsidR="006278AD" w:rsidRPr="00795222">
        <w:rPr>
          <w:rFonts w:asciiTheme="majorBidi" w:eastAsia="Calibri" w:hAnsiTheme="majorBidi" w:cstheme="majorBidi"/>
          <w:sz w:val="24"/>
          <w:szCs w:val="24"/>
          <w:lang w:val="en-US"/>
        </w:rPr>
        <w:instrText xml:space="preserve"> REF _Ref26262394 \h  \* MERGEFORMAT </w:instrText>
      </w:r>
      <w:r w:rsidR="006278AD" w:rsidRPr="00795222">
        <w:rPr>
          <w:rFonts w:asciiTheme="majorBidi" w:eastAsia="Calibri" w:hAnsiTheme="majorBidi" w:cstheme="majorBidi"/>
          <w:sz w:val="24"/>
          <w:szCs w:val="24"/>
          <w:lang w:val="en-US"/>
        </w:rPr>
      </w:r>
      <w:r w:rsidR="006278AD" w:rsidRPr="00795222">
        <w:rPr>
          <w:rFonts w:asciiTheme="majorBidi" w:eastAsia="Calibri" w:hAnsiTheme="majorBidi" w:cstheme="majorBidi"/>
          <w:sz w:val="24"/>
          <w:szCs w:val="24"/>
          <w:lang w:val="en-US"/>
        </w:rPr>
        <w:fldChar w:fldCharType="separate"/>
      </w:r>
      <w:r w:rsidR="002F4BD1" w:rsidRPr="00795222">
        <w:rPr>
          <w:rFonts w:asciiTheme="majorBidi" w:eastAsia="Calibri" w:hAnsiTheme="majorBidi" w:cstheme="majorBidi"/>
          <w:iCs/>
          <w:sz w:val="24"/>
          <w:szCs w:val="24"/>
          <w:lang w:val="en-US"/>
        </w:rPr>
        <w:t xml:space="preserve">Figure </w:t>
      </w:r>
      <w:r w:rsidR="006D4B16" w:rsidRPr="00795222">
        <w:rPr>
          <w:rFonts w:asciiTheme="majorBidi" w:eastAsia="Calibri" w:hAnsiTheme="majorBidi" w:cstheme="majorBidi"/>
          <w:iCs/>
          <w:sz w:val="24"/>
          <w:szCs w:val="24"/>
          <w:lang w:val="en-US"/>
        </w:rPr>
        <w:t>6</w:t>
      </w:r>
      <w:r w:rsidR="006278AD" w:rsidRPr="00795222">
        <w:rPr>
          <w:rFonts w:asciiTheme="majorBidi" w:eastAsia="Calibri" w:hAnsiTheme="majorBidi" w:cstheme="majorBidi"/>
          <w:sz w:val="24"/>
          <w:szCs w:val="24"/>
          <w:lang w:val="en-US"/>
        </w:rPr>
        <w:fldChar w:fldCharType="end"/>
      </w:r>
      <w:r w:rsidR="00DE56AA" w:rsidRPr="00795222">
        <w:rPr>
          <w:rFonts w:asciiTheme="majorBidi" w:eastAsia="Calibri" w:hAnsiTheme="majorBidi" w:cstheme="majorBidi"/>
          <w:sz w:val="24"/>
          <w:szCs w:val="24"/>
          <w:lang w:val="en-US"/>
        </w:rPr>
        <w:t>A</w:t>
      </w:r>
      <w:r w:rsidR="002F4C2F" w:rsidRPr="00795222">
        <w:rPr>
          <w:rFonts w:asciiTheme="majorBidi" w:eastAsia="Calibri" w:hAnsiTheme="majorBidi" w:cstheme="majorBidi"/>
          <w:sz w:val="24"/>
          <w:szCs w:val="24"/>
          <w:lang w:val="en-US"/>
        </w:rPr>
        <w:t xml:space="preserve"> </w:t>
      </w:r>
      <w:r w:rsidR="00B97B39" w:rsidRPr="00795222">
        <w:rPr>
          <w:rFonts w:asciiTheme="majorBidi" w:eastAsia="Calibri" w:hAnsiTheme="majorBidi" w:cstheme="majorBidi"/>
          <w:sz w:val="24"/>
          <w:szCs w:val="24"/>
          <w:lang w:val="en-US"/>
        </w:rPr>
        <w:t xml:space="preserve">show that </w:t>
      </w:r>
      <w:r w:rsidR="000D75BC" w:rsidRPr="00795222">
        <w:rPr>
          <w:rFonts w:asciiTheme="majorBidi" w:eastAsia="Calibri" w:hAnsiTheme="majorBidi" w:cstheme="majorBidi"/>
          <w:sz w:val="24"/>
          <w:szCs w:val="24"/>
          <w:lang w:val="en-US"/>
        </w:rPr>
        <w:t xml:space="preserve">LPHN70 </w:t>
      </w:r>
      <w:r w:rsidR="00B97B39" w:rsidRPr="00795222">
        <w:rPr>
          <w:rFonts w:asciiTheme="majorBidi" w:eastAsia="Calibri" w:hAnsiTheme="majorBidi" w:cstheme="majorBidi"/>
          <w:sz w:val="24"/>
          <w:szCs w:val="24"/>
          <w:lang w:val="en-US"/>
        </w:rPr>
        <w:t>displayed a significant increase in the Papp ratio of DRV equivalent to a 15</w:t>
      </w:r>
      <w:r w:rsidR="006A0BC9" w:rsidRPr="00795222">
        <w:rPr>
          <w:rFonts w:asciiTheme="majorBidi" w:eastAsia="Calibri" w:hAnsiTheme="majorBidi" w:cstheme="majorBidi"/>
          <w:sz w:val="24"/>
          <w:szCs w:val="24"/>
          <w:lang w:val="en-US"/>
        </w:rPr>
        <w:t xml:space="preserve"> </w:t>
      </w:r>
      <w:r w:rsidR="00B97B39" w:rsidRPr="00795222">
        <w:rPr>
          <w:rFonts w:asciiTheme="majorBidi" w:eastAsia="Calibri" w:hAnsiTheme="majorBidi" w:cstheme="majorBidi"/>
          <w:sz w:val="24"/>
          <w:szCs w:val="24"/>
          <w:lang w:val="en-US"/>
        </w:rPr>
        <w:t>%, 84</w:t>
      </w:r>
      <w:r w:rsidR="006A0BC9" w:rsidRPr="00795222">
        <w:rPr>
          <w:rFonts w:asciiTheme="majorBidi" w:eastAsia="Calibri" w:hAnsiTheme="majorBidi" w:cstheme="majorBidi"/>
          <w:sz w:val="24"/>
          <w:szCs w:val="24"/>
          <w:lang w:val="en-US"/>
        </w:rPr>
        <w:t xml:space="preserve"> </w:t>
      </w:r>
      <w:r w:rsidR="00B97B39" w:rsidRPr="00795222">
        <w:rPr>
          <w:rFonts w:asciiTheme="majorBidi" w:eastAsia="Calibri" w:hAnsiTheme="majorBidi" w:cstheme="majorBidi"/>
          <w:sz w:val="24"/>
          <w:szCs w:val="24"/>
          <w:lang w:val="en-US"/>
        </w:rPr>
        <w:t>% and 156</w:t>
      </w:r>
      <w:r w:rsidR="006A0BC9" w:rsidRPr="00795222">
        <w:rPr>
          <w:rFonts w:asciiTheme="majorBidi" w:eastAsia="Calibri" w:hAnsiTheme="majorBidi" w:cstheme="majorBidi"/>
          <w:sz w:val="24"/>
          <w:szCs w:val="24"/>
          <w:lang w:val="en-US"/>
        </w:rPr>
        <w:t xml:space="preserve"> </w:t>
      </w:r>
      <w:r w:rsidR="00B97B39" w:rsidRPr="00795222">
        <w:rPr>
          <w:rFonts w:asciiTheme="majorBidi" w:eastAsia="Calibri" w:hAnsiTheme="majorBidi" w:cstheme="majorBidi"/>
          <w:sz w:val="24"/>
          <w:szCs w:val="24"/>
          <w:lang w:val="en-US"/>
        </w:rPr>
        <w:t>% increase following a 2, 3 and 4 h incubation respectiv</w:t>
      </w:r>
      <w:r w:rsidR="00DE56AA" w:rsidRPr="00795222">
        <w:rPr>
          <w:rFonts w:asciiTheme="majorBidi" w:eastAsia="Calibri" w:hAnsiTheme="majorBidi" w:cstheme="majorBidi"/>
          <w:sz w:val="24"/>
          <w:szCs w:val="24"/>
          <w:lang w:val="en-US"/>
        </w:rPr>
        <w:t>ely.</w:t>
      </w:r>
      <w:r w:rsidR="002F4C2F" w:rsidRPr="00795222">
        <w:rPr>
          <w:rFonts w:asciiTheme="majorBidi" w:eastAsia="Calibri" w:hAnsiTheme="majorBidi" w:cstheme="majorBidi"/>
          <w:sz w:val="24"/>
          <w:szCs w:val="24"/>
          <w:lang w:val="en-US"/>
        </w:rPr>
        <w:t xml:space="preserve"> </w:t>
      </w:r>
      <w:r w:rsidR="00DE56AA" w:rsidRPr="00795222">
        <w:rPr>
          <w:rFonts w:asciiTheme="majorBidi" w:eastAsia="Calibri" w:hAnsiTheme="majorBidi" w:cstheme="majorBidi"/>
          <w:sz w:val="24"/>
          <w:szCs w:val="24"/>
          <w:lang w:val="en-US"/>
        </w:rPr>
        <w:t>L</w:t>
      </w:r>
      <w:r w:rsidR="002F4C2F" w:rsidRPr="00795222">
        <w:rPr>
          <w:rFonts w:asciiTheme="majorBidi" w:eastAsia="Calibri" w:hAnsiTheme="majorBidi" w:cstheme="majorBidi"/>
          <w:sz w:val="24"/>
          <w:szCs w:val="24"/>
          <w:lang w:val="en-US"/>
        </w:rPr>
        <w:t>ower DRV apparent oral absorption at all time-points when formulated into LPHN</w:t>
      </w:r>
      <w:r w:rsidR="000D75BC" w:rsidRPr="00795222">
        <w:rPr>
          <w:rFonts w:asciiTheme="majorBidi" w:eastAsia="Calibri" w:hAnsiTheme="majorBidi" w:cstheme="majorBidi"/>
          <w:sz w:val="24"/>
          <w:szCs w:val="24"/>
          <w:lang w:val="en-US"/>
        </w:rPr>
        <w:t>90</w:t>
      </w:r>
      <w:r w:rsidR="00B97B39" w:rsidRPr="00795222">
        <w:rPr>
          <w:rFonts w:asciiTheme="majorBidi" w:eastAsia="Calibri" w:hAnsiTheme="majorBidi" w:cstheme="majorBidi"/>
          <w:sz w:val="24"/>
          <w:szCs w:val="24"/>
          <w:lang w:val="en-US"/>
        </w:rPr>
        <w:t xml:space="preserve"> (</w:t>
      </w:r>
      <w:r w:rsidR="00B97B39" w:rsidRPr="00795222">
        <w:rPr>
          <w:rFonts w:asciiTheme="majorBidi" w:eastAsia="Calibri" w:hAnsiTheme="majorBidi" w:cstheme="majorBidi"/>
          <w:sz w:val="24"/>
          <w:szCs w:val="24"/>
          <w:lang w:val="en-US"/>
        </w:rPr>
        <w:fldChar w:fldCharType="begin"/>
      </w:r>
      <w:r w:rsidR="00B97B39" w:rsidRPr="00795222">
        <w:rPr>
          <w:rFonts w:asciiTheme="majorBidi" w:eastAsia="Calibri" w:hAnsiTheme="majorBidi" w:cstheme="majorBidi"/>
          <w:sz w:val="24"/>
          <w:szCs w:val="24"/>
          <w:lang w:val="en-US"/>
        </w:rPr>
        <w:instrText xml:space="preserve"> REF _Ref26262394 \h  \* MERGEFORMAT </w:instrText>
      </w:r>
      <w:r w:rsidR="00B97B39" w:rsidRPr="00795222">
        <w:rPr>
          <w:rFonts w:asciiTheme="majorBidi" w:eastAsia="Calibri" w:hAnsiTheme="majorBidi" w:cstheme="majorBidi"/>
          <w:sz w:val="24"/>
          <w:szCs w:val="24"/>
          <w:lang w:val="en-US"/>
        </w:rPr>
      </w:r>
      <w:r w:rsidR="00B97B39" w:rsidRPr="00795222">
        <w:rPr>
          <w:rFonts w:asciiTheme="majorBidi" w:eastAsia="Calibri" w:hAnsiTheme="majorBidi" w:cstheme="majorBidi"/>
          <w:sz w:val="24"/>
          <w:szCs w:val="24"/>
          <w:lang w:val="en-US"/>
        </w:rPr>
        <w:fldChar w:fldCharType="separate"/>
      </w:r>
      <w:r w:rsidR="002F4BD1" w:rsidRPr="00795222">
        <w:rPr>
          <w:rFonts w:asciiTheme="majorBidi" w:eastAsia="Calibri" w:hAnsiTheme="majorBidi" w:cstheme="majorBidi"/>
          <w:iCs/>
          <w:sz w:val="24"/>
          <w:szCs w:val="24"/>
          <w:lang w:val="en-US"/>
        </w:rPr>
        <w:t xml:space="preserve">Figure </w:t>
      </w:r>
      <w:r w:rsidR="006D4B16" w:rsidRPr="00795222">
        <w:rPr>
          <w:rFonts w:asciiTheme="majorBidi" w:eastAsia="Calibri" w:hAnsiTheme="majorBidi" w:cstheme="majorBidi"/>
          <w:iCs/>
          <w:sz w:val="24"/>
          <w:szCs w:val="24"/>
          <w:lang w:val="en-US"/>
        </w:rPr>
        <w:t>6</w:t>
      </w:r>
      <w:r w:rsidR="00B97B39" w:rsidRPr="00795222">
        <w:rPr>
          <w:rFonts w:asciiTheme="majorBidi" w:eastAsia="Calibri" w:hAnsiTheme="majorBidi" w:cstheme="majorBidi"/>
          <w:sz w:val="24"/>
          <w:szCs w:val="24"/>
          <w:lang w:val="en-US"/>
        </w:rPr>
        <w:fldChar w:fldCharType="end"/>
      </w:r>
      <w:r w:rsidR="00B97B39" w:rsidRPr="00795222">
        <w:rPr>
          <w:rFonts w:asciiTheme="majorBidi" w:eastAsia="Calibri" w:hAnsiTheme="majorBidi" w:cstheme="majorBidi"/>
          <w:sz w:val="24"/>
          <w:szCs w:val="24"/>
          <w:lang w:val="en-US"/>
        </w:rPr>
        <w:t>B)</w:t>
      </w:r>
      <w:r w:rsidR="002F4C2F" w:rsidRPr="00795222">
        <w:rPr>
          <w:rFonts w:asciiTheme="majorBidi" w:eastAsia="Calibri" w:hAnsiTheme="majorBidi" w:cstheme="majorBidi"/>
          <w:sz w:val="24"/>
          <w:szCs w:val="24"/>
          <w:lang w:val="en-US"/>
        </w:rPr>
        <w:t xml:space="preserve"> and LPHN</w:t>
      </w:r>
      <w:r w:rsidR="000D75BC" w:rsidRPr="00795222">
        <w:rPr>
          <w:rFonts w:asciiTheme="majorBidi" w:eastAsia="Calibri" w:hAnsiTheme="majorBidi" w:cstheme="majorBidi"/>
          <w:sz w:val="24"/>
          <w:szCs w:val="24"/>
          <w:lang w:val="en-US"/>
        </w:rPr>
        <w:t>100</w:t>
      </w:r>
      <w:r w:rsidR="00B97B39" w:rsidRPr="00795222">
        <w:rPr>
          <w:rFonts w:asciiTheme="majorBidi" w:eastAsia="Calibri" w:hAnsiTheme="majorBidi" w:cstheme="majorBidi"/>
          <w:sz w:val="24"/>
          <w:szCs w:val="24"/>
          <w:lang w:val="en-US"/>
        </w:rPr>
        <w:t xml:space="preserve"> (</w:t>
      </w:r>
      <w:r w:rsidR="00B97B39" w:rsidRPr="00795222">
        <w:rPr>
          <w:rFonts w:asciiTheme="majorBidi" w:eastAsia="Calibri" w:hAnsiTheme="majorBidi" w:cstheme="majorBidi"/>
          <w:sz w:val="24"/>
          <w:szCs w:val="24"/>
          <w:lang w:val="en-US"/>
        </w:rPr>
        <w:fldChar w:fldCharType="begin"/>
      </w:r>
      <w:r w:rsidR="00B97B39" w:rsidRPr="00795222">
        <w:rPr>
          <w:rFonts w:asciiTheme="majorBidi" w:eastAsia="Calibri" w:hAnsiTheme="majorBidi" w:cstheme="majorBidi"/>
          <w:sz w:val="24"/>
          <w:szCs w:val="24"/>
          <w:lang w:val="en-US"/>
        </w:rPr>
        <w:instrText xml:space="preserve"> REF _Ref26262394 \h  \* MERGEFORMAT </w:instrText>
      </w:r>
      <w:r w:rsidR="00B97B39" w:rsidRPr="00795222">
        <w:rPr>
          <w:rFonts w:asciiTheme="majorBidi" w:eastAsia="Calibri" w:hAnsiTheme="majorBidi" w:cstheme="majorBidi"/>
          <w:sz w:val="24"/>
          <w:szCs w:val="24"/>
          <w:lang w:val="en-US"/>
        </w:rPr>
      </w:r>
      <w:r w:rsidR="00B97B39" w:rsidRPr="00795222">
        <w:rPr>
          <w:rFonts w:asciiTheme="majorBidi" w:eastAsia="Calibri" w:hAnsiTheme="majorBidi" w:cstheme="majorBidi"/>
          <w:sz w:val="24"/>
          <w:szCs w:val="24"/>
          <w:lang w:val="en-US"/>
        </w:rPr>
        <w:fldChar w:fldCharType="separate"/>
      </w:r>
      <w:r w:rsidR="002F4BD1" w:rsidRPr="00795222">
        <w:rPr>
          <w:rFonts w:asciiTheme="majorBidi" w:eastAsia="Calibri" w:hAnsiTheme="majorBidi" w:cstheme="majorBidi"/>
          <w:iCs/>
          <w:sz w:val="24"/>
          <w:szCs w:val="24"/>
          <w:lang w:val="en-US"/>
        </w:rPr>
        <w:t xml:space="preserve">Figure </w:t>
      </w:r>
      <w:r w:rsidR="006D4B16" w:rsidRPr="00795222">
        <w:rPr>
          <w:rFonts w:asciiTheme="majorBidi" w:eastAsia="Calibri" w:hAnsiTheme="majorBidi" w:cstheme="majorBidi"/>
          <w:iCs/>
          <w:sz w:val="24"/>
          <w:szCs w:val="24"/>
          <w:lang w:val="en-US"/>
        </w:rPr>
        <w:t>6</w:t>
      </w:r>
      <w:r w:rsidR="00B97B39" w:rsidRPr="00795222">
        <w:rPr>
          <w:rFonts w:asciiTheme="majorBidi" w:eastAsia="Calibri" w:hAnsiTheme="majorBidi" w:cstheme="majorBidi"/>
          <w:sz w:val="24"/>
          <w:szCs w:val="24"/>
          <w:lang w:val="en-US"/>
        </w:rPr>
        <w:fldChar w:fldCharType="end"/>
      </w:r>
      <w:r w:rsidR="00B97B39" w:rsidRPr="00795222">
        <w:rPr>
          <w:rFonts w:asciiTheme="majorBidi" w:eastAsia="Calibri" w:hAnsiTheme="majorBidi" w:cstheme="majorBidi"/>
          <w:sz w:val="24"/>
          <w:szCs w:val="24"/>
          <w:lang w:val="en-US"/>
        </w:rPr>
        <w:t>C)</w:t>
      </w:r>
      <w:r w:rsidR="002F4C2F" w:rsidRPr="00795222">
        <w:rPr>
          <w:rFonts w:asciiTheme="majorBidi" w:eastAsia="Calibri" w:hAnsiTheme="majorBidi" w:cstheme="majorBidi"/>
          <w:sz w:val="24"/>
          <w:szCs w:val="24"/>
          <w:lang w:val="en-US"/>
        </w:rPr>
        <w:t xml:space="preserve"> compared to the equivalent aqueous preparation</w:t>
      </w:r>
      <w:r w:rsidR="00890411" w:rsidRPr="00795222">
        <w:rPr>
          <w:rFonts w:asciiTheme="majorBidi" w:eastAsia="Calibri" w:hAnsiTheme="majorBidi" w:cstheme="majorBidi"/>
          <w:sz w:val="24"/>
          <w:szCs w:val="24"/>
          <w:lang w:val="en-US"/>
        </w:rPr>
        <w:t xml:space="preserve"> was noted</w:t>
      </w:r>
      <w:r w:rsidR="002F4C2F" w:rsidRPr="00795222">
        <w:rPr>
          <w:rFonts w:asciiTheme="majorBidi" w:eastAsia="Calibri" w:hAnsiTheme="majorBidi" w:cstheme="majorBidi"/>
          <w:sz w:val="24"/>
          <w:szCs w:val="24"/>
          <w:lang w:val="en-US"/>
        </w:rPr>
        <w:t xml:space="preserve">. The observed increase in </w:t>
      </w:r>
      <w:r w:rsidR="002F4C2F" w:rsidRPr="00795222">
        <w:rPr>
          <w:rFonts w:asciiTheme="majorBidi" w:eastAsia="Calibri" w:hAnsiTheme="majorBidi" w:cstheme="majorBidi"/>
          <w:i/>
          <w:iCs/>
          <w:sz w:val="24"/>
          <w:szCs w:val="24"/>
          <w:lang w:val="en-US"/>
        </w:rPr>
        <w:t>P</w:t>
      </w:r>
      <w:r w:rsidR="002F4C2F" w:rsidRPr="00795222">
        <w:rPr>
          <w:rFonts w:asciiTheme="majorBidi" w:eastAsia="Calibri" w:hAnsiTheme="majorBidi" w:cstheme="majorBidi"/>
          <w:sz w:val="24"/>
          <w:szCs w:val="24"/>
          <w:lang w:val="en-US"/>
        </w:rPr>
        <w:t>app ratio for LPHN</w:t>
      </w:r>
      <w:r w:rsidR="000D75BC" w:rsidRPr="00795222">
        <w:rPr>
          <w:rFonts w:asciiTheme="majorBidi" w:eastAsia="Calibri" w:hAnsiTheme="majorBidi" w:cstheme="majorBidi"/>
          <w:sz w:val="24"/>
          <w:szCs w:val="24"/>
          <w:lang w:val="en-US"/>
        </w:rPr>
        <w:t>70</w:t>
      </w:r>
      <w:r w:rsidR="002F4C2F" w:rsidRPr="00795222">
        <w:rPr>
          <w:rFonts w:asciiTheme="majorBidi" w:eastAsia="Calibri" w:hAnsiTheme="majorBidi" w:cstheme="majorBidi"/>
          <w:sz w:val="24"/>
          <w:szCs w:val="24"/>
          <w:lang w:val="en-US"/>
        </w:rPr>
        <w:t xml:space="preserve"> appears to be facilitated by an increase in A&gt;B permeation. Conversely, the reduced </w:t>
      </w:r>
      <w:r w:rsidR="002F4C2F" w:rsidRPr="00795222">
        <w:rPr>
          <w:rFonts w:asciiTheme="majorBidi" w:eastAsia="Calibri" w:hAnsiTheme="majorBidi" w:cstheme="majorBidi"/>
          <w:i/>
          <w:iCs/>
          <w:sz w:val="24"/>
          <w:szCs w:val="24"/>
          <w:lang w:val="en-US"/>
        </w:rPr>
        <w:t>P</w:t>
      </w:r>
      <w:r w:rsidR="002F4C2F" w:rsidRPr="00795222">
        <w:rPr>
          <w:rFonts w:asciiTheme="majorBidi" w:eastAsia="Calibri" w:hAnsiTheme="majorBidi" w:cstheme="majorBidi"/>
          <w:sz w:val="24"/>
          <w:szCs w:val="24"/>
          <w:lang w:val="en-US"/>
        </w:rPr>
        <w:t>app ratio for LPHN</w:t>
      </w:r>
      <w:r w:rsidR="000D75BC" w:rsidRPr="00795222">
        <w:rPr>
          <w:rFonts w:asciiTheme="majorBidi" w:eastAsia="Calibri" w:hAnsiTheme="majorBidi" w:cstheme="majorBidi"/>
          <w:sz w:val="24"/>
          <w:szCs w:val="24"/>
          <w:lang w:val="en-US"/>
        </w:rPr>
        <w:t>90</w:t>
      </w:r>
      <w:r w:rsidR="002F4C2F" w:rsidRPr="00795222">
        <w:rPr>
          <w:rFonts w:asciiTheme="majorBidi" w:eastAsia="Calibri" w:hAnsiTheme="majorBidi" w:cstheme="majorBidi"/>
          <w:sz w:val="24"/>
          <w:szCs w:val="24"/>
          <w:lang w:val="en-US"/>
        </w:rPr>
        <w:t xml:space="preserve"> and </w:t>
      </w:r>
      <w:r w:rsidR="000D75BC" w:rsidRPr="00795222">
        <w:rPr>
          <w:rFonts w:asciiTheme="majorBidi" w:eastAsia="Calibri" w:hAnsiTheme="majorBidi" w:cstheme="majorBidi"/>
          <w:sz w:val="24"/>
          <w:szCs w:val="24"/>
          <w:lang w:val="en-US"/>
        </w:rPr>
        <w:t xml:space="preserve">LPHN100 </w:t>
      </w:r>
      <w:r w:rsidR="002F4C2F" w:rsidRPr="00795222">
        <w:rPr>
          <w:rFonts w:asciiTheme="majorBidi" w:eastAsia="Calibri" w:hAnsiTheme="majorBidi" w:cstheme="majorBidi"/>
          <w:sz w:val="24"/>
          <w:szCs w:val="24"/>
          <w:lang w:val="en-US"/>
        </w:rPr>
        <w:t xml:space="preserve">appears to be primarily driven by an increased B&gt;A permeation (efflux) </w:t>
      </w:r>
      <w:r w:rsidR="0094117D" w:rsidRPr="00795222">
        <w:rPr>
          <w:rFonts w:asciiTheme="majorBidi" w:eastAsia="Calibri" w:hAnsiTheme="majorBidi" w:cstheme="majorBidi"/>
          <w:sz w:val="24"/>
          <w:szCs w:val="24"/>
          <w:lang w:val="en-US"/>
        </w:rPr>
        <w:t>Figure S</w:t>
      </w:r>
      <w:r w:rsidR="00EA474E" w:rsidRPr="00795222">
        <w:rPr>
          <w:rFonts w:asciiTheme="majorBidi" w:eastAsia="Calibri" w:hAnsiTheme="majorBidi" w:cstheme="majorBidi"/>
          <w:sz w:val="24"/>
          <w:szCs w:val="24"/>
          <w:lang w:val="en-US"/>
        </w:rPr>
        <w:t>I</w:t>
      </w:r>
      <w:r w:rsidR="0094117D" w:rsidRPr="00795222">
        <w:rPr>
          <w:rFonts w:asciiTheme="majorBidi" w:eastAsia="Calibri" w:hAnsiTheme="majorBidi" w:cstheme="majorBidi"/>
          <w:sz w:val="24"/>
          <w:szCs w:val="24"/>
          <w:lang w:val="en-US"/>
        </w:rPr>
        <w:t>1</w:t>
      </w:r>
      <w:r w:rsidR="002F4C2F" w:rsidRPr="00795222">
        <w:rPr>
          <w:rFonts w:asciiTheme="majorBidi" w:eastAsia="Calibri" w:hAnsiTheme="majorBidi" w:cstheme="majorBidi"/>
          <w:sz w:val="24"/>
          <w:szCs w:val="24"/>
          <w:lang w:val="en-US"/>
        </w:rPr>
        <w:t>). Previous studies have demonstrated enhancements in the oral bioavailability of poorly water-soluble drugs when co-formulated with lipids</w:t>
      </w:r>
      <w:r w:rsidR="00DE56AA" w:rsidRPr="00795222">
        <w:rPr>
          <w:rFonts w:asciiTheme="majorBidi" w:eastAsia="Calibri" w:hAnsiTheme="majorBidi" w:cstheme="majorBidi"/>
          <w:sz w:val="24"/>
          <w:szCs w:val="24"/>
          <w:lang w:val="en-US"/>
        </w:rPr>
        <w:t>.</w:t>
      </w:r>
      <w:r w:rsidR="002F4C2F" w:rsidRPr="00795222">
        <w:rPr>
          <w:rFonts w:asciiTheme="majorBidi" w:eastAsia="Calibri" w:hAnsiTheme="majorBidi" w:cstheme="majorBidi"/>
          <w:sz w:val="24"/>
          <w:szCs w:val="24"/>
          <w:lang w:val="en-US"/>
        </w:rPr>
        <w:fldChar w:fldCharType="begin" w:fldLock="1"/>
      </w:r>
      <w:r w:rsidR="008E225E" w:rsidRPr="00795222">
        <w:rPr>
          <w:rFonts w:asciiTheme="majorBidi" w:eastAsia="Calibri" w:hAnsiTheme="majorBidi" w:cstheme="majorBidi"/>
          <w:sz w:val="24"/>
          <w:szCs w:val="24"/>
          <w:lang w:val="en-US"/>
        </w:rPr>
        <w:instrText>ADDIN CSL_CITATION {"citationItems":[{"id":"ITEM-1","itemData":{"DOI":"10.1021/acs.molpharmaceut.7b00660","ISSN":"15438392","abstract":"Lipid based formulations (LBFs) are a promising formulation strategy for many poorly water-soluble drugs and have been shown previously to enhance the oral exposure of CP-532,623, an oral cholesteryl ester transfer protein inhibitor. In the current study, an in vitro lipid digestion model was used to probe the relationship between drug solubilization and supersaturation on in vitro dispersion and digestion of LBF containing long chain (LC) lipids and drug absorption in vivo. After in vitro digestion of LBF based on LC lipids, the proportion of CP-532,623 maintained in the solubilized state in the aqueous phase of the digest was highest in formulations containing Kolliphor RH 40, and in most cases outperformed equivalent formulations based on MC lipids. Subsequent administration of the LC-LBFs to beagle dogs resulted in reasonable correlation between concentrations of CP-532,623 measured in the aqueous phase of the in vitro digest after 30 min digestion and in vivo exposure (AUC); however, the LC-LBFs required greater in vitro drug solubilization to elicit similar in vivo exposure when compared to previous studies with MC-LBF. Although post digestion solubilization was enhanced in LC-LBF compared to MC-LBF, equilibrium solubility studies of CP-532,623 in the aqueous phase isolated from blank lipid digestion experiments revealed that equilibrium solubility was also higher, and therefore supersaturation lower. A revised correlation based on supersaturation in the digest aqueous phase and drug absorption was therefore generated. A single, linear correlation was evident for both LC- and MC-LBF containing Kolliphor RH 40, but this did not extend to formulations based on other surfactants. The data suggest that solubilization and supersaturation are significant drivers of drug absorption in vivo, and that across formulations with similar formulation composition good correlation is evident between in vitro and in vivo measures. However, across dissimilar formulations, solubilization and supersaturation alone are not sufficient to explain drug exposure and other factors also likely play a role.","author":[{"dropping-particle":"","family":"McEvoy","given":"Claire L.","non-dropping-particle":"","parse-names":false,"suffix":""},{"dropping-particle":"","family":"Trevaskis","given":"Natalie L.","non-dropping-particle":"","parse-names":false,"suffix":""},{"dropping-particle":"","family":"Feeney","given":"Orlagh M.","non-dropping-particle":"","parse-names":false,"suffix":""},{"dropping-particle":"","family":"Edwards","given":"Glenn A.","non-dropping-particle":"","parse-names":false,"suffix":""},{"dropping-particle":"","family":"Perlman","given":"Michael E.","non-dropping-particle":"","parse-names":false,"suffix":""},{"dropping-particle":"","family":"Ambler","given":"Catherine M.","non-dropping-particle":"","parse-names":false,"suffix":""},{"dropping-particle":"","family":"Porter","given":"Christopher J.H.","non-dropping-particle":"","parse-names":false,"suffix":""}],"container-title":"Molecular Pharmaceutics","id":"ITEM-1","issue":"12","issued":{"date-parts":[["2017","12"]]},"page":"4525-4538","publisher":"American Chemical Society","title":"Correlating in Vitro Solubilization and Supersaturation Profiles with in Vivo Exposure for Lipid Based Formulations of the CETP Inhibitor CP-532,623","type":"article-journal","volume":"14"},"uris":["http://www.mendeley.com/documents/?uuid=f6aad902-33b2-326f-9aca-99007ef066a8","http://www.mendeley.com/documents/?uuid=7a8ac07b-3bae-41ed-9c34-77454ea7c781","http://www.mendeley.com/documents/?uuid=564ce012-e5f1-4525-ab5e-c474dd8645ac","http://www.mendeley.com/documents/?uuid=f6631f4d-5e25-4743-ac58-dbe3f2aa6b6f"]},{"id":"ITEM-2","itemData":{"DOI":"10.1208/s12249-012-9787-2","ISSN":"15309932","abstract":"Lipid-based drug carriers are likely to have influence on bioavailability through enhanced solubilization of the drug in the gastrointestinal tract. The study was designed to investigate the lipid formulation digestibility in the simulated gastro intestinal media. Fenofibrate was formulated in representative Type II, IIIA, IIIB and IV self-emulsifying/microemulsifying lipid delivery systems (SEDDS and SMEDDS designed for oral administration) using various medium-chain glyceride components, non-ionic surfactants and cosolvents as excipients. Soybean oil was used only as an example of long-chain triglycerides to compare the effects of formulation with their counterparts. The formulations were subjected to in vitro digestion specifically to predict the fate of the drug in the gastro intestinal tract after exposure of the formulation to pancreatic enzymes and bile. In vitro digestion experiments were carried out using a pH-stat maintained at pH 7.5 for 30 min using intestinal fluids simulating the fed and fasted states. The digestion rate was faster and almost completed in Type II and IIIA systems. Most of the surfactants used in the studies are digestible. However, the high concentration of surfactant and/or cosolvent used in Type IIIB or IV systems lowered the rate of digestion. The digestion of medium-chain triglycerides was faster than long-chain triglycerides, but kept comparatively less drug in the post digestion products. Medium-chain mixed glycerides are good solvents for fenofibrate as rapidly digested but to improve fenofibrate concentration in post digestion products the use of long-chain mixed glycerides are suggested for further investigations. © 2012 American Association of Pharmaceutical Scientists.","author":[{"dropping-particle":"","family":"Mohsin","given":"Kazi","non-dropping-particle":"","parse-names":false,"suffix":""}],"container-title":"AAPS PharmSciTech","id":"ITEM-2","issue":"2","issued":{"date-parts":[["2012","6"]]},"page":"637-646","title":"Design of lipid-based formulations for oral administration of poorly water-soluble drug fenofibrate: Effects of digestion","type":"article-journal","volume":"13"},"uris":["http://www.mendeley.com/documents/?uuid=86262638-ad31-36ca-be49-cfe8f68986a1","http://www.mendeley.com/documents/?uuid=9cc76f1b-4ee7-4918-8432-32d35568bb5b","http://www.mendeley.com/documents/?uuid=cf2fded0-1771-4f45-9f69-0a24f1b10ced","http://www.mendeley.com/documents/?uuid=2b49eac9-6ce8-4179-bd58-0df3890d6ea4"]},{"id":"ITEM-3","itemData":{"author":[{"dropping-particle":"","family":"Lee M. Tatham, Alison C. Savage, Andrew Dwyer, Marco Siccardi, Trevor Scott, Manoli Vourvahis","given":"Steve P. Rannard &amp; Andrew Owen","non-dropping-particle":"","parse-names":false,"suffix":""}],"container-title":"Conference On Retroviruses And Opportunistic Infections (CROI) - Poster 482","id":"ITEM-3","issued":{"date-parts":[["2018"]]},"publisher-place":"Boston, USA","title":"Maraviroc Solid Drug Nanoparticles with Improved Oral Pharmacokinetics","type":"paper-conference"},"uris":["http://www.mendeley.com/documents/?uuid=5bd6b767-6477-443f-9995-587729fc851c","http://www.mendeley.com/documents/?uuid=b2a2f290-2fea-489c-934e-bca91147599d","http://www.mendeley.com/documents/?uuid=0d2ea0d0-ff52-460d-98e2-b6ca2fc57efc","http://www.mendeley.com/documents/?uuid=1658852a-5ba8-48f6-896c-6eaec7234582"]}],"mendeley":{"formattedCitation":"(Lee M. Tatham, Alison C. Savage, Andrew Dwyer, Marco Siccardi, Trevor Scott, Manoli Vourvahis, 2018; McEvoy et al., 2017; Mohsin, 2012)","plainTextFormattedCitation":"(Lee M. Tatham, Alison C. Savage, Andrew Dwyer, Marco Siccardi, Trevor Scott, Manoli Vourvahis, 2018; McEvoy et al., 2017; Mohsin, 2012)","previouslyFormattedCitation":"(Lee M. Tatham, Alison C. Savage, Andrew Dwyer, Marco Siccardi, Trevor Scott, Manoli Vourvahis, 2018; McEvoy et al., 2017; Mohsin, 2012)"},"properties":{"noteIndex":0},"schema":"https://github.com/citation-style-language/schema/raw/master/csl-citation.json"}</w:instrText>
      </w:r>
      <w:r w:rsidR="002F4C2F" w:rsidRPr="00795222">
        <w:rPr>
          <w:rFonts w:asciiTheme="majorBidi" w:eastAsia="Calibri" w:hAnsiTheme="majorBidi" w:cstheme="majorBidi"/>
          <w:sz w:val="24"/>
          <w:szCs w:val="24"/>
          <w:vertAlign w:val="superscript"/>
          <w:lang w:val="en-US"/>
        </w:rPr>
        <w:fldChar w:fldCharType="separate"/>
      </w:r>
      <w:r w:rsidR="00FF41FF" w:rsidRPr="00795222">
        <w:rPr>
          <w:rFonts w:asciiTheme="majorBidi" w:eastAsia="Calibri" w:hAnsiTheme="majorBidi" w:cstheme="majorBidi"/>
          <w:noProof/>
          <w:sz w:val="24"/>
          <w:szCs w:val="24"/>
          <w:lang w:val="en-US"/>
        </w:rPr>
        <w:t>(Lee M. Tatham, Alison C. Savage, Andrew Dwyer, Marco Siccardi, Trevor Scott, Manoli Vourvahis, 2018; McEvoy et al., 2017; Mohsin, 2012)</w:t>
      </w:r>
      <w:r w:rsidR="002F4C2F" w:rsidRPr="00795222">
        <w:rPr>
          <w:rFonts w:asciiTheme="majorBidi" w:eastAsia="Calibri" w:hAnsiTheme="majorBidi" w:cstheme="majorBidi"/>
          <w:sz w:val="24"/>
          <w:szCs w:val="24"/>
          <w:lang w:val="en-US"/>
        </w:rPr>
        <w:fldChar w:fldCharType="end"/>
      </w:r>
      <w:r w:rsidR="002F4C2F" w:rsidRPr="00795222">
        <w:rPr>
          <w:rFonts w:asciiTheme="majorBidi" w:eastAsia="Calibri" w:hAnsiTheme="majorBidi" w:cstheme="majorBidi"/>
          <w:sz w:val="24"/>
          <w:szCs w:val="24"/>
          <w:lang w:val="en-US"/>
        </w:rPr>
        <w:t xml:space="preserve"> It is possible that the greater </w:t>
      </w:r>
      <w:r w:rsidR="00E82AF3" w:rsidRPr="00795222">
        <w:rPr>
          <w:rFonts w:asciiTheme="majorBidi" w:eastAsia="Calibri" w:hAnsiTheme="majorBidi" w:cstheme="majorBidi"/>
          <w:sz w:val="24"/>
          <w:szCs w:val="24"/>
          <w:lang w:val="en-US"/>
        </w:rPr>
        <w:t>mass</w:t>
      </w:r>
      <w:r w:rsidR="002F4C2F" w:rsidRPr="00795222">
        <w:rPr>
          <w:rFonts w:asciiTheme="majorBidi" w:eastAsia="Calibri" w:hAnsiTheme="majorBidi" w:cstheme="majorBidi"/>
          <w:sz w:val="24"/>
          <w:szCs w:val="24"/>
          <w:lang w:val="en-US"/>
        </w:rPr>
        <w:t xml:space="preserve"> percentage of </w:t>
      </w:r>
      <w:r w:rsidR="0016399F" w:rsidRPr="00795222">
        <w:rPr>
          <w:rFonts w:asciiTheme="majorBidi" w:eastAsia="Calibri" w:hAnsiTheme="majorBidi" w:cstheme="majorBidi"/>
          <w:sz w:val="24"/>
          <w:szCs w:val="24"/>
          <w:lang w:val="en-US"/>
        </w:rPr>
        <w:t>SBL</w:t>
      </w:r>
      <w:r w:rsidR="002F4C2F" w:rsidRPr="00795222">
        <w:rPr>
          <w:rFonts w:asciiTheme="majorBidi" w:eastAsia="Calibri" w:hAnsiTheme="majorBidi" w:cstheme="majorBidi"/>
          <w:sz w:val="24"/>
          <w:szCs w:val="24"/>
          <w:lang w:val="en-US"/>
        </w:rPr>
        <w:t xml:space="preserve"> used in LPHN</w:t>
      </w:r>
      <w:r w:rsidR="000D75BC" w:rsidRPr="00795222">
        <w:rPr>
          <w:rFonts w:asciiTheme="majorBidi" w:eastAsia="Calibri" w:hAnsiTheme="majorBidi" w:cstheme="majorBidi"/>
          <w:sz w:val="24"/>
          <w:szCs w:val="24"/>
          <w:lang w:val="en-US"/>
        </w:rPr>
        <w:t>70</w:t>
      </w:r>
      <w:r w:rsidR="002F4C2F" w:rsidRPr="00795222">
        <w:rPr>
          <w:rFonts w:asciiTheme="majorBidi" w:eastAsia="Calibri" w:hAnsiTheme="majorBidi" w:cstheme="majorBidi"/>
          <w:sz w:val="24"/>
          <w:szCs w:val="24"/>
          <w:lang w:val="en-US"/>
        </w:rPr>
        <w:t xml:space="preserve"> formulation permitted greater solubility enhancement and subsequent permeation of DRV in the triple culture model. However, the effect of reducing Brij in LPHN</w:t>
      </w:r>
      <w:r w:rsidR="000D75BC" w:rsidRPr="00795222">
        <w:rPr>
          <w:rFonts w:asciiTheme="majorBidi" w:eastAsia="Calibri" w:hAnsiTheme="majorBidi" w:cstheme="majorBidi"/>
          <w:sz w:val="24"/>
          <w:szCs w:val="24"/>
          <w:lang w:val="en-US"/>
        </w:rPr>
        <w:t>70</w:t>
      </w:r>
      <w:r w:rsidR="002F4C2F" w:rsidRPr="00795222">
        <w:rPr>
          <w:rFonts w:asciiTheme="majorBidi" w:eastAsia="Calibri" w:hAnsiTheme="majorBidi" w:cstheme="majorBidi"/>
          <w:sz w:val="24"/>
          <w:szCs w:val="24"/>
          <w:lang w:val="en-US"/>
        </w:rPr>
        <w:t xml:space="preserve"> composition and increased </w:t>
      </w:r>
      <w:r w:rsidR="002F4C2F" w:rsidRPr="00795222">
        <w:rPr>
          <w:rFonts w:asciiTheme="majorBidi" w:eastAsia="Calibri" w:hAnsiTheme="majorBidi" w:cstheme="majorBidi"/>
          <w:i/>
          <w:iCs/>
          <w:sz w:val="24"/>
          <w:szCs w:val="24"/>
          <w:lang w:val="en-US"/>
        </w:rPr>
        <w:t>P</w:t>
      </w:r>
      <w:r w:rsidR="002F4C2F" w:rsidRPr="00795222">
        <w:rPr>
          <w:rFonts w:asciiTheme="majorBidi" w:eastAsia="Calibri" w:hAnsiTheme="majorBidi" w:cstheme="majorBidi"/>
          <w:sz w:val="24"/>
          <w:szCs w:val="24"/>
          <w:lang w:val="en-US"/>
        </w:rPr>
        <w:t xml:space="preserve">app ratio cannot be excluded and warrants further investigation. </w:t>
      </w:r>
      <w:r w:rsidR="006278AD" w:rsidRPr="00795222">
        <w:rPr>
          <w:rFonts w:asciiTheme="majorBidi" w:eastAsia="Calibri" w:hAnsiTheme="majorBidi" w:cstheme="majorBidi"/>
          <w:sz w:val="24"/>
          <w:szCs w:val="24"/>
          <w:lang w:val="en-US"/>
        </w:rPr>
        <w:t>Due to the similar mean diameter</w:t>
      </w:r>
      <w:r w:rsidR="00AF4E4D" w:rsidRPr="00795222">
        <w:rPr>
          <w:rFonts w:asciiTheme="majorBidi" w:eastAsia="Calibri" w:hAnsiTheme="majorBidi" w:cstheme="majorBidi"/>
          <w:sz w:val="24"/>
          <w:szCs w:val="24"/>
          <w:lang w:val="en-US"/>
        </w:rPr>
        <w:t xml:space="preserve"> </w:t>
      </w:r>
      <w:r w:rsidR="002E3255" w:rsidRPr="00795222">
        <w:rPr>
          <w:rFonts w:asciiTheme="majorBidi" w:eastAsia="Calibri" w:hAnsiTheme="majorBidi" w:cstheme="majorBidi"/>
          <w:sz w:val="24"/>
          <w:szCs w:val="24"/>
          <w:lang w:val="en-US"/>
        </w:rPr>
        <w:t>(</w:t>
      </w:r>
      <w:r w:rsidR="00AF4E4D" w:rsidRPr="00795222">
        <w:rPr>
          <w:rFonts w:asciiTheme="majorBidi" w:eastAsia="Calibri" w:hAnsiTheme="majorBidi" w:cstheme="majorBidi"/>
          <w:sz w:val="24"/>
          <w:szCs w:val="24"/>
          <w:lang w:val="en-US"/>
        </w:rPr>
        <w:t xml:space="preserve">61-76 nm) </w:t>
      </w:r>
      <w:r w:rsidR="006278AD" w:rsidRPr="00795222">
        <w:rPr>
          <w:rFonts w:asciiTheme="majorBidi" w:eastAsia="Calibri" w:hAnsiTheme="majorBidi" w:cstheme="majorBidi"/>
          <w:sz w:val="24"/>
          <w:szCs w:val="24"/>
          <w:lang w:val="en-US"/>
        </w:rPr>
        <w:t xml:space="preserve">and </w:t>
      </w:r>
      <w:r w:rsidR="002F4C2F" w:rsidRPr="00795222">
        <w:rPr>
          <w:rFonts w:asciiTheme="majorBidi" w:eastAsia="Calibri" w:hAnsiTheme="majorBidi" w:cstheme="majorBidi"/>
          <w:sz w:val="24"/>
          <w:szCs w:val="24"/>
          <w:lang w:val="en-US"/>
        </w:rPr>
        <w:t>polydispersity</w:t>
      </w:r>
      <w:r w:rsidR="006278AD" w:rsidRPr="00795222">
        <w:rPr>
          <w:rFonts w:asciiTheme="majorBidi" w:eastAsia="Calibri" w:hAnsiTheme="majorBidi" w:cstheme="majorBidi"/>
          <w:sz w:val="24"/>
          <w:szCs w:val="24"/>
          <w:lang w:val="en-US"/>
        </w:rPr>
        <w:t xml:space="preserve"> index</w:t>
      </w:r>
      <w:r w:rsidR="00B340E0" w:rsidRPr="00795222">
        <w:rPr>
          <w:rFonts w:asciiTheme="majorBidi" w:eastAsia="Calibri" w:hAnsiTheme="majorBidi" w:cstheme="majorBidi"/>
          <w:sz w:val="24"/>
          <w:szCs w:val="24"/>
          <w:lang w:val="en-US"/>
        </w:rPr>
        <w:t xml:space="preserve"> (0.13-0.21) </w:t>
      </w:r>
      <w:r w:rsidR="006278AD" w:rsidRPr="00795222">
        <w:rPr>
          <w:rFonts w:asciiTheme="majorBidi" w:eastAsia="Calibri" w:hAnsiTheme="majorBidi" w:cstheme="majorBidi"/>
          <w:sz w:val="24"/>
          <w:szCs w:val="24"/>
          <w:lang w:val="en-US"/>
        </w:rPr>
        <w:t>for all three formulations</w:t>
      </w:r>
      <w:r w:rsidR="006A0BC9" w:rsidRPr="00795222">
        <w:rPr>
          <w:rFonts w:asciiTheme="majorBidi" w:eastAsia="Calibri" w:hAnsiTheme="majorBidi" w:cstheme="majorBidi"/>
          <w:sz w:val="24"/>
          <w:szCs w:val="24"/>
          <w:lang w:val="en-US"/>
        </w:rPr>
        <w:t>,</w:t>
      </w:r>
      <w:r w:rsidR="006278AD" w:rsidRPr="00795222">
        <w:rPr>
          <w:rFonts w:asciiTheme="majorBidi" w:eastAsia="Calibri" w:hAnsiTheme="majorBidi" w:cstheme="majorBidi"/>
          <w:sz w:val="24"/>
          <w:szCs w:val="24"/>
          <w:lang w:val="en-US"/>
        </w:rPr>
        <w:t xml:space="preserve"> these particle properties can be excluded as the causation factor driving the differences in </w:t>
      </w:r>
      <w:r w:rsidR="00AF4E4D" w:rsidRPr="00795222">
        <w:rPr>
          <w:rFonts w:asciiTheme="majorBidi" w:eastAsia="Calibri" w:hAnsiTheme="majorBidi" w:cstheme="majorBidi"/>
          <w:sz w:val="24"/>
          <w:szCs w:val="24"/>
          <w:lang w:val="en-US"/>
        </w:rPr>
        <w:t xml:space="preserve">biological behavior. </w:t>
      </w:r>
      <w:r w:rsidR="002F4C2F" w:rsidRPr="00795222">
        <w:rPr>
          <w:rFonts w:asciiTheme="majorBidi" w:eastAsia="Calibri" w:hAnsiTheme="majorBidi" w:cstheme="majorBidi"/>
          <w:sz w:val="24"/>
          <w:szCs w:val="24"/>
          <w:lang w:val="en-US"/>
        </w:rPr>
        <w:t>Integrity of the triple culture models were assessed using the low permeability marker [</w:t>
      </w:r>
      <w:r w:rsidR="002F4C2F" w:rsidRPr="00795222">
        <w:rPr>
          <w:rFonts w:asciiTheme="majorBidi" w:eastAsia="Calibri" w:hAnsiTheme="majorBidi" w:cstheme="majorBidi"/>
          <w:sz w:val="24"/>
          <w:szCs w:val="24"/>
          <w:vertAlign w:val="superscript"/>
          <w:lang w:val="en-US"/>
        </w:rPr>
        <w:t>14</w:t>
      </w:r>
      <w:r w:rsidR="002F4C2F" w:rsidRPr="00795222">
        <w:rPr>
          <w:rFonts w:asciiTheme="majorBidi" w:eastAsia="Calibri" w:hAnsiTheme="majorBidi" w:cstheme="majorBidi"/>
          <w:sz w:val="24"/>
          <w:szCs w:val="24"/>
          <w:lang w:val="en-US"/>
        </w:rPr>
        <w:t xml:space="preserve">C]-mannitol following incubation with each treatment. The integrity was assessed post-incubation to identify any potential cumulative damage over the 4 hours. The results in </w:t>
      </w:r>
      <w:r w:rsidR="00AF4E4D" w:rsidRPr="00795222">
        <w:rPr>
          <w:rFonts w:asciiTheme="majorBidi" w:eastAsia="Calibri" w:hAnsiTheme="majorBidi" w:cstheme="majorBidi"/>
          <w:sz w:val="24"/>
          <w:szCs w:val="24"/>
          <w:lang w:val="en-US"/>
        </w:rPr>
        <w:fldChar w:fldCharType="begin"/>
      </w:r>
      <w:r w:rsidR="00AF4E4D" w:rsidRPr="00795222">
        <w:rPr>
          <w:rFonts w:asciiTheme="majorBidi" w:eastAsia="Calibri" w:hAnsiTheme="majorBidi" w:cstheme="majorBidi"/>
          <w:sz w:val="24"/>
          <w:szCs w:val="24"/>
          <w:lang w:val="en-US"/>
        </w:rPr>
        <w:instrText xml:space="preserve"> REF _Ref26262394 \h  \* MERGEFORMAT </w:instrText>
      </w:r>
      <w:r w:rsidR="00AF4E4D" w:rsidRPr="00795222">
        <w:rPr>
          <w:rFonts w:asciiTheme="majorBidi" w:eastAsia="Calibri" w:hAnsiTheme="majorBidi" w:cstheme="majorBidi"/>
          <w:sz w:val="24"/>
          <w:szCs w:val="24"/>
          <w:lang w:val="en-US"/>
        </w:rPr>
      </w:r>
      <w:r w:rsidR="00AF4E4D" w:rsidRPr="00795222">
        <w:rPr>
          <w:rFonts w:asciiTheme="majorBidi" w:eastAsia="Calibri" w:hAnsiTheme="majorBidi" w:cstheme="majorBidi"/>
          <w:sz w:val="24"/>
          <w:szCs w:val="24"/>
          <w:lang w:val="en-US"/>
        </w:rPr>
        <w:fldChar w:fldCharType="separate"/>
      </w:r>
      <w:r w:rsidR="002F4BD1" w:rsidRPr="00795222">
        <w:rPr>
          <w:rFonts w:asciiTheme="majorBidi" w:eastAsia="Calibri" w:hAnsiTheme="majorBidi" w:cstheme="majorBidi"/>
          <w:iCs/>
          <w:sz w:val="24"/>
          <w:szCs w:val="24"/>
          <w:lang w:val="en-US"/>
        </w:rPr>
        <w:t xml:space="preserve">Figure </w:t>
      </w:r>
      <w:r w:rsidR="008161E2" w:rsidRPr="00795222">
        <w:rPr>
          <w:rFonts w:asciiTheme="majorBidi" w:eastAsia="Calibri" w:hAnsiTheme="majorBidi" w:cstheme="majorBidi"/>
          <w:iCs/>
          <w:sz w:val="24"/>
          <w:szCs w:val="24"/>
          <w:lang w:val="en-US"/>
        </w:rPr>
        <w:t>6</w:t>
      </w:r>
      <w:r w:rsidR="00AF4E4D" w:rsidRPr="00795222">
        <w:rPr>
          <w:rFonts w:asciiTheme="majorBidi" w:eastAsia="Calibri" w:hAnsiTheme="majorBidi" w:cstheme="majorBidi"/>
          <w:sz w:val="24"/>
          <w:szCs w:val="24"/>
          <w:lang w:val="en-US"/>
        </w:rPr>
        <w:fldChar w:fldCharType="end"/>
      </w:r>
      <w:r w:rsidR="002F4C2F" w:rsidRPr="00795222">
        <w:rPr>
          <w:rFonts w:asciiTheme="majorBidi" w:eastAsia="Calibri" w:hAnsiTheme="majorBidi" w:cstheme="majorBidi"/>
          <w:sz w:val="24"/>
          <w:szCs w:val="24"/>
          <w:lang w:val="en-US"/>
        </w:rPr>
        <w:t>D</w:t>
      </w:r>
      <w:r w:rsidR="00BD23AA" w:rsidRPr="00795222">
        <w:rPr>
          <w:rFonts w:asciiTheme="majorBidi" w:eastAsia="Calibri" w:hAnsiTheme="majorBidi" w:cstheme="majorBidi"/>
          <w:sz w:val="24"/>
          <w:szCs w:val="24"/>
          <w:lang w:val="en-US"/>
        </w:rPr>
        <w:t xml:space="preserve"> and</w:t>
      </w:r>
      <w:r w:rsidR="006A0BC9" w:rsidRPr="00795222">
        <w:rPr>
          <w:rFonts w:asciiTheme="majorBidi" w:eastAsia="Calibri" w:hAnsiTheme="majorBidi" w:cstheme="majorBidi"/>
          <w:sz w:val="24"/>
          <w:szCs w:val="24"/>
          <w:lang w:val="en-US"/>
        </w:rPr>
        <w:t xml:space="preserve"> </w:t>
      </w:r>
      <w:r w:rsidR="007920F2" w:rsidRPr="00795222">
        <w:rPr>
          <w:rFonts w:asciiTheme="majorBidi" w:eastAsia="Calibri" w:hAnsiTheme="majorBidi" w:cstheme="majorBidi"/>
          <w:sz w:val="24"/>
          <w:szCs w:val="24"/>
          <w:lang w:val="en-US"/>
        </w:rPr>
        <w:t>Figure S</w:t>
      </w:r>
      <w:r w:rsidR="00EA474E" w:rsidRPr="00795222">
        <w:rPr>
          <w:rFonts w:asciiTheme="majorBidi" w:eastAsia="Calibri" w:hAnsiTheme="majorBidi" w:cstheme="majorBidi"/>
          <w:sz w:val="24"/>
          <w:szCs w:val="24"/>
          <w:lang w:val="en-US"/>
        </w:rPr>
        <w:t>I</w:t>
      </w:r>
      <w:r w:rsidR="007920F2" w:rsidRPr="00795222">
        <w:rPr>
          <w:rFonts w:asciiTheme="majorBidi" w:eastAsia="Calibri" w:hAnsiTheme="majorBidi" w:cstheme="majorBidi"/>
          <w:sz w:val="24"/>
          <w:szCs w:val="24"/>
          <w:lang w:val="en-US"/>
        </w:rPr>
        <w:t>2</w:t>
      </w:r>
      <w:r w:rsidR="00EE3445" w:rsidRPr="00795222">
        <w:rPr>
          <w:rFonts w:asciiTheme="majorBidi" w:eastAsia="Calibri" w:hAnsiTheme="majorBidi" w:cstheme="majorBidi"/>
          <w:sz w:val="24"/>
          <w:szCs w:val="24"/>
          <w:lang w:val="en-US"/>
        </w:rPr>
        <w:t xml:space="preserve">B </w:t>
      </w:r>
      <w:r w:rsidR="002F4C2F" w:rsidRPr="00795222">
        <w:rPr>
          <w:rFonts w:asciiTheme="majorBidi" w:eastAsia="Calibri" w:hAnsiTheme="majorBidi" w:cstheme="majorBidi"/>
          <w:sz w:val="24"/>
          <w:szCs w:val="24"/>
          <w:lang w:val="en-US"/>
        </w:rPr>
        <w:t xml:space="preserve">indicate mannitol </w:t>
      </w:r>
      <w:r w:rsidR="002F4C2F" w:rsidRPr="00795222">
        <w:rPr>
          <w:rFonts w:asciiTheme="majorBidi" w:eastAsia="Calibri" w:hAnsiTheme="majorBidi" w:cstheme="majorBidi"/>
          <w:i/>
          <w:iCs/>
          <w:sz w:val="24"/>
          <w:szCs w:val="24"/>
          <w:lang w:val="en-US"/>
        </w:rPr>
        <w:t>P</w:t>
      </w:r>
      <w:r w:rsidR="002F4C2F" w:rsidRPr="00795222">
        <w:rPr>
          <w:rFonts w:asciiTheme="majorBidi" w:eastAsia="Calibri" w:hAnsiTheme="majorBidi" w:cstheme="majorBidi"/>
          <w:sz w:val="24"/>
          <w:szCs w:val="24"/>
          <w:lang w:val="en-US"/>
        </w:rPr>
        <w:t>app values less than 0.953 x 10</w:t>
      </w:r>
      <w:r w:rsidR="002F4C2F" w:rsidRPr="00795222">
        <w:rPr>
          <w:rFonts w:asciiTheme="majorBidi" w:eastAsia="Calibri" w:hAnsiTheme="majorBidi" w:cstheme="majorBidi"/>
          <w:sz w:val="24"/>
          <w:szCs w:val="24"/>
          <w:vertAlign w:val="superscript"/>
          <w:lang w:val="en-US"/>
        </w:rPr>
        <w:t>-6</w:t>
      </w:r>
      <w:r w:rsidR="002F4C2F" w:rsidRPr="00795222">
        <w:rPr>
          <w:rFonts w:asciiTheme="majorBidi" w:eastAsia="Calibri" w:hAnsiTheme="majorBidi" w:cstheme="majorBidi"/>
          <w:sz w:val="24"/>
          <w:szCs w:val="24"/>
          <w:lang w:val="en-US"/>
        </w:rPr>
        <w:t xml:space="preserve"> cm s</w:t>
      </w:r>
      <w:r w:rsidR="002F4C2F" w:rsidRPr="00795222">
        <w:rPr>
          <w:rFonts w:asciiTheme="majorBidi" w:eastAsia="Calibri" w:hAnsiTheme="majorBidi" w:cstheme="majorBidi"/>
          <w:sz w:val="24"/>
          <w:szCs w:val="24"/>
          <w:vertAlign w:val="superscript"/>
          <w:lang w:val="en-US"/>
        </w:rPr>
        <w:t>-1</w:t>
      </w:r>
      <w:r w:rsidR="002F4C2F" w:rsidRPr="00795222">
        <w:rPr>
          <w:rFonts w:asciiTheme="majorBidi" w:eastAsia="Calibri" w:hAnsiTheme="majorBidi" w:cstheme="majorBidi"/>
          <w:sz w:val="24"/>
          <w:szCs w:val="24"/>
          <w:lang w:val="en-US"/>
        </w:rPr>
        <w:t xml:space="preserve"> and suggest that the triple culture model remains intact following each treatment</w:t>
      </w:r>
      <w:r w:rsidR="00DE56AA" w:rsidRPr="00795222">
        <w:rPr>
          <w:rFonts w:asciiTheme="majorBidi" w:eastAsia="Calibri" w:hAnsiTheme="majorBidi" w:cstheme="majorBidi"/>
          <w:sz w:val="24"/>
          <w:szCs w:val="24"/>
          <w:lang w:val="en-US"/>
        </w:rPr>
        <w:t>.</w:t>
      </w:r>
      <w:r w:rsidR="008805AE" w:rsidRPr="00795222">
        <w:rPr>
          <w:rFonts w:asciiTheme="majorBidi" w:eastAsia="Calibri" w:hAnsiTheme="majorBidi" w:cstheme="majorBidi"/>
          <w:sz w:val="24"/>
          <w:szCs w:val="24"/>
          <w:lang w:val="en-US"/>
        </w:rPr>
        <w:t xml:space="preserve"> </w:t>
      </w:r>
      <w:r w:rsidR="002F4C2F" w:rsidRPr="00795222">
        <w:rPr>
          <w:rFonts w:asciiTheme="majorBidi" w:eastAsia="Calibri" w:hAnsiTheme="majorBidi" w:cstheme="majorBidi"/>
          <w:sz w:val="24"/>
          <w:szCs w:val="24"/>
          <w:lang w:val="en-US"/>
        </w:rPr>
        <w:fldChar w:fldCharType="begin" w:fldLock="1"/>
      </w:r>
      <w:r w:rsidR="008E225E" w:rsidRPr="00795222">
        <w:rPr>
          <w:rFonts w:asciiTheme="majorBidi" w:eastAsia="Calibri" w:hAnsiTheme="majorBidi" w:cstheme="majorBidi"/>
          <w:sz w:val="24"/>
          <w:szCs w:val="24"/>
          <w:lang w:val="en-US"/>
        </w:rPr>
        <w:instrText>ADDIN CSL_CITATION {"citationItems":[{"id":"ITEM-1","itemData":{"DOI":"10.1080/00498250802050880","ISBN":"1366-5928 (Electronic)\\r0049-8254 (Linking)","ISSN":"0049-8254","PMID":"18668443","abstract":"1. An understanding of the role that transporters, in particular P-glycoprotein (P-gp), can play in the absorption, distribution, metabolism and excretion (ADME) of candidate drugs, and an assessment of how these processes might impact on toxicity and the potential for drug-drug interactions in the clinic, is required to support drug development and registration. It is therefore necessary to validate preclinical assays for the in vitro evaluation of candidate drugs as substrates or inhibitors of human P-gp. 2. The present study has characterized a Caco-2 cell monolayer model by determining the bi-directional apparent permeabilities and efflux ratios of the known P-gp substrates ([(3)H]-digoxin, [(3)H]-ketoconazole, [(3)H]-verapamil, [(3)H]-quinidine, dipyridamole and loratidine; 1-100 microM) a non-substrate ([(3)H]-propranolol; 10 microM), or by determining the inhibitory potencies (IC(50)) of inhibitors (verapamil, ketoconazole, quinidine, dipyridamole and probenecid; 0.1-100 microM) on the basolateral-to-apical transport of [(3)H]-digoxin (5 microM), in order to validate methodologies for the identification of substrates or inhibitors of P-gp, respectively. 3. The reproducibility of the [(3)H]-digoxin or verapamil data determined from replicate monolayers across different cell passages indicates that the functional expression of P-gp is consistent across the range of passages (25-40) utilized for transport experiments and that the determination of bi-directional apparent permeability, or IC(50) for inhibition of P-gp, respectively, need only be performed on one occasion for a test compound. [(3)H]-digoxin and [(3)H]-propranolol or verapamil and probenecid were considered to be appropriate positive and negative controls of P-gp-mediated transport, or inhibition of P-gp, respectively, to ensure performance of the assays when assessing candidate drugs. Additionally, the low IC(50) values determined for ketoconazole and quinidine indicated that these inhibitors were suitable to use to confirm the role of P-gp in the efflux of a test compound. 4. These validated Caco-2 assays are robust, reproducible and suitable for routine in vitro evaluation of candidate drugs. They have been successfully applied to development projects resulting in the identification of two candidate drugs as substrates and inhibitors of P-gp, whereas a third was neither a substrate nor an inhibitor of this transporter.","author":[{"dropping-particle":"","family":"Elsby","given":"R","non-dropping-particle":"","parse-names":false,"suffix":""},{"dropping-particle":"","family":"Surry","given":"D D","non-dropping-particle":"","parse-names":false,"suffix":""},{"dropping-particle":"","family":"Smith","given":"V N","non-dropping-particle":"","parse-names":false,"suffix":""},{"dropping-particle":"","family":"Gray","given":"A J","non-dropping-particle":"","parse-names":false,"suffix":""}],"container-title":"Xenobiotica","id":"ITEM-1","issue":"7-8","issued":{"date-parts":[["2008"]]},"page":"1140-1164","title":"Validation and application of Caco-2 assays for the in vitro evaluation of development candidate drugs as substrates or inhibitors of P-glycoprotein to support regulatory submissions","type":"article-journal","volume":"38"},"uris":["http://www.mendeley.com/documents/?uuid=33a00f3f-6df3-45c0-b566-97ce92a6255b","http://www.mendeley.com/documents/?uuid=2fe2f37b-c9f3-4c03-a4ba-120ce6d8e421","http://www.mendeley.com/documents/?uuid=7b28405c-686f-4eb2-9163-4b69ebfc468e","http://www.mendeley.com/documents/?uuid=914dd654-adf8-42b6-855c-65ca2531e875"]}],"mendeley":{"formattedCitation":"(Elsby et al., 2008)","plainTextFormattedCitation":"(Elsby et al., 2008)","previouslyFormattedCitation":"(Elsby et al., 2008)"},"properties":{"noteIndex":0},"schema":"https://github.com/citation-style-language/schema/raw/master/csl-citation.json"}</w:instrText>
      </w:r>
      <w:r w:rsidR="002F4C2F" w:rsidRPr="00795222">
        <w:rPr>
          <w:rFonts w:asciiTheme="majorBidi" w:eastAsia="Calibri" w:hAnsiTheme="majorBidi" w:cstheme="majorBidi"/>
          <w:sz w:val="24"/>
          <w:szCs w:val="24"/>
          <w:vertAlign w:val="superscript"/>
          <w:lang w:val="en-US"/>
        </w:rPr>
        <w:fldChar w:fldCharType="separate"/>
      </w:r>
      <w:r w:rsidR="00FF41FF" w:rsidRPr="00795222">
        <w:rPr>
          <w:rFonts w:asciiTheme="majorBidi" w:eastAsia="Calibri" w:hAnsiTheme="majorBidi" w:cstheme="majorBidi"/>
          <w:noProof/>
          <w:sz w:val="24"/>
          <w:szCs w:val="24"/>
          <w:lang w:val="en-US"/>
        </w:rPr>
        <w:t>(Elsby et al., 2008)</w:t>
      </w:r>
      <w:r w:rsidR="002F4C2F" w:rsidRPr="00795222">
        <w:rPr>
          <w:rFonts w:asciiTheme="majorBidi" w:eastAsia="Calibri" w:hAnsiTheme="majorBidi" w:cstheme="majorBidi"/>
          <w:sz w:val="24"/>
          <w:szCs w:val="24"/>
          <w:lang w:val="en-US"/>
        </w:rPr>
        <w:fldChar w:fldCharType="end"/>
      </w:r>
      <w:r w:rsidR="002F4C2F" w:rsidRPr="00795222">
        <w:rPr>
          <w:rFonts w:asciiTheme="majorBidi" w:eastAsia="Calibri" w:hAnsiTheme="majorBidi" w:cstheme="majorBidi"/>
          <w:sz w:val="24"/>
          <w:szCs w:val="24"/>
          <w:lang w:val="en-US"/>
        </w:rPr>
        <w:t xml:space="preserve"> </w:t>
      </w:r>
      <w:r w:rsidR="00AF4E4D" w:rsidRPr="00795222">
        <w:rPr>
          <w:rFonts w:asciiTheme="majorBidi" w:eastAsia="Calibri" w:hAnsiTheme="majorBidi" w:cstheme="majorBidi"/>
          <w:sz w:val="24"/>
          <w:szCs w:val="24"/>
          <w:lang w:val="en-US"/>
        </w:rPr>
        <w:t>Therefore, the differences in the permeability of the different formulations was derived from the different surfactant compositions used in the formulations. The development of a LPHN</w:t>
      </w:r>
      <w:r w:rsidR="001718A7" w:rsidRPr="00795222">
        <w:rPr>
          <w:rFonts w:asciiTheme="majorBidi" w:eastAsia="Calibri" w:hAnsiTheme="majorBidi" w:cstheme="majorBidi"/>
          <w:sz w:val="24"/>
          <w:szCs w:val="24"/>
          <w:lang w:val="en-US"/>
        </w:rPr>
        <w:t xml:space="preserve">s </w:t>
      </w:r>
      <w:r w:rsidR="00AF4E4D" w:rsidRPr="00795222">
        <w:rPr>
          <w:rFonts w:asciiTheme="majorBidi" w:eastAsia="Calibri" w:hAnsiTheme="majorBidi" w:cstheme="majorBidi"/>
          <w:sz w:val="24"/>
          <w:szCs w:val="24"/>
          <w:lang w:val="en-US"/>
        </w:rPr>
        <w:lastRenderedPageBreak/>
        <w:t>with 70</w:t>
      </w:r>
      <w:r w:rsidR="006A0BC9" w:rsidRPr="00795222">
        <w:rPr>
          <w:rFonts w:asciiTheme="majorBidi" w:eastAsia="Calibri" w:hAnsiTheme="majorBidi" w:cstheme="majorBidi"/>
          <w:sz w:val="24"/>
          <w:szCs w:val="24"/>
          <w:lang w:val="en-US"/>
        </w:rPr>
        <w:t xml:space="preserve"> </w:t>
      </w:r>
      <w:r w:rsidR="00AF4E4D" w:rsidRPr="00795222">
        <w:rPr>
          <w:rFonts w:asciiTheme="majorBidi" w:eastAsia="Calibri" w:hAnsiTheme="majorBidi" w:cstheme="majorBidi"/>
          <w:sz w:val="24"/>
          <w:szCs w:val="24"/>
          <w:lang w:val="en-US"/>
        </w:rPr>
        <w:t xml:space="preserve">% </w:t>
      </w:r>
      <w:r w:rsidR="006A0BC9" w:rsidRPr="00795222">
        <w:rPr>
          <w:rFonts w:asciiTheme="majorBidi" w:eastAsia="Calibri" w:hAnsiTheme="majorBidi" w:cstheme="majorBidi"/>
          <w:sz w:val="24"/>
          <w:szCs w:val="24"/>
          <w:lang w:val="en-US"/>
        </w:rPr>
        <w:t>B</w:t>
      </w:r>
      <w:r w:rsidR="00224B86" w:rsidRPr="00795222">
        <w:rPr>
          <w:rFonts w:asciiTheme="majorBidi" w:eastAsia="Calibri" w:hAnsiTheme="majorBidi" w:cstheme="majorBidi"/>
          <w:sz w:val="24"/>
          <w:szCs w:val="24"/>
          <w:lang w:val="en-US"/>
        </w:rPr>
        <w:t>rij 78</w:t>
      </w:r>
      <w:r w:rsidR="00AF4E4D" w:rsidRPr="00795222">
        <w:rPr>
          <w:rFonts w:asciiTheme="majorBidi" w:eastAsia="Calibri" w:hAnsiTheme="majorBidi" w:cstheme="majorBidi"/>
          <w:sz w:val="24"/>
          <w:szCs w:val="24"/>
          <w:lang w:val="en-US"/>
        </w:rPr>
        <w:t xml:space="preserve"> and 30</w:t>
      </w:r>
      <w:r w:rsidR="006A0BC9" w:rsidRPr="00795222">
        <w:rPr>
          <w:rFonts w:asciiTheme="majorBidi" w:eastAsia="Calibri" w:hAnsiTheme="majorBidi" w:cstheme="majorBidi"/>
          <w:sz w:val="24"/>
          <w:szCs w:val="24"/>
          <w:lang w:val="en-US"/>
        </w:rPr>
        <w:t xml:space="preserve"> </w:t>
      </w:r>
      <w:r w:rsidR="00AF4E4D" w:rsidRPr="00795222">
        <w:rPr>
          <w:rFonts w:asciiTheme="majorBidi" w:eastAsia="Calibri" w:hAnsiTheme="majorBidi" w:cstheme="majorBidi"/>
          <w:sz w:val="24"/>
          <w:szCs w:val="24"/>
          <w:lang w:val="en-US"/>
        </w:rPr>
        <w:t xml:space="preserve">% SBL as the surfactant provided excellent colloidal stability while also displaying enhanced </w:t>
      </w:r>
      <w:r w:rsidR="00FE6D60" w:rsidRPr="00795222">
        <w:rPr>
          <w:rFonts w:asciiTheme="majorBidi" w:eastAsia="Calibri" w:hAnsiTheme="majorBidi" w:cstheme="majorBidi"/>
          <w:sz w:val="24"/>
          <w:szCs w:val="24"/>
          <w:lang w:val="en-US"/>
        </w:rPr>
        <w:t>apparent oral absorption in the triple culture model</w:t>
      </w:r>
      <w:r w:rsidR="00AF4E4D" w:rsidRPr="00795222">
        <w:rPr>
          <w:rFonts w:asciiTheme="majorBidi" w:eastAsia="Calibri" w:hAnsiTheme="majorBidi" w:cstheme="majorBidi"/>
          <w:sz w:val="24"/>
          <w:szCs w:val="24"/>
          <w:lang w:val="en-US"/>
        </w:rPr>
        <w:t>.</w:t>
      </w:r>
      <w:r w:rsidR="00FE6D60" w:rsidRPr="00795222">
        <w:rPr>
          <w:rFonts w:asciiTheme="majorBidi" w:eastAsia="Calibri" w:hAnsiTheme="majorBidi" w:cstheme="majorBidi"/>
          <w:sz w:val="24"/>
          <w:szCs w:val="24"/>
          <w:lang w:val="en-US"/>
        </w:rPr>
        <w:t xml:space="preserve"> </w:t>
      </w:r>
    </w:p>
    <w:p w14:paraId="55C64145" w14:textId="0B5CE2C7" w:rsidR="00EB25EA" w:rsidRPr="00795222" w:rsidRDefault="00FE6D60" w:rsidP="00657F6C">
      <w:p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lang w:val="en-US"/>
        </w:rPr>
        <w:t xml:space="preserve">Subsequently, the biological </w:t>
      </w:r>
      <w:r w:rsidR="00EC5909" w:rsidRPr="00795222">
        <w:rPr>
          <w:rFonts w:asciiTheme="majorBidi" w:hAnsiTheme="majorBidi" w:cstheme="majorBidi"/>
          <w:sz w:val="24"/>
          <w:szCs w:val="24"/>
          <w:lang w:val="en-US"/>
        </w:rPr>
        <w:t>behavior</w:t>
      </w:r>
      <w:r w:rsidRPr="00795222">
        <w:rPr>
          <w:rFonts w:asciiTheme="majorBidi" w:hAnsiTheme="majorBidi" w:cstheme="majorBidi"/>
          <w:sz w:val="24"/>
          <w:szCs w:val="24"/>
          <w:lang w:val="en-US"/>
        </w:rPr>
        <w:t xml:space="preserve"> of freeze-dried LPHN70 was investigated using the triple culture model. The DRV </w:t>
      </w:r>
      <w:r w:rsidRPr="00795222">
        <w:rPr>
          <w:rFonts w:asciiTheme="majorBidi" w:hAnsiTheme="majorBidi" w:cstheme="majorBidi"/>
          <w:i/>
          <w:sz w:val="24"/>
          <w:szCs w:val="24"/>
          <w:lang w:val="en-US"/>
        </w:rPr>
        <w:t>P</w:t>
      </w:r>
      <w:r w:rsidRPr="00795222">
        <w:rPr>
          <w:rFonts w:asciiTheme="majorBidi" w:hAnsiTheme="majorBidi" w:cstheme="majorBidi"/>
          <w:sz w:val="24"/>
          <w:szCs w:val="24"/>
          <w:lang w:val="en-US"/>
        </w:rPr>
        <w:t>app ratio was markedly different compared to the non-</w:t>
      </w:r>
      <w:r w:rsidR="00292A8A" w:rsidRPr="00795222">
        <w:rPr>
          <w:rFonts w:asciiTheme="majorBidi" w:hAnsiTheme="majorBidi" w:cstheme="majorBidi"/>
          <w:sz w:val="24"/>
          <w:szCs w:val="24"/>
          <w:lang w:val="en-US"/>
        </w:rPr>
        <w:t>freeze</w:t>
      </w:r>
      <w:r w:rsidR="0040415F" w:rsidRPr="00795222">
        <w:rPr>
          <w:rFonts w:asciiTheme="majorBidi" w:hAnsiTheme="majorBidi" w:cstheme="majorBidi"/>
          <w:sz w:val="24"/>
          <w:szCs w:val="24"/>
          <w:lang w:val="en-US"/>
        </w:rPr>
        <w:t>-dried</w:t>
      </w:r>
      <w:r w:rsidR="00647A9C"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t>preparation (Figure S</w:t>
      </w:r>
      <w:r w:rsidR="002F38F1" w:rsidRPr="00795222">
        <w:rPr>
          <w:rFonts w:asciiTheme="majorBidi" w:hAnsiTheme="majorBidi" w:cstheme="majorBidi"/>
          <w:sz w:val="24"/>
          <w:szCs w:val="24"/>
          <w:lang w:val="en-US"/>
        </w:rPr>
        <w:t>I</w:t>
      </w:r>
      <w:r w:rsidRPr="00795222">
        <w:rPr>
          <w:rFonts w:asciiTheme="majorBidi" w:hAnsiTheme="majorBidi" w:cstheme="majorBidi"/>
          <w:sz w:val="24"/>
          <w:szCs w:val="24"/>
          <w:lang w:val="en-US"/>
        </w:rPr>
        <w:t xml:space="preserve">2) with increased </w:t>
      </w:r>
      <w:r w:rsidRPr="00795222">
        <w:rPr>
          <w:rFonts w:asciiTheme="majorBidi" w:hAnsiTheme="majorBidi" w:cstheme="majorBidi"/>
          <w:i/>
          <w:sz w:val="24"/>
          <w:szCs w:val="24"/>
          <w:lang w:val="en-US"/>
        </w:rPr>
        <w:t>P</w:t>
      </w:r>
      <w:r w:rsidRPr="00795222">
        <w:rPr>
          <w:rFonts w:asciiTheme="majorBidi" w:hAnsiTheme="majorBidi" w:cstheme="majorBidi"/>
          <w:sz w:val="24"/>
          <w:szCs w:val="24"/>
          <w:lang w:val="en-US"/>
        </w:rPr>
        <w:t xml:space="preserve">app ratio at </w:t>
      </w:r>
      <w:proofErr w:type="gramStart"/>
      <w:r w:rsidRPr="00795222">
        <w:rPr>
          <w:rFonts w:asciiTheme="majorBidi" w:hAnsiTheme="majorBidi" w:cstheme="majorBidi"/>
          <w:sz w:val="24"/>
          <w:szCs w:val="24"/>
          <w:lang w:val="en-US"/>
        </w:rPr>
        <w:t>1</w:t>
      </w:r>
      <w:r w:rsidR="00D53301" w:rsidRPr="00795222">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t>and 2 hours</w:t>
      </w:r>
      <w:proofErr w:type="gramEnd"/>
      <w:r w:rsidRPr="00795222">
        <w:rPr>
          <w:rFonts w:asciiTheme="majorBidi" w:hAnsiTheme="majorBidi" w:cstheme="majorBidi"/>
          <w:sz w:val="24"/>
          <w:szCs w:val="24"/>
          <w:lang w:val="en-US"/>
        </w:rPr>
        <w:t xml:space="preserve"> incubation but lower </w:t>
      </w:r>
      <w:r w:rsidRPr="00795222">
        <w:rPr>
          <w:rFonts w:asciiTheme="majorBidi" w:hAnsiTheme="majorBidi" w:cstheme="majorBidi"/>
          <w:i/>
          <w:sz w:val="24"/>
          <w:szCs w:val="24"/>
          <w:lang w:val="en-US"/>
        </w:rPr>
        <w:t>P</w:t>
      </w:r>
      <w:r w:rsidRPr="00795222">
        <w:rPr>
          <w:rFonts w:asciiTheme="majorBidi" w:hAnsiTheme="majorBidi" w:cstheme="majorBidi"/>
          <w:sz w:val="24"/>
          <w:szCs w:val="24"/>
          <w:lang w:val="en-US"/>
        </w:rPr>
        <w:t xml:space="preserve">app ratio at 3 and 4 hours incubation. No statistically significant differences in </w:t>
      </w:r>
      <w:r w:rsidR="00EB25EA" w:rsidRPr="00795222">
        <w:rPr>
          <w:rFonts w:asciiTheme="majorBidi" w:hAnsiTheme="majorBidi" w:cstheme="majorBidi"/>
          <w:sz w:val="24"/>
          <w:szCs w:val="24"/>
          <w:lang w:val="en-US"/>
        </w:rPr>
        <w:t>Papp</w:t>
      </w:r>
      <w:r w:rsidRPr="00795222">
        <w:rPr>
          <w:rFonts w:asciiTheme="majorBidi" w:hAnsiTheme="majorBidi" w:cstheme="majorBidi"/>
          <w:sz w:val="24"/>
          <w:szCs w:val="24"/>
          <w:lang w:val="en-US"/>
        </w:rPr>
        <w:t xml:space="preserve"> between the unformulated DRV and LPHN70 formulated DRV were observed over the 4 hours which contrasts with the results observed for the non-</w:t>
      </w:r>
      <w:r w:rsidR="00871A2D" w:rsidRPr="00795222">
        <w:rPr>
          <w:rFonts w:asciiTheme="majorBidi" w:hAnsiTheme="majorBidi" w:cstheme="majorBidi"/>
          <w:sz w:val="24"/>
          <w:szCs w:val="24"/>
          <w:lang w:val="en-US"/>
        </w:rPr>
        <w:t>freeze</w:t>
      </w:r>
      <w:r w:rsidRPr="00795222">
        <w:rPr>
          <w:rFonts w:asciiTheme="majorBidi" w:hAnsiTheme="majorBidi" w:cstheme="majorBidi"/>
          <w:sz w:val="24"/>
          <w:szCs w:val="24"/>
          <w:lang w:val="en-US"/>
        </w:rPr>
        <w:t xml:space="preserve">-dried preparation. </w:t>
      </w:r>
      <w:r w:rsidR="00EC5909" w:rsidRPr="00795222">
        <w:rPr>
          <w:rFonts w:asciiTheme="majorBidi" w:hAnsiTheme="majorBidi" w:cstheme="majorBidi"/>
          <w:sz w:val="24"/>
          <w:szCs w:val="24"/>
          <w:lang w:val="en-US"/>
        </w:rPr>
        <w:t>I</w:t>
      </w:r>
      <w:r w:rsidRPr="00795222">
        <w:rPr>
          <w:rFonts w:asciiTheme="majorBidi" w:hAnsiTheme="majorBidi" w:cstheme="majorBidi"/>
          <w:sz w:val="24"/>
          <w:szCs w:val="24"/>
          <w:lang w:val="en-US"/>
        </w:rPr>
        <w:t xml:space="preserve">t is difficult </w:t>
      </w:r>
      <w:r w:rsidR="00EC5909" w:rsidRPr="00795222">
        <w:rPr>
          <w:rFonts w:asciiTheme="majorBidi" w:hAnsiTheme="majorBidi" w:cstheme="majorBidi"/>
          <w:sz w:val="24"/>
          <w:szCs w:val="24"/>
          <w:lang w:val="en-US"/>
        </w:rPr>
        <w:t xml:space="preserve">to be certain of </w:t>
      </w:r>
      <w:r w:rsidRPr="00795222">
        <w:rPr>
          <w:rFonts w:asciiTheme="majorBidi" w:hAnsiTheme="majorBidi" w:cstheme="majorBidi"/>
          <w:sz w:val="24"/>
          <w:szCs w:val="24"/>
          <w:lang w:val="en-US"/>
        </w:rPr>
        <w:t xml:space="preserve">the mechanism responsible for the marked difference in </w:t>
      </w:r>
      <w:r w:rsidR="00EB25EA" w:rsidRPr="00795222">
        <w:rPr>
          <w:rFonts w:asciiTheme="majorBidi" w:hAnsiTheme="majorBidi" w:cstheme="majorBidi"/>
          <w:sz w:val="24"/>
          <w:szCs w:val="24"/>
          <w:lang w:val="en-US"/>
        </w:rPr>
        <w:t>Papp</w:t>
      </w:r>
      <w:r w:rsidR="00EC5909" w:rsidRPr="00795222">
        <w:rPr>
          <w:rFonts w:asciiTheme="majorBidi" w:hAnsiTheme="majorBidi" w:cstheme="majorBidi"/>
          <w:sz w:val="24"/>
          <w:szCs w:val="24"/>
          <w:lang w:val="en-US"/>
        </w:rPr>
        <w:t xml:space="preserve"> due to freeze drying the formulation</w:t>
      </w:r>
      <w:r w:rsidRPr="00795222">
        <w:rPr>
          <w:rFonts w:asciiTheme="majorBidi" w:hAnsiTheme="majorBidi" w:cstheme="majorBidi"/>
          <w:sz w:val="24"/>
          <w:szCs w:val="24"/>
          <w:lang w:val="en-US"/>
        </w:rPr>
        <w:t>,</w:t>
      </w:r>
      <w:r w:rsidR="00EC5909" w:rsidRPr="00795222">
        <w:rPr>
          <w:rFonts w:asciiTheme="majorBidi" w:hAnsiTheme="majorBidi" w:cstheme="majorBidi"/>
          <w:sz w:val="24"/>
          <w:szCs w:val="24"/>
          <w:lang w:val="en-US"/>
        </w:rPr>
        <w:t xml:space="preserve"> however, the presence of the PEG cryoprotectant may have coated the LPHNs and </w:t>
      </w:r>
      <w:r w:rsidR="004F4C02" w:rsidRPr="00795222">
        <w:rPr>
          <w:rFonts w:asciiTheme="majorBidi" w:hAnsiTheme="majorBidi" w:cstheme="majorBidi"/>
          <w:sz w:val="24"/>
          <w:szCs w:val="24"/>
          <w:lang w:val="en-US"/>
        </w:rPr>
        <w:t>inhibited</w:t>
      </w:r>
      <w:r w:rsidR="00EC5909" w:rsidRPr="00795222">
        <w:rPr>
          <w:rFonts w:asciiTheme="majorBidi" w:hAnsiTheme="majorBidi" w:cstheme="majorBidi"/>
          <w:sz w:val="24"/>
          <w:szCs w:val="24"/>
          <w:lang w:val="en-US"/>
        </w:rPr>
        <w:t xml:space="preserve"> their interaction with the cells. Additionally,</w:t>
      </w:r>
      <w:r w:rsidRPr="00795222">
        <w:rPr>
          <w:rFonts w:asciiTheme="majorBidi" w:hAnsiTheme="majorBidi" w:cstheme="majorBidi"/>
          <w:sz w:val="24"/>
          <w:szCs w:val="24"/>
          <w:lang w:val="en-US"/>
        </w:rPr>
        <w:t xml:space="preserve"> the</w:t>
      </w:r>
      <w:r w:rsidR="00EC5909" w:rsidRPr="00795222">
        <w:rPr>
          <w:rFonts w:asciiTheme="majorBidi" w:hAnsiTheme="majorBidi" w:cstheme="majorBidi"/>
          <w:sz w:val="24"/>
          <w:szCs w:val="24"/>
          <w:lang w:val="en-US"/>
        </w:rPr>
        <w:t xml:space="preserve"> freeze drying processed resulted in an</w:t>
      </w:r>
      <w:r w:rsidRPr="00795222">
        <w:rPr>
          <w:rFonts w:asciiTheme="majorBidi" w:hAnsiTheme="majorBidi" w:cstheme="majorBidi"/>
          <w:sz w:val="24"/>
          <w:szCs w:val="24"/>
          <w:lang w:val="en-US"/>
        </w:rPr>
        <w:t xml:space="preserve"> increased </w:t>
      </w:r>
      <w:r w:rsidR="00EC5909" w:rsidRPr="00795222">
        <w:rPr>
          <w:rFonts w:asciiTheme="majorBidi" w:hAnsiTheme="majorBidi" w:cstheme="majorBidi"/>
          <w:sz w:val="24"/>
          <w:szCs w:val="24"/>
          <w:lang w:val="en-US"/>
        </w:rPr>
        <w:t>mean diameter</w:t>
      </w:r>
      <w:r w:rsidRPr="00795222">
        <w:rPr>
          <w:rFonts w:asciiTheme="majorBidi" w:hAnsiTheme="majorBidi" w:cstheme="majorBidi"/>
          <w:sz w:val="24"/>
          <w:szCs w:val="24"/>
          <w:lang w:val="en-US"/>
        </w:rPr>
        <w:t xml:space="preserve"> (61 vs. 247 nm) and increased polydispersity (0.13 vs. 0.44)</w:t>
      </w:r>
      <w:r w:rsidR="00EC5909" w:rsidRPr="00795222">
        <w:rPr>
          <w:rFonts w:asciiTheme="majorBidi" w:hAnsiTheme="majorBidi" w:cstheme="majorBidi"/>
          <w:sz w:val="24"/>
          <w:szCs w:val="24"/>
          <w:lang w:val="en-US"/>
        </w:rPr>
        <w:t xml:space="preserve"> </w:t>
      </w:r>
      <w:r w:rsidR="00EB25EA" w:rsidRPr="00795222">
        <w:rPr>
          <w:rFonts w:asciiTheme="majorBidi" w:hAnsiTheme="majorBidi" w:cstheme="majorBidi"/>
          <w:sz w:val="24"/>
          <w:szCs w:val="24"/>
          <w:lang w:val="en-US"/>
        </w:rPr>
        <w:t xml:space="preserve">which </w:t>
      </w:r>
      <w:r w:rsidR="00EC5909" w:rsidRPr="00795222">
        <w:rPr>
          <w:rFonts w:asciiTheme="majorBidi" w:hAnsiTheme="majorBidi" w:cstheme="majorBidi"/>
          <w:sz w:val="24"/>
          <w:szCs w:val="24"/>
          <w:lang w:val="en-US"/>
        </w:rPr>
        <w:t>may have influence</w:t>
      </w:r>
      <w:r w:rsidR="00EB25EA" w:rsidRPr="00795222">
        <w:rPr>
          <w:rFonts w:asciiTheme="majorBidi" w:hAnsiTheme="majorBidi" w:cstheme="majorBidi"/>
          <w:sz w:val="24"/>
          <w:szCs w:val="24"/>
          <w:lang w:val="en-US"/>
        </w:rPr>
        <w:t>d</w:t>
      </w:r>
      <w:r w:rsidR="00EC5909" w:rsidRPr="00795222">
        <w:rPr>
          <w:rFonts w:asciiTheme="majorBidi" w:hAnsiTheme="majorBidi" w:cstheme="majorBidi"/>
          <w:sz w:val="24"/>
          <w:szCs w:val="24"/>
          <w:lang w:val="en-US"/>
        </w:rPr>
        <w:t xml:space="preserve"> the interaction of the particles with the cells.</w:t>
      </w:r>
    </w:p>
    <w:p w14:paraId="5AAD4D48" w14:textId="77777777" w:rsidR="009605C5" w:rsidRPr="00795222" w:rsidRDefault="009605C5" w:rsidP="00657F6C">
      <w:pPr>
        <w:spacing w:line="360" w:lineRule="auto"/>
        <w:jc w:val="both"/>
        <w:rPr>
          <w:rFonts w:asciiTheme="majorBidi" w:hAnsiTheme="majorBidi" w:cstheme="majorBidi"/>
          <w:sz w:val="24"/>
          <w:szCs w:val="24"/>
          <w:lang w:val="en-US"/>
        </w:rPr>
      </w:pPr>
    </w:p>
    <w:p w14:paraId="0CF31F85" w14:textId="71CF1F5A" w:rsidR="000A5AE1" w:rsidRPr="00795222" w:rsidRDefault="000A5AE1" w:rsidP="00657F6C">
      <w:pPr>
        <w:jc w:val="both"/>
        <w:rPr>
          <w:rFonts w:asciiTheme="majorBidi" w:hAnsiTheme="majorBidi" w:cstheme="majorBidi"/>
          <w:b/>
          <w:iCs/>
          <w:sz w:val="24"/>
          <w:szCs w:val="24"/>
          <w:lang w:val="en-US"/>
        </w:rPr>
      </w:pPr>
      <w:r w:rsidRPr="00795222">
        <w:rPr>
          <w:rFonts w:asciiTheme="majorBidi" w:hAnsiTheme="majorBidi" w:cstheme="majorBidi"/>
          <w:b/>
          <w:iCs/>
          <w:sz w:val="24"/>
          <w:szCs w:val="24"/>
          <w:lang w:val="en-US"/>
        </w:rPr>
        <w:t>FIGURE 6</w:t>
      </w:r>
    </w:p>
    <w:p w14:paraId="19F3D76D" w14:textId="77777777" w:rsidR="000A5AE1" w:rsidRPr="00795222" w:rsidRDefault="000A5AE1" w:rsidP="00657F6C">
      <w:pPr>
        <w:jc w:val="both"/>
        <w:rPr>
          <w:lang w:val="en-US"/>
        </w:rPr>
      </w:pPr>
    </w:p>
    <w:p w14:paraId="5DB75E76" w14:textId="77777777" w:rsidR="00496E72" w:rsidRPr="00795222" w:rsidRDefault="00496E72" w:rsidP="00657F6C">
      <w:pPr>
        <w:pStyle w:val="Heading1"/>
        <w:jc w:val="both"/>
      </w:pPr>
      <w:r w:rsidRPr="00795222">
        <w:t>Conclusion</w:t>
      </w:r>
    </w:p>
    <w:p w14:paraId="52916A28" w14:textId="1C965D16" w:rsidR="00C839E4" w:rsidRPr="00795222" w:rsidRDefault="00F9349E" w:rsidP="00657F6C">
      <w:pPr>
        <w:spacing w:line="360" w:lineRule="auto"/>
        <w:jc w:val="both"/>
        <w:rPr>
          <w:rFonts w:asciiTheme="majorBidi" w:eastAsia="Calibri" w:hAnsiTheme="majorBidi" w:cstheme="majorBidi"/>
          <w:sz w:val="24"/>
          <w:szCs w:val="24"/>
          <w:lang w:val="en-US"/>
        </w:rPr>
      </w:pPr>
      <w:r w:rsidRPr="00795222">
        <w:rPr>
          <w:rFonts w:asciiTheme="majorBidi" w:eastAsia="Calibri" w:hAnsiTheme="majorBidi" w:cstheme="majorBidi"/>
          <w:sz w:val="24"/>
          <w:szCs w:val="24"/>
          <w:lang w:val="en-US"/>
        </w:rPr>
        <w:t xml:space="preserve">This work </w:t>
      </w:r>
      <w:r w:rsidR="00803658" w:rsidRPr="00795222">
        <w:rPr>
          <w:rFonts w:asciiTheme="majorBidi" w:eastAsia="Calibri" w:hAnsiTheme="majorBidi" w:cstheme="majorBidi"/>
          <w:sz w:val="24"/>
          <w:szCs w:val="24"/>
          <w:lang w:val="en-US"/>
        </w:rPr>
        <w:t>shows</w:t>
      </w:r>
      <w:r w:rsidRPr="00795222">
        <w:rPr>
          <w:rFonts w:asciiTheme="majorBidi" w:eastAsia="Calibri" w:hAnsiTheme="majorBidi" w:cstheme="majorBidi"/>
          <w:sz w:val="24"/>
          <w:szCs w:val="24"/>
          <w:lang w:val="en-US"/>
        </w:rPr>
        <w:t xml:space="preserve"> that </w:t>
      </w:r>
      <w:r w:rsidR="00025DC0" w:rsidRPr="00795222">
        <w:rPr>
          <w:rFonts w:asciiTheme="majorBidi" w:eastAsia="Calibri" w:hAnsiTheme="majorBidi" w:cstheme="majorBidi"/>
          <w:sz w:val="24"/>
          <w:szCs w:val="24"/>
          <w:lang w:val="en-US"/>
        </w:rPr>
        <w:t xml:space="preserve">LPHNs can be prepared </w:t>
      </w:r>
      <w:r w:rsidR="002B1446" w:rsidRPr="00795222">
        <w:rPr>
          <w:rFonts w:asciiTheme="majorBidi" w:eastAsia="Calibri" w:hAnsiTheme="majorBidi" w:cstheme="majorBidi"/>
          <w:sz w:val="24"/>
          <w:szCs w:val="24"/>
          <w:lang w:val="en-US"/>
        </w:rPr>
        <w:t>with</w:t>
      </w:r>
      <w:r w:rsidR="00202464" w:rsidRPr="00795222">
        <w:rPr>
          <w:rFonts w:asciiTheme="majorBidi" w:eastAsia="Calibri" w:hAnsiTheme="majorBidi" w:cstheme="majorBidi"/>
          <w:sz w:val="24"/>
          <w:szCs w:val="24"/>
          <w:lang w:val="en-US"/>
        </w:rPr>
        <w:t xml:space="preserve"> high drug loadings </w:t>
      </w:r>
      <w:r w:rsidR="008468D2" w:rsidRPr="00795222">
        <w:rPr>
          <w:rFonts w:asciiTheme="majorBidi" w:eastAsia="Calibri" w:hAnsiTheme="majorBidi" w:cstheme="majorBidi"/>
          <w:sz w:val="24"/>
          <w:szCs w:val="24"/>
          <w:lang w:val="en-US"/>
        </w:rPr>
        <w:t xml:space="preserve">of DRV/RTV </w:t>
      </w:r>
      <w:r w:rsidR="00A86CC2" w:rsidRPr="00795222">
        <w:rPr>
          <w:rFonts w:asciiTheme="majorBidi" w:eastAsia="Calibri" w:hAnsiTheme="majorBidi" w:cstheme="majorBidi"/>
          <w:sz w:val="24"/>
          <w:szCs w:val="24"/>
          <w:lang w:val="en-US"/>
        </w:rPr>
        <w:t>(20 % w/w)</w:t>
      </w:r>
      <w:r w:rsidR="008468D2" w:rsidRPr="00795222">
        <w:rPr>
          <w:rFonts w:asciiTheme="majorBidi" w:eastAsia="Calibri" w:hAnsiTheme="majorBidi" w:cstheme="majorBidi"/>
          <w:sz w:val="24"/>
          <w:szCs w:val="24"/>
          <w:lang w:val="en-US"/>
        </w:rPr>
        <w:t xml:space="preserve"> without negatively impacting the particle properties</w:t>
      </w:r>
      <w:r w:rsidR="00202464" w:rsidRPr="00795222">
        <w:rPr>
          <w:rFonts w:asciiTheme="majorBidi" w:eastAsia="Calibri" w:hAnsiTheme="majorBidi" w:cstheme="majorBidi"/>
          <w:sz w:val="24"/>
          <w:szCs w:val="24"/>
          <w:lang w:val="en-US"/>
        </w:rPr>
        <w:t xml:space="preserve">. The particles encapsulate </w:t>
      </w:r>
      <w:r w:rsidR="002B1446" w:rsidRPr="00795222">
        <w:rPr>
          <w:rFonts w:asciiTheme="majorBidi" w:eastAsia="Calibri" w:hAnsiTheme="majorBidi" w:cstheme="majorBidi"/>
          <w:sz w:val="24"/>
          <w:szCs w:val="24"/>
          <w:lang w:val="en-US"/>
        </w:rPr>
        <w:t xml:space="preserve">the </w:t>
      </w:r>
      <w:r w:rsidR="00202464" w:rsidRPr="00795222">
        <w:rPr>
          <w:rFonts w:asciiTheme="majorBidi" w:eastAsia="Calibri" w:hAnsiTheme="majorBidi" w:cstheme="majorBidi"/>
          <w:sz w:val="24"/>
          <w:szCs w:val="24"/>
          <w:lang w:val="en-US"/>
        </w:rPr>
        <w:t xml:space="preserve">clinically used </w:t>
      </w:r>
      <w:r w:rsidR="002B1446" w:rsidRPr="00795222">
        <w:rPr>
          <w:rFonts w:asciiTheme="majorBidi" w:eastAsia="Calibri" w:hAnsiTheme="majorBidi" w:cstheme="majorBidi"/>
          <w:sz w:val="24"/>
          <w:szCs w:val="24"/>
          <w:lang w:val="en-US"/>
        </w:rPr>
        <w:t>antiretrovirals</w:t>
      </w:r>
      <w:r w:rsidR="00C839E4" w:rsidRPr="00795222">
        <w:rPr>
          <w:rFonts w:asciiTheme="majorBidi" w:eastAsia="Calibri" w:hAnsiTheme="majorBidi" w:cstheme="majorBidi"/>
          <w:sz w:val="24"/>
          <w:szCs w:val="24"/>
          <w:lang w:val="en-US"/>
        </w:rPr>
        <w:t xml:space="preserve"> (DRV/RTV)</w:t>
      </w:r>
      <w:r w:rsidR="00202464" w:rsidRPr="00795222">
        <w:rPr>
          <w:rFonts w:asciiTheme="majorBidi" w:eastAsia="Calibri" w:hAnsiTheme="majorBidi" w:cstheme="majorBidi"/>
          <w:sz w:val="24"/>
          <w:szCs w:val="24"/>
          <w:lang w:val="en-US"/>
        </w:rPr>
        <w:t xml:space="preserve"> and the surfactant composition was tuned to combine colloidal stability under physiological conditions with </w:t>
      </w:r>
      <w:r w:rsidR="00C839E4" w:rsidRPr="00795222">
        <w:rPr>
          <w:rFonts w:asciiTheme="majorBidi" w:eastAsia="Calibri" w:hAnsiTheme="majorBidi" w:cstheme="majorBidi"/>
          <w:sz w:val="24"/>
          <w:szCs w:val="24"/>
          <w:lang w:val="en-US"/>
        </w:rPr>
        <w:t xml:space="preserve">sufficient lipid (in the form of SBL) to offer enhanced permeability. </w:t>
      </w:r>
    </w:p>
    <w:p w14:paraId="2A551F3B" w14:textId="3E7D58C8" w:rsidR="002F4C2F" w:rsidRPr="00795222" w:rsidRDefault="004B2AE4" w:rsidP="00657F6C">
      <w:pPr>
        <w:spacing w:line="360" w:lineRule="auto"/>
        <w:jc w:val="both"/>
        <w:rPr>
          <w:rFonts w:asciiTheme="majorBidi" w:eastAsia="Calibri" w:hAnsiTheme="majorBidi" w:cstheme="majorBidi"/>
          <w:sz w:val="24"/>
          <w:szCs w:val="24"/>
          <w:lang w:val="en-US"/>
        </w:rPr>
      </w:pPr>
      <w:r w:rsidRPr="00795222">
        <w:rPr>
          <w:rFonts w:asciiTheme="majorBidi" w:eastAsia="Calibri" w:hAnsiTheme="majorBidi" w:cstheme="majorBidi"/>
          <w:sz w:val="24"/>
          <w:szCs w:val="24"/>
          <w:lang w:val="en-US"/>
        </w:rPr>
        <w:t xml:space="preserve">From the </w:t>
      </w:r>
      <w:r w:rsidR="0018201C" w:rsidRPr="00795222">
        <w:rPr>
          <w:rFonts w:asciiTheme="majorBidi" w:eastAsia="Calibri" w:hAnsiTheme="majorBidi" w:cstheme="majorBidi"/>
          <w:sz w:val="24"/>
          <w:szCs w:val="24"/>
          <w:lang w:val="en-US"/>
        </w:rPr>
        <w:t>formulation ranges tested, o</w:t>
      </w:r>
      <w:r w:rsidR="00FD1426" w:rsidRPr="00795222">
        <w:rPr>
          <w:rFonts w:asciiTheme="majorBidi" w:eastAsia="Calibri" w:hAnsiTheme="majorBidi" w:cstheme="majorBidi"/>
          <w:sz w:val="24"/>
          <w:szCs w:val="24"/>
          <w:lang w:val="en-US"/>
        </w:rPr>
        <w:t xml:space="preserve">ur findings suggest that the optimum </w:t>
      </w:r>
      <w:r w:rsidR="00C839E4" w:rsidRPr="00795222">
        <w:rPr>
          <w:rFonts w:asciiTheme="majorBidi" w:eastAsia="Calibri" w:hAnsiTheme="majorBidi" w:cstheme="majorBidi"/>
          <w:sz w:val="24"/>
          <w:szCs w:val="24"/>
          <w:lang w:val="en-US"/>
        </w:rPr>
        <w:t>stabilizer to p</w:t>
      </w:r>
      <w:r w:rsidR="00FD1426" w:rsidRPr="00795222">
        <w:rPr>
          <w:rFonts w:asciiTheme="majorBidi" w:eastAsia="Calibri" w:hAnsiTheme="majorBidi" w:cstheme="majorBidi"/>
          <w:sz w:val="24"/>
          <w:szCs w:val="24"/>
          <w:lang w:val="en-US"/>
        </w:rPr>
        <w:t>olymer</w:t>
      </w:r>
      <w:r w:rsidR="00C839E4" w:rsidRPr="00795222">
        <w:rPr>
          <w:rFonts w:asciiTheme="majorBidi" w:eastAsia="Calibri" w:hAnsiTheme="majorBidi" w:cstheme="majorBidi"/>
          <w:sz w:val="24"/>
          <w:szCs w:val="24"/>
          <w:lang w:val="en-US"/>
        </w:rPr>
        <w:t xml:space="preserve"> core</w:t>
      </w:r>
      <w:r w:rsidR="00FD1426" w:rsidRPr="00795222">
        <w:rPr>
          <w:rFonts w:asciiTheme="majorBidi" w:eastAsia="Calibri" w:hAnsiTheme="majorBidi" w:cstheme="majorBidi"/>
          <w:sz w:val="24"/>
          <w:szCs w:val="24"/>
          <w:lang w:val="en-US"/>
        </w:rPr>
        <w:t xml:space="preserve"> was 20 % w/w. </w:t>
      </w:r>
      <w:r w:rsidR="00224B86" w:rsidRPr="00795222">
        <w:rPr>
          <w:rFonts w:asciiTheme="majorBidi" w:eastAsia="Calibri" w:hAnsiTheme="majorBidi" w:cstheme="majorBidi"/>
          <w:sz w:val="24"/>
          <w:szCs w:val="24"/>
          <w:lang w:val="en-US"/>
        </w:rPr>
        <w:t>Brij 78</w:t>
      </w:r>
      <w:r w:rsidR="00FD1426" w:rsidRPr="00795222">
        <w:rPr>
          <w:rFonts w:asciiTheme="majorBidi" w:eastAsia="Calibri" w:hAnsiTheme="majorBidi" w:cstheme="majorBidi"/>
          <w:sz w:val="24"/>
          <w:szCs w:val="24"/>
          <w:lang w:val="en-US"/>
        </w:rPr>
        <w:t xml:space="preserve"> </w:t>
      </w:r>
      <w:r w:rsidR="00DE56AA" w:rsidRPr="00795222">
        <w:rPr>
          <w:rFonts w:asciiTheme="majorBidi" w:eastAsia="Calibri" w:hAnsiTheme="majorBidi" w:cstheme="majorBidi"/>
          <w:sz w:val="24"/>
          <w:szCs w:val="24"/>
          <w:lang w:val="en-US"/>
        </w:rPr>
        <w:t>was</w:t>
      </w:r>
      <w:r w:rsidR="00FD1426" w:rsidRPr="00795222">
        <w:rPr>
          <w:rFonts w:asciiTheme="majorBidi" w:eastAsia="Calibri" w:hAnsiTheme="majorBidi" w:cstheme="majorBidi"/>
          <w:sz w:val="24"/>
          <w:szCs w:val="24"/>
          <w:lang w:val="en-US"/>
        </w:rPr>
        <w:t xml:space="preserve"> crucial in providing stability </w:t>
      </w:r>
      <w:r w:rsidR="002B1446" w:rsidRPr="00795222">
        <w:rPr>
          <w:rFonts w:asciiTheme="majorBidi" w:eastAsia="Calibri" w:hAnsiTheme="majorBidi" w:cstheme="majorBidi"/>
          <w:sz w:val="24"/>
          <w:szCs w:val="24"/>
          <w:lang w:val="en-US"/>
        </w:rPr>
        <w:t>in biologically relevant media</w:t>
      </w:r>
      <w:r w:rsidR="00C839E4" w:rsidRPr="00795222">
        <w:rPr>
          <w:rFonts w:asciiTheme="majorBidi" w:eastAsia="Calibri" w:hAnsiTheme="majorBidi" w:cstheme="majorBidi"/>
          <w:sz w:val="24"/>
          <w:szCs w:val="24"/>
          <w:lang w:val="en-US"/>
        </w:rPr>
        <w:t>.</w:t>
      </w:r>
      <w:r w:rsidR="00FD1426" w:rsidRPr="00795222">
        <w:rPr>
          <w:rFonts w:asciiTheme="majorBidi" w:eastAsia="Calibri" w:hAnsiTheme="majorBidi" w:cstheme="majorBidi"/>
          <w:sz w:val="24"/>
          <w:szCs w:val="24"/>
          <w:lang w:val="en-US"/>
        </w:rPr>
        <w:t xml:space="preserve"> </w:t>
      </w:r>
      <w:r w:rsidR="00C839E4" w:rsidRPr="00795222">
        <w:rPr>
          <w:rFonts w:asciiTheme="majorBidi" w:eastAsia="Calibri" w:hAnsiTheme="majorBidi" w:cstheme="majorBidi"/>
          <w:sz w:val="24"/>
          <w:szCs w:val="24"/>
          <w:lang w:val="en-US"/>
        </w:rPr>
        <w:t>We have shown that the</w:t>
      </w:r>
      <w:r w:rsidR="008468D2" w:rsidRPr="00795222">
        <w:rPr>
          <w:rFonts w:asciiTheme="majorBidi" w:eastAsia="Calibri" w:hAnsiTheme="majorBidi" w:cstheme="majorBidi"/>
          <w:sz w:val="24"/>
          <w:szCs w:val="24"/>
          <w:lang w:val="en-US"/>
        </w:rPr>
        <w:t>se LPHN</w:t>
      </w:r>
      <w:r w:rsidR="00C839E4" w:rsidRPr="00795222">
        <w:rPr>
          <w:rFonts w:asciiTheme="majorBidi" w:eastAsia="Calibri" w:hAnsiTheme="majorBidi" w:cstheme="majorBidi"/>
          <w:sz w:val="24"/>
          <w:szCs w:val="24"/>
          <w:lang w:val="en-US"/>
        </w:rPr>
        <w:t xml:space="preserve"> formulations </w:t>
      </w:r>
      <w:r w:rsidR="008468D2" w:rsidRPr="00795222">
        <w:rPr>
          <w:rFonts w:asciiTheme="majorBidi" w:eastAsia="Calibri" w:hAnsiTheme="majorBidi" w:cstheme="majorBidi"/>
          <w:sz w:val="24"/>
          <w:szCs w:val="24"/>
          <w:lang w:val="en-US"/>
        </w:rPr>
        <w:t xml:space="preserve">can </w:t>
      </w:r>
      <w:r w:rsidR="00C839E4" w:rsidRPr="00795222">
        <w:rPr>
          <w:rFonts w:asciiTheme="majorBidi" w:eastAsia="Calibri" w:hAnsiTheme="majorBidi" w:cstheme="majorBidi"/>
          <w:sz w:val="24"/>
          <w:szCs w:val="24"/>
          <w:lang w:val="en-US"/>
        </w:rPr>
        <w:t>be freeze-dried to obtain a solid</w:t>
      </w:r>
      <w:r w:rsidR="008468D2" w:rsidRPr="00795222">
        <w:rPr>
          <w:rFonts w:asciiTheme="majorBidi" w:eastAsia="Calibri" w:hAnsiTheme="majorBidi" w:cstheme="majorBidi"/>
          <w:sz w:val="24"/>
          <w:szCs w:val="24"/>
          <w:lang w:val="en-US"/>
        </w:rPr>
        <w:t>,</w:t>
      </w:r>
      <w:r w:rsidR="00C839E4" w:rsidRPr="00795222">
        <w:rPr>
          <w:rFonts w:asciiTheme="majorBidi" w:eastAsia="Calibri" w:hAnsiTheme="majorBidi" w:cstheme="majorBidi"/>
          <w:sz w:val="24"/>
          <w:szCs w:val="24"/>
          <w:lang w:val="en-US"/>
        </w:rPr>
        <w:t xml:space="preserve"> </w:t>
      </w:r>
      <w:r w:rsidR="008468D2" w:rsidRPr="00795222">
        <w:rPr>
          <w:rFonts w:asciiTheme="majorBidi" w:eastAsia="Calibri" w:hAnsiTheme="majorBidi" w:cstheme="majorBidi"/>
          <w:sz w:val="24"/>
          <w:szCs w:val="24"/>
          <w:lang w:val="en-US"/>
        </w:rPr>
        <w:t xml:space="preserve">addressing many of the stability issues that are faced for the storage of liquid nanomedicine formulations. These solids can then </w:t>
      </w:r>
      <w:r w:rsidR="00C839E4" w:rsidRPr="00795222">
        <w:rPr>
          <w:rFonts w:asciiTheme="majorBidi" w:eastAsia="Calibri" w:hAnsiTheme="majorBidi" w:cstheme="majorBidi"/>
          <w:sz w:val="24"/>
          <w:szCs w:val="24"/>
          <w:lang w:val="en-US"/>
        </w:rPr>
        <w:t>be redispersed at the time of need</w:t>
      </w:r>
      <w:r w:rsidR="001F0FA4" w:rsidRPr="00795222">
        <w:rPr>
          <w:rFonts w:asciiTheme="majorBidi" w:eastAsia="Calibri" w:hAnsiTheme="majorBidi" w:cstheme="majorBidi"/>
          <w:sz w:val="24"/>
          <w:szCs w:val="24"/>
          <w:lang w:val="en-US"/>
        </w:rPr>
        <w:t>, a considerable challenge in nanomedicine</w:t>
      </w:r>
      <w:r w:rsidR="00C839E4" w:rsidRPr="00795222">
        <w:rPr>
          <w:rFonts w:asciiTheme="majorBidi" w:eastAsia="Calibri" w:hAnsiTheme="majorBidi" w:cstheme="majorBidi"/>
          <w:sz w:val="24"/>
          <w:szCs w:val="24"/>
          <w:lang w:val="en-US"/>
        </w:rPr>
        <w:t xml:space="preserve">. </w:t>
      </w:r>
      <w:r w:rsidR="001F0FA4" w:rsidRPr="00795222">
        <w:rPr>
          <w:rFonts w:asciiTheme="majorBidi" w:eastAsia="Calibri" w:hAnsiTheme="majorBidi" w:cstheme="majorBidi"/>
          <w:sz w:val="24"/>
          <w:szCs w:val="24"/>
          <w:lang w:val="en-US"/>
        </w:rPr>
        <w:t>However, for this formulation, the freeze-drying process reduced the permeation behavior</w:t>
      </w:r>
      <w:r w:rsidR="008468D2" w:rsidRPr="00795222">
        <w:rPr>
          <w:rFonts w:asciiTheme="majorBidi" w:eastAsia="Calibri" w:hAnsiTheme="majorBidi" w:cstheme="majorBidi"/>
          <w:sz w:val="24"/>
          <w:szCs w:val="24"/>
          <w:lang w:val="en-US"/>
        </w:rPr>
        <w:t xml:space="preserve"> in a triple culture model</w:t>
      </w:r>
      <w:r w:rsidR="001F0FA4" w:rsidRPr="00795222">
        <w:rPr>
          <w:rFonts w:asciiTheme="majorBidi" w:eastAsia="Calibri" w:hAnsiTheme="majorBidi" w:cstheme="majorBidi"/>
          <w:sz w:val="24"/>
          <w:szCs w:val="24"/>
          <w:lang w:val="en-US"/>
        </w:rPr>
        <w:t xml:space="preserve">. The cause for this reduction in biological performance will need further research to understand the factors controlling this </w:t>
      </w:r>
      <w:r w:rsidR="0001091A" w:rsidRPr="00795222">
        <w:rPr>
          <w:rFonts w:asciiTheme="majorBidi" w:eastAsia="Calibri" w:hAnsiTheme="majorBidi" w:cstheme="majorBidi"/>
          <w:sz w:val="24"/>
          <w:szCs w:val="24"/>
          <w:lang w:val="en-US"/>
        </w:rPr>
        <w:t>behavior</w:t>
      </w:r>
      <w:r w:rsidR="00954CA8" w:rsidRPr="00795222">
        <w:rPr>
          <w:rFonts w:asciiTheme="majorBidi" w:eastAsia="Calibri" w:hAnsiTheme="majorBidi" w:cstheme="majorBidi"/>
          <w:sz w:val="24"/>
          <w:szCs w:val="24"/>
          <w:lang w:val="en-US"/>
        </w:rPr>
        <w:t xml:space="preserve">. </w:t>
      </w:r>
      <w:r w:rsidR="00C839E4" w:rsidRPr="00795222">
        <w:rPr>
          <w:rFonts w:asciiTheme="majorBidi" w:eastAsia="Calibri" w:hAnsiTheme="majorBidi" w:cstheme="majorBidi"/>
          <w:sz w:val="24"/>
          <w:szCs w:val="24"/>
          <w:lang w:val="en-US"/>
        </w:rPr>
        <w:t xml:space="preserve">Our work </w:t>
      </w:r>
      <w:r w:rsidR="00584D32" w:rsidRPr="00795222">
        <w:rPr>
          <w:rFonts w:asciiTheme="majorBidi" w:eastAsia="Calibri" w:hAnsiTheme="majorBidi" w:cstheme="majorBidi"/>
          <w:sz w:val="24"/>
          <w:szCs w:val="24"/>
          <w:lang w:val="en-US"/>
        </w:rPr>
        <w:t>shows</w:t>
      </w:r>
      <w:r w:rsidR="00C839E4" w:rsidRPr="00795222">
        <w:rPr>
          <w:rFonts w:asciiTheme="majorBidi" w:eastAsia="Calibri" w:hAnsiTheme="majorBidi" w:cstheme="majorBidi"/>
          <w:sz w:val="24"/>
          <w:szCs w:val="24"/>
          <w:lang w:val="en-US"/>
        </w:rPr>
        <w:t xml:space="preserve"> that SBL</w:t>
      </w:r>
      <w:r w:rsidR="00FD1426" w:rsidRPr="00795222">
        <w:rPr>
          <w:rFonts w:asciiTheme="majorBidi" w:eastAsia="Calibri" w:hAnsiTheme="majorBidi" w:cstheme="majorBidi"/>
          <w:sz w:val="24"/>
          <w:szCs w:val="24"/>
          <w:lang w:val="en-US"/>
        </w:rPr>
        <w:t xml:space="preserve"> </w:t>
      </w:r>
      <w:r w:rsidR="00DE56AA" w:rsidRPr="00795222">
        <w:rPr>
          <w:rFonts w:asciiTheme="majorBidi" w:eastAsia="Calibri" w:hAnsiTheme="majorBidi" w:cstheme="majorBidi"/>
          <w:sz w:val="24"/>
          <w:szCs w:val="24"/>
          <w:lang w:val="en-US"/>
        </w:rPr>
        <w:t>plays an</w:t>
      </w:r>
      <w:r w:rsidR="00FD1426" w:rsidRPr="00795222">
        <w:rPr>
          <w:rFonts w:asciiTheme="majorBidi" w:eastAsia="Calibri" w:hAnsiTheme="majorBidi" w:cstheme="majorBidi"/>
          <w:sz w:val="24"/>
          <w:szCs w:val="24"/>
          <w:lang w:val="en-US"/>
        </w:rPr>
        <w:t xml:space="preserve"> important role in the </w:t>
      </w:r>
      <w:r w:rsidR="002B1446" w:rsidRPr="00795222">
        <w:rPr>
          <w:rFonts w:asciiTheme="majorBidi" w:eastAsia="Calibri" w:hAnsiTheme="majorBidi" w:cstheme="majorBidi"/>
          <w:sz w:val="24"/>
          <w:szCs w:val="24"/>
          <w:lang w:val="en-US"/>
        </w:rPr>
        <w:t xml:space="preserve">permeation of </w:t>
      </w:r>
      <w:r w:rsidR="00EC3DC4" w:rsidRPr="00795222">
        <w:rPr>
          <w:rFonts w:asciiTheme="majorBidi" w:eastAsia="Calibri" w:hAnsiTheme="majorBidi" w:cstheme="majorBidi"/>
          <w:sz w:val="24"/>
          <w:szCs w:val="24"/>
          <w:lang w:val="en-US"/>
        </w:rPr>
        <w:t xml:space="preserve">drug loaded </w:t>
      </w:r>
      <w:r w:rsidR="002B1446" w:rsidRPr="00795222">
        <w:rPr>
          <w:rFonts w:asciiTheme="majorBidi" w:eastAsia="Calibri" w:hAnsiTheme="majorBidi" w:cstheme="majorBidi"/>
          <w:sz w:val="24"/>
          <w:szCs w:val="24"/>
          <w:lang w:val="en-US"/>
        </w:rPr>
        <w:t xml:space="preserve">particles across </w:t>
      </w:r>
      <w:r w:rsidR="002B1446" w:rsidRPr="00795222">
        <w:rPr>
          <w:rFonts w:asciiTheme="majorBidi" w:eastAsia="Calibri" w:hAnsiTheme="majorBidi" w:cstheme="majorBidi"/>
          <w:sz w:val="24"/>
          <w:szCs w:val="24"/>
          <w:lang w:val="en-US"/>
        </w:rPr>
        <w:lastRenderedPageBreak/>
        <w:t>the intestinal epithelium</w:t>
      </w:r>
      <w:r w:rsidR="00DE56AA" w:rsidRPr="00795222">
        <w:rPr>
          <w:rFonts w:asciiTheme="majorBidi" w:eastAsia="Calibri" w:hAnsiTheme="majorBidi" w:cstheme="majorBidi"/>
          <w:sz w:val="24"/>
          <w:szCs w:val="24"/>
          <w:lang w:val="en-US"/>
        </w:rPr>
        <w:t xml:space="preserve">. </w:t>
      </w:r>
      <w:r w:rsidR="00C839E4" w:rsidRPr="00795222">
        <w:rPr>
          <w:rFonts w:asciiTheme="majorBidi" w:eastAsia="Calibri" w:hAnsiTheme="majorBidi" w:cstheme="majorBidi"/>
          <w:sz w:val="24"/>
          <w:szCs w:val="24"/>
          <w:lang w:val="en-US"/>
        </w:rPr>
        <w:t>Formulations of DRV/RTV in LPHNs may offer improved drug delivery for the treatment of HIV.</w:t>
      </w:r>
    </w:p>
    <w:p w14:paraId="096CEEC0" w14:textId="77777777" w:rsidR="00EF2FBC" w:rsidRPr="00795222" w:rsidRDefault="00EF2FBC" w:rsidP="00657F6C">
      <w:pPr>
        <w:pStyle w:val="Heading1"/>
        <w:jc w:val="both"/>
      </w:pPr>
      <w:r w:rsidRPr="00795222">
        <w:t xml:space="preserve">Acknowledgments </w:t>
      </w:r>
    </w:p>
    <w:p w14:paraId="235AF3E4" w14:textId="734B35B6" w:rsidR="00E56199" w:rsidRPr="00795222" w:rsidRDefault="00EF2FBC" w:rsidP="00657F6C">
      <w:pPr>
        <w:spacing w:line="360" w:lineRule="auto"/>
        <w:jc w:val="both"/>
        <w:rPr>
          <w:rFonts w:asciiTheme="majorBidi" w:eastAsia="Calibri" w:hAnsiTheme="majorBidi" w:cstheme="majorBidi"/>
          <w:sz w:val="24"/>
          <w:szCs w:val="24"/>
          <w:lang w:val="en-US"/>
        </w:rPr>
      </w:pPr>
      <w:r w:rsidRPr="00795222">
        <w:rPr>
          <w:rFonts w:asciiTheme="majorBidi" w:eastAsia="Calibri" w:hAnsiTheme="majorBidi" w:cstheme="majorBidi"/>
          <w:sz w:val="24"/>
          <w:szCs w:val="24"/>
          <w:lang w:val="en-US"/>
        </w:rPr>
        <w:t xml:space="preserve">The authors would like to thank the Department of Chemistry at the University of Liverpool for supporting </w:t>
      </w:r>
      <w:r w:rsidR="00DE37EE" w:rsidRPr="00795222">
        <w:rPr>
          <w:rFonts w:asciiTheme="majorBidi" w:eastAsia="Calibri" w:hAnsiTheme="majorBidi" w:cstheme="majorBidi"/>
          <w:sz w:val="24"/>
          <w:szCs w:val="24"/>
          <w:lang w:val="en-US"/>
        </w:rPr>
        <w:t>HE</w:t>
      </w:r>
      <w:r w:rsidRPr="00795222">
        <w:rPr>
          <w:rFonts w:asciiTheme="majorBidi" w:eastAsia="Calibri" w:hAnsiTheme="majorBidi" w:cstheme="majorBidi"/>
          <w:sz w:val="24"/>
          <w:szCs w:val="24"/>
          <w:lang w:val="en-US"/>
        </w:rPr>
        <w:t xml:space="preserve"> with an International Postgraduate Research Studentship</w:t>
      </w:r>
      <w:r w:rsidR="00DE37EE" w:rsidRPr="00795222">
        <w:rPr>
          <w:rFonts w:asciiTheme="majorBidi" w:eastAsia="Calibri" w:hAnsiTheme="majorBidi" w:cstheme="majorBidi"/>
          <w:sz w:val="24"/>
          <w:szCs w:val="24"/>
          <w:lang w:val="en-US"/>
        </w:rPr>
        <w:t>.</w:t>
      </w:r>
      <w:r w:rsidRPr="00795222">
        <w:rPr>
          <w:rFonts w:asciiTheme="majorBidi" w:eastAsia="Calibri" w:hAnsiTheme="majorBidi" w:cstheme="majorBidi"/>
          <w:sz w:val="24"/>
          <w:szCs w:val="24"/>
          <w:lang w:val="en-US"/>
        </w:rPr>
        <w:t xml:space="preserve"> </w:t>
      </w:r>
      <w:r w:rsidR="00DE37EE" w:rsidRPr="00795222">
        <w:rPr>
          <w:rFonts w:asciiTheme="majorBidi" w:eastAsia="Calibri" w:hAnsiTheme="majorBidi" w:cstheme="majorBidi"/>
          <w:sz w:val="24"/>
          <w:szCs w:val="24"/>
          <w:lang w:val="en-US"/>
        </w:rPr>
        <w:t>W</w:t>
      </w:r>
      <w:r w:rsidRPr="00795222">
        <w:rPr>
          <w:rFonts w:asciiTheme="majorBidi" w:eastAsia="Calibri" w:hAnsiTheme="majorBidi" w:cstheme="majorBidi"/>
          <w:sz w:val="24"/>
          <w:szCs w:val="24"/>
          <w:lang w:val="en-US"/>
        </w:rPr>
        <w:t>e very gratefully acknowledge financial support</w:t>
      </w:r>
      <w:r w:rsidR="00DE37EE" w:rsidRPr="00795222">
        <w:rPr>
          <w:rFonts w:asciiTheme="majorBidi" w:eastAsia="Calibri" w:hAnsiTheme="majorBidi" w:cstheme="majorBidi"/>
          <w:sz w:val="24"/>
          <w:szCs w:val="24"/>
          <w:lang w:val="en-US"/>
        </w:rPr>
        <w:t xml:space="preserve"> provide to HE through the Schlumberger Faculty for the Future grant program and funding </w:t>
      </w:r>
      <w:r w:rsidRPr="00795222">
        <w:rPr>
          <w:rFonts w:asciiTheme="majorBidi" w:eastAsia="Calibri" w:hAnsiTheme="majorBidi" w:cstheme="majorBidi"/>
          <w:sz w:val="24"/>
          <w:szCs w:val="24"/>
          <w:lang w:val="en-US"/>
        </w:rPr>
        <w:t xml:space="preserve">from the EPSRC (Grant Number </w:t>
      </w:r>
      <w:r w:rsidR="00442C25" w:rsidRPr="00795222">
        <w:rPr>
          <w:rFonts w:asciiTheme="majorBidi" w:eastAsia="Calibri" w:hAnsiTheme="majorBidi" w:cstheme="majorBidi"/>
          <w:sz w:val="24"/>
          <w:szCs w:val="24"/>
          <w:lang w:val="en-US"/>
        </w:rPr>
        <w:t>EP/S012265/1</w:t>
      </w:r>
      <w:r w:rsidRPr="00795222">
        <w:rPr>
          <w:rFonts w:asciiTheme="majorBidi" w:eastAsia="Calibri" w:hAnsiTheme="majorBidi" w:cstheme="majorBidi"/>
          <w:sz w:val="24"/>
          <w:szCs w:val="24"/>
          <w:lang w:val="en-US"/>
        </w:rPr>
        <w:t xml:space="preserve">).  </w:t>
      </w:r>
    </w:p>
    <w:p w14:paraId="6CEA503E" w14:textId="3E3FA030" w:rsidR="00FD1426" w:rsidRPr="00795222" w:rsidRDefault="00FD1426" w:rsidP="00657F6C">
      <w:pPr>
        <w:pStyle w:val="Heading1"/>
        <w:jc w:val="both"/>
      </w:pPr>
      <w:r w:rsidRPr="00795222">
        <w:t>References</w:t>
      </w:r>
    </w:p>
    <w:p w14:paraId="0BD04962" w14:textId="333A443F" w:rsidR="00873D32" w:rsidRPr="00795222" w:rsidRDefault="00FD1426"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heme="majorBidi" w:hAnsiTheme="majorBidi" w:cstheme="majorBidi"/>
          <w:sz w:val="24"/>
          <w:szCs w:val="24"/>
          <w:lang w:val="en-US"/>
        </w:rPr>
        <w:fldChar w:fldCharType="begin" w:fldLock="1"/>
      </w:r>
      <w:r w:rsidRPr="00795222">
        <w:rPr>
          <w:rFonts w:asciiTheme="majorBidi" w:hAnsiTheme="majorBidi" w:cstheme="majorBidi"/>
          <w:sz w:val="24"/>
          <w:szCs w:val="24"/>
          <w:lang w:val="en-US"/>
        </w:rPr>
        <w:instrText xml:space="preserve">ADDIN Mendeley Bibliography CSL_BIBLIOGRAPHY </w:instrText>
      </w:r>
      <w:r w:rsidRPr="00795222">
        <w:rPr>
          <w:rFonts w:asciiTheme="majorBidi" w:hAnsiTheme="majorBidi" w:cstheme="majorBidi"/>
          <w:sz w:val="24"/>
          <w:szCs w:val="24"/>
          <w:lang w:val="en-US"/>
        </w:rPr>
        <w:fldChar w:fldCharType="separate"/>
      </w:r>
      <w:r w:rsidR="00873D32" w:rsidRPr="00795222">
        <w:rPr>
          <w:rFonts w:ascii="Times New Roman" w:hAnsi="Times New Roman" w:cs="Times New Roman"/>
          <w:noProof/>
          <w:sz w:val="24"/>
          <w:szCs w:val="24"/>
        </w:rPr>
        <w:t>Antoniou, T., Szadkowski, L., Walmsley, S., Cooper, C., Burchell, A.N., Bayoumi, A.M., Montaner, J.S.G., Loutfy, M., Klein, M.B., Machouf, N., Tsoukas, C., Wong, A., Hogg, R.S., Raboud, J., 2017. Comparison of atazanavir/ritonavir and darunavir/ritonavir based antiretroviral therapy for antiretroviral naïve patients. BMC Infect. Dis. 17, 266. https://doi.org/10.1186/s12879-017-2379-8</w:t>
      </w:r>
    </w:p>
    <w:p w14:paraId="509BFB09"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Antunes, F., Andrade, F., Araújo, F., Ferreira, D., Sarmento, B., 2013. Establishment of a triple co-culture in vitro cell models to study intestinal absorption of peptide drugs. Eur. J. Pharm. Biopharm. 83, 427–435. https://doi.org/10.1016/j.ejpb.2012.10.003</w:t>
      </w:r>
    </w:p>
    <w:p w14:paraId="0AFA5839"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Bayindir, Z.S., Yuksel, N., 2010. Characterization of Niosomes Prepared With Various Nonionic Surfactants for Paclitaxel Oral Delivery 99, 2049–2061. https://doi.org/10.1002/jps</w:t>
      </w:r>
    </w:p>
    <w:p w14:paraId="41172EEA"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Beloqui, A., des Rieux, A., Pr??at, V., 2016. Mechanisms of transport of polymeric and lipidic nanoparticles across the intestinal barrier. Adv. Drug Deliv. Rev. 106, 242–255. https://doi.org/10.1016/j.addr.2016.04.014</w:t>
      </w:r>
    </w:p>
    <w:p w14:paraId="316FA74B"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Beloqui, A., Solinís, M.Á., Rieux, A. des, Préat, V., Rodríguez-Gascón, A., 2014. Dextran–protamine coated nanostructured lipid carriers as mucus-penetrating nanoparticles for lipophilic drugs. Int. J. Pharm. 468, 105–111. https://doi.org/10.1016/j.ijpharm.2014.04.027</w:t>
      </w:r>
    </w:p>
    <w:p w14:paraId="2371AB62"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 xml:space="preserve">Capetti, A.F., Cossu, M.V., Orofino, G., Sterrantino, G., Cenderello, G., De Socio, G. V., Cattelan, A.M., Soria, A., Rusconi, S., Riccardi, N., Baldin, G.M., Niero, F.P., Barbarini, G., Rizzardini, G., 2017. A dual regimen of ritonavir/darunavir plus dolutegravir for rescue or simplification of rescue therapy: 48 weeks’ observational data. </w:t>
      </w:r>
      <w:r w:rsidRPr="00795222">
        <w:rPr>
          <w:rFonts w:ascii="Times New Roman" w:hAnsi="Times New Roman" w:cs="Times New Roman"/>
          <w:noProof/>
          <w:sz w:val="24"/>
          <w:szCs w:val="24"/>
        </w:rPr>
        <w:lastRenderedPageBreak/>
        <w:t>BMC Infect. Dis. 17, 658. https://doi.org/10.1186/s12879-017-2755-4</w:t>
      </w:r>
    </w:p>
    <w:p w14:paraId="5AC89ED9"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Chan, J.M., Zhang, L., Yuet, K.P., Liao, G., Rhee, J., Langer, R., Farokhzad, O.C., 2009. Biomaterials PLGA – lecithin – PEG core – shell nanoparticles for controlled drug delivery. Biomaterials 30, 1627–1634. https://doi.org/10.1016/j.biomaterials.2008.12.013</w:t>
      </w:r>
    </w:p>
    <w:p w14:paraId="5D82D946"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Chen, L.C., Chen, Y.C., Su, C.Y., Wong, W.P., Sheu, M.T., Ho, H.O., 2016. Development and Characterization of Lecithin-based Self-assembling Mixed Polymeric Micellar (saMPMs) Drug Delivery Systems for Curcumin. Sci. Rep. 6, 37122. https://doi.org/10.1038/srep37122</w:t>
      </w:r>
    </w:p>
    <w:p w14:paraId="7FD64897"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Dalmoro, A., Bochicchio, S., Nasibullin, S.F., Bertoncin, P., Lamberti, G., Barba, A.A., Moustafine, R.I., 2018. Polymer-lipid hybrid nanoparticles as enhanced indomethacin delivery systems. Eur. J. Pharm. Sci. 121, 16–28. https://doi.org/10.1016/j.ejps.2018.05.014</w:t>
      </w:r>
    </w:p>
    <w:p w14:paraId="5AABB3DA"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des Rieux, A., Fievez, V., Théate, I., Mast, J., Préat, V., Schneider, Y.-J., 2007. An improved in vitro model of human intestinal follicle-associated epithelium to study nanoparticle transport by M cells. Eur. J. Pharm. Sci. 30, 380–91. https://doi.org/10.1016/j.ejps.2006.12.006</w:t>
      </w:r>
    </w:p>
    <w:p w14:paraId="081F9AB9"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Desai, J., Thakkar, H., 2017. Darunavir-Loaded Lipid Nanoparticles for Targeting to HIV Reservoirs. AAPS PharmSciTech. https://doi.org/10.1208/s12249-017-0876-0</w:t>
      </w:r>
    </w:p>
    <w:p w14:paraId="3F7F6D98"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Desai, J., Thakkar, H., 2016. Effect of particle size on oral bioavailability of darunavir-loaded solid lipid nanoparticles. J. Microencapsul. 33, 669–678. https://doi.org/10.1080/02652048.2016.1245363</w:t>
      </w:r>
    </w:p>
    <w:p w14:paraId="169C3783"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Desai, P.P., Date, A.A., Patravale, V.B., 2012. Overcoming poor oral bioavailability using nanoparticle formulations – opportunities and limitations. Drug Discov. Today Technol. 9, e87–e95. https://doi.org/10.1016/j.ddtec.2011.12.001</w:t>
      </w:r>
    </w:p>
    <w:p w14:paraId="020A6786"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Dong, X., Mattingly, C.A., Tseng, M., Cho, M., Adams, V.R., Mumper, R.J., 2009. European Journal of Pharmaceutics and Biopharmaceutics Development of new lipid-based paclitaxel nanoparticles using sequential simplex optimization. Eur. J. Pharm. Biopharm. 72, 9–17. https://doi.org/10.1016/j.ejpb.2008.11.012</w:t>
      </w:r>
    </w:p>
    <w:p w14:paraId="6432255E"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 xml:space="preserve">Elsby, R., Surry, D.D., Smith, V.N., Gray, A.J., 2008. Validation and application of Caco-2 </w:t>
      </w:r>
      <w:r w:rsidRPr="00795222">
        <w:rPr>
          <w:rFonts w:ascii="Times New Roman" w:hAnsi="Times New Roman" w:cs="Times New Roman"/>
          <w:noProof/>
          <w:sz w:val="24"/>
          <w:szCs w:val="24"/>
        </w:rPr>
        <w:lastRenderedPageBreak/>
        <w:t>assays for the in vitro evaluation of development candidate drugs as substrates or inhibitors of P-glycoprotein to support regulatory submissions. Xenobiotica 38, 1140–1164. https://doi.org/10.1080/00498250802050880</w:t>
      </w:r>
    </w:p>
    <w:p w14:paraId="72D06F00"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Fang, R.H., Aryal, S., Hu, C.J., Zhang, L., 2010. Quick Synthesis of Lipid - Polymer Hybrid Nanoparticles with Low Polydispersity Using a Single-Step Sonication Method 26, 16958–16962. https://doi.org/10.1021/la103576a</w:t>
      </w:r>
    </w:p>
    <w:p w14:paraId="413F3A67"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Ferraretto, A., Bottani, M., De Luca, P., Cornaghi, L., Arnaboldi, F., Maggioni, M., Fiorilli, A., Donetti, E., 2018. Morphofunctional properties of a differentiated Caco2/HT-29 co-culture as an in vitro model of human intestinal epithelium. Biosci. Rep. 38. https://doi.org/10.1042/BSR20171497</w:t>
      </w:r>
    </w:p>
    <w:p w14:paraId="31B04E5F"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Filipe, V., Hawe, A., Jiskoot, W., 2010. Critical evaluation of nanoparticle tracking analysis (NTA) by NanoSight for the measurement of nanoparticles and protein aggregates. Pharm. Res. 27, 796–810. https://doi.org/10.1007/s11095-010-0073-2</w:t>
      </w:r>
    </w:p>
    <w:p w14:paraId="53BB5AE4"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Ford, J., 2004. The intracellular pharmacology of antiretroviral protease inhibitors. J. Antimicrob. Chemother. 54, 982–990. https://doi.org/10.1093/jac/dkh487</w:t>
      </w:r>
    </w:p>
    <w:p w14:paraId="559AC880"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Gao, J., Xia, Y., Chen, H., Yu, Y., Li, W., Qian, W., Guo, Y., 2013. Polymer – lipid hybrid nanoparticles conjugated with anti-EGF receptor antibody for targeted drug delivery to hepatocellular carcinoma R esearch A rticle 279–294.</w:t>
      </w:r>
    </w:p>
    <w:p w14:paraId="2E0AB104"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Giardiello, M., Liptrott, N.J., McDonald, T.O., Moss, D., Siccardi, M., Martin, P., Smith, D., Gurjar, R., Rannard, S.P., Owen, A., 2016. Accelerated oral nanomedicine discovery from miniaturized screening to clinical production exemplified by paediatric HIV nanotherapies. Nat. Commun. 7, 13184. https://doi.org/10.1038/ncomms13184</w:t>
      </w:r>
    </w:p>
    <w:p w14:paraId="6B35AA1C"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Gupta, U., Jain, N.K., 2010. Non-polymeric nano-carriers in HIV/AIDS drug delivery and targeting. Adv. Drug Deliv. Rev. 62, 478–490. https://doi.org/10.1016/j.addr.2009.11.018</w:t>
      </w:r>
    </w:p>
    <w:p w14:paraId="04CBF534"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Hadinoto, K., Sundaresan, A., Cheow, W.S., 2013. European Journal of Pharmaceutics and Biopharmaceutics Lipid – polymer hybrid nanoparticles as a new generation therapeutic delivery platform : A review. Eur. J. Pharm. Biopharm. 85, 427–443. https://doi.org/10.1016/j.ejpb.2013.07.002</w:t>
      </w:r>
    </w:p>
    <w:p w14:paraId="1F8A7747"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 xml:space="preserve">Hatton, F.L., Tatham, L.M., Tidbury, L.R., Chambon, P., He, T., Owen, A., Rannard, S.P., </w:t>
      </w:r>
      <w:r w:rsidRPr="00795222">
        <w:rPr>
          <w:rFonts w:ascii="Times New Roman" w:hAnsi="Times New Roman" w:cs="Times New Roman"/>
          <w:noProof/>
          <w:sz w:val="24"/>
          <w:szCs w:val="24"/>
        </w:rPr>
        <w:lastRenderedPageBreak/>
        <w:t>2015. Hyperbranched polydendrons: A new nanomaterials platform with tuneable permeation through model gut epithelium. Chem. Sci. 6. https://doi.org/10.1039/c4sc02889a</w:t>
      </w:r>
    </w:p>
    <w:p w14:paraId="1E0E98CA"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Hsu, S.-H., A. Al-Suwayeh, S., Chen, C.-C., Chi, C.-H., Fang, J.-Y., 2011. PEGylated Liposomes Incorporated with Nonionic Surfactants as an Apomorphine Delivery System Targeting the Brain: In Vitro Release and In Vivo Real-time Imaging. Curr. Nanosci. 7, 191–199. https://doi.org/10.2174/157341311794653686</w:t>
      </w:r>
    </w:p>
    <w:p w14:paraId="3108477D"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Hsu, S., Al-suwayeh, S.A., Chen, C., Chi, C., Fang, J., 2011. PEGylated Liposomes Incorporated with Nonionic Surfactants as an Apomorphine Delivery System Targeting the Brain : In Vitro Release and In Vivo Real-time Imaging PEGylated Liposomes Incorporated with Nonionic Surfactants as an Apomorphine Delivery System . https://doi.org/10.2174/157341311794653686</w:t>
      </w:r>
    </w:p>
    <w:p w14:paraId="25AB528A"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Hu, H., Liu, D., Zhao, X., Qiao, M., Chen, D., 2013. Preparation , characterization , cellular uptake and evaluation in vivo of solid lipid nanoparticles loaded with cucurbitacin B evaluation in vivo of solid lipid nanoparticles loaded with cucurbitacin B 9045. https://doi.org/10.3109/03639045.2012.702348</w:t>
      </w:r>
    </w:p>
    <w:p w14:paraId="388A4097"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Hunter,  a. C., Elsom, J., Wibroe, P.P., Moghimi, S.M., 2012. Polymeric particulate technologies for oral drug delivery and targeting: A pathophysiological perspective. Maturitas 73, 5–18. https://doi.org/10.1016/j.maturitas.2012.05.014</w:t>
      </w:r>
    </w:p>
    <w:p w14:paraId="2ADCAD22"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Jin, X., Zhang, Z., Sun, E., Tan, X., Zhu, F., Li, S., Jia, X., 2012. Preparation of icariside II-phospholipid complex and its absorption across Caco-2 cell monolayers 293–298. https://doi.org/10.1691/ph.2012.1110</w:t>
      </w:r>
    </w:p>
    <w:p w14:paraId="6EEAC7BE"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Lascar, R.M., Benn, P., 2009. Role of darunavir in the management of HIV infection. HIV/AIDS - Res. Palliat. Care I, 31–39.</w:t>
      </w:r>
    </w:p>
    <w:p w14:paraId="3FFDAE6C"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Lee M. Tatham, Alison C. Savage, Andrew Dwyer, Marco Siccardi, Trevor Scott, Manoli Vourvahis, S.P.R.&amp; A.O., 2018. Maraviroc Solid Drug Nanoparticles with Improved Oral Pharmacokinetics, in: Conference On Retroviruses And Opportunistic Infections (CROI) - Poster 482. Boston, USA.</w:t>
      </w:r>
    </w:p>
    <w:p w14:paraId="02193C61"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 xml:space="preserve">Li, J., Wang, X., Zhang, T., Wang, C., Huang, Z., Luo, X., Deng, Y., 2015. A review on phospholipids and their main applications in drug delivery systems. Asian J. Pharm. Sci. </w:t>
      </w:r>
      <w:r w:rsidRPr="00795222">
        <w:rPr>
          <w:rFonts w:ascii="Times New Roman" w:hAnsi="Times New Roman" w:cs="Times New Roman"/>
          <w:noProof/>
          <w:sz w:val="24"/>
          <w:szCs w:val="24"/>
        </w:rPr>
        <w:lastRenderedPageBreak/>
        <w:t>10, 81–98. https://doi.org/http://doi.org/10.1016/j.ajps.2014.09.004</w:t>
      </w:r>
    </w:p>
    <w:p w14:paraId="1D2E123B"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Li, Q., Cai, T., Huang, Y., Xia, X., Cole, S., Cai, Y., 2017. A Review of the Structure, Preparation, and Application of NLCs, PNPs, and PLNs. Nanomaterials 7, 122. https://doi.org/10.1002/bip.360251111</w:t>
      </w:r>
    </w:p>
    <w:p w14:paraId="0B7E35BC"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Lozoya-Agullo, I., Araújo, F., González-Álvarez, I., Merino-Sanjuán, M., González-Álvarez, M., Bermejo, M., Sarmento, B., 2017. Usefulness of Caco-2/HT29-MTX and Caco-2/HT29-MTX/Raji B coculture models to predict intestinal and colonic permeability compared to Caco-2 monoculture. Mol. Pharm. 14, 1264–1270. https://doi.org/10.1021/acs.molpharmaceut.6b01165</w:t>
      </w:r>
    </w:p>
    <w:p w14:paraId="03E01EAE"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Ma, P., Li, T., Xing, H., Wang, S., Sun, Y., Sheng, X., Wang, K., 2017. Local anesthetic effects of bupivacaine loaded lipid-polymer hybrid nanoparticles: In vitro and in vivo evaluation. Biomed. Pharmacother. 89, 689–695. https://doi.org/10.1016/j.biopha.2017.01.175</w:t>
      </w:r>
    </w:p>
    <w:p w14:paraId="4805A139"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Mahajan, S.D., Aalinkeel, R., Law, W.-C., Reynolds, J.L., Nair, B.B., Sykes, D.E., Yong, K.-T., Roy, I., Prasad, P.N., Schwartz, S.A., 2012. Anti-HIV-1 nanotherapeutics: promises and challenges for the future. Int. J. Nanomedicine 7, 5301–5314. https://doi.org/10.2147/IJN.S25871</w:t>
      </w:r>
    </w:p>
    <w:p w14:paraId="1B06E166"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Makwana, V., Jain, R., Patel, K., Nivsarkar, M., Joshi, A., 2015. Solid lipid nanoparticles (SLN) of Efavirenz as lymph targeting drug delivery system: Elucidation of mechanism of uptake using chylomicron flow blocking approach. Int. J. Pharm. 495, 439–446. https://doi.org/http://dx.doi.org/10.1016/j.ijpharm.2015.09.014</w:t>
      </w:r>
    </w:p>
    <w:p w14:paraId="7201C9CA"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Mandal, B., Bhattacharjee, H., Mittal, N., Sah, H., Balabathula, P., Thoma, L.A., Wood, G.C., 2013. Core – shell-type lipid – polymer hybrid nanoparticles as a drug delivery platform. Nanomedicine Nanotechnology, Biol. Med. 9, 474–491. https://doi.org/10.1016/j.nano.2012.11.010</w:t>
      </w:r>
    </w:p>
    <w:p w14:paraId="49A72C04"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Mandal, B., Mittal, N.K., Balabathula, P., Thoma, L.A., Wood, G.C., 2016. European Journal of Pharmaceutical Sciences Development and in vitro evaluation of core – shell type lipid – polymer hybrid nanoparticles for the delivery of erlotinib in non-small cell lung cancer. PHASCI 81, 162–171. https://doi.org/10.1016/j.ejps.2015.10.021</w:t>
      </w:r>
    </w:p>
    <w:p w14:paraId="2D506301"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 xml:space="preserve">McDonald, T.O., Giardiello, M., Martin, P., Siccardi, M., Liptrott, N.J., Smith, D., Roberts, </w:t>
      </w:r>
      <w:r w:rsidRPr="00795222">
        <w:rPr>
          <w:rFonts w:ascii="Times New Roman" w:hAnsi="Times New Roman" w:cs="Times New Roman"/>
          <w:noProof/>
          <w:sz w:val="24"/>
          <w:szCs w:val="24"/>
        </w:rPr>
        <w:lastRenderedPageBreak/>
        <w:t>P., Curley, P., Schipani, A., Khoo, S.H., Long, J., Foster, A.J., Rannard, S.P., Owen, A., 2014a. Antiretroviral Solid Drug Nanoparticles with Enhanced Oral Bioavailability: Production, Characterization, and In Vitro-In Vivo Correlation. Adv. Healthc. Mater. 3, 400–411. https://doi.org/10.1002/adhm.201300280</w:t>
      </w:r>
    </w:p>
    <w:p w14:paraId="7FF2F720"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McDonald, T.O., Giardiello, M., Martin, P., Siccardi, M., Liptrott, N.J., Smith, D., Roberts, P., Curley, P., Schipani, A., Khoo, S.H., Long, J., Foster, A.J., Rannard, S.P., Owen, A., 2014b. Antiretroviral solid drug nanoparticles with enhanced oral bioavailability: production, characterization, and in vitro-in vivo correlation. Adv. Healthc. Mater. 3, 400–411.</w:t>
      </w:r>
    </w:p>
    <w:p w14:paraId="26FF77B2"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McEvoy, C.L., Trevaskis, N.L., Feeney, O.M., Edwards, G.A., Perlman, M.E., Ambler, C.M., Porter, C.J.H., 2017. Correlating in Vitro Solubilization and Supersaturation Profiles with in Vivo Exposure for Lipid Based Formulations of the CETP Inhibitor CP-532,623. Mol. Pharm. 14, 4525–4538. https://doi.org/10.1021/acs.molpharmaceut.7b00660</w:t>
      </w:r>
    </w:p>
    <w:p w14:paraId="319F9EE3"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Mishra, A., Vuddanda, P.R., Singh, S., 2014. Intestinal lymphatic delivery of praziquantel by solid lipid nanoparticles: Formulation design, in vitro and in vivo studies. J. Nanotechnol. 2014. https://doi.org/10.1155/2014/351693</w:t>
      </w:r>
    </w:p>
    <w:p w14:paraId="539F3F48"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Mohsin, K., 2012. Design of lipid-based formulations for oral administration of poorly water-soluble drug fenofibrate: Effects of digestion. AAPS PharmSciTech 13, 637–646. https://doi.org/10.1208/s12249-012-9787-2</w:t>
      </w:r>
    </w:p>
    <w:p w14:paraId="1F4B9EAD"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Mukherjee, A., Waters, A.K., Kalyan, P., Achrol, A.S., Kesari, S., Yenugonda, V.M., 2019a. Lipid-polymer hybrid nanoparticles as a next-generation drug delivery platform: state of the art, emerging technologies, and perspectives. Int. J. Nanomedicine Volume 14, 1937–1952. https://doi.org/10.2147/IJN.S198353</w:t>
      </w:r>
    </w:p>
    <w:p w14:paraId="33130D71"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Mukherjee, A., Waters, K., Kalyan, P., Achrol, A.S., 2019b. Lipid – polymer hybrid nanoparticles as a next- generation drug delivery platform : state of the art , emerging technologies , and perspectives 1937–1952.</w:t>
      </w:r>
    </w:p>
    <w:p w14:paraId="7CF78389"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Neves, J., Gomes, M.J., das Neves, J., Sarmento, B., 2014. Nanoparticle-based drug delivery to improve the efficacy of antiretroviral therapy in the central nervous system. Int. J. Nanomedicine 9, 1757–1769. https://doi.org/10.2147/IJN.S45886</w:t>
      </w:r>
    </w:p>
    <w:p w14:paraId="3E7E16A8"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 xml:space="preserve">Nidhi, K., Indrajeet, S., Khushboo, M., Gauri, K., Sen, D.J., 2011. Hydrotropy: A promising </w:t>
      </w:r>
      <w:r w:rsidRPr="00795222">
        <w:rPr>
          <w:rFonts w:ascii="Times New Roman" w:hAnsi="Times New Roman" w:cs="Times New Roman"/>
          <w:noProof/>
          <w:sz w:val="24"/>
          <w:szCs w:val="24"/>
        </w:rPr>
        <w:lastRenderedPageBreak/>
        <w:t>tool for solubility enhancement: A review. Int. J. Drug Dev. Res. 3, 26–33. https://doi.org/10.1002/jps</w:t>
      </w:r>
    </w:p>
    <w:p w14:paraId="0637F67D"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Niu, L., Panyam, J., 2017. Freeze concentration-induced PLGA and polystyrene nanoparticle aggregation: Imaging and rational design of lyoprotection. J. Control. Release 248, 125–132. https://doi.org/10.1016/j.jconrel.2017.01.019</w:t>
      </w:r>
    </w:p>
    <w:p w14:paraId="2BF7C984"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Oyewumi, M.O., Mumper, R.J., 2003. Influence of formulation parameters on gadolinium entrapment and tumor cell uptake using folate-coated nanoparticles. Int. J. Pharm. 251, 85–97. https://doi.org/10.1016/S0378-5173(02)00587-2</w:t>
      </w:r>
    </w:p>
    <w:p w14:paraId="5BFA97F4"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Paliwal, R., Rai, S., Vaidya, B., Khatri, K., Goyal, A.K., Mishra, N., Mehta, A., Vyas, S.P., 2009. Effect of lipid core material on characteristics of solid lipid nanoparticles designed for oral lymphatic delivery. Nanomedicine Nanotechnology, Biol. Med. 5, 184–191. https://doi.org/10.1016/j.nano.2008.08.003</w:t>
      </w:r>
    </w:p>
    <w:p w14:paraId="37A46506"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Panel on Antiretroviral Guidelines for Adults and Adolescents, 2012. Guidelines for the use of antiretroviral agents in HIV-1-infected adults and adolescents, March. https://doi.org/10.3390/v7102887</w:t>
      </w:r>
    </w:p>
    <w:p w14:paraId="38C47AE9"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Prajapati, J.B., Katariya, H., Patel, R., 2018. Peyer’e patch targeting of Isradipine loaded Solid Lipid Nanoparticles: It’s cellular uptake study. J. Drug Deliv. Sci. Technol. 43, 318–326. https://doi.org/10.1016/j.jddst.2017.10.017</w:t>
      </w:r>
    </w:p>
    <w:p w14:paraId="64AC0D6A"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Pramual, S., Lirdprapamongkol, K., Svasti, J., Bergkvist, M., Jouan-Hureaux, V., Arnoux, P., Frochot, C., Barberi-Heyob, M., Niamsiri, N., 2017. Polymer-lipid-PEG hybrid nanoparticles as photosensitizer carrier for photodynamic therapy. J. Photochem. Photobiol. B Biol. 173, 12–22. https://doi.org/10.1016/j.jphotobiol.2017.05.028</w:t>
      </w:r>
    </w:p>
    <w:p w14:paraId="378B945E"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Ribeiro, M.E.N.P., Moura, C.L. De, Vieira, M.G.S., Gramosa, N. V, Chaibundit, C., Mattos, M.C. De, Attwood, D., Yeates, S.G., Nixon, S.K., Ricardo, N.M.P.S., 2012. Solubilisation capacity of Brij surfactants. Int. J. Pharm. 436, 631–635. https://doi.org/10.1016/j.ijpharm.2012.07.032</w:t>
      </w:r>
    </w:p>
    <w:p w14:paraId="00C7B378"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Rieux, A. Des, Ragnarsson, E.G.E., Gullberg, E., Préat, V., Schneider, Y.J., Artursson, P., 2005. Transport of nanoparticles across an in vitro model of the human intestinal follicle associated epithelium. Eur. J. Pharm. Sci. 25, 455–465. https://doi.org/10.1016/j.ejps.2005.04.015</w:t>
      </w:r>
    </w:p>
    <w:p w14:paraId="083CA37E"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lastRenderedPageBreak/>
        <w:t>Savage, A.C., Tatham, L.M., Siccardi, M., Scott, T., Vourvahis, M., Clark, A., Rannard, S.P., Owen, A., 2019. Improving maraviroc oral bioavailability by formation of solid drug nanoparticles. Eur. J. Pharm. Biopharm. 138, 30–36. https://doi.org/10.1016/j.ejpb.2018.05.015</w:t>
      </w:r>
    </w:p>
    <w:p w14:paraId="1958C24A"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Schimpel, C., Teubl, B., Absenger, M., Meindl, C., Fröhlich, E., Leitinger, G., Zimmer, A., Roblegg, E., 2014. Development of an advanced intestinal in vitro triple culture permeability model to study transport of nanoparticles. Mol. Pharm. 11, 808–818. https://doi.org/10.1021/mp400507g</w:t>
      </w:r>
    </w:p>
    <w:p w14:paraId="7D22419F"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Seitz, R., 2016. Human Immunodeficiency Virus (HIV). Transfus. Med. Hemotherapy 43, 203–222. https://doi.org/10.1159/000445852</w:t>
      </w:r>
    </w:p>
    <w:p w14:paraId="263C63D1"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Siccardi, M., Martin, P., McDonald, T.O., Liptrott, N.J., Giardiello, M., Rannard, S., Owen, A., 2013. Research Spotlight: Nanomedicines for HIV therapy. Ther. Deliv. 4, 153–156. https://doi.org/10.4155/tde.12.156</w:t>
      </w:r>
    </w:p>
    <w:p w14:paraId="75CE0C22"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Su, C., Liu, J., Ho, Y., Huang, Y., Chang, V.H., 2018. European Journal of Pharmaceutics and Biopharmaceutics Development and characterization of docetaxel-loaded lecithin-stabilized micellar drug delivery system ( L sb MDDs ) for improving the therapeutic e ffi cacy and reducing systemic toxicity. Eur. J. Pharm. Biopharm. 123, 9–19. https://doi.org/10.1016/j.ejpb.2017.11.006</w:t>
      </w:r>
    </w:p>
    <w:p w14:paraId="7CB471EE"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Tagami, T., Ernsting, M.J., Li, S., 2011a. Optimization of a novel and improved thermosensitive liposome formulated with DPPC and a Brij surfactant using a robust in vitro system. J. Control. Release 154, 290–297. https://doi.org/10.1016/j.jconrel.2011.05.020</w:t>
      </w:r>
    </w:p>
    <w:p w14:paraId="3183A1C9"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Tagami, T., Ernsting, M.J., Li, S.D., 2011b. Efficient tumor regression by a single and low dose treatment with a novel and enhanced formulation of thermosensitive liposomal doxorubicin. J. Control. Release 152, 303–309. https://doi.org/10.1016/j.jconrel.2011.02.009</w:t>
      </w:r>
    </w:p>
    <w:p w14:paraId="21E26C45"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Tatham, L.M., Rannard, S.P., Owen, A., 2015. Nanoformulation strategies for the enhanced oral bioavailability of antiretroviral therapeutics. Ther. Deliv. 6, 115–119. https://doi.org/10.4155/tde.15.4</w:t>
      </w:r>
    </w:p>
    <w:p w14:paraId="06605B27"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 xml:space="preserve">Yameen, B., Choi, W. Il, Vilos, C., Swami, A., Shi, J., Farokhzad, O.C., 2014. Insight into </w:t>
      </w:r>
      <w:r w:rsidRPr="00795222">
        <w:rPr>
          <w:rFonts w:ascii="Times New Roman" w:hAnsi="Times New Roman" w:cs="Times New Roman"/>
          <w:noProof/>
          <w:sz w:val="24"/>
          <w:szCs w:val="24"/>
        </w:rPr>
        <w:lastRenderedPageBreak/>
        <w:t>nanoparticle cellular uptake and intracellular targeting. J. Control. Release 190, 485–499. https://doi.org/10.1016/j.jconrel.2014.06.038</w:t>
      </w:r>
    </w:p>
    <w:p w14:paraId="3995909B"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Yu, F., Ao, M., Zheng, X., Li, N., Xia, J., Li, Y., Li, D., Hou, Z., Qi, Z., Chen, X.D., 2017. PEG-lipid-PLGA hybrid nanoparticles loaded with berberine-phospholipid complex to facilitate the oral delivery efficiency. Drug Deliv. 24, 825–833. https://doi.org/10.1080/10717544.2017.1321062</w:t>
      </w:r>
    </w:p>
    <w:p w14:paraId="39D94EF2"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Zhang, J., Fan, Y., Smith, E., 2009. PHARMACEUTICAL NANOTECHNOLOGY Experimental Design for the Optimization of Lipid Nanoparticles 98, 1813–1820. https://doi.org/10.1002/jps</w:t>
      </w:r>
    </w:p>
    <w:p w14:paraId="60B65C13"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Zhang, J.Q., Liu, J., Li, X.L., Jasti, B.R., 2007. Preparation and characterization of solid lipid nanoparticles containing silibinin. Drug Deliv. 14, 381–387. https://doi.org/10.1080/10717540701203034</w:t>
      </w:r>
    </w:p>
    <w:p w14:paraId="4EF72DA7"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Zhang, L., Chan, J.M., Gu, F.X., Rhee, J., Wang, A.Z., Radovic-moreno, A.F., Alexis, F., Langer, R., Farokhzad, O.C., 2008. Self-Assembled Lipid Polymer Hybrid Nanoparticles : A Robust Drug Delivery Platform. ACS Nano 2, 1696–1702. https://doi.org/10.1021/nn800275r</w:t>
      </w:r>
    </w:p>
    <w:p w14:paraId="7B9F36F5"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Zhang, L.I., Zhang, L., 2010. Lipid polymer hybrid nanoparticles: synthesis, characterization and applications 1, 163–174. https://doi.org/10.1142/S179398441000016X</w:t>
      </w:r>
    </w:p>
    <w:p w14:paraId="260C464C"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szCs w:val="24"/>
        </w:rPr>
      </w:pPr>
      <w:r w:rsidRPr="00795222">
        <w:rPr>
          <w:rFonts w:ascii="Times New Roman" w:hAnsi="Times New Roman" w:cs="Times New Roman"/>
          <w:noProof/>
          <w:sz w:val="24"/>
          <w:szCs w:val="24"/>
        </w:rPr>
        <w:t>Zhang, X., Chen, G., Zhang, T., Ma, Z., Wu, B., 2014. Effects of pegylated lipid nanoparticles on the oral absorption of one BCS II drug: A mechanistic investigation. Int. J. Nanomedicine 9, 5503–5514. https://doi.org/10.2147/IJN.S73340</w:t>
      </w:r>
    </w:p>
    <w:p w14:paraId="3FF19DA9" w14:textId="77777777" w:rsidR="00873D32" w:rsidRPr="00795222" w:rsidRDefault="00873D32" w:rsidP="00873D32">
      <w:pPr>
        <w:widowControl w:val="0"/>
        <w:autoSpaceDE w:val="0"/>
        <w:autoSpaceDN w:val="0"/>
        <w:adjustRightInd w:val="0"/>
        <w:spacing w:line="360" w:lineRule="auto"/>
        <w:ind w:left="480" w:hanging="480"/>
        <w:rPr>
          <w:rFonts w:ascii="Times New Roman" w:hAnsi="Times New Roman" w:cs="Times New Roman"/>
          <w:noProof/>
          <w:sz w:val="24"/>
        </w:rPr>
      </w:pPr>
      <w:r w:rsidRPr="00795222">
        <w:rPr>
          <w:rFonts w:ascii="Times New Roman" w:hAnsi="Times New Roman" w:cs="Times New Roman"/>
          <w:noProof/>
          <w:sz w:val="24"/>
          <w:szCs w:val="24"/>
        </w:rPr>
        <w:t>Zhu, X., Anquillare, E.L.B., Farokhzad, O.C., Shi, J., 2014. Polymer- and Protein-Based Nanotechnologies for Cancer Theranostics, Cancer Theranostics. Elsevier Inc. https://doi.org/10.1016/B978-0-12-407722-5.00022-0</w:t>
      </w:r>
    </w:p>
    <w:p w14:paraId="15945750" w14:textId="573C8C9B" w:rsidR="00F83398" w:rsidRPr="00795222" w:rsidRDefault="00FD1426" w:rsidP="00657F6C">
      <w:pPr>
        <w:widowControl w:val="0"/>
        <w:autoSpaceDE w:val="0"/>
        <w:autoSpaceDN w:val="0"/>
        <w:adjustRightInd w:val="0"/>
        <w:spacing w:line="360" w:lineRule="auto"/>
        <w:ind w:left="480" w:hanging="480"/>
        <w:jc w:val="both"/>
        <w:rPr>
          <w:rFonts w:asciiTheme="majorBidi" w:hAnsiTheme="majorBidi" w:cstheme="majorBidi"/>
          <w:sz w:val="24"/>
          <w:szCs w:val="24"/>
          <w:lang w:val="en-US"/>
        </w:rPr>
      </w:pPr>
      <w:r w:rsidRPr="00795222">
        <w:rPr>
          <w:rFonts w:asciiTheme="majorBidi" w:hAnsiTheme="majorBidi" w:cstheme="majorBidi"/>
          <w:sz w:val="24"/>
          <w:szCs w:val="24"/>
          <w:lang w:val="en-US"/>
        </w:rPr>
        <w:fldChar w:fldCharType="end"/>
      </w:r>
    </w:p>
    <w:p w14:paraId="48EAFA7D" w14:textId="77777777" w:rsidR="00F83398" w:rsidRPr="00795222" w:rsidRDefault="00F83398">
      <w:pPr>
        <w:rPr>
          <w:rFonts w:asciiTheme="majorBidi" w:hAnsiTheme="majorBidi" w:cstheme="majorBidi"/>
          <w:sz w:val="24"/>
          <w:szCs w:val="24"/>
          <w:lang w:val="en-US"/>
        </w:rPr>
      </w:pPr>
      <w:r w:rsidRPr="00795222">
        <w:rPr>
          <w:rFonts w:asciiTheme="majorBidi" w:hAnsiTheme="majorBidi" w:cstheme="majorBidi"/>
          <w:sz w:val="24"/>
          <w:szCs w:val="24"/>
          <w:lang w:val="en-US"/>
        </w:rPr>
        <w:br w:type="page"/>
      </w:r>
    </w:p>
    <w:p w14:paraId="7BC83FC8" w14:textId="7BB62289" w:rsidR="00F83398" w:rsidRPr="00795222" w:rsidRDefault="00F83398" w:rsidP="00F83398">
      <w:pPr>
        <w:spacing w:line="360" w:lineRule="auto"/>
        <w:jc w:val="both"/>
        <w:rPr>
          <w:rFonts w:asciiTheme="majorBidi" w:hAnsiTheme="majorBidi" w:cstheme="majorBidi"/>
          <w:b/>
          <w:sz w:val="24"/>
          <w:szCs w:val="24"/>
          <w:u w:val="single"/>
          <w:lang w:val="en-US"/>
        </w:rPr>
      </w:pPr>
      <w:r w:rsidRPr="00795222">
        <w:rPr>
          <w:rFonts w:asciiTheme="majorBidi" w:hAnsiTheme="majorBidi" w:cstheme="majorBidi"/>
          <w:b/>
          <w:sz w:val="24"/>
          <w:szCs w:val="24"/>
          <w:u w:val="single"/>
          <w:lang w:val="en-US"/>
        </w:rPr>
        <w:lastRenderedPageBreak/>
        <w:t>Highlights</w:t>
      </w:r>
      <w:bookmarkStart w:id="17" w:name="_GoBack"/>
      <w:bookmarkEnd w:id="17"/>
    </w:p>
    <w:p w14:paraId="5CEFC6F1" w14:textId="77777777" w:rsidR="00F83398" w:rsidRPr="00795222" w:rsidRDefault="00F83398" w:rsidP="00F83398">
      <w:pPr>
        <w:pStyle w:val="ListParagraph"/>
        <w:numPr>
          <w:ilvl w:val="0"/>
          <w:numId w:val="17"/>
        </w:num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lang w:val="en-US"/>
        </w:rPr>
        <w:t>Lipid polymer hybrid nanoparticles (LPHNs) were used as nanocarrier for oral delivery of HIV drugs: darunavir and ritonavir for the first time.</w:t>
      </w:r>
    </w:p>
    <w:p w14:paraId="779883A7" w14:textId="3DC89CA6" w:rsidR="00F83398" w:rsidRPr="00795222" w:rsidRDefault="00F83398" w:rsidP="00F83398">
      <w:pPr>
        <w:pStyle w:val="ListParagraph"/>
        <w:numPr>
          <w:ilvl w:val="0"/>
          <w:numId w:val="17"/>
        </w:num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lang w:val="en-US"/>
        </w:rPr>
        <w:t xml:space="preserve">Soybean </w:t>
      </w:r>
      <w:r w:rsidR="00971A97" w:rsidRPr="00795222">
        <w:rPr>
          <w:rFonts w:asciiTheme="majorBidi" w:hAnsiTheme="majorBidi" w:cstheme="majorBidi"/>
          <w:sz w:val="24"/>
          <w:szCs w:val="24"/>
          <w:lang w:val="en-US"/>
        </w:rPr>
        <w:t xml:space="preserve">lecithin </w:t>
      </w:r>
      <w:r w:rsidR="00971A97">
        <w:rPr>
          <w:rFonts w:asciiTheme="majorBidi" w:hAnsiTheme="majorBidi" w:cstheme="majorBidi"/>
          <w:sz w:val="24"/>
          <w:szCs w:val="24"/>
          <w:lang w:val="en-US"/>
        </w:rPr>
        <w:t>was</w:t>
      </w:r>
      <w:r w:rsidRPr="00795222">
        <w:rPr>
          <w:rFonts w:asciiTheme="majorBidi" w:hAnsiTheme="majorBidi" w:cstheme="majorBidi"/>
          <w:sz w:val="24"/>
          <w:szCs w:val="24"/>
          <w:lang w:val="en-US"/>
        </w:rPr>
        <w:t xml:space="preserve"> crucial for enhancement of the oral bioavailability of LPHNs and Brij 78 </w:t>
      </w:r>
      <w:r w:rsidR="00971A97">
        <w:rPr>
          <w:rFonts w:asciiTheme="majorBidi" w:hAnsiTheme="majorBidi" w:cstheme="majorBidi"/>
          <w:sz w:val="24"/>
          <w:szCs w:val="24"/>
          <w:lang w:val="en-US"/>
        </w:rPr>
        <w:t>was</w:t>
      </w:r>
      <w:r w:rsidRPr="00795222">
        <w:rPr>
          <w:rFonts w:asciiTheme="majorBidi" w:hAnsiTheme="majorBidi" w:cstheme="majorBidi"/>
          <w:sz w:val="24"/>
          <w:szCs w:val="24"/>
          <w:lang w:val="en-US"/>
        </w:rPr>
        <w:t xml:space="preserve"> a key component in maintaining particles stability at physiological pH.</w:t>
      </w:r>
    </w:p>
    <w:p w14:paraId="30FF987A" w14:textId="7745BAA0" w:rsidR="00F83398" w:rsidRPr="00795222" w:rsidRDefault="00971A97" w:rsidP="00F83398">
      <w:pPr>
        <w:pStyle w:val="ListParagraph"/>
        <w:numPr>
          <w:ilvl w:val="0"/>
          <w:numId w:val="17"/>
        </w:num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A h</w:t>
      </w:r>
      <w:r w:rsidR="00F83398" w:rsidRPr="00795222">
        <w:rPr>
          <w:rFonts w:asciiTheme="majorBidi" w:hAnsiTheme="majorBidi" w:cstheme="majorBidi"/>
          <w:sz w:val="24"/>
          <w:szCs w:val="24"/>
          <w:lang w:val="en-US"/>
        </w:rPr>
        <w:t>igh drug loading was achieved</w:t>
      </w:r>
      <w:r>
        <w:rPr>
          <w:rFonts w:asciiTheme="majorBidi" w:hAnsiTheme="majorBidi" w:cstheme="majorBidi"/>
          <w:sz w:val="24"/>
          <w:szCs w:val="24"/>
          <w:lang w:val="en-US"/>
        </w:rPr>
        <w:t xml:space="preserve"> in the formulation</w:t>
      </w:r>
      <w:r w:rsidR="00F83398" w:rsidRPr="00795222">
        <w:rPr>
          <w:rFonts w:asciiTheme="majorBidi" w:hAnsiTheme="majorBidi" w:cstheme="majorBidi"/>
          <w:sz w:val="24"/>
          <w:szCs w:val="24"/>
          <w:lang w:val="en-US"/>
        </w:rPr>
        <w:t xml:space="preserve"> (20 % w/w DRV/PLGA).</w:t>
      </w:r>
    </w:p>
    <w:p w14:paraId="625098ED" w14:textId="6F259DFA" w:rsidR="00F83398" w:rsidRPr="00795222" w:rsidRDefault="00F83398" w:rsidP="00F83398">
      <w:pPr>
        <w:pStyle w:val="ListParagraph"/>
        <w:numPr>
          <w:ilvl w:val="0"/>
          <w:numId w:val="17"/>
        </w:num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lang w:val="en-US"/>
        </w:rPr>
        <w:t>Freeze drying using</w:t>
      </w:r>
      <w:r w:rsidR="006A318D">
        <w:rPr>
          <w:rFonts w:asciiTheme="majorBidi" w:hAnsiTheme="majorBidi" w:cstheme="majorBidi"/>
          <w:sz w:val="24"/>
          <w:szCs w:val="24"/>
          <w:lang w:val="en-US"/>
        </w:rPr>
        <w:t xml:space="preserve"> a</w:t>
      </w:r>
      <w:r w:rsidR="006A318D" w:rsidRPr="006A318D">
        <w:rPr>
          <w:rFonts w:asciiTheme="majorBidi" w:hAnsiTheme="majorBidi" w:cstheme="majorBidi"/>
          <w:sz w:val="24"/>
          <w:szCs w:val="24"/>
          <w:lang w:val="en-US"/>
        </w:rPr>
        <w:t xml:space="preserve"> </w:t>
      </w:r>
      <w:r w:rsidR="006A318D">
        <w:rPr>
          <w:rFonts w:asciiTheme="majorBidi" w:hAnsiTheme="majorBidi" w:cstheme="majorBidi"/>
          <w:sz w:val="24"/>
          <w:szCs w:val="24"/>
          <w:lang w:val="en-US"/>
        </w:rPr>
        <w:t>comparatively low concentr</w:t>
      </w:r>
      <w:r w:rsidR="006A318D">
        <w:rPr>
          <w:rFonts w:asciiTheme="majorBidi" w:hAnsiTheme="majorBidi" w:cstheme="majorBidi"/>
          <w:sz w:val="24"/>
          <w:szCs w:val="24"/>
          <w:lang w:val="en-US"/>
        </w:rPr>
        <w:t>ation of</w:t>
      </w:r>
      <w:r w:rsidR="00971A97">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t>PEG as a</w:t>
      </w:r>
      <w:r w:rsidR="006A318D">
        <w:rPr>
          <w:rFonts w:asciiTheme="majorBidi" w:hAnsiTheme="majorBidi" w:cstheme="majorBidi"/>
          <w:sz w:val="24"/>
          <w:szCs w:val="24"/>
          <w:lang w:val="en-US"/>
        </w:rPr>
        <w:t xml:space="preserve"> </w:t>
      </w:r>
      <w:r w:rsidRPr="00795222">
        <w:rPr>
          <w:rFonts w:asciiTheme="majorBidi" w:hAnsiTheme="majorBidi" w:cstheme="majorBidi"/>
          <w:sz w:val="24"/>
          <w:szCs w:val="24"/>
          <w:lang w:val="en-US"/>
        </w:rPr>
        <w:t xml:space="preserve">cryoprotectant </w:t>
      </w:r>
      <w:r w:rsidR="00971A97">
        <w:rPr>
          <w:rFonts w:asciiTheme="majorBidi" w:hAnsiTheme="majorBidi" w:cstheme="majorBidi"/>
          <w:sz w:val="24"/>
          <w:szCs w:val="24"/>
          <w:lang w:val="en-US"/>
        </w:rPr>
        <w:t xml:space="preserve">allowed </w:t>
      </w:r>
      <w:r w:rsidRPr="00795222">
        <w:rPr>
          <w:rFonts w:asciiTheme="majorBidi" w:hAnsiTheme="majorBidi" w:cstheme="majorBidi"/>
          <w:sz w:val="24"/>
          <w:szCs w:val="24"/>
          <w:lang w:val="en-US"/>
        </w:rPr>
        <w:t>dry</w:t>
      </w:r>
      <w:r w:rsidR="00971A97">
        <w:rPr>
          <w:rFonts w:asciiTheme="majorBidi" w:hAnsiTheme="majorBidi" w:cstheme="majorBidi"/>
          <w:sz w:val="24"/>
          <w:szCs w:val="24"/>
          <w:lang w:val="en-US"/>
        </w:rPr>
        <w:t>, redispersible</w:t>
      </w:r>
      <w:r w:rsidRPr="00795222">
        <w:rPr>
          <w:rFonts w:asciiTheme="majorBidi" w:hAnsiTheme="majorBidi" w:cstheme="majorBidi"/>
          <w:sz w:val="24"/>
          <w:szCs w:val="24"/>
          <w:lang w:val="en-US"/>
        </w:rPr>
        <w:t xml:space="preserve"> LPHNs formulations</w:t>
      </w:r>
      <w:r w:rsidR="00971A97">
        <w:rPr>
          <w:rFonts w:asciiTheme="majorBidi" w:hAnsiTheme="majorBidi" w:cstheme="majorBidi"/>
          <w:sz w:val="24"/>
          <w:szCs w:val="24"/>
          <w:lang w:val="en-US"/>
        </w:rPr>
        <w:t xml:space="preserve"> to be prepared.</w:t>
      </w:r>
    </w:p>
    <w:p w14:paraId="45463062" w14:textId="77777777" w:rsidR="00F83398" w:rsidRPr="00795222" w:rsidRDefault="00F83398" w:rsidP="00F83398">
      <w:pPr>
        <w:spacing w:line="360" w:lineRule="auto"/>
        <w:jc w:val="both"/>
        <w:rPr>
          <w:rFonts w:asciiTheme="majorBidi" w:hAnsiTheme="majorBidi" w:cstheme="majorBidi"/>
          <w:sz w:val="24"/>
          <w:szCs w:val="24"/>
          <w:lang w:val="en-US"/>
        </w:rPr>
      </w:pPr>
    </w:p>
    <w:p w14:paraId="00536F5D" w14:textId="4907A4B3" w:rsidR="007B04D3" w:rsidRPr="00795222" w:rsidRDefault="007B04D3" w:rsidP="00F83398">
      <w:pPr>
        <w:spacing w:line="360" w:lineRule="auto"/>
        <w:jc w:val="both"/>
        <w:rPr>
          <w:rFonts w:asciiTheme="majorBidi" w:hAnsiTheme="majorBidi" w:cstheme="majorBidi"/>
          <w:sz w:val="24"/>
          <w:szCs w:val="24"/>
          <w:lang w:val="en-US"/>
        </w:rPr>
      </w:pPr>
      <w:r w:rsidRPr="00795222">
        <w:rPr>
          <w:rFonts w:asciiTheme="majorBidi" w:hAnsiTheme="majorBidi" w:cstheme="majorBidi"/>
          <w:sz w:val="24"/>
          <w:szCs w:val="24"/>
          <w:lang w:val="en-US"/>
        </w:rPr>
        <w:br w:type="page"/>
      </w:r>
    </w:p>
    <w:p w14:paraId="5D3B91E7" w14:textId="77777777" w:rsidR="007B04D3" w:rsidRPr="00795222" w:rsidRDefault="007B04D3" w:rsidP="00657F6C">
      <w:pPr>
        <w:jc w:val="both"/>
        <w:rPr>
          <w:b/>
          <w:lang w:val="en-US"/>
        </w:rPr>
      </w:pPr>
      <w:r w:rsidRPr="00795222">
        <w:rPr>
          <w:b/>
          <w:noProof/>
          <w:lang w:val="en-US"/>
        </w:rPr>
        <w:lastRenderedPageBreak/>
        <w:drawing>
          <wp:inline distT="0" distB="0" distL="0" distR="0" wp14:anchorId="6690195E" wp14:editId="412A152C">
            <wp:extent cx="5831529" cy="33728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4785" cy="3380482"/>
                    </a:xfrm>
                    <a:prstGeom prst="rect">
                      <a:avLst/>
                    </a:prstGeom>
                    <a:noFill/>
                  </pic:spPr>
                </pic:pic>
              </a:graphicData>
            </a:graphic>
          </wp:inline>
        </w:drawing>
      </w:r>
    </w:p>
    <w:p w14:paraId="51593697" w14:textId="7B281F7B" w:rsidR="007B04D3" w:rsidRPr="00795222" w:rsidRDefault="007B04D3" w:rsidP="00657F6C">
      <w:pPr>
        <w:spacing w:line="360" w:lineRule="auto"/>
        <w:jc w:val="both"/>
        <w:rPr>
          <w:rFonts w:asciiTheme="majorBidi" w:hAnsiTheme="majorBidi" w:cstheme="majorBidi"/>
          <w:sz w:val="24"/>
          <w:szCs w:val="24"/>
        </w:rPr>
      </w:pPr>
      <w:r w:rsidRPr="00795222">
        <w:rPr>
          <w:rFonts w:asciiTheme="majorBidi" w:hAnsiTheme="majorBidi" w:cstheme="majorBidi"/>
          <w:sz w:val="24"/>
          <w:szCs w:val="24"/>
        </w:rPr>
        <w:t>Figure 1. Schematic representation of the synthetic steps of formulating drug loaded LPHNs by nanoprecipitation. DRV, RTV and PLGA were dissolved in acetone and added to an aqueous phase, under moderate magnetic stirring, containing SBL and Brij 78. Acetone evaporation at ambient temperature overnight allowed an aqueous suspension of LPHNs to be obtained. The LPHNs were composed of a core of PLGA containing the drugs and a shell of SBL and Brij 78.</w:t>
      </w:r>
    </w:p>
    <w:p w14:paraId="4D4CB5A2" w14:textId="77777777" w:rsidR="007B04D3" w:rsidRPr="00795222" w:rsidRDefault="007B04D3" w:rsidP="00657F6C">
      <w:pPr>
        <w:spacing w:line="360" w:lineRule="auto"/>
        <w:jc w:val="both"/>
        <w:rPr>
          <w:rFonts w:asciiTheme="majorBidi" w:hAnsiTheme="majorBidi" w:cstheme="majorBidi"/>
          <w:sz w:val="24"/>
          <w:szCs w:val="24"/>
          <w:lang w:val="en-US"/>
        </w:rPr>
      </w:pPr>
    </w:p>
    <w:p w14:paraId="41DFE5AE" w14:textId="4F265FC4" w:rsidR="007B04D3" w:rsidRPr="00795222" w:rsidRDefault="007B04D3" w:rsidP="00657F6C">
      <w:pPr>
        <w:pStyle w:val="Caption"/>
        <w:jc w:val="both"/>
        <w:rPr>
          <w:rFonts w:asciiTheme="majorBidi" w:hAnsiTheme="majorBidi" w:cstheme="majorBidi"/>
          <w:sz w:val="24"/>
          <w:szCs w:val="24"/>
          <w:lang w:eastAsia="en-GB"/>
        </w:rPr>
      </w:pPr>
      <w:r w:rsidRPr="00795222">
        <w:rPr>
          <w:rFonts w:asciiTheme="majorBidi" w:hAnsiTheme="majorBidi" w:cstheme="majorBidi"/>
          <w:sz w:val="24"/>
          <w:szCs w:val="24"/>
          <w:lang w:eastAsia="en-GB"/>
        </w:rPr>
        <w:t xml:space="preserve">Table </w:t>
      </w:r>
      <w:r w:rsidRPr="00795222">
        <w:rPr>
          <w:rFonts w:asciiTheme="majorBidi" w:hAnsiTheme="majorBidi" w:cstheme="majorBidi"/>
          <w:sz w:val="24"/>
          <w:szCs w:val="24"/>
          <w:lang w:eastAsia="en-GB"/>
        </w:rPr>
        <w:fldChar w:fldCharType="begin"/>
      </w:r>
      <w:r w:rsidRPr="00795222">
        <w:rPr>
          <w:rFonts w:asciiTheme="majorBidi" w:hAnsiTheme="majorBidi" w:cstheme="majorBidi"/>
          <w:sz w:val="24"/>
          <w:szCs w:val="24"/>
          <w:lang w:eastAsia="en-GB"/>
        </w:rPr>
        <w:instrText xml:space="preserve"> SEQ Table \* ARABIC </w:instrText>
      </w:r>
      <w:r w:rsidRPr="00795222">
        <w:rPr>
          <w:rFonts w:asciiTheme="majorBidi" w:hAnsiTheme="majorBidi" w:cstheme="majorBidi"/>
          <w:sz w:val="24"/>
          <w:szCs w:val="24"/>
          <w:lang w:eastAsia="en-GB"/>
        </w:rPr>
        <w:fldChar w:fldCharType="separate"/>
      </w:r>
      <w:r w:rsidR="002F4BD1" w:rsidRPr="00795222">
        <w:rPr>
          <w:rFonts w:asciiTheme="majorBidi" w:hAnsiTheme="majorBidi" w:cstheme="majorBidi"/>
          <w:noProof/>
          <w:sz w:val="24"/>
          <w:szCs w:val="24"/>
          <w:lang w:eastAsia="en-GB"/>
        </w:rPr>
        <w:t>1</w:t>
      </w:r>
      <w:r w:rsidRPr="00795222">
        <w:rPr>
          <w:rFonts w:asciiTheme="majorBidi" w:hAnsiTheme="majorBidi" w:cstheme="majorBidi"/>
          <w:sz w:val="24"/>
          <w:szCs w:val="24"/>
          <w:lang w:eastAsia="en-GB"/>
        </w:rPr>
        <w:fldChar w:fldCharType="end"/>
      </w:r>
      <w:r w:rsidRPr="00795222">
        <w:rPr>
          <w:rFonts w:asciiTheme="majorBidi" w:hAnsiTheme="majorBidi" w:cstheme="majorBidi"/>
          <w:sz w:val="24"/>
          <w:szCs w:val="24"/>
          <w:lang w:eastAsia="en-GB"/>
        </w:rPr>
        <w:t>. Summary of DLS data (Z-average, PDI and Zeta potential) of blank</w:t>
      </w:r>
      <w:r w:rsidR="00AA2780" w:rsidRPr="00795222">
        <w:rPr>
          <w:rFonts w:asciiTheme="majorBidi" w:hAnsiTheme="majorBidi" w:cstheme="majorBidi"/>
          <w:sz w:val="24"/>
          <w:szCs w:val="24"/>
          <w:lang w:eastAsia="en-GB"/>
        </w:rPr>
        <w:t xml:space="preserve"> </w:t>
      </w:r>
      <w:r w:rsidRPr="00795222">
        <w:rPr>
          <w:rFonts w:asciiTheme="majorBidi" w:hAnsiTheme="majorBidi" w:cstheme="majorBidi"/>
          <w:sz w:val="24"/>
          <w:szCs w:val="24"/>
          <w:lang w:eastAsia="en-GB"/>
        </w:rPr>
        <w:t>LPHN</w:t>
      </w:r>
      <w:r w:rsidR="00DC414C" w:rsidRPr="00795222">
        <w:rPr>
          <w:rFonts w:asciiTheme="majorBidi" w:hAnsiTheme="majorBidi" w:cstheme="majorBidi"/>
          <w:sz w:val="24"/>
          <w:szCs w:val="24"/>
          <w:lang w:eastAsia="en-GB"/>
        </w:rPr>
        <w:t>s</w:t>
      </w:r>
      <w:r w:rsidRPr="00795222">
        <w:rPr>
          <w:rFonts w:asciiTheme="majorBidi" w:hAnsiTheme="majorBidi" w:cstheme="majorBidi"/>
          <w:sz w:val="24"/>
          <w:szCs w:val="24"/>
          <w:lang w:eastAsia="en-GB"/>
        </w:rPr>
        <w:t xml:space="preserve"> dispersions synthesized with different </w:t>
      </w:r>
      <w:r w:rsidR="00DE6AE4" w:rsidRPr="00795222">
        <w:rPr>
          <w:rFonts w:asciiTheme="majorBidi" w:hAnsiTheme="majorBidi" w:cstheme="majorBidi"/>
          <w:sz w:val="24"/>
          <w:szCs w:val="24"/>
          <w:lang w:eastAsia="en-GB"/>
        </w:rPr>
        <w:t>mass</w:t>
      </w:r>
      <w:r w:rsidR="007F3F4F" w:rsidRPr="00795222">
        <w:rPr>
          <w:rFonts w:asciiTheme="majorBidi" w:hAnsiTheme="majorBidi" w:cstheme="majorBidi"/>
          <w:sz w:val="24"/>
          <w:szCs w:val="24"/>
          <w:lang w:eastAsia="en-GB"/>
        </w:rPr>
        <w:t xml:space="preserve"> percentages of </w:t>
      </w:r>
      <w:r w:rsidRPr="00795222">
        <w:rPr>
          <w:rFonts w:asciiTheme="majorBidi" w:hAnsiTheme="majorBidi" w:cstheme="majorBidi"/>
          <w:sz w:val="24"/>
          <w:szCs w:val="24"/>
          <w:lang w:eastAsia="en-GB"/>
        </w:rPr>
        <w:t>SBL/PLGA dispersed in deionized water or PBS. The term “</w:t>
      </w:r>
      <w:r w:rsidRPr="00795222">
        <w:rPr>
          <w:rFonts w:asciiTheme="majorBidi" w:eastAsiaTheme="minorEastAsia" w:hAnsiTheme="majorBidi" w:cstheme="majorBidi"/>
          <w:color w:val="000000"/>
          <w:kern w:val="24"/>
          <w:sz w:val="24"/>
          <w:szCs w:val="24"/>
          <w:lang w:eastAsia="en-GB"/>
        </w:rPr>
        <w:t>Aggregated” refers to particle aggregation that can be seen by naked eye that is accompanied by Z-average diameter above 1000 nm. Data are represented as mean ± SD (n =3), where SD is the standard deviation and n is the number of samples measured.</w:t>
      </w:r>
    </w:p>
    <w:tbl>
      <w:tblPr>
        <w:tblW w:w="5000" w:type="pct"/>
        <w:jc w:val="center"/>
        <w:tblCellMar>
          <w:left w:w="0" w:type="dxa"/>
          <w:right w:w="0" w:type="dxa"/>
        </w:tblCellMar>
        <w:tblLook w:val="0600" w:firstRow="0" w:lastRow="0" w:firstColumn="0" w:lastColumn="0" w:noHBand="1" w:noVBand="1"/>
      </w:tblPr>
      <w:tblGrid>
        <w:gridCol w:w="1276"/>
        <w:gridCol w:w="1700"/>
        <w:gridCol w:w="1107"/>
        <w:gridCol w:w="1401"/>
        <w:gridCol w:w="2141"/>
        <w:gridCol w:w="1401"/>
      </w:tblGrid>
      <w:tr w:rsidR="007B04D3" w:rsidRPr="00795222" w14:paraId="36A0996E" w14:textId="77777777" w:rsidTr="00D80F71">
        <w:trPr>
          <w:trHeight w:val="20"/>
          <w:jc w:val="center"/>
        </w:trPr>
        <w:tc>
          <w:tcPr>
            <w:tcW w:w="707" w:type="pct"/>
            <w:vMerge w:val="restart"/>
            <w:tcBorders>
              <w:top w:val="single" w:sz="8" w:space="0" w:color="000000"/>
              <w:left w:val="nil"/>
              <w:bottom w:val="nil"/>
              <w:right w:val="single" w:sz="4" w:space="0" w:color="auto"/>
            </w:tcBorders>
            <w:vAlign w:val="center"/>
            <w:hideMark/>
          </w:tcPr>
          <w:p w14:paraId="457B17FB" w14:textId="77777777" w:rsidR="007B04D3" w:rsidRPr="00795222" w:rsidRDefault="007B04D3" w:rsidP="00657F6C">
            <w:pPr>
              <w:spacing w:after="0" w:line="240" w:lineRule="auto"/>
              <w:jc w:val="both"/>
              <w:rPr>
                <w:rFonts w:asciiTheme="majorBidi" w:eastAsia="Times New Roman" w:hAnsiTheme="majorBidi" w:cstheme="majorBidi"/>
                <w:b/>
                <w:bCs/>
                <w:color w:val="000000"/>
                <w:kern w:val="24"/>
                <w:lang w:val="en-US" w:eastAsia="en-GB"/>
              </w:rPr>
            </w:pPr>
            <w:r w:rsidRPr="00795222">
              <w:rPr>
                <w:rFonts w:asciiTheme="majorBidi" w:eastAsia="Times New Roman" w:hAnsiTheme="majorBidi" w:cstheme="majorBidi"/>
                <w:b/>
                <w:bCs/>
                <w:color w:val="000000"/>
                <w:kern w:val="24"/>
                <w:lang w:val="en-US" w:eastAsia="en-GB"/>
              </w:rPr>
              <w:t>SBL/PLGA % w/w</w:t>
            </w:r>
          </w:p>
        </w:tc>
        <w:tc>
          <w:tcPr>
            <w:tcW w:w="2331" w:type="pct"/>
            <w:gridSpan w:val="3"/>
            <w:tcBorders>
              <w:top w:val="single" w:sz="8" w:space="0" w:color="000000"/>
              <w:left w:val="single" w:sz="4" w:space="0" w:color="auto"/>
              <w:bottom w:val="single" w:sz="8" w:space="0" w:color="000000"/>
              <w:right w:val="single" w:sz="4" w:space="0" w:color="auto"/>
            </w:tcBorders>
            <w:shd w:val="clear" w:color="auto" w:fill="auto"/>
            <w:tcMar>
              <w:top w:w="13" w:type="dxa"/>
              <w:left w:w="13" w:type="dxa"/>
              <w:bottom w:w="0" w:type="dxa"/>
              <w:right w:w="13" w:type="dxa"/>
            </w:tcMar>
            <w:vAlign w:val="center"/>
            <w:hideMark/>
          </w:tcPr>
          <w:p w14:paraId="1E53D4DF" w14:textId="77777777" w:rsidR="007B04D3" w:rsidRPr="00795222" w:rsidRDefault="007B04D3" w:rsidP="00657F6C">
            <w:pPr>
              <w:spacing w:after="0" w:line="240" w:lineRule="auto"/>
              <w:jc w:val="both"/>
              <w:textAlignment w:val="bottom"/>
              <w:rPr>
                <w:rFonts w:asciiTheme="majorBidi" w:eastAsia="Times New Roman" w:hAnsiTheme="majorBidi" w:cstheme="majorBidi"/>
                <w:b/>
                <w:bCs/>
                <w:color w:val="000000"/>
                <w:kern w:val="24"/>
                <w:lang w:val="en-US" w:eastAsia="en-GB"/>
              </w:rPr>
            </w:pPr>
            <w:r w:rsidRPr="00795222">
              <w:rPr>
                <w:rFonts w:asciiTheme="majorBidi" w:eastAsia="Times New Roman" w:hAnsiTheme="majorBidi" w:cstheme="majorBidi"/>
                <w:b/>
                <w:bCs/>
                <w:color w:val="000000"/>
                <w:kern w:val="24"/>
                <w:lang w:val="en-US" w:eastAsia="en-GB"/>
              </w:rPr>
              <w:t>Deionized water</w:t>
            </w:r>
          </w:p>
        </w:tc>
        <w:tc>
          <w:tcPr>
            <w:tcW w:w="1962" w:type="pct"/>
            <w:gridSpan w:val="2"/>
            <w:tcBorders>
              <w:top w:val="single" w:sz="8" w:space="0" w:color="000000"/>
              <w:left w:val="single" w:sz="4" w:space="0" w:color="auto"/>
              <w:bottom w:val="single" w:sz="8" w:space="0" w:color="000000"/>
              <w:right w:val="nil"/>
            </w:tcBorders>
            <w:shd w:val="clear" w:color="auto" w:fill="auto"/>
            <w:tcMar>
              <w:top w:w="13" w:type="dxa"/>
              <w:left w:w="13" w:type="dxa"/>
              <w:bottom w:w="0" w:type="dxa"/>
              <w:right w:w="13" w:type="dxa"/>
            </w:tcMar>
            <w:vAlign w:val="center"/>
            <w:hideMark/>
          </w:tcPr>
          <w:p w14:paraId="111A3CF1" w14:textId="77777777" w:rsidR="007B04D3" w:rsidRPr="00795222" w:rsidRDefault="007B04D3" w:rsidP="00657F6C">
            <w:pPr>
              <w:spacing w:after="0" w:line="240" w:lineRule="auto"/>
              <w:jc w:val="both"/>
              <w:textAlignment w:val="bottom"/>
              <w:rPr>
                <w:rFonts w:asciiTheme="majorBidi" w:eastAsia="Times New Roman" w:hAnsiTheme="majorBidi" w:cstheme="majorBidi"/>
                <w:b/>
                <w:bCs/>
                <w:color w:val="000000"/>
                <w:kern w:val="24"/>
                <w:lang w:val="en-US" w:eastAsia="en-GB"/>
              </w:rPr>
            </w:pPr>
            <w:r w:rsidRPr="00795222">
              <w:rPr>
                <w:rFonts w:asciiTheme="majorBidi" w:eastAsia="Times New Roman" w:hAnsiTheme="majorBidi" w:cstheme="majorBidi"/>
                <w:b/>
                <w:bCs/>
                <w:color w:val="000000"/>
                <w:kern w:val="24"/>
                <w:lang w:val="en-US" w:eastAsia="en-GB"/>
              </w:rPr>
              <w:t>PBS</w:t>
            </w:r>
          </w:p>
        </w:tc>
      </w:tr>
      <w:tr w:rsidR="007B04D3" w:rsidRPr="00795222" w14:paraId="7521CBAB" w14:textId="77777777" w:rsidTr="00D80F71">
        <w:trPr>
          <w:trHeight w:val="20"/>
          <w:jc w:val="center"/>
        </w:trPr>
        <w:tc>
          <w:tcPr>
            <w:tcW w:w="707" w:type="pct"/>
            <w:vMerge/>
            <w:tcBorders>
              <w:top w:val="single" w:sz="8" w:space="0" w:color="000000"/>
              <w:left w:val="nil"/>
              <w:bottom w:val="nil"/>
              <w:right w:val="single" w:sz="4" w:space="0" w:color="auto"/>
            </w:tcBorders>
            <w:vAlign w:val="center"/>
            <w:hideMark/>
          </w:tcPr>
          <w:p w14:paraId="4A2AED6C" w14:textId="77777777" w:rsidR="007B04D3" w:rsidRPr="00795222" w:rsidRDefault="007B04D3" w:rsidP="00657F6C">
            <w:pPr>
              <w:spacing w:after="0" w:line="240" w:lineRule="auto"/>
              <w:jc w:val="both"/>
              <w:rPr>
                <w:rFonts w:asciiTheme="majorBidi" w:eastAsia="Times New Roman" w:hAnsiTheme="majorBidi" w:cstheme="majorBidi"/>
                <w:lang w:val="en-US" w:eastAsia="en-GB"/>
              </w:rPr>
            </w:pPr>
          </w:p>
        </w:tc>
        <w:tc>
          <w:tcPr>
            <w:tcW w:w="942" w:type="pct"/>
            <w:tcBorders>
              <w:top w:val="single" w:sz="8" w:space="0" w:color="000000"/>
              <w:left w:val="single" w:sz="4" w:space="0" w:color="auto"/>
              <w:bottom w:val="single" w:sz="8" w:space="0" w:color="000000"/>
              <w:right w:val="nil"/>
            </w:tcBorders>
            <w:shd w:val="clear" w:color="auto" w:fill="auto"/>
            <w:tcMar>
              <w:top w:w="13" w:type="dxa"/>
              <w:left w:w="13" w:type="dxa"/>
              <w:bottom w:w="0" w:type="dxa"/>
              <w:right w:w="13" w:type="dxa"/>
            </w:tcMar>
            <w:vAlign w:val="center"/>
            <w:hideMark/>
          </w:tcPr>
          <w:p w14:paraId="6BE3279E" w14:textId="77777777" w:rsidR="007B04D3" w:rsidRPr="00795222" w:rsidRDefault="007B04D3" w:rsidP="00657F6C">
            <w:pPr>
              <w:spacing w:after="0" w:line="240" w:lineRule="auto"/>
              <w:jc w:val="both"/>
              <w:textAlignment w:val="bottom"/>
              <w:rPr>
                <w:rFonts w:asciiTheme="majorBidi" w:eastAsia="Times New Roman" w:hAnsiTheme="majorBidi" w:cstheme="majorBidi"/>
                <w:b/>
                <w:bCs/>
                <w:lang w:val="en-US" w:eastAsia="en-GB"/>
              </w:rPr>
            </w:pPr>
            <w:r w:rsidRPr="00795222">
              <w:rPr>
                <w:rFonts w:asciiTheme="majorBidi" w:eastAsia="Times New Roman" w:hAnsiTheme="majorBidi" w:cstheme="majorBidi"/>
                <w:b/>
                <w:bCs/>
                <w:color w:val="000000"/>
                <w:kern w:val="24"/>
                <w:lang w:val="en-US" w:eastAsia="en-GB"/>
              </w:rPr>
              <w:t xml:space="preserve">Z-average diameter (nm) </w:t>
            </w:r>
          </w:p>
        </w:tc>
        <w:tc>
          <w:tcPr>
            <w:tcW w:w="613" w:type="pct"/>
            <w:tcBorders>
              <w:left w:val="nil"/>
            </w:tcBorders>
            <w:shd w:val="clear" w:color="auto" w:fill="auto"/>
            <w:tcMar>
              <w:top w:w="13" w:type="dxa"/>
              <w:left w:w="13" w:type="dxa"/>
              <w:bottom w:w="0" w:type="dxa"/>
              <w:right w:w="13" w:type="dxa"/>
            </w:tcMar>
            <w:vAlign w:val="center"/>
            <w:hideMark/>
          </w:tcPr>
          <w:p w14:paraId="0473BB02" w14:textId="77777777" w:rsidR="007B04D3" w:rsidRPr="00795222" w:rsidRDefault="007B04D3" w:rsidP="00657F6C">
            <w:pPr>
              <w:spacing w:after="0" w:line="240" w:lineRule="auto"/>
              <w:jc w:val="both"/>
              <w:textAlignment w:val="bottom"/>
              <w:rPr>
                <w:rFonts w:asciiTheme="majorBidi" w:eastAsia="Times New Roman" w:hAnsiTheme="majorBidi" w:cstheme="majorBidi"/>
                <w:b/>
                <w:bCs/>
                <w:lang w:val="en-US" w:eastAsia="en-GB"/>
              </w:rPr>
            </w:pPr>
            <w:r w:rsidRPr="00795222">
              <w:rPr>
                <w:rFonts w:asciiTheme="majorBidi" w:eastAsia="Times New Roman" w:hAnsiTheme="majorBidi" w:cstheme="majorBidi"/>
                <w:b/>
                <w:bCs/>
                <w:color w:val="000000"/>
                <w:kern w:val="24"/>
                <w:lang w:val="en-US" w:eastAsia="en-GB"/>
              </w:rPr>
              <w:t>PDI</w:t>
            </w:r>
          </w:p>
        </w:tc>
        <w:tc>
          <w:tcPr>
            <w:tcW w:w="776" w:type="pct"/>
            <w:tcBorders>
              <w:top w:val="single" w:sz="8" w:space="0" w:color="000000"/>
              <w:bottom w:val="single" w:sz="8" w:space="0" w:color="000000"/>
              <w:right w:val="single" w:sz="4" w:space="0" w:color="auto"/>
            </w:tcBorders>
            <w:shd w:val="clear" w:color="auto" w:fill="auto"/>
            <w:vAlign w:val="center"/>
          </w:tcPr>
          <w:p w14:paraId="66D9F0B3" w14:textId="77777777" w:rsidR="007B04D3" w:rsidRPr="00795222" w:rsidRDefault="007B04D3" w:rsidP="00657F6C">
            <w:pPr>
              <w:spacing w:after="0" w:line="240" w:lineRule="auto"/>
              <w:jc w:val="both"/>
              <w:textAlignment w:val="bottom"/>
              <w:rPr>
                <w:rFonts w:asciiTheme="majorBidi" w:eastAsia="Times New Roman" w:hAnsiTheme="majorBidi" w:cstheme="majorBidi"/>
                <w:b/>
                <w:bCs/>
                <w:color w:val="000000"/>
                <w:kern w:val="24"/>
                <w:lang w:val="en-US" w:eastAsia="en-GB"/>
              </w:rPr>
            </w:pPr>
            <w:r w:rsidRPr="00795222">
              <w:rPr>
                <w:rFonts w:asciiTheme="majorBidi" w:eastAsia="Times New Roman" w:hAnsiTheme="majorBidi" w:cstheme="majorBidi"/>
                <w:b/>
                <w:bCs/>
                <w:color w:val="000000"/>
                <w:kern w:val="24"/>
                <w:lang w:val="en-US" w:eastAsia="en-GB"/>
              </w:rPr>
              <w:t>Zeta potential (mv)</w:t>
            </w:r>
          </w:p>
        </w:tc>
        <w:tc>
          <w:tcPr>
            <w:tcW w:w="1186" w:type="pct"/>
            <w:tcBorders>
              <w:left w:val="single" w:sz="4" w:space="0" w:color="auto"/>
              <w:right w:val="nil"/>
            </w:tcBorders>
            <w:shd w:val="clear" w:color="auto" w:fill="auto"/>
            <w:tcMar>
              <w:top w:w="13" w:type="dxa"/>
              <w:left w:w="13" w:type="dxa"/>
              <w:bottom w:w="0" w:type="dxa"/>
              <w:right w:w="13" w:type="dxa"/>
            </w:tcMar>
            <w:vAlign w:val="center"/>
            <w:hideMark/>
          </w:tcPr>
          <w:p w14:paraId="51F3ECFA" w14:textId="77777777" w:rsidR="007B04D3" w:rsidRPr="00795222" w:rsidRDefault="007B04D3" w:rsidP="00657F6C">
            <w:pPr>
              <w:spacing w:after="0" w:line="240" w:lineRule="auto"/>
              <w:jc w:val="both"/>
              <w:textAlignment w:val="bottom"/>
              <w:rPr>
                <w:rFonts w:asciiTheme="majorBidi" w:eastAsia="Times New Roman" w:hAnsiTheme="majorBidi" w:cstheme="majorBidi"/>
                <w:b/>
                <w:bCs/>
                <w:lang w:val="en-US" w:eastAsia="en-GB"/>
              </w:rPr>
            </w:pPr>
            <w:r w:rsidRPr="00795222">
              <w:rPr>
                <w:rFonts w:asciiTheme="majorBidi" w:eastAsia="Times New Roman" w:hAnsiTheme="majorBidi" w:cstheme="majorBidi"/>
                <w:b/>
                <w:bCs/>
                <w:color w:val="000000"/>
                <w:kern w:val="24"/>
                <w:lang w:val="en-US" w:eastAsia="en-GB"/>
              </w:rPr>
              <w:t xml:space="preserve">Z-average diameter (nm) </w:t>
            </w:r>
          </w:p>
        </w:tc>
        <w:tc>
          <w:tcPr>
            <w:tcW w:w="776" w:type="pct"/>
            <w:tcBorders>
              <w:top w:val="single" w:sz="8" w:space="0" w:color="000000"/>
              <w:left w:val="nil"/>
              <w:bottom w:val="single" w:sz="8" w:space="0" w:color="000000"/>
              <w:right w:val="nil"/>
            </w:tcBorders>
            <w:vAlign w:val="center"/>
          </w:tcPr>
          <w:p w14:paraId="15D70685" w14:textId="77777777" w:rsidR="007B04D3" w:rsidRPr="00795222" w:rsidRDefault="007B04D3" w:rsidP="00657F6C">
            <w:pPr>
              <w:spacing w:after="0" w:line="240" w:lineRule="auto"/>
              <w:jc w:val="both"/>
              <w:textAlignment w:val="bottom"/>
              <w:rPr>
                <w:rFonts w:asciiTheme="majorBidi" w:eastAsia="Times New Roman" w:hAnsiTheme="majorBidi" w:cstheme="majorBidi"/>
                <w:b/>
                <w:bCs/>
                <w:color w:val="000000"/>
                <w:kern w:val="24"/>
                <w:lang w:val="en-US" w:eastAsia="en-GB"/>
              </w:rPr>
            </w:pPr>
            <w:r w:rsidRPr="00795222">
              <w:rPr>
                <w:rFonts w:asciiTheme="majorBidi" w:eastAsia="Times New Roman" w:hAnsiTheme="majorBidi" w:cstheme="majorBidi"/>
                <w:b/>
                <w:bCs/>
                <w:color w:val="000000"/>
                <w:kern w:val="24"/>
                <w:lang w:val="en-US" w:eastAsia="en-GB"/>
              </w:rPr>
              <w:t>Zeta potential (mv)</w:t>
            </w:r>
          </w:p>
        </w:tc>
      </w:tr>
      <w:tr w:rsidR="007B04D3" w:rsidRPr="00795222" w14:paraId="755DFA31" w14:textId="77777777" w:rsidTr="00D80F71">
        <w:trPr>
          <w:trHeight w:val="20"/>
          <w:jc w:val="center"/>
        </w:trPr>
        <w:tc>
          <w:tcPr>
            <w:tcW w:w="707" w:type="pct"/>
            <w:tcBorders>
              <w:top w:val="nil"/>
              <w:left w:val="nil"/>
              <w:bottom w:val="nil"/>
              <w:right w:val="single" w:sz="4" w:space="0" w:color="auto"/>
            </w:tcBorders>
            <w:shd w:val="clear" w:color="auto" w:fill="auto"/>
            <w:tcMar>
              <w:top w:w="13" w:type="dxa"/>
              <w:left w:w="13" w:type="dxa"/>
              <w:bottom w:w="0" w:type="dxa"/>
              <w:right w:w="13" w:type="dxa"/>
            </w:tcMar>
            <w:vAlign w:val="center"/>
            <w:hideMark/>
          </w:tcPr>
          <w:p w14:paraId="2C8F5788" w14:textId="77777777" w:rsidR="007B04D3" w:rsidRPr="00795222" w:rsidRDefault="007B04D3" w:rsidP="00657F6C">
            <w:pPr>
              <w:spacing w:after="0" w:line="240" w:lineRule="auto"/>
              <w:jc w:val="both"/>
              <w:textAlignment w:val="bottom"/>
              <w:rPr>
                <w:rFonts w:asciiTheme="majorBidi" w:eastAsia="Times New Roman" w:hAnsiTheme="majorBidi" w:cstheme="majorBidi"/>
                <w:lang w:val="en-US" w:eastAsia="en-GB"/>
              </w:rPr>
            </w:pPr>
            <w:r w:rsidRPr="00795222">
              <w:rPr>
                <w:rFonts w:asciiTheme="majorBidi" w:eastAsiaTheme="minorEastAsia" w:hAnsiTheme="majorBidi" w:cstheme="majorBidi"/>
                <w:color w:val="000000"/>
                <w:kern w:val="24"/>
                <w:lang w:val="en-US" w:eastAsia="en-GB"/>
              </w:rPr>
              <w:t>3.75</w:t>
            </w:r>
          </w:p>
        </w:tc>
        <w:tc>
          <w:tcPr>
            <w:tcW w:w="942" w:type="pct"/>
            <w:tcBorders>
              <w:top w:val="single" w:sz="8" w:space="0" w:color="000000"/>
              <w:left w:val="single" w:sz="4" w:space="0" w:color="auto"/>
              <w:bottom w:val="nil"/>
              <w:right w:val="nil"/>
            </w:tcBorders>
            <w:shd w:val="clear" w:color="auto" w:fill="auto"/>
            <w:tcMar>
              <w:top w:w="13" w:type="dxa"/>
              <w:left w:w="13" w:type="dxa"/>
              <w:bottom w:w="0" w:type="dxa"/>
              <w:right w:w="13" w:type="dxa"/>
            </w:tcMar>
            <w:vAlign w:val="center"/>
            <w:hideMark/>
          </w:tcPr>
          <w:p w14:paraId="121DD25A" w14:textId="77777777" w:rsidR="007B04D3" w:rsidRPr="00795222" w:rsidRDefault="007B04D3" w:rsidP="00657F6C">
            <w:pPr>
              <w:spacing w:after="0" w:line="240" w:lineRule="auto"/>
              <w:jc w:val="both"/>
              <w:textAlignment w:val="bottom"/>
              <w:rPr>
                <w:rFonts w:asciiTheme="majorBidi" w:eastAsia="Times New Roman" w:hAnsiTheme="majorBidi" w:cstheme="majorBidi"/>
                <w:lang w:val="en-US" w:eastAsia="en-GB"/>
              </w:rPr>
            </w:pPr>
            <w:r w:rsidRPr="00795222">
              <w:rPr>
                <w:rFonts w:asciiTheme="majorBidi" w:eastAsiaTheme="minorEastAsia" w:hAnsiTheme="majorBidi" w:cstheme="majorBidi"/>
                <w:color w:val="000000"/>
                <w:kern w:val="24"/>
                <w:lang w:val="en-US" w:eastAsia="en-GB"/>
              </w:rPr>
              <w:t>79 ± 6</w:t>
            </w:r>
          </w:p>
        </w:tc>
        <w:tc>
          <w:tcPr>
            <w:tcW w:w="613" w:type="pct"/>
            <w:tcBorders>
              <w:top w:val="single" w:sz="8" w:space="0" w:color="000000"/>
              <w:left w:val="nil"/>
              <w:bottom w:val="nil"/>
            </w:tcBorders>
            <w:shd w:val="clear" w:color="auto" w:fill="auto"/>
            <w:tcMar>
              <w:top w:w="13" w:type="dxa"/>
              <w:left w:w="13" w:type="dxa"/>
              <w:bottom w:w="0" w:type="dxa"/>
              <w:right w:w="13" w:type="dxa"/>
            </w:tcMar>
            <w:vAlign w:val="center"/>
            <w:hideMark/>
          </w:tcPr>
          <w:p w14:paraId="1D1B8749" w14:textId="77777777" w:rsidR="007B04D3" w:rsidRPr="00795222" w:rsidRDefault="007B04D3" w:rsidP="00657F6C">
            <w:pPr>
              <w:spacing w:after="0" w:line="240" w:lineRule="auto"/>
              <w:jc w:val="both"/>
              <w:textAlignment w:val="bottom"/>
              <w:rPr>
                <w:rFonts w:asciiTheme="majorBidi" w:eastAsia="Times New Roman" w:hAnsiTheme="majorBidi" w:cstheme="majorBidi"/>
                <w:lang w:val="en-US" w:eastAsia="en-GB"/>
              </w:rPr>
            </w:pPr>
            <w:r w:rsidRPr="00795222">
              <w:rPr>
                <w:rFonts w:asciiTheme="majorBidi" w:eastAsiaTheme="minorEastAsia" w:hAnsiTheme="majorBidi" w:cstheme="majorBidi"/>
                <w:color w:val="000000"/>
                <w:kern w:val="24"/>
                <w:lang w:val="en-US" w:eastAsia="en-GB"/>
              </w:rPr>
              <w:t>0.35 ± 0.09</w:t>
            </w:r>
          </w:p>
        </w:tc>
        <w:tc>
          <w:tcPr>
            <w:tcW w:w="776" w:type="pct"/>
            <w:tcBorders>
              <w:top w:val="single" w:sz="8" w:space="0" w:color="000000"/>
              <w:right w:val="single" w:sz="4" w:space="0" w:color="auto"/>
            </w:tcBorders>
            <w:shd w:val="clear" w:color="auto" w:fill="auto"/>
            <w:vAlign w:val="center"/>
          </w:tcPr>
          <w:p w14:paraId="4421C506" w14:textId="77777777" w:rsidR="007B04D3" w:rsidRPr="00795222" w:rsidRDefault="007B04D3" w:rsidP="00657F6C">
            <w:pPr>
              <w:spacing w:after="0" w:line="240" w:lineRule="auto"/>
              <w:jc w:val="both"/>
              <w:textAlignment w:val="bottom"/>
              <w:rPr>
                <w:rFonts w:asciiTheme="majorBidi" w:eastAsia="Times New Roman" w:hAnsiTheme="majorBidi" w:cstheme="majorBidi"/>
                <w:color w:val="000000"/>
                <w:kern w:val="24"/>
                <w:lang w:val="en-US" w:eastAsia="en-GB"/>
              </w:rPr>
            </w:pPr>
            <w:r w:rsidRPr="00795222">
              <w:rPr>
                <w:rFonts w:asciiTheme="majorBidi" w:eastAsia="Times New Roman" w:hAnsiTheme="majorBidi" w:cstheme="majorBidi"/>
                <w:color w:val="000000"/>
                <w:kern w:val="24"/>
                <w:lang w:val="en-US" w:eastAsia="en-GB"/>
              </w:rPr>
              <w:t xml:space="preserve">     -54 </w:t>
            </w:r>
            <w:r w:rsidRPr="00795222">
              <w:rPr>
                <w:rFonts w:asciiTheme="majorBidi" w:eastAsiaTheme="minorEastAsia" w:hAnsiTheme="majorBidi" w:cstheme="majorBidi"/>
                <w:color w:val="000000"/>
                <w:kern w:val="24"/>
                <w:lang w:val="en-US" w:eastAsia="en-GB"/>
              </w:rPr>
              <w:t>± 8</w:t>
            </w:r>
          </w:p>
        </w:tc>
        <w:tc>
          <w:tcPr>
            <w:tcW w:w="1186" w:type="pct"/>
            <w:tcBorders>
              <w:top w:val="single" w:sz="8" w:space="0" w:color="000000"/>
              <w:left w:val="single" w:sz="4" w:space="0" w:color="auto"/>
              <w:bottom w:val="nil"/>
              <w:right w:val="nil"/>
            </w:tcBorders>
            <w:shd w:val="clear" w:color="auto" w:fill="auto"/>
            <w:tcMar>
              <w:top w:w="13" w:type="dxa"/>
              <w:left w:w="13" w:type="dxa"/>
              <w:bottom w:w="0" w:type="dxa"/>
              <w:right w:w="13" w:type="dxa"/>
            </w:tcMar>
            <w:vAlign w:val="center"/>
            <w:hideMark/>
          </w:tcPr>
          <w:p w14:paraId="5E905849" w14:textId="77777777" w:rsidR="007B04D3" w:rsidRPr="00795222" w:rsidRDefault="007B04D3" w:rsidP="00657F6C">
            <w:pPr>
              <w:spacing w:after="0" w:line="240" w:lineRule="auto"/>
              <w:jc w:val="both"/>
              <w:textAlignment w:val="bottom"/>
              <w:rPr>
                <w:rFonts w:asciiTheme="majorBidi" w:eastAsia="Times New Roman" w:hAnsiTheme="majorBidi" w:cstheme="majorBidi"/>
                <w:lang w:val="en-US" w:eastAsia="en-GB"/>
              </w:rPr>
            </w:pPr>
            <w:r w:rsidRPr="00795222">
              <w:rPr>
                <w:rFonts w:asciiTheme="majorBidi" w:eastAsiaTheme="minorEastAsia" w:hAnsiTheme="majorBidi" w:cstheme="majorBidi"/>
                <w:color w:val="000000"/>
                <w:kern w:val="24"/>
                <w:lang w:val="en-US" w:eastAsia="en-GB"/>
              </w:rPr>
              <w:t>Aggregated</w:t>
            </w:r>
          </w:p>
        </w:tc>
        <w:tc>
          <w:tcPr>
            <w:tcW w:w="776" w:type="pct"/>
            <w:tcBorders>
              <w:top w:val="single" w:sz="8" w:space="0" w:color="000000"/>
              <w:left w:val="nil"/>
              <w:bottom w:val="nil"/>
              <w:right w:val="nil"/>
            </w:tcBorders>
            <w:vAlign w:val="center"/>
          </w:tcPr>
          <w:p w14:paraId="6297D1F1" w14:textId="77777777" w:rsidR="007B04D3" w:rsidRPr="00795222" w:rsidRDefault="007B04D3" w:rsidP="00657F6C">
            <w:pPr>
              <w:spacing w:after="0" w:line="240" w:lineRule="auto"/>
              <w:jc w:val="both"/>
              <w:textAlignment w:val="bottom"/>
              <w:rPr>
                <w:rFonts w:asciiTheme="majorBidi" w:eastAsia="Times New Roman" w:hAnsiTheme="majorBidi" w:cstheme="majorBidi"/>
                <w:color w:val="000000"/>
                <w:kern w:val="24"/>
                <w:lang w:val="en-US" w:eastAsia="en-GB"/>
              </w:rPr>
            </w:pPr>
            <w:r w:rsidRPr="00795222">
              <w:rPr>
                <w:rFonts w:asciiTheme="majorBidi" w:eastAsia="Times New Roman" w:hAnsiTheme="majorBidi" w:cstheme="majorBidi"/>
                <w:color w:val="000000"/>
                <w:kern w:val="24"/>
                <w:lang w:val="en-US" w:eastAsia="en-GB"/>
              </w:rPr>
              <w:t xml:space="preserve">-30 </w:t>
            </w:r>
            <w:r w:rsidRPr="00795222">
              <w:rPr>
                <w:rFonts w:asciiTheme="majorBidi" w:eastAsiaTheme="minorEastAsia" w:hAnsiTheme="majorBidi" w:cstheme="majorBidi"/>
                <w:color w:val="000000"/>
                <w:kern w:val="24"/>
                <w:lang w:val="en-US" w:eastAsia="en-GB"/>
              </w:rPr>
              <w:t>± 6</w:t>
            </w:r>
            <w:r w:rsidRPr="00795222">
              <w:rPr>
                <w:rFonts w:asciiTheme="majorBidi" w:eastAsia="Times New Roman" w:hAnsiTheme="majorBidi" w:cstheme="majorBidi"/>
                <w:color w:val="000000"/>
                <w:kern w:val="24"/>
                <w:lang w:val="en-US" w:eastAsia="en-GB"/>
              </w:rPr>
              <w:t xml:space="preserve"> </w:t>
            </w:r>
          </w:p>
        </w:tc>
      </w:tr>
      <w:tr w:rsidR="007B04D3" w:rsidRPr="00795222" w14:paraId="03C79593" w14:textId="77777777" w:rsidTr="00D80F71">
        <w:trPr>
          <w:trHeight w:val="20"/>
          <w:jc w:val="center"/>
        </w:trPr>
        <w:tc>
          <w:tcPr>
            <w:tcW w:w="707" w:type="pct"/>
            <w:tcBorders>
              <w:top w:val="nil"/>
              <w:left w:val="nil"/>
              <w:bottom w:val="nil"/>
              <w:right w:val="single" w:sz="4" w:space="0" w:color="auto"/>
            </w:tcBorders>
            <w:shd w:val="clear" w:color="auto" w:fill="auto"/>
            <w:tcMar>
              <w:top w:w="13" w:type="dxa"/>
              <w:left w:w="13" w:type="dxa"/>
              <w:bottom w:w="0" w:type="dxa"/>
              <w:right w:w="13" w:type="dxa"/>
            </w:tcMar>
            <w:vAlign w:val="center"/>
            <w:hideMark/>
          </w:tcPr>
          <w:p w14:paraId="31541C5E" w14:textId="77777777" w:rsidR="007B04D3" w:rsidRPr="00795222" w:rsidRDefault="007B04D3" w:rsidP="00657F6C">
            <w:pPr>
              <w:spacing w:after="0" w:line="240" w:lineRule="auto"/>
              <w:jc w:val="both"/>
              <w:textAlignment w:val="bottom"/>
              <w:rPr>
                <w:rFonts w:asciiTheme="majorBidi" w:eastAsia="Times New Roman" w:hAnsiTheme="majorBidi" w:cstheme="majorBidi"/>
                <w:lang w:val="en-US" w:eastAsia="en-GB"/>
              </w:rPr>
            </w:pPr>
            <w:r w:rsidRPr="00795222">
              <w:rPr>
                <w:rFonts w:asciiTheme="majorBidi" w:eastAsiaTheme="minorEastAsia" w:hAnsiTheme="majorBidi" w:cstheme="majorBidi"/>
                <w:color w:val="000000"/>
                <w:kern w:val="24"/>
                <w:lang w:val="en-US" w:eastAsia="en-GB"/>
              </w:rPr>
              <w:t>7.5</w:t>
            </w:r>
          </w:p>
        </w:tc>
        <w:tc>
          <w:tcPr>
            <w:tcW w:w="942" w:type="pct"/>
            <w:tcBorders>
              <w:top w:val="nil"/>
              <w:left w:val="single" w:sz="4" w:space="0" w:color="auto"/>
              <w:bottom w:val="nil"/>
              <w:right w:val="nil"/>
            </w:tcBorders>
            <w:shd w:val="clear" w:color="auto" w:fill="auto"/>
            <w:tcMar>
              <w:top w:w="13" w:type="dxa"/>
              <w:left w:w="13" w:type="dxa"/>
              <w:bottom w:w="0" w:type="dxa"/>
              <w:right w:w="13" w:type="dxa"/>
            </w:tcMar>
            <w:vAlign w:val="center"/>
            <w:hideMark/>
          </w:tcPr>
          <w:p w14:paraId="02D111A7" w14:textId="77777777" w:rsidR="007B04D3" w:rsidRPr="00795222" w:rsidRDefault="007B04D3" w:rsidP="00657F6C">
            <w:pPr>
              <w:spacing w:after="0" w:line="240" w:lineRule="auto"/>
              <w:jc w:val="both"/>
              <w:textAlignment w:val="bottom"/>
              <w:rPr>
                <w:rFonts w:asciiTheme="majorBidi" w:eastAsia="Times New Roman" w:hAnsiTheme="majorBidi" w:cstheme="majorBidi"/>
                <w:lang w:val="en-US" w:eastAsia="en-GB"/>
              </w:rPr>
            </w:pPr>
            <w:r w:rsidRPr="00795222">
              <w:rPr>
                <w:rFonts w:asciiTheme="majorBidi" w:eastAsiaTheme="minorEastAsia" w:hAnsiTheme="majorBidi" w:cstheme="majorBidi"/>
                <w:color w:val="000000"/>
                <w:kern w:val="24"/>
                <w:lang w:val="en-US" w:eastAsia="en-GB"/>
              </w:rPr>
              <w:t>79 ± 4</w:t>
            </w:r>
          </w:p>
        </w:tc>
        <w:tc>
          <w:tcPr>
            <w:tcW w:w="613" w:type="pct"/>
            <w:tcBorders>
              <w:top w:val="nil"/>
              <w:left w:val="nil"/>
              <w:bottom w:val="nil"/>
            </w:tcBorders>
            <w:shd w:val="clear" w:color="auto" w:fill="auto"/>
            <w:tcMar>
              <w:top w:w="13" w:type="dxa"/>
              <w:left w:w="13" w:type="dxa"/>
              <w:bottom w:w="0" w:type="dxa"/>
              <w:right w:w="13" w:type="dxa"/>
            </w:tcMar>
            <w:vAlign w:val="center"/>
            <w:hideMark/>
          </w:tcPr>
          <w:p w14:paraId="299EDC6E" w14:textId="77777777" w:rsidR="007B04D3" w:rsidRPr="00795222" w:rsidRDefault="007B04D3" w:rsidP="00657F6C">
            <w:pPr>
              <w:spacing w:after="0" w:line="240" w:lineRule="auto"/>
              <w:jc w:val="both"/>
              <w:textAlignment w:val="bottom"/>
              <w:rPr>
                <w:rFonts w:asciiTheme="majorBidi" w:eastAsia="Times New Roman" w:hAnsiTheme="majorBidi" w:cstheme="majorBidi"/>
                <w:lang w:val="en-US" w:eastAsia="en-GB"/>
              </w:rPr>
            </w:pPr>
            <w:r w:rsidRPr="00795222">
              <w:rPr>
                <w:rFonts w:asciiTheme="majorBidi" w:eastAsiaTheme="minorEastAsia" w:hAnsiTheme="majorBidi" w:cstheme="majorBidi"/>
                <w:color w:val="000000"/>
                <w:kern w:val="24"/>
                <w:lang w:val="en-US" w:eastAsia="en-GB"/>
              </w:rPr>
              <w:t xml:space="preserve">0.38 ± 0.05 </w:t>
            </w:r>
          </w:p>
        </w:tc>
        <w:tc>
          <w:tcPr>
            <w:tcW w:w="776" w:type="pct"/>
            <w:tcBorders>
              <w:right w:val="single" w:sz="4" w:space="0" w:color="auto"/>
            </w:tcBorders>
            <w:shd w:val="clear" w:color="auto" w:fill="auto"/>
            <w:vAlign w:val="center"/>
          </w:tcPr>
          <w:p w14:paraId="4E7B3A9C" w14:textId="77777777" w:rsidR="007B04D3" w:rsidRPr="00795222" w:rsidRDefault="007B04D3" w:rsidP="00657F6C">
            <w:pPr>
              <w:spacing w:after="0" w:line="240" w:lineRule="auto"/>
              <w:jc w:val="both"/>
              <w:textAlignment w:val="bottom"/>
              <w:rPr>
                <w:rFonts w:asciiTheme="majorBidi" w:eastAsia="Times New Roman" w:hAnsiTheme="majorBidi" w:cstheme="majorBidi"/>
                <w:color w:val="000000"/>
                <w:kern w:val="24"/>
                <w:lang w:val="en-US" w:eastAsia="en-GB"/>
              </w:rPr>
            </w:pPr>
            <w:r w:rsidRPr="00795222">
              <w:rPr>
                <w:rFonts w:asciiTheme="majorBidi" w:eastAsia="Times New Roman" w:hAnsiTheme="majorBidi" w:cstheme="majorBidi"/>
                <w:color w:val="000000"/>
                <w:kern w:val="24"/>
                <w:lang w:val="en-US" w:eastAsia="en-GB"/>
              </w:rPr>
              <w:t xml:space="preserve">     -60 </w:t>
            </w:r>
            <w:r w:rsidRPr="00795222">
              <w:rPr>
                <w:rFonts w:asciiTheme="majorBidi" w:eastAsiaTheme="minorEastAsia" w:hAnsiTheme="majorBidi" w:cstheme="majorBidi"/>
                <w:color w:val="000000"/>
                <w:kern w:val="24"/>
                <w:lang w:val="en-US" w:eastAsia="en-GB"/>
              </w:rPr>
              <w:t>± 10</w:t>
            </w:r>
          </w:p>
        </w:tc>
        <w:tc>
          <w:tcPr>
            <w:tcW w:w="1186" w:type="pct"/>
            <w:tcBorders>
              <w:top w:val="nil"/>
              <w:left w:val="single" w:sz="4" w:space="0" w:color="auto"/>
              <w:bottom w:val="nil"/>
              <w:right w:val="nil"/>
            </w:tcBorders>
            <w:shd w:val="clear" w:color="auto" w:fill="auto"/>
            <w:tcMar>
              <w:top w:w="13" w:type="dxa"/>
              <w:left w:w="13" w:type="dxa"/>
              <w:bottom w:w="0" w:type="dxa"/>
              <w:right w:w="13" w:type="dxa"/>
            </w:tcMar>
            <w:vAlign w:val="center"/>
            <w:hideMark/>
          </w:tcPr>
          <w:p w14:paraId="68844A90" w14:textId="77777777" w:rsidR="007B04D3" w:rsidRPr="00795222" w:rsidRDefault="007B04D3" w:rsidP="00657F6C">
            <w:pPr>
              <w:spacing w:after="0" w:line="240" w:lineRule="auto"/>
              <w:jc w:val="both"/>
              <w:textAlignment w:val="bottom"/>
              <w:rPr>
                <w:rFonts w:asciiTheme="majorBidi" w:eastAsia="Times New Roman" w:hAnsiTheme="majorBidi" w:cstheme="majorBidi"/>
                <w:lang w:val="en-US" w:eastAsia="en-GB"/>
              </w:rPr>
            </w:pPr>
            <w:r w:rsidRPr="00795222">
              <w:rPr>
                <w:rFonts w:asciiTheme="majorBidi" w:eastAsiaTheme="minorEastAsia" w:hAnsiTheme="majorBidi" w:cstheme="majorBidi"/>
                <w:color w:val="000000"/>
                <w:kern w:val="24"/>
                <w:lang w:val="en-US" w:eastAsia="en-GB"/>
              </w:rPr>
              <w:t>Aggregated</w:t>
            </w:r>
          </w:p>
        </w:tc>
        <w:tc>
          <w:tcPr>
            <w:tcW w:w="776" w:type="pct"/>
            <w:tcBorders>
              <w:top w:val="nil"/>
              <w:left w:val="nil"/>
              <w:bottom w:val="nil"/>
              <w:right w:val="nil"/>
            </w:tcBorders>
            <w:vAlign w:val="center"/>
          </w:tcPr>
          <w:p w14:paraId="362D52A0" w14:textId="77777777" w:rsidR="007B04D3" w:rsidRPr="00795222" w:rsidRDefault="007B04D3" w:rsidP="00657F6C">
            <w:pPr>
              <w:spacing w:after="0" w:line="240" w:lineRule="auto"/>
              <w:jc w:val="both"/>
              <w:textAlignment w:val="bottom"/>
              <w:rPr>
                <w:rFonts w:asciiTheme="majorBidi" w:eastAsia="Times New Roman" w:hAnsiTheme="majorBidi" w:cstheme="majorBidi"/>
                <w:color w:val="000000"/>
                <w:kern w:val="24"/>
                <w:lang w:val="en-US" w:eastAsia="en-GB"/>
              </w:rPr>
            </w:pPr>
            <w:r w:rsidRPr="00795222">
              <w:rPr>
                <w:rFonts w:asciiTheme="majorBidi" w:eastAsia="Times New Roman" w:hAnsiTheme="majorBidi" w:cstheme="majorBidi"/>
                <w:color w:val="000000"/>
                <w:kern w:val="24"/>
                <w:lang w:val="en-US" w:eastAsia="en-GB"/>
              </w:rPr>
              <w:t xml:space="preserve">-35 </w:t>
            </w:r>
            <w:r w:rsidRPr="00795222">
              <w:rPr>
                <w:rFonts w:asciiTheme="majorBidi" w:eastAsiaTheme="minorEastAsia" w:hAnsiTheme="majorBidi" w:cstheme="majorBidi"/>
                <w:color w:val="000000"/>
                <w:kern w:val="24"/>
                <w:lang w:val="en-US" w:eastAsia="en-GB"/>
              </w:rPr>
              <w:t>± 8</w:t>
            </w:r>
          </w:p>
        </w:tc>
      </w:tr>
      <w:tr w:rsidR="007B04D3" w:rsidRPr="00795222" w14:paraId="76B3CB48" w14:textId="77777777" w:rsidTr="00D80F71">
        <w:trPr>
          <w:trHeight w:val="20"/>
          <w:jc w:val="center"/>
        </w:trPr>
        <w:tc>
          <w:tcPr>
            <w:tcW w:w="707" w:type="pct"/>
            <w:tcBorders>
              <w:top w:val="nil"/>
              <w:left w:val="nil"/>
              <w:right w:val="single" w:sz="4" w:space="0" w:color="auto"/>
            </w:tcBorders>
            <w:shd w:val="clear" w:color="auto" w:fill="auto"/>
            <w:tcMar>
              <w:top w:w="13" w:type="dxa"/>
              <w:left w:w="13" w:type="dxa"/>
              <w:bottom w:w="0" w:type="dxa"/>
              <w:right w:w="13" w:type="dxa"/>
            </w:tcMar>
            <w:vAlign w:val="center"/>
            <w:hideMark/>
          </w:tcPr>
          <w:p w14:paraId="1AC1ECE4" w14:textId="77777777" w:rsidR="007B04D3" w:rsidRPr="00795222" w:rsidRDefault="007B04D3" w:rsidP="00657F6C">
            <w:pPr>
              <w:spacing w:after="0" w:line="240" w:lineRule="auto"/>
              <w:jc w:val="both"/>
              <w:textAlignment w:val="bottom"/>
              <w:rPr>
                <w:rFonts w:asciiTheme="majorBidi" w:eastAsia="Times New Roman" w:hAnsiTheme="majorBidi" w:cstheme="majorBidi"/>
                <w:lang w:val="en-US" w:eastAsia="en-GB"/>
              </w:rPr>
            </w:pPr>
            <w:r w:rsidRPr="00795222">
              <w:rPr>
                <w:rFonts w:asciiTheme="majorBidi" w:eastAsiaTheme="minorEastAsia" w:hAnsiTheme="majorBidi" w:cstheme="majorBidi"/>
                <w:color w:val="000000"/>
                <w:kern w:val="24"/>
                <w:lang w:val="en-US" w:eastAsia="en-GB"/>
              </w:rPr>
              <w:t>15</w:t>
            </w:r>
          </w:p>
        </w:tc>
        <w:tc>
          <w:tcPr>
            <w:tcW w:w="942" w:type="pct"/>
            <w:tcBorders>
              <w:top w:val="nil"/>
              <w:left w:val="single" w:sz="4" w:space="0" w:color="auto"/>
              <w:right w:val="nil"/>
            </w:tcBorders>
            <w:shd w:val="clear" w:color="auto" w:fill="auto"/>
            <w:tcMar>
              <w:top w:w="13" w:type="dxa"/>
              <w:left w:w="13" w:type="dxa"/>
              <w:bottom w:w="0" w:type="dxa"/>
              <w:right w:w="13" w:type="dxa"/>
            </w:tcMar>
            <w:vAlign w:val="center"/>
            <w:hideMark/>
          </w:tcPr>
          <w:p w14:paraId="1CA99B0E" w14:textId="77777777" w:rsidR="007B04D3" w:rsidRPr="00795222" w:rsidRDefault="007B04D3" w:rsidP="00657F6C">
            <w:pPr>
              <w:spacing w:after="0" w:line="240" w:lineRule="auto"/>
              <w:jc w:val="both"/>
              <w:textAlignment w:val="bottom"/>
              <w:rPr>
                <w:rFonts w:asciiTheme="majorBidi" w:eastAsia="Times New Roman" w:hAnsiTheme="majorBidi" w:cstheme="majorBidi"/>
                <w:lang w:val="en-US" w:eastAsia="en-GB"/>
              </w:rPr>
            </w:pPr>
            <w:r w:rsidRPr="00795222">
              <w:rPr>
                <w:rFonts w:asciiTheme="majorBidi" w:eastAsiaTheme="minorEastAsia" w:hAnsiTheme="majorBidi" w:cstheme="majorBidi"/>
                <w:color w:val="000000"/>
                <w:kern w:val="24"/>
                <w:lang w:val="en-US" w:eastAsia="en-GB"/>
              </w:rPr>
              <w:t>71 ± 5</w:t>
            </w:r>
          </w:p>
        </w:tc>
        <w:tc>
          <w:tcPr>
            <w:tcW w:w="613" w:type="pct"/>
            <w:tcBorders>
              <w:top w:val="nil"/>
              <w:left w:val="nil"/>
            </w:tcBorders>
            <w:shd w:val="clear" w:color="auto" w:fill="auto"/>
            <w:tcMar>
              <w:top w:w="13" w:type="dxa"/>
              <w:left w:w="13" w:type="dxa"/>
              <w:bottom w:w="0" w:type="dxa"/>
              <w:right w:w="13" w:type="dxa"/>
            </w:tcMar>
            <w:vAlign w:val="center"/>
            <w:hideMark/>
          </w:tcPr>
          <w:p w14:paraId="31AE32B7" w14:textId="77777777" w:rsidR="007B04D3" w:rsidRPr="00795222" w:rsidRDefault="007B04D3" w:rsidP="00657F6C">
            <w:pPr>
              <w:spacing w:after="0" w:line="240" w:lineRule="auto"/>
              <w:jc w:val="both"/>
              <w:textAlignment w:val="bottom"/>
              <w:rPr>
                <w:rFonts w:asciiTheme="majorBidi" w:eastAsia="Times New Roman" w:hAnsiTheme="majorBidi" w:cstheme="majorBidi"/>
                <w:lang w:val="en-US" w:eastAsia="en-GB"/>
              </w:rPr>
            </w:pPr>
            <w:r w:rsidRPr="00795222">
              <w:rPr>
                <w:rFonts w:asciiTheme="majorBidi" w:eastAsiaTheme="minorEastAsia" w:hAnsiTheme="majorBidi" w:cstheme="majorBidi"/>
                <w:color w:val="000000"/>
                <w:kern w:val="24"/>
                <w:lang w:val="en-US" w:eastAsia="en-GB"/>
              </w:rPr>
              <w:t xml:space="preserve">0.42 ± 0.07 </w:t>
            </w:r>
          </w:p>
        </w:tc>
        <w:tc>
          <w:tcPr>
            <w:tcW w:w="776" w:type="pct"/>
            <w:tcBorders>
              <w:right w:val="single" w:sz="4" w:space="0" w:color="auto"/>
            </w:tcBorders>
            <w:shd w:val="clear" w:color="auto" w:fill="auto"/>
            <w:vAlign w:val="center"/>
          </w:tcPr>
          <w:p w14:paraId="02DC6D07" w14:textId="77777777" w:rsidR="007B04D3" w:rsidRPr="00795222" w:rsidRDefault="007B04D3" w:rsidP="00657F6C">
            <w:pPr>
              <w:spacing w:after="0" w:line="240" w:lineRule="auto"/>
              <w:jc w:val="both"/>
              <w:textAlignment w:val="bottom"/>
              <w:rPr>
                <w:rFonts w:asciiTheme="majorBidi" w:eastAsia="Times New Roman" w:hAnsiTheme="majorBidi" w:cstheme="majorBidi"/>
                <w:color w:val="000000"/>
                <w:kern w:val="24"/>
                <w:lang w:val="en-US" w:eastAsia="en-GB"/>
              </w:rPr>
            </w:pPr>
            <w:r w:rsidRPr="00795222">
              <w:rPr>
                <w:rFonts w:asciiTheme="majorBidi" w:eastAsia="Times New Roman" w:hAnsiTheme="majorBidi" w:cstheme="majorBidi"/>
                <w:color w:val="000000"/>
                <w:kern w:val="24"/>
                <w:lang w:val="en-US" w:eastAsia="en-GB"/>
              </w:rPr>
              <w:t xml:space="preserve">     -67 </w:t>
            </w:r>
            <w:r w:rsidRPr="00795222">
              <w:rPr>
                <w:rFonts w:asciiTheme="majorBidi" w:eastAsiaTheme="minorEastAsia" w:hAnsiTheme="majorBidi" w:cstheme="majorBidi"/>
                <w:color w:val="000000"/>
                <w:kern w:val="24"/>
                <w:lang w:val="en-US" w:eastAsia="en-GB"/>
              </w:rPr>
              <w:t>± 5</w:t>
            </w:r>
          </w:p>
        </w:tc>
        <w:tc>
          <w:tcPr>
            <w:tcW w:w="1186" w:type="pct"/>
            <w:tcBorders>
              <w:top w:val="nil"/>
              <w:left w:val="single" w:sz="4" w:space="0" w:color="auto"/>
              <w:right w:val="nil"/>
            </w:tcBorders>
            <w:shd w:val="clear" w:color="auto" w:fill="auto"/>
            <w:tcMar>
              <w:top w:w="13" w:type="dxa"/>
              <w:left w:w="13" w:type="dxa"/>
              <w:bottom w:w="0" w:type="dxa"/>
              <w:right w:w="13" w:type="dxa"/>
            </w:tcMar>
            <w:vAlign w:val="center"/>
            <w:hideMark/>
          </w:tcPr>
          <w:p w14:paraId="5D4F5126" w14:textId="77777777" w:rsidR="007B04D3" w:rsidRPr="00795222" w:rsidRDefault="007B04D3" w:rsidP="00657F6C">
            <w:pPr>
              <w:spacing w:after="0" w:line="240" w:lineRule="auto"/>
              <w:jc w:val="both"/>
              <w:textAlignment w:val="bottom"/>
              <w:rPr>
                <w:rFonts w:asciiTheme="majorBidi" w:eastAsia="Times New Roman" w:hAnsiTheme="majorBidi" w:cstheme="majorBidi"/>
                <w:lang w:val="en-US" w:eastAsia="en-GB"/>
              </w:rPr>
            </w:pPr>
            <w:r w:rsidRPr="00795222">
              <w:rPr>
                <w:rFonts w:asciiTheme="majorBidi" w:eastAsiaTheme="minorEastAsia" w:hAnsiTheme="majorBidi" w:cstheme="majorBidi"/>
                <w:color w:val="000000"/>
                <w:kern w:val="24"/>
                <w:lang w:val="en-US" w:eastAsia="en-GB"/>
              </w:rPr>
              <w:t>Aggregated</w:t>
            </w:r>
          </w:p>
        </w:tc>
        <w:tc>
          <w:tcPr>
            <w:tcW w:w="776" w:type="pct"/>
            <w:tcBorders>
              <w:top w:val="nil"/>
              <w:left w:val="nil"/>
              <w:right w:val="nil"/>
            </w:tcBorders>
            <w:vAlign w:val="center"/>
          </w:tcPr>
          <w:p w14:paraId="46E91412" w14:textId="77777777" w:rsidR="007B04D3" w:rsidRPr="00795222" w:rsidRDefault="007B04D3" w:rsidP="00657F6C">
            <w:pPr>
              <w:spacing w:after="0" w:line="240" w:lineRule="auto"/>
              <w:jc w:val="both"/>
              <w:textAlignment w:val="bottom"/>
              <w:rPr>
                <w:rFonts w:asciiTheme="majorBidi" w:eastAsia="Times New Roman" w:hAnsiTheme="majorBidi" w:cstheme="majorBidi"/>
                <w:color w:val="000000"/>
                <w:kern w:val="24"/>
                <w:lang w:val="en-US" w:eastAsia="en-GB"/>
              </w:rPr>
            </w:pPr>
            <w:r w:rsidRPr="00795222">
              <w:rPr>
                <w:rFonts w:asciiTheme="majorBidi" w:eastAsia="Times New Roman" w:hAnsiTheme="majorBidi" w:cstheme="majorBidi"/>
                <w:color w:val="000000"/>
                <w:kern w:val="24"/>
                <w:lang w:val="en-US" w:eastAsia="en-GB"/>
              </w:rPr>
              <w:t xml:space="preserve">-29 </w:t>
            </w:r>
            <w:r w:rsidRPr="00795222">
              <w:rPr>
                <w:rFonts w:asciiTheme="majorBidi" w:eastAsiaTheme="minorEastAsia" w:hAnsiTheme="majorBidi" w:cstheme="majorBidi"/>
                <w:color w:val="000000"/>
                <w:kern w:val="24"/>
                <w:lang w:val="en-US" w:eastAsia="en-GB"/>
              </w:rPr>
              <w:t>± 3</w:t>
            </w:r>
          </w:p>
        </w:tc>
      </w:tr>
      <w:tr w:rsidR="007B04D3" w:rsidRPr="00795222" w14:paraId="6E20CB67" w14:textId="77777777" w:rsidTr="00D80F71">
        <w:trPr>
          <w:trHeight w:val="20"/>
          <w:jc w:val="center"/>
        </w:trPr>
        <w:tc>
          <w:tcPr>
            <w:tcW w:w="707" w:type="pct"/>
            <w:tcBorders>
              <w:top w:val="nil"/>
              <w:left w:val="nil"/>
              <w:bottom w:val="single" w:sz="6" w:space="0" w:color="auto"/>
              <w:right w:val="single" w:sz="6" w:space="0" w:color="auto"/>
            </w:tcBorders>
            <w:shd w:val="clear" w:color="auto" w:fill="auto"/>
            <w:tcMar>
              <w:top w:w="13" w:type="dxa"/>
              <w:left w:w="13" w:type="dxa"/>
              <w:bottom w:w="0" w:type="dxa"/>
              <w:right w:w="13" w:type="dxa"/>
            </w:tcMar>
            <w:vAlign w:val="center"/>
            <w:hideMark/>
          </w:tcPr>
          <w:p w14:paraId="6A8A73B4" w14:textId="77777777" w:rsidR="007B04D3" w:rsidRPr="00795222" w:rsidRDefault="007B04D3" w:rsidP="00657F6C">
            <w:pPr>
              <w:spacing w:after="0" w:line="240" w:lineRule="auto"/>
              <w:jc w:val="both"/>
              <w:textAlignment w:val="bottom"/>
              <w:rPr>
                <w:rFonts w:asciiTheme="majorBidi" w:eastAsiaTheme="minorEastAsia" w:hAnsiTheme="majorBidi" w:cstheme="majorBidi"/>
                <w:color w:val="000000"/>
                <w:kern w:val="24"/>
                <w:lang w:val="en-US" w:eastAsia="en-GB"/>
              </w:rPr>
            </w:pPr>
            <w:r w:rsidRPr="00795222">
              <w:rPr>
                <w:rFonts w:asciiTheme="majorBidi" w:eastAsiaTheme="minorEastAsia" w:hAnsiTheme="majorBidi" w:cstheme="majorBidi"/>
                <w:color w:val="000000"/>
                <w:kern w:val="24"/>
                <w:lang w:val="en-US" w:eastAsia="en-GB"/>
              </w:rPr>
              <w:t>20</w:t>
            </w:r>
          </w:p>
        </w:tc>
        <w:tc>
          <w:tcPr>
            <w:tcW w:w="942" w:type="pct"/>
            <w:tcBorders>
              <w:top w:val="nil"/>
              <w:left w:val="single" w:sz="6" w:space="0" w:color="auto"/>
              <w:bottom w:val="single" w:sz="6" w:space="0" w:color="auto"/>
            </w:tcBorders>
            <w:shd w:val="clear" w:color="auto" w:fill="auto"/>
            <w:tcMar>
              <w:top w:w="13" w:type="dxa"/>
              <w:left w:w="13" w:type="dxa"/>
              <w:bottom w:w="0" w:type="dxa"/>
              <w:right w:w="13" w:type="dxa"/>
            </w:tcMar>
            <w:vAlign w:val="center"/>
            <w:hideMark/>
          </w:tcPr>
          <w:p w14:paraId="5C85A59E" w14:textId="77777777" w:rsidR="007B04D3" w:rsidRPr="00795222" w:rsidRDefault="007B04D3" w:rsidP="00657F6C">
            <w:pPr>
              <w:spacing w:after="0" w:line="240" w:lineRule="auto"/>
              <w:jc w:val="both"/>
              <w:textAlignment w:val="bottom"/>
              <w:rPr>
                <w:rFonts w:asciiTheme="majorBidi" w:eastAsiaTheme="minorEastAsia" w:hAnsiTheme="majorBidi" w:cstheme="majorBidi"/>
                <w:color w:val="000000"/>
                <w:kern w:val="24"/>
                <w:lang w:val="en-US" w:eastAsia="en-GB"/>
              </w:rPr>
            </w:pPr>
            <w:r w:rsidRPr="00795222">
              <w:rPr>
                <w:rFonts w:asciiTheme="majorBidi" w:eastAsiaTheme="minorEastAsia" w:hAnsiTheme="majorBidi" w:cstheme="majorBidi"/>
                <w:color w:val="000000"/>
                <w:kern w:val="24"/>
                <w:lang w:val="en-US" w:eastAsia="en-GB"/>
              </w:rPr>
              <w:t>70 ± 3</w:t>
            </w:r>
          </w:p>
        </w:tc>
        <w:tc>
          <w:tcPr>
            <w:tcW w:w="613" w:type="pct"/>
            <w:tcBorders>
              <w:top w:val="nil"/>
              <w:bottom w:val="single" w:sz="6" w:space="0" w:color="auto"/>
            </w:tcBorders>
            <w:shd w:val="clear" w:color="auto" w:fill="auto"/>
            <w:tcMar>
              <w:top w:w="13" w:type="dxa"/>
              <w:left w:w="13" w:type="dxa"/>
              <w:bottom w:w="0" w:type="dxa"/>
              <w:right w:w="13" w:type="dxa"/>
            </w:tcMar>
            <w:vAlign w:val="center"/>
            <w:hideMark/>
          </w:tcPr>
          <w:p w14:paraId="0E2F8774" w14:textId="77777777" w:rsidR="007B04D3" w:rsidRPr="00795222" w:rsidRDefault="007B04D3" w:rsidP="00657F6C">
            <w:pPr>
              <w:spacing w:after="0" w:line="240" w:lineRule="auto"/>
              <w:jc w:val="both"/>
              <w:textAlignment w:val="bottom"/>
              <w:rPr>
                <w:rFonts w:asciiTheme="majorBidi" w:eastAsiaTheme="minorEastAsia" w:hAnsiTheme="majorBidi" w:cstheme="majorBidi"/>
                <w:color w:val="000000"/>
                <w:kern w:val="24"/>
                <w:lang w:val="en-US" w:eastAsia="en-GB"/>
              </w:rPr>
            </w:pPr>
            <w:r w:rsidRPr="00795222">
              <w:rPr>
                <w:rFonts w:asciiTheme="majorBidi" w:eastAsiaTheme="minorEastAsia" w:hAnsiTheme="majorBidi" w:cstheme="majorBidi"/>
                <w:color w:val="000000"/>
                <w:kern w:val="24"/>
                <w:lang w:val="en-US" w:eastAsia="en-GB"/>
              </w:rPr>
              <w:t>0.40 ± 0.03</w:t>
            </w:r>
          </w:p>
        </w:tc>
        <w:tc>
          <w:tcPr>
            <w:tcW w:w="776" w:type="pct"/>
            <w:tcBorders>
              <w:bottom w:val="single" w:sz="6" w:space="0" w:color="auto"/>
              <w:right w:val="single" w:sz="6" w:space="0" w:color="auto"/>
            </w:tcBorders>
            <w:shd w:val="clear" w:color="auto" w:fill="auto"/>
            <w:vAlign w:val="center"/>
          </w:tcPr>
          <w:p w14:paraId="506C1394" w14:textId="77777777" w:rsidR="007B04D3" w:rsidRPr="00795222" w:rsidRDefault="007B04D3" w:rsidP="00657F6C">
            <w:pPr>
              <w:spacing w:after="0" w:line="240" w:lineRule="auto"/>
              <w:jc w:val="both"/>
              <w:textAlignment w:val="bottom"/>
              <w:rPr>
                <w:rFonts w:asciiTheme="majorBidi" w:eastAsiaTheme="minorEastAsia" w:hAnsiTheme="majorBidi" w:cstheme="majorBidi"/>
                <w:color w:val="000000"/>
                <w:kern w:val="24"/>
                <w:lang w:val="en-US" w:eastAsia="en-GB"/>
              </w:rPr>
            </w:pPr>
            <w:r w:rsidRPr="00795222">
              <w:rPr>
                <w:rFonts w:asciiTheme="majorBidi" w:eastAsiaTheme="minorEastAsia" w:hAnsiTheme="majorBidi" w:cstheme="majorBidi"/>
                <w:color w:val="000000"/>
                <w:kern w:val="24"/>
                <w:lang w:val="en-US" w:eastAsia="en-GB"/>
              </w:rPr>
              <w:t xml:space="preserve">     -59 ± 9</w:t>
            </w:r>
          </w:p>
        </w:tc>
        <w:tc>
          <w:tcPr>
            <w:tcW w:w="1186" w:type="pct"/>
            <w:tcBorders>
              <w:top w:val="nil"/>
              <w:left w:val="single" w:sz="6" w:space="0" w:color="auto"/>
              <w:bottom w:val="single" w:sz="6" w:space="0" w:color="auto"/>
            </w:tcBorders>
            <w:shd w:val="clear" w:color="auto" w:fill="auto"/>
            <w:tcMar>
              <w:top w:w="13" w:type="dxa"/>
              <w:left w:w="13" w:type="dxa"/>
              <w:bottom w:w="0" w:type="dxa"/>
              <w:right w:w="13" w:type="dxa"/>
            </w:tcMar>
            <w:vAlign w:val="center"/>
            <w:hideMark/>
          </w:tcPr>
          <w:p w14:paraId="5D37F592" w14:textId="77777777" w:rsidR="007B04D3" w:rsidRPr="00795222" w:rsidRDefault="007B04D3" w:rsidP="00657F6C">
            <w:pPr>
              <w:spacing w:after="0" w:line="240" w:lineRule="auto"/>
              <w:jc w:val="both"/>
              <w:textAlignment w:val="bottom"/>
              <w:rPr>
                <w:rFonts w:asciiTheme="majorBidi" w:eastAsiaTheme="minorEastAsia" w:hAnsiTheme="majorBidi" w:cstheme="majorBidi"/>
                <w:color w:val="000000"/>
                <w:kern w:val="24"/>
                <w:lang w:val="en-US" w:eastAsia="en-GB"/>
              </w:rPr>
            </w:pPr>
            <w:r w:rsidRPr="00795222">
              <w:rPr>
                <w:rFonts w:asciiTheme="majorBidi" w:eastAsiaTheme="minorEastAsia" w:hAnsiTheme="majorBidi" w:cstheme="majorBidi"/>
                <w:color w:val="000000"/>
                <w:kern w:val="24"/>
                <w:lang w:val="en-US" w:eastAsia="en-GB"/>
              </w:rPr>
              <w:t>Aggregated</w:t>
            </w:r>
          </w:p>
        </w:tc>
        <w:tc>
          <w:tcPr>
            <w:tcW w:w="776" w:type="pct"/>
            <w:tcBorders>
              <w:top w:val="nil"/>
              <w:bottom w:val="single" w:sz="6" w:space="0" w:color="auto"/>
              <w:right w:val="nil"/>
            </w:tcBorders>
            <w:vAlign w:val="center"/>
          </w:tcPr>
          <w:p w14:paraId="46D4D5F4" w14:textId="77777777" w:rsidR="007B04D3" w:rsidRPr="00795222" w:rsidRDefault="007B04D3" w:rsidP="00657F6C">
            <w:pPr>
              <w:spacing w:after="0" w:line="240" w:lineRule="auto"/>
              <w:jc w:val="both"/>
              <w:textAlignment w:val="bottom"/>
              <w:rPr>
                <w:rFonts w:asciiTheme="majorBidi" w:eastAsiaTheme="minorEastAsia" w:hAnsiTheme="majorBidi" w:cstheme="majorBidi"/>
                <w:color w:val="000000"/>
                <w:kern w:val="24"/>
                <w:lang w:val="en-US" w:eastAsia="en-GB"/>
              </w:rPr>
            </w:pPr>
            <w:r w:rsidRPr="00795222">
              <w:rPr>
                <w:rFonts w:asciiTheme="majorBidi" w:eastAsiaTheme="minorEastAsia" w:hAnsiTheme="majorBidi" w:cstheme="majorBidi"/>
                <w:color w:val="000000"/>
                <w:kern w:val="24"/>
                <w:lang w:val="en-US" w:eastAsia="en-GB"/>
              </w:rPr>
              <w:t>-31 ± 9</w:t>
            </w:r>
          </w:p>
        </w:tc>
      </w:tr>
    </w:tbl>
    <w:p w14:paraId="4B858B3D" w14:textId="7EE896C1" w:rsidR="00CA79F6" w:rsidRPr="00795222" w:rsidRDefault="00CA79F6" w:rsidP="00657F6C">
      <w:pPr>
        <w:spacing w:line="360" w:lineRule="auto"/>
        <w:jc w:val="both"/>
        <w:rPr>
          <w:rFonts w:asciiTheme="majorBidi" w:hAnsiTheme="majorBidi" w:cstheme="majorBidi"/>
          <w:sz w:val="24"/>
          <w:szCs w:val="24"/>
          <w:lang w:val="en-US"/>
        </w:rPr>
      </w:pPr>
    </w:p>
    <w:p w14:paraId="3BEC758E" w14:textId="7966A3C5" w:rsidR="007B04D3" w:rsidRPr="00795222" w:rsidRDefault="007B04D3" w:rsidP="00657F6C">
      <w:pPr>
        <w:spacing w:line="360" w:lineRule="auto"/>
        <w:jc w:val="both"/>
        <w:rPr>
          <w:rFonts w:asciiTheme="majorBidi" w:hAnsiTheme="majorBidi" w:cstheme="majorBidi"/>
          <w:sz w:val="24"/>
          <w:szCs w:val="24"/>
          <w:lang w:val="en-US"/>
        </w:rPr>
      </w:pPr>
    </w:p>
    <w:p w14:paraId="7E9AFF7C" w14:textId="5086657F" w:rsidR="007B04D3" w:rsidRPr="00795222" w:rsidRDefault="007B04D3" w:rsidP="00657F6C">
      <w:pPr>
        <w:pStyle w:val="Caption"/>
        <w:jc w:val="both"/>
        <w:rPr>
          <w:rFonts w:asciiTheme="majorBidi" w:hAnsiTheme="majorBidi" w:cstheme="majorBidi"/>
          <w:sz w:val="24"/>
          <w:szCs w:val="24"/>
        </w:rPr>
      </w:pPr>
      <w:bookmarkStart w:id="18" w:name="_Ref23704185"/>
      <w:r w:rsidRPr="00795222">
        <w:rPr>
          <w:rFonts w:asciiTheme="majorBidi" w:hAnsiTheme="majorBidi" w:cstheme="majorBidi"/>
          <w:noProof/>
          <w:sz w:val="24"/>
          <w:szCs w:val="24"/>
        </w:rPr>
        <w:lastRenderedPageBreak/>
        <w:drawing>
          <wp:inline distT="0" distB="0" distL="0" distR="0" wp14:anchorId="3BEAC946" wp14:editId="39385DFE">
            <wp:extent cx="3243349" cy="3041725"/>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7835" b="15871"/>
                    <a:stretch/>
                  </pic:blipFill>
                  <pic:spPr bwMode="auto">
                    <a:xfrm>
                      <a:off x="0" y="0"/>
                      <a:ext cx="3243580" cy="3041942"/>
                    </a:xfrm>
                    <a:prstGeom prst="rect">
                      <a:avLst/>
                    </a:prstGeom>
                    <a:noFill/>
                    <a:ln>
                      <a:noFill/>
                    </a:ln>
                    <a:extLst>
                      <a:ext uri="{53640926-AAD7-44D8-BBD7-CCE9431645EC}">
                        <a14:shadowObscured xmlns:a14="http://schemas.microsoft.com/office/drawing/2010/main"/>
                      </a:ext>
                    </a:extLst>
                  </pic:spPr>
                </pic:pic>
              </a:graphicData>
            </a:graphic>
          </wp:inline>
        </w:drawing>
      </w:r>
    </w:p>
    <w:p w14:paraId="1B483375" w14:textId="19336F34" w:rsidR="007B04D3" w:rsidRPr="00795222" w:rsidRDefault="007B04D3" w:rsidP="00657F6C">
      <w:pPr>
        <w:pStyle w:val="Caption"/>
        <w:jc w:val="both"/>
        <w:rPr>
          <w:rFonts w:asciiTheme="majorBidi" w:hAnsiTheme="majorBidi" w:cstheme="majorBidi"/>
          <w:sz w:val="24"/>
          <w:szCs w:val="24"/>
          <w:lang w:eastAsia="en-GB"/>
        </w:rPr>
      </w:pPr>
      <w:r w:rsidRPr="00795222">
        <w:rPr>
          <w:rFonts w:asciiTheme="majorBidi" w:hAnsiTheme="majorBidi" w:cstheme="majorBidi"/>
          <w:sz w:val="24"/>
          <w:szCs w:val="24"/>
        </w:rPr>
        <w:t xml:space="preserve">Figure </w:t>
      </w:r>
      <w:bookmarkEnd w:id="18"/>
      <w:r w:rsidR="000518D1" w:rsidRPr="00795222">
        <w:rPr>
          <w:rFonts w:asciiTheme="majorBidi" w:hAnsiTheme="majorBidi" w:cstheme="majorBidi"/>
          <w:sz w:val="24"/>
          <w:szCs w:val="24"/>
        </w:rPr>
        <w:t>2.</w:t>
      </w:r>
      <w:r w:rsidRPr="00795222">
        <w:rPr>
          <w:rFonts w:asciiTheme="majorBidi" w:hAnsiTheme="majorBidi" w:cstheme="majorBidi"/>
          <w:sz w:val="24"/>
          <w:szCs w:val="24"/>
        </w:rPr>
        <w:t xml:space="preserve"> Comparison of Z-average of blank</w:t>
      </w:r>
      <w:r w:rsidR="00AA2780" w:rsidRPr="00795222">
        <w:rPr>
          <w:rFonts w:asciiTheme="majorBidi" w:hAnsiTheme="majorBidi" w:cstheme="majorBidi"/>
          <w:sz w:val="24"/>
          <w:szCs w:val="24"/>
        </w:rPr>
        <w:t xml:space="preserve"> </w:t>
      </w:r>
      <w:r w:rsidRPr="00795222">
        <w:rPr>
          <w:rFonts w:asciiTheme="majorBidi" w:hAnsiTheme="majorBidi" w:cstheme="majorBidi"/>
          <w:sz w:val="24"/>
          <w:szCs w:val="24"/>
        </w:rPr>
        <w:t xml:space="preserve">LPHNs dispersions synthesized using Brij 78 as a stabilizer at different Brij 78/PLGA % w/w. LPHNs were dispersed in two different media; DI water or PBS. (Asterisks (*) indicates poor quality DLS data meaning that the measurements were unreliable likely due to particle aggregation). </w:t>
      </w:r>
      <w:r w:rsidRPr="00795222">
        <w:rPr>
          <w:rFonts w:asciiTheme="majorBidi" w:eastAsiaTheme="minorEastAsia" w:hAnsiTheme="majorBidi" w:cstheme="majorBidi"/>
          <w:color w:val="000000"/>
          <w:kern w:val="24"/>
          <w:sz w:val="24"/>
          <w:szCs w:val="24"/>
          <w:lang w:eastAsia="en-GB"/>
        </w:rPr>
        <w:t>Data are represented as mean ± SD (n =3).</w:t>
      </w:r>
    </w:p>
    <w:p w14:paraId="71A5BEF0" w14:textId="3B55E55D" w:rsidR="007B04D3" w:rsidRPr="00795222" w:rsidRDefault="007B04D3" w:rsidP="00657F6C">
      <w:pPr>
        <w:spacing w:line="360" w:lineRule="auto"/>
        <w:jc w:val="both"/>
        <w:rPr>
          <w:rFonts w:asciiTheme="majorBidi" w:hAnsiTheme="majorBidi" w:cstheme="majorBidi"/>
          <w:sz w:val="24"/>
          <w:szCs w:val="24"/>
          <w:lang w:val="en-US"/>
        </w:rPr>
      </w:pPr>
    </w:p>
    <w:p w14:paraId="694CFC92" w14:textId="77777777" w:rsidR="007B04D3" w:rsidRPr="00795222" w:rsidRDefault="007B04D3" w:rsidP="00657F6C">
      <w:pPr>
        <w:spacing w:line="360" w:lineRule="auto"/>
        <w:jc w:val="both"/>
        <w:rPr>
          <w:rFonts w:asciiTheme="majorBidi" w:hAnsiTheme="majorBidi" w:cstheme="majorBidi"/>
          <w:sz w:val="24"/>
          <w:szCs w:val="24"/>
          <w:lang w:val="en-US"/>
        </w:rPr>
      </w:pPr>
    </w:p>
    <w:p w14:paraId="6F7EF109" w14:textId="77777777" w:rsidR="007B04D3" w:rsidRPr="00795222" w:rsidRDefault="007B04D3" w:rsidP="00657F6C">
      <w:pPr>
        <w:keepNext/>
        <w:spacing w:line="360" w:lineRule="auto"/>
        <w:jc w:val="both"/>
        <w:rPr>
          <w:rFonts w:asciiTheme="majorBidi" w:hAnsiTheme="majorBidi" w:cstheme="majorBidi"/>
          <w:sz w:val="24"/>
          <w:szCs w:val="24"/>
          <w:lang w:val="en-US"/>
        </w:rPr>
      </w:pPr>
      <w:r w:rsidRPr="00795222">
        <w:rPr>
          <w:rFonts w:asciiTheme="majorBidi" w:hAnsiTheme="majorBidi" w:cstheme="majorBidi"/>
          <w:noProof/>
          <w:sz w:val="24"/>
          <w:szCs w:val="24"/>
          <w:lang w:val="en-US"/>
        </w:rPr>
        <w:drawing>
          <wp:inline distT="0" distB="0" distL="0" distR="0" wp14:anchorId="1DCB13AE" wp14:editId="12BEC345">
            <wp:extent cx="3243415" cy="3028384"/>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10348" b="13574"/>
                    <a:stretch/>
                  </pic:blipFill>
                  <pic:spPr bwMode="auto">
                    <a:xfrm>
                      <a:off x="0" y="0"/>
                      <a:ext cx="3243580" cy="3028538"/>
                    </a:xfrm>
                    <a:prstGeom prst="rect">
                      <a:avLst/>
                    </a:prstGeom>
                    <a:noFill/>
                    <a:ln>
                      <a:noFill/>
                    </a:ln>
                    <a:extLst>
                      <a:ext uri="{53640926-AAD7-44D8-BBD7-CCE9431645EC}">
                        <a14:shadowObscured xmlns:a14="http://schemas.microsoft.com/office/drawing/2010/main"/>
                      </a:ext>
                    </a:extLst>
                  </pic:spPr>
                </pic:pic>
              </a:graphicData>
            </a:graphic>
          </wp:inline>
        </w:drawing>
      </w:r>
    </w:p>
    <w:p w14:paraId="757F0480" w14:textId="130E0CDD" w:rsidR="007B04D3" w:rsidRPr="00795222" w:rsidRDefault="007B04D3" w:rsidP="00657F6C">
      <w:pPr>
        <w:pStyle w:val="Caption"/>
        <w:jc w:val="both"/>
        <w:rPr>
          <w:rFonts w:asciiTheme="majorBidi" w:eastAsiaTheme="minorEastAsia" w:hAnsiTheme="majorBidi" w:cstheme="majorBidi"/>
          <w:color w:val="000000"/>
          <w:kern w:val="24"/>
          <w:sz w:val="24"/>
          <w:szCs w:val="24"/>
          <w:lang w:eastAsia="en-GB"/>
        </w:rPr>
      </w:pPr>
      <w:bookmarkStart w:id="19" w:name="_Ref23704737"/>
      <w:r w:rsidRPr="00795222">
        <w:rPr>
          <w:rFonts w:asciiTheme="majorBidi" w:hAnsiTheme="majorBidi" w:cstheme="majorBidi"/>
          <w:sz w:val="24"/>
          <w:szCs w:val="24"/>
        </w:rPr>
        <w:t xml:space="preserve">Figure </w:t>
      </w:r>
      <w:bookmarkEnd w:id="19"/>
      <w:r w:rsidR="000518D1" w:rsidRPr="00795222">
        <w:rPr>
          <w:rFonts w:asciiTheme="majorBidi" w:hAnsiTheme="majorBidi" w:cstheme="majorBidi"/>
          <w:sz w:val="24"/>
          <w:szCs w:val="24"/>
        </w:rPr>
        <w:t>3</w:t>
      </w:r>
      <w:r w:rsidRPr="00795222">
        <w:rPr>
          <w:rFonts w:asciiTheme="majorBidi" w:hAnsiTheme="majorBidi" w:cstheme="majorBidi"/>
          <w:sz w:val="24"/>
          <w:szCs w:val="24"/>
        </w:rPr>
        <w:t>. Comparison of Z-average of blank</w:t>
      </w:r>
      <w:r w:rsidR="00AA2780" w:rsidRPr="00795222">
        <w:rPr>
          <w:rFonts w:asciiTheme="majorBidi" w:hAnsiTheme="majorBidi" w:cstheme="majorBidi"/>
          <w:sz w:val="24"/>
          <w:szCs w:val="24"/>
        </w:rPr>
        <w:t xml:space="preserve"> </w:t>
      </w:r>
      <w:r w:rsidRPr="00795222">
        <w:rPr>
          <w:rFonts w:asciiTheme="majorBidi" w:hAnsiTheme="majorBidi" w:cstheme="majorBidi"/>
          <w:sz w:val="24"/>
          <w:szCs w:val="24"/>
        </w:rPr>
        <w:t xml:space="preserve">LPHNs synthesized using a mixture of Brij 78 and SBL with different </w:t>
      </w:r>
      <w:bookmarkStart w:id="20" w:name="_Hlk23355161"/>
      <w:r w:rsidRPr="00795222">
        <w:rPr>
          <w:rFonts w:asciiTheme="majorBidi" w:hAnsiTheme="majorBidi" w:cstheme="majorBidi"/>
          <w:sz w:val="24"/>
          <w:szCs w:val="24"/>
        </w:rPr>
        <w:t>Brij 78/Total stabilizer % w/w</w:t>
      </w:r>
      <w:bookmarkEnd w:id="20"/>
      <w:r w:rsidRPr="00795222">
        <w:rPr>
          <w:rFonts w:asciiTheme="majorBidi" w:hAnsiTheme="majorBidi" w:cstheme="majorBidi"/>
          <w:sz w:val="24"/>
          <w:szCs w:val="24"/>
        </w:rPr>
        <w:t>, (</w:t>
      </w:r>
      <w:bookmarkStart w:id="21" w:name="_Hlk23421872"/>
      <w:r w:rsidRPr="00795222">
        <w:rPr>
          <w:rFonts w:asciiTheme="majorBidi" w:hAnsiTheme="majorBidi" w:cstheme="majorBidi"/>
          <w:sz w:val="24"/>
          <w:szCs w:val="24"/>
        </w:rPr>
        <w:t xml:space="preserve">total stabilizer refers to the mass of both of </w:t>
      </w:r>
      <w:r w:rsidRPr="00795222">
        <w:rPr>
          <w:rFonts w:asciiTheme="majorBidi" w:hAnsiTheme="majorBidi" w:cstheme="majorBidi"/>
          <w:sz w:val="24"/>
          <w:szCs w:val="24"/>
        </w:rPr>
        <w:lastRenderedPageBreak/>
        <w:t>(SBL and Brij 78)</w:t>
      </w:r>
      <w:bookmarkEnd w:id="21"/>
      <w:r w:rsidRPr="00795222">
        <w:rPr>
          <w:rFonts w:asciiTheme="majorBidi" w:hAnsiTheme="majorBidi" w:cstheme="majorBidi"/>
          <w:sz w:val="24"/>
          <w:szCs w:val="24"/>
        </w:rPr>
        <w:t xml:space="preserve">. The measurements were carried out on the LPHNs dispersed in different media; DI water and PBS.  (Asterisks (*) indicates poor quality DLS data meaning that the measurements were unreliable likely due to particle aggregation). </w:t>
      </w:r>
      <w:r w:rsidRPr="00795222">
        <w:rPr>
          <w:rFonts w:asciiTheme="majorBidi" w:eastAsiaTheme="minorEastAsia" w:hAnsiTheme="majorBidi" w:cstheme="majorBidi"/>
          <w:color w:val="000000"/>
          <w:kern w:val="24"/>
          <w:sz w:val="24"/>
          <w:szCs w:val="24"/>
          <w:lang w:eastAsia="en-GB"/>
        </w:rPr>
        <w:t>Data are represented as mean ± SD (n =3).</w:t>
      </w:r>
    </w:p>
    <w:p w14:paraId="3169CBD3" w14:textId="42BD3BFD" w:rsidR="007B04D3" w:rsidRPr="00795222" w:rsidRDefault="007B04D3" w:rsidP="00657F6C">
      <w:pPr>
        <w:jc w:val="both"/>
        <w:rPr>
          <w:lang w:val="en-US" w:eastAsia="en-GB"/>
        </w:rPr>
      </w:pPr>
      <w:r w:rsidRPr="00795222">
        <w:rPr>
          <w:lang w:val="en-US" w:eastAsia="en-GB"/>
        </w:rPr>
        <w:br w:type="page"/>
      </w:r>
    </w:p>
    <w:p w14:paraId="32EFDD36" w14:textId="0F3D8CF7" w:rsidR="000A5AE1" w:rsidRPr="00795222" w:rsidRDefault="000A5AE1" w:rsidP="00657F6C">
      <w:pPr>
        <w:spacing w:line="360" w:lineRule="auto"/>
        <w:jc w:val="both"/>
        <w:rPr>
          <w:rFonts w:asciiTheme="majorBidi" w:hAnsiTheme="majorBidi" w:cstheme="majorBidi"/>
          <w:sz w:val="24"/>
          <w:szCs w:val="24"/>
          <w:lang w:val="en-US"/>
        </w:rPr>
      </w:pPr>
    </w:p>
    <w:p w14:paraId="47559BBF" w14:textId="5E853AC0" w:rsidR="000A5AE1" w:rsidRPr="00795222" w:rsidRDefault="000A5AE1" w:rsidP="00657F6C">
      <w:pPr>
        <w:spacing w:line="360" w:lineRule="auto"/>
        <w:jc w:val="both"/>
        <w:rPr>
          <w:rFonts w:asciiTheme="majorBidi" w:hAnsiTheme="majorBidi" w:cstheme="majorBidi"/>
          <w:sz w:val="24"/>
          <w:szCs w:val="24"/>
          <w:lang w:val="en-US"/>
        </w:rPr>
      </w:pPr>
    </w:p>
    <w:p w14:paraId="382BB82F" w14:textId="0045B427" w:rsidR="000A5AE1" w:rsidRPr="00795222" w:rsidRDefault="000A5AE1" w:rsidP="00657F6C">
      <w:pPr>
        <w:spacing w:line="360" w:lineRule="auto"/>
        <w:jc w:val="both"/>
        <w:rPr>
          <w:rFonts w:asciiTheme="majorBidi" w:hAnsiTheme="majorBidi" w:cstheme="majorBidi"/>
          <w:sz w:val="24"/>
          <w:szCs w:val="24"/>
          <w:lang w:val="en-US"/>
        </w:rPr>
      </w:pPr>
    </w:p>
    <w:p w14:paraId="27763D65" w14:textId="77777777" w:rsidR="000A5AE1" w:rsidRPr="00795222" w:rsidRDefault="000A5AE1" w:rsidP="00657F6C">
      <w:pPr>
        <w:spacing w:line="360" w:lineRule="auto"/>
        <w:jc w:val="both"/>
        <w:rPr>
          <w:rFonts w:asciiTheme="majorBidi" w:hAnsiTheme="majorBidi" w:cstheme="majorBidi"/>
          <w:sz w:val="24"/>
          <w:szCs w:val="24"/>
          <w:lang w:val="en-US"/>
        </w:rPr>
      </w:pPr>
      <w:r w:rsidRPr="00795222">
        <w:rPr>
          <w:rFonts w:asciiTheme="majorBidi" w:hAnsiTheme="majorBidi" w:cstheme="majorBidi"/>
          <w:noProof/>
          <w:sz w:val="24"/>
          <w:szCs w:val="24"/>
          <w:lang w:val="en-US"/>
        </w:rPr>
        <w:drawing>
          <wp:inline distT="0" distB="0" distL="0" distR="0" wp14:anchorId="652ACCC2" wp14:editId="35FE1774">
            <wp:extent cx="3060000" cy="4439782"/>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ba particle characterisation figure 2.tif"/>
                    <pic:cNvPicPr/>
                  </pic:nvPicPr>
                  <pic:blipFill>
                    <a:blip r:embed="rId14">
                      <a:extLst>
                        <a:ext uri="{28A0092B-C50C-407E-A947-70E740481C1C}">
                          <a14:useLocalDpi xmlns:a14="http://schemas.microsoft.com/office/drawing/2010/main" val="0"/>
                        </a:ext>
                      </a:extLst>
                    </a:blip>
                    <a:stretch>
                      <a:fillRect/>
                    </a:stretch>
                  </pic:blipFill>
                  <pic:spPr>
                    <a:xfrm>
                      <a:off x="0" y="0"/>
                      <a:ext cx="3060000" cy="4439782"/>
                    </a:xfrm>
                    <a:prstGeom prst="rect">
                      <a:avLst/>
                    </a:prstGeom>
                  </pic:spPr>
                </pic:pic>
              </a:graphicData>
            </a:graphic>
          </wp:inline>
        </w:drawing>
      </w:r>
    </w:p>
    <w:p w14:paraId="7E1E22D2" w14:textId="3356BE60" w:rsidR="000A5AE1" w:rsidRPr="00795222" w:rsidRDefault="000A5AE1" w:rsidP="00657F6C">
      <w:pPr>
        <w:pStyle w:val="Caption"/>
        <w:jc w:val="both"/>
        <w:rPr>
          <w:rFonts w:asciiTheme="majorBidi" w:hAnsiTheme="majorBidi" w:cstheme="majorBidi"/>
          <w:sz w:val="24"/>
          <w:szCs w:val="24"/>
        </w:rPr>
      </w:pPr>
      <w:r w:rsidRPr="00795222">
        <w:rPr>
          <w:rFonts w:asciiTheme="majorBidi" w:hAnsiTheme="majorBidi" w:cstheme="majorBidi"/>
          <w:sz w:val="24"/>
          <w:szCs w:val="24"/>
        </w:rPr>
        <w:t xml:space="preserve">Figure </w:t>
      </w:r>
      <w:r w:rsidR="00F7180D" w:rsidRPr="00795222">
        <w:rPr>
          <w:rFonts w:asciiTheme="majorBidi" w:hAnsiTheme="majorBidi" w:cstheme="majorBidi"/>
          <w:sz w:val="24"/>
          <w:szCs w:val="24"/>
        </w:rPr>
        <w:t>4</w:t>
      </w:r>
      <w:r w:rsidRPr="00795222">
        <w:rPr>
          <w:rFonts w:asciiTheme="majorBidi" w:hAnsiTheme="majorBidi" w:cstheme="majorBidi"/>
          <w:sz w:val="24"/>
          <w:szCs w:val="24"/>
        </w:rPr>
        <w:t>. Particle characterization of DRV-RTV-LPHNs with 20 % w/w DRV/PLGA and 20 % w/w total stabilizer/PLGA have different stabilizers; (A) SEM image of LPHNs stabilized by SBL only. (B) SEM image for LPHNs with Brij 78/Total stabilizer 70 % w/w. (C) TEM image for LPHNs stabilized by SBL</w:t>
      </w:r>
      <w:r w:rsidR="00492EE5" w:rsidRPr="00795222">
        <w:rPr>
          <w:rFonts w:asciiTheme="majorBidi" w:hAnsiTheme="majorBidi" w:cstheme="majorBidi"/>
          <w:sz w:val="24"/>
          <w:szCs w:val="24"/>
        </w:rPr>
        <w:t xml:space="preserve"> only</w:t>
      </w:r>
      <w:r w:rsidR="003C7141" w:rsidRPr="00795222">
        <w:rPr>
          <w:rFonts w:asciiTheme="majorBidi" w:hAnsiTheme="majorBidi" w:cstheme="majorBidi"/>
          <w:sz w:val="24"/>
          <w:szCs w:val="24"/>
        </w:rPr>
        <w:t xml:space="preserve">. </w:t>
      </w:r>
      <w:r w:rsidRPr="00795222">
        <w:rPr>
          <w:rFonts w:asciiTheme="majorBidi" w:hAnsiTheme="majorBidi" w:cstheme="majorBidi"/>
          <w:sz w:val="24"/>
          <w:szCs w:val="24"/>
        </w:rPr>
        <w:t>(D) TEM image for LPHNs with Brij/Total stabilizer 70% w/. (E) Size distribution graphs obtained by DLS for the same 2 formulations, the graph shows monomodal distribution of size with Z-average diameters below 100 nm.</w:t>
      </w:r>
    </w:p>
    <w:p w14:paraId="0D1CDDD0" w14:textId="6FD682F9" w:rsidR="000A5AE1" w:rsidRPr="00795222" w:rsidRDefault="000A5AE1" w:rsidP="00657F6C">
      <w:pPr>
        <w:spacing w:line="360" w:lineRule="auto"/>
        <w:jc w:val="both"/>
        <w:rPr>
          <w:rFonts w:asciiTheme="majorBidi" w:hAnsiTheme="majorBidi" w:cstheme="majorBidi"/>
          <w:sz w:val="24"/>
          <w:szCs w:val="24"/>
          <w:lang w:val="en-US"/>
        </w:rPr>
      </w:pPr>
    </w:p>
    <w:p w14:paraId="136B6F63" w14:textId="7955629F" w:rsidR="000A5AE1" w:rsidRPr="00795222" w:rsidRDefault="000A5AE1" w:rsidP="00657F6C">
      <w:pPr>
        <w:jc w:val="both"/>
        <w:rPr>
          <w:rFonts w:asciiTheme="majorBidi" w:hAnsiTheme="majorBidi" w:cstheme="majorBidi"/>
          <w:sz w:val="24"/>
          <w:szCs w:val="24"/>
          <w:lang w:val="en-US"/>
        </w:rPr>
      </w:pPr>
      <w:r w:rsidRPr="00795222">
        <w:rPr>
          <w:rFonts w:asciiTheme="majorBidi" w:hAnsiTheme="majorBidi" w:cstheme="majorBidi"/>
          <w:sz w:val="24"/>
          <w:szCs w:val="24"/>
          <w:lang w:val="en-US"/>
        </w:rPr>
        <w:br w:type="page"/>
      </w:r>
    </w:p>
    <w:p w14:paraId="5B7EE082" w14:textId="77777777" w:rsidR="000A5AE1" w:rsidRPr="00795222" w:rsidRDefault="000A5AE1" w:rsidP="00657F6C">
      <w:pPr>
        <w:spacing w:line="360" w:lineRule="auto"/>
        <w:jc w:val="both"/>
        <w:rPr>
          <w:rFonts w:asciiTheme="majorBidi" w:eastAsia="Calibri" w:hAnsiTheme="majorBidi" w:cstheme="majorBidi"/>
          <w:sz w:val="24"/>
          <w:szCs w:val="24"/>
          <w:lang w:val="en-US"/>
        </w:rPr>
      </w:pPr>
    </w:p>
    <w:p w14:paraId="2D77CADF" w14:textId="77777777" w:rsidR="000A5AE1" w:rsidRPr="00795222" w:rsidRDefault="000A5AE1" w:rsidP="00657F6C">
      <w:pPr>
        <w:pStyle w:val="Caption"/>
        <w:jc w:val="both"/>
        <w:rPr>
          <w:rFonts w:asciiTheme="majorBidi" w:hAnsiTheme="majorBidi" w:cstheme="majorBidi"/>
          <w:b/>
          <w:bCs/>
          <w:sz w:val="24"/>
          <w:szCs w:val="24"/>
        </w:rPr>
      </w:pPr>
      <w:r w:rsidRPr="00795222">
        <w:rPr>
          <w:rFonts w:asciiTheme="majorBidi" w:hAnsiTheme="majorBidi" w:cstheme="majorBidi"/>
          <w:b/>
          <w:bCs/>
          <w:noProof/>
          <w:sz w:val="24"/>
          <w:szCs w:val="24"/>
        </w:rPr>
        <w:drawing>
          <wp:inline distT="0" distB="0" distL="0" distR="0" wp14:anchorId="3038A268" wp14:editId="07BB37F1">
            <wp:extent cx="3096000" cy="57731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ba release behaviour.tif"/>
                    <pic:cNvPicPr/>
                  </pic:nvPicPr>
                  <pic:blipFill>
                    <a:blip r:embed="rId15">
                      <a:extLst>
                        <a:ext uri="{28A0092B-C50C-407E-A947-70E740481C1C}">
                          <a14:useLocalDpi xmlns:a14="http://schemas.microsoft.com/office/drawing/2010/main" val="0"/>
                        </a:ext>
                      </a:extLst>
                    </a:blip>
                    <a:stretch>
                      <a:fillRect/>
                    </a:stretch>
                  </pic:blipFill>
                  <pic:spPr>
                    <a:xfrm>
                      <a:off x="0" y="0"/>
                      <a:ext cx="3096000" cy="5773162"/>
                    </a:xfrm>
                    <a:prstGeom prst="rect">
                      <a:avLst/>
                    </a:prstGeom>
                  </pic:spPr>
                </pic:pic>
              </a:graphicData>
            </a:graphic>
          </wp:inline>
        </w:drawing>
      </w:r>
    </w:p>
    <w:p w14:paraId="67AE9936" w14:textId="5AA31C98" w:rsidR="000A5AE1" w:rsidRPr="00795222" w:rsidRDefault="000A5AE1" w:rsidP="00657F6C">
      <w:pPr>
        <w:pStyle w:val="Caption"/>
        <w:jc w:val="both"/>
        <w:rPr>
          <w:rFonts w:asciiTheme="majorBidi" w:hAnsiTheme="majorBidi" w:cstheme="majorBidi"/>
          <w:sz w:val="24"/>
          <w:szCs w:val="24"/>
          <w:lang w:eastAsia="en-GB"/>
        </w:rPr>
      </w:pPr>
      <w:bookmarkStart w:id="22" w:name="_Ref23708612"/>
      <w:r w:rsidRPr="00795222">
        <w:rPr>
          <w:rFonts w:asciiTheme="majorBidi" w:hAnsiTheme="majorBidi" w:cstheme="majorBidi"/>
          <w:sz w:val="24"/>
          <w:szCs w:val="24"/>
          <w:lang w:eastAsia="en-GB"/>
        </w:rPr>
        <w:t>Figure</w:t>
      </w:r>
      <w:bookmarkEnd w:id="22"/>
      <w:r w:rsidR="00F7365C" w:rsidRPr="00795222">
        <w:rPr>
          <w:rFonts w:asciiTheme="majorBidi" w:hAnsiTheme="majorBidi" w:cstheme="majorBidi"/>
          <w:sz w:val="24"/>
          <w:szCs w:val="24"/>
          <w:lang w:eastAsia="en-GB"/>
        </w:rPr>
        <w:t xml:space="preserve"> 5</w:t>
      </w:r>
      <w:r w:rsidRPr="00795222">
        <w:rPr>
          <w:rFonts w:asciiTheme="majorBidi" w:hAnsiTheme="majorBidi" w:cstheme="majorBidi"/>
          <w:sz w:val="24"/>
          <w:szCs w:val="24"/>
          <w:lang w:eastAsia="en-GB"/>
        </w:rPr>
        <w:t xml:space="preserve">. Drug release graphs of LPHNs </w:t>
      </w:r>
      <w:r w:rsidRPr="00795222">
        <w:rPr>
          <w:rFonts w:asciiTheme="majorBidi" w:eastAsia="Calibri" w:hAnsiTheme="majorBidi" w:cstheme="majorBidi"/>
          <w:sz w:val="24"/>
          <w:szCs w:val="24"/>
        </w:rPr>
        <w:t>containing DRV at 20 % w/w with respect to PLGA</w:t>
      </w:r>
      <w:r w:rsidRPr="00795222">
        <w:rPr>
          <w:rFonts w:asciiTheme="majorBidi" w:hAnsiTheme="majorBidi" w:cstheme="majorBidi"/>
          <w:sz w:val="24"/>
          <w:szCs w:val="24"/>
          <w:lang w:eastAsia="en-GB"/>
        </w:rPr>
        <w:t>. (A) DRV-RTV-LPHNs (not freeze-dried) stabilized with varied Brij 78/total stabilizer mass percentage (70, 90 or 100 % w/w). (B) Freeze dried DRV- LPHNs and DRV-RTV-LPHNs stabilized with 70 % w/w Brij 78/total stabilizer. Error bars represent 3 times LSC background.</w:t>
      </w:r>
    </w:p>
    <w:p w14:paraId="5BB5760E" w14:textId="579AA473" w:rsidR="000A5AE1" w:rsidRPr="00795222" w:rsidRDefault="000A5AE1" w:rsidP="00657F6C">
      <w:pPr>
        <w:jc w:val="both"/>
        <w:rPr>
          <w:rFonts w:asciiTheme="majorBidi" w:hAnsiTheme="majorBidi" w:cstheme="majorBidi"/>
          <w:sz w:val="24"/>
          <w:szCs w:val="24"/>
          <w:lang w:val="en-US"/>
        </w:rPr>
      </w:pPr>
      <w:r w:rsidRPr="00795222">
        <w:rPr>
          <w:rFonts w:asciiTheme="majorBidi" w:hAnsiTheme="majorBidi" w:cstheme="majorBidi"/>
          <w:sz w:val="24"/>
          <w:szCs w:val="24"/>
          <w:lang w:val="en-US"/>
        </w:rPr>
        <w:br w:type="page"/>
      </w:r>
    </w:p>
    <w:p w14:paraId="3A83F185" w14:textId="77777777" w:rsidR="000A5AE1" w:rsidRPr="00795222" w:rsidRDefault="000A5AE1" w:rsidP="00657F6C">
      <w:pPr>
        <w:spacing w:line="360" w:lineRule="auto"/>
        <w:jc w:val="both"/>
        <w:rPr>
          <w:rFonts w:asciiTheme="majorBidi" w:hAnsiTheme="majorBidi" w:cstheme="majorBidi"/>
          <w:sz w:val="24"/>
          <w:szCs w:val="24"/>
          <w:lang w:val="en-US"/>
        </w:rPr>
      </w:pPr>
      <w:r w:rsidRPr="00795222">
        <w:rPr>
          <w:noProof/>
        </w:rPr>
        <w:lastRenderedPageBreak/>
        <w:drawing>
          <wp:inline distT="0" distB="0" distL="0" distR="0" wp14:anchorId="7E1C6698" wp14:editId="2298DC51">
            <wp:extent cx="5731510" cy="46545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29"/>
                    <a:stretch/>
                  </pic:blipFill>
                  <pic:spPr bwMode="auto">
                    <a:xfrm>
                      <a:off x="0" y="0"/>
                      <a:ext cx="5731510" cy="4654550"/>
                    </a:xfrm>
                    <a:prstGeom prst="rect">
                      <a:avLst/>
                    </a:prstGeom>
                    <a:ln>
                      <a:noFill/>
                    </a:ln>
                    <a:extLst>
                      <a:ext uri="{53640926-AAD7-44D8-BBD7-CCE9431645EC}">
                        <a14:shadowObscured xmlns:a14="http://schemas.microsoft.com/office/drawing/2010/main"/>
                      </a:ext>
                    </a:extLst>
                  </pic:spPr>
                </pic:pic>
              </a:graphicData>
            </a:graphic>
          </wp:inline>
        </w:drawing>
      </w:r>
    </w:p>
    <w:p w14:paraId="72D55B4C" w14:textId="30BE679C" w:rsidR="000A5AE1" w:rsidRDefault="000A5AE1" w:rsidP="00657F6C">
      <w:pPr>
        <w:pStyle w:val="Caption"/>
        <w:jc w:val="both"/>
        <w:rPr>
          <w:rFonts w:asciiTheme="majorBidi" w:hAnsiTheme="majorBidi" w:cstheme="majorBidi"/>
          <w:sz w:val="24"/>
          <w:szCs w:val="24"/>
        </w:rPr>
      </w:pPr>
      <w:bookmarkStart w:id="23" w:name="_Ref26262394"/>
      <w:r w:rsidRPr="00795222">
        <w:rPr>
          <w:rFonts w:asciiTheme="majorBidi" w:hAnsiTheme="majorBidi" w:cstheme="majorBidi"/>
          <w:sz w:val="24"/>
          <w:szCs w:val="24"/>
        </w:rPr>
        <w:t>Figure</w:t>
      </w:r>
      <w:bookmarkEnd w:id="23"/>
      <w:r w:rsidR="00F7365C" w:rsidRPr="00795222">
        <w:rPr>
          <w:rFonts w:asciiTheme="majorBidi" w:hAnsiTheme="majorBidi" w:cstheme="majorBidi"/>
          <w:sz w:val="24"/>
          <w:szCs w:val="24"/>
        </w:rPr>
        <w:t xml:space="preserve"> 6</w:t>
      </w:r>
      <w:r w:rsidRPr="00795222">
        <w:rPr>
          <w:rFonts w:asciiTheme="majorBidi" w:hAnsiTheme="majorBidi" w:cstheme="majorBidi"/>
          <w:sz w:val="24"/>
          <w:szCs w:val="24"/>
        </w:rPr>
        <w:t>. Biological assessment of the effect of surfactant formulation on permeability. (A-C) Apparent oral absorption (Papp ratio) of conventional [</w:t>
      </w:r>
      <w:r w:rsidRPr="00795222">
        <w:rPr>
          <w:rFonts w:asciiTheme="majorBidi" w:hAnsiTheme="majorBidi" w:cstheme="majorBidi"/>
          <w:sz w:val="24"/>
          <w:szCs w:val="24"/>
          <w:vertAlign w:val="superscript"/>
        </w:rPr>
        <w:t>3</w:t>
      </w:r>
      <w:r w:rsidRPr="00795222">
        <w:rPr>
          <w:rFonts w:asciiTheme="majorBidi" w:hAnsiTheme="majorBidi" w:cstheme="majorBidi"/>
          <w:sz w:val="24"/>
          <w:szCs w:val="24"/>
        </w:rPr>
        <w:t>H]-DRV/DRV (&lt;1 % DMSO) and three [</w:t>
      </w:r>
      <w:r w:rsidRPr="00795222">
        <w:rPr>
          <w:rFonts w:asciiTheme="majorBidi" w:hAnsiTheme="majorBidi" w:cstheme="majorBidi"/>
          <w:sz w:val="24"/>
          <w:szCs w:val="24"/>
          <w:vertAlign w:val="superscript"/>
        </w:rPr>
        <w:t>3</w:t>
      </w:r>
      <w:r w:rsidRPr="00795222">
        <w:rPr>
          <w:rFonts w:asciiTheme="majorBidi" w:hAnsiTheme="majorBidi" w:cstheme="majorBidi"/>
          <w:sz w:val="24"/>
          <w:szCs w:val="24"/>
        </w:rPr>
        <w:t xml:space="preserve">H]-DRV-LPHN preparations across a triple culture permeability model over a 4 h incubation at </w:t>
      </w:r>
      <w:bookmarkStart w:id="24" w:name="OLE_LINK1"/>
      <w:r w:rsidRPr="00795222">
        <w:rPr>
          <w:rFonts w:asciiTheme="majorBidi" w:hAnsiTheme="majorBidi" w:cstheme="majorBidi"/>
          <w:sz w:val="24"/>
          <w:szCs w:val="24"/>
        </w:rPr>
        <w:t>37 °C, 5 % CO</w:t>
      </w:r>
      <w:r w:rsidRPr="00795222">
        <w:rPr>
          <w:rFonts w:asciiTheme="majorBidi" w:hAnsiTheme="majorBidi" w:cstheme="majorBidi"/>
          <w:sz w:val="24"/>
          <w:szCs w:val="24"/>
          <w:vertAlign w:val="subscript"/>
        </w:rPr>
        <w:t>2</w:t>
      </w:r>
      <w:r w:rsidRPr="00795222">
        <w:rPr>
          <w:rFonts w:asciiTheme="majorBidi" w:hAnsiTheme="majorBidi" w:cstheme="majorBidi"/>
          <w:sz w:val="24"/>
          <w:szCs w:val="24"/>
        </w:rPr>
        <w:t xml:space="preserve">. </w:t>
      </w:r>
      <w:bookmarkEnd w:id="24"/>
      <w:r w:rsidRPr="00795222">
        <w:rPr>
          <w:rFonts w:asciiTheme="majorBidi" w:hAnsiTheme="majorBidi" w:cstheme="majorBidi"/>
          <w:sz w:val="24"/>
          <w:szCs w:val="24"/>
        </w:rPr>
        <w:t>(D) Mannitol apparent permeability (Papp cm s</w:t>
      </w:r>
      <w:r w:rsidRPr="00795222">
        <w:rPr>
          <w:rFonts w:asciiTheme="majorBidi" w:hAnsiTheme="majorBidi" w:cstheme="majorBidi"/>
          <w:sz w:val="24"/>
          <w:szCs w:val="24"/>
          <w:vertAlign w:val="superscript"/>
        </w:rPr>
        <w:t>-1</w:t>
      </w:r>
      <w:r w:rsidRPr="00795222">
        <w:rPr>
          <w:rFonts w:asciiTheme="majorBidi" w:hAnsiTheme="majorBidi" w:cstheme="majorBidi"/>
          <w:sz w:val="24"/>
          <w:szCs w:val="24"/>
        </w:rPr>
        <w:t>), post DRV treatment, following 1 h incubation at 37 °C, 5 % CO</w:t>
      </w:r>
      <w:r w:rsidRPr="00795222">
        <w:rPr>
          <w:rFonts w:asciiTheme="majorBidi" w:hAnsiTheme="majorBidi" w:cstheme="majorBidi"/>
          <w:sz w:val="24"/>
          <w:szCs w:val="24"/>
          <w:vertAlign w:val="subscript"/>
        </w:rPr>
        <w:t>2</w:t>
      </w:r>
      <w:r w:rsidRPr="00795222">
        <w:rPr>
          <w:rFonts w:asciiTheme="majorBidi" w:hAnsiTheme="majorBidi" w:cstheme="majorBidi"/>
          <w:sz w:val="24"/>
          <w:szCs w:val="24"/>
        </w:rPr>
        <w:t>. **, P &lt; 0.01; ***, P &lt; 0.001; ****, P &lt; 0.0001 (unpaired, two-tailed t-test) (n=4).</w:t>
      </w:r>
      <w:r w:rsidRPr="001D6342">
        <w:rPr>
          <w:rFonts w:asciiTheme="majorBidi" w:hAnsiTheme="majorBidi" w:cstheme="majorBidi"/>
          <w:sz w:val="24"/>
          <w:szCs w:val="24"/>
        </w:rPr>
        <w:t xml:space="preserve">     </w:t>
      </w:r>
    </w:p>
    <w:p w14:paraId="62A3A1D2" w14:textId="77777777" w:rsidR="000A5AE1" w:rsidRPr="001D6342" w:rsidRDefault="000A5AE1" w:rsidP="00657F6C">
      <w:pPr>
        <w:spacing w:line="360" w:lineRule="auto"/>
        <w:jc w:val="both"/>
        <w:rPr>
          <w:rFonts w:asciiTheme="majorBidi" w:hAnsiTheme="majorBidi" w:cstheme="majorBidi"/>
          <w:sz w:val="24"/>
          <w:szCs w:val="24"/>
          <w:lang w:val="en-US"/>
        </w:rPr>
      </w:pPr>
    </w:p>
    <w:sectPr w:rsidR="000A5AE1" w:rsidRPr="001D6342">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E7D110" w14:textId="77777777" w:rsidR="00A630CE" w:rsidRDefault="00A630CE" w:rsidP="00C51838">
      <w:pPr>
        <w:spacing w:after="0" w:line="240" w:lineRule="auto"/>
      </w:pPr>
      <w:r>
        <w:separator/>
      </w:r>
    </w:p>
  </w:endnote>
  <w:endnote w:type="continuationSeparator" w:id="0">
    <w:p w14:paraId="0A3DC3AD" w14:textId="77777777" w:rsidR="00A630CE" w:rsidRDefault="00A630CE" w:rsidP="00C51838">
      <w:pPr>
        <w:spacing w:after="0" w:line="240" w:lineRule="auto"/>
      </w:pPr>
      <w:r>
        <w:continuationSeparator/>
      </w:r>
    </w:p>
  </w:endnote>
  <w:endnote w:type="continuationNotice" w:id="1">
    <w:p w14:paraId="5616E8A6" w14:textId="77777777" w:rsidR="00A630CE" w:rsidRDefault="00A630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4884096"/>
      <w:docPartObj>
        <w:docPartGallery w:val="Page Numbers (Bottom of Page)"/>
        <w:docPartUnique/>
      </w:docPartObj>
    </w:sdtPr>
    <w:sdtEndPr>
      <w:rPr>
        <w:noProof/>
      </w:rPr>
    </w:sdtEndPr>
    <w:sdtContent>
      <w:p w14:paraId="492F95CA" w14:textId="7FB3D4AF" w:rsidR="00FB5F47" w:rsidRDefault="00FB5F47">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7DAD0467" w14:textId="77777777" w:rsidR="00FB5F47" w:rsidRDefault="00FB5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10EDAE" w14:textId="77777777" w:rsidR="00A630CE" w:rsidRDefault="00A630CE" w:rsidP="00C51838">
      <w:pPr>
        <w:spacing w:after="0" w:line="240" w:lineRule="auto"/>
      </w:pPr>
      <w:r>
        <w:separator/>
      </w:r>
    </w:p>
  </w:footnote>
  <w:footnote w:type="continuationSeparator" w:id="0">
    <w:p w14:paraId="5EE48BA1" w14:textId="77777777" w:rsidR="00A630CE" w:rsidRDefault="00A630CE" w:rsidP="00C51838">
      <w:pPr>
        <w:spacing w:after="0" w:line="240" w:lineRule="auto"/>
      </w:pPr>
      <w:r>
        <w:continuationSeparator/>
      </w:r>
    </w:p>
  </w:footnote>
  <w:footnote w:type="continuationNotice" w:id="1">
    <w:p w14:paraId="665555F1" w14:textId="77777777" w:rsidR="00A630CE" w:rsidRDefault="00A630C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15ADE"/>
    <w:multiLevelType w:val="hybridMultilevel"/>
    <w:tmpl w:val="65D297E6"/>
    <w:lvl w:ilvl="0" w:tplc="2CDE94F8">
      <w:start w:val="1"/>
      <w:numFmt w:val="upperLetter"/>
      <w:lvlText w:val="(%1)"/>
      <w:lvlJc w:val="left"/>
      <w:pPr>
        <w:ind w:left="1455" w:hanging="360"/>
      </w:pPr>
      <w:rPr>
        <w:rFonts w:hint="default"/>
      </w:rPr>
    </w:lvl>
    <w:lvl w:ilvl="1" w:tplc="08090019" w:tentative="1">
      <w:start w:val="1"/>
      <w:numFmt w:val="lowerLetter"/>
      <w:lvlText w:val="%2."/>
      <w:lvlJc w:val="left"/>
      <w:pPr>
        <w:ind w:left="2175" w:hanging="360"/>
      </w:pPr>
    </w:lvl>
    <w:lvl w:ilvl="2" w:tplc="0809001B" w:tentative="1">
      <w:start w:val="1"/>
      <w:numFmt w:val="lowerRoman"/>
      <w:lvlText w:val="%3."/>
      <w:lvlJc w:val="right"/>
      <w:pPr>
        <w:ind w:left="2895" w:hanging="180"/>
      </w:pPr>
    </w:lvl>
    <w:lvl w:ilvl="3" w:tplc="0809000F" w:tentative="1">
      <w:start w:val="1"/>
      <w:numFmt w:val="decimal"/>
      <w:lvlText w:val="%4."/>
      <w:lvlJc w:val="left"/>
      <w:pPr>
        <w:ind w:left="3615" w:hanging="360"/>
      </w:pPr>
    </w:lvl>
    <w:lvl w:ilvl="4" w:tplc="08090019" w:tentative="1">
      <w:start w:val="1"/>
      <w:numFmt w:val="lowerLetter"/>
      <w:lvlText w:val="%5."/>
      <w:lvlJc w:val="left"/>
      <w:pPr>
        <w:ind w:left="4335" w:hanging="360"/>
      </w:pPr>
    </w:lvl>
    <w:lvl w:ilvl="5" w:tplc="0809001B" w:tentative="1">
      <w:start w:val="1"/>
      <w:numFmt w:val="lowerRoman"/>
      <w:lvlText w:val="%6."/>
      <w:lvlJc w:val="right"/>
      <w:pPr>
        <w:ind w:left="5055" w:hanging="180"/>
      </w:pPr>
    </w:lvl>
    <w:lvl w:ilvl="6" w:tplc="0809000F" w:tentative="1">
      <w:start w:val="1"/>
      <w:numFmt w:val="decimal"/>
      <w:lvlText w:val="%7."/>
      <w:lvlJc w:val="left"/>
      <w:pPr>
        <w:ind w:left="5775" w:hanging="360"/>
      </w:pPr>
    </w:lvl>
    <w:lvl w:ilvl="7" w:tplc="08090019" w:tentative="1">
      <w:start w:val="1"/>
      <w:numFmt w:val="lowerLetter"/>
      <w:lvlText w:val="%8."/>
      <w:lvlJc w:val="left"/>
      <w:pPr>
        <w:ind w:left="6495" w:hanging="360"/>
      </w:pPr>
    </w:lvl>
    <w:lvl w:ilvl="8" w:tplc="0809001B" w:tentative="1">
      <w:start w:val="1"/>
      <w:numFmt w:val="lowerRoman"/>
      <w:lvlText w:val="%9."/>
      <w:lvlJc w:val="right"/>
      <w:pPr>
        <w:ind w:left="7215" w:hanging="180"/>
      </w:pPr>
    </w:lvl>
  </w:abstractNum>
  <w:abstractNum w:abstractNumId="1" w15:restartNumberingAfterBreak="0">
    <w:nsid w:val="087945CB"/>
    <w:multiLevelType w:val="hybridMultilevel"/>
    <w:tmpl w:val="80EC7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1528A"/>
    <w:multiLevelType w:val="multilevel"/>
    <w:tmpl w:val="0DFE435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4548" w:hanging="720"/>
      </w:pPr>
      <w:rPr>
        <w:b/>
        <w:bC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FDB7FB0"/>
    <w:multiLevelType w:val="multilevel"/>
    <w:tmpl w:val="AE5482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643F7C"/>
    <w:multiLevelType w:val="multilevel"/>
    <w:tmpl w:val="5AB06C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B81D99"/>
    <w:multiLevelType w:val="multilevel"/>
    <w:tmpl w:val="7A28D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A105B1"/>
    <w:multiLevelType w:val="multilevel"/>
    <w:tmpl w:val="0C14C2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430A87"/>
    <w:multiLevelType w:val="multilevel"/>
    <w:tmpl w:val="0E5E71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067075"/>
    <w:multiLevelType w:val="multilevel"/>
    <w:tmpl w:val="04823DE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B33B5D"/>
    <w:multiLevelType w:val="multilevel"/>
    <w:tmpl w:val="533A2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70754F"/>
    <w:multiLevelType w:val="multilevel"/>
    <w:tmpl w:val="437A1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C863C43"/>
    <w:multiLevelType w:val="multilevel"/>
    <w:tmpl w:val="4796A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D0A1E3D"/>
    <w:multiLevelType w:val="multilevel"/>
    <w:tmpl w:val="7466DC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D2E7837"/>
    <w:multiLevelType w:val="multilevel"/>
    <w:tmpl w:val="31A881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0B72287"/>
    <w:multiLevelType w:val="multilevel"/>
    <w:tmpl w:val="A65E13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0EB263A"/>
    <w:multiLevelType w:val="multilevel"/>
    <w:tmpl w:val="97A06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F553EEB"/>
    <w:multiLevelType w:val="multilevel"/>
    <w:tmpl w:val="F118D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7"/>
  </w:num>
  <w:num w:numId="3">
    <w:abstractNumId w:val="15"/>
  </w:num>
  <w:num w:numId="4">
    <w:abstractNumId w:val="13"/>
  </w:num>
  <w:num w:numId="5">
    <w:abstractNumId w:val="16"/>
  </w:num>
  <w:num w:numId="6">
    <w:abstractNumId w:val="6"/>
  </w:num>
  <w:num w:numId="7">
    <w:abstractNumId w:val="12"/>
  </w:num>
  <w:num w:numId="8">
    <w:abstractNumId w:val="14"/>
  </w:num>
  <w:num w:numId="9">
    <w:abstractNumId w:val="11"/>
  </w:num>
  <w:num w:numId="10">
    <w:abstractNumId w:val="4"/>
  </w:num>
  <w:num w:numId="11">
    <w:abstractNumId w:val="3"/>
  </w:num>
  <w:num w:numId="12">
    <w:abstractNumId w:val="9"/>
  </w:num>
  <w:num w:numId="13">
    <w:abstractNumId w:val="5"/>
  </w:num>
  <w:num w:numId="14">
    <w:abstractNumId w:val="0"/>
  </w:num>
  <w:num w:numId="15">
    <w:abstractNumId w:val="8"/>
  </w:num>
  <w:num w:numId="16">
    <w:abstractNumId w:val="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01C"/>
    <w:rsid w:val="00000EC4"/>
    <w:rsid w:val="000012FD"/>
    <w:rsid w:val="000022AB"/>
    <w:rsid w:val="000032BD"/>
    <w:rsid w:val="000041E5"/>
    <w:rsid w:val="000050A4"/>
    <w:rsid w:val="00005474"/>
    <w:rsid w:val="0000551C"/>
    <w:rsid w:val="000069C2"/>
    <w:rsid w:val="00007208"/>
    <w:rsid w:val="0001091A"/>
    <w:rsid w:val="000121D9"/>
    <w:rsid w:val="000124A9"/>
    <w:rsid w:val="000126E8"/>
    <w:rsid w:val="00012A1D"/>
    <w:rsid w:val="000130CC"/>
    <w:rsid w:val="000130DC"/>
    <w:rsid w:val="000131C9"/>
    <w:rsid w:val="00015216"/>
    <w:rsid w:val="00015372"/>
    <w:rsid w:val="00015833"/>
    <w:rsid w:val="00015E6E"/>
    <w:rsid w:val="00016907"/>
    <w:rsid w:val="00016CDB"/>
    <w:rsid w:val="00017D47"/>
    <w:rsid w:val="00017F69"/>
    <w:rsid w:val="00020B37"/>
    <w:rsid w:val="00020C5E"/>
    <w:rsid w:val="00021768"/>
    <w:rsid w:val="000223BF"/>
    <w:rsid w:val="000224E7"/>
    <w:rsid w:val="0002250A"/>
    <w:rsid w:val="00023C3F"/>
    <w:rsid w:val="00024118"/>
    <w:rsid w:val="00024A22"/>
    <w:rsid w:val="000252B8"/>
    <w:rsid w:val="00025BBB"/>
    <w:rsid w:val="00025C0F"/>
    <w:rsid w:val="00025D22"/>
    <w:rsid w:val="00025DC0"/>
    <w:rsid w:val="00026423"/>
    <w:rsid w:val="00026620"/>
    <w:rsid w:val="000266E5"/>
    <w:rsid w:val="00026C09"/>
    <w:rsid w:val="00027753"/>
    <w:rsid w:val="0002776A"/>
    <w:rsid w:val="00031618"/>
    <w:rsid w:val="00031729"/>
    <w:rsid w:val="00031E80"/>
    <w:rsid w:val="00032C21"/>
    <w:rsid w:val="00033BB5"/>
    <w:rsid w:val="00035A90"/>
    <w:rsid w:val="00035DCB"/>
    <w:rsid w:val="0003681A"/>
    <w:rsid w:val="00036912"/>
    <w:rsid w:val="00037469"/>
    <w:rsid w:val="00037BE8"/>
    <w:rsid w:val="00040569"/>
    <w:rsid w:val="00040A7C"/>
    <w:rsid w:val="00040F1F"/>
    <w:rsid w:val="00041577"/>
    <w:rsid w:val="000421D6"/>
    <w:rsid w:val="000428B5"/>
    <w:rsid w:val="00043488"/>
    <w:rsid w:val="00043DD8"/>
    <w:rsid w:val="00044D30"/>
    <w:rsid w:val="00044E0B"/>
    <w:rsid w:val="000455D4"/>
    <w:rsid w:val="00046A74"/>
    <w:rsid w:val="00046B25"/>
    <w:rsid w:val="000476AD"/>
    <w:rsid w:val="00047A72"/>
    <w:rsid w:val="00047B38"/>
    <w:rsid w:val="0005017E"/>
    <w:rsid w:val="0005128A"/>
    <w:rsid w:val="000518B9"/>
    <w:rsid w:val="000518D1"/>
    <w:rsid w:val="00052A9D"/>
    <w:rsid w:val="000533CB"/>
    <w:rsid w:val="00054BF4"/>
    <w:rsid w:val="000552E3"/>
    <w:rsid w:val="00055FEF"/>
    <w:rsid w:val="000563D0"/>
    <w:rsid w:val="0005643D"/>
    <w:rsid w:val="00056FD5"/>
    <w:rsid w:val="00061A7C"/>
    <w:rsid w:val="00061E22"/>
    <w:rsid w:val="00062A16"/>
    <w:rsid w:val="00063122"/>
    <w:rsid w:val="00063A4B"/>
    <w:rsid w:val="00063E43"/>
    <w:rsid w:val="00064BED"/>
    <w:rsid w:val="00065840"/>
    <w:rsid w:val="0006589F"/>
    <w:rsid w:val="00065AF5"/>
    <w:rsid w:val="00065CF0"/>
    <w:rsid w:val="00066116"/>
    <w:rsid w:val="00066499"/>
    <w:rsid w:val="000711E5"/>
    <w:rsid w:val="00071C70"/>
    <w:rsid w:val="00072EC4"/>
    <w:rsid w:val="00073787"/>
    <w:rsid w:val="000737E9"/>
    <w:rsid w:val="00074B15"/>
    <w:rsid w:val="00074F79"/>
    <w:rsid w:val="00075358"/>
    <w:rsid w:val="000759B3"/>
    <w:rsid w:val="0007665B"/>
    <w:rsid w:val="00076688"/>
    <w:rsid w:val="00077A47"/>
    <w:rsid w:val="0008010F"/>
    <w:rsid w:val="00080A09"/>
    <w:rsid w:val="00080A2A"/>
    <w:rsid w:val="00080D3A"/>
    <w:rsid w:val="00081074"/>
    <w:rsid w:val="00081272"/>
    <w:rsid w:val="00082B9D"/>
    <w:rsid w:val="00083769"/>
    <w:rsid w:val="00083DBA"/>
    <w:rsid w:val="00083F54"/>
    <w:rsid w:val="00084DF4"/>
    <w:rsid w:val="00085BA0"/>
    <w:rsid w:val="00085C68"/>
    <w:rsid w:val="00086180"/>
    <w:rsid w:val="0008622E"/>
    <w:rsid w:val="00086539"/>
    <w:rsid w:val="00086DD0"/>
    <w:rsid w:val="000870A3"/>
    <w:rsid w:val="00087CB9"/>
    <w:rsid w:val="00090215"/>
    <w:rsid w:val="00090952"/>
    <w:rsid w:val="0009189C"/>
    <w:rsid w:val="00093BA6"/>
    <w:rsid w:val="0009407C"/>
    <w:rsid w:val="0009447C"/>
    <w:rsid w:val="00094B65"/>
    <w:rsid w:val="000950C5"/>
    <w:rsid w:val="000954D3"/>
    <w:rsid w:val="0009592E"/>
    <w:rsid w:val="00095A8B"/>
    <w:rsid w:val="000964EE"/>
    <w:rsid w:val="0009700F"/>
    <w:rsid w:val="000970F5"/>
    <w:rsid w:val="000972D8"/>
    <w:rsid w:val="00097612"/>
    <w:rsid w:val="00097BAB"/>
    <w:rsid w:val="00097D83"/>
    <w:rsid w:val="000A003B"/>
    <w:rsid w:val="000A0305"/>
    <w:rsid w:val="000A0954"/>
    <w:rsid w:val="000A2084"/>
    <w:rsid w:val="000A3EC5"/>
    <w:rsid w:val="000A4050"/>
    <w:rsid w:val="000A494B"/>
    <w:rsid w:val="000A5AE1"/>
    <w:rsid w:val="000A6057"/>
    <w:rsid w:val="000A7029"/>
    <w:rsid w:val="000A7202"/>
    <w:rsid w:val="000A758B"/>
    <w:rsid w:val="000B0665"/>
    <w:rsid w:val="000B08BB"/>
    <w:rsid w:val="000B1101"/>
    <w:rsid w:val="000B212B"/>
    <w:rsid w:val="000B2647"/>
    <w:rsid w:val="000B2FAF"/>
    <w:rsid w:val="000B2FCE"/>
    <w:rsid w:val="000B33A2"/>
    <w:rsid w:val="000B362A"/>
    <w:rsid w:val="000B36E1"/>
    <w:rsid w:val="000B3D4A"/>
    <w:rsid w:val="000B3E2B"/>
    <w:rsid w:val="000B4699"/>
    <w:rsid w:val="000B46A9"/>
    <w:rsid w:val="000B5E6A"/>
    <w:rsid w:val="000B6300"/>
    <w:rsid w:val="000B6DE7"/>
    <w:rsid w:val="000C051F"/>
    <w:rsid w:val="000C0E36"/>
    <w:rsid w:val="000C1BFC"/>
    <w:rsid w:val="000C213C"/>
    <w:rsid w:val="000C2631"/>
    <w:rsid w:val="000C2DD5"/>
    <w:rsid w:val="000C3327"/>
    <w:rsid w:val="000C44A2"/>
    <w:rsid w:val="000C569E"/>
    <w:rsid w:val="000C583C"/>
    <w:rsid w:val="000C586B"/>
    <w:rsid w:val="000C5EB2"/>
    <w:rsid w:val="000C7BD4"/>
    <w:rsid w:val="000D05A8"/>
    <w:rsid w:val="000D0DB8"/>
    <w:rsid w:val="000D22F3"/>
    <w:rsid w:val="000D2729"/>
    <w:rsid w:val="000D353B"/>
    <w:rsid w:val="000D3862"/>
    <w:rsid w:val="000D404E"/>
    <w:rsid w:val="000D5AC0"/>
    <w:rsid w:val="000D650E"/>
    <w:rsid w:val="000D75BC"/>
    <w:rsid w:val="000E0C63"/>
    <w:rsid w:val="000E1130"/>
    <w:rsid w:val="000E1347"/>
    <w:rsid w:val="000E2208"/>
    <w:rsid w:val="000E3050"/>
    <w:rsid w:val="000E3614"/>
    <w:rsid w:val="000E3D4B"/>
    <w:rsid w:val="000E3F46"/>
    <w:rsid w:val="000E43B5"/>
    <w:rsid w:val="000E4890"/>
    <w:rsid w:val="000E5116"/>
    <w:rsid w:val="000E5647"/>
    <w:rsid w:val="000E6BAC"/>
    <w:rsid w:val="000E726B"/>
    <w:rsid w:val="000E7AAA"/>
    <w:rsid w:val="000F0012"/>
    <w:rsid w:val="000F08ED"/>
    <w:rsid w:val="000F2D68"/>
    <w:rsid w:val="000F31BD"/>
    <w:rsid w:val="000F35CB"/>
    <w:rsid w:val="000F3D24"/>
    <w:rsid w:val="000F6462"/>
    <w:rsid w:val="000F6731"/>
    <w:rsid w:val="000F67D0"/>
    <w:rsid w:val="000F7049"/>
    <w:rsid w:val="0010220D"/>
    <w:rsid w:val="0010221D"/>
    <w:rsid w:val="001023D8"/>
    <w:rsid w:val="00102472"/>
    <w:rsid w:val="00104889"/>
    <w:rsid w:val="0010493F"/>
    <w:rsid w:val="00107C42"/>
    <w:rsid w:val="00107E79"/>
    <w:rsid w:val="00110CD8"/>
    <w:rsid w:val="00110EB6"/>
    <w:rsid w:val="00111559"/>
    <w:rsid w:val="0011188F"/>
    <w:rsid w:val="00111FA5"/>
    <w:rsid w:val="001130EC"/>
    <w:rsid w:val="0011383F"/>
    <w:rsid w:val="0011560B"/>
    <w:rsid w:val="0011563D"/>
    <w:rsid w:val="0011616C"/>
    <w:rsid w:val="00116481"/>
    <w:rsid w:val="0011698B"/>
    <w:rsid w:val="00120936"/>
    <w:rsid w:val="001227F4"/>
    <w:rsid w:val="001228A2"/>
    <w:rsid w:val="001228E8"/>
    <w:rsid w:val="001237BE"/>
    <w:rsid w:val="00123BC0"/>
    <w:rsid w:val="001240DF"/>
    <w:rsid w:val="00124407"/>
    <w:rsid w:val="0012474F"/>
    <w:rsid w:val="00125A6B"/>
    <w:rsid w:val="00127577"/>
    <w:rsid w:val="0013004D"/>
    <w:rsid w:val="00130540"/>
    <w:rsid w:val="00130659"/>
    <w:rsid w:val="00131033"/>
    <w:rsid w:val="00131BB2"/>
    <w:rsid w:val="00131FCE"/>
    <w:rsid w:val="00132B5B"/>
    <w:rsid w:val="001339D6"/>
    <w:rsid w:val="00134C5D"/>
    <w:rsid w:val="00135059"/>
    <w:rsid w:val="001350C9"/>
    <w:rsid w:val="00136AEA"/>
    <w:rsid w:val="00136C62"/>
    <w:rsid w:val="00136E1E"/>
    <w:rsid w:val="001377EA"/>
    <w:rsid w:val="001405DC"/>
    <w:rsid w:val="00141773"/>
    <w:rsid w:val="001417C0"/>
    <w:rsid w:val="00141A7A"/>
    <w:rsid w:val="00142487"/>
    <w:rsid w:val="00142738"/>
    <w:rsid w:val="00143878"/>
    <w:rsid w:val="00143AA9"/>
    <w:rsid w:val="00143FDF"/>
    <w:rsid w:val="00145AC5"/>
    <w:rsid w:val="00146514"/>
    <w:rsid w:val="001470DA"/>
    <w:rsid w:val="00147B4D"/>
    <w:rsid w:val="00147F31"/>
    <w:rsid w:val="00150672"/>
    <w:rsid w:val="00151490"/>
    <w:rsid w:val="00152ABA"/>
    <w:rsid w:val="00153B3F"/>
    <w:rsid w:val="00154138"/>
    <w:rsid w:val="00154881"/>
    <w:rsid w:val="00155310"/>
    <w:rsid w:val="00155C4C"/>
    <w:rsid w:val="001575FC"/>
    <w:rsid w:val="0016053D"/>
    <w:rsid w:val="00160D48"/>
    <w:rsid w:val="00162C30"/>
    <w:rsid w:val="001634EE"/>
    <w:rsid w:val="00163805"/>
    <w:rsid w:val="0016399F"/>
    <w:rsid w:val="00163E01"/>
    <w:rsid w:val="00163E23"/>
    <w:rsid w:val="00165551"/>
    <w:rsid w:val="00166A16"/>
    <w:rsid w:val="00166A25"/>
    <w:rsid w:val="00166AB5"/>
    <w:rsid w:val="00167B20"/>
    <w:rsid w:val="00170319"/>
    <w:rsid w:val="001718A7"/>
    <w:rsid w:val="001719DE"/>
    <w:rsid w:val="00172132"/>
    <w:rsid w:val="001723F2"/>
    <w:rsid w:val="001724D5"/>
    <w:rsid w:val="001728BA"/>
    <w:rsid w:val="001730E3"/>
    <w:rsid w:val="00173421"/>
    <w:rsid w:val="001743E2"/>
    <w:rsid w:val="0017445B"/>
    <w:rsid w:val="0017511C"/>
    <w:rsid w:val="00175BA4"/>
    <w:rsid w:val="00175FD7"/>
    <w:rsid w:val="001762DE"/>
    <w:rsid w:val="00176B43"/>
    <w:rsid w:val="00176B82"/>
    <w:rsid w:val="001774DE"/>
    <w:rsid w:val="00177E60"/>
    <w:rsid w:val="00180427"/>
    <w:rsid w:val="00180D33"/>
    <w:rsid w:val="0018201C"/>
    <w:rsid w:val="00182193"/>
    <w:rsid w:val="0018252F"/>
    <w:rsid w:val="00182F51"/>
    <w:rsid w:val="00183164"/>
    <w:rsid w:val="0018386E"/>
    <w:rsid w:val="00183CA8"/>
    <w:rsid w:val="00184A7B"/>
    <w:rsid w:val="00185DF3"/>
    <w:rsid w:val="00187124"/>
    <w:rsid w:val="00187141"/>
    <w:rsid w:val="001879D9"/>
    <w:rsid w:val="00190014"/>
    <w:rsid w:val="001905B9"/>
    <w:rsid w:val="001913BB"/>
    <w:rsid w:val="001917C6"/>
    <w:rsid w:val="00191956"/>
    <w:rsid w:val="00191BFC"/>
    <w:rsid w:val="001920B6"/>
    <w:rsid w:val="00192249"/>
    <w:rsid w:val="00192795"/>
    <w:rsid w:val="00192B81"/>
    <w:rsid w:val="00193020"/>
    <w:rsid w:val="0019314E"/>
    <w:rsid w:val="00193C23"/>
    <w:rsid w:val="00194D00"/>
    <w:rsid w:val="00195EEB"/>
    <w:rsid w:val="00196224"/>
    <w:rsid w:val="0019667C"/>
    <w:rsid w:val="00197076"/>
    <w:rsid w:val="001A16F4"/>
    <w:rsid w:val="001A1CCD"/>
    <w:rsid w:val="001A1E7B"/>
    <w:rsid w:val="001A1ED7"/>
    <w:rsid w:val="001A1EF6"/>
    <w:rsid w:val="001A34F5"/>
    <w:rsid w:val="001A3F06"/>
    <w:rsid w:val="001A4545"/>
    <w:rsid w:val="001A65A3"/>
    <w:rsid w:val="001A6D2B"/>
    <w:rsid w:val="001A7702"/>
    <w:rsid w:val="001A7A1E"/>
    <w:rsid w:val="001B0F99"/>
    <w:rsid w:val="001B106D"/>
    <w:rsid w:val="001B19F2"/>
    <w:rsid w:val="001B29DB"/>
    <w:rsid w:val="001B3DB7"/>
    <w:rsid w:val="001B3E13"/>
    <w:rsid w:val="001B4041"/>
    <w:rsid w:val="001B4ACE"/>
    <w:rsid w:val="001B5E01"/>
    <w:rsid w:val="001B6994"/>
    <w:rsid w:val="001B6B54"/>
    <w:rsid w:val="001B7BD7"/>
    <w:rsid w:val="001B7C73"/>
    <w:rsid w:val="001B7E0A"/>
    <w:rsid w:val="001B7E74"/>
    <w:rsid w:val="001C1D96"/>
    <w:rsid w:val="001C200E"/>
    <w:rsid w:val="001C27A4"/>
    <w:rsid w:val="001C2DAD"/>
    <w:rsid w:val="001C38FC"/>
    <w:rsid w:val="001C46E6"/>
    <w:rsid w:val="001C4E85"/>
    <w:rsid w:val="001C578E"/>
    <w:rsid w:val="001C6587"/>
    <w:rsid w:val="001C66BB"/>
    <w:rsid w:val="001C688A"/>
    <w:rsid w:val="001C6DB8"/>
    <w:rsid w:val="001C7C03"/>
    <w:rsid w:val="001D03DA"/>
    <w:rsid w:val="001D050B"/>
    <w:rsid w:val="001D135E"/>
    <w:rsid w:val="001D17B3"/>
    <w:rsid w:val="001D1E76"/>
    <w:rsid w:val="001D2492"/>
    <w:rsid w:val="001D2F3A"/>
    <w:rsid w:val="001D3A32"/>
    <w:rsid w:val="001D4A1B"/>
    <w:rsid w:val="001D575F"/>
    <w:rsid w:val="001D6342"/>
    <w:rsid w:val="001D7860"/>
    <w:rsid w:val="001E154D"/>
    <w:rsid w:val="001E16FB"/>
    <w:rsid w:val="001E174B"/>
    <w:rsid w:val="001E1A87"/>
    <w:rsid w:val="001E1B1E"/>
    <w:rsid w:val="001E22E4"/>
    <w:rsid w:val="001E285E"/>
    <w:rsid w:val="001E3097"/>
    <w:rsid w:val="001E3847"/>
    <w:rsid w:val="001E3952"/>
    <w:rsid w:val="001E4B1B"/>
    <w:rsid w:val="001E4D0D"/>
    <w:rsid w:val="001E5469"/>
    <w:rsid w:val="001E5FF5"/>
    <w:rsid w:val="001E66C2"/>
    <w:rsid w:val="001E7074"/>
    <w:rsid w:val="001E70A6"/>
    <w:rsid w:val="001E72F7"/>
    <w:rsid w:val="001E760F"/>
    <w:rsid w:val="001E776A"/>
    <w:rsid w:val="001F0205"/>
    <w:rsid w:val="001F0F8B"/>
    <w:rsid w:val="001F0FA4"/>
    <w:rsid w:val="001F15C4"/>
    <w:rsid w:val="001F2526"/>
    <w:rsid w:val="001F31C9"/>
    <w:rsid w:val="001F3352"/>
    <w:rsid w:val="001F3C71"/>
    <w:rsid w:val="001F46BC"/>
    <w:rsid w:val="001F55C6"/>
    <w:rsid w:val="001F701C"/>
    <w:rsid w:val="001F7275"/>
    <w:rsid w:val="00200496"/>
    <w:rsid w:val="00200BBE"/>
    <w:rsid w:val="00200CE0"/>
    <w:rsid w:val="0020138D"/>
    <w:rsid w:val="002014D3"/>
    <w:rsid w:val="00202017"/>
    <w:rsid w:val="002023CD"/>
    <w:rsid w:val="00202464"/>
    <w:rsid w:val="00202FD2"/>
    <w:rsid w:val="002041E0"/>
    <w:rsid w:val="002049AA"/>
    <w:rsid w:val="00205311"/>
    <w:rsid w:val="0020598A"/>
    <w:rsid w:val="00206758"/>
    <w:rsid w:val="00207074"/>
    <w:rsid w:val="0020735C"/>
    <w:rsid w:val="00207969"/>
    <w:rsid w:val="00210EC3"/>
    <w:rsid w:val="00210F38"/>
    <w:rsid w:val="002127CF"/>
    <w:rsid w:val="00213128"/>
    <w:rsid w:val="002137F9"/>
    <w:rsid w:val="00214E8A"/>
    <w:rsid w:val="00215A0E"/>
    <w:rsid w:val="00216229"/>
    <w:rsid w:val="0021646C"/>
    <w:rsid w:val="0021647C"/>
    <w:rsid w:val="0021678B"/>
    <w:rsid w:val="00216979"/>
    <w:rsid w:val="00216B2A"/>
    <w:rsid w:val="002171B6"/>
    <w:rsid w:val="0021743B"/>
    <w:rsid w:val="00217DA2"/>
    <w:rsid w:val="002226F4"/>
    <w:rsid w:val="002228E6"/>
    <w:rsid w:val="00222D11"/>
    <w:rsid w:val="00224340"/>
    <w:rsid w:val="00224B86"/>
    <w:rsid w:val="00225B5C"/>
    <w:rsid w:val="00226290"/>
    <w:rsid w:val="002278AC"/>
    <w:rsid w:val="002308F8"/>
    <w:rsid w:val="002312FA"/>
    <w:rsid w:val="0023134F"/>
    <w:rsid w:val="0023185F"/>
    <w:rsid w:val="002331F0"/>
    <w:rsid w:val="0023326E"/>
    <w:rsid w:val="002336A7"/>
    <w:rsid w:val="00233A29"/>
    <w:rsid w:val="00234417"/>
    <w:rsid w:val="00234916"/>
    <w:rsid w:val="00234CA6"/>
    <w:rsid w:val="002351B9"/>
    <w:rsid w:val="00235B74"/>
    <w:rsid w:val="002368DA"/>
    <w:rsid w:val="00236A49"/>
    <w:rsid w:val="00236D2A"/>
    <w:rsid w:val="0023743F"/>
    <w:rsid w:val="00237998"/>
    <w:rsid w:val="00240584"/>
    <w:rsid w:val="0024108D"/>
    <w:rsid w:val="002410C8"/>
    <w:rsid w:val="0024188D"/>
    <w:rsid w:val="00242ACC"/>
    <w:rsid w:val="002437C6"/>
    <w:rsid w:val="0024399C"/>
    <w:rsid w:val="00243ED7"/>
    <w:rsid w:val="00245753"/>
    <w:rsid w:val="00245934"/>
    <w:rsid w:val="00245CD1"/>
    <w:rsid w:val="00245CD2"/>
    <w:rsid w:val="00245FF6"/>
    <w:rsid w:val="0024633C"/>
    <w:rsid w:val="00247802"/>
    <w:rsid w:val="002506AE"/>
    <w:rsid w:val="00252348"/>
    <w:rsid w:val="0025295A"/>
    <w:rsid w:val="00253B0A"/>
    <w:rsid w:val="00254CC0"/>
    <w:rsid w:val="00254F8A"/>
    <w:rsid w:val="002550C0"/>
    <w:rsid w:val="002555EC"/>
    <w:rsid w:val="00255794"/>
    <w:rsid w:val="0025581A"/>
    <w:rsid w:val="00255C70"/>
    <w:rsid w:val="0025602A"/>
    <w:rsid w:val="002562BB"/>
    <w:rsid w:val="00256E2A"/>
    <w:rsid w:val="00260331"/>
    <w:rsid w:val="00260737"/>
    <w:rsid w:val="00260EEB"/>
    <w:rsid w:val="002616F2"/>
    <w:rsid w:val="00261B69"/>
    <w:rsid w:val="00263220"/>
    <w:rsid w:val="0026391C"/>
    <w:rsid w:val="00263958"/>
    <w:rsid w:val="002646CF"/>
    <w:rsid w:val="00265254"/>
    <w:rsid w:val="00265D91"/>
    <w:rsid w:val="00265DA4"/>
    <w:rsid w:val="00265FC1"/>
    <w:rsid w:val="00267128"/>
    <w:rsid w:val="002701D3"/>
    <w:rsid w:val="0027020C"/>
    <w:rsid w:val="00270B7B"/>
    <w:rsid w:val="0027234E"/>
    <w:rsid w:val="00272DD2"/>
    <w:rsid w:val="00274E95"/>
    <w:rsid w:val="00276D58"/>
    <w:rsid w:val="00277601"/>
    <w:rsid w:val="00277A03"/>
    <w:rsid w:val="00277DCF"/>
    <w:rsid w:val="00277FDF"/>
    <w:rsid w:val="002804AB"/>
    <w:rsid w:val="00280E82"/>
    <w:rsid w:val="0028107D"/>
    <w:rsid w:val="002828EA"/>
    <w:rsid w:val="00282DCD"/>
    <w:rsid w:val="00283099"/>
    <w:rsid w:val="002836E8"/>
    <w:rsid w:val="00283737"/>
    <w:rsid w:val="002837C9"/>
    <w:rsid w:val="00283839"/>
    <w:rsid w:val="00283BED"/>
    <w:rsid w:val="00283E57"/>
    <w:rsid w:val="00285143"/>
    <w:rsid w:val="00285607"/>
    <w:rsid w:val="00285979"/>
    <w:rsid w:val="00285B29"/>
    <w:rsid w:val="00286308"/>
    <w:rsid w:val="00290913"/>
    <w:rsid w:val="00291E77"/>
    <w:rsid w:val="00292A8A"/>
    <w:rsid w:val="002930CE"/>
    <w:rsid w:val="002938A8"/>
    <w:rsid w:val="00293F24"/>
    <w:rsid w:val="00295A17"/>
    <w:rsid w:val="00296C73"/>
    <w:rsid w:val="00296C9B"/>
    <w:rsid w:val="002974EA"/>
    <w:rsid w:val="002A0415"/>
    <w:rsid w:val="002A27E7"/>
    <w:rsid w:val="002A2EEB"/>
    <w:rsid w:val="002A33B6"/>
    <w:rsid w:val="002A4DE5"/>
    <w:rsid w:val="002A4F66"/>
    <w:rsid w:val="002A5AB1"/>
    <w:rsid w:val="002A5ABC"/>
    <w:rsid w:val="002A61D0"/>
    <w:rsid w:val="002A69A9"/>
    <w:rsid w:val="002A7E77"/>
    <w:rsid w:val="002B052B"/>
    <w:rsid w:val="002B0E39"/>
    <w:rsid w:val="002B12BB"/>
    <w:rsid w:val="002B1446"/>
    <w:rsid w:val="002B2424"/>
    <w:rsid w:val="002B27F0"/>
    <w:rsid w:val="002B3E16"/>
    <w:rsid w:val="002B41C3"/>
    <w:rsid w:val="002B4578"/>
    <w:rsid w:val="002B67D8"/>
    <w:rsid w:val="002B70AE"/>
    <w:rsid w:val="002B7EAC"/>
    <w:rsid w:val="002B7EEC"/>
    <w:rsid w:val="002C020E"/>
    <w:rsid w:val="002C061E"/>
    <w:rsid w:val="002C09F6"/>
    <w:rsid w:val="002C31FD"/>
    <w:rsid w:val="002C3FC9"/>
    <w:rsid w:val="002C4938"/>
    <w:rsid w:val="002C5157"/>
    <w:rsid w:val="002C543F"/>
    <w:rsid w:val="002C581A"/>
    <w:rsid w:val="002C7509"/>
    <w:rsid w:val="002C7992"/>
    <w:rsid w:val="002C7AB0"/>
    <w:rsid w:val="002C7BC2"/>
    <w:rsid w:val="002C7C04"/>
    <w:rsid w:val="002D0378"/>
    <w:rsid w:val="002D0442"/>
    <w:rsid w:val="002D0A8D"/>
    <w:rsid w:val="002D256D"/>
    <w:rsid w:val="002D38A2"/>
    <w:rsid w:val="002D500C"/>
    <w:rsid w:val="002D5E50"/>
    <w:rsid w:val="002D70BA"/>
    <w:rsid w:val="002D73C1"/>
    <w:rsid w:val="002D77F6"/>
    <w:rsid w:val="002D79C1"/>
    <w:rsid w:val="002D7A97"/>
    <w:rsid w:val="002E08A3"/>
    <w:rsid w:val="002E0994"/>
    <w:rsid w:val="002E0E31"/>
    <w:rsid w:val="002E186C"/>
    <w:rsid w:val="002E1EEB"/>
    <w:rsid w:val="002E247D"/>
    <w:rsid w:val="002E2661"/>
    <w:rsid w:val="002E2C06"/>
    <w:rsid w:val="002E3255"/>
    <w:rsid w:val="002E33E4"/>
    <w:rsid w:val="002E384A"/>
    <w:rsid w:val="002E3976"/>
    <w:rsid w:val="002E41B1"/>
    <w:rsid w:val="002E57AE"/>
    <w:rsid w:val="002E5BE9"/>
    <w:rsid w:val="002E6933"/>
    <w:rsid w:val="002E6D3B"/>
    <w:rsid w:val="002F0452"/>
    <w:rsid w:val="002F17FA"/>
    <w:rsid w:val="002F229B"/>
    <w:rsid w:val="002F22BF"/>
    <w:rsid w:val="002F2652"/>
    <w:rsid w:val="002F2CFC"/>
    <w:rsid w:val="002F301D"/>
    <w:rsid w:val="002F330A"/>
    <w:rsid w:val="002F38F1"/>
    <w:rsid w:val="002F47D7"/>
    <w:rsid w:val="002F4BD1"/>
    <w:rsid w:val="002F4C2F"/>
    <w:rsid w:val="002F4F47"/>
    <w:rsid w:val="002F64BB"/>
    <w:rsid w:val="002F6916"/>
    <w:rsid w:val="002F6A90"/>
    <w:rsid w:val="002F7C09"/>
    <w:rsid w:val="00300C64"/>
    <w:rsid w:val="00301BAF"/>
    <w:rsid w:val="0030209E"/>
    <w:rsid w:val="00302D85"/>
    <w:rsid w:val="00304484"/>
    <w:rsid w:val="003044B7"/>
    <w:rsid w:val="00305AB9"/>
    <w:rsid w:val="00306797"/>
    <w:rsid w:val="00306FE2"/>
    <w:rsid w:val="00310BB0"/>
    <w:rsid w:val="00310F55"/>
    <w:rsid w:val="00311707"/>
    <w:rsid w:val="00312622"/>
    <w:rsid w:val="00312F90"/>
    <w:rsid w:val="003133E3"/>
    <w:rsid w:val="00315155"/>
    <w:rsid w:val="003153A9"/>
    <w:rsid w:val="0031588C"/>
    <w:rsid w:val="003166C3"/>
    <w:rsid w:val="003172A2"/>
    <w:rsid w:val="00320256"/>
    <w:rsid w:val="003202A8"/>
    <w:rsid w:val="003203BD"/>
    <w:rsid w:val="00320D8B"/>
    <w:rsid w:val="0032364B"/>
    <w:rsid w:val="003240EA"/>
    <w:rsid w:val="003241E0"/>
    <w:rsid w:val="0032437D"/>
    <w:rsid w:val="00325F9F"/>
    <w:rsid w:val="00327C1A"/>
    <w:rsid w:val="0033065D"/>
    <w:rsid w:val="00330CA1"/>
    <w:rsid w:val="00330F8F"/>
    <w:rsid w:val="0033172E"/>
    <w:rsid w:val="00331A87"/>
    <w:rsid w:val="00331AE8"/>
    <w:rsid w:val="003332FA"/>
    <w:rsid w:val="00333349"/>
    <w:rsid w:val="00333E6A"/>
    <w:rsid w:val="0033413D"/>
    <w:rsid w:val="00334C23"/>
    <w:rsid w:val="00335011"/>
    <w:rsid w:val="003355E4"/>
    <w:rsid w:val="00336424"/>
    <w:rsid w:val="00337AC0"/>
    <w:rsid w:val="00337C97"/>
    <w:rsid w:val="00340191"/>
    <w:rsid w:val="0034054D"/>
    <w:rsid w:val="00340764"/>
    <w:rsid w:val="00340AF9"/>
    <w:rsid w:val="00341449"/>
    <w:rsid w:val="0034188B"/>
    <w:rsid w:val="003427AA"/>
    <w:rsid w:val="003428FB"/>
    <w:rsid w:val="003429E0"/>
    <w:rsid w:val="00342DAF"/>
    <w:rsid w:val="0034702E"/>
    <w:rsid w:val="003477C0"/>
    <w:rsid w:val="0035052E"/>
    <w:rsid w:val="0035178A"/>
    <w:rsid w:val="00351C40"/>
    <w:rsid w:val="00351D18"/>
    <w:rsid w:val="003530FF"/>
    <w:rsid w:val="00353D22"/>
    <w:rsid w:val="00353D25"/>
    <w:rsid w:val="00353F94"/>
    <w:rsid w:val="00354069"/>
    <w:rsid w:val="00354ABC"/>
    <w:rsid w:val="003553A6"/>
    <w:rsid w:val="00355A1B"/>
    <w:rsid w:val="00355D5B"/>
    <w:rsid w:val="003560CA"/>
    <w:rsid w:val="00356B0B"/>
    <w:rsid w:val="00356C3F"/>
    <w:rsid w:val="00357270"/>
    <w:rsid w:val="0035741C"/>
    <w:rsid w:val="00357EE6"/>
    <w:rsid w:val="0036059F"/>
    <w:rsid w:val="003605AA"/>
    <w:rsid w:val="00361968"/>
    <w:rsid w:val="003624E7"/>
    <w:rsid w:val="0036259F"/>
    <w:rsid w:val="0036289E"/>
    <w:rsid w:val="00363A34"/>
    <w:rsid w:val="0036499B"/>
    <w:rsid w:val="003651C8"/>
    <w:rsid w:val="003653BC"/>
    <w:rsid w:val="00365476"/>
    <w:rsid w:val="0036744B"/>
    <w:rsid w:val="00367DC5"/>
    <w:rsid w:val="00367E3E"/>
    <w:rsid w:val="00370E25"/>
    <w:rsid w:val="0037141B"/>
    <w:rsid w:val="00371D90"/>
    <w:rsid w:val="00372821"/>
    <w:rsid w:val="0037316B"/>
    <w:rsid w:val="00373CC4"/>
    <w:rsid w:val="00373F73"/>
    <w:rsid w:val="00374905"/>
    <w:rsid w:val="00375EC0"/>
    <w:rsid w:val="0037662E"/>
    <w:rsid w:val="00377D78"/>
    <w:rsid w:val="00381928"/>
    <w:rsid w:val="00381E01"/>
    <w:rsid w:val="00382094"/>
    <w:rsid w:val="00382701"/>
    <w:rsid w:val="00382A4E"/>
    <w:rsid w:val="00383110"/>
    <w:rsid w:val="003865A0"/>
    <w:rsid w:val="003865B2"/>
    <w:rsid w:val="00386B75"/>
    <w:rsid w:val="00387D40"/>
    <w:rsid w:val="0039215F"/>
    <w:rsid w:val="003923C2"/>
    <w:rsid w:val="0039273C"/>
    <w:rsid w:val="00392DB8"/>
    <w:rsid w:val="00392F84"/>
    <w:rsid w:val="003941BD"/>
    <w:rsid w:val="003947E2"/>
    <w:rsid w:val="0039550F"/>
    <w:rsid w:val="00395640"/>
    <w:rsid w:val="003A0E3F"/>
    <w:rsid w:val="003A15F2"/>
    <w:rsid w:val="003A1752"/>
    <w:rsid w:val="003A1A39"/>
    <w:rsid w:val="003A1AA5"/>
    <w:rsid w:val="003A365D"/>
    <w:rsid w:val="003A3BD6"/>
    <w:rsid w:val="003A4B28"/>
    <w:rsid w:val="003A5BB8"/>
    <w:rsid w:val="003A6880"/>
    <w:rsid w:val="003A6CBB"/>
    <w:rsid w:val="003A7069"/>
    <w:rsid w:val="003A706C"/>
    <w:rsid w:val="003A7488"/>
    <w:rsid w:val="003A7F43"/>
    <w:rsid w:val="003B06BB"/>
    <w:rsid w:val="003B0ADB"/>
    <w:rsid w:val="003B0D9E"/>
    <w:rsid w:val="003B119E"/>
    <w:rsid w:val="003B1569"/>
    <w:rsid w:val="003B278A"/>
    <w:rsid w:val="003B2EA6"/>
    <w:rsid w:val="003B2EC5"/>
    <w:rsid w:val="003B3B71"/>
    <w:rsid w:val="003B3D38"/>
    <w:rsid w:val="003B601F"/>
    <w:rsid w:val="003B716C"/>
    <w:rsid w:val="003B7CC1"/>
    <w:rsid w:val="003B7DEB"/>
    <w:rsid w:val="003C0174"/>
    <w:rsid w:val="003C07FD"/>
    <w:rsid w:val="003C08B8"/>
    <w:rsid w:val="003C0AB8"/>
    <w:rsid w:val="003C1196"/>
    <w:rsid w:val="003C15DE"/>
    <w:rsid w:val="003C1B9E"/>
    <w:rsid w:val="003C221C"/>
    <w:rsid w:val="003C29BD"/>
    <w:rsid w:val="003C4842"/>
    <w:rsid w:val="003C4950"/>
    <w:rsid w:val="003C569C"/>
    <w:rsid w:val="003C5C35"/>
    <w:rsid w:val="003C7141"/>
    <w:rsid w:val="003C756D"/>
    <w:rsid w:val="003C75A5"/>
    <w:rsid w:val="003C76BC"/>
    <w:rsid w:val="003C7DA2"/>
    <w:rsid w:val="003C7ED5"/>
    <w:rsid w:val="003D03A0"/>
    <w:rsid w:val="003D2685"/>
    <w:rsid w:val="003D2FB6"/>
    <w:rsid w:val="003D3C59"/>
    <w:rsid w:val="003D3CE8"/>
    <w:rsid w:val="003D4E27"/>
    <w:rsid w:val="003D56EF"/>
    <w:rsid w:val="003D69E4"/>
    <w:rsid w:val="003D6ABD"/>
    <w:rsid w:val="003D7073"/>
    <w:rsid w:val="003D7436"/>
    <w:rsid w:val="003D79FA"/>
    <w:rsid w:val="003D7A96"/>
    <w:rsid w:val="003E20B2"/>
    <w:rsid w:val="003E45FE"/>
    <w:rsid w:val="003E4685"/>
    <w:rsid w:val="003E614B"/>
    <w:rsid w:val="003E6174"/>
    <w:rsid w:val="003E6880"/>
    <w:rsid w:val="003E7AF4"/>
    <w:rsid w:val="003E7B5F"/>
    <w:rsid w:val="003F03B4"/>
    <w:rsid w:val="003F04F5"/>
    <w:rsid w:val="003F3904"/>
    <w:rsid w:val="003F65B1"/>
    <w:rsid w:val="003F6976"/>
    <w:rsid w:val="003F71D3"/>
    <w:rsid w:val="003F7C83"/>
    <w:rsid w:val="00400C20"/>
    <w:rsid w:val="00400EBE"/>
    <w:rsid w:val="00400FAE"/>
    <w:rsid w:val="00401725"/>
    <w:rsid w:val="00401CA3"/>
    <w:rsid w:val="00401DA1"/>
    <w:rsid w:val="00402164"/>
    <w:rsid w:val="00402320"/>
    <w:rsid w:val="004031CF"/>
    <w:rsid w:val="0040415F"/>
    <w:rsid w:val="00404354"/>
    <w:rsid w:val="004046B0"/>
    <w:rsid w:val="00410AAA"/>
    <w:rsid w:val="00410AD6"/>
    <w:rsid w:val="00411627"/>
    <w:rsid w:val="004117A6"/>
    <w:rsid w:val="0041191C"/>
    <w:rsid w:val="004131AB"/>
    <w:rsid w:val="004137BC"/>
    <w:rsid w:val="00413B11"/>
    <w:rsid w:val="00414DD7"/>
    <w:rsid w:val="00415700"/>
    <w:rsid w:val="00417DF9"/>
    <w:rsid w:val="00417EA4"/>
    <w:rsid w:val="0042114B"/>
    <w:rsid w:val="004211AD"/>
    <w:rsid w:val="00422223"/>
    <w:rsid w:val="00422333"/>
    <w:rsid w:val="004235C9"/>
    <w:rsid w:val="00423D7B"/>
    <w:rsid w:val="0042483F"/>
    <w:rsid w:val="00424C54"/>
    <w:rsid w:val="00425246"/>
    <w:rsid w:val="00426654"/>
    <w:rsid w:val="00427252"/>
    <w:rsid w:val="00430B55"/>
    <w:rsid w:val="004310F6"/>
    <w:rsid w:val="00432A83"/>
    <w:rsid w:val="00433FA1"/>
    <w:rsid w:val="00435668"/>
    <w:rsid w:val="0043617D"/>
    <w:rsid w:val="0043625A"/>
    <w:rsid w:val="00436894"/>
    <w:rsid w:val="00436E1B"/>
    <w:rsid w:val="004371E2"/>
    <w:rsid w:val="0043745D"/>
    <w:rsid w:val="00437663"/>
    <w:rsid w:val="00440829"/>
    <w:rsid w:val="00440908"/>
    <w:rsid w:val="00440A3E"/>
    <w:rsid w:val="00440B06"/>
    <w:rsid w:val="00440C88"/>
    <w:rsid w:val="00441082"/>
    <w:rsid w:val="004410CF"/>
    <w:rsid w:val="0044158B"/>
    <w:rsid w:val="004418F0"/>
    <w:rsid w:val="00441A76"/>
    <w:rsid w:val="004420EB"/>
    <w:rsid w:val="00442C25"/>
    <w:rsid w:val="00443756"/>
    <w:rsid w:val="00444DEF"/>
    <w:rsid w:val="00445420"/>
    <w:rsid w:val="00445A31"/>
    <w:rsid w:val="00445CEB"/>
    <w:rsid w:val="00445F42"/>
    <w:rsid w:val="00446038"/>
    <w:rsid w:val="004462C9"/>
    <w:rsid w:val="0044654F"/>
    <w:rsid w:val="00447197"/>
    <w:rsid w:val="00450E60"/>
    <w:rsid w:val="00451164"/>
    <w:rsid w:val="004514B2"/>
    <w:rsid w:val="00452B01"/>
    <w:rsid w:val="00452DE6"/>
    <w:rsid w:val="00455084"/>
    <w:rsid w:val="004551D1"/>
    <w:rsid w:val="0045527A"/>
    <w:rsid w:val="00456495"/>
    <w:rsid w:val="00456984"/>
    <w:rsid w:val="00456B9B"/>
    <w:rsid w:val="00456E39"/>
    <w:rsid w:val="00457099"/>
    <w:rsid w:val="004609DF"/>
    <w:rsid w:val="00460CF0"/>
    <w:rsid w:val="004610DB"/>
    <w:rsid w:val="004612FA"/>
    <w:rsid w:val="00463498"/>
    <w:rsid w:val="00463BD5"/>
    <w:rsid w:val="0046478E"/>
    <w:rsid w:val="00464816"/>
    <w:rsid w:val="0046513F"/>
    <w:rsid w:val="00466DAB"/>
    <w:rsid w:val="004679C8"/>
    <w:rsid w:val="00470AE1"/>
    <w:rsid w:val="004711DA"/>
    <w:rsid w:val="00472E1A"/>
    <w:rsid w:val="00473CC8"/>
    <w:rsid w:val="0047420D"/>
    <w:rsid w:val="0047695D"/>
    <w:rsid w:val="00480086"/>
    <w:rsid w:val="0048043F"/>
    <w:rsid w:val="0048045C"/>
    <w:rsid w:val="00480F00"/>
    <w:rsid w:val="00482147"/>
    <w:rsid w:val="004827F3"/>
    <w:rsid w:val="004832E7"/>
    <w:rsid w:val="00483EEA"/>
    <w:rsid w:val="004840B0"/>
    <w:rsid w:val="004854FE"/>
    <w:rsid w:val="00485A30"/>
    <w:rsid w:val="00486171"/>
    <w:rsid w:val="0048632B"/>
    <w:rsid w:val="004870FE"/>
    <w:rsid w:val="00490214"/>
    <w:rsid w:val="0049101C"/>
    <w:rsid w:val="004914D0"/>
    <w:rsid w:val="00492667"/>
    <w:rsid w:val="00492EE5"/>
    <w:rsid w:val="00493264"/>
    <w:rsid w:val="00493A93"/>
    <w:rsid w:val="00494C03"/>
    <w:rsid w:val="0049516E"/>
    <w:rsid w:val="00495C9D"/>
    <w:rsid w:val="004961FE"/>
    <w:rsid w:val="004964D0"/>
    <w:rsid w:val="00496D8C"/>
    <w:rsid w:val="00496DEF"/>
    <w:rsid w:val="00496E72"/>
    <w:rsid w:val="00497037"/>
    <w:rsid w:val="004A013F"/>
    <w:rsid w:val="004A15D7"/>
    <w:rsid w:val="004A2799"/>
    <w:rsid w:val="004A29B3"/>
    <w:rsid w:val="004A2B26"/>
    <w:rsid w:val="004A40C6"/>
    <w:rsid w:val="004A413C"/>
    <w:rsid w:val="004A5C64"/>
    <w:rsid w:val="004A78CB"/>
    <w:rsid w:val="004A7E3F"/>
    <w:rsid w:val="004A7F6A"/>
    <w:rsid w:val="004B1083"/>
    <w:rsid w:val="004B151F"/>
    <w:rsid w:val="004B2AE4"/>
    <w:rsid w:val="004B4771"/>
    <w:rsid w:val="004B498A"/>
    <w:rsid w:val="004B5461"/>
    <w:rsid w:val="004B5798"/>
    <w:rsid w:val="004B7976"/>
    <w:rsid w:val="004B79EB"/>
    <w:rsid w:val="004C136B"/>
    <w:rsid w:val="004C173D"/>
    <w:rsid w:val="004C17B6"/>
    <w:rsid w:val="004C24DB"/>
    <w:rsid w:val="004C2579"/>
    <w:rsid w:val="004C2A02"/>
    <w:rsid w:val="004C43CB"/>
    <w:rsid w:val="004C4630"/>
    <w:rsid w:val="004C55AB"/>
    <w:rsid w:val="004C5875"/>
    <w:rsid w:val="004C5918"/>
    <w:rsid w:val="004C59C9"/>
    <w:rsid w:val="004C5DF7"/>
    <w:rsid w:val="004C6791"/>
    <w:rsid w:val="004C6A53"/>
    <w:rsid w:val="004C70E6"/>
    <w:rsid w:val="004D0B7E"/>
    <w:rsid w:val="004D25A1"/>
    <w:rsid w:val="004D2961"/>
    <w:rsid w:val="004D3342"/>
    <w:rsid w:val="004D346B"/>
    <w:rsid w:val="004D4121"/>
    <w:rsid w:val="004D53F0"/>
    <w:rsid w:val="004D58AC"/>
    <w:rsid w:val="004D5906"/>
    <w:rsid w:val="004D5EBF"/>
    <w:rsid w:val="004D6322"/>
    <w:rsid w:val="004D6706"/>
    <w:rsid w:val="004D6865"/>
    <w:rsid w:val="004D6A8F"/>
    <w:rsid w:val="004E045B"/>
    <w:rsid w:val="004E0B07"/>
    <w:rsid w:val="004E0E56"/>
    <w:rsid w:val="004E1082"/>
    <w:rsid w:val="004E17D0"/>
    <w:rsid w:val="004E1957"/>
    <w:rsid w:val="004E1F8D"/>
    <w:rsid w:val="004E270E"/>
    <w:rsid w:val="004E2F8F"/>
    <w:rsid w:val="004E34C0"/>
    <w:rsid w:val="004E45B9"/>
    <w:rsid w:val="004E60B4"/>
    <w:rsid w:val="004E6516"/>
    <w:rsid w:val="004E67CB"/>
    <w:rsid w:val="004F051E"/>
    <w:rsid w:val="004F0E2A"/>
    <w:rsid w:val="004F1144"/>
    <w:rsid w:val="004F15AC"/>
    <w:rsid w:val="004F20C5"/>
    <w:rsid w:val="004F2331"/>
    <w:rsid w:val="004F2527"/>
    <w:rsid w:val="004F2C3E"/>
    <w:rsid w:val="004F43A5"/>
    <w:rsid w:val="004F4C02"/>
    <w:rsid w:val="004F4E55"/>
    <w:rsid w:val="004F556D"/>
    <w:rsid w:val="004F5C44"/>
    <w:rsid w:val="004F6F8F"/>
    <w:rsid w:val="004F76DE"/>
    <w:rsid w:val="004F7DFA"/>
    <w:rsid w:val="00500419"/>
    <w:rsid w:val="005004CF"/>
    <w:rsid w:val="00500C72"/>
    <w:rsid w:val="00502149"/>
    <w:rsid w:val="00502B30"/>
    <w:rsid w:val="0050348C"/>
    <w:rsid w:val="005034F4"/>
    <w:rsid w:val="005038C8"/>
    <w:rsid w:val="00503B10"/>
    <w:rsid w:val="00505308"/>
    <w:rsid w:val="0050618F"/>
    <w:rsid w:val="0050659D"/>
    <w:rsid w:val="005100D3"/>
    <w:rsid w:val="00511731"/>
    <w:rsid w:val="0051197E"/>
    <w:rsid w:val="00511EB5"/>
    <w:rsid w:val="00512210"/>
    <w:rsid w:val="00512606"/>
    <w:rsid w:val="00513266"/>
    <w:rsid w:val="00513CBD"/>
    <w:rsid w:val="00514483"/>
    <w:rsid w:val="00514A71"/>
    <w:rsid w:val="00514EB5"/>
    <w:rsid w:val="0051529C"/>
    <w:rsid w:val="0051537A"/>
    <w:rsid w:val="00516351"/>
    <w:rsid w:val="00517536"/>
    <w:rsid w:val="00517565"/>
    <w:rsid w:val="00517EDE"/>
    <w:rsid w:val="005205F6"/>
    <w:rsid w:val="00521D54"/>
    <w:rsid w:val="00522F9B"/>
    <w:rsid w:val="0052433D"/>
    <w:rsid w:val="00524A4F"/>
    <w:rsid w:val="00525939"/>
    <w:rsid w:val="00526232"/>
    <w:rsid w:val="0052749B"/>
    <w:rsid w:val="00527813"/>
    <w:rsid w:val="005306CF"/>
    <w:rsid w:val="005308DB"/>
    <w:rsid w:val="00530E74"/>
    <w:rsid w:val="00530F7B"/>
    <w:rsid w:val="00532333"/>
    <w:rsid w:val="0053266A"/>
    <w:rsid w:val="00533689"/>
    <w:rsid w:val="00534E27"/>
    <w:rsid w:val="00535836"/>
    <w:rsid w:val="00537581"/>
    <w:rsid w:val="00537E63"/>
    <w:rsid w:val="00540853"/>
    <w:rsid w:val="00540A62"/>
    <w:rsid w:val="00541853"/>
    <w:rsid w:val="00541E83"/>
    <w:rsid w:val="00544A8F"/>
    <w:rsid w:val="00544E1B"/>
    <w:rsid w:val="00544E80"/>
    <w:rsid w:val="00545679"/>
    <w:rsid w:val="00545998"/>
    <w:rsid w:val="00545AE5"/>
    <w:rsid w:val="00545BBB"/>
    <w:rsid w:val="00545BBD"/>
    <w:rsid w:val="00546AC7"/>
    <w:rsid w:val="00547398"/>
    <w:rsid w:val="00550BAC"/>
    <w:rsid w:val="005513C1"/>
    <w:rsid w:val="00554209"/>
    <w:rsid w:val="005544D0"/>
    <w:rsid w:val="0055525F"/>
    <w:rsid w:val="00555AAC"/>
    <w:rsid w:val="005563A9"/>
    <w:rsid w:val="005564CA"/>
    <w:rsid w:val="00556C66"/>
    <w:rsid w:val="00560EF9"/>
    <w:rsid w:val="00561A46"/>
    <w:rsid w:val="005640D9"/>
    <w:rsid w:val="00564577"/>
    <w:rsid w:val="005647BC"/>
    <w:rsid w:val="005648C7"/>
    <w:rsid w:val="00564FD4"/>
    <w:rsid w:val="005656B3"/>
    <w:rsid w:val="0056638C"/>
    <w:rsid w:val="0056698B"/>
    <w:rsid w:val="00567166"/>
    <w:rsid w:val="005672B9"/>
    <w:rsid w:val="0056756A"/>
    <w:rsid w:val="0056773F"/>
    <w:rsid w:val="005716A0"/>
    <w:rsid w:val="00571725"/>
    <w:rsid w:val="00571C71"/>
    <w:rsid w:val="00572A4A"/>
    <w:rsid w:val="00573477"/>
    <w:rsid w:val="00574148"/>
    <w:rsid w:val="00575397"/>
    <w:rsid w:val="0057598D"/>
    <w:rsid w:val="00575C5E"/>
    <w:rsid w:val="00576967"/>
    <w:rsid w:val="00576B85"/>
    <w:rsid w:val="00576E92"/>
    <w:rsid w:val="00577161"/>
    <w:rsid w:val="00577A30"/>
    <w:rsid w:val="00580AD6"/>
    <w:rsid w:val="0058149E"/>
    <w:rsid w:val="00581F3B"/>
    <w:rsid w:val="00582043"/>
    <w:rsid w:val="0058377D"/>
    <w:rsid w:val="00584C2F"/>
    <w:rsid w:val="00584D32"/>
    <w:rsid w:val="00585E5A"/>
    <w:rsid w:val="005867CB"/>
    <w:rsid w:val="00587133"/>
    <w:rsid w:val="00587DC0"/>
    <w:rsid w:val="0059027F"/>
    <w:rsid w:val="0059151A"/>
    <w:rsid w:val="00593555"/>
    <w:rsid w:val="00593692"/>
    <w:rsid w:val="00593FA7"/>
    <w:rsid w:val="00594622"/>
    <w:rsid w:val="00594720"/>
    <w:rsid w:val="00594EE9"/>
    <w:rsid w:val="00595DC4"/>
    <w:rsid w:val="00595F0E"/>
    <w:rsid w:val="005960AB"/>
    <w:rsid w:val="00596AB8"/>
    <w:rsid w:val="00596CDA"/>
    <w:rsid w:val="005970C1"/>
    <w:rsid w:val="00597750"/>
    <w:rsid w:val="005A0197"/>
    <w:rsid w:val="005A0246"/>
    <w:rsid w:val="005A0C88"/>
    <w:rsid w:val="005A12A5"/>
    <w:rsid w:val="005A1490"/>
    <w:rsid w:val="005A219D"/>
    <w:rsid w:val="005A2545"/>
    <w:rsid w:val="005A3461"/>
    <w:rsid w:val="005A3BFA"/>
    <w:rsid w:val="005A3C67"/>
    <w:rsid w:val="005A3D2F"/>
    <w:rsid w:val="005A3FBC"/>
    <w:rsid w:val="005A4C3B"/>
    <w:rsid w:val="005A4EF7"/>
    <w:rsid w:val="005A6A6E"/>
    <w:rsid w:val="005A6DFB"/>
    <w:rsid w:val="005A6EFC"/>
    <w:rsid w:val="005A778F"/>
    <w:rsid w:val="005A7F88"/>
    <w:rsid w:val="005B072B"/>
    <w:rsid w:val="005B1BF5"/>
    <w:rsid w:val="005B26C9"/>
    <w:rsid w:val="005B2A5A"/>
    <w:rsid w:val="005B33B0"/>
    <w:rsid w:val="005B38E2"/>
    <w:rsid w:val="005B3FB1"/>
    <w:rsid w:val="005B5A9D"/>
    <w:rsid w:val="005B66F7"/>
    <w:rsid w:val="005B77FA"/>
    <w:rsid w:val="005B7C67"/>
    <w:rsid w:val="005C3A51"/>
    <w:rsid w:val="005C3DC9"/>
    <w:rsid w:val="005C3EAD"/>
    <w:rsid w:val="005C4151"/>
    <w:rsid w:val="005C4DF4"/>
    <w:rsid w:val="005C6233"/>
    <w:rsid w:val="005C7128"/>
    <w:rsid w:val="005D0701"/>
    <w:rsid w:val="005D0FD4"/>
    <w:rsid w:val="005D19D7"/>
    <w:rsid w:val="005D4BC7"/>
    <w:rsid w:val="005D4CBE"/>
    <w:rsid w:val="005D5060"/>
    <w:rsid w:val="005D586B"/>
    <w:rsid w:val="005D6F3A"/>
    <w:rsid w:val="005D7990"/>
    <w:rsid w:val="005E001B"/>
    <w:rsid w:val="005E0177"/>
    <w:rsid w:val="005E2972"/>
    <w:rsid w:val="005E2CFE"/>
    <w:rsid w:val="005E3064"/>
    <w:rsid w:val="005E34E5"/>
    <w:rsid w:val="005E4E5B"/>
    <w:rsid w:val="005E5B46"/>
    <w:rsid w:val="005E5B8C"/>
    <w:rsid w:val="005E64BA"/>
    <w:rsid w:val="005E682D"/>
    <w:rsid w:val="005F0206"/>
    <w:rsid w:val="005F08C9"/>
    <w:rsid w:val="005F0AB4"/>
    <w:rsid w:val="005F13EB"/>
    <w:rsid w:val="005F1485"/>
    <w:rsid w:val="005F1794"/>
    <w:rsid w:val="005F22BA"/>
    <w:rsid w:val="005F2438"/>
    <w:rsid w:val="005F27E0"/>
    <w:rsid w:val="005F4267"/>
    <w:rsid w:val="005F5163"/>
    <w:rsid w:val="005F6654"/>
    <w:rsid w:val="005F6F44"/>
    <w:rsid w:val="005F6FCF"/>
    <w:rsid w:val="00600124"/>
    <w:rsid w:val="00600671"/>
    <w:rsid w:val="0060288E"/>
    <w:rsid w:val="0060472E"/>
    <w:rsid w:val="00604C02"/>
    <w:rsid w:val="0060532D"/>
    <w:rsid w:val="00606E47"/>
    <w:rsid w:val="00610C27"/>
    <w:rsid w:val="006117F9"/>
    <w:rsid w:val="00611B62"/>
    <w:rsid w:val="00611D0E"/>
    <w:rsid w:val="006121BD"/>
    <w:rsid w:val="0061289F"/>
    <w:rsid w:val="00613313"/>
    <w:rsid w:val="00615A5E"/>
    <w:rsid w:val="006166B2"/>
    <w:rsid w:val="006167A4"/>
    <w:rsid w:val="0061690A"/>
    <w:rsid w:val="00616B8F"/>
    <w:rsid w:val="006170ED"/>
    <w:rsid w:val="00617A3F"/>
    <w:rsid w:val="00617F0F"/>
    <w:rsid w:val="006217E0"/>
    <w:rsid w:val="006219A2"/>
    <w:rsid w:val="0062295B"/>
    <w:rsid w:val="00624020"/>
    <w:rsid w:val="0062497E"/>
    <w:rsid w:val="00624BD7"/>
    <w:rsid w:val="00624E45"/>
    <w:rsid w:val="00624EB9"/>
    <w:rsid w:val="006278AD"/>
    <w:rsid w:val="00627FEB"/>
    <w:rsid w:val="006302D0"/>
    <w:rsid w:val="00630C67"/>
    <w:rsid w:val="00630ED2"/>
    <w:rsid w:val="0063178C"/>
    <w:rsid w:val="006333AD"/>
    <w:rsid w:val="00634F61"/>
    <w:rsid w:val="006351C0"/>
    <w:rsid w:val="00635757"/>
    <w:rsid w:val="00635B04"/>
    <w:rsid w:val="0063615A"/>
    <w:rsid w:val="00636EAE"/>
    <w:rsid w:val="00640174"/>
    <w:rsid w:val="00640D0F"/>
    <w:rsid w:val="006411EB"/>
    <w:rsid w:val="00641C07"/>
    <w:rsid w:val="00643182"/>
    <w:rsid w:val="0064355C"/>
    <w:rsid w:val="006438A0"/>
    <w:rsid w:val="00644F90"/>
    <w:rsid w:val="00645785"/>
    <w:rsid w:val="00645EDC"/>
    <w:rsid w:val="00645FA9"/>
    <w:rsid w:val="006463C3"/>
    <w:rsid w:val="00646887"/>
    <w:rsid w:val="00646C01"/>
    <w:rsid w:val="0064700B"/>
    <w:rsid w:val="006474F5"/>
    <w:rsid w:val="00647A9C"/>
    <w:rsid w:val="006516CE"/>
    <w:rsid w:val="00651AC9"/>
    <w:rsid w:val="00651CA3"/>
    <w:rsid w:val="00651FA7"/>
    <w:rsid w:val="00652014"/>
    <w:rsid w:val="00652384"/>
    <w:rsid w:val="00652676"/>
    <w:rsid w:val="006528A4"/>
    <w:rsid w:val="00653511"/>
    <w:rsid w:val="00653F0E"/>
    <w:rsid w:val="00654ABA"/>
    <w:rsid w:val="00655347"/>
    <w:rsid w:val="006556D6"/>
    <w:rsid w:val="00657F6C"/>
    <w:rsid w:val="006618A7"/>
    <w:rsid w:val="00661CD3"/>
    <w:rsid w:val="00662012"/>
    <w:rsid w:val="006638B5"/>
    <w:rsid w:val="00664B70"/>
    <w:rsid w:val="00664BB3"/>
    <w:rsid w:val="006655D4"/>
    <w:rsid w:val="00666025"/>
    <w:rsid w:val="00666776"/>
    <w:rsid w:val="00666D20"/>
    <w:rsid w:val="006671FB"/>
    <w:rsid w:val="0067009D"/>
    <w:rsid w:val="00670305"/>
    <w:rsid w:val="006706BB"/>
    <w:rsid w:val="00670C15"/>
    <w:rsid w:val="006717D5"/>
    <w:rsid w:val="00673207"/>
    <w:rsid w:val="00673CD6"/>
    <w:rsid w:val="00673F69"/>
    <w:rsid w:val="006745D8"/>
    <w:rsid w:val="0067499A"/>
    <w:rsid w:val="00675E57"/>
    <w:rsid w:val="00682066"/>
    <w:rsid w:val="00683C84"/>
    <w:rsid w:val="00683EBD"/>
    <w:rsid w:val="0068499E"/>
    <w:rsid w:val="0068721B"/>
    <w:rsid w:val="006875DB"/>
    <w:rsid w:val="00687612"/>
    <w:rsid w:val="00690893"/>
    <w:rsid w:val="00690DA0"/>
    <w:rsid w:val="006917EB"/>
    <w:rsid w:val="006921FD"/>
    <w:rsid w:val="006928C6"/>
    <w:rsid w:val="00692951"/>
    <w:rsid w:val="00693674"/>
    <w:rsid w:val="00694AE0"/>
    <w:rsid w:val="00697189"/>
    <w:rsid w:val="006A006D"/>
    <w:rsid w:val="006A0485"/>
    <w:rsid w:val="006A0BC9"/>
    <w:rsid w:val="006A1500"/>
    <w:rsid w:val="006A1789"/>
    <w:rsid w:val="006A1D02"/>
    <w:rsid w:val="006A2C14"/>
    <w:rsid w:val="006A30A2"/>
    <w:rsid w:val="006A30AF"/>
    <w:rsid w:val="006A318D"/>
    <w:rsid w:val="006A3408"/>
    <w:rsid w:val="006A3CB7"/>
    <w:rsid w:val="006A3E2A"/>
    <w:rsid w:val="006A4A23"/>
    <w:rsid w:val="006A6561"/>
    <w:rsid w:val="006A656B"/>
    <w:rsid w:val="006A6805"/>
    <w:rsid w:val="006A6C04"/>
    <w:rsid w:val="006A705D"/>
    <w:rsid w:val="006A7854"/>
    <w:rsid w:val="006B0D71"/>
    <w:rsid w:val="006B0F6A"/>
    <w:rsid w:val="006B1244"/>
    <w:rsid w:val="006B19BD"/>
    <w:rsid w:val="006B1F99"/>
    <w:rsid w:val="006B2255"/>
    <w:rsid w:val="006B27EC"/>
    <w:rsid w:val="006B29E9"/>
    <w:rsid w:val="006B2AB4"/>
    <w:rsid w:val="006B2C2B"/>
    <w:rsid w:val="006B2ED1"/>
    <w:rsid w:val="006B5198"/>
    <w:rsid w:val="006C0B97"/>
    <w:rsid w:val="006C1331"/>
    <w:rsid w:val="006C2259"/>
    <w:rsid w:val="006C32D6"/>
    <w:rsid w:val="006C47FE"/>
    <w:rsid w:val="006C4A08"/>
    <w:rsid w:val="006C53DF"/>
    <w:rsid w:val="006C5C84"/>
    <w:rsid w:val="006C75DF"/>
    <w:rsid w:val="006D0AEC"/>
    <w:rsid w:val="006D1520"/>
    <w:rsid w:val="006D2BEF"/>
    <w:rsid w:val="006D3ABF"/>
    <w:rsid w:val="006D3C68"/>
    <w:rsid w:val="006D3FC4"/>
    <w:rsid w:val="006D4358"/>
    <w:rsid w:val="006D4598"/>
    <w:rsid w:val="006D4600"/>
    <w:rsid w:val="006D46FA"/>
    <w:rsid w:val="006D4B16"/>
    <w:rsid w:val="006D4E1B"/>
    <w:rsid w:val="006D7002"/>
    <w:rsid w:val="006D77C9"/>
    <w:rsid w:val="006D7DBD"/>
    <w:rsid w:val="006E0841"/>
    <w:rsid w:val="006E09C6"/>
    <w:rsid w:val="006E0CFE"/>
    <w:rsid w:val="006E1ADB"/>
    <w:rsid w:val="006E2717"/>
    <w:rsid w:val="006E2B05"/>
    <w:rsid w:val="006E31EC"/>
    <w:rsid w:val="006E3564"/>
    <w:rsid w:val="006E3BC4"/>
    <w:rsid w:val="006E3E27"/>
    <w:rsid w:val="006E3F68"/>
    <w:rsid w:val="006E440D"/>
    <w:rsid w:val="006E4C3A"/>
    <w:rsid w:val="006E55F1"/>
    <w:rsid w:val="006E6BF4"/>
    <w:rsid w:val="006E6E0B"/>
    <w:rsid w:val="006E6E4B"/>
    <w:rsid w:val="006F021A"/>
    <w:rsid w:val="006F0C52"/>
    <w:rsid w:val="006F1CB9"/>
    <w:rsid w:val="006F1F68"/>
    <w:rsid w:val="006F22BC"/>
    <w:rsid w:val="006F2601"/>
    <w:rsid w:val="006F280B"/>
    <w:rsid w:val="006F2CEB"/>
    <w:rsid w:val="006F2E41"/>
    <w:rsid w:val="006F2E63"/>
    <w:rsid w:val="006F32D1"/>
    <w:rsid w:val="006F3763"/>
    <w:rsid w:val="006F3B99"/>
    <w:rsid w:val="006F40D6"/>
    <w:rsid w:val="006F4414"/>
    <w:rsid w:val="006F45F5"/>
    <w:rsid w:val="006F5C31"/>
    <w:rsid w:val="006F6C3F"/>
    <w:rsid w:val="006F6F9C"/>
    <w:rsid w:val="006F7F13"/>
    <w:rsid w:val="006F7FAA"/>
    <w:rsid w:val="00700F2F"/>
    <w:rsid w:val="00702885"/>
    <w:rsid w:val="00702B40"/>
    <w:rsid w:val="00702D6B"/>
    <w:rsid w:val="00703577"/>
    <w:rsid w:val="007040AD"/>
    <w:rsid w:val="00707324"/>
    <w:rsid w:val="00707FBB"/>
    <w:rsid w:val="00711294"/>
    <w:rsid w:val="007129D5"/>
    <w:rsid w:val="007138AD"/>
    <w:rsid w:val="00713D4D"/>
    <w:rsid w:val="00713F00"/>
    <w:rsid w:val="00714846"/>
    <w:rsid w:val="007165D8"/>
    <w:rsid w:val="0071693C"/>
    <w:rsid w:val="00716E83"/>
    <w:rsid w:val="007171AA"/>
    <w:rsid w:val="00717729"/>
    <w:rsid w:val="00720634"/>
    <w:rsid w:val="007212F2"/>
    <w:rsid w:val="00722394"/>
    <w:rsid w:val="00722D8F"/>
    <w:rsid w:val="00723329"/>
    <w:rsid w:val="00723A28"/>
    <w:rsid w:val="00723A67"/>
    <w:rsid w:val="00724295"/>
    <w:rsid w:val="00724426"/>
    <w:rsid w:val="00726276"/>
    <w:rsid w:val="007263C1"/>
    <w:rsid w:val="007277BF"/>
    <w:rsid w:val="00727946"/>
    <w:rsid w:val="00730089"/>
    <w:rsid w:val="0073089B"/>
    <w:rsid w:val="00730E73"/>
    <w:rsid w:val="00731B64"/>
    <w:rsid w:val="00731D83"/>
    <w:rsid w:val="00732CA4"/>
    <w:rsid w:val="00732E7D"/>
    <w:rsid w:val="00732F26"/>
    <w:rsid w:val="007330ED"/>
    <w:rsid w:val="00733558"/>
    <w:rsid w:val="0073418E"/>
    <w:rsid w:val="00734AC2"/>
    <w:rsid w:val="00734FAD"/>
    <w:rsid w:val="00735B32"/>
    <w:rsid w:val="0073634C"/>
    <w:rsid w:val="0073758A"/>
    <w:rsid w:val="00737AE3"/>
    <w:rsid w:val="00737C62"/>
    <w:rsid w:val="00741207"/>
    <w:rsid w:val="007422A4"/>
    <w:rsid w:val="00742E3D"/>
    <w:rsid w:val="007433A9"/>
    <w:rsid w:val="00743BEB"/>
    <w:rsid w:val="00744F2A"/>
    <w:rsid w:val="00745001"/>
    <w:rsid w:val="007462F6"/>
    <w:rsid w:val="00746857"/>
    <w:rsid w:val="0074690B"/>
    <w:rsid w:val="00747D7C"/>
    <w:rsid w:val="00750410"/>
    <w:rsid w:val="00750993"/>
    <w:rsid w:val="00751097"/>
    <w:rsid w:val="0075159F"/>
    <w:rsid w:val="00752E4D"/>
    <w:rsid w:val="007568B2"/>
    <w:rsid w:val="00756F14"/>
    <w:rsid w:val="00757BE3"/>
    <w:rsid w:val="00757E77"/>
    <w:rsid w:val="00761469"/>
    <w:rsid w:val="00761948"/>
    <w:rsid w:val="00761BA6"/>
    <w:rsid w:val="00761DD6"/>
    <w:rsid w:val="00761E7C"/>
    <w:rsid w:val="00763F88"/>
    <w:rsid w:val="00764EE5"/>
    <w:rsid w:val="007660BD"/>
    <w:rsid w:val="007666D6"/>
    <w:rsid w:val="00767156"/>
    <w:rsid w:val="00770A25"/>
    <w:rsid w:val="00770A92"/>
    <w:rsid w:val="00770F04"/>
    <w:rsid w:val="00771904"/>
    <w:rsid w:val="00772357"/>
    <w:rsid w:val="00774100"/>
    <w:rsid w:val="00775093"/>
    <w:rsid w:val="00775397"/>
    <w:rsid w:val="0077558D"/>
    <w:rsid w:val="00775633"/>
    <w:rsid w:val="00775A1C"/>
    <w:rsid w:val="00776289"/>
    <w:rsid w:val="00776796"/>
    <w:rsid w:val="007774B3"/>
    <w:rsid w:val="00777EFF"/>
    <w:rsid w:val="00780400"/>
    <w:rsid w:val="00780619"/>
    <w:rsid w:val="00780D1C"/>
    <w:rsid w:val="007810DC"/>
    <w:rsid w:val="0078183D"/>
    <w:rsid w:val="00783A9E"/>
    <w:rsid w:val="00783B5B"/>
    <w:rsid w:val="0078560D"/>
    <w:rsid w:val="00785A58"/>
    <w:rsid w:val="00785B60"/>
    <w:rsid w:val="00786178"/>
    <w:rsid w:val="00792047"/>
    <w:rsid w:val="007920F2"/>
    <w:rsid w:val="007923AD"/>
    <w:rsid w:val="00792536"/>
    <w:rsid w:val="007936DE"/>
    <w:rsid w:val="00793A80"/>
    <w:rsid w:val="00794929"/>
    <w:rsid w:val="00794B38"/>
    <w:rsid w:val="00794D98"/>
    <w:rsid w:val="00795222"/>
    <w:rsid w:val="007953E0"/>
    <w:rsid w:val="00795513"/>
    <w:rsid w:val="00795A51"/>
    <w:rsid w:val="007961C3"/>
    <w:rsid w:val="00797C86"/>
    <w:rsid w:val="007A05E4"/>
    <w:rsid w:val="007A0FB2"/>
    <w:rsid w:val="007A1808"/>
    <w:rsid w:val="007A1C46"/>
    <w:rsid w:val="007A2BE2"/>
    <w:rsid w:val="007A3458"/>
    <w:rsid w:val="007A3CB3"/>
    <w:rsid w:val="007A426D"/>
    <w:rsid w:val="007A4D17"/>
    <w:rsid w:val="007A5315"/>
    <w:rsid w:val="007A5698"/>
    <w:rsid w:val="007A5740"/>
    <w:rsid w:val="007A5C62"/>
    <w:rsid w:val="007A6323"/>
    <w:rsid w:val="007A7839"/>
    <w:rsid w:val="007B04D3"/>
    <w:rsid w:val="007B0ADA"/>
    <w:rsid w:val="007B168C"/>
    <w:rsid w:val="007B21CD"/>
    <w:rsid w:val="007B2DE8"/>
    <w:rsid w:val="007B30A8"/>
    <w:rsid w:val="007B32B8"/>
    <w:rsid w:val="007B33B9"/>
    <w:rsid w:val="007B3C86"/>
    <w:rsid w:val="007B3DD5"/>
    <w:rsid w:val="007B3F6C"/>
    <w:rsid w:val="007B4C69"/>
    <w:rsid w:val="007B5241"/>
    <w:rsid w:val="007B52ED"/>
    <w:rsid w:val="007B60F2"/>
    <w:rsid w:val="007B63AF"/>
    <w:rsid w:val="007B7CEC"/>
    <w:rsid w:val="007B7E01"/>
    <w:rsid w:val="007C145A"/>
    <w:rsid w:val="007C23D1"/>
    <w:rsid w:val="007C2D5F"/>
    <w:rsid w:val="007C2EA3"/>
    <w:rsid w:val="007C46AA"/>
    <w:rsid w:val="007C46B7"/>
    <w:rsid w:val="007C4AC8"/>
    <w:rsid w:val="007C4C2A"/>
    <w:rsid w:val="007C4CC2"/>
    <w:rsid w:val="007C5307"/>
    <w:rsid w:val="007C60B5"/>
    <w:rsid w:val="007C6C3B"/>
    <w:rsid w:val="007C6CC7"/>
    <w:rsid w:val="007D030A"/>
    <w:rsid w:val="007D07A9"/>
    <w:rsid w:val="007D080D"/>
    <w:rsid w:val="007D0937"/>
    <w:rsid w:val="007D0AC9"/>
    <w:rsid w:val="007D0E8D"/>
    <w:rsid w:val="007D2640"/>
    <w:rsid w:val="007D33A5"/>
    <w:rsid w:val="007D4813"/>
    <w:rsid w:val="007D52A1"/>
    <w:rsid w:val="007D5C97"/>
    <w:rsid w:val="007D6665"/>
    <w:rsid w:val="007D74B2"/>
    <w:rsid w:val="007D7689"/>
    <w:rsid w:val="007D769D"/>
    <w:rsid w:val="007D76ED"/>
    <w:rsid w:val="007E0D46"/>
    <w:rsid w:val="007E1355"/>
    <w:rsid w:val="007E16C1"/>
    <w:rsid w:val="007E21B3"/>
    <w:rsid w:val="007E2217"/>
    <w:rsid w:val="007E2587"/>
    <w:rsid w:val="007E2658"/>
    <w:rsid w:val="007E2F0B"/>
    <w:rsid w:val="007E3617"/>
    <w:rsid w:val="007E3C6A"/>
    <w:rsid w:val="007E3D44"/>
    <w:rsid w:val="007E6508"/>
    <w:rsid w:val="007E67F1"/>
    <w:rsid w:val="007E6A49"/>
    <w:rsid w:val="007E6ACC"/>
    <w:rsid w:val="007E7049"/>
    <w:rsid w:val="007E70AA"/>
    <w:rsid w:val="007E758E"/>
    <w:rsid w:val="007E7B15"/>
    <w:rsid w:val="007F0226"/>
    <w:rsid w:val="007F0AA6"/>
    <w:rsid w:val="007F104F"/>
    <w:rsid w:val="007F1908"/>
    <w:rsid w:val="007F1AE1"/>
    <w:rsid w:val="007F1DC8"/>
    <w:rsid w:val="007F39D0"/>
    <w:rsid w:val="007F3F4F"/>
    <w:rsid w:val="007F427C"/>
    <w:rsid w:val="007F4762"/>
    <w:rsid w:val="007F63F5"/>
    <w:rsid w:val="007F7305"/>
    <w:rsid w:val="007F76FD"/>
    <w:rsid w:val="007F77A2"/>
    <w:rsid w:val="0080063D"/>
    <w:rsid w:val="008006D3"/>
    <w:rsid w:val="0080080D"/>
    <w:rsid w:val="00800B06"/>
    <w:rsid w:val="00800FDC"/>
    <w:rsid w:val="00802631"/>
    <w:rsid w:val="00802917"/>
    <w:rsid w:val="00802FDF"/>
    <w:rsid w:val="00803658"/>
    <w:rsid w:val="00804008"/>
    <w:rsid w:val="00806884"/>
    <w:rsid w:val="00806BE0"/>
    <w:rsid w:val="00807AF5"/>
    <w:rsid w:val="00807B20"/>
    <w:rsid w:val="008104A8"/>
    <w:rsid w:val="00810523"/>
    <w:rsid w:val="00812899"/>
    <w:rsid w:val="00812E82"/>
    <w:rsid w:val="00812FAD"/>
    <w:rsid w:val="0081340A"/>
    <w:rsid w:val="008137AF"/>
    <w:rsid w:val="00813CF7"/>
    <w:rsid w:val="00813D98"/>
    <w:rsid w:val="0081450D"/>
    <w:rsid w:val="0081477A"/>
    <w:rsid w:val="00814E78"/>
    <w:rsid w:val="00814EFE"/>
    <w:rsid w:val="0081504C"/>
    <w:rsid w:val="008151EB"/>
    <w:rsid w:val="008161E2"/>
    <w:rsid w:val="00816F51"/>
    <w:rsid w:val="00820111"/>
    <w:rsid w:val="00820610"/>
    <w:rsid w:val="008206CB"/>
    <w:rsid w:val="00820783"/>
    <w:rsid w:val="0082109B"/>
    <w:rsid w:val="008225A1"/>
    <w:rsid w:val="00823643"/>
    <w:rsid w:val="00823AAA"/>
    <w:rsid w:val="00823C2E"/>
    <w:rsid w:val="00824817"/>
    <w:rsid w:val="008250A4"/>
    <w:rsid w:val="00825753"/>
    <w:rsid w:val="008257A8"/>
    <w:rsid w:val="0082703F"/>
    <w:rsid w:val="00827ED2"/>
    <w:rsid w:val="00830F07"/>
    <w:rsid w:val="00830F35"/>
    <w:rsid w:val="008319B6"/>
    <w:rsid w:val="008319C4"/>
    <w:rsid w:val="00832014"/>
    <w:rsid w:val="008326C7"/>
    <w:rsid w:val="0083381B"/>
    <w:rsid w:val="0083419A"/>
    <w:rsid w:val="008347F6"/>
    <w:rsid w:val="00836FAD"/>
    <w:rsid w:val="00837920"/>
    <w:rsid w:val="00840B31"/>
    <w:rsid w:val="00841266"/>
    <w:rsid w:val="008414A3"/>
    <w:rsid w:val="00842243"/>
    <w:rsid w:val="00842B29"/>
    <w:rsid w:val="00842BE0"/>
    <w:rsid w:val="00842F9B"/>
    <w:rsid w:val="00843D40"/>
    <w:rsid w:val="008440AF"/>
    <w:rsid w:val="00844CFF"/>
    <w:rsid w:val="00844E64"/>
    <w:rsid w:val="00845D4C"/>
    <w:rsid w:val="00845EE8"/>
    <w:rsid w:val="008462C0"/>
    <w:rsid w:val="008468D2"/>
    <w:rsid w:val="008474D0"/>
    <w:rsid w:val="00847871"/>
    <w:rsid w:val="00850D2D"/>
    <w:rsid w:val="00851D9D"/>
    <w:rsid w:val="0085254E"/>
    <w:rsid w:val="00852A38"/>
    <w:rsid w:val="00852E57"/>
    <w:rsid w:val="0085328B"/>
    <w:rsid w:val="00856338"/>
    <w:rsid w:val="00856DCA"/>
    <w:rsid w:val="00857332"/>
    <w:rsid w:val="00861CCC"/>
    <w:rsid w:val="00861EE0"/>
    <w:rsid w:val="00861F8E"/>
    <w:rsid w:val="008620E2"/>
    <w:rsid w:val="00862C70"/>
    <w:rsid w:val="008637FA"/>
    <w:rsid w:val="00863BFC"/>
    <w:rsid w:val="00864042"/>
    <w:rsid w:val="00865176"/>
    <w:rsid w:val="00865A36"/>
    <w:rsid w:val="008665C2"/>
    <w:rsid w:val="008666C3"/>
    <w:rsid w:val="00866E53"/>
    <w:rsid w:val="00866F12"/>
    <w:rsid w:val="00870BD7"/>
    <w:rsid w:val="0087177D"/>
    <w:rsid w:val="00871A16"/>
    <w:rsid w:val="00871A2D"/>
    <w:rsid w:val="00872047"/>
    <w:rsid w:val="008733CE"/>
    <w:rsid w:val="00873C42"/>
    <w:rsid w:val="00873C59"/>
    <w:rsid w:val="00873D32"/>
    <w:rsid w:val="0087516C"/>
    <w:rsid w:val="008751BF"/>
    <w:rsid w:val="0087587A"/>
    <w:rsid w:val="00875E61"/>
    <w:rsid w:val="008800ED"/>
    <w:rsid w:val="008805AE"/>
    <w:rsid w:val="00880A1C"/>
    <w:rsid w:val="00881430"/>
    <w:rsid w:val="00881CDE"/>
    <w:rsid w:val="00881F36"/>
    <w:rsid w:val="00882FCF"/>
    <w:rsid w:val="0088366F"/>
    <w:rsid w:val="008846D7"/>
    <w:rsid w:val="008849AB"/>
    <w:rsid w:val="00885685"/>
    <w:rsid w:val="008862A9"/>
    <w:rsid w:val="008872B3"/>
    <w:rsid w:val="0089004B"/>
    <w:rsid w:val="00890411"/>
    <w:rsid w:val="00890789"/>
    <w:rsid w:val="00890CDF"/>
    <w:rsid w:val="008914D7"/>
    <w:rsid w:val="00892B6C"/>
    <w:rsid w:val="00892E5E"/>
    <w:rsid w:val="008932ED"/>
    <w:rsid w:val="0089472E"/>
    <w:rsid w:val="00897328"/>
    <w:rsid w:val="0089781D"/>
    <w:rsid w:val="00897880"/>
    <w:rsid w:val="00897E0B"/>
    <w:rsid w:val="008A0595"/>
    <w:rsid w:val="008A068B"/>
    <w:rsid w:val="008A08A1"/>
    <w:rsid w:val="008A1112"/>
    <w:rsid w:val="008A1F04"/>
    <w:rsid w:val="008A2757"/>
    <w:rsid w:val="008A3CD8"/>
    <w:rsid w:val="008A42FB"/>
    <w:rsid w:val="008A4780"/>
    <w:rsid w:val="008A4CB3"/>
    <w:rsid w:val="008A4E2F"/>
    <w:rsid w:val="008A627E"/>
    <w:rsid w:val="008A6351"/>
    <w:rsid w:val="008A7EA3"/>
    <w:rsid w:val="008A7FE4"/>
    <w:rsid w:val="008B0403"/>
    <w:rsid w:val="008B0967"/>
    <w:rsid w:val="008B2770"/>
    <w:rsid w:val="008B2D6A"/>
    <w:rsid w:val="008B3069"/>
    <w:rsid w:val="008B3440"/>
    <w:rsid w:val="008B358E"/>
    <w:rsid w:val="008B37AF"/>
    <w:rsid w:val="008B3860"/>
    <w:rsid w:val="008B4BE5"/>
    <w:rsid w:val="008B4DFD"/>
    <w:rsid w:val="008B6044"/>
    <w:rsid w:val="008B6245"/>
    <w:rsid w:val="008B69CC"/>
    <w:rsid w:val="008B6B46"/>
    <w:rsid w:val="008B733C"/>
    <w:rsid w:val="008B7516"/>
    <w:rsid w:val="008B7758"/>
    <w:rsid w:val="008B7EFB"/>
    <w:rsid w:val="008C02BC"/>
    <w:rsid w:val="008C0833"/>
    <w:rsid w:val="008C1355"/>
    <w:rsid w:val="008C1AFE"/>
    <w:rsid w:val="008C1B87"/>
    <w:rsid w:val="008C3160"/>
    <w:rsid w:val="008C32AD"/>
    <w:rsid w:val="008C3300"/>
    <w:rsid w:val="008C3480"/>
    <w:rsid w:val="008C3534"/>
    <w:rsid w:val="008C3B24"/>
    <w:rsid w:val="008C43C3"/>
    <w:rsid w:val="008C5C09"/>
    <w:rsid w:val="008C6305"/>
    <w:rsid w:val="008C65C9"/>
    <w:rsid w:val="008C766E"/>
    <w:rsid w:val="008C7DAF"/>
    <w:rsid w:val="008D1000"/>
    <w:rsid w:val="008D18A2"/>
    <w:rsid w:val="008D2A95"/>
    <w:rsid w:val="008D2DF0"/>
    <w:rsid w:val="008D383E"/>
    <w:rsid w:val="008D4458"/>
    <w:rsid w:val="008D47A1"/>
    <w:rsid w:val="008D4F04"/>
    <w:rsid w:val="008D5199"/>
    <w:rsid w:val="008D633E"/>
    <w:rsid w:val="008D6764"/>
    <w:rsid w:val="008D72E2"/>
    <w:rsid w:val="008D738D"/>
    <w:rsid w:val="008D7F46"/>
    <w:rsid w:val="008E0714"/>
    <w:rsid w:val="008E0DDE"/>
    <w:rsid w:val="008E1847"/>
    <w:rsid w:val="008E21CE"/>
    <w:rsid w:val="008E225E"/>
    <w:rsid w:val="008E2769"/>
    <w:rsid w:val="008E2859"/>
    <w:rsid w:val="008E3217"/>
    <w:rsid w:val="008E338D"/>
    <w:rsid w:val="008E4A52"/>
    <w:rsid w:val="008E5A1D"/>
    <w:rsid w:val="008E5F50"/>
    <w:rsid w:val="008E60E8"/>
    <w:rsid w:val="008E6159"/>
    <w:rsid w:val="008E62E1"/>
    <w:rsid w:val="008E6BB2"/>
    <w:rsid w:val="008E6F68"/>
    <w:rsid w:val="008E7D8A"/>
    <w:rsid w:val="008F0FF0"/>
    <w:rsid w:val="008F103D"/>
    <w:rsid w:val="008F1705"/>
    <w:rsid w:val="008F1C2F"/>
    <w:rsid w:val="008F20E3"/>
    <w:rsid w:val="008F2368"/>
    <w:rsid w:val="008F3CFC"/>
    <w:rsid w:val="008F4921"/>
    <w:rsid w:val="008F5F68"/>
    <w:rsid w:val="008F6604"/>
    <w:rsid w:val="008F6875"/>
    <w:rsid w:val="008F6BF0"/>
    <w:rsid w:val="008F6CD1"/>
    <w:rsid w:val="008F7911"/>
    <w:rsid w:val="00902A15"/>
    <w:rsid w:val="00903439"/>
    <w:rsid w:val="009037F4"/>
    <w:rsid w:val="009038EA"/>
    <w:rsid w:val="009041DE"/>
    <w:rsid w:val="009043D6"/>
    <w:rsid w:val="009057D8"/>
    <w:rsid w:val="00905997"/>
    <w:rsid w:val="00905AED"/>
    <w:rsid w:val="00906700"/>
    <w:rsid w:val="00907400"/>
    <w:rsid w:val="00907C93"/>
    <w:rsid w:val="00910070"/>
    <w:rsid w:val="009115B4"/>
    <w:rsid w:val="00912613"/>
    <w:rsid w:val="009128AE"/>
    <w:rsid w:val="00912F4A"/>
    <w:rsid w:val="009133ED"/>
    <w:rsid w:val="0091360E"/>
    <w:rsid w:val="009136F5"/>
    <w:rsid w:val="00913B10"/>
    <w:rsid w:val="00913FEF"/>
    <w:rsid w:val="00914881"/>
    <w:rsid w:val="00914BA4"/>
    <w:rsid w:val="00914FF5"/>
    <w:rsid w:val="00916995"/>
    <w:rsid w:val="00917238"/>
    <w:rsid w:val="00917D0D"/>
    <w:rsid w:val="00920FB0"/>
    <w:rsid w:val="00921EB9"/>
    <w:rsid w:val="009241A5"/>
    <w:rsid w:val="00925156"/>
    <w:rsid w:val="009254AE"/>
    <w:rsid w:val="00925E30"/>
    <w:rsid w:val="00926E06"/>
    <w:rsid w:val="009273D3"/>
    <w:rsid w:val="00927534"/>
    <w:rsid w:val="00930843"/>
    <w:rsid w:val="00930FD5"/>
    <w:rsid w:val="0093166F"/>
    <w:rsid w:val="00932560"/>
    <w:rsid w:val="00932716"/>
    <w:rsid w:val="009329A2"/>
    <w:rsid w:val="00932A3E"/>
    <w:rsid w:val="00933295"/>
    <w:rsid w:val="0093342E"/>
    <w:rsid w:val="009337FE"/>
    <w:rsid w:val="009351F8"/>
    <w:rsid w:val="00935232"/>
    <w:rsid w:val="0093655C"/>
    <w:rsid w:val="0093692D"/>
    <w:rsid w:val="009373C9"/>
    <w:rsid w:val="00940FFF"/>
    <w:rsid w:val="0094117D"/>
    <w:rsid w:val="00941558"/>
    <w:rsid w:val="009418F3"/>
    <w:rsid w:val="00941F75"/>
    <w:rsid w:val="00942C9D"/>
    <w:rsid w:val="00942EDF"/>
    <w:rsid w:val="00943E48"/>
    <w:rsid w:val="00943FE4"/>
    <w:rsid w:val="009442BA"/>
    <w:rsid w:val="00946605"/>
    <w:rsid w:val="00947183"/>
    <w:rsid w:val="009477F7"/>
    <w:rsid w:val="00947BBD"/>
    <w:rsid w:val="0095063E"/>
    <w:rsid w:val="00950665"/>
    <w:rsid w:val="00951224"/>
    <w:rsid w:val="00951F0B"/>
    <w:rsid w:val="00952802"/>
    <w:rsid w:val="00952996"/>
    <w:rsid w:val="00954CA8"/>
    <w:rsid w:val="00955798"/>
    <w:rsid w:val="0095649B"/>
    <w:rsid w:val="00956C08"/>
    <w:rsid w:val="009571DF"/>
    <w:rsid w:val="009574D0"/>
    <w:rsid w:val="009605C5"/>
    <w:rsid w:val="00960B74"/>
    <w:rsid w:val="009625E9"/>
    <w:rsid w:val="0096331A"/>
    <w:rsid w:val="009638BB"/>
    <w:rsid w:val="009648CF"/>
    <w:rsid w:val="00965027"/>
    <w:rsid w:val="00965C13"/>
    <w:rsid w:val="00965FEA"/>
    <w:rsid w:val="00967CDE"/>
    <w:rsid w:val="00970DE3"/>
    <w:rsid w:val="009712BC"/>
    <w:rsid w:val="00971A97"/>
    <w:rsid w:val="009720FF"/>
    <w:rsid w:val="00972383"/>
    <w:rsid w:val="00972683"/>
    <w:rsid w:val="00972C04"/>
    <w:rsid w:val="009738F5"/>
    <w:rsid w:val="009749F0"/>
    <w:rsid w:val="009753C6"/>
    <w:rsid w:val="0097651A"/>
    <w:rsid w:val="009771AB"/>
    <w:rsid w:val="00981746"/>
    <w:rsid w:val="00981BBA"/>
    <w:rsid w:val="00981EBC"/>
    <w:rsid w:val="009825D8"/>
    <w:rsid w:val="00982B84"/>
    <w:rsid w:val="00983178"/>
    <w:rsid w:val="009831E4"/>
    <w:rsid w:val="009831F9"/>
    <w:rsid w:val="009832C3"/>
    <w:rsid w:val="00983B0D"/>
    <w:rsid w:val="00984472"/>
    <w:rsid w:val="0098644F"/>
    <w:rsid w:val="00986737"/>
    <w:rsid w:val="0098703B"/>
    <w:rsid w:val="009877EA"/>
    <w:rsid w:val="009908BC"/>
    <w:rsid w:val="00990ACC"/>
    <w:rsid w:val="0099109B"/>
    <w:rsid w:val="00991E62"/>
    <w:rsid w:val="00991FBF"/>
    <w:rsid w:val="00992852"/>
    <w:rsid w:val="00992F3C"/>
    <w:rsid w:val="009937ED"/>
    <w:rsid w:val="0099392C"/>
    <w:rsid w:val="00994572"/>
    <w:rsid w:val="009948E1"/>
    <w:rsid w:val="009959E1"/>
    <w:rsid w:val="009967C3"/>
    <w:rsid w:val="00997406"/>
    <w:rsid w:val="009A02C4"/>
    <w:rsid w:val="009A02D8"/>
    <w:rsid w:val="009A0A26"/>
    <w:rsid w:val="009A0D41"/>
    <w:rsid w:val="009A1756"/>
    <w:rsid w:val="009A217F"/>
    <w:rsid w:val="009A26C1"/>
    <w:rsid w:val="009A2822"/>
    <w:rsid w:val="009A3C3A"/>
    <w:rsid w:val="009A3E0F"/>
    <w:rsid w:val="009A480B"/>
    <w:rsid w:val="009A4888"/>
    <w:rsid w:val="009A5C5C"/>
    <w:rsid w:val="009B04F5"/>
    <w:rsid w:val="009B0593"/>
    <w:rsid w:val="009B1154"/>
    <w:rsid w:val="009B2111"/>
    <w:rsid w:val="009B29AB"/>
    <w:rsid w:val="009B2BCE"/>
    <w:rsid w:val="009B2F34"/>
    <w:rsid w:val="009B4DE8"/>
    <w:rsid w:val="009B534A"/>
    <w:rsid w:val="009B5890"/>
    <w:rsid w:val="009B5D1E"/>
    <w:rsid w:val="009B6166"/>
    <w:rsid w:val="009B6547"/>
    <w:rsid w:val="009B6761"/>
    <w:rsid w:val="009C00F8"/>
    <w:rsid w:val="009C02AC"/>
    <w:rsid w:val="009C03EA"/>
    <w:rsid w:val="009C0BA9"/>
    <w:rsid w:val="009C1138"/>
    <w:rsid w:val="009C13FA"/>
    <w:rsid w:val="009C174E"/>
    <w:rsid w:val="009C1E04"/>
    <w:rsid w:val="009C31C2"/>
    <w:rsid w:val="009C47BF"/>
    <w:rsid w:val="009C52AB"/>
    <w:rsid w:val="009C571B"/>
    <w:rsid w:val="009C5B6D"/>
    <w:rsid w:val="009D0C1C"/>
    <w:rsid w:val="009D0C35"/>
    <w:rsid w:val="009D1420"/>
    <w:rsid w:val="009D1A66"/>
    <w:rsid w:val="009D293E"/>
    <w:rsid w:val="009D2B74"/>
    <w:rsid w:val="009D3579"/>
    <w:rsid w:val="009D4C73"/>
    <w:rsid w:val="009D4FCA"/>
    <w:rsid w:val="009D5049"/>
    <w:rsid w:val="009D55B8"/>
    <w:rsid w:val="009D61C2"/>
    <w:rsid w:val="009D71B5"/>
    <w:rsid w:val="009D7D84"/>
    <w:rsid w:val="009E0CA8"/>
    <w:rsid w:val="009E28E9"/>
    <w:rsid w:val="009E3742"/>
    <w:rsid w:val="009E4E34"/>
    <w:rsid w:val="009E5AA3"/>
    <w:rsid w:val="009E63E6"/>
    <w:rsid w:val="009E6D2F"/>
    <w:rsid w:val="009E78BC"/>
    <w:rsid w:val="009E7C9A"/>
    <w:rsid w:val="009F1618"/>
    <w:rsid w:val="009F1F3F"/>
    <w:rsid w:val="009F2432"/>
    <w:rsid w:val="009F289F"/>
    <w:rsid w:val="009F3294"/>
    <w:rsid w:val="009F36C8"/>
    <w:rsid w:val="009F4152"/>
    <w:rsid w:val="009F4688"/>
    <w:rsid w:val="009F479A"/>
    <w:rsid w:val="009F6525"/>
    <w:rsid w:val="009F69E7"/>
    <w:rsid w:val="009F6A26"/>
    <w:rsid w:val="009F6B80"/>
    <w:rsid w:val="009F7A7C"/>
    <w:rsid w:val="009F7C26"/>
    <w:rsid w:val="00A01AF9"/>
    <w:rsid w:val="00A01EC8"/>
    <w:rsid w:val="00A029B6"/>
    <w:rsid w:val="00A02BD4"/>
    <w:rsid w:val="00A03731"/>
    <w:rsid w:val="00A04455"/>
    <w:rsid w:val="00A0525B"/>
    <w:rsid w:val="00A0536B"/>
    <w:rsid w:val="00A054AD"/>
    <w:rsid w:val="00A07515"/>
    <w:rsid w:val="00A1021D"/>
    <w:rsid w:val="00A105A1"/>
    <w:rsid w:val="00A10CDF"/>
    <w:rsid w:val="00A113BA"/>
    <w:rsid w:val="00A1152E"/>
    <w:rsid w:val="00A1172C"/>
    <w:rsid w:val="00A11A95"/>
    <w:rsid w:val="00A11AFD"/>
    <w:rsid w:val="00A12BAF"/>
    <w:rsid w:val="00A13E41"/>
    <w:rsid w:val="00A14436"/>
    <w:rsid w:val="00A15307"/>
    <w:rsid w:val="00A155ED"/>
    <w:rsid w:val="00A15B68"/>
    <w:rsid w:val="00A161F4"/>
    <w:rsid w:val="00A164CB"/>
    <w:rsid w:val="00A1650A"/>
    <w:rsid w:val="00A16BCF"/>
    <w:rsid w:val="00A17BF0"/>
    <w:rsid w:val="00A20006"/>
    <w:rsid w:val="00A20562"/>
    <w:rsid w:val="00A20CA4"/>
    <w:rsid w:val="00A212C2"/>
    <w:rsid w:val="00A21379"/>
    <w:rsid w:val="00A21F3C"/>
    <w:rsid w:val="00A22492"/>
    <w:rsid w:val="00A2251F"/>
    <w:rsid w:val="00A23595"/>
    <w:rsid w:val="00A24EF6"/>
    <w:rsid w:val="00A2576D"/>
    <w:rsid w:val="00A25B24"/>
    <w:rsid w:val="00A25E01"/>
    <w:rsid w:val="00A26B60"/>
    <w:rsid w:val="00A2711C"/>
    <w:rsid w:val="00A27E2B"/>
    <w:rsid w:val="00A30A9F"/>
    <w:rsid w:val="00A31199"/>
    <w:rsid w:val="00A3131F"/>
    <w:rsid w:val="00A318FA"/>
    <w:rsid w:val="00A323CB"/>
    <w:rsid w:val="00A3311F"/>
    <w:rsid w:val="00A33316"/>
    <w:rsid w:val="00A33BA1"/>
    <w:rsid w:val="00A3487D"/>
    <w:rsid w:val="00A3609E"/>
    <w:rsid w:val="00A37574"/>
    <w:rsid w:val="00A379AE"/>
    <w:rsid w:val="00A37EF6"/>
    <w:rsid w:val="00A41141"/>
    <w:rsid w:val="00A41254"/>
    <w:rsid w:val="00A4194B"/>
    <w:rsid w:val="00A41EB2"/>
    <w:rsid w:val="00A42538"/>
    <w:rsid w:val="00A42822"/>
    <w:rsid w:val="00A42A3F"/>
    <w:rsid w:val="00A42A4D"/>
    <w:rsid w:val="00A433CD"/>
    <w:rsid w:val="00A433F7"/>
    <w:rsid w:val="00A440DB"/>
    <w:rsid w:val="00A4495C"/>
    <w:rsid w:val="00A44F95"/>
    <w:rsid w:val="00A45EAB"/>
    <w:rsid w:val="00A470F3"/>
    <w:rsid w:val="00A47186"/>
    <w:rsid w:val="00A510DC"/>
    <w:rsid w:val="00A52CB1"/>
    <w:rsid w:val="00A54497"/>
    <w:rsid w:val="00A546F3"/>
    <w:rsid w:val="00A548FF"/>
    <w:rsid w:val="00A55F9A"/>
    <w:rsid w:val="00A563C6"/>
    <w:rsid w:val="00A5692B"/>
    <w:rsid w:val="00A56AF0"/>
    <w:rsid w:val="00A56ED0"/>
    <w:rsid w:val="00A5728F"/>
    <w:rsid w:val="00A57609"/>
    <w:rsid w:val="00A576F6"/>
    <w:rsid w:val="00A57B07"/>
    <w:rsid w:val="00A60035"/>
    <w:rsid w:val="00A600AC"/>
    <w:rsid w:val="00A61495"/>
    <w:rsid w:val="00A630CE"/>
    <w:rsid w:val="00A6383C"/>
    <w:rsid w:val="00A63906"/>
    <w:rsid w:val="00A65625"/>
    <w:rsid w:val="00A658A1"/>
    <w:rsid w:val="00A663F4"/>
    <w:rsid w:val="00A66513"/>
    <w:rsid w:val="00A67CFF"/>
    <w:rsid w:val="00A7049A"/>
    <w:rsid w:val="00A706EC"/>
    <w:rsid w:val="00A713AD"/>
    <w:rsid w:val="00A71404"/>
    <w:rsid w:val="00A7258D"/>
    <w:rsid w:val="00A740D8"/>
    <w:rsid w:val="00A74182"/>
    <w:rsid w:val="00A744B3"/>
    <w:rsid w:val="00A7482B"/>
    <w:rsid w:val="00A74DD8"/>
    <w:rsid w:val="00A750CC"/>
    <w:rsid w:val="00A752C1"/>
    <w:rsid w:val="00A75771"/>
    <w:rsid w:val="00A758EB"/>
    <w:rsid w:val="00A75AE3"/>
    <w:rsid w:val="00A762E0"/>
    <w:rsid w:val="00A7677A"/>
    <w:rsid w:val="00A76F69"/>
    <w:rsid w:val="00A77532"/>
    <w:rsid w:val="00A779BF"/>
    <w:rsid w:val="00A8039D"/>
    <w:rsid w:val="00A806B2"/>
    <w:rsid w:val="00A80C27"/>
    <w:rsid w:val="00A80D72"/>
    <w:rsid w:val="00A81B58"/>
    <w:rsid w:val="00A823A8"/>
    <w:rsid w:val="00A824B0"/>
    <w:rsid w:val="00A826ED"/>
    <w:rsid w:val="00A83940"/>
    <w:rsid w:val="00A83992"/>
    <w:rsid w:val="00A841D1"/>
    <w:rsid w:val="00A842BF"/>
    <w:rsid w:val="00A85009"/>
    <w:rsid w:val="00A85287"/>
    <w:rsid w:val="00A85E0F"/>
    <w:rsid w:val="00A86870"/>
    <w:rsid w:val="00A8689B"/>
    <w:rsid w:val="00A86CC2"/>
    <w:rsid w:val="00A87EB7"/>
    <w:rsid w:val="00A9084D"/>
    <w:rsid w:val="00A90D4A"/>
    <w:rsid w:val="00A90D4D"/>
    <w:rsid w:val="00A90E41"/>
    <w:rsid w:val="00A917FF"/>
    <w:rsid w:val="00A93375"/>
    <w:rsid w:val="00A937D8"/>
    <w:rsid w:val="00A93889"/>
    <w:rsid w:val="00A93CBF"/>
    <w:rsid w:val="00A93F44"/>
    <w:rsid w:val="00A94329"/>
    <w:rsid w:val="00A94EB0"/>
    <w:rsid w:val="00A94F74"/>
    <w:rsid w:val="00A9509B"/>
    <w:rsid w:val="00A95296"/>
    <w:rsid w:val="00A9537F"/>
    <w:rsid w:val="00A95588"/>
    <w:rsid w:val="00A95C53"/>
    <w:rsid w:val="00A9769D"/>
    <w:rsid w:val="00AA0056"/>
    <w:rsid w:val="00AA007F"/>
    <w:rsid w:val="00AA23D5"/>
    <w:rsid w:val="00AA2681"/>
    <w:rsid w:val="00AA2780"/>
    <w:rsid w:val="00AA2AF0"/>
    <w:rsid w:val="00AA3E54"/>
    <w:rsid w:val="00AA45B0"/>
    <w:rsid w:val="00AA47DC"/>
    <w:rsid w:val="00AA4D79"/>
    <w:rsid w:val="00AA51AA"/>
    <w:rsid w:val="00AA51CD"/>
    <w:rsid w:val="00AA58D1"/>
    <w:rsid w:val="00AA6F84"/>
    <w:rsid w:val="00AA7630"/>
    <w:rsid w:val="00AA77C9"/>
    <w:rsid w:val="00AB0171"/>
    <w:rsid w:val="00AB1021"/>
    <w:rsid w:val="00AB319A"/>
    <w:rsid w:val="00AB432C"/>
    <w:rsid w:val="00AB43F4"/>
    <w:rsid w:val="00AB5454"/>
    <w:rsid w:val="00AB727F"/>
    <w:rsid w:val="00AB7982"/>
    <w:rsid w:val="00AB79B5"/>
    <w:rsid w:val="00AB7BAB"/>
    <w:rsid w:val="00AC050A"/>
    <w:rsid w:val="00AC06AF"/>
    <w:rsid w:val="00AC1F03"/>
    <w:rsid w:val="00AC1FE6"/>
    <w:rsid w:val="00AC28A2"/>
    <w:rsid w:val="00AC4C19"/>
    <w:rsid w:val="00AC51AB"/>
    <w:rsid w:val="00AC53EF"/>
    <w:rsid w:val="00AC5579"/>
    <w:rsid w:val="00AC5958"/>
    <w:rsid w:val="00AC6CBF"/>
    <w:rsid w:val="00AC7BEC"/>
    <w:rsid w:val="00AC7D4F"/>
    <w:rsid w:val="00AD03F4"/>
    <w:rsid w:val="00AD09AF"/>
    <w:rsid w:val="00AD0B24"/>
    <w:rsid w:val="00AD0B9C"/>
    <w:rsid w:val="00AD133E"/>
    <w:rsid w:val="00AD13D1"/>
    <w:rsid w:val="00AD141B"/>
    <w:rsid w:val="00AD145D"/>
    <w:rsid w:val="00AD20A3"/>
    <w:rsid w:val="00AD2886"/>
    <w:rsid w:val="00AD3C61"/>
    <w:rsid w:val="00AD427A"/>
    <w:rsid w:val="00AD5481"/>
    <w:rsid w:val="00AD57FD"/>
    <w:rsid w:val="00AD58C6"/>
    <w:rsid w:val="00AD786E"/>
    <w:rsid w:val="00AE05B2"/>
    <w:rsid w:val="00AE062C"/>
    <w:rsid w:val="00AE1A46"/>
    <w:rsid w:val="00AE1FC7"/>
    <w:rsid w:val="00AE4CD3"/>
    <w:rsid w:val="00AE51EF"/>
    <w:rsid w:val="00AE52DD"/>
    <w:rsid w:val="00AE60B5"/>
    <w:rsid w:val="00AE61A6"/>
    <w:rsid w:val="00AE6350"/>
    <w:rsid w:val="00AE6A9F"/>
    <w:rsid w:val="00AE717E"/>
    <w:rsid w:val="00AF03CB"/>
    <w:rsid w:val="00AF04C1"/>
    <w:rsid w:val="00AF0F67"/>
    <w:rsid w:val="00AF1478"/>
    <w:rsid w:val="00AF1AA2"/>
    <w:rsid w:val="00AF3337"/>
    <w:rsid w:val="00AF3602"/>
    <w:rsid w:val="00AF372C"/>
    <w:rsid w:val="00AF3904"/>
    <w:rsid w:val="00AF3DC3"/>
    <w:rsid w:val="00AF3E88"/>
    <w:rsid w:val="00AF4E4D"/>
    <w:rsid w:val="00AF521D"/>
    <w:rsid w:val="00AF57A8"/>
    <w:rsid w:val="00AF5ABF"/>
    <w:rsid w:val="00AF6AF4"/>
    <w:rsid w:val="00AF6DD0"/>
    <w:rsid w:val="00B001F7"/>
    <w:rsid w:val="00B01B16"/>
    <w:rsid w:val="00B01FDB"/>
    <w:rsid w:val="00B028CF"/>
    <w:rsid w:val="00B0307A"/>
    <w:rsid w:val="00B03B11"/>
    <w:rsid w:val="00B0473B"/>
    <w:rsid w:val="00B04A40"/>
    <w:rsid w:val="00B05107"/>
    <w:rsid w:val="00B053EE"/>
    <w:rsid w:val="00B05EA1"/>
    <w:rsid w:val="00B071BF"/>
    <w:rsid w:val="00B075D2"/>
    <w:rsid w:val="00B07BEC"/>
    <w:rsid w:val="00B1042C"/>
    <w:rsid w:val="00B104D3"/>
    <w:rsid w:val="00B117F3"/>
    <w:rsid w:val="00B12BEF"/>
    <w:rsid w:val="00B1399D"/>
    <w:rsid w:val="00B13C1F"/>
    <w:rsid w:val="00B13CC6"/>
    <w:rsid w:val="00B13CC9"/>
    <w:rsid w:val="00B1437F"/>
    <w:rsid w:val="00B146F7"/>
    <w:rsid w:val="00B150EB"/>
    <w:rsid w:val="00B15144"/>
    <w:rsid w:val="00B159D0"/>
    <w:rsid w:val="00B15A0E"/>
    <w:rsid w:val="00B15F2E"/>
    <w:rsid w:val="00B16C5D"/>
    <w:rsid w:val="00B17EEE"/>
    <w:rsid w:val="00B20336"/>
    <w:rsid w:val="00B2092B"/>
    <w:rsid w:val="00B20EF9"/>
    <w:rsid w:val="00B21767"/>
    <w:rsid w:val="00B21EAE"/>
    <w:rsid w:val="00B227EE"/>
    <w:rsid w:val="00B232AA"/>
    <w:rsid w:val="00B24075"/>
    <w:rsid w:val="00B250DE"/>
    <w:rsid w:val="00B250F8"/>
    <w:rsid w:val="00B258BB"/>
    <w:rsid w:val="00B25A97"/>
    <w:rsid w:val="00B25D28"/>
    <w:rsid w:val="00B26082"/>
    <w:rsid w:val="00B26320"/>
    <w:rsid w:val="00B31AF7"/>
    <w:rsid w:val="00B3300D"/>
    <w:rsid w:val="00B340E0"/>
    <w:rsid w:val="00B349A5"/>
    <w:rsid w:val="00B34BF5"/>
    <w:rsid w:val="00B354C3"/>
    <w:rsid w:val="00B35710"/>
    <w:rsid w:val="00B358A9"/>
    <w:rsid w:val="00B36BAE"/>
    <w:rsid w:val="00B37CED"/>
    <w:rsid w:val="00B37E93"/>
    <w:rsid w:val="00B37FD0"/>
    <w:rsid w:val="00B40206"/>
    <w:rsid w:val="00B40216"/>
    <w:rsid w:val="00B40D1F"/>
    <w:rsid w:val="00B418BC"/>
    <w:rsid w:val="00B41B1E"/>
    <w:rsid w:val="00B42103"/>
    <w:rsid w:val="00B42B54"/>
    <w:rsid w:val="00B42CA5"/>
    <w:rsid w:val="00B43281"/>
    <w:rsid w:val="00B432EB"/>
    <w:rsid w:val="00B469D6"/>
    <w:rsid w:val="00B46B2A"/>
    <w:rsid w:val="00B4794A"/>
    <w:rsid w:val="00B47D3E"/>
    <w:rsid w:val="00B47E1B"/>
    <w:rsid w:val="00B5021A"/>
    <w:rsid w:val="00B5061F"/>
    <w:rsid w:val="00B51A41"/>
    <w:rsid w:val="00B51D4E"/>
    <w:rsid w:val="00B53F6E"/>
    <w:rsid w:val="00B55555"/>
    <w:rsid w:val="00B55649"/>
    <w:rsid w:val="00B561F8"/>
    <w:rsid w:val="00B5660A"/>
    <w:rsid w:val="00B567FD"/>
    <w:rsid w:val="00B57124"/>
    <w:rsid w:val="00B57186"/>
    <w:rsid w:val="00B572AD"/>
    <w:rsid w:val="00B60FF9"/>
    <w:rsid w:val="00B6132D"/>
    <w:rsid w:val="00B61762"/>
    <w:rsid w:val="00B61CC2"/>
    <w:rsid w:val="00B6353B"/>
    <w:rsid w:val="00B63703"/>
    <w:rsid w:val="00B63A38"/>
    <w:rsid w:val="00B64FAA"/>
    <w:rsid w:val="00B65003"/>
    <w:rsid w:val="00B65A5C"/>
    <w:rsid w:val="00B65C5B"/>
    <w:rsid w:val="00B661EA"/>
    <w:rsid w:val="00B70A02"/>
    <w:rsid w:val="00B70E21"/>
    <w:rsid w:val="00B70FE9"/>
    <w:rsid w:val="00B71148"/>
    <w:rsid w:val="00B72F25"/>
    <w:rsid w:val="00B737C0"/>
    <w:rsid w:val="00B7392E"/>
    <w:rsid w:val="00B7571C"/>
    <w:rsid w:val="00B75743"/>
    <w:rsid w:val="00B75F27"/>
    <w:rsid w:val="00B7763B"/>
    <w:rsid w:val="00B77AA8"/>
    <w:rsid w:val="00B8006F"/>
    <w:rsid w:val="00B80AC4"/>
    <w:rsid w:val="00B80B2B"/>
    <w:rsid w:val="00B80D12"/>
    <w:rsid w:val="00B812B1"/>
    <w:rsid w:val="00B82D25"/>
    <w:rsid w:val="00B840B5"/>
    <w:rsid w:val="00B8464D"/>
    <w:rsid w:val="00B84737"/>
    <w:rsid w:val="00B847AD"/>
    <w:rsid w:val="00B84FBF"/>
    <w:rsid w:val="00B854F7"/>
    <w:rsid w:val="00B85EE7"/>
    <w:rsid w:val="00B87145"/>
    <w:rsid w:val="00B87486"/>
    <w:rsid w:val="00B87514"/>
    <w:rsid w:val="00B87C6D"/>
    <w:rsid w:val="00B9007A"/>
    <w:rsid w:val="00B90330"/>
    <w:rsid w:val="00B90404"/>
    <w:rsid w:val="00B90422"/>
    <w:rsid w:val="00B90F6E"/>
    <w:rsid w:val="00B9185D"/>
    <w:rsid w:val="00B9232A"/>
    <w:rsid w:val="00B942D2"/>
    <w:rsid w:val="00B95606"/>
    <w:rsid w:val="00B958C1"/>
    <w:rsid w:val="00B9635A"/>
    <w:rsid w:val="00B9650C"/>
    <w:rsid w:val="00B96EE0"/>
    <w:rsid w:val="00B96FDB"/>
    <w:rsid w:val="00B973F2"/>
    <w:rsid w:val="00B97B39"/>
    <w:rsid w:val="00BA02DF"/>
    <w:rsid w:val="00BA035D"/>
    <w:rsid w:val="00BA12DF"/>
    <w:rsid w:val="00BA1FF4"/>
    <w:rsid w:val="00BA232C"/>
    <w:rsid w:val="00BA3732"/>
    <w:rsid w:val="00BA39C4"/>
    <w:rsid w:val="00BA4E33"/>
    <w:rsid w:val="00BA5162"/>
    <w:rsid w:val="00BA6758"/>
    <w:rsid w:val="00BA6F87"/>
    <w:rsid w:val="00BB1225"/>
    <w:rsid w:val="00BB2879"/>
    <w:rsid w:val="00BB2D32"/>
    <w:rsid w:val="00BB4CA2"/>
    <w:rsid w:val="00BB5EB3"/>
    <w:rsid w:val="00BB5F40"/>
    <w:rsid w:val="00BB7BE3"/>
    <w:rsid w:val="00BC10EE"/>
    <w:rsid w:val="00BC170E"/>
    <w:rsid w:val="00BC3134"/>
    <w:rsid w:val="00BC34D1"/>
    <w:rsid w:val="00BC4A69"/>
    <w:rsid w:val="00BC5642"/>
    <w:rsid w:val="00BC66B2"/>
    <w:rsid w:val="00BC7831"/>
    <w:rsid w:val="00BD00DF"/>
    <w:rsid w:val="00BD23AA"/>
    <w:rsid w:val="00BD2613"/>
    <w:rsid w:val="00BD2911"/>
    <w:rsid w:val="00BD3837"/>
    <w:rsid w:val="00BD40EE"/>
    <w:rsid w:val="00BD4469"/>
    <w:rsid w:val="00BD47B7"/>
    <w:rsid w:val="00BD625C"/>
    <w:rsid w:val="00BD6B47"/>
    <w:rsid w:val="00BE09C6"/>
    <w:rsid w:val="00BE10BB"/>
    <w:rsid w:val="00BE11EB"/>
    <w:rsid w:val="00BE42AD"/>
    <w:rsid w:val="00BE4A44"/>
    <w:rsid w:val="00BE5718"/>
    <w:rsid w:val="00BE5797"/>
    <w:rsid w:val="00BE5806"/>
    <w:rsid w:val="00BE6B00"/>
    <w:rsid w:val="00BE6CF3"/>
    <w:rsid w:val="00BE6D69"/>
    <w:rsid w:val="00BE6F5C"/>
    <w:rsid w:val="00BE748B"/>
    <w:rsid w:val="00BE79C7"/>
    <w:rsid w:val="00BE7BB0"/>
    <w:rsid w:val="00BF0597"/>
    <w:rsid w:val="00BF0938"/>
    <w:rsid w:val="00BF40E7"/>
    <w:rsid w:val="00BF419C"/>
    <w:rsid w:val="00BF4D9A"/>
    <w:rsid w:val="00BF4FF4"/>
    <w:rsid w:val="00BF5857"/>
    <w:rsid w:val="00BF608D"/>
    <w:rsid w:val="00BF616F"/>
    <w:rsid w:val="00BF6B61"/>
    <w:rsid w:val="00BF6D83"/>
    <w:rsid w:val="00BF71F0"/>
    <w:rsid w:val="00BF7CE3"/>
    <w:rsid w:val="00BF7D8F"/>
    <w:rsid w:val="00BF7F01"/>
    <w:rsid w:val="00C004CC"/>
    <w:rsid w:val="00C03448"/>
    <w:rsid w:val="00C035B1"/>
    <w:rsid w:val="00C04E8F"/>
    <w:rsid w:val="00C05BDC"/>
    <w:rsid w:val="00C05EA9"/>
    <w:rsid w:val="00C06431"/>
    <w:rsid w:val="00C06831"/>
    <w:rsid w:val="00C10C08"/>
    <w:rsid w:val="00C112CB"/>
    <w:rsid w:val="00C119D5"/>
    <w:rsid w:val="00C11D4B"/>
    <w:rsid w:val="00C123A7"/>
    <w:rsid w:val="00C13DEF"/>
    <w:rsid w:val="00C141E4"/>
    <w:rsid w:val="00C14E7F"/>
    <w:rsid w:val="00C166BB"/>
    <w:rsid w:val="00C17EF6"/>
    <w:rsid w:val="00C206B9"/>
    <w:rsid w:val="00C20AAB"/>
    <w:rsid w:val="00C20F33"/>
    <w:rsid w:val="00C21480"/>
    <w:rsid w:val="00C21547"/>
    <w:rsid w:val="00C217B1"/>
    <w:rsid w:val="00C21988"/>
    <w:rsid w:val="00C21995"/>
    <w:rsid w:val="00C21E5A"/>
    <w:rsid w:val="00C223CB"/>
    <w:rsid w:val="00C2250F"/>
    <w:rsid w:val="00C2300F"/>
    <w:rsid w:val="00C231A7"/>
    <w:rsid w:val="00C236A4"/>
    <w:rsid w:val="00C23CE0"/>
    <w:rsid w:val="00C23DDA"/>
    <w:rsid w:val="00C243DB"/>
    <w:rsid w:val="00C24EAE"/>
    <w:rsid w:val="00C25B5C"/>
    <w:rsid w:val="00C26448"/>
    <w:rsid w:val="00C3008B"/>
    <w:rsid w:val="00C314E3"/>
    <w:rsid w:val="00C31670"/>
    <w:rsid w:val="00C33445"/>
    <w:rsid w:val="00C33E0B"/>
    <w:rsid w:val="00C342F5"/>
    <w:rsid w:val="00C345F7"/>
    <w:rsid w:val="00C34A13"/>
    <w:rsid w:val="00C353E6"/>
    <w:rsid w:val="00C35A97"/>
    <w:rsid w:val="00C372F7"/>
    <w:rsid w:val="00C3766D"/>
    <w:rsid w:val="00C37732"/>
    <w:rsid w:val="00C37AE8"/>
    <w:rsid w:val="00C402BD"/>
    <w:rsid w:val="00C40906"/>
    <w:rsid w:val="00C40A93"/>
    <w:rsid w:val="00C42803"/>
    <w:rsid w:val="00C42E26"/>
    <w:rsid w:val="00C43377"/>
    <w:rsid w:val="00C43916"/>
    <w:rsid w:val="00C45556"/>
    <w:rsid w:val="00C45CC3"/>
    <w:rsid w:val="00C45DF2"/>
    <w:rsid w:val="00C46559"/>
    <w:rsid w:val="00C47F2B"/>
    <w:rsid w:val="00C50FBE"/>
    <w:rsid w:val="00C51466"/>
    <w:rsid w:val="00C514E1"/>
    <w:rsid w:val="00C51838"/>
    <w:rsid w:val="00C52110"/>
    <w:rsid w:val="00C5356C"/>
    <w:rsid w:val="00C53D4D"/>
    <w:rsid w:val="00C54437"/>
    <w:rsid w:val="00C54D1C"/>
    <w:rsid w:val="00C54E81"/>
    <w:rsid w:val="00C5549D"/>
    <w:rsid w:val="00C55B58"/>
    <w:rsid w:val="00C56EC0"/>
    <w:rsid w:val="00C57726"/>
    <w:rsid w:val="00C60336"/>
    <w:rsid w:val="00C60440"/>
    <w:rsid w:val="00C609EC"/>
    <w:rsid w:val="00C60D47"/>
    <w:rsid w:val="00C60E4D"/>
    <w:rsid w:val="00C61177"/>
    <w:rsid w:val="00C614F0"/>
    <w:rsid w:val="00C61C75"/>
    <w:rsid w:val="00C62129"/>
    <w:rsid w:val="00C6267E"/>
    <w:rsid w:val="00C6292D"/>
    <w:rsid w:val="00C62C1B"/>
    <w:rsid w:val="00C6331A"/>
    <w:rsid w:val="00C63C2C"/>
    <w:rsid w:val="00C64DB9"/>
    <w:rsid w:val="00C66BDC"/>
    <w:rsid w:val="00C70DCF"/>
    <w:rsid w:val="00C71DBE"/>
    <w:rsid w:val="00C72373"/>
    <w:rsid w:val="00C730EC"/>
    <w:rsid w:val="00C75891"/>
    <w:rsid w:val="00C75CF5"/>
    <w:rsid w:val="00C760D9"/>
    <w:rsid w:val="00C77B1F"/>
    <w:rsid w:val="00C80928"/>
    <w:rsid w:val="00C813F6"/>
    <w:rsid w:val="00C817DD"/>
    <w:rsid w:val="00C81D5F"/>
    <w:rsid w:val="00C81D79"/>
    <w:rsid w:val="00C81FAF"/>
    <w:rsid w:val="00C82160"/>
    <w:rsid w:val="00C82328"/>
    <w:rsid w:val="00C82A66"/>
    <w:rsid w:val="00C82E7D"/>
    <w:rsid w:val="00C839E4"/>
    <w:rsid w:val="00C84A65"/>
    <w:rsid w:val="00C85F2F"/>
    <w:rsid w:val="00C8654B"/>
    <w:rsid w:val="00C871FC"/>
    <w:rsid w:val="00C87FAA"/>
    <w:rsid w:val="00C9060F"/>
    <w:rsid w:val="00C91A05"/>
    <w:rsid w:val="00C91F25"/>
    <w:rsid w:val="00C92271"/>
    <w:rsid w:val="00C9246D"/>
    <w:rsid w:val="00C9313D"/>
    <w:rsid w:val="00C94637"/>
    <w:rsid w:val="00C94D64"/>
    <w:rsid w:val="00C950A8"/>
    <w:rsid w:val="00C953DE"/>
    <w:rsid w:val="00C95857"/>
    <w:rsid w:val="00C95AA4"/>
    <w:rsid w:val="00C95D97"/>
    <w:rsid w:val="00C96208"/>
    <w:rsid w:val="00C96234"/>
    <w:rsid w:val="00C96E9D"/>
    <w:rsid w:val="00C9744B"/>
    <w:rsid w:val="00C97CB3"/>
    <w:rsid w:val="00CA07F3"/>
    <w:rsid w:val="00CA1CE2"/>
    <w:rsid w:val="00CA2328"/>
    <w:rsid w:val="00CA39EF"/>
    <w:rsid w:val="00CA3EF6"/>
    <w:rsid w:val="00CA50EA"/>
    <w:rsid w:val="00CA5482"/>
    <w:rsid w:val="00CA5D57"/>
    <w:rsid w:val="00CA619B"/>
    <w:rsid w:val="00CA72DB"/>
    <w:rsid w:val="00CA731F"/>
    <w:rsid w:val="00CA79F6"/>
    <w:rsid w:val="00CB08A3"/>
    <w:rsid w:val="00CB0EAD"/>
    <w:rsid w:val="00CB1691"/>
    <w:rsid w:val="00CB1970"/>
    <w:rsid w:val="00CB1E6B"/>
    <w:rsid w:val="00CB22BF"/>
    <w:rsid w:val="00CB2697"/>
    <w:rsid w:val="00CB28F2"/>
    <w:rsid w:val="00CB3339"/>
    <w:rsid w:val="00CB3D54"/>
    <w:rsid w:val="00CB3E14"/>
    <w:rsid w:val="00CB4D33"/>
    <w:rsid w:val="00CB4DAD"/>
    <w:rsid w:val="00CB4E08"/>
    <w:rsid w:val="00CB6042"/>
    <w:rsid w:val="00CB65AA"/>
    <w:rsid w:val="00CB66AB"/>
    <w:rsid w:val="00CB77C2"/>
    <w:rsid w:val="00CB7CC9"/>
    <w:rsid w:val="00CB7ED5"/>
    <w:rsid w:val="00CC0268"/>
    <w:rsid w:val="00CC094D"/>
    <w:rsid w:val="00CC121C"/>
    <w:rsid w:val="00CC18F2"/>
    <w:rsid w:val="00CC1C89"/>
    <w:rsid w:val="00CC1F53"/>
    <w:rsid w:val="00CC2330"/>
    <w:rsid w:val="00CC2F34"/>
    <w:rsid w:val="00CC3371"/>
    <w:rsid w:val="00CC3ED8"/>
    <w:rsid w:val="00CC438E"/>
    <w:rsid w:val="00CC4FFC"/>
    <w:rsid w:val="00CC5B4E"/>
    <w:rsid w:val="00CC63B5"/>
    <w:rsid w:val="00CC6459"/>
    <w:rsid w:val="00CC7DF9"/>
    <w:rsid w:val="00CD0C8C"/>
    <w:rsid w:val="00CD0FB4"/>
    <w:rsid w:val="00CD2029"/>
    <w:rsid w:val="00CD2CA0"/>
    <w:rsid w:val="00CD39E6"/>
    <w:rsid w:val="00CD3A74"/>
    <w:rsid w:val="00CD3AD1"/>
    <w:rsid w:val="00CD3ECC"/>
    <w:rsid w:val="00CD3EED"/>
    <w:rsid w:val="00CD4349"/>
    <w:rsid w:val="00CD4402"/>
    <w:rsid w:val="00CD50A2"/>
    <w:rsid w:val="00CD55AE"/>
    <w:rsid w:val="00CD5635"/>
    <w:rsid w:val="00CD5781"/>
    <w:rsid w:val="00CD60AF"/>
    <w:rsid w:val="00CD64A2"/>
    <w:rsid w:val="00CD658B"/>
    <w:rsid w:val="00CD71BA"/>
    <w:rsid w:val="00CD7398"/>
    <w:rsid w:val="00CD7C08"/>
    <w:rsid w:val="00CE0665"/>
    <w:rsid w:val="00CE0B92"/>
    <w:rsid w:val="00CE0D58"/>
    <w:rsid w:val="00CE2531"/>
    <w:rsid w:val="00CE4082"/>
    <w:rsid w:val="00CE4144"/>
    <w:rsid w:val="00CE5239"/>
    <w:rsid w:val="00CE6BA6"/>
    <w:rsid w:val="00CE751E"/>
    <w:rsid w:val="00CE784E"/>
    <w:rsid w:val="00CE7B33"/>
    <w:rsid w:val="00CF003F"/>
    <w:rsid w:val="00CF0D1E"/>
    <w:rsid w:val="00CF0E06"/>
    <w:rsid w:val="00CF0E3F"/>
    <w:rsid w:val="00CF0EFD"/>
    <w:rsid w:val="00CF4023"/>
    <w:rsid w:val="00CF5481"/>
    <w:rsid w:val="00CF57B5"/>
    <w:rsid w:val="00CF7C21"/>
    <w:rsid w:val="00D00460"/>
    <w:rsid w:val="00D00B46"/>
    <w:rsid w:val="00D01917"/>
    <w:rsid w:val="00D02DB1"/>
    <w:rsid w:val="00D035DF"/>
    <w:rsid w:val="00D03D78"/>
    <w:rsid w:val="00D040B5"/>
    <w:rsid w:val="00D054F8"/>
    <w:rsid w:val="00D06090"/>
    <w:rsid w:val="00D06D72"/>
    <w:rsid w:val="00D06F62"/>
    <w:rsid w:val="00D1015A"/>
    <w:rsid w:val="00D1029C"/>
    <w:rsid w:val="00D103B6"/>
    <w:rsid w:val="00D1113A"/>
    <w:rsid w:val="00D11AD5"/>
    <w:rsid w:val="00D1208D"/>
    <w:rsid w:val="00D12AE2"/>
    <w:rsid w:val="00D1379E"/>
    <w:rsid w:val="00D137C4"/>
    <w:rsid w:val="00D151A4"/>
    <w:rsid w:val="00D15384"/>
    <w:rsid w:val="00D15BB8"/>
    <w:rsid w:val="00D15ED9"/>
    <w:rsid w:val="00D16018"/>
    <w:rsid w:val="00D16718"/>
    <w:rsid w:val="00D16A5A"/>
    <w:rsid w:val="00D16AAD"/>
    <w:rsid w:val="00D16B5C"/>
    <w:rsid w:val="00D1738C"/>
    <w:rsid w:val="00D215E4"/>
    <w:rsid w:val="00D21724"/>
    <w:rsid w:val="00D2205E"/>
    <w:rsid w:val="00D22393"/>
    <w:rsid w:val="00D225DA"/>
    <w:rsid w:val="00D2263E"/>
    <w:rsid w:val="00D22816"/>
    <w:rsid w:val="00D22837"/>
    <w:rsid w:val="00D22D07"/>
    <w:rsid w:val="00D236DE"/>
    <w:rsid w:val="00D242C8"/>
    <w:rsid w:val="00D246B5"/>
    <w:rsid w:val="00D24986"/>
    <w:rsid w:val="00D25291"/>
    <w:rsid w:val="00D2570E"/>
    <w:rsid w:val="00D257AF"/>
    <w:rsid w:val="00D260DD"/>
    <w:rsid w:val="00D27796"/>
    <w:rsid w:val="00D277CC"/>
    <w:rsid w:val="00D30700"/>
    <w:rsid w:val="00D31A9A"/>
    <w:rsid w:val="00D32B3F"/>
    <w:rsid w:val="00D33171"/>
    <w:rsid w:val="00D340FE"/>
    <w:rsid w:val="00D3506E"/>
    <w:rsid w:val="00D35258"/>
    <w:rsid w:val="00D3559A"/>
    <w:rsid w:val="00D355B3"/>
    <w:rsid w:val="00D36098"/>
    <w:rsid w:val="00D37687"/>
    <w:rsid w:val="00D37881"/>
    <w:rsid w:val="00D4046A"/>
    <w:rsid w:val="00D404B3"/>
    <w:rsid w:val="00D40CA3"/>
    <w:rsid w:val="00D41FF2"/>
    <w:rsid w:val="00D42B3A"/>
    <w:rsid w:val="00D42C43"/>
    <w:rsid w:val="00D43B90"/>
    <w:rsid w:val="00D43DC2"/>
    <w:rsid w:val="00D45039"/>
    <w:rsid w:val="00D45DE4"/>
    <w:rsid w:val="00D4658D"/>
    <w:rsid w:val="00D465C5"/>
    <w:rsid w:val="00D46688"/>
    <w:rsid w:val="00D46AED"/>
    <w:rsid w:val="00D46DCB"/>
    <w:rsid w:val="00D475A6"/>
    <w:rsid w:val="00D505FC"/>
    <w:rsid w:val="00D50636"/>
    <w:rsid w:val="00D50911"/>
    <w:rsid w:val="00D50CA8"/>
    <w:rsid w:val="00D5114E"/>
    <w:rsid w:val="00D51356"/>
    <w:rsid w:val="00D51CC1"/>
    <w:rsid w:val="00D51CD7"/>
    <w:rsid w:val="00D52C09"/>
    <w:rsid w:val="00D53301"/>
    <w:rsid w:val="00D53496"/>
    <w:rsid w:val="00D5366D"/>
    <w:rsid w:val="00D5440C"/>
    <w:rsid w:val="00D55535"/>
    <w:rsid w:val="00D560D2"/>
    <w:rsid w:val="00D56F19"/>
    <w:rsid w:val="00D570ED"/>
    <w:rsid w:val="00D57DE3"/>
    <w:rsid w:val="00D602E9"/>
    <w:rsid w:val="00D603AD"/>
    <w:rsid w:val="00D60795"/>
    <w:rsid w:val="00D60D01"/>
    <w:rsid w:val="00D60D1F"/>
    <w:rsid w:val="00D60F96"/>
    <w:rsid w:val="00D61363"/>
    <w:rsid w:val="00D61F0A"/>
    <w:rsid w:val="00D62773"/>
    <w:rsid w:val="00D62F1E"/>
    <w:rsid w:val="00D62FBB"/>
    <w:rsid w:val="00D64870"/>
    <w:rsid w:val="00D650C8"/>
    <w:rsid w:val="00D65600"/>
    <w:rsid w:val="00D65E8B"/>
    <w:rsid w:val="00D65FAC"/>
    <w:rsid w:val="00D66159"/>
    <w:rsid w:val="00D661BE"/>
    <w:rsid w:val="00D66426"/>
    <w:rsid w:val="00D664B6"/>
    <w:rsid w:val="00D673CC"/>
    <w:rsid w:val="00D675B8"/>
    <w:rsid w:val="00D67918"/>
    <w:rsid w:val="00D70A24"/>
    <w:rsid w:val="00D71A53"/>
    <w:rsid w:val="00D71F09"/>
    <w:rsid w:val="00D7337F"/>
    <w:rsid w:val="00D73A64"/>
    <w:rsid w:val="00D74125"/>
    <w:rsid w:val="00D746A3"/>
    <w:rsid w:val="00D748AF"/>
    <w:rsid w:val="00D74E2D"/>
    <w:rsid w:val="00D75227"/>
    <w:rsid w:val="00D757AB"/>
    <w:rsid w:val="00D75DB3"/>
    <w:rsid w:val="00D76FAD"/>
    <w:rsid w:val="00D773D3"/>
    <w:rsid w:val="00D7755D"/>
    <w:rsid w:val="00D804D1"/>
    <w:rsid w:val="00D80F71"/>
    <w:rsid w:val="00D815C3"/>
    <w:rsid w:val="00D83819"/>
    <w:rsid w:val="00D8444A"/>
    <w:rsid w:val="00D84682"/>
    <w:rsid w:val="00D8485E"/>
    <w:rsid w:val="00D8546D"/>
    <w:rsid w:val="00D86E7A"/>
    <w:rsid w:val="00D905D9"/>
    <w:rsid w:val="00D90FB0"/>
    <w:rsid w:val="00D91D12"/>
    <w:rsid w:val="00D91EFF"/>
    <w:rsid w:val="00D92671"/>
    <w:rsid w:val="00D92B67"/>
    <w:rsid w:val="00D955F0"/>
    <w:rsid w:val="00D96063"/>
    <w:rsid w:val="00D96D44"/>
    <w:rsid w:val="00D979F5"/>
    <w:rsid w:val="00DA031F"/>
    <w:rsid w:val="00DA44C4"/>
    <w:rsid w:val="00DA44E7"/>
    <w:rsid w:val="00DA4574"/>
    <w:rsid w:val="00DA5A93"/>
    <w:rsid w:val="00DA6AF5"/>
    <w:rsid w:val="00DA6F47"/>
    <w:rsid w:val="00DA7F11"/>
    <w:rsid w:val="00DB053F"/>
    <w:rsid w:val="00DB05EC"/>
    <w:rsid w:val="00DB063E"/>
    <w:rsid w:val="00DB10E7"/>
    <w:rsid w:val="00DB144E"/>
    <w:rsid w:val="00DB145F"/>
    <w:rsid w:val="00DB2206"/>
    <w:rsid w:val="00DB3415"/>
    <w:rsid w:val="00DB351E"/>
    <w:rsid w:val="00DB55A1"/>
    <w:rsid w:val="00DB58CA"/>
    <w:rsid w:val="00DB6A44"/>
    <w:rsid w:val="00DB70CB"/>
    <w:rsid w:val="00DB7980"/>
    <w:rsid w:val="00DC05BB"/>
    <w:rsid w:val="00DC0616"/>
    <w:rsid w:val="00DC07F1"/>
    <w:rsid w:val="00DC0CA4"/>
    <w:rsid w:val="00DC113D"/>
    <w:rsid w:val="00DC11E7"/>
    <w:rsid w:val="00DC1B77"/>
    <w:rsid w:val="00DC414C"/>
    <w:rsid w:val="00DC4617"/>
    <w:rsid w:val="00DC4D0C"/>
    <w:rsid w:val="00DC5238"/>
    <w:rsid w:val="00DC6E25"/>
    <w:rsid w:val="00DC721F"/>
    <w:rsid w:val="00DC72D8"/>
    <w:rsid w:val="00DC7948"/>
    <w:rsid w:val="00DC7AF7"/>
    <w:rsid w:val="00DD0096"/>
    <w:rsid w:val="00DD041B"/>
    <w:rsid w:val="00DD0BA0"/>
    <w:rsid w:val="00DD0F63"/>
    <w:rsid w:val="00DD10AA"/>
    <w:rsid w:val="00DD175E"/>
    <w:rsid w:val="00DD17DF"/>
    <w:rsid w:val="00DD2F83"/>
    <w:rsid w:val="00DD34B5"/>
    <w:rsid w:val="00DD38BF"/>
    <w:rsid w:val="00DD3D77"/>
    <w:rsid w:val="00DD5163"/>
    <w:rsid w:val="00DD521C"/>
    <w:rsid w:val="00DD6595"/>
    <w:rsid w:val="00DD7238"/>
    <w:rsid w:val="00DD7F60"/>
    <w:rsid w:val="00DE075A"/>
    <w:rsid w:val="00DE2F41"/>
    <w:rsid w:val="00DE37EE"/>
    <w:rsid w:val="00DE4CE6"/>
    <w:rsid w:val="00DE56AA"/>
    <w:rsid w:val="00DE5F70"/>
    <w:rsid w:val="00DE6AE4"/>
    <w:rsid w:val="00DE6B22"/>
    <w:rsid w:val="00DE73B8"/>
    <w:rsid w:val="00DF0CE3"/>
    <w:rsid w:val="00DF1909"/>
    <w:rsid w:val="00DF20AE"/>
    <w:rsid w:val="00DF2113"/>
    <w:rsid w:val="00DF29AD"/>
    <w:rsid w:val="00DF2AAB"/>
    <w:rsid w:val="00DF39AE"/>
    <w:rsid w:val="00DF3AAC"/>
    <w:rsid w:val="00DF4A7F"/>
    <w:rsid w:val="00DF544B"/>
    <w:rsid w:val="00DF5610"/>
    <w:rsid w:val="00DF620D"/>
    <w:rsid w:val="00DF62DC"/>
    <w:rsid w:val="00DF6644"/>
    <w:rsid w:val="00DF6F2D"/>
    <w:rsid w:val="00DF7502"/>
    <w:rsid w:val="00DF78B5"/>
    <w:rsid w:val="00DF7BA6"/>
    <w:rsid w:val="00E006EE"/>
    <w:rsid w:val="00E00B1F"/>
    <w:rsid w:val="00E020E3"/>
    <w:rsid w:val="00E02180"/>
    <w:rsid w:val="00E021FD"/>
    <w:rsid w:val="00E04382"/>
    <w:rsid w:val="00E0459C"/>
    <w:rsid w:val="00E05088"/>
    <w:rsid w:val="00E052DC"/>
    <w:rsid w:val="00E056DC"/>
    <w:rsid w:val="00E0577B"/>
    <w:rsid w:val="00E06669"/>
    <w:rsid w:val="00E071C6"/>
    <w:rsid w:val="00E07223"/>
    <w:rsid w:val="00E07D9A"/>
    <w:rsid w:val="00E105DD"/>
    <w:rsid w:val="00E10E52"/>
    <w:rsid w:val="00E10FE8"/>
    <w:rsid w:val="00E1122E"/>
    <w:rsid w:val="00E11340"/>
    <w:rsid w:val="00E11373"/>
    <w:rsid w:val="00E140D8"/>
    <w:rsid w:val="00E14806"/>
    <w:rsid w:val="00E1512E"/>
    <w:rsid w:val="00E1607C"/>
    <w:rsid w:val="00E1617D"/>
    <w:rsid w:val="00E161E8"/>
    <w:rsid w:val="00E1633D"/>
    <w:rsid w:val="00E20443"/>
    <w:rsid w:val="00E206FA"/>
    <w:rsid w:val="00E214E8"/>
    <w:rsid w:val="00E21D1C"/>
    <w:rsid w:val="00E23DE6"/>
    <w:rsid w:val="00E24450"/>
    <w:rsid w:val="00E2478D"/>
    <w:rsid w:val="00E247D8"/>
    <w:rsid w:val="00E249B9"/>
    <w:rsid w:val="00E2511A"/>
    <w:rsid w:val="00E25DF8"/>
    <w:rsid w:val="00E26162"/>
    <w:rsid w:val="00E26620"/>
    <w:rsid w:val="00E2672F"/>
    <w:rsid w:val="00E301C9"/>
    <w:rsid w:val="00E30519"/>
    <w:rsid w:val="00E319A3"/>
    <w:rsid w:val="00E3286F"/>
    <w:rsid w:val="00E335DF"/>
    <w:rsid w:val="00E3465C"/>
    <w:rsid w:val="00E34ED9"/>
    <w:rsid w:val="00E35001"/>
    <w:rsid w:val="00E350F5"/>
    <w:rsid w:val="00E35305"/>
    <w:rsid w:val="00E37751"/>
    <w:rsid w:val="00E37BCD"/>
    <w:rsid w:val="00E408F4"/>
    <w:rsid w:val="00E40983"/>
    <w:rsid w:val="00E4213D"/>
    <w:rsid w:val="00E43702"/>
    <w:rsid w:val="00E43D9B"/>
    <w:rsid w:val="00E4411D"/>
    <w:rsid w:val="00E46600"/>
    <w:rsid w:val="00E4681F"/>
    <w:rsid w:val="00E46C11"/>
    <w:rsid w:val="00E46D48"/>
    <w:rsid w:val="00E46F96"/>
    <w:rsid w:val="00E477CD"/>
    <w:rsid w:val="00E504F4"/>
    <w:rsid w:val="00E508D0"/>
    <w:rsid w:val="00E50EF4"/>
    <w:rsid w:val="00E51F7C"/>
    <w:rsid w:val="00E520DB"/>
    <w:rsid w:val="00E52CE5"/>
    <w:rsid w:val="00E53727"/>
    <w:rsid w:val="00E54D51"/>
    <w:rsid w:val="00E558D4"/>
    <w:rsid w:val="00E55C06"/>
    <w:rsid w:val="00E55D2D"/>
    <w:rsid w:val="00E56199"/>
    <w:rsid w:val="00E570A2"/>
    <w:rsid w:val="00E57BB3"/>
    <w:rsid w:val="00E60504"/>
    <w:rsid w:val="00E60512"/>
    <w:rsid w:val="00E617C3"/>
    <w:rsid w:val="00E62ECF"/>
    <w:rsid w:val="00E6325C"/>
    <w:rsid w:val="00E64A30"/>
    <w:rsid w:val="00E65AB0"/>
    <w:rsid w:val="00E66EBC"/>
    <w:rsid w:val="00E674EC"/>
    <w:rsid w:val="00E7104E"/>
    <w:rsid w:val="00E724DB"/>
    <w:rsid w:val="00E72694"/>
    <w:rsid w:val="00E7461A"/>
    <w:rsid w:val="00E74FC1"/>
    <w:rsid w:val="00E75E06"/>
    <w:rsid w:val="00E804EB"/>
    <w:rsid w:val="00E808AA"/>
    <w:rsid w:val="00E808B4"/>
    <w:rsid w:val="00E80BBA"/>
    <w:rsid w:val="00E80BD0"/>
    <w:rsid w:val="00E80BF6"/>
    <w:rsid w:val="00E8158B"/>
    <w:rsid w:val="00E8277A"/>
    <w:rsid w:val="00E82907"/>
    <w:rsid w:val="00E82AF3"/>
    <w:rsid w:val="00E82BD4"/>
    <w:rsid w:val="00E8332F"/>
    <w:rsid w:val="00E835B0"/>
    <w:rsid w:val="00E83824"/>
    <w:rsid w:val="00E841ED"/>
    <w:rsid w:val="00E84755"/>
    <w:rsid w:val="00E8628F"/>
    <w:rsid w:val="00E86E12"/>
    <w:rsid w:val="00E87172"/>
    <w:rsid w:val="00E8786C"/>
    <w:rsid w:val="00E91010"/>
    <w:rsid w:val="00E918D7"/>
    <w:rsid w:val="00E92F66"/>
    <w:rsid w:val="00E94260"/>
    <w:rsid w:val="00E94931"/>
    <w:rsid w:val="00E95460"/>
    <w:rsid w:val="00E96321"/>
    <w:rsid w:val="00E9641A"/>
    <w:rsid w:val="00E968AE"/>
    <w:rsid w:val="00E97471"/>
    <w:rsid w:val="00E97C5F"/>
    <w:rsid w:val="00EA0C3B"/>
    <w:rsid w:val="00EA1B45"/>
    <w:rsid w:val="00EA1C11"/>
    <w:rsid w:val="00EA2518"/>
    <w:rsid w:val="00EA28D2"/>
    <w:rsid w:val="00EA2AE0"/>
    <w:rsid w:val="00EA3009"/>
    <w:rsid w:val="00EA315B"/>
    <w:rsid w:val="00EA3F8E"/>
    <w:rsid w:val="00EA474E"/>
    <w:rsid w:val="00EA4E8F"/>
    <w:rsid w:val="00EA590E"/>
    <w:rsid w:val="00EA6046"/>
    <w:rsid w:val="00EA6B3B"/>
    <w:rsid w:val="00EA7265"/>
    <w:rsid w:val="00EA783C"/>
    <w:rsid w:val="00EA7E61"/>
    <w:rsid w:val="00EB0128"/>
    <w:rsid w:val="00EB0229"/>
    <w:rsid w:val="00EB05AA"/>
    <w:rsid w:val="00EB1253"/>
    <w:rsid w:val="00EB15E8"/>
    <w:rsid w:val="00EB1A0F"/>
    <w:rsid w:val="00EB1E53"/>
    <w:rsid w:val="00EB1F6C"/>
    <w:rsid w:val="00EB249A"/>
    <w:rsid w:val="00EB25EA"/>
    <w:rsid w:val="00EB2FA8"/>
    <w:rsid w:val="00EB3197"/>
    <w:rsid w:val="00EB4169"/>
    <w:rsid w:val="00EB4374"/>
    <w:rsid w:val="00EB4772"/>
    <w:rsid w:val="00EB511F"/>
    <w:rsid w:val="00EB5D36"/>
    <w:rsid w:val="00EB5ED5"/>
    <w:rsid w:val="00EB5F29"/>
    <w:rsid w:val="00EB652D"/>
    <w:rsid w:val="00EB6E4C"/>
    <w:rsid w:val="00EB7095"/>
    <w:rsid w:val="00EB7A83"/>
    <w:rsid w:val="00EB7E5F"/>
    <w:rsid w:val="00EC064C"/>
    <w:rsid w:val="00EC0806"/>
    <w:rsid w:val="00EC1797"/>
    <w:rsid w:val="00EC1951"/>
    <w:rsid w:val="00EC1C11"/>
    <w:rsid w:val="00EC1DFC"/>
    <w:rsid w:val="00EC234C"/>
    <w:rsid w:val="00EC2980"/>
    <w:rsid w:val="00EC2B8E"/>
    <w:rsid w:val="00EC2E4B"/>
    <w:rsid w:val="00EC3158"/>
    <w:rsid w:val="00EC3DB3"/>
    <w:rsid w:val="00EC3DC4"/>
    <w:rsid w:val="00EC4DB9"/>
    <w:rsid w:val="00EC5865"/>
    <w:rsid w:val="00EC5909"/>
    <w:rsid w:val="00EC5DC7"/>
    <w:rsid w:val="00EC5E1C"/>
    <w:rsid w:val="00EC5F5A"/>
    <w:rsid w:val="00EC61FA"/>
    <w:rsid w:val="00EC741D"/>
    <w:rsid w:val="00EC7691"/>
    <w:rsid w:val="00EC789B"/>
    <w:rsid w:val="00EC7B1D"/>
    <w:rsid w:val="00ED06FC"/>
    <w:rsid w:val="00ED2667"/>
    <w:rsid w:val="00ED2B16"/>
    <w:rsid w:val="00ED6477"/>
    <w:rsid w:val="00ED648E"/>
    <w:rsid w:val="00EE0262"/>
    <w:rsid w:val="00EE04E1"/>
    <w:rsid w:val="00EE1590"/>
    <w:rsid w:val="00EE1EA7"/>
    <w:rsid w:val="00EE3298"/>
    <w:rsid w:val="00EE3445"/>
    <w:rsid w:val="00EE3A3D"/>
    <w:rsid w:val="00EE3B2A"/>
    <w:rsid w:val="00EE53B9"/>
    <w:rsid w:val="00EE58C2"/>
    <w:rsid w:val="00EE5C7F"/>
    <w:rsid w:val="00EE5F37"/>
    <w:rsid w:val="00EE68DA"/>
    <w:rsid w:val="00EE6A1C"/>
    <w:rsid w:val="00EF0012"/>
    <w:rsid w:val="00EF03B3"/>
    <w:rsid w:val="00EF0668"/>
    <w:rsid w:val="00EF1A4B"/>
    <w:rsid w:val="00EF1F01"/>
    <w:rsid w:val="00EF2FBC"/>
    <w:rsid w:val="00EF3284"/>
    <w:rsid w:val="00EF354B"/>
    <w:rsid w:val="00F00558"/>
    <w:rsid w:val="00F008BC"/>
    <w:rsid w:val="00F018DE"/>
    <w:rsid w:val="00F022DB"/>
    <w:rsid w:val="00F029D8"/>
    <w:rsid w:val="00F03F87"/>
    <w:rsid w:val="00F05D05"/>
    <w:rsid w:val="00F06804"/>
    <w:rsid w:val="00F06BE6"/>
    <w:rsid w:val="00F0708D"/>
    <w:rsid w:val="00F0715C"/>
    <w:rsid w:val="00F075B0"/>
    <w:rsid w:val="00F07CFE"/>
    <w:rsid w:val="00F10D63"/>
    <w:rsid w:val="00F10F55"/>
    <w:rsid w:val="00F1133A"/>
    <w:rsid w:val="00F115DE"/>
    <w:rsid w:val="00F11973"/>
    <w:rsid w:val="00F139F4"/>
    <w:rsid w:val="00F13D01"/>
    <w:rsid w:val="00F150B7"/>
    <w:rsid w:val="00F15663"/>
    <w:rsid w:val="00F156CC"/>
    <w:rsid w:val="00F15901"/>
    <w:rsid w:val="00F1599F"/>
    <w:rsid w:val="00F15A3E"/>
    <w:rsid w:val="00F15F4C"/>
    <w:rsid w:val="00F162E1"/>
    <w:rsid w:val="00F16617"/>
    <w:rsid w:val="00F17468"/>
    <w:rsid w:val="00F17900"/>
    <w:rsid w:val="00F17F1D"/>
    <w:rsid w:val="00F2067C"/>
    <w:rsid w:val="00F22B3C"/>
    <w:rsid w:val="00F22DAF"/>
    <w:rsid w:val="00F235BC"/>
    <w:rsid w:val="00F23A20"/>
    <w:rsid w:val="00F23AE2"/>
    <w:rsid w:val="00F248BC"/>
    <w:rsid w:val="00F25022"/>
    <w:rsid w:val="00F26146"/>
    <w:rsid w:val="00F26541"/>
    <w:rsid w:val="00F2659F"/>
    <w:rsid w:val="00F26695"/>
    <w:rsid w:val="00F267EA"/>
    <w:rsid w:val="00F274DF"/>
    <w:rsid w:val="00F27A32"/>
    <w:rsid w:val="00F325E5"/>
    <w:rsid w:val="00F32BA2"/>
    <w:rsid w:val="00F33D73"/>
    <w:rsid w:val="00F347DC"/>
    <w:rsid w:val="00F35A9E"/>
    <w:rsid w:val="00F35B9C"/>
    <w:rsid w:val="00F35F19"/>
    <w:rsid w:val="00F37747"/>
    <w:rsid w:val="00F37842"/>
    <w:rsid w:val="00F37963"/>
    <w:rsid w:val="00F37A4E"/>
    <w:rsid w:val="00F37D58"/>
    <w:rsid w:val="00F40208"/>
    <w:rsid w:val="00F4022B"/>
    <w:rsid w:val="00F405AC"/>
    <w:rsid w:val="00F417C8"/>
    <w:rsid w:val="00F41C04"/>
    <w:rsid w:val="00F41FE5"/>
    <w:rsid w:val="00F430A5"/>
    <w:rsid w:val="00F432CD"/>
    <w:rsid w:val="00F44010"/>
    <w:rsid w:val="00F445A3"/>
    <w:rsid w:val="00F44DC9"/>
    <w:rsid w:val="00F452E4"/>
    <w:rsid w:val="00F4576C"/>
    <w:rsid w:val="00F45F33"/>
    <w:rsid w:val="00F466CA"/>
    <w:rsid w:val="00F47ABB"/>
    <w:rsid w:val="00F504EA"/>
    <w:rsid w:val="00F50976"/>
    <w:rsid w:val="00F539AB"/>
    <w:rsid w:val="00F539D9"/>
    <w:rsid w:val="00F54D97"/>
    <w:rsid w:val="00F55281"/>
    <w:rsid w:val="00F55C0A"/>
    <w:rsid w:val="00F560D0"/>
    <w:rsid w:val="00F56586"/>
    <w:rsid w:val="00F566C8"/>
    <w:rsid w:val="00F57280"/>
    <w:rsid w:val="00F61588"/>
    <w:rsid w:val="00F62211"/>
    <w:rsid w:val="00F6350F"/>
    <w:rsid w:val="00F66152"/>
    <w:rsid w:val="00F6651B"/>
    <w:rsid w:val="00F67831"/>
    <w:rsid w:val="00F70488"/>
    <w:rsid w:val="00F711F5"/>
    <w:rsid w:val="00F7180D"/>
    <w:rsid w:val="00F72CD7"/>
    <w:rsid w:val="00F7365C"/>
    <w:rsid w:val="00F73A98"/>
    <w:rsid w:val="00F73DE2"/>
    <w:rsid w:val="00F74FA2"/>
    <w:rsid w:val="00F76D27"/>
    <w:rsid w:val="00F76EA4"/>
    <w:rsid w:val="00F77CD5"/>
    <w:rsid w:val="00F77DC4"/>
    <w:rsid w:val="00F803DE"/>
    <w:rsid w:val="00F80726"/>
    <w:rsid w:val="00F81696"/>
    <w:rsid w:val="00F828AA"/>
    <w:rsid w:val="00F83398"/>
    <w:rsid w:val="00F8409A"/>
    <w:rsid w:val="00F85793"/>
    <w:rsid w:val="00F86E15"/>
    <w:rsid w:val="00F8794C"/>
    <w:rsid w:val="00F90392"/>
    <w:rsid w:val="00F923D3"/>
    <w:rsid w:val="00F9243B"/>
    <w:rsid w:val="00F9349D"/>
    <w:rsid w:val="00F9349E"/>
    <w:rsid w:val="00F93892"/>
    <w:rsid w:val="00F9398A"/>
    <w:rsid w:val="00F9412A"/>
    <w:rsid w:val="00F9422E"/>
    <w:rsid w:val="00F944E1"/>
    <w:rsid w:val="00F953F8"/>
    <w:rsid w:val="00F95BB0"/>
    <w:rsid w:val="00F96290"/>
    <w:rsid w:val="00F9760C"/>
    <w:rsid w:val="00F9760E"/>
    <w:rsid w:val="00FA054E"/>
    <w:rsid w:val="00FA1F88"/>
    <w:rsid w:val="00FA230E"/>
    <w:rsid w:val="00FA3D9D"/>
    <w:rsid w:val="00FA4179"/>
    <w:rsid w:val="00FA5497"/>
    <w:rsid w:val="00FA5613"/>
    <w:rsid w:val="00FA6219"/>
    <w:rsid w:val="00FA7519"/>
    <w:rsid w:val="00FB0083"/>
    <w:rsid w:val="00FB0CBA"/>
    <w:rsid w:val="00FB167C"/>
    <w:rsid w:val="00FB16DF"/>
    <w:rsid w:val="00FB2996"/>
    <w:rsid w:val="00FB2ACC"/>
    <w:rsid w:val="00FB2D16"/>
    <w:rsid w:val="00FB4234"/>
    <w:rsid w:val="00FB44A1"/>
    <w:rsid w:val="00FB4F5F"/>
    <w:rsid w:val="00FB5F47"/>
    <w:rsid w:val="00FB6044"/>
    <w:rsid w:val="00FB66CB"/>
    <w:rsid w:val="00FB6929"/>
    <w:rsid w:val="00FB699E"/>
    <w:rsid w:val="00FB6DBF"/>
    <w:rsid w:val="00FB7784"/>
    <w:rsid w:val="00FB7895"/>
    <w:rsid w:val="00FB79D4"/>
    <w:rsid w:val="00FB7A51"/>
    <w:rsid w:val="00FB7D38"/>
    <w:rsid w:val="00FB7E65"/>
    <w:rsid w:val="00FC02E1"/>
    <w:rsid w:val="00FC0547"/>
    <w:rsid w:val="00FC0A00"/>
    <w:rsid w:val="00FC17DC"/>
    <w:rsid w:val="00FC1E64"/>
    <w:rsid w:val="00FC1E88"/>
    <w:rsid w:val="00FC1EE7"/>
    <w:rsid w:val="00FC1F7E"/>
    <w:rsid w:val="00FC21BD"/>
    <w:rsid w:val="00FC22C9"/>
    <w:rsid w:val="00FC2529"/>
    <w:rsid w:val="00FC2F2E"/>
    <w:rsid w:val="00FC30C4"/>
    <w:rsid w:val="00FC41B2"/>
    <w:rsid w:val="00FC44A4"/>
    <w:rsid w:val="00FC4B6A"/>
    <w:rsid w:val="00FC54CE"/>
    <w:rsid w:val="00FC56C8"/>
    <w:rsid w:val="00FC5993"/>
    <w:rsid w:val="00FC7E26"/>
    <w:rsid w:val="00FD03E1"/>
    <w:rsid w:val="00FD09DB"/>
    <w:rsid w:val="00FD1426"/>
    <w:rsid w:val="00FD19F7"/>
    <w:rsid w:val="00FD2A25"/>
    <w:rsid w:val="00FD2B05"/>
    <w:rsid w:val="00FD2CE8"/>
    <w:rsid w:val="00FD3157"/>
    <w:rsid w:val="00FD337F"/>
    <w:rsid w:val="00FD45D9"/>
    <w:rsid w:val="00FD4762"/>
    <w:rsid w:val="00FD4EE8"/>
    <w:rsid w:val="00FD505D"/>
    <w:rsid w:val="00FD562C"/>
    <w:rsid w:val="00FD5C5D"/>
    <w:rsid w:val="00FD60BC"/>
    <w:rsid w:val="00FD63CC"/>
    <w:rsid w:val="00FD6996"/>
    <w:rsid w:val="00FD6EC4"/>
    <w:rsid w:val="00FD6F80"/>
    <w:rsid w:val="00FE013B"/>
    <w:rsid w:val="00FE0424"/>
    <w:rsid w:val="00FE07A9"/>
    <w:rsid w:val="00FE0A96"/>
    <w:rsid w:val="00FE2C5D"/>
    <w:rsid w:val="00FE2EE1"/>
    <w:rsid w:val="00FE3DF3"/>
    <w:rsid w:val="00FE5376"/>
    <w:rsid w:val="00FE5641"/>
    <w:rsid w:val="00FE67DA"/>
    <w:rsid w:val="00FE6CEB"/>
    <w:rsid w:val="00FE6D60"/>
    <w:rsid w:val="00FF057E"/>
    <w:rsid w:val="00FF1D55"/>
    <w:rsid w:val="00FF2202"/>
    <w:rsid w:val="00FF2871"/>
    <w:rsid w:val="00FF41FF"/>
    <w:rsid w:val="00FF46FF"/>
    <w:rsid w:val="00FF501E"/>
    <w:rsid w:val="00FF5573"/>
    <w:rsid w:val="00FF5FD5"/>
    <w:rsid w:val="00FF6ABE"/>
    <w:rsid w:val="00FF71C0"/>
    <w:rsid w:val="00FF739C"/>
    <w:rsid w:val="00FF7CD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A0FEF0"/>
  <w15:chartTrackingRefBased/>
  <w15:docId w15:val="{57A52FA7-C8EC-4C3A-8C7A-5BD7AD4F3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158B"/>
  </w:style>
  <w:style w:type="paragraph" w:styleId="Heading1">
    <w:name w:val="heading 1"/>
    <w:basedOn w:val="Normal"/>
    <w:next w:val="Normal"/>
    <w:link w:val="Heading1Char"/>
    <w:uiPriority w:val="9"/>
    <w:qFormat/>
    <w:rsid w:val="00EF2FBC"/>
    <w:pPr>
      <w:keepNext/>
      <w:keepLines/>
      <w:numPr>
        <w:numId w:val="16"/>
      </w:numPr>
      <w:spacing w:before="240" w:after="0" w:line="360" w:lineRule="auto"/>
      <w:outlineLvl w:val="0"/>
    </w:pPr>
    <w:rPr>
      <w:rFonts w:asciiTheme="majorBidi" w:eastAsia="Calibri" w:hAnsiTheme="majorBidi" w:cstheme="majorBidi"/>
      <w:b/>
      <w:sz w:val="24"/>
      <w:szCs w:val="24"/>
      <w:lang w:val="en-US"/>
    </w:rPr>
  </w:style>
  <w:style w:type="paragraph" w:styleId="Heading2">
    <w:name w:val="heading 2"/>
    <w:basedOn w:val="Normal"/>
    <w:next w:val="Normal"/>
    <w:link w:val="Heading2Char"/>
    <w:uiPriority w:val="9"/>
    <w:unhideWhenUsed/>
    <w:qFormat/>
    <w:rsid w:val="00160D48"/>
    <w:pPr>
      <w:keepNext/>
      <w:keepLines/>
      <w:numPr>
        <w:ilvl w:val="1"/>
        <w:numId w:val="16"/>
      </w:numPr>
      <w:spacing w:before="40" w:after="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160D48"/>
    <w:pPr>
      <w:keepNext/>
      <w:keepLines/>
      <w:numPr>
        <w:ilvl w:val="2"/>
        <w:numId w:val="16"/>
      </w:numPr>
      <w:spacing w:before="40" w:after="0"/>
      <w:ind w:left="72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2308F8"/>
    <w:pPr>
      <w:keepNext/>
      <w:keepLines/>
      <w:numPr>
        <w:ilvl w:val="3"/>
        <w:numId w:val="16"/>
      </w:numPr>
      <w:spacing w:before="40" w:after="0"/>
      <w:outlineLvl w:val="3"/>
    </w:pPr>
    <w:rPr>
      <w:rFonts w:ascii="Times New Roman" w:eastAsiaTheme="majorEastAsia" w:hAnsi="Times New Roman" w:cs="Times New Roman"/>
      <w:b/>
      <w:iCs/>
      <w:sz w:val="24"/>
      <w:lang w:val="en-US"/>
    </w:rPr>
  </w:style>
  <w:style w:type="paragraph" w:styleId="Heading5">
    <w:name w:val="heading 5"/>
    <w:basedOn w:val="Normal"/>
    <w:next w:val="Normal"/>
    <w:link w:val="Heading5Char"/>
    <w:uiPriority w:val="9"/>
    <w:semiHidden/>
    <w:unhideWhenUsed/>
    <w:qFormat/>
    <w:rsid w:val="00B13CC9"/>
    <w:pPr>
      <w:keepNext/>
      <w:keepLines/>
      <w:numPr>
        <w:ilvl w:val="4"/>
        <w:numId w:val="16"/>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13CC9"/>
    <w:pPr>
      <w:keepNext/>
      <w:keepLines/>
      <w:numPr>
        <w:ilvl w:val="5"/>
        <w:numId w:val="1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B13CC9"/>
    <w:pPr>
      <w:keepNext/>
      <w:keepLines/>
      <w:numPr>
        <w:ilvl w:val="6"/>
        <w:numId w:val="1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13CC9"/>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13CC9"/>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F70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F701C"/>
  </w:style>
  <w:style w:type="character" w:customStyle="1" w:styleId="eop">
    <w:name w:val="eop"/>
    <w:basedOn w:val="DefaultParagraphFont"/>
    <w:rsid w:val="001F701C"/>
  </w:style>
  <w:style w:type="character" w:styleId="Strong">
    <w:name w:val="Strong"/>
    <w:basedOn w:val="DefaultParagraphFont"/>
    <w:uiPriority w:val="22"/>
    <w:qFormat/>
    <w:rsid w:val="00A57B07"/>
    <w:rPr>
      <w:b/>
      <w:bCs/>
    </w:rPr>
  </w:style>
  <w:style w:type="paragraph" w:styleId="NormalWeb">
    <w:name w:val="Normal (Web)"/>
    <w:basedOn w:val="Normal"/>
    <w:uiPriority w:val="99"/>
    <w:unhideWhenUsed/>
    <w:rsid w:val="00A054A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C173D"/>
    <w:pPr>
      <w:ind w:left="720"/>
      <w:contextualSpacing/>
    </w:pPr>
  </w:style>
  <w:style w:type="character" w:customStyle="1" w:styleId="Heading2Char">
    <w:name w:val="Heading 2 Char"/>
    <w:basedOn w:val="DefaultParagraphFont"/>
    <w:link w:val="Heading2"/>
    <w:uiPriority w:val="9"/>
    <w:rsid w:val="00160D48"/>
    <w:rPr>
      <w:rFonts w:eastAsiaTheme="majorEastAsia" w:cstheme="majorBidi"/>
      <w:b/>
      <w:sz w:val="24"/>
      <w:szCs w:val="26"/>
    </w:rPr>
  </w:style>
  <w:style w:type="character" w:customStyle="1" w:styleId="Heading1Char">
    <w:name w:val="Heading 1 Char"/>
    <w:basedOn w:val="DefaultParagraphFont"/>
    <w:link w:val="Heading1"/>
    <w:uiPriority w:val="9"/>
    <w:rsid w:val="00EF2FBC"/>
    <w:rPr>
      <w:rFonts w:asciiTheme="majorBidi" w:eastAsia="Calibri" w:hAnsiTheme="majorBidi" w:cstheme="majorBidi"/>
      <w:b/>
      <w:sz w:val="24"/>
      <w:szCs w:val="24"/>
      <w:lang w:val="en-US"/>
    </w:rPr>
  </w:style>
  <w:style w:type="character" w:customStyle="1" w:styleId="Heading3Char">
    <w:name w:val="Heading 3 Char"/>
    <w:basedOn w:val="DefaultParagraphFont"/>
    <w:link w:val="Heading3"/>
    <w:uiPriority w:val="9"/>
    <w:rsid w:val="00160D48"/>
    <w:rPr>
      <w:rFonts w:eastAsiaTheme="majorEastAsia" w:cstheme="majorBidi"/>
      <w:b/>
      <w:sz w:val="24"/>
      <w:szCs w:val="24"/>
    </w:rPr>
  </w:style>
  <w:style w:type="character" w:customStyle="1" w:styleId="Heading4Char">
    <w:name w:val="Heading 4 Char"/>
    <w:basedOn w:val="DefaultParagraphFont"/>
    <w:link w:val="Heading4"/>
    <w:uiPriority w:val="9"/>
    <w:rsid w:val="002308F8"/>
    <w:rPr>
      <w:rFonts w:ascii="Times New Roman" w:eastAsiaTheme="majorEastAsia" w:hAnsi="Times New Roman" w:cs="Times New Roman"/>
      <w:b/>
      <w:iCs/>
      <w:sz w:val="24"/>
      <w:lang w:val="en-US"/>
    </w:rPr>
  </w:style>
  <w:style w:type="character" w:customStyle="1" w:styleId="Heading5Char">
    <w:name w:val="Heading 5 Char"/>
    <w:basedOn w:val="DefaultParagraphFont"/>
    <w:link w:val="Heading5"/>
    <w:uiPriority w:val="9"/>
    <w:semiHidden/>
    <w:rsid w:val="00B13CC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B13CC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B13CC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B13CC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13CC9"/>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C05E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EA9"/>
    <w:rPr>
      <w:rFonts w:ascii="Segoe UI" w:hAnsi="Segoe UI" w:cs="Segoe UI"/>
      <w:sz w:val="18"/>
      <w:szCs w:val="18"/>
    </w:rPr>
  </w:style>
  <w:style w:type="paragraph" w:styleId="Header">
    <w:name w:val="header"/>
    <w:basedOn w:val="Normal"/>
    <w:link w:val="HeaderChar"/>
    <w:uiPriority w:val="99"/>
    <w:unhideWhenUsed/>
    <w:rsid w:val="00C51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1838"/>
  </w:style>
  <w:style w:type="paragraph" w:styleId="Footer">
    <w:name w:val="footer"/>
    <w:basedOn w:val="Normal"/>
    <w:link w:val="FooterChar"/>
    <w:uiPriority w:val="99"/>
    <w:unhideWhenUsed/>
    <w:rsid w:val="00C51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1838"/>
  </w:style>
  <w:style w:type="character" w:styleId="CommentReference">
    <w:name w:val="annotation reference"/>
    <w:basedOn w:val="DefaultParagraphFont"/>
    <w:unhideWhenUsed/>
    <w:rsid w:val="00FC1E64"/>
    <w:rPr>
      <w:sz w:val="16"/>
      <w:szCs w:val="16"/>
    </w:rPr>
  </w:style>
  <w:style w:type="paragraph" w:styleId="CommentText">
    <w:name w:val="annotation text"/>
    <w:basedOn w:val="Normal"/>
    <w:link w:val="CommentTextChar"/>
    <w:uiPriority w:val="99"/>
    <w:semiHidden/>
    <w:unhideWhenUsed/>
    <w:rsid w:val="00FC1E64"/>
    <w:pPr>
      <w:spacing w:line="240" w:lineRule="auto"/>
    </w:pPr>
    <w:rPr>
      <w:sz w:val="20"/>
      <w:szCs w:val="20"/>
    </w:rPr>
  </w:style>
  <w:style w:type="character" w:customStyle="1" w:styleId="CommentTextChar">
    <w:name w:val="Comment Text Char"/>
    <w:basedOn w:val="DefaultParagraphFont"/>
    <w:link w:val="CommentText"/>
    <w:uiPriority w:val="99"/>
    <w:semiHidden/>
    <w:rsid w:val="00FC1E64"/>
    <w:rPr>
      <w:sz w:val="20"/>
      <w:szCs w:val="20"/>
    </w:rPr>
  </w:style>
  <w:style w:type="paragraph" w:styleId="CommentSubject">
    <w:name w:val="annotation subject"/>
    <w:basedOn w:val="CommentText"/>
    <w:next w:val="CommentText"/>
    <w:link w:val="CommentSubjectChar"/>
    <w:uiPriority w:val="99"/>
    <w:semiHidden/>
    <w:unhideWhenUsed/>
    <w:rsid w:val="00FC1E64"/>
    <w:rPr>
      <w:b/>
      <w:bCs/>
    </w:rPr>
  </w:style>
  <w:style w:type="character" w:customStyle="1" w:styleId="CommentSubjectChar">
    <w:name w:val="Comment Subject Char"/>
    <w:basedOn w:val="CommentTextChar"/>
    <w:link w:val="CommentSubject"/>
    <w:uiPriority w:val="99"/>
    <w:semiHidden/>
    <w:rsid w:val="00FC1E64"/>
    <w:rPr>
      <w:b/>
      <w:bCs/>
      <w:sz w:val="20"/>
      <w:szCs w:val="20"/>
    </w:rPr>
  </w:style>
  <w:style w:type="paragraph" w:styleId="Caption">
    <w:name w:val="caption"/>
    <w:basedOn w:val="Normal"/>
    <w:next w:val="Normal"/>
    <w:uiPriority w:val="35"/>
    <w:unhideWhenUsed/>
    <w:qFormat/>
    <w:rsid w:val="00747D7C"/>
    <w:pPr>
      <w:spacing w:after="200" w:line="360" w:lineRule="auto"/>
    </w:pPr>
    <w:rPr>
      <w:iCs/>
      <w:lang w:val="en-US"/>
    </w:rPr>
  </w:style>
  <w:style w:type="paragraph" w:styleId="Revision">
    <w:name w:val="Revision"/>
    <w:hidden/>
    <w:uiPriority w:val="99"/>
    <w:semiHidden/>
    <w:rsid w:val="005D586B"/>
    <w:pPr>
      <w:spacing w:after="0" w:line="240" w:lineRule="auto"/>
    </w:pPr>
  </w:style>
  <w:style w:type="character" w:styleId="Hyperlink">
    <w:name w:val="Hyperlink"/>
    <w:basedOn w:val="DefaultParagraphFont"/>
    <w:uiPriority w:val="99"/>
    <w:semiHidden/>
    <w:unhideWhenUsed/>
    <w:rsid w:val="00F560D0"/>
    <w:rPr>
      <w:color w:val="0000FF"/>
      <w:u w:val="single"/>
    </w:rPr>
  </w:style>
  <w:style w:type="character" w:styleId="Emphasis">
    <w:name w:val="Emphasis"/>
    <w:basedOn w:val="DefaultParagraphFont"/>
    <w:uiPriority w:val="20"/>
    <w:qFormat/>
    <w:rsid w:val="007A6323"/>
    <w:rPr>
      <w:i/>
      <w:iCs/>
    </w:rPr>
  </w:style>
  <w:style w:type="character" w:styleId="LineNumber">
    <w:name w:val="line number"/>
    <w:basedOn w:val="DefaultParagraphFont"/>
    <w:uiPriority w:val="99"/>
    <w:semiHidden/>
    <w:unhideWhenUsed/>
    <w:rsid w:val="00032C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76835">
      <w:bodyDiv w:val="1"/>
      <w:marLeft w:val="0"/>
      <w:marRight w:val="0"/>
      <w:marTop w:val="0"/>
      <w:marBottom w:val="0"/>
      <w:divBdr>
        <w:top w:val="none" w:sz="0" w:space="0" w:color="auto"/>
        <w:left w:val="none" w:sz="0" w:space="0" w:color="auto"/>
        <w:bottom w:val="none" w:sz="0" w:space="0" w:color="auto"/>
        <w:right w:val="none" w:sz="0" w:space="0" w:color="auto"/>
      </w:divBdr>
      <w:divsChild>
        <w:div w:id="1403680112">
          <w:marLeft w:val="0"/>
          <w:marRight w:val="0"/>
          <w:marTop w:val="0"/>
          <w:marBottom w:val="0"/>
          <w:divBdr>
            <w:top w:val="none" w:sz="0" w:space="0" w:color="auto"/>
            <w:left w:val="none" w:sz="0" w:space="0" w:color="auto"/>
            <w:bottom w:val="none" w:sz="0" w:space="0" w:color="auto"/>
            <w:right w:val="none" w:sz="0" w:space="0" w:color="auto"/>
          </w:divBdr>
        </w:div>
      </w:divsChild>
    </w:div>
    <w:div w:id="126752002">
      <w:bodyDiv w:val="1"/>
      <w:marLeft w:val="0"/>
      <w:marRight w:val="0"/>
      <w:marTop w:val="0"/>
      <w:marBottom w:val="0"/>
      <w:divBdr>
        <w:top w:val="none" w:sz="0" w:space="0" w:color="auto"/>
        <w:left w:val="none" w:sz="0" w:space="0" w:color="auto"/>
        <w:bottom w:val="none" w:sz="0" w:space="0" w:color="auto"/>
        <w:right w:val="none" w:sz="0" w:space="0" w:color="auto"/>
      </w:divBdr>
      <w:divsChild>
        <w:div w:id="762381252">
          <w:marLeft w:val="0"/>
          <w:marRight w:val="0"/>
          <w:marTop w:val="0"/>
          <w:marBottom w:val="0"/>
          <w:divBdr>
            <w:top w:val="none" w:sz="0" w:space="0" w:color="auto"/>
            <w:left w:val="none" w:sz="0" w:space="0" w:color="auto"/>
            <w:bottom w:val="none" w:sz="0" w:space="0" w:color="auto"/>
            <w:right w:val="none" w:sz="0" w:space="0" w:color="auto"/>
          </w:divBdr>
          <w:divsChild>
            <w:div w:id="404953755">
              <w:marLeft w:val="0"/>
              <w:marRight w:val="0"/>
              <w:marTop w:val="0"/>
              <w:marBottom w:val="0"/>
              <w:divBdr>
                <w:top w:val="none" w:sz="0" w:space="0" w:color="auto"/>
                <w:left w:val="none" w:sz="0" w:space="0" w:color="auto"/>
                <w:bottom w:val="none" w:sz="0" w:space="0" w:color="auto"/>
                <w:right w:val="none" w:sz="0" w:space="0" w:color="auto"/>
              </w:divBdr>
              <w:divsChild>
                <w:div w:id="934750161">
                  <w:marLeft w:val="0"/>
                  <w:marRight w:val="0"/>
                  <w:marTop w:val="0"/>
                  <w:marBottom w:val="0"/>
                  <w:divBdr>
                    <w:top w:val="none" w:sz="0" w:space="0" w:color="auto"/>
                    <w:left w:val="none" w:sz="0" w:space="0" w:color="auto"/>
                    <w:bottom w:val="none" w:sz="0" w:space="0" w:color="auto"/>
                    <w:right w:val="none" w:sz="0" w:space="0" w:color="auto"/>
                  </w:divBdr>
                  <w:divsChild>
                    <w:div w:id="866527817">
                      <w:marLeft w:val="0"/>
                      <w:marRight w:val="0"/>
                      <w:marTop w:val="0"/>
                      <w:marBottom w:val="0"/>
                      <w:divBdr>
                        <w:top w:val="none" w:sz="0" w:space="0" w:color="auto"/>
                        <w:left w:val="none" w:sz="0" w:space="0" w:color="auto"/>
                        <w:bottom w:val="none" w:sz="0" w:space="0" w:color="auto"/>
                        <w:right w:val="none" w:sz="0" w:space="0" w:color="auto"/>
                      </w:divBdr>
                      <w:divsChild>
                        <w:div w:id="1364938992">
                          <w:marLeft w:val="0"/>
                          <w:marRight w:val="0"/>
                          <w:marTop w:val="0"/>
                          <w:marBottom w:val="0"/>
                          <w:divBdr>
                            <w:top w:val="none" w:sz="0" w:space="0" w:color="auto"/>
                            <w:left w:val="none" w:sz="0" w:space="0" w:color="auto"/>
                            <w:bottom w:val="none" w:sz="0" w:space="0" w:color="auto"/>
                            <w:right w:val="none" w:sz="0" w:space="0" w:color="auto"/>
                          </w:divBdr>
                          <w:divsChild>
                            <w:div w:id="1617560909">
                              <w:marLeft w:val="0"/>
                              <w:marRight w:val="0"/>
                              <w:marTop w:val="0"/>
                              <w:marBottom w:val="0"/>
                              <w:divBdr>
                                <w:top w:val="none" w:sz="0" w:space="0" w:color="auto"/>
                                <w:left w:val="none" w:sz="0" w:space="0" w:color="auto"/>
                                <w:bottom w:val="none" w:sz="0" w:space="0" w:color="auto"/>
                                <w:right w:val="none" w:sz="0" w:space="0" w:color="auto"/>
                              </w:divBdr>
                              <w:divsChild>
                                <w:div w:id="710689886">
                                  <w:marLeft w:val="0"/>
                                  <w:marRight w:val="0"/>
                                  <w:marTop w:val="0"/>
                                  <w:marBottom w:val="0"/>
                                  <w:divBdr>
                                    <w:top w:val="none" w:sz="0" w:space="0" w:color="auto"/>
                                    <w:left w:val="none" w:sz="0" w:space="0" w:color="auto"/>
                                    <w:bottom w:val="none" w:sz="0" w:space="0" w:color="auto"/>
                                    <w:right w:val="none" w:sz="0" w:space="0" w:color="auto"/>
                                  </w:divBdr>
                                  <w:divsChild>
                                    <w:div w:id="484248341">
                                      <w:marLeft w:val="0"/>
                                      <w:marRight w:val="0"/>
                                      <w:marTop w:val="0"/>
                                      <w:marBottom w:val="0"/>
                                      <w:divBdr>
                                        <w:top w:val="none" w:sz="0" w:space="0" w:color="auto"/>
                                        <w:left w:val="none" w:sz="0" w:space="0" w:color="auto"/>
                                        <w:bottom w:val="none" w:sz="0" w:space="0" w:color="auto"/>
                                        <w:right w:val="none" w:sz="0" w:space="0" w:color="auto"/>
                                      </w:divBdr>
                                      <w:divsChild>
                                        <w:div w:id="851798227">
                                          <w:marLeft w:val="0"/>
                                          <w:marRight w:val="0"/>
                                          <w:marTop w:val="0"/>
                                          <w:marBottom w:val="0"/>
                                          <w:divBdr>
                                            <w:top w:val="none" w:sz="0" w:space="0" w:color="auto"/>
                                            <w:left w:val="none" w:sz="0" w:space="0" w:color="auto"/>
                                            <w:bottom w:val="none" w:sz="0" w:space="0" w:color="auto"/>
                                            <w:right w:val="none" w:sz="0" w:space="0" w:color="auto"/>
                                          </w:divBdr>
                                          <w:divsChild>
                                            <w:div w:id="2092695990">
                                              <w:marLeft w:val="0"/>
                                              <w:marRight w:val="0"/>
                                              <w:marTop w:val="0"/>
                                              <w:marBottom w:val="0"/>
                                              <w:divBdr>
                                                <w:top w:val="none" w:sz="0" w:space="0" w:color="auto"/>
                                                <w:left w:val="none" w:sz="0" w:space="0" w:color="auto"/>
                                                <w:bottom w:val="none" w:sz="0" w:space="0" w:color="auto"/>
                                                <w:right w:val="none" w:sz="0" w:space="0" w:color="auto"/>
                                              </w:divBdr>
                                              <w:divsChild>
                                                <w:div w:id="975111855">
                                                  <w:marLeft w:val="0"/>
                                                  <w:marRight w:val="0"/>
                                                  <w:marTop w:val="0"/>
                                                  <w:marBottom w:val="0"/>
                                                  <w:divBdr>
                                                    <w:top w:val="none" w:sz="0" w:space="0" w:color="auto"/>
                                                    <w:left w:val="none" w:sz="0" w:space="0" w:color="auto"/>
                                                    <w:bottom w:val="none" w:sz="0" w:space="0" w:color="auto"/>
                                                    <w:right w:val="none" w:sz="0" w:space="0" w:color="auto"/>
                                                  </w:divBdr>
                                                  <w:divsChild>
                                                    <w:div w:id="1528254498">
                                                      <w:marLeft w:val="4725"/>
                                                      <w:marRight w:val="0"/>
                                                      <w:marTop w:val="0"/>
                                                      <w:marBottom w:val="0"/>
                                                      <w:divBdr>
                                                        <w:top w:val="single" w:sz="12" w:space="0" w:color="auto"/>
                                                        <w:left w:val="none" w:sz="0" w:space="0" w:color="auto"/>
                                                        <w:bottom w:val="single" w:sz="6" w:space="0" w:color="auto"/>
                                                        <w:right w:val="none" w:sz="0" w:space="0" w:color="auto"/>
                                                      </w:divBdr>
                                                      <w:divsChild>
                                                        <w:div w:id="350224940">
                                                          <w:marLeft w:val="0"/>
                                                          <w:marRight w:val="0"/>
                                                          <w:marTop w:val="0"/>
                                                          <w:marBottom w:val="0"/>
                                                          <w:divBdr>
                                                            <w:top w:val="none" w:sz="0" w:space="0" w:color="auto"/>
                                                            <w:left w:val="none" w:sz="0" w:space="0" w:color="auto"/>
                                                            <w:bottom w:val="none" w:sz="0" w:space="0" w:color="auto"/>
                                                            <w:right w:val="none" w:sz="0" w:space="0" w:color="auto"/>
                                                          </w:divBdr>
                                                          <w:divsChild>
                                                            <w:div w:id="343829058">
                                                              <w:marLeft w:val="0"/>
                                                              <w:marRight w:val="0"/>
                                                              <w:marTop w:val="0"/>
                                                              <w:marBottom w:val="0"/>
                                                              <w:divBdr>
                                                                <w:top w:val="none" w:sz="0" w:space="0" w:color="auto"/>
                                                                <w:left w:val="none" w:sz="0" w:space="0" w:color="auto"/>
                                                                <w:bottom w:val="none" w:sz="0" w:space="0" w:color="auto"/>
                                                                <w:right w:val="none" w:sz="0" w:space="0" w:color="auto"/>
                                                              </w:divBdr>
                                                              <w:divsChild>
                                                                <w:div w:id="1984039697">
                                                                  <w:marLeft w:val="0"/>
                                                                  <w:marRight w:val="0"/>
                                                                  <w:marTop w:val="0"/>
                                                                  <w:marBottom w:val="0"/>
                                                                  <w:divBdr>
                                                                    <w:top w:val="none" w:sz="0" w:space="0" w:color="auto"/>
                                                                    <w:left w:val="none" w:sz="0" w:space="0" w:color="auto"/>
                                                                    <w:bottom w:val="none" w:sz="0" w:space="0" w:color="auto"/>
                                                                    <w:right w:val="none" w:sz="0" w:space="0" w:color="auto"/>
                                                                  </w:divBdr>
                                                                  <w:divsChild>
                                                                    <w:div w:id="1108811828">
                                                                      <w:marLeft w:val="0"/>
                                                                      <w:marRight w:val="0"/>
                                                                      <w:marTop w:val="0"/>
                                                                      <w:marBottom w:val="0"/>
                                                                      <w:divBdr>
                                                                        <w:top w:val="none" w:sz="0" w:space="0" w:color="auto"/>
                                                                        <w:left w:val="none" w:sz="0" w:space="0" w:color="auto"/>
                                                                        <w:bottom w:val="none" w:sz="0" w:space="0" w:color="auto"/>
                                                                        <w:right w:val="none" w:sz="0" w:space="0" w:color="auto"/>
                                                                      </w:divBdr>
                                                                      <w:divsChild>
                                                                        <w:div w:id="501354649">
                                                                          <w:marLeft w:val="-75"/>
                                                                          <w:marRight w:val="0"/>
                                                                          <w:marTop w:val="30"/>
                                                                          <w:marBottom w:val="30"/>
                                                                          <w:divBdr>
                                                                            <w:top w:val="none" w:sz="0" w:space="0" w:color="auto"/>
                                                                            <w:left w:val="none" w:sz="0" w:space="0" w:color="auto"/>
                                                                            <w:bottom w:val="none" w:sz="0" w:space="0" w:color="auto"/>
                                                                            <w:right w:val="none" w:sz="0" w:space="0" w:color="auto"/>
                                                                          </w:divBdr>
                                                                          <w:divsChild>
                                                                            <w:div w:id="1271739235">
                                                                              <w:marLeft w:val="0"/>
                                                                              <w:marRight w:val="0"/>
                                                                              <w:marTop w:val="0"/>
                                                                              <w:marBottom w:val="0"/>
                                                                              <w:divBdr>
                                                                                <w:top w:val="none" w:sz="0" w:space="0" w:color="auto"/>
                                                                                <w:left w:val="none" w:sz="0" w:space="0" w:color="auto"/>
                                                                                <w:bottom w:val="none" w:sz="0" w:space="0" w:color="auto"/>
                                                                                <w:right w:val="none" w:sz="0" w:space="0" w:color="auto"/>
                                                                              </w:divBdr>
                                                                              <w:divsChild>
                                                                                <w:div w:id="1484353249">
                                                                                  <w:marLeft w:val="0"/>
                                                                                  <w:marRight w:val="0"/>
                                                                                  <w:marTop w:val="0"/>
                                                                                  <w:marBottom w:val="0"/>
                                                                                  <w:divBdr>
                                                                                    <w:top w:val="none" w:sz="0" w:space="0" w:color="auto"/>
                                                                                    <w:left w:val="none" w:sz="0" w:space="0" w:color="auto"/>
                                                                                    <w:bottom w:val="none" w:sz="0" w:space="0" w:color="auto"/>
                                                                                    <w:right w:val="none" w:sz="0" w:space="0" w:color="auto"/>
                                                                                  </w:divBdr>
                                                                                  <w:divsChild>
                                                                                    <w:div w:id="501359330">
                                                                                      <w:marLeft w:val="0"/>
                                                                                      <w:marRight w:val="0"/>
                                                                                      <w:marTop w:val="0"/>
                                                                                      <w:marBottom w:val="0"/>
                                                                                      <w:divBdr>
                                                                                        <w:top w:val="none" w:sz="0" w:space="0" w:color="auto"/>
                                                                                        <w:left w:val="none" w:sz="0" w:space="0" w:color="auto"/>
                                                                                        <w:bottom w:val="none" w:sz="0" w:space="0" w:color="auto"/>
                                                                                        <w:right w:val="none" w:sz="0" w:space="0" w:color="auto"/>
                                                                                      </w:divBdr>
                                                                                      <w:divsChild>
                                                                                        <w:div w:id="876510084">
                                                                                          <w:marLeft w:val="0"/>
                                                                                          <w:marRight w:val="0"/>
                                                                                          <w:marTop w:val="0"/>
                                                                                          <w:marBottom w:val="0"/>
                                                                                          <w:divBdr>
                                                                                            <w:top w:val="none" w:sz="0" w:space="0" w:color="auto"/>
                                                                                            <w:left w:val="none" w:sz="0" w:space="0" w:color="auto"/>
                                                                                            <w:bottom w:val="none" w:sz="0" w:space="0" w:color="auto"/>
                                                                                            <w:right w:val="none" w:sz="0" w:space="0" w:color="auto"/>
                                                                                          </w:divBdr>
                                                                                          <w:divsChild>
                                                                                            <w:div w:id="83504028">
                                                                                              <w:marLeft w:val="0"/>
                                                                                              <w:marRight w:val="0"/>
                                                                                              <w:marTop w:val="0"/>
                                                                                              <w:marBottom w:val="0"/>
                                                                                              <w:divBdr>
                                                                                                <w:top w:val="none" w:sz="0" w:space="0" w:color="auto"/>
                                                                                                <w:left w:val="none" w:sz="0" w:space="0" w:color="auto"/>
                                                                                                <w:bottom w:val="none" w:sz="0" w:space="0" w:color="auto"/>
                                                                                                <w:right w:val="none" w:sz="0" w:space="0" w:color="auto"/>
                                                                                              </w:divBdr>
                                                                                            </w:div>
                                                                                            <w:div w:id="334773301">
                                                                                              <w:marLeft w:val="0"/>
                                                                                              <w:marRight w:val="0"/>
                                                                                              <w:marTop w:val="0"/>
                                                                                              <w:marBottom w:val="0"/>
                                                                                              <w:divBdr>
                                                                                                <w:top w:val="none" w:sz="0" w:space="0" w:color="auto"/>
                                                                                                <w:left w:val="none" w:sz="0" w:space="0" w:color="auto"/>
                                                                                                <w:bottom w:val="none" w:sz="0" w:space="0" w:color="auto"/>
                                                                                                <w:right w:val="none" w:sz="0" w:space="0" w:color="auto"/>
                                                                                              </w:divBdr>
                                                                                              <w:divsChild>
                                                                                                <w:div w:id="1303192275">
                                                                                                  <w:marLeft w:val="0"/>
                                                                                                  <w:marRight w:val="0"/>
                                                                                                  <w:marTop w:val="0"/>
                                                                                                  <w:marBottom w:val="0"/>
                                                                                                  <w:divBdr>
                                                                                                    <w:top w:val="none" w:sz="0" w:space="0" w:color="auto"/>
                                                                                                    <w:left w:val="none" w:sz="0" w:space="0" w:color="auto"/>
                                                                                                    <w:bottom w:val="none" w:sz="0" w:space="0" w:color="auto"/>
                                                                                                    <w:right w:val="none" w:sz="0" w:space="0" w:color="auto"/>
                                                                                                  </w:divBdr>
                                                                                                </w:div>
                                                                                                <w:div w:id="1467970360">
                                                                                                  <w:marLeft w:val="0"/>
                                                                                                  <w:marRight w:val="0"/>
                                                                                                  <w:marTop w:val="0"/>
                                                                                                  <w:marBottom w:val="0"/>
                                                                                                  <w:divBdr>
                                                                                                    <w:top w:val="none" w:sz="0" w:space="0" w:color="auto"/>
                                                                                                    <w:left w:val="none" w:sz="0" w:space="0" w:color="auto"/>
                                                                                                    <w:bottom w:val="none" w:sz="0" w:space="0" w:color="auto"/>
                                                                                                    <w:right w:val="none" w:sz="0" w:space="0" w:color="auto"/>
                                                                                                  </w:divBdr>
                                                                                                </w:div>
                                                                                                <w:div w:id="1530679454">
                                                                                                  <w:marLeft w:val="0"/>
                                                                                                  <w:marRight w:val="0"/>
                                                                                                  <w:marTop w:val="0"/>
                                                                                                  <w:marBottom w:val="0"/>
                                                                                                  <w:divBdr>
                                                                                                    <w:top w:val="none" w:sz="0" w:space="0" w:color="auto"/>
                                                                                                    <w:left w:val="none" w:sz="0" w:space="0" w:color="auto"/>
                                                                                                    <w:bottom w:val="none" w:sz="0" w:space="0" w:color="auto"/>
                                                                                                    <w:right w:val="none" w:sz="0" w:space="0" w:color="auto"/>
                                                                                                  </w:divBdr>
                                                                                                </w:div>
                                                                                                <w:div w:id="1934319325">
                                                                                                  <w:marLeft w:val="0"/>
                                                                                                  <w:marRight w:val="0"/>
                                                                                                  <w:marTop w:val="0"/>
                                                                                                  <w:marBottom w:val="0"/>
                                                                                                  <w:divBdr>
                                                                                                    <w:top w:val="none" w:sz="0" w:space="0" w:color="auto"/>
                                                                                                    <w:left w:val="none" w:sz="0" w:space="0" w:color="auto"/>
                                                                                                    <w:bottom w:val="none" w:sz="0" w:space="0" w:color="auto"/>
                                                                                                    <w:right w:val="none" w:sz="0" w:space="0" w:color="auto"/>
                                                                                                  </w:divBdr>
                                                                                                </w:div>
                                                                                                <w:div w:id="2071533110">
                                                                                                  <w:marLeft w:val="0"/>
                                                                                                  <w:marRight w:val="0"/>
                                                                                                  <w:marTop w:val="0"/>
                                                                                                  <w:marBottom w:val="0"/>
                                                                                                  <w:divBdr>
                                                                                                    <w:top w:val="none" w:sz="0" w:space="0" w:color="auto"/>
                                                                                                    <w:left w:val="none" w:sz="0" w:space="0" w:color="auto"/>
                                                                                                    <w:bottom w:val="none" w:sz="0" w:space="0" w:color="auto"/>
                                                                                                    <w:right w:val="none" w:sz="0" w:space="0" w:color="auto"/>
                                                                                                  </w:divBdr>
                                                                                                </w:div>
                                                                                              </w:divsChild>
                                                                                            </w:div>
                                                                                            <w:div w:id="673655629">
                                                                                              <w:marLeft w:val="0"/>
                                                                                              <w:marRight w:val="0"/>
                                                                                              <w:marTop w:val="0"/>
                                                                                              <w:marBottom w:val="0"/>
                                                                                              <w:divBdr>
                                                                                                <w:top w:val="none" w:sz="0" w:space="0" w:color="auto"/>
                                                                                                <w:left w:val="none" w:sz="0" w:space="0" w:color="auto"/>
                                                                                                <w:bottom w:val="none" w:sz="0" w:space="0" w:color="auto"/>
                                                                                                <w:right w:val="none" w:sz="0" w:space="0" w:color="auto"/>
                                                                                              </w:divBdr>
                                                                                              <w:divsChild>
                                                                                                <w:div w:id="127359715">
                                                                                                  <w:marLeft w:val="0"/>
                                                                                                  <w:marRight w:val="0"/>
                                                                                                  <w:marTop w:val="0"/>
                                                                                                  <w:marBottom w:val="0"/>
                                                                                                  <w:divBdr>
                                                                                                    <w:top w:val="none" w:sz="0" w:space="0" w:color="auto"/>
                                                                                                    <w:left w:val="none" w:sz="0" w:space="0" w:color="auto"/>
                                                                                                    <w:bottom w:val="none" w:sz="0" w:space="0" w:color="auto"/>
                                                                                                    <w:right w:val="none" w:sz="0" w:space="0" w:color="auto"/>
                                                                                                  </w:divBdr>
                                                                                                </w:div>
                                                                                                <w:div w:id="1460686640">
                                                                                                  <w:marLeft w:val="0"/>
                                                                                                  <w:marRight w:val="0"/>
                                                                                                  <w:marTop w:val="0"/>
                                                                                                  <w:marBottom w:val="0"/>
                                                                                                  <w:divBdr>
                                                                                                    <w:top w:val="none" w:sz="0" w:space="0" w:color="auto"/>
                                                                                                    <w:left w:val="none" w:sz="0" w:space="0" w:color="auto"/>
                                                                                                    <w:bottom w:val="none" w:sz="0" w:space="0" w:color="auto"/>
                                                                                                    <w:right w:val="none" w:sz="0" w:space="0" w:color="auto"/>
                                                                                                  </w:divBdr>
                                                                                                </w:div>
                                                                                                <w:div w:id="1528181524">
                                                                                                  <w:marLeft w:val="0"/>
                                                                                                  <w:marRight w:val="0"/>
                                                                                                  <w:marTop w:val="0"/>
                                                                                                  <w:marBottom w:val="0"/>
                                                                                                  <w:divBdr>
                                                                                                    <w:top w:val="none" w:sz="0" w:space="0" w:color="auto"/>
                                                                                                    <w:left w:val="none" w:sz="0" w:space="0" w:color="auto"/>
                                                                                                    <w:bottom w:val="none" w:sz="0" w:space="0" w:color="auto"/>
                                                                                                    <w:right w:val="none" w:sz="0" w:space="0" w:color="auto"/>
                                                                                                  </w:divBdr>
                                                                                                </w:div>
                                                                                                <w:div w:id="1970625169">
                                                                                                  <w:marLeft w:val="0"/>
                                                                                                  <w:marRight w:val="0"/>
                                                                                                  <w:marTop w:val="0"/>
                                                                                                  <w:marBottom w:val="0"/>
                                                                                                  <w:divBdr>
                                                                                                    <w:top w:val="none" w:sz="0" w:space="0" w:color="auto"/>
                                                                                                    <w:left w:val="none" w:sz="0" w:space="0" w:color="auto"/>
                                                                                                    <w:bottom w:val="none" w:sz="0" w:space="0" w:color="auto"/>
                                                                                                    <w:right w:val="none" w:sz="0" w:space="0" w:color="auto"/>
                                                                                                  </w:divBdr>
                                                                                                </w:div>
                                                                                                <w:div w:id="2043551325">
                                                                                                  <w:marLeft w:val="0"/>
                                                                                                  <w:marRight w:val="0"/>
                                                                                                  <w:marTop w:val="0"/>
                                                                                                  <w:marBottom w:val="0"/>
                                                                                                  <w:divBdr>
                                                                                                    <w:top w:val="none" w:sz="0" w:space="0" w:color="auto"/>
                                                                                                    <w:left w:val="none" w:sz="0" w:space="0" w:color="auto"/>
                                                                                                    <w:bottom w:val="none" w:sz="0" w:space="0" w:color="auto"/>
                                                                                                    <w:right w:val="none" w:sz="0" w:space="0" w:color="auto"/>
                                                                                                  </w:divBdr>
                                                                                                </w:div>
                                                                                              </w:divsChild>
                                                                                            </w:div>
                                                                                            <w:div w:id="985935945">
                                                                                              <w:marLeft w:val="0"/>
                                                                                              <w:marRight w:val="0"/>
                                                                                              <w:marTop w:val="0"/>
                                                                                              <w:marBottom w:val="0"/>
                                                                                              <w:divBdr>
                                                                                                <w:top w:val="none" w:sz="0" w:space="0" w:color="auto"/>
                                                                                                <w:left w:val="none" w:sz="0" w:space="0" w:color="auto"/>
                                                                                                <w:bottom w:val="none" w:sz="0" w:space="0" w:color="auto"/>
                                                                                                <w:right w:val="none" w:sz="0" w:space="0" w:color="auto"/>
                                                                                              </w:divBdr>
                                                                                              <w:divsChild>
                                                                                                <w:div w:id="189535062">
                                                                                                  <w:marLeft w:val="0"/>
                                                                                                  <w:marRight w:val="0"/>
                                                                                                  <w:marTop w:val="0"/>
                                                                                                  <w:marBottom w:val="0"/>
                                                                                                  <w:divBdr>
                                                                                                    <w:top w:val="none" w:sz="0" w:space="0" w:color="auto"/>
                                                                                                    <w:left w:val="none" w:sz="0" w:space="0" w:color="auto"/>
                                                                                                    <w:bottom w:val="none" w:sz="0" w:space="0" w:color="auto"/>
                                                                                                    <w:right w:val="none" w:sz="0" w:space="0" w:color="auto"/>
                                                                                                  </w:divBdr>
                                                                                                </w:div>
                                                                                                <w:div w:id="756176246">
                                                                                                  <w:marLeft w:val="0"/>
                                                                                                  <w:marRight w:val="0"/>
                                                                                                  <w:marTop w:val="0"/>
                                                                                                  <w:marBottom w:val="0"/>
                                                                                                  <w:divBdr>
                                                                                                    <w:top w:val="none" w:sz="0" w:space="0" w:color="auto"/>
                                                                                                    <w:left w:val="none" w:sz="0" w:space="0" w:color="auto"/>
                                                                                                    <w:bottom w:val="none" w:sz="0" w:space="0" w:color="auto"/>
                                                                                                    <w:right w:val="none" w:sz="0" w:space="0" w:color="auto"/>
                                                                                                  </w:divBdr>
                                                                                                </w:div>
                                                                                                <w:div w:id="791368261">
                                                                                                  <w:marLeft w:val="0"/>
                                                                                                  <w:marRight w:val="0"/>
                                                                                                  <w:marTop w:val="0"/>
                                                                                                  <w:marBottom w:val="0"/>
                                                                                                  <w:divBdr>
                                                                                                    <w:top w:val="none" w:sz="0" w:space="0" w:color="auto"/>
                                                                                                    <w:left w:val="none" w:sz="0" w:space="0" w:color="auto"/>
                                                                                                    <w:bottom w:val="none" w:sz="0" w:space="0" w:color="auto"/>
                                                                                                    <w:right w:val="none" w:sz="0" w:space="0" w:color="auto"/>
                                                                                                  </w:divBdr>
                                                                                                </w:div>
                                                                                                <w:div w:id="1229993962">
                                                                                                  <w:marLeft w:val="0"/>
                                                                                                  <w:marRight w:val="0"/>
                                                                                                  <w:marTop w:val="0"/>
                                                                                                  <w:marBottom w:val="0"/>
                                                                                                  <w:divBdr>
                                                                                                    <w:top w:val="none" w:sz="0" w:space="0" w:color="auto"/>
                                                                                                    <w:left w:val="none" w:sz="0" w:space="0" w:color="auto"/>
                                                                                                    <w:bottom w:val="none" w:sz="0" w:space="0" w:color="auto"/>
                                                                                                    <w:right w:val="none" w:sz="0" w:space="0" w:color="auto"/>
                                                                                                  </w:divBdr>
                                                                                                </w:div>
                                                                                                <w:div w:id="1278948033">
                                                                                                  <w:marLeft w:val="0"/>
                                                                                                  <w:marRight w:val="0"/>
                                                                                                  <w:marTop w:val="0"/>
                                                                                                  <w:marBottom w:val="0"/>
                                                                                                  <w:divBdr>
                                                                                                    <w:top w:val="none" w:sz="0" w:space="0" w:color="auto"/>
                                                                                                    <w:left w:val="none" w:sz="0" w:space="0" w:color="auto"/>
                                                                                                    <w:bottom w:val="none" w:sz="0" w:space="0" w:color="auto"/>
                                                                                                    <w:right w:val="none" w:sz="0" w:space="0" w:color="auto"/>
                                                                                                  </w:divBdr>
                                                                                                </w:div>
                                                                                              </w:divsChild>
                                                                                            </w:div>
                                                                                            <w:div w:id="1419398877">
                                                                                              <w:marLeft w:val="0"/>
                                                                                              <w:marRight w:val="0"/>
                                                                                              <w:marTop w:val="0"/>
                                                                                              <w:marBottom w:val="0"/>
                                                                                              <w:divBdr>
                                                                                                <w:top w:val="none" w:sz="0" w:space="0" w:color="auto"/>
                                                                                                <w:left w:val="none" w:sz="0" w:space="0" w:color="auto"/>
                                                                                                <w:bottom w:val="none" w:sz="0" w:space="0" w:color="auto"/>
                                                                                                <w:right w:val="none" w:sz="0" w:space="0" w:color="auto"/>
                                                                                              </w:divBdr>
                                                                                              <w:divsChild>
                                                                                                <w:div w:id="706684632">
                                                                                                  <w:marLeft w:val="0"/>
                                                                                                  <w:marRight w:val="0"/>
                                                                                                  <w:marTop w:val="0"/>
                                                                                                  <w:marBottom w:val="0"/>
                                                                                                  <w:divBdr>
                                                                                                    <w:top w:val="none" w:sz="0" w:space="0" w:color="auto"/>
                                                                                                    <w:left w:val="none" w:sz="0" w:space="0" w:color="auto"/>
                                                                                                    <w:bottom w:val="none" w:sz="0" w:space="0" w:color="auto"/>
                                                                                                    <w:right w:val="none" w:sz="0" w:space="0" w:color="auto"/>
                                                                                                  </w:divBdr>
                                                                                                </w:div>
                                                                                                <w:div w:id="968363088">
                                                                                                  <w:marLeft w:val="0"/>
                                                                                                  <w:marRight w:val="0"/>
                                                                                                  <w:marTop w:val="0"/>
                                                                                                  <w:marBottom w:val="0"/>
                                                                                                  <w:divBdr>
                                                                                                    <w:top w:val="none" w:sz="0" w:space="0" w:color="auto"/>
                                                                                                    <w:left w:val="none" w:sz="0" w:space="0" w:color="auto"/>
                                                                                                    <w:bottom w:val="none" w:sz="0" w:space="0" w:color="auto"/>
                                                                                                    <w:right w:val="none" w:sz="0" w:space="0" w:color="auto"/>
                                                                                                  </w:divBdr>
                                                                                                </w:div>
                                                                                                <w:div w:id="1260330769">
                                                                                                  <w:marLeft w:val="0"/>
                                                                                                  <w:marRight w:val="0"/>
                                                                                                  <w:marTop w:val="0"/>
                                                                                                  <w:marBottom w:val="0"/>
                                                                                                  <w:divBdr>
                                                                                                    <w:top w:val="none" w:sz="0" w:space="0" w:color="auto"/>
                                                                                                    <w:left w:val="none" w:sz="0" w:space="0" w:color="auto"/>
                                                                                                    <w:bottom w:val="none" w:sz="0" w:space="0" w:color="auto"/>
                                                                                                    <w:right w:val="none" w:sz="0" w:space="0" w:color="auto"/>
                                                                                                  </w:divBdr>
                                                                                                </w:div>
                                                                                                <w:div w:id="1339432288">
                                                                                                  <w:marLeft w:val="0"/>
                                                                                                  <w:marRight w:val="0"/>
                                                                                                  <w:marTop w:val="0"/>
                                                                                                  <w:marBottom w:val="0"/>
                                                                                                  <w:divBdr>
                                                                                                    <w:top w:val="none" w:sz="0" w:space="0" w:color="auto"/>
                                                                                                    <w:left w:val="none" w:sz="0" w:space="0" w:color="auto"/>
                                                                                                    <w:bottom w:val="none" w:sz="0" w:space="0" w:color="auto"/>
                                                                                                    <w:right w:val="none" w:sz="0" w:space="0" w:color="auto"/>
                                                                                                  </w:divBdr>
                                                                                                </w:div>
                                                                                                <w:div w:id="1670716563">
                                                                                                  <w:marLeft w:val="0"/>
                                                                                                  <w:marRight w:val="0"/>
                                                                                                  <w:marTop w:val="0"/>
                                                                                                  <w:marBottom w:val="0"/>
                                                                                                  <w:divBdr>
                                                                                                    <w:top w:val="none" w:sz="0" w:space="0" w:color="auto"/>
                                                                                                    <w:left w:val="none" w:sz="0" w:space="0" w:color="auto"/>
                                                                                                    <w:bottom w:val="none" w:sz="0" w:space="0" w:color="auto"/>
                                                                                                    <w:right w:val="none" w:sz="0" w:space="0" w:color="auto"/>
                                                                                                  </w:divBdr>
                                                                                                </w:div>
                                                                                              </w:divsChild>
                                                                                            </w:div>
                                                                                            <w:div w:id="1619526530">
                                                                                              <w:marLeft w:val="0"/>
                                                                                              <w:marRight w:val="0"/>
                                                                                              <w:marTop w:val="0"/>
                                                                                              <w:marBottom w:val="0"/>
                                                                                              <w:divBdr>
                                                                                                <w:top w:val="none" w:sz="0" w:space="0" w:color="auto"/>
                                                                                                <w:left w:val="none" w:sz="0" w:space="0" w:color="auto"/>
                                                                                                <w:bottom w:val="none" w:sz="0" w:space="0" w:color="auto"/>
                                                                                                <w:right w:val="none" w:sz="0" w:space="0" w:color="auto"/>
                                                                                              </w:divBdr>
                                                                                              <w:divsChild>
                                                                                                <w:div w:id="420028818">
                                                                                                  <w:marLeft w:val="0"/>
                                                                                                  <w:marRight w:val="0"/>
                                                                                                  <w:marTop w:val="0"/>
                                                                                                  <w:marBottom w:val="0"/>
                                                                                                  <w:divBdr>
                                                                                                    <w:top w:val="none" w:sz="0" w:space="0" w:color="auto"/>
                                                                                                    <w:left w:val="none" w:sz="0" w:space="0" w:color="auto"/>
                                                                                                    <w:bottom w:val="none" w:sz="0" w:space="0" w:color="auto"/>
                                                                                                    <w:right w:val="none" w:sz="0" w:space="0" w:color="auto"/>
                                                                                                  </w:divBdr>
                                                                                                </w:div>
                                                                                                <w:div w:id="1121343129">
                                                                                                  <w:marLeft w:val="0"/>
                                                                                                  <w:marRight w:val="0"/>
                                                                                                  <w:marTop w:val="0"/>
                                                                                                  <w:marBottom w:val="0"/>
                                                                                                  <w:divBdr>
                                                                                                    <w:top w:val="none" w:sz="0" w:space="0" w:color="auto"/>
                                                                                                    <w:left w:val="none" w:sz="0" w:space="0" w:color="auto"/>
                                                                                                    <w:bottom w:val="none" w:sz="0" w:space="0" w:color="auto"/>
                                                                                                    <w:right w:val="none" w:sz="0" w:space="0" w:color="auto"/>
                                                                                                  </w:divBdr>
                                                                                                </w:div>
                                                                                                <w:div w:id="1250238073">
                                                                                                  <w:marLeft w:val="0"/>
                                                                                                  <w:marRight w:val="0"/>
                                                                                                  <w:marTop w:val="0"/>
                                                                                                  <w:marBottom w:val="0"/>
                                                                                                  <w:divBdr>
                                                                                                    <w:top w:val="none" w:sz="0" w:space="0" w:color="auto"/>
                                                                                                    <w:left w:val="none" w:sz="0" w:space="0" w:color="auto"/>
                                                                                                    <w:bottom w:val="none" w:sz="0" w:space="0" w:color="auto"/>
                                                                                                    <w:right w:val="none" w:sz="0" w:space="0" w:color="auto"/>
                                                                                                  </w:divBdr>
                                                                                                </w:div>
                                                                                                <w:div w:id="1717124670">
                                                                                                  <w:marLeft w:val="0"/>
                                                                                                  <w:marRight w:val="0"/>
                                                                                                  <w:marTop w:val="0"/>
                                                                                                  <w:marBottom w:val="0"/>
                                                                                                  <w:divBdr>
                                                                                                    <w:top w:val="none" w:sz="0" w:space="0" w:color="auto"/>
                                                                                                    <w:left w:val="none" w:sz="0" w:space="0" w:color="auto"/>
                                                                                                    <w:bottom w:val="none" w:sz="0" w:space="0" w:color="auto"/>
                                                                                                    <w:right w:val="none" w:sz="0" w:space="0" w:color="auto"/>
                                                                                                  </w:divBdr>
                                                                                                </w:div>
                                                                                                <w:div w:id="1831364885">
                                                                                                  <w:marLeft w:val="0"/>
                                                                                                  <w:marRight w:val="0"/>
                                                                                                  <w:marTop w:val="0"/>
                                                                                                  <w:marBottom w:val="0"/>
                                                                                                  <w:divBdr>
                                                                                                    <w:top w:val="none" w:sz="0" w:space="0" w:color="auto"/>
                                                                                                    <w:left w:val="none" w:sz="0" w:space="0" w:color="auto"/>
                                                                                                    <w:bottom w:val="none" w:sz="0" w:space="0" w:color="auto"/>
                                                                                                    <w:right w:val="none" w:sz="0" w:space="0" w:color="auto"/>
                                                                                                  </w:divBdr>
                                                                                                </w:div>
                                                                                              </w:divsChild>
                                                                                            </w:div>
                                                                                            <w:div w:id="1701203001">
                                                                                              <w:marLeft w:val="0"/>
                                                                                              <w:marRight w:val="0"/>
                                                                                              <w:marTop w:val="0"/>
                                                                                              <w:marBottom w:val="0"/>
                                                                                              <w:divBdr>
                                                                                                <w:top w:val="none" w:sz="0" w:space="0" w:color="auto"/>
                                                                                                <w:left w:val="none" w:sz="0" w:space="0" w:color="auto"/>
                                                                                                <w:bottom w:val="none" w:sz="0" w:space="0" w:color="auto"/>
                                                                                                <w:right w:val="none" w:sz="0" w:space="0" w:color="auto"/>
                                                                                              </w:divBdr>
                                                                                              <w:divsChild>
                                                                                                <w:div w:id="2087455861">
                                                                                                  <w:marLeft w:val="0"/>
                                                                                                  <w:marRight w:val="0"/>
                                                                                                  <w:marTop w:val="30"/>
                                                                                                  <w:marBottom w:val="30"/>
                                                                                                  <w:divBdr>
                                                                                                    <w:top w:val="none" w:sz="0" w:space="0" w:color="auto"/>
                                                                                                    <w:left w:val="none" w:sz="0" w:space="0" w:color="auto"/>
                                                                                                    <w:bottom w:val="none" w:sz="0" w:space="0" w:color="auto"/>
                                                                                                    <w:right w:val="none" w:sz="0" w:space="0" w:color="auto"/>
                                                                                                  </w:divBdr>
                                                                                                  <w:divsChild>
                                                                                                    <w:div w:id="18749815">
                                                                                                      <w:marLeft w:val="0"/>
                                                                                                      <w:marRight w:val="0"/>
                                                                                                      <w:marTop w:val="0"/>
                                                                                                      <w:marBottom w:val="0"/>
                                                                                                      <w:divBdr>
                                                                                                        <w:top w:val="none" w:sz="0" w:space="0" w:color="auto"/>
                                                                                                        <w:left w:val="none" w:sz="0" w:space="0" w:color="auto"/>
                                                                                                        <w:bottom w:val="none" w:sz="0" w:space="0" w:color="auto"/>
                                                                                                        <w:right w:val="none" w:sz="0" w:space="0" w:color="auto"/>
                                                                                                      </w:divBdr>
                                                                                                      <w:divsChild>
                                                                                                        <w:div w:id="285937001">
                                                                                                          <w:marLeft w:val="0"/>
                                                                                                          <w:marRight w:val="0"/>
                                                                                                          <w:marTop w:val="0"/>
                                                                                                          <w:marBottom w:val="0"/>
                                                                                                          <w:divBdr>
                                                                                                            <w:top w:val="none" w:sz="0" w:space="0" w:color="auto"/>
                                                                                                            <w:left w:val="none" w:sz="0" w:space="0" w:color="auto"/>
                                                                                                            <w:bottom w:val="none" w:sz="0" w:space="0" w:color="auto"/>
                                                                                                            <w:right w:val="none" w:sz="0" w:space="0" w:color="auto"/>
                                                                                                          </w:divBdr>
                                                                                                        </w:div>
                                                                                                      </w:divsChild>
                                                                                                    </w:div>
                                                                                                    <w:div w:id="228349714">
                                                                                                      <w:marLeft w:val="0"/>
                                                                                                      <w:marRight w:val="0"/>
                                                                                                      <w:marTop w:val="0"/>
                                                                                                      <w:marBottom w:val="0"/>
                                                                                                      <w:divBdr>
                                                                                                        <w:top w:val="none" w:sz="0" w:space="0" w:color="auto"/>
                                                                                                        <w:left w:val="none" w:sz="0" w:space="0" w:color="auto"/>
                                                                                                        <w:bottom w:val="none" w:sz="0" w:space="0" w:color="auto"/>
                                                                                                        <w:right w:val="none" w:sz="0" w:space="0" w:color="auto"/>
                                                                                                      </w:divBdr>
                                                                                                      <w:divsChild>
                                                                                                        <w:div w:id="434911116">
                                                                                                          <w:marLeft w:val="0"/>
                                                                                                          <w:marRight w:val="0"/>
                                                                                                          <w:marTop w:val="0"/>
                                                                                                          <w:marBottom w:val="0"/>
                                                                                                          <w:divBdr>
                                                                                                            <w:top w:val="none" w:sz="0" w:space="0" w:color="auto"/>
                                                                                                            <w:left w:val="none" w:sz="0" w:space="0" w:color="auto"/>
                                                                                                            <w:bottom w:val="none" w:sz="0" w:space="0" w:color="auto"/>
                                                                                                            <w:right w:val="none" w:sz="0" w:space="0" w:color="auto"/>
                                                                                                          </w:divBdr>
                                                                                                        </w:div>
                                                                                                      </w:divsChild>
                                                                                                    </w:div>
                                                                                                    <w:div w:id="324746817">
                                                                                                      <w:marLeft w:val="0"/>
                                                                                                      <w:marRight w:val="0"/>
                                                                                                      <w:marTop w:val="0"/>
                                                                                                      <w:marBottom w:val="0"/>
                                                                                                      <w:divBdr>
                                                                                                        <w:top w:val="none" w:sz="0" w:space="0" w:color="auto"/>
                                                                                                        <w:left w:val="none" w:sz="0" w:space="0" w:color="auto"/>
                                                                                                        <w:bottom w:val="none" w:sz="0" w:space="0" w:color="auto"/>
                                                                                                        <w:right w:val="none" w:sz="0" w:space="0" w:color="auto"/>
                                                                                                      </w:divBdr>
                                                                                                      <w:divsChild>
                                                                                                        <w:div w:id="588807868">
                                                                                                          <w:marLeft w:val="0"/>
                                                                                                          <w:marRight w:val="0"/>
                                                                                                          <w:marTop w:val="0"/>
                                                                                                          <w:marBottom w:val="0"/>
                                                                                                          <w:divBdr>
                                                                                                            <w:top w:val="none" w:sz="0" w:space="0" w:color="auto"/>
                                                                                                            <w:left w:val="none" w:sz="0" w:space="0" w:color="auto"/>
                                                                                                            <w:bottom w:val="none" w:sz="0" w:space="0" w:color="auto"/>
                                                                                                            <w:right w:val="none" w:sz="0" w:space="0" w:color="auto"/>
                                                                                                          </w:divBdr>
                                                                                                        </w:div>
                                                                                                      </w:divsChild>
                                                                                                    </w:div>
                                                                                                    <w:div w:id="476847651">
                                                                                                      <w:marLeft w:val="0"/>
                                                                                                      <w:marRight w:val="0"/>
                                                                                                      <w:marTop w:val="0"/>
                                                                                                      <w:marBottom w:val="0"/>
                                                                                                      <w:divBdr>
                                                                                                        <w:top w:val="none" w:sz="0" w:space="0" w:color="auto"/>
                                                                                                        <w:left w:val="none" w:sz="0" w:space="0" w:color="auto"/>
                                                                                                        <w:bottom w:val="none" w:sz="0" w:space="0" w:color="auto"/>
                                                                                                        <w:right w:val="none" w:sz="0" w:space="0" w:color="auto"/>
                                                                                                      </w:divBdr>
                                                                                                      <w:divsChild>
                                                                                                        <w:div w:id="2002850528">
                                                                                                          <w:marLeft w:val="0"/>
                                                                                                          <w:marRight w:val="0"/>
                                                                                                          <w:marTop w:val="0"/>
                                                                                                          <w:marBottom w:val="0"/>
                                                                                                          <w:divBdr>
                                                                                                            <w:top w:val="none" w:sz="0" w:space="0" w:color="auto"/>
                                                                                                            <w:left w:val="none" w:sz="0" w:space="0" w:color="auto"/>
                                                                                                            <w:bottom w:val="none" w:sz="0" w:space="0" w:color="auto"/>
                                                                                                            <w:right w:val="none" w:sz="0" w:space="0" w:color="auto"/>
                                                                                                          </w:divBdr>
                                                                                                        </w:div>
                                                                                                      </w:divsChild>
                                                                                                    </w:div>
                                                                                                    <w:div w:id="616564246">
                                                                                                      <w:marLeft w:val="0"/>
                                                                                                      <w:marRight w:val="0"/>
                                                                                                      <w:marTop w:val="0"/>
                                                                                                      <w:marBottom w:val="0"/>
                                                                                                      <w:divBdr>
                                                                                                        <w:top w:val="none" w:sz="0" w:space="0" w:color="auto"/>
                                                                                                        <w:left w:val="none" w:sz="0" w:space="0" w:color="auto"/>
                                                                                                        <w:bottom w:val="none" w:sz="0" w:space="0" w:color="auto"/>
                                                                                                        <w:right w:val="none" w:sz="0" w:space="0" w:color="auto"/>
                                                                                                      </w:divBdr>
                                                                                                      <w:divsChild>
                                                                                                        <w:div w:id="1695811702">
                                                                                                          <w:marLeft w:val="0"/>
                                                                                                          <w:marRight w:val="0"/>
                                                                                                          <w:marTop w:val="0"/>
                                                                                                          <w:marBottom w:val="0"/>
                                                                                                          <w:divBdr>
                                                                                                            <w:top w:val="none" w:sz="0" w:space="0" w:color="auto"/>
                                                                                                            <w:left w:val="none" w:sz="0" w:space="0" w:color="auto"/>
                                                                                                            <w:bottom w:val="none" w:sz="0" w:space="0" w:color="auto"/>
                                                                                                            <w:right w:val="none" w:sz="0" w:space="0" w:color="auto"/>
                                                                                                          </w:divBdr>
                                                                                                        </w:div>
                                                                                                      </w:divsChild>
                                                                                                    </w:div>
                                                                                                    <w:div w:id="672686891">
                                                                                                      <w:marLeft w:val="0"/>
                                                                                                      <w:marRight w:val="0"/>
                                                                                                      <w:marTop w:val="0"/>
                                                                                                      <w:marBottom w:val="0"/>
                                                                                                      <w:divBdr>
                                                                                                        <w:top w:val="none" w:sz="0" w:space="0" w:color="auto"/>
                                                                                                        <w:left w:val="none" w:sz="0" w:space="0" w:color="auto"/>
                                                                                                        <w:bottom w:val="none" w:sz="0" w:space="0" w:color="auto"/>
                                                                                                        <w:right w:val="none" w:sz="0" w:space="0" w:color="auto"/>
                                                                                                      </w:divBdr>
                                                                                                      <w:divsChild>
                                                                                                        <w:div w:id="1918780251">
                                                                                                          <w:marLeft w:val="0"/>
                                                                                                          <w:marRight w:val="0"/>
                                                                                                          <w:marTop w:val="0"/>
                                                                                                          <w:marBottom w:val="0"/>
                                                                                                          <w:divBdr>
                                                                                                            <w:top w:val="none" w:sz="0" w:space="0" w:color="auto"/>
                                                                                                            <w:left w:val="none" w:sz="0" w:space="0" w:color="auto"/>
                                                                                                            <w:bottom w:val="none" w:sz="0" w:space="0" w:color="auto"/>
                                                                                                            <w:right w:val="none" w:sz="0" w:space="0" w:color="auto"/>
                                                                                                          </w:divBdr>
                                                                                                        </w:div>
                                                                                                      </w:divsChild>
                                                                                                    </w:div>
                                                                                                    <w:div w:id="792095952">
                                                                                                      <w:marLeft w:val="0"/>
                                                                                                      <w:marRight w:val="0"/>
                                                                                                      <w:marTop w:val="0"/>
                                                                                                      <w:marBottom w:val="0"/>
                                                                                                      <w:divBdr>
                                                                                                        <w:top w:val="none" w:sz="0" w:space="0" w:color="auto"/>
                                                                                                        <w:left w:val="none" w:sz="0" w:space="0" w:color="auto"/>
                                                                                                        <w:bottom w:val="none" w:sz="0" w:space="0" w:color="auto"/>
                                                                                                        <w:right w:val="none" w:sz="0" w:space="0" w:color="auto"/>
                                                                                                      </w:divBdr>
                                                                                                      <w:divsChild>
                                                                                                        <w:div w:id="186336702">
                                                                                                          <w:marLeft w:val="0"/>
                                                                                                          <w:marRight w:val="0"/>
                                                                                                          <w:marTop w:val="0"/>
                                                                                                          <w:marBottom w:val="0"/>
                                                                                                          <w:divBdr>
                                                                                                            <w:top w:val="none" w:sz="0" w:space="0" w:color="auto"/>
                                                                                                            <w:left w:val="none" w:sz="0" w:space="0" w:color="auto"/>
                                                                                                            <w:bottom w:val="none" w:sz="0" w:space="0" w:color="auto"/>
                                                                                                            <w:right w:val="none" w:sz="0" w:space="0" w:color="auto"/>
                                                                                                          </w:divBdr>
                                                                                                        </w:div>
                                                                                                      </w:divsChild>
                                                                                                    </w:div>
                                                                                                    <w:div w:id="860433165">
                                                                                                      <w:marLeft w:val="0"/>
                                                                                                      <w:marRight w:val="0"/>
                                                                                                      <w:marTop w:val="0"/>
                                                                                                      <w:marBottom w:val="0"/>
                                                                                                      <w:divBdr>
                                                                                                        <w:top w:val="none" w:sz="0" w:space="0" w:color="auto"/>
                                                                                                        <w:left w:val="none" w:sz="0" w:space="0" w:color="auto"/>
                                                                                                        <w:bottom w:val="none" w:sz="0" w:space="0" w:color="auto"/>
                                                                                                        <w:right w:val="none" w:sz="0" w:space="0" w:color="auto"/>
                                                                                                      </w:divBdr>
                                                                                                      <w:divsChild>
                                                                                                        <w:div w:id="379019469">
                                                                                                          <w:marLeft w:val="0"/>
                                                                                                          <w:marRight w:val="0"/>
                                                                                                          <w:marTop w:val="0"/>
                                                                                                          <w:marBottom w:val="0"/>
                                                                                                          <w:divBdr>
                                                                                                            <w:top w:val="none" w:sz="0" w:space="0" w:color="auto"/>
                                                                                                            <w:left w:val="none" w:sz="0" w:space="0" w:color="auto"/>
                                                                                                            <w:bottom w:val="none" w:sz="0" w:space="0" w:color="auto"/>
                                                                                                            <w:right w:val="none" w:sz="0" w:space="0" w:color="auto"/>
                                                                                                          </w:divBdr>
                                                                                                        </w:div>
                                                                                                      </w:divsChild>
                                                                                                    </w:div>
                                                                                                    <w:div w:id="885720571">
                                                                                                      <w:marLeft w:val="0"/>
                                                                                                      <w:marRight w:val="0"/>
                                                                                                      <w:marTop w:val="0"/>
                                                                                                      <w:marBottom w:val="0"/>
                                                                                                      <w:divBdr>
                                                                                                        <w:top w:val="none" w:sz="0" w:space="0" w:color="auto"/>
                                                                                                        <w:left w:val="none" w:sz="0" w:space="0" w:color="auto"/>
                                                                                                        <w:bottom w:val="none" w:sz="0" w:space="0" w:color="auto"/>
                                                                                                        <w:right w:val="none" w:sz="0" w:space="0" w:color="auto"/>
                                                                                                      </w:divBdr>
                                                                                                      <w:divsChild>
                                                                                                        <w:div w:id="176770001">
                                                                                                          <w:marLeft w:val="0"/>
                                                                                                          <w:marRight w:val="0"/>
                                                                                                          <w:marTop w:val="0"/>
                                                                                                          <w:marBottom w:val="0"/>
                                                                                                          <w:divBdr>
                                                                                                            <w:top w:val="none" w:sz="0" w:space="0" w:color="auto"/>
                                                                                                            <w:left w:val="none" w:sz="0" w:space="0" w:color="auto"/>
                                                                                                            <w:bottom w:val="none" w:sz="0" w:space="0" w:color="auto"/>
                                                                                                            <w:right w:val="none" w:sz="0" w:space="0" w:color="auto"/>
                                                                                                          </w:divBdr>
                                                                                                        </w:div>
                                                                                                      </w:divsChild>
                                                                                                    </w:div>
                                                                                                    <w:div w:id="1035933327">
                                                                                                      <w:marLeft w:val="0"/>
                                                                                                      <w:marRight w:val="0"/>
                                                                                                      <w:marTop w:val="0"/>
                                                                                                      <w:marBottom w:val="0"/>
                                                                                                      <w:divBdr>
                                                                                                        <w:top w:val="none" w:sz="0" w:space="0" w:color="auto"/>
                                                                                                        <w:left w:val="none" w:sz="0" w:space="0" w:color="auto"/>
                                                                                                        <w:bottom w:val="none" w:sz="0" w:space="0" w:color="auto"/>
                                                                                                        <w:right w:val="none" w:sz="0" w:space="0" w:color="auto"/>
                                                                                                      </w:divBdr>
                                                                                                      <w:divsChild>
                                                                                                        <w:div w:id="243103634">
                                                                                                          <w:marLeft w:val="0"/>
                                                                                                          <w:marRight w:val="0"/>
                                                                                                          <w:marTop w:val="0"/>
                                                                                                          <w:marBottom w:val="0"/>
                                                                                                          <w:divBdr>
                                                                                                            <w:top w:val="none" w:sz="0" w:space="0" w:color="auto"/>
                                                                                                            <w:left w:val="none" w:sz="0" w:space="0" w:color="auto"/>
                                                                                                            <w:bottom w:val="none" w:sz="0" w:space="0" w:color="auto"/>
                                                                                                            <w:right w:val="none" w:sz="0" w:space="0" w:color="auto"/>
                                                                                                          </w:divBdr>
                                                                                                        </w:div>
                                                                                                      </w:divsChild>
                                                                                                    </w:div>
                                                                                                    <w:div w:id="1219054575">
                                                                                                      <w:marLeft w:val="0"/>
                                                                                                      <w:marRight w:val="0"/>
                                                                                                      <w:marTop w:val="0"/>
                                                                                                      <w:marBottom w:val="0"/>
                                                                                                      <w:divBdr>
                                                                                                        <w:top w:val="none" w:sz="0" w:space="0" w:color="auto"/>
                                                                                                        <w:left w:val="none" w:sz="0" w:space="0" w:color="auto"/>
                                                                                                        <w:bottom w:val="none" w:sz="0" w:space="0" w:color="auto"/>
                                                                                                        <w:right w:val="none" w:sz="0" w:space="0" w:color="auto"/>
                                                                                                      </w:divBdr>
                                                                                                      <w:divsChild>
                                                                                                        <w:div w:id="129784203">
                                                                                                          <w:marLeft w:val="0"/>
                                                                                                          <w:marRight w:val="0"/>
                                                                                                          <w:marTop w:val="0"/>
                                                                                                          <w:marBottom w:val="0"/>
                                                                                                          <w:divBdr>
                                                                                                            <w:top w:val="none" w:sz="0" w:space="0" w:color="auto"/>
                                                                                                            <w:left w:val="none" w:sz="0" w:space="0" w:color="auto"/>
                                                                                                            <w:bottom w:val="none" w:sz="0" w:space="0" w:color="auto"/>
                                                                                                            <w:right w:val="none" w:sz="0" w:space="0" w:color="auto"/>
                                                                                                          </w:divBdr>
                                                                                                        </w:div>
                                                                                                      </w:divsChild>
                                                                                                    </w:div>
                                                                                                    <w:div w:id="1387293082">
                                                                                                      <w:marLeft w:val="0"/>
                                                                                                      <w:marRight w:val="0"/>
                                                                                                      <w:marTop w:val="0"/>
                                                                                                      <w:marBottom w:val="0"/>
                                                                                                      <w:divBdr>
                                                                                                        <w:top w:val="none" w:sz="0" w:space="0" w:color="auto"/>
                                                                                                        <w:left w:val="none" w:sz="0" w:space="0" w:color="auto"/>
                                                                                                        <w:bottom w:val="none" w:sz="0" w:space="0" w:color="auto"/>
                                                                                                        <w:right w:val="none" w:sz="0" w:space="0" w:color="auto"/>
                                                                                                      </w:divBdr>
                                                                                                      <w:divsChild>
                                                                                                        <w:div w:id="861940584">
                                                                                                          <w:marLeft w:val="0"/>
                                                                                                          <w:marRight w:val="0"/>
                                                                                                          <w:marTop w:val="0"/>
                                                                                                          <w:marBottom w:val="0"/>
                                                                                                          <w:divBdr>
                                                                                                            <w:top w:val="none" w:sz="0" w:space="0" w:color="auto"/>
                                                                                                            <w:left w:val="none" w:sz="0" w:space="0" w:color="auto"/>
                                                                                                            <w:bottom w:val="none" w:sz="0" w:space="0" w:color="auto"/>
                                                                                                            <w:right w:val="none" w:sz="0" w:space="0" w:color="auto"/>
                                                                                                          </w:divBdr>
                                                                                                        </w:div>
                                                                                                      </w:divsChild>
                                                                                                    </w:div>
                                                                                                    <w:div w:id="1513648365">
                                                                                                      <w:marLeft w:val="0"/>
                                                                                                      <w:marRight w:val="0"/>
                                                                                                      <w:marTop w:val="0"/>
                                                                                                      <w:marBottom w:val="0"/>
                                                                                                      <w:divBdr>
                                                                                                        <w:top w:val="none" w:sz="0" w:space="0" w:color="auto"/>
                                                                                                        <w:left w:val="none" w:sz="0" w:space="0" w:color="auto"/>
                                                                                                        <w:bottom w:val="none" w:sz="0" w:space="0" w:color="auto"/>
                                                                                                        <w:right w:val="none" w:sz="0" w:space="0" w:color="auto"/>
                                                                                                      </w:divBdr>
                                                                                                      <w:divsChild>
                                                                                                        <w:div w:id="1867021977">
                                                                                                          <w:marLeft w:val="0"/>
                                                                                                          <w:marRight w:val="0"/>
                                                                                                          <w:marTop w:val="0"/>
                                                                                                          <w:marBottom w:val="0"/>
                                                                                                          <w:divBdr>
                                                                                                            <w:top w:val="none" w:sz="0" w:space="0" w:color="auto"/>
                                                                                                            <w:left w:val="none" w:sz="0" w:space="0" w:color="auto"/>
                                                                                                            <w:bottom w:val="none" w:sz="0" w:space="0" w:color="auto"/>
                                                                                                            <w:right w:val="none" w:sz="0" w:space="0" w:color="auto"/>
                                                                                                          </w:divBdr>
                                                                                                        </w:div>
                                                                                                      </w:divsChild>
                                                                                                    </w:div>
                                                                                                    <w:div w:id="1531795025">
                                                                                                      <w:marLeft w:val="0"/>
                                                                                                      <w:marRight w:val="0"/>
                                                                                                      <w:marTop w:val="0"/>
                                                                                                      <w:marBottom w:val="0"/>
                                                                                                      <w:divBdr>
                                                                                                        <w:top w:val="none" w:sz="0" w:space="0" w:color="auto"/>
                                                                                                        <w:left w:val="none" w:sz="0" w:space="0" w:color="auto"/>
                                                                                                        <w:bottom w:val="none" w:sz="0" w:space="0" w:color="auto"/>
                                                                                                        <w:right w:val="none" w:sz="0" w:space="0" w:color="auto"/>
                                                                                                      </w:divBdr>
                                                                                                      <w:divsChild>
                                                                                                        <w:div w:id="518350951">
                                                                                                          <w:marLeft w:val="0"/>
                                                                                                          <w:marRight w:val="0"/>
                                                                                                          <w:marTop w:val="0"/>
                                                                                                          <w:marBottom w:val="0"/>
                                                                                                          <w:divBdr>
                                                                                                            <w:top w:val="none" w:sz="0" w:space="0" w:color="auto"/>
                                                                                                            <w:left w:val="none" w:sz="0" w:space="0" w:color="auto"/>
                                                                                                            <w:bottom w:val="none" w:sz="0" w:space="0" w:color="auto"/>
                                                                                                            <w:right w:val="none" w:sz="0" w:space="0" w:color="auto"/>
                                                                                                          </w:divBdr>
                                                                                                        </w:div>
                                                                                                      </w:divsChild>
                                                                                                    </w:div>
                                                                                                    <w:div w:id="1583561639">
                                                                                                      <w:marLeft w:val="0"/>
                                                                                                      <w:marRight w:val="0"/>
                                                                                                      <w:marTop w:val="0"/>
                                                                                                      <w:marBottom w:val="0"/>
                                                                                                      <w:divBdr>
                                                                                                        <w:top w:val="none" w:sz="0" w:space="0" w:color="auto"/>
                                                                                                        <w:left w:val="none" w:sz="0" w:space="0" w:color="auto"/>
                                                                                                        <w:bottom w:val="none" w:sz="0" w:space="0" w:color="auto"/>
                                                                                                        <w:right w:val="none" w:sz="0" w:space="0" w:color="auto"/>
                                                                                                      </w:divBdr>
                                                                                                      <w:divsChild>
                                                                                                        <w:div w:id="1783303245">
                                                                                                          <w:marLeft w:val="0"/>
                                                                                                          <w:marRight w:val="0"/>
                                                                                                          <w:marTop w:val="0"/>
                                                                                                          <w:marBottom w:val="0"/>
                                                                                                          <w:divBdr>
                                                                                                            <w:top w:val="none" w:sz="0" w:space="0" w:color="auto"/>
                                                                                                            <w:left w:val="none" w:sz="0" w:space="0" w:color="auto"/>
                                                                                                            <w:bottom w:val="none" w:sz="0" w:space="0" w:color="auto"/>
                                                                                                            <w:right w:val="none" w:sz="0" w:space="0" w:color="auto"/>
                                                                                                          </w:divBdr>
                                                                                                        </w:div>
                                                                                                      </w:divsChild>
                                                                                                    </w:div>
                                                                                                    <w:div w:id="1640115316">
                                                                                                      <w:marLeft w:val="0"/>
                                                                                                      <w:marRight w:val="0"/>
                                                                                                      <w:marTop w:val="0"/>
                                                                                                      <w:marBottom w:val="0"/>
                                                                                                      <w:divBdr>
                                                                                                        <w:top w:val="none" w:sz="0" w:space="0" w:color="auto"/>
                                                                                                        <w:left w:val="none" w:sz="0" w:space="0" w:color="auto"/>
                                                                                                        <w:bottom w:val="none" w:sz="0" w:space="0" w:color="auto"/>
                                                                                                        <w:right w:val="none" w:sz="0" w:space="0" w:color="auto"/>
                                                                                                      </w:divBdr>
                                                                                                      <w:divsChild>
                                                                                                        <w:div w:id="753010391">
                                                                                                          <w:marLeft w:val="0"/>
                                                                                                          <w:marRight w:val="0"/>
                                                                                                          <w:marTop w:val="0"/>
                                                                                                          <w:marBottom w:val="0"/>
                                                                                                          <w:divBdr>
                                                                                                            <w:top w:val="none" w:sz="0" w:space="0" w:color="auto"/>
                                                                                                            <w:left w:val="none" w:sz="0" w:space="0" w:color="auto"/>
                                                                                                            <w:bottom w:val="none" w:sz="0" w:space="0" w:color="auto"/>
                                                                                                            <w:right w:val="none" w:sz="0" w:space="0" w:color="auto"/>
                                                                                                          </w:divBdr>
                                                                                                        </w:div>
                                                                                                      </w:divsChild>
                                                                                                    </w:div>
                                                                                                    <w:div w:id="1689600984">
                                                                                                      <w:marLeft w:val="0"/>
                                                                                                      <w:marRight w:val="0"/>
                                                                                                      <w:marTop w:val="0"/>
                                                                                                      <w:marBottom w:val="0"/>
                                                                                                      <w:divBdr>
                                                                                                        <w:top w:val="none" w:sz="0" w:space="0" w:color="auto"/>
                                                                                                        <w:left w:val="none" w:sz="0" w:space="0" w:color="auto"/>
                                                                                                        <w:bottom w:val="none" w:sz="0" w:space="0" w:color="auto"/>
                                                                                                        <w:right w:val="none" w:sz="0" w:space="0" w:color="auto"/>
                                                                                                      </w:divBdr>
                                                                                                      <w:divsChild>
                                                                                                        <w:div w:id="1497964222">
                                                                                                          <w:marLeft w:val="0"/>
                                                                                                          <w:marRight w:val="0"/>
                                                                                                          <w:marTop w:val="0"/>
                                                                                                          <w:marBottom w:val="0"/>
                                                                                                          <w:divBdr>
                                                                                                            <w:top w:val="none" w:sz="0" w:space="0" w:color="auto"/>
                                                                                                            <w:left w:val="none" w:sz="0" w:space="0" w:color="auto"/>
                                                                                                            <w:bottom w:val="none" w:sz="0" w:space="0" w:color="auto"/>
                                                                                                            <w:right w:val="none" w:sz="0" w:space="0" w:color="auto"/>
                                                                                                          </w:divBdr>
                                                                                                        </w:div>
                                                                                                      </w:divsChild>
                                                                                                    </w:div>
                                                                                                    <w:div w:id="1701589970">
                                                                                                      <w:marLeft w:val="0"/>
                                                                                                      <w:marRight w:val="0"/>
                                                                                                      <w:marTop w:val="0"/>
                                                                                                      <w:marBottom w:val="0"/>
                                                                                                      <w:divBdr>
                                                                                                        <w:top w:val="none" w:sz="0" w:space="0" w:color="auto"/>
                                                                                                        <w:left w:val="none" w:sz="0" w:space="0" w:color="auto"/>
                                                                                                        <w:bottom w:val="none" w:sz="0" w:space="0" w:color="auto"/>
                                                                                                        <w:right w:val="none" w:sz="0" w:space="0" w:color="auto"/>
                                                                                                      </w:divBdr>
                                                                                                      <w:divsChild>
                                                                                                        <w:div w:id="467279426">
                                                                                                          <w:marLeft w:val="0"/>
                                                                                                          <w:marRight w:val="0"/>
                                                                                                          <w:marTop w:val="0"/>
                                                                                                          <w:marBottom w:val="0"/>
                                                                                                          <w:divBdr>
                                                                                                            <w:top w:val="none" w:sz="0" w:space="0" w:color="auto"/>
                                                                                                            <w:left w:val="none" w:sz="0" w:space="0" w:color="auto"/>
                                                                                                            <w:bottom w:val="none" w:sz="0" w:space="0" w:color="auto"/>
                                                                                                            <w:right w:val="none" w:sz="0" w:space="0" w:color="auto"/>
                                                                                                          </w:divBdr>
                                                                                                        </w:div>
                                                                                                      </w:divsChild>
                                                                                                    </w:div>
                                                                                                    <w:div w:id="1719087995">
                                                                                                      <w:marLeft w:val="0"/>
                                                                                                      <w:marRight w:val="0"/>
                                                                                                      <w:marTop w:val="0"/>
                                                                                                      <w:marBottom w:val="0"/>
                                                                                                      <w:divBdr>
                                                                                                        <w:top w:val="none" w:sz="0" w:space="0" w:color="auto"/>
                                                                                                        <w:left w:val="none" w:sz="0" w:space="0" w:color="auto"/>
                                                                                                        <w:bottom w:val="none" w:sz="0" w:space="0" w:color="auto"/>
                                                                                                        <w:right w:val="none" w:sz="0" w:space="0" w:color="auto"/>
                                                                                                      </w:divBdr>
                                                                                                      <w:divsChild>
                                                                                                        <w:div w:id="917597621">
                                                                                                          <w:marLeft w:val="0"/>
                                                                                                          <w:marRight w:val="0"/>
                                                                                                          <w:marTop w:val="0"/>
                                                                                                          <w:marBottom w:val="0"/>
                                                                                                          <w:divBdr>
                                                                                                            <w:top w:val="none" w:sz="0" w:space="0" w:color="auto"/>
                                                                                                            <w:left w:val="none" w:sz="0" w:space="0" w:color="auto"/>
                                                                                                            <w:bottom w:val="none" w:sz="0" w:space="0" w:color="auto"/>
                                                                                                            <w:right w:val="none" w:sz="0" w:space="0" w:color="auto"/>
                                                                                                          </w:divBdr>
                                                                                                        </w:div>
                                                                                                      </w:divsChild>
                                                                                                    </w:div>
                                                                                                    <w:div w:id="1773016822">
                                                                                                      <w:marLeft w:val="0"/>
                                                                                                      <w:marRight w:val="0"/>
                                                                                                      <w:marTop w:val="0"/>
                                                                                                      <w:marBottom w:val="0"/>
                                                                                                      <w:divBdr>
                                                                                                        <w:top w:val="none" w:sz="0" w:space="0" w:color="auto"/>
                                                                                                        <w:left w:val="none" w:sz="0" w:space="0" w:color="auto"/>
                                                                                                        <w:bottom w:val="none" w:sz="0" w:space="0" w:color="auto"/>
                                                                                                        <w:right w:val="none" w:sz="0" w:space="0" w:color="auto"/>
                                                                                                      </w:divBdr>
                                                                                                      <w:divsChild>
                                                                                                        <w:div w:id="1524513292">
                                                                                                          <w:marLeft w:val="0"/>
                                                                                                          <w:marRight w:val="0"/>
                                                                                                          <w:marTop w:val="0"/>
                                                                                                          <w:marBottom w:val="0"/>
                                                                                                          <w:divBdr>
                                                                                                            <w:top w:val="none" w:sz="0" w:space="0" w:color="auto"/>
                                                                                                            <w:left w:val="none" w:sz="0" w:space="0" w:color="auto"/>
                                                                                                            <w:bottom w:val="none" w:sz="0" w:space="0" w:color="auto"/>
                                                                                                            <w:right w:val="none" w:sz="0" w:space="0" w:color="auto"/>
                                                                                                          </w:divBdr>
                                                                                                        </w:div>
                                                                                                      </w:divsChild>
                                                                                                    </w:div>
                                                                                                    <w:div w:id="1918664474">
                                                                                                      <w:marLeft w:val="0"/>
                                                                                                      <w:marRight w:val="0"/>
                                                                                                      <w:marTop w:val="0"/>
                                                                                                      <w:marBottom w:val="0"/>
                                                                                                      <w:divBdr>
                                                                                                        <w:top w:val="none" w:sz="0" w:space="0" w:color="auto"/>
                                                                                                        <w:left w:val="none" w:sz="0" w:space="0" w:color="auto"/>
                                                                                                        <w:bottom w:val="none" w:sz="0" w:space="0" w:color="auto"/>
                                                                                                        <w:right w:val="none" w:sz="0" w:space="0" w:color="auto"/>
                                                                                                      </w:divBdr>
                                                                                                      <w:divsChild>
                                                                                                        <w:div w:id="1083140486">
                                                                                                          <w:marLeft w:val="0"/>
                                                                                                          <w:marRight w:val="0"/>
                                                                                                          <w:marTop w:val="0"/>
                                                                                                          <w:marBottom w:val="0"/>
                                                                                                          <w:divBdr>
                                                                                                            <w:top w:val="none" w:sz="0" w:space="0" w:color="auto"/>
                                                                                                            <w:left w:val="none" w:sz="0" w:space="0" w:color="auto"/>
                                                                                                            <w:bottom w:val="none" w:sz="0" w:space="0" w:color="auto"/>
                                                                                                            <w:right w:val="none" w:sz="0" w:space="0" w:color="auto"/>
                                                                                                          </w:divBdr>
                                                                                                        </w:div>
                                                                                                      </w:divsChild>
                                                                                                    </w:div>
                                                                                                    <w:div w:id="1987079547">
                                                                                                      <w:marLeft w:val="0"/>
                                                                                                      <w:marRight w:val="0"/>
                                                                                                      <w:marTop w:val="0"/>
                                                                                                      <w:marBottom w:val="0"/>
                                                                                                      <w:divBdr>
                                                                                                        <w:top w:val="none" w:sz="0" w:space="0" w:color="auto"/>
                                                                                                        <w:left w:val="none" w:sz="0" w:space="0" w:color="auto"/>
                                                                                                        <w:bottom w:val="none" w:sz="0" w:space="0" w:color="auto"/>
                                                                                                        <w:right w:val="none" w:sz="0" w:space="0" w:color="auto"/>
                                                                                                      </w:divBdr>
                                                                                                      <w:divsChild>
                                                                                                        <w:div w:id="1297447777">
                                                                                                          <w:marLeft w:val="0"/>
                                                                                                          <w:marRight w:val="0"/>
                                                                                                          <w:marTop w:val="0"/>
                                                                                                          <w:marBottom w:val="0"/>
                                                                                                          <w:divBdr>
                                                                                                            <w:top w:val="none" w:sz="0" w:space="0" w:color="auto"/>
                                                                                                            <w:left w:val="none" w:sz="0" w:space="0" w:color="auto"/>
                                                                                                            <w:bottom w:val="none" w:sz="0" w:space="0" w:color="auto"/>
                                                                                                            <w:right w:val="none" w:sz="0" w:space="0" w:color="auto"/>
                                                                                                          </w:divBdr>
                                                                                                        </w:div>
                                                                                                      </w:divsChild>
                                                                                                    </w:div>
                                                                                                    <w:div w:id="1992177298">
                                                                                                      <w:marLeft w:val="0"/>
                                                                                                      <w:marRight w:val="0"/>
                                                                                                      <w:marTop w:val="0"/>
                                                                                                      <w:marBottom w:val="0"/>
                                                                                                      <w:divBdr>
                                                                                                        <w:top w:val="none" w:sz="0" w:space="0" w:color="auto"/>
                                                                                                        <w:left w:val="none" w:sz="0" w:space="0" w:color="auto"/>
                                                                                                        <w:bottom w:val="none" w:sz="0" w:space="0" w:color="auto"/>
                                                                                                        <w:right w:val="none" w:sz="0" w:space="0" w:color="auto"/>
                                                                                                      </w:divBdr>
                                                                                                      <w:divsChild>
                                                                                                        <w:div w:id="385303146">
                                                                                                          <w:marLeft w:val="0"/>
                                                                                                          <w:marRight w:val="0"/>
                                                                                                          <w:marTop w:val="0"/>
                                                                                                          <w:marBottom w:val="0"/>
                                                                                                          <w:divBdr>
                                                                                                            <w:top w:val="none" w:sz="0" w:space="0" w:color="auto"/>
                                                                                                            <w:left w:val="none" w:sz="0" w:space="0" w:color="auto"/>
                                                                                                            <w:bottom w:val="none" w:sz="0" w:space="0" w:color="auto"/>
                                                                                                            <w:right w:val="none" w:sz="0" w:space="0" w:color="auto"/>
                                                                                                          </w:divBdr>
                                                                                                        </w:div>
                                                                                                      </w:divsChild>
                                                                                                    </w:div>
                                                                                                    <w:div w:id="2014215276">
                                                                                                      <w:marLeft w:val="0"/>
                                                                                                      <w:marRight w:val="0"/>
                                                                                                      <w:marTop w:val="0"/>
                                                                                                      <w:marBottom w:val="0"/>
                                                                                                      <w:divBdr>
                                                                                                        <w:top w:val="none" w:sz="0" w:space="0" w:color="auto"/>
                                                                                                        <w:left w:val="none" w:sz="0" w:space="0" w:color="auto"/>
                                                                                                        <w:bottom w:val="none" w:sz="0" w:space="0" w:color="auto"/>
                                                                                                        <w:right w:val="none" w:sz="0" w:space="0" w:color="auto"/>
                                                                                                      </w:divBdr>
                                                                                                      <w:divsChild>
                                                                                                        <w:div w:id="200219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451823">
                                                                                              <w:marLeft w:val="0"/>
                                                                                              <w:marRight w:val="0"/>
                                                                                              <w:marTop w:val="0"/>
                                                                                              <w:marBottom w:val="0"/>
                                                                                              <w:divBdr>
                                                                                                <w:top w:val="none" w:sz="0" w:space="0" w:color="auto"/>
                                                                                                <w:left w:val="none" w:sz="0" w:space="0" w:color="auto"/>
                                                                                                <w:bottom w:val="none" w:sz="0" w:space="0" w:color="auto"/>
                                                                                                <w:right w:val="none" w:sz="0" w:space="0" w:color="auto"/>
                                                                                              </w:divBdr>
                                                                                              <w:divsChild>
                                                                                                <w:div w:id="5518002">
                                                                                                  <w:marLeft w:val="0"/>
                                                                                                  <w:marRight w:val="0"/>
                                                                                                  <w:marTop w:val="0"/>
                                                                                                  <w:marBottom w:val="0"/>
                                                                                                  <w:divBdr>
                                                                                                    <w:top w:val="none" w:sz="0" w:space="0" w:color="auto"/>
                                                                                                    <w:left w:val="none" w:sz="0" w:space="0" w:color="auto"/>
                                                                                                    <w:bottom w:val="none" w:sz="0" w:space="0" w:color="auto"/>
                                                                                                    <w:right w:val="none" w:sz="0" w:space="0" w:color="auto"/>
                                                                                                  </w:divBdr>
                                                                                                </w:div>
                                                                                                <w:div w:id="417484825">
                                                                                                  <w:marLeft w:val="0"/>
                                                                                                  <w:marRight w:val="0"/>
                                                                                                  <w:marTop w:val="0"/>
                                                                                                  <w:marBottom w:val="0"/>
                                                                                                  <w:divBdr>
                                                                                                    <w:top w:val="none" w:sz="0" w:space="0" w:color="auto"/>
                                                                                                    <w:left w:val="none" w:sz="0" w:space="0" w:color="auto"/>
                                                                                                    <w:bottom w:val="none" w:sz="0" w:space="0" w:color="auto"/>
                                                                                                    <w:right w:val="none" w:sz="0" w:space="0" w:color="auto"/>
                                                                                                  </w:divBdr>
                                                                                                </w:div>
                                                                                                <w:div w:id="782651102">
                                                                                                  <w:marLeft w:val="0"/>
                                                                                                  <w:marRight w:val="0"/>
                                                                                                  <w:marTop w:val="0"/>
                                                                                                  <w:marBottom w:val="0"/>
                                                                                                  <w:divBdr>
                                                                                                    <w:top w:val="none" w:sz="0" w:space="0" w:color="auto"/>
                                                                                                    <w:left w:val="none" w:sz="0" w:space="0" w:color="auto"/>
                                                                                                    <w:bottom w:val="none" w:sz="0" w:space="0" w:color="auto"/>
                                                                                                    <w:right w:val="none" w:sz="0" w:space="0" w:color="auto"/>
                                                                                                  </w:divBdr>
                                                                                                </w:div>
                                                                                                <w:div w:id="1112437130">
                                                                                                  <w:marLeft w:val="0"/>
                                                                                                  <w:marRight w:val="0"/>
                                                                                                  <w:marTop w:val="0"/>
                                                                                                  <w:marBottom w:val="0"/>
                                                                                                  <w:divBdr>
                                                                                                    <w:top w:val="none" w:sz="0" w:space="0" w:color="auto"/>
                                                                                                    <w:left w:val="none" w:sz="0" w:space="0" w:color="auto"/>
                                                                                                    <w:bottom w:val="none" w:sz="0" w:space="0" w:color="auto"/>
                                                                                                    <w:right w:val="none" w:sz="0" w:space="0" w:color="auto"/>
                                                                                                  </w:divBdr>
                                                                                                </w:div>
                                                                                                <w:div w:id="1201169433">
                                                                                                  <w:marLeft w:val="0"/>
                                                                                                  <w:marRight w:val="0"/>
                                                                                                  <w:marTop w:val="0"/>
                                                                                                  <w:marBottom w:val="0"/>
                                                                                                  <w:divBdr>
                                                                                                    <w:top w:val="none" w:sz="0" w:space="0" w:color="auto"/>
                                                                                                    <w:left w:val="none" w:sz="0" w:space="0" w:color="auto"/>
                                                                                                    <w:bottom w:val="none" w:sz="0" w:space="0" w:color="auto"/>
                                                                                                    <w:right w:val="none" w:sz="0" w:space="0" w:color="auto"/>
                                                                                                  </w:divBdr>
                                                                                                </w:div>
                                                                                              </w:divsChild>
                                                                                            </w:div>
                                                                                            <w:div w:id="1967195741">
                                                                                              <w:marLeft w:val="0"/>
                                                                                              <w:marRight w:val="0"/>
                                                                                              <w:marTop w:val="0"/>
                                                                                              <w:marBottom w:val="0"/>
                                                                                              <w:divBdr>
                                                                                                <w:top w:val="none" w:sz="0" w:space="0" w:color="auto"/>
                                                                                                <w:left w:val="none" w:sz="0" w:space="0" w:color="auto"/>
                                                                                                <w:bottom w:val="none" w:sz="0" w:space="0" w:color="auto"/>
                                                                                                <w:right w:val="none" w:sz="0" w:space="0" w:color="auto"/>
                                                                                              </w:divBdr>
                                                                                              <w:divsChild>
                                                                                                <w:div w:id="412162862">
                                                                                                  <w:marLeft w:val="0"/>
                                                                                                  <w:marRight w:val="0"/>
                                                                                                  <w:marTop w:val="0"/>
                                                                                                  <w:marBottom w:val="0"/>
                                                                                                  <w:divBdr>
                                                                                                    <w:top w:val="none" w:sz="0" w:space="0" w:color="auto"/>
                                                                                                    <w:left w:val="none" w:sz="0" w:space="0" w:color="auto"/>
                                                                                                    <w:bottom w:val="none" w:sz="0" w:space="0" w:color="auto"/>
                                                                                                    <w:right w:val="none" w:sz="0" w:space="0" w:color="auto"/>
                                                                                                  </w:divBdr>
                                                                                                </w:div>
                                                                                                <w:div w:id="798913057">
                                                                                                  <w:marLeft w:val="0"/>
                                                                                                  <w:marRight w:val="0"/>
                                                                                                  <w:marTop w:val="0"/>
                                                                                                  <w:marBottom w:val="0"/>
                                                                                                  <w:divBdr>
                                                                                                    <w:top w:val="none" w:sz="0" w:space="0" w:color="auto"/>
                                                                                                    <w:left w:val="none" w:sz="0" w:space="0" w:color="auto"/>
                                                                                                    <w:bottom w:val="none" w:sz="0" w:space="0" w:color="auto"/>
                                                                                                    <w:right w:val="none" w:sz="0" w:space="0" w:color="auto"/>
                                                                                                  </w:divBdr>
                                                                                                </w:div>
                                                                                                <w:div w:id="864556807">
                                                                                                  <w:marLeft w:val="0"/>
                                                                                                  <w:marRight w:val="0"/>
                                                                                                  <w:marTop w:val="0"/>
                                                                                                  <w:marBottom w:val="0"/>
                                                                                                  <w:divBdr>
                                                                                                    <w:top w:val="none" w:sz="0" w:space="0" w:color="auto"/>
                                                                                                    <w:left w:val="none" w:sz="0" w:space="0" w:color="auto"/>
                                                                                                    <w:bottom w:val="none" w:sz="0" w:space="0" w:color="auto"/>
                                                                                                    <w:right w:val="none" w:sz="0" w:space="0" w:color="auto"/>
                                                                                                  </w:divBdr>
                                                                                                </w:div>
                                                                                                <w:div w:id="953175361">
                                                                                                  <w:marLeft w:val="0"/>
                                                                                                  <w:marRight w:val="0"/>
                                                                                                  <w:marTop w:val="0"/>
                                                                                                  <w:marBottom w:val="0"/>
                                                                                                  <w:divBdr>
                                                                                                    <w:top w:val="none" w:sz="0" w:space="0" w:color="auto"/>
                                                                                                    <w:left w:val="none" w:sz="0" w:space="0" w:color="auto"/>
                                                                                                    <w:bottom w:val="none" w:sz="0" w:space="0" w:color="auto"/>
                                                                                                    <w:right w:val="none" w:sz="0" w:space="0" w:color="auto"/>
                                                                                                  </w:divBdr>
                                                                                                </w:div>
                                                                                                <w:div w:id="155439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5956218">
      <w:bodyDiv w:val="1"/>
      <w:marLeft w:val="0"/>
      <w:marRight w:val="0"/>
      <w:marTop w:val="0"/>
      <w:marBottom w:val="0"/>
      <w:divBdr>
        <w:top w:val="none" w:sz="0" w:space="0" w:color="auto"/>
        <w:left w:val="none" w:sz="0" w:space="0" w:color="auto"/>
        <w:bottom w:val="none" w:sz="0" w:space="0" w:color="auto"/>
        <w:right w:val="none" w:sz="0" w:space="0" w:color="auto"/>
      </w:divBdr>
    </w:div>
    <w:div w:id="607737915">
      <w:bodyDiv w:val="1"/>
      <w:marLeft w:val="0"/>
      <w:marRight w:val="0"/>
      <w:marTop w:val="0"/>
      <w:marBottom w:val="0"/>
      <w:divBdr>
        <w:top w:val="none" w:sz="0" w:space="0" w:color="auto"/>
        <w:left w:val="none" w:sz="0" w:space="0" w:color="auto"/>
        <w:bottom w:val="none" w:sz="0" w:space="0" w:color="auto"/>
        <w:right w:val="none" w:sz="0" w:space="0" w:color="auto"/>
      </w:divBdr>
    </w:div>
    <w:div w:id="714499306">
      <w:bodyDiv w:val="1"/>
      <w:marLeft w:val="0"/>
      <w:marRight w:val="0"/>
      <w:marTop w:val="0"/>
      <w:marBottom w:val="0"/>
      <w:divBdr>
        <w:top w:val="none" w:sz="0" w:space="0" w:color="auto"/>
        <w:left w:val="none" w:sz="0" w:space="0" w:color="auto"/>
        <w:bottom w:val="none" w:sz="0" w:space="0" w:color="auto"/>
        <w:right w:val="none" w:sz="0" w:space="0" w:color="auto"/>
      </w:divBdr>
    </w:div>
    <w:div w:id="858279125">
      <w:bodyDiv w:val="1"/>
      <w:marLeft w:val="0"/>
      <w:marRight w:val="0"/>
      <w:marTop w:val="0"/>
      <w:marBottom w:val="0"/>
      <w:divBdr>
        <w:top w:val="none" w:sz="0" w:space="0" w:color="auto"/>
        <w:left w:val="none" w:sz="0" w:space="0" w:color="auto"/>
        <w:bottom w:val="none" w:sz="0" w:space="0" w:color="auto"/>
        <w:right w:val="none" w:sz="0" w:space="0" w:color="auto"/>
      </w:divBdr>
    </w:div>
    <w:div w:id="946352336">
      <w:bodyDiv w:val="1"/>
      <w:marLeft w:val="0"/>
      <w:marRight w:val="0"/>
      <w:marTop w:val="0"/>
      <w:marBottom w:val="0"/>
      <w:divBdr>
        <w:top w:val="none" w:sz="0" w:space="0" w:color="auto"/>
        <w:left w:val="none" w:sz="0" w:space="0" w:color="auto"/>
        <w:bottom w:val="none" w:sz="0" w:space="0" w:color="auto"/>
        <w:right w:val="none" w:sz="0" w:space="0" w:color="auto"/>
      </w:divBdr>
      <w:divsChild>
        <w:div w:id="494616545">
          <w:marLeft w:val="0"/>
          <w:marRight w:val="0"/>
          <w:marTop w:val="0"/>
          <w:marBottom w:val="0"/>
          <w:divBdr>
            <w:top w:val="none" w:sz="0" w:space="0" w:color="auto"/>
            <w:left w:val="none" w:sz="0" w:space="0" w:color="auto"/>
            <w:bottom w:val="none" w:sz="0" w:space="0" w:color="auto"/>
            <w:right w:val="none" w:sz="0" w:space="0" w:color="auto"/>
          </w:divBdr>
          <w:divsChild>
            <w:div w:id="1588734419">
              <w:marLeft w:val="0"/>
              <w:marRight w:val="0"/>
              <w:marTop w:val="0"/>
              <w:marBottom w:val="0"/>
              <w:divBdr>
                <w:top w:val="none" w:sz="0" w:space="0" w:color="auto"/>
                <w:left w:val="none" w:sz="0" w:space="0" w:color="auto"/>
                <w:bottom w:val="none" w:sz="0" w:space="0" w:color="auto"/>
                <w:right w:val="none" w:sz="0" w:space="0" w:color="auto"/>
              </w:divBdr>
              <w:divsChild>
                <w:div w:id="234050745">
                  <w:marLeft w:val="0"/>
                  <w:marRight w:val="0"/>
                  <w:marTop w:val="0"/>
                  <w:marBottom w:val="0"/>
                  <w:divBdr>
                    <w:top w:val="none" w:sz="0" w:space="0" w:color="auto"/>
                    <w:left w:val="none" w:sz="0" w:space="0" w:color="auto"/>
                    <w:bottom w:val="none" w:sz="0" w:space="0" w:color="auto"/>
                    <w:right w:val="none" w:sz="0" w:space="0" w:color="auto"/>
                  </w:divBdr>
                  <w:divsChild>
                    <w:div w:id="1182813530">
                      <w:marLeft w:val="0"/>
                      <w:marRight w:val="0"/>
                      <w:marTop w:val="0"/>
                      <w:marBottom w:val="0"/>
                      <w:divBdr>
                        <w:top w:val="none" w:sz="0" w:space="0" w:color="auto"/>
                        <w:left w:val="none" w:sz="0" w:space="0" w:color="auto"/>
                        <w:bottom w:val="none" w:sz="0" w:space="0" w:color="auto"/>
                        <w:right w:val="none" w:sz="0" w:space="0" w:color="auto"/>
                      </w:divBdr>
                      <w:divsChild>
                        <w:div w:id="741215852">
                          <w:marLeft w:val="0"/>
                          <w:marRight w:val="0"/>
                          <w:marTop w:val="0"/>
                          <w:marBottom w:val="0"/>
                          <w:divBdr>
                            <w:top w:val="none" w:sz="0" w:space="0" w:color="auto"/>
                            <w:left w:val="none" w:sz="0" w:space="0" w:color="auto"/>
                            <w:bottom w:val="none" w:sz="0" w:space="0" w:color="auto"/>
                            <w:right w:val="none" w:sz="0" w:space="0" w:color="auto"/>
                          </w:divBdr>
                          <w:divsChild>
                            <w:div w:id="370689817">
                              <w:marLeft w:val="0"/>
                              <w:marRight w:val="0"/>
                              <w:marTop w:val="0"/>
                              <w:marBottom w:val="0"/>
                              <w:divBdr>
                                <w:top w:val="none" w:sz="0" w:space="0" w:color="auto"/>
                                <w:left w:val="none" w:sz="0" w:space="0" w:color="auto"/>
                                <w:bottom w:val="none" w:sz="0" w:space="0" w:color="auto"/>
                                <w:right w:val="none" w:sz="0" w:space="0" w:color="auto"/>
                              </w:divBdr>
                              <w:divsChild>
                                <w:div w:id="1655837875">
                                  <w:marLeft w:val="0"/>
                                  <w:marRight w:val="0"/>
                                  <w:marTop w:val="0"/>
                                  <w:marBottom w:val="0"/>
                                  <w:divBdr>
                                    <w:top w:val="none" w:sz="0" w:space="0" w:color="auto"/>
                                    <w:left w:val="none" w:sz="0" w:space="0" w:color="auto"/>
                                    <w:bottom w:val="none" w:sz="0" w:space="0" w:color="auto"/>
                                    <w:right w:val="none" w:sz="0" w:space="0" w:color="auto"/>
                                  </w:divBdr>
                                  <w:divsChild>
                                    <w:div w:id="1826310905">
                                      <w:marLeft w:val="0"/>
                                      <w:marRight w:val="0"/>
                                      <w:marTop w:val="0"/>
                                      <w:marBottom w:val="0"/>
                                      <w:divBdr>
                                        <w:top w:val="none" w:sz="0" w:space="0" w:color="auto"/>
                                        <w:left w:val="none" w:sz="0" w:space="0" w:color="auto"/>
                                        <w:bottom w:val="none" w:sz="0" w:space="0" w:color="auto"/>
                                        <w:right w:val="none" w:sz="0" w:space="0" w:color="auto"/>
                                      </w:divBdr>
                                      <w:divsChild>
                                        <w:div w:id="1017124661">
                                          <w:marLeft w:val="0"/>
                                          <w:marRight w:val="0"/>
                                          <w:marTop w:val="0"/>
                                          <w:marBottom w:val="0"/>
                                          <w:divBdr>
                                            <w:top w:val="none" w:sz="0" w:space="0" w:color="auto"/>
                                            <w:left w:val="none" w:sz="0" w:space="0" w:color="auto"/>
                                            <w:bottom w:val="none" w:sz="0" w:space="0" w:color="auto"/>
                                            <w:right w:val="none" w:sz="0" w:space="0" w:color="auto"/>
                                          </w:divBdr>
                                          <w:divsChild>
                                            <w:div w:id="483816828">
                                              <w:marLeft w:val="0"/>
                                              <w:marRight w:val="0"/>
                                              <w:marTop w:val="0"/>
                                              <w:marBottom w:val="0"/>
                                              <w:divBdr>
                                                <w:top w:val="none" w:sz="0" w:space="0" w:color="auto"/>
                                                <w:left w:val="none" w:sz="0" w:space="0" w:color="auto"/>
                                                <w:bottom w:val="none" w:sz="0" w:space="0" w:color="auto"/>
                                                <w:right w:val="none" w:sz="0" w:space="0" w:color="auto"/>
                                              </w:divBdr>
                                              <w:divsChild>
                                                <w:div w:id="1089544885">
                                                  <w:marLeft w:val="0"/>
                                                  <w:marRight w:val="0"/>
                                                  <w:marTop w:val="0"/>
                                                  <w:marBottom w:val="0"/>
                                                  <w:divBdr>
                                                    <w:top w:val="none" w:sz="0" w:space="0" w:color="auto"/>
                                                    <w:left w:val="none" w:sz="0" w:space="0" w:color="auto"/>
                                                    <w:bottom w:val="none" w:sz="0" w:space="0" w:color="auto"/>
                                                    <w:right w:val="none" w:sz="0" w:space="0" w:color="auto"/>
                                                  </w:divBdr>
                                                  <w:divsChild>
                                                    <w:div w:id="1012688338">
                                                      <w:marLeft w:val="4725"/>
                                                      <w:marRight w:val="0"/>
                                                      <w:marTop w:val="0"/>
                                                      <w:marBottom w:val="0"/>
                                                      <w:divBdr>
                                                        <w:top w:val="single" w:sz="12" w:space="0" w:color="auto"/>
                                                        <w:left w:val="none" w:sz="0" w:space="0" w:color="auto"/>
                                                        <w:bottom w:val="single" w:sz="6" w:space="0" w:color="auto"/>
                                                        <w:right w:val="none" w:sz="0" w:space="0" w:color="auto"/>
                                                      </w:divBdr>
                                                      <w:divsChild>
                                                        <w:div w:id="118886272">
                                                          <w:marLeft w:val="0"/>
                                                          <w:marRight w:val="0"/>
                                                          <w:marTop w:val="0"/>
                                                          <w:marBottom w:val="0"/>
                                                          <w:divBdr>
                                                            <w:top w:val="none" w:sz="0" w:space="0" w:color="auto"/>
                                                            <w:left w:val="none" w:sz="0" w:space="0" w:color="auto"/>
                                                            <w:bottom w:val="none" w:sz="0" w:space="0" w:color="auto"/>
                                                            <w:right w:val="none" w:sz="0" w:space="0" w:color="auto"/>
                                                          </w:divBdr>
                                                          <w:divsChild>
                                                            <w:div w:id="1349483539">
                                                              <w:marLeft w:val="0"/>
                                                              <w:marRight w:val="0"/>
                                                              <w:marTop w:val="0"/>
                                                              <w:marBottom w:val="0"/>
                                                              <w:divBdr>
                                                                <w:top w:val="none" w:sz="0" w:space="0" w:color="auto"/>
                                                                <w:left w:val="none" w:sz="0" w:space="0" w:color="auto"/>
                                                                <w:bottom w:val="none" w:sz="0" w:space="0" w:color="auto"/>
                                                                <w:right w:val="none" w:sz="0" w:space="0" w:color="auto"/>
                                                              </w:divBdr>
                                                              <w:divsChild>
                                                                <w:div w:id="912859884">
                                                                  <w:marLeft w:val="0"/>
                                                                  <w:marRight w:val="0"/>
                                                                  <w:marTop w:val="0"/>
                                                                  <w:marBottom w:val="0"/>
                                                                  <w:divBdr>
                                                                    <w:top w:val="none" w:sz="0" w:space="0" w:color="auto"/>
                                                                    <w:left w:val="none" w:sz="0" w:space="0" w:color="auto"/>
                                                                    <w:bottom w:val="none" w:sz="0" w:space="0" w:color="auto"/>
                                                                    <w:right w:val="none" w:sz="0" w:space="0" w:color="auto"/>
                                                                  </w:divBdr>
                                                                  <w:divsChild>
                                                                    <w:div w:id="1513841392">
                                                                      <w:marLeft w:val="0"/>
                                                                      <w:marRight w:val="0"/>
                                                                      <w:marTop w:val="0"/>
                                                                      <w:marBottom w:val="0"/>
                                                                      <w:divBdr>
                                                                        <w:top w:val="none" w:sz="0" w:space="0" w:color="auto"/>
                                                                        <w:left w:val="none" w:sz="0" w:space="0" w:color="auto"/>
                                                                        <w:bottom w:val="none" w:sz="0" w:space="0" w:color="auto"/>
                                                                        <w:right w:val="none" w:sz="0" w:space="0" w:color="auto"/>
                                                                      </w:divBdr>
                                                                      <w:divsChild>
                                                                        <w:div w:id="384335423">
                                                                          <w:marLeft w:val="-75"/>
                                                                          <w:marRight w:val="0"/>
                                                                          <w:marTop w:val="30"/>
                                                                          <w:marBottom w:val="30"/>
                                                                          <w:divBdr>
                                                                            <w:top w:val="none" w:sz="0" w:space="0" w:color="auto"/>
                                                                            <w:left w:val="none" w:sz="0" w:space="0" w:color="auto"/>
                                                                            <w:bottom w:val="none" w:sz="0" w:space="0" w:color="auto"/>
                                                                            <w:right w:val="none" w:sz="0" w:space="0" w:color="auto"/>
                                                                          </w:divBdr>
                                                                          <w:divsChild>
                                                                            <w:div w:id="1021080134">
                                                                              <w:marLeft w:val="0"/>
                                                                              <w:marRight w:val="0"/>
                                                                              <w:marTop w:val="0"/>
                                                                              <w:marBottom w:val="0"/>
                                                                              <w:divBdr>
                                                                                <w:top w:val="none" w:sz="0" w:space="0" w:color="auto"/>
                                                                                <w:left w:val="none" w:sz="0" w:space="0" w:color="auto"/>
                                                                                <w:bottom w:val="none" w:sz="0" w:space="0" w:color="auto"/>
                                                                                <w:right w:val="none" w:sz="0" w:space="0" w:color="auto"/>
                                                                              </w:divBdr>
                                                                              <w:divsChild>
                                                                                <w:div w:id="1286423768">
                                                                                  <w:marLeft w:val="0"/>
                                                                                  <w:marRight w:val="0"/>
                                                                                  <w:marTop w:val="0"/>
                                                                                  <w:marBottom w:val="0"/>
                                                                                  <w:divBdr>
                                                                                    <w:top w:val="none" w:sz="0" w:space="0" w:color="auto"/>
                                                                                    <w:left w:val="none" w:sz="0" w:space="0" w:color="auto"/>
                                                                                    <w:bottom w:val="none" w:sz="0" w:space="0" w:color="auto"/>
                                                                                    <w:right w:val="none" w:sz="0" w:space="0" w:color="auto"/>
                                                                                  </w:divBdr>
                                                                                  <w:divsChild>
                                                                                    <w:div w:id="1418668384">
                                                                                      <w:marLeft w:val="0"/>
                                                                                      <w:marRight w:val="0"/>
                                                                                      <w:marTop w:val="0"/>
                                                                                      <w:marBottom w:val="0"/>
                                                                                      <w:divBdr>
                                                                                        <w:top w:val="none" w:sz="0" w:space="0" w:color="auto"/>
                                                                                        <w:left w:val="none" w:sz="0" w:space="0" w:color="auto"/>
                                                                                        <w:bottom w:val="none" w:sz="0" w:space="0" w:color="auto"/>
                                                                                        <w:right w:val="none" w:sz="0" w:space="0" w:color="auto"/>
                                                                                      </w:divBdr>
                                                                                      <w:divsChild>
                                                                                        <w:div w:id="1439442969">
                                                                                          <w:marLeft w:val="0"/>
                                                                                          <w:marRight w:val="0"/>
                                                                                          <w:marTop w:val="0"/>
                                                                                          <w:marBottom w:val="0"/>
                                                                                          <w:divBdr>
                                                                                            <w:top w:val="none" w:sz="0" w:space="0" w:color="auto"/>
                                                                                            <w:left w:val="none" w:sz="0" w:space="0" w:color="auto"/>
                                                                                            <w:bottom w:val="none" w:sz="0" w:space="0" w:color="auto"/>
                                                                                            <w:right w:val="none" w:sz="0" w:space="0" w:color="auto"/>
                                                                                          </w:divBdr>
                                                                                          <w:divsChild>
                                                                                            <w:div w:id="24867513">
                                                                                              <w:marLeft w:val="0"/>
                                                                                              <w:marRight w:val="0"/>
                                                                                              <w:marTop w:val="0"/>
                                                                                              <w:marBottom w:val="0"/>
                                                                                              <w:divBdr>
                                                                                                <w:top w:val="none" w:sz="0" w:space="0" w:color="auto"/>
                                                                                                <w:left w:val="none" w:sz="0" w:space="0" w:color="auto"/>
                                                                                                <w:bottom w:val="none" w:sz="0" w:space="0" w:color="auto"/>
                                                                                                <w:right w:val="none" w:sz="0" w:space="0" w:color="auto"/>
                                                                                              </w:divBdr>
                                                                                              <w:divsChild>
                                                                                                <w:div w:id="1237059274">
                                                                                                  <w:marLeft w:val="0"/>
                                                                                                  <w:marRight w:val="0"/>
                                                                                                  <w:marTop w:val="0"/>
                                                                                                  <w:marBottom w:val="0"/>
                                                                                                  <w:divBdr>
                                                                                                    <w:top w:val="none" w:sz="0" w:space="0" w:color="auto"/>
                                                                                                    <w:left w:val="none" w:sz="0" w:space="0" w:color="auto"/>
                                                                                                    <w:bottom w:val="none" w:sz="0" w:space="0" w:color="auto"/>
                                                                                                    <w:right w:val="none" w:sz="0" w:space="0" w:color="auto"/>
                                                                                                  </w:divBdr>
                                                                                                </w:div>
                                                                                                <w:div w:id="1475098558">
                                                                                                  <w:marLeft w:val="0"/>
                                                                                                  <w:marRight w:val="0"/>
                                                                                                  <w:marTop w:val="0"/>
                                                                                                  <w:marBottom w:val="0"/>
                                                                                                  <w:divBdr>
                                                                                                    <w:top w:val="none" w:sz="0" w:space="0" w:color="auto"/>
                                                                                                    <w:left w:val="none" w:sz="0" w:space="0" w:color="auto"/>
                                                                                                    <w:bottom w:val="none" w:sz="0" w:space="0" w:color="auto"/>
                                                                                                    <w:right w:val="none" w:sz="0" w:space="0" w:color="auto"/>
                                                                                                  </w:divBdr>
                                                                                                </w:div>
                                                                                                <w:div w:id="1532693287">
                                                                                                  <w:marLeft w:val="0"/>
                                                                                                  <w:marRight w:val="0"/>
                                                                                                  <w:marTop w:val="0"/>
                                                                                                  <w:marBottom w:val="0"/>
                                                                                                  <w:divBdr>
                                                                                                    <w:top w:val="none" w:sz="0" w:space="0" w:color="auto"/>
                                                                                                    <w:left w:val="none" w:sz="0" w:space="0" w:color="auto"/>
                                                                                                    <w:bottom w:val="none" w:sz="0" w:space="0" w:color="auto"/>
                                                                                                    <w:right w:val="none" w:sz="0" w:space="0" w:color="auto"/>
                                                                                                  </w:divBdr>
                                                                                                </w:div>
                                                                                                <w:div w:id="1869487330">
                                                                                                  <w:marLeft w:val="0"/>
                                                                                                  <w:marRight w:val="0"/>
                                                                                                  <w:marTop w:val="0"/>
                                                                                                  <w:marBottom w:val="0"/>
                                                                                                  <w:divBdr>
                                                                                                    <w:top w:val="none" w:sz="0" w:space="0" w:color="auto"/>
                                                                                                    <w:left w:val="none" w:sz="0" w:space="0" w:color="auto"/>
                                                                                                    <w:bottom w:val="none" w:sz="0" w:space="0" w:color="auto"/>
                                                                                                    <w:right w:val="none" w:sz="0" w:space="0" w:color="auto"/>
                                                                                                  </w:divBdr>
                                                                                                </w:div>
                                                                                                <w:div w:id="1980920392">
                                                                                                  <w:marLeft w:val="0"/>
                                                                                                  <w:marRight w:val="0"/>
                                                                                                  <w:marTop w:val="0"/>
                                                                                                  <w:marBottom w:val="0"/>
                                                                                                  <w:divBdr>
                                                                                                    <w:top w:val="none" w:sz="0" w:space="0" w:color="auto"/>
                                                                                                    <w:left w:val="none" w:sz="0" w:space="0" w:color="auto"/>
                                                                                                    <w:bottom w:val="none" w:sz="0" w:space="0" w:color="auto"/>
                                                                                                    <w:right w:val="none" w:sz="0" w:space="0" w:color="auto"/>
                                                                                                  </w:divBdr>
                                                                                                </w:div>
                                                                                              </w:divsChild>
                                                                                            </w:div>
                                                                                            <w:div w:id="348410139">
                                                                                              <w:marLeft w:val="0"/>
                                                                                              <w:marRight w:val="0"/>
                                                                                              <w:marTop w:val="0"/>
                                                                                              <w:marBottom w:val="0"/>
                                                                                              <w:divBdr>
                                                                                                <w:top w:val="none" w:sz="0" w:space="0" w:color="auto"/>
                                                                                                <w:left w:val="none" w:sz="0" w:space="0" w:color="auto"/>
                                                                                                <w:bottom w:val="none" w:sz="0" w:space="0" w:color="auto"/>
                                                                                                <w:right w:val="none" w:sz="0" w:space="0" w:color="auto"/>
                                                                                              </w:divBdr>
                                                                                              <w:divsChild>
                                                                                                <w:div w:id="988243540">
                                                                                                  <w:marLeft w:val="0"/>
                                                                                                  <w:marRight w:val="0"/>
                                                                                                  <w:marTop w:val="0"/>
                                                                                                  <w:marBottom w:val="0"/>
                                                                                                  <w:divBdr>
                                                                                                    <w:top w:val="none" w:sz="0" w:space="0" w:color="auto"/>
                                                                                                    <w:left w:val="none" w:sz="0" w:space="0" w:color="auto"/>
                                                                                                    <w:bottom w:val="none" w:sz="0" w:space="0" w:color="auto"/>
                                                                                                    <w:right w:val="none" w:sz="0" w:space="0" w:color="auto"/>
                                                                                                  </w:divBdr>
                                                                                                </w:div>
                                                                                                <w:div w:id="1165825654">
                                                                                                  <w:marLeft w:val="0"/>
                                                                                                  <w:marRight w:val="0"/>
                                                                                                  <w:marTop w:val="0"/>
                                                                                                  <w:marBottom w:val="0"/>
                                                                                                  <w:divBdr>
                                                                                                    <w:top w:val="none" w:sz="0" w:space="0" w:color="auto"/>
                                                                                                    <w:left w:val="none" w:sz="0" w:space="0" w:color="auto"/>
                                                                                                    <w:bottom w:val="none" w:sz="0" w:space="0" w:color="auto"/>
                                                                                                    <w:right w:val="none" w:sz="0" w:space="0" w:color="auto"/>
                                                                                                  </w:divBdr>
                                                                                                </w:div>
                                                                                                <w:div w:id="1353412419">
                                                                                                  <w:marLeft w:val="0"/>
                                                                                                  <w:marRight w:val="0"/>
                                                                                                  <w:marTop w:val="0"/>
                                                                                                  <w:marBottom w:val="0"/>
                                                                                                  <w:divBdr>
                                                                                                    <w:top w:val="none" w:sz="0" w:space="0" w:color="auto"/>
                                                                                                    <w:left w:val="none" w:sz="0" w:space="0" w:color="auto"/>
                                                                                                    <w:bottom w:val="none" w:sz="0" w:space="0" w:color="auto"/>
                                                                                                    <w:right w:val="none" w:sz="0" w:space="0" w:color="auto"/>
                                                                                                  </w:divBdr>
                                                                                                </w:div>
                                                                                                <w:div w:id="1390152757">
                                                                                                  <w:marLeft w:val="0"/>
                                                                                                  <w:marRight w:val="0"/>
                                                                                                  <w:marTop w:val="0"/>
                                                                                                  <w:marBottom w:val="0"/>
                                                                                                  <w:divBdr>
                                                                                                    <w:top w:val="none" w:sz="0" w:space="0" w:color="auto"/>
                                                                                                    <w:left w:val="none" w:sz="0" w:space="0" w:color="auto"/>
                                                                                                    <w:bottom w:val="none" w:sz="0" w:space="0" w:color="auto"/>
                                                                                                    <w:right w:val="none" w:sz="0" w:space="0" w:color="auto"/>
                                                                                                  </w:divBdr>
                                                                                                </w:div>
                                                                                                <w:div w:id="1988631044">
                                                                                                  <w:marLeft w:val="0"/>
                                                                                                  <w:marRight w:val="0"/>
                                                                                                  <w:marTop w:val="0"/>
                                                                                                  <w:marBottom w:val="0"/>
                                                                                                  <w:divBdr>
                                                                                                    <w:top w:val="none" w:sz="0" w:space="0" w:color="auto"/>
                                                                                                    <w:left w:val="none" w:sz="0" w:space="0" w:color="auto"/>
                                                                                                    <w:bottom w:val="none" w:sz="0" w:space="0" w:color="auto"/>
                                                                                                    <w:right w:val="none" w:sz="0" w:space="0" w:color="auto"/>
                                                                                                  </w:divBdr>
                                                                                                </w:div>
                                                                                              </w:divsChild>
                                                                                            </w:div>
                                                                                            <w:div w:id="365757626">
                                                                                              <w:marLeft w:val="0"/>
                                                                                              <w:marRight w:val="0"/>
                                                                                              <w:marTop w:val="0"/>
                                                                                              <w:marBottom w:val="0"/>
                                                                                              <w:divBdr>
                                                                                                <w:top w:val="none" w:sz="0" w:space="0" w:color="auto"/>
                                                                                                <w:left w:val="none" w:sz="0" w:space="0" w:color="auto"/>
                                                                                                <w:bottom w:val="none" w:sz="0" w:space="0" w:color="auto"/>
                                                                                                <w:right w:val="none" w:sz="0" w:space="0" w:color="auto"/>
                                                                                              </w:divBdr>
                                                                                              <w:divsChild>
                                                                                                <w:div w:id="1927759414">
                                                                                                  <w:marLeft w:val="0"/>
                                                                                                  <w:marRight w:val="0"/>
                                                                                                  <w:marTop w:val="30"/>
                                                                                                  <w:marBottom w:val="30"/>
                                                                                                  <w:divBdr>
                                                                                                    <w:top w:val="none" w:sz="0" w:space="0" w:color="auto"/>
                                                                                                    <w:left w:val="none" w:sz="0" w:space="0" w:color="auto"/>
                                                                                                    <w:bottom w:val="none" w:sz="0" w:space="0" w:color="auto"/>
                                                                                                    <w:right w:val="none" w:sz="0" w:space="0" w:color="auto"/>
                                                                                                  </w:divBdr>
                                                                                                  <w:divsChild>
                                                                                                    <w:div w:id="152644545">
                                                                                                      <w:marLeft w:val="0"/>
                                                                                                      <w:marRight w:val="0"/>
                                                                                                      <w:marTop w:val="0"/>
                                                                                                      <w:marBottom w:val="0"/>
                                                                                                      <w:divBdr>
                                                                                                        <w:top w:val="none" w:sz="0" w:space="0" w:color="auto"/>
                                                                                                        <w:left w:val="none" w:sz="0" w:space="0" w:color="auto"/>
                                                                                                        <w:bottom w:val="none" w:sz="0" w:space="0" w:color="auto"/>
                                                                                                        <w:right w:val="none" w:sz="0" w:space="0" w:color="auto"/>
                                                                                                      </w:divBdr>
                                                                                                      <w:divsChild>
                                                                                                        <w:div w:id="418991219">
                                                                                                          <w:marLeft w:val="0"/>
                                                                                                          <w:marRight w:val="0"/>
                                                                                                          <w:marTop w:val="0"/>
                                                                                                          <w:marBottom w:val="0"/>
                                                                                                          <w:divBdr>
                                                                                                            <w:top w:val="none" w:sz="0" w:space="0" w:color="auto"/>
                                                                                                            <w:left w:val="none" w:sz="0" w:space="0" w:color="auto"/>
                                                                                                            <w:bottom w:val="none" w:sz="0" w:space="0" w:color="auto"/>
                                                                                                            <w:right w:val="none" w:sz="0" w:space="0" w:color="auto"/>
                                                                                                          </w:divBdr>
                                                                                                        </w:div>
                                                                                                      </w:divsChild>
                                                                                                    </w:div>
                                                                                                    <w:div w:id="198855039">
                                                                                                      <w:marLeft w:val="0"/>
                                                                                                      <w:marRight w:val="0"/>
                                                                                                      <w:marTop w:val="0"/>
                                                                                                      <w:marBottom w:val="0"/>
                                                                                                      <w:divBdr>
                                                                                                        <w:top w:val="none" w:sz="0" w:space="0" w:color="auto"/>
                                                                                                        <w:left w:val="none" w:sz="0" w:space="0" w:color="auto"/>
                                                                                                        <w:bottom w:val="none" w:sz="0" w:space="0" w:color="auto"/>
                                                                                                        <w:right w:val="none" w:sz="0" w:space="0" w:color="auto"/>
                                                                                                      </w:divBdr>
                                                                                                      <w:divsChild>
                                                                                                        <w:div w:id="405109072">
                                                                                                          <w:marLeft w:val="0"/>
                                                                                                          <w:marRight w:val="0"/>
                                                                                                          <w:marTop w:val="0"/>
                                                                                                          <w:marBottom w:val="0"/>
                                                                                                          <w:divBdr>
                                                                                                            <w:top w:val="none" w:sz="0" w:space="0" w:color="auto"/>
                                                                                                            <w:left w:val="none" w:sz="0" w:space="0" w:color="auto"/>
                                                                                                            <w:bottom w:val="none" w:sz="0" w:space="0" w:color="auto"/>
                                                                                                            <w:right w:val="none" w:sz="0" w:space="0" w:color="auto"/>
                                                                                                          </w:divBdr>
                                                                                                        </w:div>
                                                                                                      </w:divsChild>
                                                                                                    </w:div>
                                                                                                    <w:div w:id="348482924">
                                                                                                      <w:marLeft w:val="0"/>
                                                                                                      <w:marRight w:val="0"/>
                                                                                                      <w:marTop w:val="0"/>
                                                                                                      <w:marBottom w:val="0"/>
                                                                                                      <w:divBdr>
                                                                                                        <w:top w:val="none" w:sz="0" w:space="0" w:color="auto"/>
                                                                                                        <w:left w:val="none" w:sz="0" w:space="0" w:color="auto"/>
                                                                                                        <w:bottom w:val="none" w:sz="0" w:space="0" w:color="auto"/>
                                                                                                        <w:right w:val="none" w:sz="0" w:space="0" w:color="auto"/>
                                                                                                      </w:divBdr>
                                                                                                      <w:divsChild>
                                                                                                        <w:div w:id="734015872">
                                                                                                          <w:marLeft w:val="0"/>
                                                                                                          <w:marRight w:val="0"/>
                                                                                                          <w:marTop w:val="0"/>
                                                                                                          <w:marBottom w:val="0"/>
                                                                                                          <w:divBdr>
                                                                                                            <w:top w:val="none" w:sz="0" w:space="0" w:color="auto"/>
                                                                                                            <w:left w:val="none" w:sz="0" w:space="0" w:color="auto"/>
                                                                                                            <w:bottom w:val="none" w:sz="0" w:space="0" w:color="auto"/>
                                                                                                            <w:right w:val="none" w:sz="0" w:space="0" w:color="auto"/>
                                                                                                          </w:divBdr>
                                                                                                        </w:div>
                                                                                                      </w:divsChild>
                                                                                                    </w:div>
                                                                                                    <w:div w:id="410203170">
                                                                                                      <w:marLeft w:val="0"/>
                                                                                                      <w:marRight w:val="0"/>
                                                                                                      <w:marTop w:val="0"/>
                                                                                                      <w:marBottom w:val="0"/>
                                                                                                      <w:divBdr>
                                                                                                        <w:top w:val="none" w:sz="0" w:space="0" w:color="auto"/>
                                                                                                        <w:left w:val="none" w:sz="0" w:space="0" w:color="auto"/>
                                                                                                        <w:bottom w:val="none" w:sz="0" w:space="0" w:color="auto"/>
                                                                                                        <w:right w:val="none" w:sz="0" w:space="0" w:color="auto"/>
                                                                                                      </w:divBdr>
                                                                                                      <w:divsChild>
                                                                                                        <w:div w:id="736898682">
                                                                                                          <w:marLeft w:val="0"/>
                                                                                                          <w:marRight w:val="0"/>
                                                                                                          <w:marTop w:val="0"/>
                                                                                                          <w:marBottom w:val="0"/>
                                                                                                          <w:divBdr>
                                                                                                            <w:top w:val="none" w:sz="0" w:space="0" w:color="auto"/>
                                                                                                            <w:left w:val="none" w:sz="0" w:space="0" w:color="auto"/>
                                                                                                            <w:bottom w:val="none" w:sz="0" w:space="0" w:color="auto"/>
                                                                                                            <w:right w:val="none" w:sz="0" w:space="0" w:color="auto"/>
                                                                                                          </w:divBdr>
                                                                                                        </w:div>
                                                                                                      </w:divsChild>
                                                                                                    </w:div>
                                                                                                    <w:div w:id="457455207">
                                                                                                      <w:marLeft w:val="0"/>
                                                                                                      <w:marRight w:val="0"/>
                                                                                                      <w:marTop w:val="0"/>
                                                                                                      <w:marBottom w:val="0"/>
                                                                                                      <w:divBdr>
                                                                                                        <w:top w:val="none" w:sz="0" w:space="0" w:color="auto"/>
                                                                                                        <w:left w:val="none" w:sz="0" w:space="0" w:color="auto"/>
                                                                                                        <w:bottom w:val="none" w:sz="0" w:space="0" w:color="auto"/>
                                                                                                        <w:right w:val="none" w:sz="0" w:space="0" w:color="auto"/>
                                                                                                      </w:divBdr>
                                                                                                      <w:divsChild>
                                                                                                        <w:div w:id="782579870">
                                                                                                          <w:marLeft w:val="0"/>
                                                                                                          <w:marRight w:val="0"/>
                                                                                                          <w:marTop w:val="0"/>
                                                                                                          <w:marBottom w:val="0"/>
                                                                                                          <w:divBdr>
                                                                                                            <w:top w:val="none" w:sz="0" w:space="0" w:color="auto"/>
                                                                                                            <w:left w:val="none" w:sz="0" w:space="0" w:color="auto"/>
                                                                                                            <w:bottom w:val="none" w:sz="0" w:space="0" w:color="auto"/>
                                                                                                            <w:right w:val="none" w:sz="0" w:space="0" w:color="auto"/>
                                                                                                          </w:divBdr>
                                                                                                        </w:div>
                                                                                                      </w:divsChild>
                                                                                                    </w:div>
                                                                                                    <w:div w:id="653023735">
                                                                                                      <w:marLeft w:val="0"/>
                                                                                                      <w:marRight w:val="0"/>
                                                                                                      <w:marTop w:val="0"/>
                                                                                                      <w:marBottom w:val="0"/>
                                                                                                      <w:divBdr>
                                                                                                        <w:top w:val="none" w:sz="0" w:space="0" w:color="auto"/>
                                                                                                        <w:left w:val="none" w:sz="0" w:space="0" w:color="auto"/>
                                                                                                        <w:bottom w:val="none" w:sz="0" w:space="0" w:color="auto"/>
                                                                                                        <w:right w:val="none" w:sz="0" w:space="0" w:color="auto"/>
                                                                                                      </w:divBdr>
                                                                                                      <w:divsChild>
                                                                                                        <w:div w:id="1541017876">
                                                                                                          <w:marLeft w:val="0"/>
                                                                                                          <w:marRight w:val="0"/>
                                                                                                          <w:marTop w:val="0"/>
                                                                                                          <w:marBottom w:val="0"/>
                                                                                                          <w:divBdr>
                                                                                                            <w:top w:val="none" w:sz="0" w:space="0" w:color="auto"/>
                                                                                                            <w:left w:val="none" w:sz="0" w:space="0" w:color="auto"/>
                                                                                                            <w:bottom w:val="none" w:sz="0" w:space="0" w:color="auto"/>
                                                                                                            <w:right w:val="none" w:sz="0" w:space="0" w:color="auto"/>
                                                                                                          </w:divBdr>
                                                                                                        </w:div>
                                                                                                      </w:divsChild>
                                                                                                    </w:div>
                                                                                                    <w:div w:id="665014660">
                                                                                                      <w:marLeft w:val="0"/>
                                                                                                      <w:marRight w:val="0"/>
                                                                                                      <w:marTop w:val="0"/>
                                                                                                      <w:marBottom w:val="0"/>
                                                                                                      <w:divBdr>
                                                                                                        <w:top w:val="none" w:sz="0" w:space="0" w:color="auto"/>
                                                                                                        <w:left w:val="none" w:sz="0" w:space="0" w:color="auto"/>
                                                                                                        <w:bottom w:val="none" w:sz="0" w:space="0" w:color="auto"/>
                                                                                                        <w:right w:val="none" w:sz="0" w:space="0" w:color="auto"/>
                                                                                                      </w:divBdr>
                                                                                                      <w:divsChild>
                                                                                                        <w:div w:id="781612218">
                                                                                                          <w:marLeft w:val="0"/>
                                                                                                          <w:marRight w:val="0"/>
                                                                                                          <w:marTop w:val="0"/>
                                                                                                          <w:marBottom w:val="0"/>
                                                                                                          <w:divBdr>
                                                                                                            <w:top w:val="none" w:sz="0" w:space="0" w:color="auto"/>
                                                                                                            <w:left w:val="none" w:sz="0" w:space="0" w:color="auto"/>
                                                                                                            <w:bottom w:val="none" w:sz="0" w:space="0" w:color="auto"/>
                                                                                                            <w:right w:val="none" w:sz="0" w:space="0" w:color="auto"/>
                                                                                                          </w:divBdr>
                                                                                                        </w:div>
                                                                                                      </w:divsChild>
                                                                                                    </w:div>
                                                                                                    <w:div w:id="806896353">
                                                                                                      <w:marLeft w:val="0"/>
                                                                                                      <w:marRight w:val="0"/>
                                                                                                      <w:marTop w:val="0"/>
                                                                                                      <w:marBottom w:val="0"/>
                                                                                                      <w:divBdr>
                                                                                                        <w:top w:val="none" w:sz="0" w:space="0" w:color="auto"/>
                                                                                                        <w:left w:val="none" w:sz="0" w:space="0" w:color="auto"/>
                                                                                                        <w:bottom w:val="none" w:sz="0" w:space="0" w:color="auto"/>
                                                                                                        <w:right w:val="none" w:sz="0" w:space="0" w:color="auto"/>
                                                                                                      </w:divBdr>
                                                                                                      <w:divsChild>
                                                                                                        <w:div w:id="1256210337">
                                                                                                          <w:marLeft w:val="0"/>
                                                                                                          <w:marRight w:val="0"/>
                                                                                                          <w:marTop w:val="0"/>
                                                                                                          <w:marBottom w:val="0"/>
                                                                                                          <w:divBdr>
                                                                                                            <w:top w:val="none" w:sz="0" w:space="0" w:color="auto"/>
                                                                                                            <w:left w:val="none" w:sz="0" w:space="0" w:color="auto"/>
                                                                                                            <w:bottom w:val="none" w:sz="0" w:space="0" w:color="auto"/>
                                                                                                            <w:right w:val="none" w:sz="0" w:space="0" w:color="auto"/>
                                                                                                          </w:divBdr>
                                                                                                        </w:div>
                                                                                                      </w:divsChild>
                                                                                                    </w:div>
                                                                                                    <w:div w:id="1215121816">
                                                                                                      <w:marLeft w:val="0"/>
                                                                                                      <w:marRight w:val="0"/>
                                                                                                      <w:marTop w:val="0"/>
                                                                                                      <w:marBottom w:val="0"/>
                                                                                                      <w:divBdr>
                                                                                                        <w:top w:val="none" w:sz="0" w:space="0" w:color="auto"/>
                                                                                                        <w:left w:val="none" w:sz="0" w:space="0" w:color="auto"/>
                                                                                                        <w:bottom w:val="none" w:sz="0" w:space="0" w:color="auto"/>
                                                                                                        <w:right w:val="none" w:sz="0" w:space="0" w:color="auto"/>
                                                                                                      </w:divBdr>
                                                                                                      <w:divsChild>
                                                                                                        <w:div w:id="1268079417">
                                                                                                          <w:marLeft w:val="0"/>
                                                                                                          <w:marRight w:val="0"/>
                                                                                                          <w:marTop w:val="0"/>
                                                                                                          <w:marBottom w:val="0"/>
                                                                                                          <w:divBdr>
                                                                                                            <w:top w:val="none" w:sz="0" w:space="0" w:color="auto"/>
                                                                                                            <w:left w:val="none" w:sz="0" w:space="0" w:color="auto"/>
                                                                                                            <w:bottom w:val="none" w:sz="0" w:space="0" w:color="auto"/>
                                                                                                            <w:right w:val="none" w:sz="0" w:space="0" w:color="auto"/>
                                                                                                          </w:divBdr>
                                                                                                        </w:div>
                                                                                                      </w:divsChild>
                                                                                                    </w:div>
                                                                                                    <w:div w:id="1273434425">
                                                                                                      <w:marLeft w:val="0"/>
                                                                                                      <w:marRight w:val="0"/>
                                                                                                      <w:marTop w:val="0"/>
                                                                                                      <w:marBottom w:val="0"/>
                                                                                                      <w:divBdr>
                                                                                                        <w:top w:val="none" w:sz="0" w:space="0" w:color="auto"/>
                                                                                                        <w:left w:val="none" w:sz="0" w:space="0" w:color="auto"/>
                                                                                                        <w:bottom w:val="none" w:sz="0" w:space="0" w:color="auto"/>
                                                                                                        <w:right w:val="none" w:sz="0" w:space="0" w:color="auto"/>
                                                                                                      </w:divBdr>
                                                                                                      <w:divsChild>
                                                                                                        <w:div w:id="44719359">
                                                                                                          <w:marLeft w:val="0"/>
                                                                                                          <w:marRight w:val="0"/>
                                                                                                          <w:marTop w:val="0"/>
                                                                                                          <w:marBottom w:val="0"/>
                                                                                                          <w:divBdr>
                                                                                                            <w:top w:val="none" w:sz="0" w:space="0" w:color="auto"/>
                                                                                                            <w:left w:val="none" w:sz="0" w:space="0" w:color="auto"/>
                                                                                                            <w:bottom w:val="none" w:sz="0" w:space="0" w:color="auto"/>
                                                                                                            <w:right w:val="none" w:sz="0" w:space="0" w:color="auto"/>
                                                                                                          </w:divBdr>
                                                                                                        </w:div>
                                                                                                      </w:divsChild>
                                                                                                    </w:div>
                                                                                                    <w:div w:id="1324968307">
                                                                                                      <w:marLeft w:val="0"/>
                                                                                                      <w:marRight w:val="0"/>
                                                                                                      <w:marTop w:val="0"/>
                                                                                                      <w:marBottom w:val="0"/>
                                                                                                      <w:divBdr>
                                                                                                        <w:top w:val="none" w:sz="0" w:space="0" w:color="auto"/>
                                                                                                        <w:left w:val="none" w:sz="0" w:space="0" w:color="auto"/>
                                                                                                        <w:bottom w:val="none" w:sz="0" w:space="0" w:color="auto"/>
                                                                                                        <w:right w:val="none" w:sz="0" w:space="0" w:color="auto"/>
                                                                                                      </w:divBdr>
                                                                                                      <w:divsChild>
                                                                                                        <w:div w:id="1507212845">
                                                                                                          <w:marLeft w:val="0"/>
                                                                                                          <w:marRight w:val="0"/>
                                                                                                          <w:marTop w:val="0"/>
                                                                                                          <w:marBottom w:val="0"/>
                                                                                                          <w:divBdr>
                                                                                                            <w:top w:val="none" w:sz="0" w:space="0" w:color="auto"/>
                                                                                                            <w:left w:val="none" w:sz="0" w:space="0" w:color="auto"/>
                                                                                                            <w:bottom w:val="none" w:sz="0" w:space="0" w:color="auto"/>
                                                                                                            <w:right w:val="none" w:sz="0" w:space="0" w:color="auto"/>
                                                                                                          </w:divBdr>
                                                                                                        </w:div>
                                                                                                      </w:divsChild>
                                                                                                    </w:div>
                                                                                                    <w:div w:id="1423143650">
                                                                                                      <w:marLeft w:val="0"/>
                                                                                                      <w:marRight w:val="0"/>
                                                                                                      <w:marTop w:val="0"/>
                                                                                                      <w:marBottom w:val="0"/>
                                                                                                      <w:divBdr>
                                                                                                        <w:top w:val="none" w:sz="0" w:space="0" w:color="auto"/>
                                                                                                        <w:left w:val="none" w:sz="0" w:space="0" w:color="auto"/>
                                                                                                        <w:bottom w:val="none" w:sz="0" w:space="0" w:color="auto"/>
                                                                                                        <w:right w:val="none" w:sz="0" w:space="0" w:color="auto"/>
                                                                                                      </w:divBdr>
                                                                                                      <w:divsChild>
                                                                                                        <w:div w:id="550851952">
                                                                                                          <w:marLeft w:val="0"/>
                                                                                                          <w:marRight w:val="0"/>
                                                                                                          <w:marTop w:val="0"/>
                                                                                                          <w:marBottom w:val="0"/>
                                                                                                          <w:divBdr>
                                                                                                            <w:top w:val="none" w:sz="0" w:space="0" w:color="auto"/>
                                                                                                            <w:left w:val="none" w:sz="0" w:space="0" w:color="auto"/>
                                                                                                            <w:bottom w:val="none" w:sz="0" w:space="0" w:color="auto"/>
                                                                                                            <w:right w:val="none" w:sz="0" w:space="0" w:color="auto"/>
                                                                                                          </w:divBdr>
                                                                                                        </w:div>
                                                                                                      </w:divsChild>
                                                                                                    </w:div>
                                                                                                    <w:div w:id="1490976219">
                                                                                                      <w:marLeft w:val="0"/>
                                                                                                      <w:marRight w:val="0"/>
                                                                                                      <w:marTop w:val="0"/>
                                                                                                      <w:marBottom w:val="0"/>
                                                                                                      <w:divBdr>
                                                                                                        <w:top w:val="none" w:sz="0" w:space="0" w:color="auto"/>
                                                                                                        <w:left w:val="none" w:sz="0" w:space="0" w:color="auto"/>
                                                                                                        <w:bottom w:val="none" w:sz="0" w:space="0" w:color="auto"/>
                                                                                                        <w:right w:val="none" w:sz="0" w:space="0" w:color="auto"/>
                                                                                                      </w:divBdr>
                                                                                                      <w:divsChild>
                                                                                                        <w:div w:id="608003275">
                                                                                                          <w:marLeft w:val="0"/>
                                                                                                          <w:marRight w:val="0"/>
                                                                                                          <w:marTop w:val="0"/>
                                                                                                          <w:marBottom w:val="0"/>
                                                                                                          <w:divBdr>
                                                                                                            <w:top w:val="none" w:sz="0" w:space="0" w:color="auto"/>
                                                                                                            <w:left w:val="none" w:sz="0" w:space="0" w:color="auto"/>
                                                                                                            <w:bottom w:val="none" w:sz="0" w:space="0" w:color="auto"/>
                                                                                                            <w:right w:val="none" w:sz="0" w:space="0" w:color="auto"/>
                                                                                                          </w:divBdr>
                                                                                                        </w:div>
                                                                                                      </w:divsChild>
                                                                                                    </w:div>
                                                                                                    <w:div w:id="1724910841">
                                                                                                      <w:marLeft w:val="0"/>
                                                                                                      <w:marRight w:val="0"/>
                                                                                                      <w:marTop w:val="0"/>
                                                                                                      <w:marBottom w:val="0"/>
                                                                                                      <w:divBdr>
                                                                                                        <w:top w:val="none" w:sz="0" w:space="0" w:color="auto"/>
                                                                                                        <w:left w:val="none" w:sz="0" w:space="0" w:color="auto"/>
                                                                                                        <w:bottom w:val="none" w:sz="0" w:space="0" w:color="auto"/>
                                                                                                        <w:right w:val="none" w:sz="0" w:space="0" w:color="auto"/>
                                                                                                      </w:divBdr>
                                                                                                      <w:divsChild>
                                                                                                        <w:div w:id="1506898381">
                                                                                                          <w:marLeft w:val="0"/>
                                                                                                          <w:marRight w:val="0"/>
                                                                                                          <w:marTop w:val="0"/>
                                                                                                          <w:marBottom w:val="0"/>
                                                                                                          <w:divBdr>
                                                                                                            <w:top w:val="none" w:sz="0" w:space="0" w:color="auto"/>
                                                                                                            <w:left w:val="none" w:sz="0" w:space="0" w:color="auto"/>
                                                                                                            <w:bottom w:val="none" w:sz="0" w:space="0" w:color="auto"/>
                                                                                                            <w:right w:val="none" w:sz="0" w:space="0" w:color="auto"/>
                                                                                                          </w:divBdr>
                                                                                                        </w:div>
                                                                                                      </w:divsChild>
                                                                                                    </w:div>
                                                                                                    <w:div w:id="1727071998">
                                                                                                      <w:marLeft w:val="0"/>
                                                                                                      <w:marRight w:val="0"/>
                                                                                                      <w:marTop w:val="0"/>
                                                                                                      <w:marBottom w:val="0"/>
                                                                                                      <w:divBdr>
                                                                                                        <w:top w:val="none" w:sz="0" w:space="0" w:color="auto"/>
                                                                                                        <w:left w:val="none" w:sz="0" w:space="0" w:color="auto"/>
                                                                                                        <w:bottom w:val="none" w:sz="0" w:space="0" w:color="auto"/>
                                                                                                        <w:right w:val="none" w:sz="0" w:space="0" w:color="auto"/>
                                                                                                      </w:divBdr>
                                                                                                      <w:divsChild>
                                                                                                        <w:div w:id="967710958">
                                                                                                          <w:marLeft w:val="0"/>
                                                                                                          <w:marRight w:val="0"/>
                                                                                                          <w:marTop w:val="0"/>
                                                                                                          <w:marBottom w:val="0"/>
                                                                                                          <w:divBdr>
                                                                                                            <w:top w:val="none" w:sz="0" w:space="0" w:color="auto"/>
                                                                                                            <w:left w:val="none" w:sz="0" w:space="0" w:color="auto"/>
                                                                                                            <w:bottom w:val="none" w:sz="0" w:space="0" w:color="auto"/>
                                                                                                            <w:right w:val="none" w:sz="0" w:space="0" w:color="auto"/>
                                                                                                          </w:divBdr>
                                                                                                        </w:div>
                                                                                                      </w:divsChild>
                                                                                                    </w:div>
                                                                                                    <w:div w:id="1732730578">
                                                                                                      <w:marLeft w:val="0"/>
                                                                                                      <w:marRight w:val="0"/>
                                                                                                      <w:marTop w:val="0"/>
                                                                                                      <w:marBottom w:val="0"/>
                                                                                                      <w:divBdr>
                                                                                                        <w:top w:val="none" w:sz="0" w:space="0" w:color="auto"/>
                                                                                                        <w:left w:val="none" w:sz="0" w:space="0" w:color="auto"/>
                                                                                                        <w:bottom w:val="none" w:sz="0" w:space="0" w:color="auto"/>
                                                                                                        <w:right w:val="none" w:sz="0" w:space="0" w:color="auto"/>
                                                                                                      </w:divBdr>
                                                                                                      <w:divsChild>
                                                                                                        <w:div w:id="151602090">
                                                                                                          <w:marLeft w:val="0"/>
                                                                                                          <w:marRight w:val="0"/>
                                                                                                          <w:marTop w:val="0"/>
                                                                                                          <w:marBottom w:val="0"/>
                                                                                                          <w:divBdr>
                                                                                                            <w:top w:val="none" w:sz="0" w:space="0" w:color="auto"/>
                                                                                                            <w:left w:val="none" w:sz="0" w:space="0" w:color="auto"/>
                                                                                                            <w:bottom w:val="none" w:sz="0" w:space="0" w:color="auto"/>
                                                                                                            <w:right w:val="none" w:sz="0" w:space="0" w:color="auto"/>
                                                                                                          </w:divBdr>
                                                                                                        </w:div>
                                                                                                      </w:divsChild>
                                                                                                    </w:div>
                                                                                                    <w:div w:id="1865703552">
                                                                                                      <w:marLeft w:val="0"/>
                                                                                                      <w:marRight w:val="0"/>
                                                                                                      <w:marTop w:val="0"/>
                                                                                                      <w:marBottom w:val="0"/>
                                                                                                      <w:divBdr>
                                                                                                        <w:top w:val="none" w:sz="0" w:space="0" w:color="auto"/>
                                                                                                        <w:left w:val="none" w:sz="0" w:space="0" w:color="auto"/>
                                                                                                        <w:bottom w:val="none" w:sz="0" w:space="0" w:color="auto"/>
                                                                                                        <w:right w:val="none" w:sz="0" w:space="0" w:color="auto"/>
                                                                                                      </w:divBdr>
                                                                                                      <w:divsChild>
                                                                                                        <w:div w:id="836116538">
                                                                                                          <w:marLeft w:val="0"/>
                                                                                                          <w:marRight w:val="0"/>
                                                                                                          <w:marTop w:val="0"/>
                                                                                                          <w:marBottom w:val="0"/>
                                                                                                          <w:divBdr>
                                                                                                            <w:top w:val="none" w:sz="0" w:space="0" w:color="auto"/>
                                                                                                            <w:left w:val="none" w:sz="0" w:space="0" w:color="auto"/>
                                                                                                            <w:bottom w:val="none" w:sz="0" w:space="0" w:color="auto"/>
                                                                                                            <w:right w:val="none" w:sz="0" w:space="0" w:color="auto"/>
                                                                                                          </w:divBdr>
                                                                                                        </w:div>
                                                                                                      </w:divsChild>
                                                                                                    </w:div>
                                                                                                    <w:div w:id="1874347482">
                                                                                                      <w:marLeft w:val="0"/>
                                                                                                      <w:marRight w:val="0"/>
                                                                                                      <w:marTop w:val="0"/>
                                                                                                      <w:marBottom w:val="0"/>
                                                                                                      <w:divBdr>
                                                                                                        <w:top w:val="none" w:sz="0" w:space="0" w:color="auto"/>
                                                                                                        <w:left w:val="none" w:sz="0" w:space="0" w:color="auto"/>
                                                                                                        <w:bottom w:val="none" w:sz="0" w:space="0" w:color="auto"/>
                                                                                                        <w:right w:val="none" w:sz="0" w:space="0" w:color="auto"/>
                                                                                                      </w:divBdr>
                                                                                                      <w:divsChild>
                                                                                                        <w:div w:id="102576221">
                                                                                                          <w:marLeft w:val="0"/>
                                                                                                          <w:marRight w:val="0"/>
                                                                                                          <w:marTop w:val="0"/>
                                                                                                          <w:marBottom w:val="0"/>
                                                                                                          <w:divBdr>
                                                                                                            <w:top w:val="none" w:sz="0" w:space="0" w:color="auto"/>
                                                                                                            <w:left w:val="none" w:sz="0" w:space="0" w:color="auto"/>
                                                                                                            <w:bottom w:val="none" w:sz="0" w:space="0" w:color="auto"/>
                                                                                                            <w:right w:val="none" w:sz="0" w:space="0" w:color="auto"/>
                                                                                                          </w:divBdr>
                                                                                                        </w:div>
                                                                                                      </w:divsChild>
                                                                                                    </w:div>
                                                                                                    <w:div w:id="1928150345">
                                                                                                      <w:marLeft w:val="0"/>
                                                                                                      <w:marRight w:val="0"/>
                                                                                                      <w:marTop w:val="0"/>
                                                                                                      <w:marBottom w:val="0"/>
                                                                                                      <w:divBdr>
                                                                                                        <w:top w:val="none" w:sz="0" w:space="0" w:color="auto"/>
                                                                                                        <w:left w:val="none" w:sz="0" w:space="0" w:color="auto"/>
                                                                                                        <w:bottom w:val="none" w:sz="0" w:space="0" w:color="auto"/>
                                                                                                        <w:right w:val="none" w:sz="0" w:space="0" w:color="auto"/>
                                                                                                      </w:divBdr>
                                                                                                      <w:divsChild>
                                                                                                        <w:div w:id="1186864970">
                                                                                                          <w:marLeft w:val="0"/>
                                                                                                          <w:marRight w:val="0"/>
                                                                                                          <w:marTop w:val="0"/>
                                                                                                          <w:marBottom w:val="0"/>
                                                                                                          <w:divBdr>
                                                                                                            <w:top w:val="none" w:sz="0" w:space="0" w:color="auto"/>
                                                                                                            <w:left w:val="none" w:sz="0" w:space="0" w:color="auto"/>
                                                                                                            <w:bottom w:val="none" w:sz="0" w:space="0" w:color="auto"/>
                                                                                                            <w:right w:val="none" w:sz="0" w:space="0" w:color="auto"/>
                                                                                                          </w:divBdr>
                                                                                                        </w:div>
                                                                                                      </w:divsChild>
                                                                                                    </w:div>
                                                                                                    <w:div w:id="1966153682">
                                                                                                      <w:marLeft w:val="0"/>
                                                                                                      <w:marRight w:val="0"/>
                                                                                                      <w:marTop w:val="0"/>
                                                                                                      <w:marBottom w:val="0"/>
                                                                                                      <w:divBdr>
                                                                                                        <w:top w:val="none" w:sz="0" w:space="0" w:color="auto"/>
                                                                                                        <w:left w:val="none" w:sz="0" w:space="0" w:color="auto"/>
                                                                                                        <w:bottom w:val="none" w:sz="0" w:space="0" w:color="auto"/>
                                                                                                        <w:right w:val="none" w:sz="0" w:space="0" w:color="auto"/>
                                                                                                      </w:divBdr>
                                                                                                      <w:divsChild>
                                                                                                        <w:div w:id="14187028">
                                                                                                          <w:marLeft w:val="0"/>
                                                                                                          <w:marRight w:val="0"/>
                                                                                                          <w:marTop w:val="0"/>
                                                                                                          <w:marBottom w:val="0"/>
                                                                                                          <w:divBdr>
                                                                                                            <w:top w:val="none" w:sz="0" w:space="0" w:color="auto"/>
                                                                                                            <w:left w:val="none" w:sz="0" w:space="0" w:color="auto"/>
                                                                                                            <w:bottom w:val="none" w:sz="0" w:space="0" w:color="auto"/>
                                                                                                            <w:right w:val="none" w:sz="0" w:space="0" w:color="auto"/>
                                                                                                          </w:divBdr>
                                                                                                        </w:div>
                                                                                                      </w:divsChild>
                                                                                                    </w:div>
                                                                                                    <w:div w:id="2020158792">
                                                                                                      <w:marLeft w:val="0"/>
                                                                                                      <w:marRight w:val="0"/>
                                                                                                      <w:marTop w:val="0"/>
                                                                                                      <w:marBottom w:val="0"/>
                                                                                                      <w:divBdr>
                                                                                                        <w:top w:val="none" w:sz="0" w:space="0" w:color="auto"/>
                                                                                                        <w:left w:val="none" w:sz="0" w:space="0" w:color="auto"/>
                                                                                                        <w:bottom w:val="none" w:sz="0" w:space="0" w:color="auto"/>
                                                                                                        <w:right w:val="none" w:sz="0" w:space="0" w:color="auto"/>
                                                                                                      </w:divBdr>
                                                                                                      <w:divsChild>
                                                                                                        <w:div w:id="1997759651">
                                                                                                          <w:marLeft w:val="0"/>
                                                                                                          <w:marRight w:val="0"/>
                                                                                                          <w:marTop w:val="0"/>
                                                                                                          <w:marBottom w:val="0"/>
                                                                                                          <w:divBdr>
                                                                                                            <w:top w:val="none" w:sz="0" w:space="0" w:color="auto"/>
                                                                                                            <w:left w:val="none" w:sz="0" w:space="0" w:color="auto"/>
                                                                                                            <w:bottom w:val="none" w:sz="0" w:space="0" w:color="auto"/>
                                                                                                            <w:right w:val="none" w:sz="0" w:space="0" w:color="auto"/>
                                                                                                          </w:divBdr>
                                                                                                        </w:div>
                                                                                                      </w:divsChild>
                                                                                                    </w:div>
                                                                                                    <w:div w:id="2057116644">
                                                                                                      <w:marLeft w:val="0"/>
                                                                                                      <w:marRight w:val="0"/>
                                                                                                      <w:marTop w:val="0"/>
                                                                                                      <w:marBottom w:val="0"/>
                                                                                                      <w:divBdr>
                                                                                                        <w:top w:val="none" w:sz="0" w:space="0" w:color="auto"/>
                                                                                                        <w:left w:val="none" w:sz="0" w:space="0" w:color="auto"/>
                                                                                                        <w:bottom w:val="none" w:sz="0" w:space="0" w:color="auto"/>
                                                                                                        <w:right w:val="none" w:sz="0" w:space="0" w:color="auto"/>
                                                                                                      </w:divBdr>
                                                                                                      <w:divsChild>
                                                                                                        <w:div w:id="1361318329">
                                                                                                          <w:marLeft w:val="0"/>
                                                                                                          <w:marRight w:val="0"/>
                                                                                                          <w:marTop w:val="0"/>
                                                                                                          <w:marBottom w:val="0"/>
                                                                                                          <w:divBdr>
                                                                                                            <w:top w:val="none" w:sz="0" w:space="0" w:color="auto"/>
                                                                                                            <w:left w:val="none" w:sz="0" w:space="0" w:color="auto"/>
                                                                                                            <w:bottom w:val="none" w:sz="0" w:space="0" w:color="auto"/>
                                                                                                            <w:right w:val="none" w:sz="0" w:space="0" w:color="auto"/>
                                                                                                          </w:divBdr>
                                                                                                        </w:div>
                                                                                                      </w:divsChild>
                                                                                                    </w:div>
                                                                                                    <w:div w:id="2077514379">
                                                                                                      <w:marLeft w:val="0"/>
                                                                                                      <w:marRight w:val="0"/>
                                                                                                      <w:marTop w:val="0"/>
                                                                                                      <w:marBottom w:val="0"/>
                                                                                                      <w:divBdr>
                                                                                                        <w:top w:val="none" w:sz="0" w:space="0" w:color="auto"/>
                                                                                                        <w:left w:val="none" w:sz="0" w:space="0" w:color="auto"/>
                                                                                                        <w:bottom w:val="none" w:sz="0" w:space="0" w:color="auto"/>
                                                                                                        <w:right w:val="none" w:sz="0" w:space="0" w:color="auto"/>
                                                                                                      </w:divBdr>
                                                                                                      <w:divsChild>
                                                                                                        <w:div w:id="593248404">
                                                                                                          <w:marLeft w:val="0"/>
                                                                                                          <w:marRight w:val="0"/>
                                                                                                          <w:marTop w:val="0"/>
                                                                                                          <w:marBottom w:val="0"/>
                                                                                                          <w:divBdr>
                                                                                                            <w:top w:val="none" w:sz="0" w:space="0" w:color="auto"/>
                                                                                                            <w:left w:val="none" w:sz="0" w:space="0" w:color="auto"/>
                                                                                                            <w:bottom w:val="none" w:sz="0" w:space="0" w:color="auto"/>
                                                                                                            <w:right w:val="none" w:sz="0" w:space="0" w:color="auto"/>
                                                                                                          </w:divBdr>
                                                                                                        </w:div>
                                                                                                      </w:divsChild>
                                                                                                    </w:div>
                                                                                                    <w:div w:id="2104258242">
                                                                                                      <w:marLeft w:val="0"/>
                                                                                                      <w:marRight w:val="0"/>
                                                                                                      <w:marTop w:val="0"/>
                                                                                                      <w:marBottom w:val="0"/>
                                                                                                      <w:divBdr>
                                                                                                        <w:top w:val="none" w:sz="0" w:space="0" w:color="auto"/>
                                                                                                        <w:left w:val="none" w:sz="0" w:space="0" w:color="auto"/>
                                                                                                        <w:bottom w:val="none" w:sz="0" w:space="0" w:color="auto"/>
                                                                                                        <w:right w:val="none" w:sz="0" w:space="0" w:color="auto"/>
                                                                                                      </w:divBdr>
                                                                                                      <w:divsChild>
                                                                                                        <w:div w:id="196557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187100">
                                                                                              <w:marLeft w:val="0"/>
                                                                                              <w:marRight w:val="0"/>
                                                                                              <w:marTop w:val="0"/>
                                                                                              <w:marBottom w:val="0"/>
                                                                                              <w:divBdr>
                                                                                                <w:top w:val="none" w:sz="0" w:space="0" w:color="auto"/>
                                                                                                <w:left w:val="none" w:sz="0" w:space="0" w:color="auto"/>
                                                                                                <w:bottom w:val="none" w:sz="0" w:space="0" w:color="auto"/>
                                                                                                <w:right w:val="none" w:sz="0" w:space="0" w:color="auto"/>
                                                                                              </w:divBdr>
                                                                                            </w:div>
                                                                                            <w:div w:id="828640804">
                                                                                              <w:marLeft w:val="0"/>
                                                                                              <w:marRight w:val="0"/>
                                                                                              <w:marTop w:val="0"/>
                                                                                              <w:marBottom w:val="0"/>
                                                                                              <w:divBdr>
                                                                                                <w:top w:val="none" w:sz="0" w:space="0" w:color="auto"/>
                                                                                                <w:left w:val="none" w:sz="0" w:space="0" w:color="auto"/>
                                                                                                <w:bottom w:val="none" w:sz="0" w:space="0" w:color="auto"/>
                                                                                                <w:right w:val="none" w:sz="0" w:space="0" w:color="auto"/>
                                                                                              </w:divBdr>
                                                                                              <w:divsChild>
                                                                                                <w:div w:id="855921941">
                                                                                                  <w:marLeft w:val="0"/>
                                                                                                  <w:marRight w:val="0"/>
                                                                                                  <w:marTop w:val="0"/>
                                                                                                  <w:marBottom w:val="0"/>
                                                                                                  <w:divBdr>
                                                                                                    <w:top w:val="none" w:sz="0" w:space="0" w:color="auto"/>
                                                                                                    <w:left w:val="none" w:sz="0" w:space="0" w:color="auto"/>
                                                                                                    <w:bottom w:val="none" w:sz="0" w:space="0" w:color="auto"/>
                                                                                                    <w:right w:val="none" w:sz="0" w:space="0" w:color="auto"/>
                                                                                                  </w:divBdr>
                                                                                                </w:div>
                                                                                                <w:div w:id="950166870">
                                                                                                  <w:marLeft w:val="0"/>
                                                                                                  <w:marRight w:val="0"/>
                                                                                                  <w:marTop w:val="0"/>
                                                                                                  <w:marBottom w:val="0"/>
                                                                                                  <w:divBdr>
                                                                                                    <w:top w:val="none" w:sz="0" w:space="0" w:color="auto"/>
                                                                                                    <w:left w:val="none" w:sz="0" w:space="0" w:color="auto"/>
                                                                                                    <w:bottom w:val="none" w:sz="0" w:space="0" w:color="auto"/>
                                                                                                    <w:right w:val="none" w:sz="0" w:space="0" w:color="auto"/>
                                                                                                  </w:divBdr>
                                                                                                </w:div>
                                                                                                <w:div w:id="1059860526">
                                                                                                  <w:marLeft w:val="0"/>
                                                                                                  <w:marRight w:val="0"/>
                                                                                                  <w:marTop w:val="0"/>
                                                                                                  <w:marBottom w:val="0"/>
                                                                                                  <w:divBdr>
                                                                                                    <w:top w:val="none" w:sz="0" w:space="0" w:color="auto"/>
                                                                                                    <w:left w:val="none" w:sz="0" w:space="0" w:color="auto"/>
                                                                                                    <w:bottom w:val="none" w:sz="0" w:space="0" w:color="auto"/>
                                                                                                    <w:right w:val="none" w:sz="0" w:space="0" w:color="auto"/>
                                                                                                  </w:divBdr>
                                                                                                </w:div>
                                                                                                <w:div w:id="1412697550">
                                                                                                  <w:marLeft w:val="0"/>
                                                                                                  <w:marRight w:val="0"/>
                                                                                                  <w:marTop w:val="0"/>
                                                                                                  <w:marBottom w:val="0"/>
                                                                                                  <w:divBdr>
                                                                                                    <w:top w:val="none" w:sz="0" w:space="0" w:color="auto"/>
                                                                                                    <w:left w:val="none" w:sz="0" w:space="0" w:color="auto"/>
                                                                                                    <w:bottom w:val="none" w:sz="0" w:space="0" w:color="auto"/>
                                                                                                    <w:right w:val="none" w:sz="0" w:space="0" w:color="auto"/>
                                                                                                  </w:divBdr>
                                                                                                </w:div>
                                                                                                <w:div w:id="1591549530">
                                                                                                  <w:marLeft w:val="0"/>
                                                                                                  <w:marRight w:val="0"/>
                                                                                                  <w:marTop w:val="0"/>
                                                                                                  <w:marBottom w:val="0"/>
                                                                                                  <w:divBdr>
                                                                                                    <w:top w:val="none" w:sz="0" w:space="0" w:color="auto"/>
                                                                                                    <w:left w:val="none" w:sz="0" w:space="0" w:color="auto"/>
                                                                                                    <w:bottom w:val="none" w:sz="0" w:space="0" w:color="auto"/>
                                                                                                    <w:right w:val="none" w:sz="0" w:space="0" w:color="auto"/>
                                                                                                  </w:divBdr>
                                                                                                </w:div>
                                                                                              </w:divsChild>
                                                                                            </w:div>
                                                                                            <w:div w:id="1086999573">
                                                                                              <w:marLeft w:val="0"/>
                                                                                              <w:marRight w:val="0"/>
                                                                                              <w:marTop w:val="0"/>
                                                                                              <w:marBottom w:val="0"/>
                                                                                              <w:divBdr>
                                                                                                <w:top w:val="none" w:sz="0" w:space="0" w:color="auto"/>
                                                                                                <w:left w:val="none" w:sz="0" w:space="0" w:color="auto"/>
                                                                                                <w:bottom w:val="none" w:sz="0" w:space="0" w:color="auto"/>
                                                                                                <w:right w:val="none" w:sz="0" w:space="0" w:color="auto"/>
                                                                                              </w:divBdr>
                                                                                              <w:divsChild>
                                                                                                <w:div w:id="403650806">
                                                                                                  <w:marLeft w:val="0"/>
                                                                                                  <w:marRight w:val="0"/>
                                                                                                  <w:marTop w:val="0"/>
                                                                                                  <w:marBottom w:val="0"/>
                                                                                                  <w:divBdr>
                                                                                                    <w:top w:val="none" w:sz="0" w:space="0" w:color="auto"/>
                                                                                                    <w:left w:val="none" w:sz="0" w:space="0" w:color="auto"/>
                                                                                                    <w:bottom w:val="none" w:sz="0" w:space="0" w:color="auto"/>
                                                                                                    <w:right w:val="none" w:sz="0" w:space="0" w:color="auto"/>
                                                                                                  </w:divBdr>
                                                                                                </w:div>
                                                                                                <w:div w:id="944532510">
                                                                                                  <w:marLeft w:val="0"/>
                                                                                                  <w:marRight w:val="0"/>
                                                                                                  <w:marTop w:val="0"/>
                                                                                                  <w:marBottom w:val="0"/>
                                                                                                  <w:divBdr>
                                                                                                    <w:top w:val="none" w:sz="0" w:space="0" w:color="auto"/>
                                                                                                    <w:left w:val="none" w:sz="0" w:space="0" w:color="auto"/>
                                                                                                    <w:bottom w:val="none" w:sz="0" w:space="0" w:color="auto"/>
                                                                                                    <w:right w:val="none" w:sz="0" w:space="0" w:color="auto"/>
                                                                                                  </w:divBdr>
                                                                                                </w:div>
                                                                                                <w:div w:id="1182818175">
                                                                                                  <w:marLeft w:val="0"/>
                                                                                                  <w:marRight w:val="0"/>
                                                                                                  <w:marTop w:val="0"/>
                                                                                                  <w:marBottom w:val="0"/>
                                                                                                  <w:divBdr>
                                                                                                    <w:top w:val="none" w:sz="0" w:space="0" w:color="auto"/>
                                                                                                    <w:left w:val="none" w:sz="0" w:space="0" w:color="auto"/>
                                                                                                    <w:bottom w:val="none" w:sz="0" w:space="0" w:color="auto"/>
                                                                                                    <w:right w:val="none" w:sz="0" w:space="0" w:color="auto"/>
                                                                                                  </w:divBdr>
                                                                                                </w:div>
                                                                                                <w:div w:id="1242716789">
                                                                                                  <w:marLeft w:val="0"/>
                                                                                                  <w:marRight w:val="0"/>
                                                                                                  <w:marTop w:val="0"/>
                                                                                                  <w:marBottom w:val="0"/>
                                                                                                  <w:divBdr>
                                                                                                    <w:top w:val="none" w:sz="0" w:space="0" w:color="auto"/>
                                                                                                    <w:left w:val="none" w:sz="0" w:space="0" w:color="auto"/>
                                                                                                    <w:bottom w:val="none" w:sz="0" w:space="0" w:color="auto"/>
                                                                                                    <w:right w:val="none" w:sz="0" w:space="0" w:color="auto"/>
                                                                                                  </w:divBdr>
                                                                                                </w:div>
                                                                                                <w:div w:id="1373923444">
                                                                                                  <w:marLeft w:val="0"/>
                                                                                                  <w:marRight w:val="0"/>
                                                                                                  <w:marTop w:val="0"/>
                                                                                                  <w:marBottom w:val="0"/>
                                                                                                  <w:divBdr>
                                                                                                    <w:top w:val="none" w:sz="0" w:space="0" w:color="auto"/>
                                                                                                    <w:left w:val="none" w:sz="0" w:space="0" w:color="auto"/>
                                                                                                    <w:bottom w:val="none" w:sz="0" w:space="0" w:color="auto"/>
                                                                                                    <w:right w:val="none" w:sz="0" w:space="0" w:color="auto"/>
                                                                                                  </w:divBdr>
                                                                                                </w:div>
                                                                                              </w:divsChild>
                                                                                            </w:div>
                                                                                            <w:div w:id="1277982095">
                                                                                              <w:marLeft w:val="0"/>
                                                                                              <w:marRight w:val="0"/>
                                                                                              <w:marTop w:val="0"/>
                                                                                              <w:marBottom w:val="0"/>
                                                                                              <w:divBdr>
                                                                                                <w:top w:val="none" w:sz="0" w:space="0" w:color="auto"/>
                                                                                                <w:left w:val="none" w:sz="0" w:space="0" w:color="auto"/>
                                                                                                <w:bottom w:val="none" w:sz="0" w:space="0" w:color="auto"/>
                                                                                                <w:right w:val="none" w:sz="0" w:space="0" w:color="auto"/>
                                                                                              </w:divBdr>
                                                                                              <w:divsChild>
                                                                                                <w:div w:id="178392442">
                                                                                                  <w:marLeft w:val="0"/>
                                                                                                  <w:marRight w:val="0"/>
                                                                                                  <w:marTop w:val="0"/>
                                                                                                  <w:marBottom w:val="0"/>
                                                                                                  <w:divBdr>
                                                                                                    <w:top w:val="none" w:sz="0" w:space="0" w:color="auto"/>
                                                                                                    <w:left w:val="none" w:sz="0" w:space="0" w:color="auto"/>
                                                                                                    <w:bottom w:val="none" w:sz="0" w:space="0" w:color="auto"/>
                                                                                                    <w:right w:val="none" w:sz="0" w:space="0" w:color="auto"/>
                                                                                                  </w:divBdr>
                                                                                                </w:div>
                                                                                                <w:div w:id="357002116">
                                                                                                  <w:marLeft w:val="0"/>
                                                                                                  <w:marRight w:val="0"/>
                                                                                                  <w:marTop w:val="0"/>
                                                                                                  <w:marBottom w:val="0"/>
                                                                                                  <w:divBdr>
                                                                                                    <w:top w:val="none" w:sz="0" w:space="0" w:color="auto"/>
                                                                                                    <w:left w:val="none" w:sz="0" w:space="0" w:color="auto"/>
                                                                                                    <w:bottom w:val="none" w:sz="0" w:space="0" w:color="auto"/>
                                                                                                    <w:right w:val="none" w:sz="0" w:space="0" w:color="auto"/>
                                                                                                  </w:divBdr>
                                                                                                </w:div>
                                                                                                <w:div w:id="1094322033">
                                                                                                  <w:marLeft w:val="0"/>
                                                                                                  <w:marRight w:val="0"/>
                                                                                                  <w:marTop w:val="0"/>
                                                                                                  <w:marBottom w:val="0"/>
                                                                                                  <w:divBdr>
                                                                                                    <w:top w:val="none" w:sz="0" w:space="0" w:color="auto"/>
                                                                                                    <w:left w:val="none" w:sz="0" w:space="0" w:color="auto"/>
                                                                                                    <w:bottom w:val="none" w:sz="0" w:space="0" w:color="auto"/>
                                                                                                    <w:right w:val="none" w:sz="0" w:space="0" w:color="auto"/>
                                                                                                  </w:divBdr>
                                                                                                </w:div>
                                                                                                <w:div w:id="1376274336">
                                                                                                  <w:marLeft w:val="0"/>
                                                                                                  <w:marRight w:val="0"/>
                                                                                                  <w:marTop w:val="0"/>
                                                                                                  <w:marBottom w:val="0"/>
                                                                                                  <w:divBdr>
                                                                                                    <w:top w:val="none" w:sz="0" w:space="0" w:color="auto"/>
                                                                                                    <w:left w:val="none" w:sz="0" w:space="0" w:color="auto"/>
                                                                                                    <w:bottom w:val="none" w:sz="0" w:space="0" w:color="auto"/>
                                                                                                    <w:right w:val="none" w:sz="0" w:space="0" w:color="auto"/>
                                                                                                  </w:divBdr>
                                                                                                </w:div>
                                                                                                <w:div w:id="1909344760">
                                                                                                  <w:marLeft w:val="0"/>
                                                                                                  <w:marRight w:val="0"/>
                                                                                                  <w:marTop w:val="0"/>
                                                                                                  <w:marBottom w:val="0"/>
                                                                                                  <w:divBdr>
                                                                                                    <w:top w:val="none" w:sz="0" w:space="0" w:color="auto"/>
                                                                                                    <w:left w:val="none" w:sz="0" w:space="0" w:color="auto"/>
                                                                                                    <w:bottom w:val="none" w:sz="0" w:space="0" w:color="auto"/>
                                                                                                    <w:right w:val="none" w:sz="0" w:space="0" w:color="auto"/>
                                                                                                  </w:divBdr>
                                                                                                </w:div>
                                                                                              </w:divsChild>
                                                                                            </w:div>
                                                                                            <w:div w:id="1540825973">
                                                                                              <w:marLeft w:val="0"/>
                                                                                              <w:marRight w:val="0"/>
                                                                                              <w:marTop w:val="0"/>
                                                                                              <w:marBottom w:val="0"/>
                                                                                              <w:divBdr>
                                                                                                <w:top w:val="none" w:sz="0" w:space="0" w:color="auto"/>
                                                                                                <w:left w:val="none" w:sz="0" w:space="0" w:color="auto"/>
                                                                                                <w:bottom w:val="none" w:sz="0" w:space="0" w:color="auto"/>
                                                                                                <w:right w:val="none" w:sz="0" w:space="0" w:color="auto"/>
                                                                                              </w:divBdr>
                                                                                              <w:divsChild>
                                                                                                <w:div w:id="412312315">
                                                                                                  <w:marLeft w:val="0"/>
                                                                                                  <w:marRight w:val="0"/>
                                                                                                  <w:marTop w:val="0"/>
                                                                                                  <w:marBottom w:val="0"/>
                                                                                                  <w:divBdr>
                                                                                                    <w:top w:val="none" w:sz="0" w:space="0" w:color="auto"/>
                                                                                                    <w:left w:val="none" w:sz="0" w:space="0" w:color="auto"/>
                                                                                                    <w:bottom w:val="none" w:sz="0" w:space="0" w:color="auto"/>
                                                                                                    <w:right w:val="none" w:sz="0" w:space="0" w:color="auto"/>
                                                                                                  </w:divBdr>
                                                                                                </w:div>
                                                                                                <w:div w:id="563222327">
                                                                                                  <w:marLeft w:val="0"/>
                                                                                                  <w:marRight w:val="0"/>
                                                                                                  <w:marTop w:val="0"/>
                                                                                                  <w:marBottom w:val="0"/>
                                                                                                  <w:divBdr>
                                                                                                    <w:top w:val="none" w:sz="0" w:space="0" w:color="auto"/>
                                                                                                    <w:left w:val="none" w:sz="0" w:space="0" w:color="auto"/>
                                                                                                    <w:bottom w:val="none" w:sz="0" w:space="0" w:color="auto"/>
                                                                                                    <w:right w:val="none" w:sz="0" w:space="0" w:color="auto"/>
                                                                                                  </w:divBdr>
                                                                                                </w:div>
                                                                                                <w:div w:id="1318849232">
                                                                                                  <w:marLeft w:val="0"/>
                                                                                                  <w:marRight w:val="0"/>
                                                                                                  <w:marTop w:val="0"/>
                                                                                                  <w:marBottom w:val="0"/>
                                                                                                  <w:divBdr>
                                                                                                    <w:top w:val="none" w:sz="0" w:space="0" w:color="auto"/>
                                                                                                    <w:left w:val="none" w:sz="0" w:space="0" w:color="auto"/>
                                                                                                    <w:bottom w:val="none" w:sz="0" w:space="0" w:color="auto"/>
                                                                                                    <w:right w:val="none" w:sz="0" w:space="0" w:color="auto"/>
                                                                                                  </w:divBdr>
                                                                                                </w:div>
                                                                                                <w:div w:id="1441685829">
                                                                                                  <w:marLeft w:val="0"/>
                                                                                                  <w:marRight w:val="0"/>
                                                                                                  <w:marTop w:val="0"/>
                                                                                                  <w:marBottom w:val="0"/>
                                                                                                  <w:divBdr>
                                                                                                    <w:top w:val="none" w:sz="0" w:space="0" w:color="auto"/>
                                                                                                    <w:left w:val="none" w:sz="0" w:space="0" w:color="auto"/>
                                                                                                    <w:bottom w:val="none" w:sz="0" w:space="0" w:color="auto"/>
                                                                                                    <w:right w:val="none" w:sz="0" w:space="0" w:color="auto"/>
                                                                                                  </w:divBdr>
                                                                                                </w:div>
                                                                                                <w:div w:id="1460226749">
                                                                                                  <w:marLeft w:val="0"/>
                                                                                                  <w:marRight w:val="0"/>
                                                                                                  <w:marTop w:val="0"/>
                                                                                                  <w:marBottom w:val="0"/>
                                                                                                  <w:divBdr>
                                                                                                    <w:top w:val="none" w:sz="0" w:space="0" w:color="auto"/>
                                                                                                    <w:left w:val="none" w:sz="0" w:space="0" w:color="auto"/>
                                                                                                    <w:bottom w:val="none" w:sz="0" w:space="0" w:color="auto"/>
                                                                                                    <w:right w:val="none" w:sz="0" w:space="0" w:color="auto"/>
                                                                                                  </w:divBdr>
                                                                                                </w:div>
                                                                                              </w:divsChild>
                                                                                            </w:div>
                                                                                            <w:div w:id="2107845867">
                                                                                              <w:marLeft w:val="0"/>
                                                                                              <w:marRight w:val="0"/>
                                                                                              <w:marTop w:val="0"/>
                                                                                              <w:marBottom w:val="0"/>
                                                                                              <w:divBdr>
                                                                                                <w:top w:val="none" w:sz="0" w:space="0" w:color="auto"/>
                                                                                                <w:left w:val="none" w:sz="0" w:space="0" w:color="auto"/>
                                                                                                <w:bottom w:val="none" w:sz="0" w:space="0" w:color="auto"/>
                                                                                                <w:right w:val="none" w:sz="0" w:space="0" w:color="auto"/>
                                                                                              </w:divBdr>
                                                                                              <w:divsChild>
                                                                                                <w:div w:id="223686117">
                                                                                                  <w:marLeft w:val="0"/>
                                                                                                  <w:marRight w:val="0"/>
                                                                                                  <w:marTop w:val="0"/>
                                                                                                  <w:marBottom w:val="0"/>
                                                                                                  <w:divBdr>
                                                                                                    <w:top w:val="none" w:sz="0" w:space="0" w:color="auto"/>
                                                                                                    <w:left w:val="none" w:sz="0" w:space="0" w:color="auto"/>
                                                                                                    <w:bottom w:val="none" w:sz="0" w:space="0" w:color="auto"/>
                                                                                                    <w:right w:val="none" w:sz="0" w:space="0" w:color="auto"/>
                                                                                                  </w:divBdr>
                                                                                                </w:div>
                                                                                                <w:div w:id="1192567963">
                                                                                                  <w:marLeft w:val="0"/>
                                                                                                  <w:marRight w:val="0"/>
                                                                                                  <w:marTop w:val="0"/>
                                                                                                  <w:marBottom w:val="0"/>
                                                                                                  <w:divBdr>
                                                                                                    <w:top w:val="none" w:sz="0" w:space="0" w:color="auto"/>
                                                                                                    <w:left w:val="none" w:sz="0" w:space="0" w:color="auto"/>
                                                                                                    <w:bottom w:val="none" w:sz="0" w:space="0" w:color="auto"/>
                                                                                                    <w:right w:val="none" w:sz="0" w:space="0" w:color="auto"/>
                                                                                                  </w:divBdr>
                                                                                                </w:div>
                                                                                                <w:div w:id="1749571977">
                                                                                                  <w:marLeft w:val="0"/>
                                                                                                  <w:marRight w:val="0"/>
                                                                                                  <w:marTop w:val="0"/>
                                                                                                  <w:marBottom w:val="0"/>
                                                                                                  <w:divBdr>
                                                                                                    <w:top w:val="none" w:sz="0" w:space="0" w:color="auto"/>
                                                                                                    <w:left w:val="none" w:sz="0" w:space="0" w:color="auto"/>
                                                                                                    <w:bottom w:val="none" w:sz="0" w:space="0" w:color="auto"/>
                                                                                                    <w:right w:val="none" w:sz="0" w:space="0" w:color="auto"/>
                                                                                                  </w:divBdr>
                                                                                                </w:div>
                                                                                                <w:div w:id="1798254218">
                                                                                                  <w:marLeft w:val="0"/>
                                                                                                  <w:marRight w:val="0"/>
                                                                                                  <w:marTop w:val="0"/>
                                                                                                  <w:marBottom w:val="0"/>
                                                                                                  <w:divBdr>
                                                                                                    <w:top w:val="none" w:sz="0" w:space="0" w:color="auto"/>
                                                                                                    <w:left w:val="none" w:sz="0" w:space="0" w:color="auto"/>
                                                                                                    <w:bottom w:val="none" w:sz="0" w:space="0" w:color="auto"/>
                                                                                                    <w:right w:val="none" w:sz="0" w:space="0" w:color="auto"/>
                                                                                                  </w:divBdr>
                                                                                                </w:div>
                                                                                                <w:div w:id="204591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6679718">
      <w:bodyDiv w:val="1"/>
      <w:marLeft w:val="0"/>
      <w:marRight w:val="0"/>
      <w:marTop w:val="0"/>
      <w:marBottom w:val="0"/>
      <w:divBdr>
        <w:top w:val="none" w:sz="0" w:space="0" w:color="auto"/>
        <w:left w:val="none" w:sz="0" w:space="0" w:color="auto"/>
        <w:bottom w:val="none" w:sz="0" w:space="0" w:color="auto"/>
        <w:right w:val="none" w:sz="0" w:space="0" w:color="auto"/>
      </w:divBdr>
    </w:div>
    <w:div w:id="1149589780">
      <w:bodyDiv w:val="1"/>
      <w:marLeft w:val="0"/>
      <w:marRight w:val="0"/>
      <w:marTop w:val="0"/>
      <w:marBottom w:val="0"/>
      <w:divBdr>
        <w:top w:val="none" w:sz="0" w:space="0" w:color="auto"/>
        <w:left w:val="none" w:sz="0" w:space="0" w:color="auto"/>
        <w:bottom w:val="none" w:sz="0" w:space="0" w:color="auto"/>
        <w:right w:val="none" w:sz="0" w:space="0" w:color="auto"/>
      </w:divBdr>
    </w:div>
    <w:div w:id="1192190124">
      <w:bodyDiv w:val="1"/>
      <w:marLeft w:val="0"/>
      <w:marRight w:val="0"/>
      <w:marTop w:val="0"/>
      <w:marBottom w:val="0"/>
      <w:divBdr>
        <w:top w:val="none" w:sz="0" w:space="0" w:color="auto"/>
        <w:left w:val="none" w:sz="0" w:space="0" w:color="auto"/>
        <w:bottom w:val="none" w:sz="0" w:space="0" w:color="auto"/>
        <w:right w:val="none" w:sz="0" w:space="0" w:color="auto"/>
      </w:divBdr>
    </w:div>
    <w:div w:id="1243833715">
      <w:bodyDiv w:val="1"/>
      <w:marLeft w:val="0"/>
      <w:marRight w:val="0"/>
      <w:marTop w:val="0"/>
      <w:marBottom w:val="0"/>
      <w:divBdr>
        <w:top w:val="none" w:sz="0" w:space="0" w:color="auto"/>
        <w:left w:val="none" w:sz="0" w:space="0" w:color="auto"/>
        <w:bottom w:val="none" w:sz="0" w:space="0" w:color="auto"/>
        <w:right w:val="none" w:sz="0" w:space="0" w:color="auto"/>
      </w:divBdr>
    </w:div>
    <w:div w:id="1292132382">
      <w:bodyDiv w:val="1"/>
      <w:marLeft w:val="0"/>
      <w:marRight w:val="0"/>
      <w:marTop w:val="0"/>
      <w:marBottom w:val="0"/>
      <w:divBdr>
        <w:top w:val="none" w:sz="0" w:space="0" w:color="auto"/>
        <w:left w:val="none" w:sz="0" w:space="0" w:color="auto"/>
        <w:bottom w:val="none" w:sz="0" w:space="0" w:color="auto"/>
        <w:right w:val="none" w:sz="0" w:space="0" w:color="auto"/>
      </w:divBdr>
    </w:div>
    <w:div w:id="1330518621">
      <w:bodyDiv w:val="1"/>
      <w:marLeft w:val="0"/>
      <w:marRight w:val="0"/>
      <w:marTop w:val="0"/>
      <w:marBottom w:val="0"/>
      <w:divBdr>
        <w:top w:val="none" w:sz="0" w:space="0" w:color="auto"/>
        <w:left w:val="none" w:sz="0" w:space="0" w:color="auto"/>
        <w:bottom w:val="none" w:sz="0" w:space="0" w:color="auto"/>
        <w:right w:val="none" w:sz="0" w:space="0" w:color="auto"/>
      </w:divBdr>
    </w:div>
    <w:div w:id="1430856488">
      <w:bodyDiv w:val="1"/>
      <w:marLeft w:val="0"/>
      <w:marRight w:val="0"/>
      <w:marTop w:val="0"/>
      <w:marBottom w:val="0"/>
      <w:divBdr>
        <w:top w:val="none" w:sz="0" w:space="0" w:color="auto"/>
        <w:left w:val="none" w:sz="0" w:space="0" w:color="auto"/>
        <w:bottom w:val="none" w:sz="0" w:space="0" w:color="auto"/>
        <w:right w:val="none" w:sz="0" w:space="0" w:color="auto"/>
      </w:divBdr>
    </w:div>
    <w:div w:id="1465002065">
      <w:bodyDiv w:val="1"/>
      <w:marLeft w:val="0"/>
      <w:marRight w:val="0"/>
      <w:marTop w:val="0"/>
      <w:marBottom w:val="0"/>
      <w:divBdr>
        <w:top w:val="none" w:sz="0" w:space="0" w:color="auto"/>
        <w:left w:val="none" w:sz="0" w:space="0" w:color="auto"/>
        <w:bottom w:val="none" w:sz="0" w:space="0" w:color="auto"/>
        <w:right w:val="none" w:sz="0" w:space="0" w:color="auto"/>
      </w:divBdr>
    </w:div>
    <w:div w:id="1557621322">
      <w:bodyDiv w:val="1"/>
      <w:marLeft w:val="0"/>
      <w:marRight w:val="0"/>
      <w:marTop w:val="0"/>
      <w:marBottom w:val="0"/>
      <w:divBdr>
        <w:top w:val="none" w:sz="0" w:space="0" w:color="auto"/>
        <w:left w:val="none" w:sz="0" w:space="0" w:color="auto"/>
        <w:bottom w:val="none" w:sz="0" w:space="0" w:color="auto"/>
        <w:right w:val="none" w:sz="0" w:space="0" w:color="auto"/>
      </w:divBdr>
    </w:div>
    <w:div w:id="1575820096">
      <w:bodyDiv w:val="1"/>
      <w:marLeft w:val="0"/>
      <w:marRight w:val="0"/>
      <w:marTop w:val="0"/>
      <w:marBottom w:val="0"/>
      <w:divBdr>
        <w:top w:val="none" w:sz="0" w:space="0" w:color="auto"/>
        <w:left w:val="none" w:sz="0" w:space="0" w:color="auto"/>
        <w:bottom w:val="none" w:sz="0" w:space="0" w:color="auto"/>
        <w:right w:val="none" w:sz="0" w:space="0" w:color="auto"/>
      </w:divBdr>
    </w:div>
    <w:div w:id="1606645849">
      <w:bodyDiv w:val="1"/>
      <w:marLeft w:val="0"/>
      <w:marRight w:val="0"/>
      <w:marTop w:val="0"/>
      <w:marBottom w:val="0"/>
      <w:divBdr>
        <w:top w:val="none" w:sz="0" w:space="0" w:color="auto"/>
        <w:left w:val="none" w:sz="0" w:space="0" w:color="auto"/>
        <w:bottom w:val="none" w:sz="0" w:space="0" w:color="auto"/>
        <w:right w:val="none" w:sz="0" w:space="0" w:color="auto"/>
      </w:divBdr>
    </w:div>
    <w:div w:id="1627085285">
      <w:bodyDiv w:val="1"/>
      <w:marLeft w:val="0"/>
      <w:marRight w:val="0"/>
      <w:marTop w:val="0"/>
      <w:marBottom w:val="0"/>
      <w:divBdr>
        <w:top w:val="none" w:sz="0" w:space="0" w:color="auto"/>
        <w:left w:val="none" w:sz="0" w:space="0" w:color="auto"/>
        <w:bottom w:val="none" w:sz="0" w:space="0" w:color="auto"/>
        <w:right w:val="none" w:sz="0" w:space="0" w:color="auto"/>
      </w:divBdr>
    </w:div>
    <w:div w:id="1663049306">
      <w:bodyDiv w:val="1"/>
      <w:marLeft w:val="0"/>
      <w:marRight w:val="0"/>
      <w:marTop w:val="0"/>
      <w:marBottom w:val="0"/>
      <w:divBdr>
        <w:top w:val="none" w:sz="0" w:space="0" w:color="auto"/>
        <w:left w:val="none" w:sz="0" w:space="0" w:color="auto"/>
        <w:bottom w:val="none" w:sz="0" w:space="0" w:color="auto"/>
        <w:right w:val="none" w:sz="0" w:space="0" w:color="auto"/>
      </w:divBdr>
      <w:divsChild>
        <w:div w:id="103229098">
          <w:marLeft w:val="0"/>
          <w:marRight w:val="0"/>
          <w:marTop w:val="0"/>
          <w:marBottom w:val="0"/>
          <w:divBdr>
            <w:top w:val="none" w:sz="0" w:space="0" w:color="auto"/>
            <w:left w:val="none" w:sz="0" w:space="0" w:color="auto"/>
            <w:bottom w:val="none" w:sz="0" w:space="0" w:color="auto"/>
            <w:right w:val="none" w:sz="0" w:space="0" w:color="auto"/>
          </w:divBdr>
        </w:div>
      </w:divsChild>
    </w:div>
    <w:div w:id="1681198500">
      <w:bodyDiv w:val="1"/>
      <w:marLeft w:val="0"/>
      <w:marRight w:val="0"/>
      <w:marTop w:val="0"/>
      <w:marBottom w:val="0"/>
      <w:divBdr>
        <w:top w:val="none" w:sz="0" w:space="0" w:color="auto"/>
        <w:left w:val="none" w:sz="0" w:space="0" w:color="auto"/>
        <w:bottom w:val="none" w:sz="0" w:space="0" w:color="auto"/>
        <w:right w:val="none" w:sz="0" w:space="0" w:color="auto"/>
      </w:divBdr>
    </w:div>
    <w:div w:id="1873953001">
      <w:bodyDiv w:val="1"/>
      <w:marLeft w:val="0"/>
      <w:marRight w:val="0"/>
      <w:marTop w:val="0"/>
      <w:marBottom w:val="0"/>
      <w:divBdr>
        <w:top w:val="none" w:sz="0" w:space="0" w:color="auto"/>
        <w:left w:val="none" w:sz="0" w:space="0" w:color="auto"/>
        <w:bottom w:val="none" w:sz="0" w:space="0" w:color="auto"/>
        <w:right w:val="none" w:sz="0" w:space="0" w:color="auto"/>
      </w:divBdr>
    </w:div>
    <w:div w:id="1894081352">
      <w:bodyDiv w:val="1"/>
      <w:marLeft w:val="0"/>
      <w:marRight w:val="0"/>
      <w:marTop w:val="0"/>
      <w:marBottom w:val="0"/>
      <w:divBdr>
        <w:top w:val="none" w:sz="0" w:space="0" w:color="auto"/>
        <w:left w:val="none" w:sz="0" w:space="0" w:color="auto"/>
        <w:bottom w:val="none" w:sz="0" w:space="0" w:color="auto"/>
        <w:right w:val="none" w:sz="0" w:space="0" w:color="auto"/>
      </w:divBdr>
    </w:div>
    <w:div w:id="1961112332">
      <w:bodyDiv w:val="1"/>
      <w:marLeft w:val="0"/>
      <w:marRight w:val="0"/>
      <w:marTop w:val="0"/>
      <w:marBottom w:val="0"/>
      <w:divBdr>
        <w:top w:val="none" w:sz="0" w:space="0" w:color="auto"/>
        <w:left w:val="none" w:sz="0" w:space="0" w:color="auto"/>
        <w:bottom w:val="none" w:sz="0" w:space="0" w:color="auto"/>
        <w:right w:val="none" w:sz="0" w:space="0" w:color="auto"/>
      </w:divBdr>
    </w:div>
    <w:div w:id="198620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ti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41C6A00C13DB4E8B1618824186234D" ma:contentTypeVersion="6" ma:contentTypeDescription="Create a new document." ma:contentTypeScope="" ma:versionID="79b18475a1a87c2002a7be7942bd0d73">
  <xsd:schema xmlns:xsd="http://www.w3.org/2001/XMLSchema" xmlns:xs="http://www.w3.org/2001/XMLSchema" xmlns:p="http://schemas.microsoft.com/office/2006/metadata/properties" xmlns:ns2="447faa63-99b4-43ec-9ec1-1700c1a41104" xmlns:ns3="9bf8bf05-f8e3-496b-bd83-87b2ba7b0205" targetNamespace="http://schemas.microsoft.com/office/2006/metadata/properties" ma:root="true" ma:fieldsID="30183536f0c47ea34456cac2e7e09bcb" ns2:_="" ns3:_="">
    <xsd:import namespace="447faa63-99b4-43ec-9ec1-1700c1a41104"/>
    <xsd:import namespace="9bf8bf05-f8e3-496b-bd83-87b2ba7b020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7faa63-99b4-43ec-9ec1-1700c1a4110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f8bf05-f8e3-496b-bd83-87b2ba7b020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47faa63-99b4-43ec-9ec1-1700c1a41104">
      <UserInfo>
        <DisplayName>Cauldbeck, Helen [hcc]</DisplayName>
        <AccountId>18</AccountId>
        <AccountType/>
      </UserInfo>
      <UserInfo>
        <DisplayName>Tatham, Lee</DisplayName>
        <AccountId>19</AccountId>
        <AccountType/>
      </UserInfo>
      <UserInfo>
        <DisplayName>Elkateb, Heba</DisplayName>
        <AccountId>13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078B27-2978-41CA-8E3D-47B4E82A91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7faa63-99b4-43ec-9ec1-1700c1a41104"/>
    <ds:schemaRef ds:uri="9bf8bf05-f8e3-496b-bd83-87b2ba7b02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C34B81-3129-4862-A707-48F1589379F1}">
  <ds:schemaRefs>
    <ds:schemaRef ds:uri="http://schemas.microsoft.com/sharepoint/v3/contenttype/forms"/>
  </ds:schemaRefs>
</ds:datastoreItem>
</file>

<file path=customXml/itemProps3.xml><?xml version="1.0" encoding="utf-8"?>
<ds:datastoreItem xmlns:ds="http://schemas.openxmlformats.org/officeDocument/2006/customXml" ds:itemID="{99C12C57-3458-4517-831E-4A3F2BBB799D}">
  <ds:schemaRefs>
    <ds:schemaRef ds:uri="http://schemas.microsoft.com/office/2006/metadata/properties"/>
    <ds:schemaRef ds:uri="http://schemas.microsoft.com/office/infopath/2007/PartnerControls"/>
    <ds:schemaRef ds:uri="447faa63-99b4-43ec-9ec1-1700c1a41104"/>
  </ds:schemaRefs>
</ds:datastoreItem>
</file>

<file path=customXml/itemProps4.xml><?xml version="1.0" encoding="utf-8"?>
<ds:datastoreItem xmlns:ds="http://schemas.openxmlformats.org/officeDocument/2006/customXml" ds:itemID="{82ACEBAB-B33E-4A88-9AB0-231381210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34</Pages>
  <Words>44067</Words>
  <Characters>251184</Characters>
  <Application>Microsoft Office Word</Application>
  <DocSecurity>0</DocSecurity>
  <Lines>2093</Lines>
  <Paragraphs>589</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294662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Elkateb, Heba</dc:creator>
  <cp:keywords/>
  <dc:description/>
  <cp:lastModifiedBy>McDonald, Thomas</cp:lastModifiedBy>
  <cp:revision>4</cp:revision>
  <cp:lastPrinted>2020-06-09T12:29:00Z</cp:lastPrinted>
  <dcterms:created xsi:type="dcterms:W3CDTF">2020-08-17T17:04:00Z</dcterms:created>
  <dcterms:modified xsi:type="dcterms:W3CDTF">2020-08-21T12:27:00Z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632edc99-f6c3-3a2a-820d-30dff10ee7c6</vt:lpwstr>
  </property>
  <property fmtid="{D5CDD505-2E9C-101B-9397-08002B2CF9AE}" pid="4" name="Mendeley Citation Style_1">
    <vt:lpwstr>http://www.zotero.org/styles/international-journal-of-pharmaceutics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http://www.zotero.org/styles/international-journal-of-pharmaceutics</vt:lpwstr>
  </property>
  <property fmtid="{D5CDD505-2E9C-101B-9397-08002B2CF9AE}" pid="16" name="Mendeley Recent Style Name 5_1">
    <vt:lpwstr>International Journal of Pharmaceutics</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http://www.zotero.org/styles/rsc-advances</vt:lpwstr>
  </property>
  <property fmtid="{D5CDD505-2E9C-101B-9397-08002B2CF9AE}" pid="20" name="Mendeley Recent Style Name 7_1">
    <vt:lpwstr>RSC Advances</vt:lpwstr>
  </property>
  <property fmtid="{D5CDD505-2E9C-101B-9397-08002B2CF9AE}" pid="21" name="Mendeley Recent Style Id 8_1">
    <vt:lpwstr>http://www.zotero.org/styles/royal-society-of-chemistry</vt:lpwstr>
  </property>
  <property fmtid="{D5CDD505-2E9C-101B-9397-08002B2CF9AE}" pid="22" name="Mendeley Recent Style Name 8_1">
    <vt:lpwstr>Royal Society of Chemistry</vt:lpwstr>
  </property>
  <property fmtid="{D5CDD505-2E9C-101B-9397-08002B2CF9AE}" pid="23" name="Mendeley Recent Style Id 9_1">
    <vt:lpwstr>http://csl.mendeley.com/styles/149587751/nature</vt:lpwstr>
  </property>
  <property fmtid="{D5CDD505-2E9C-101B-9397-08002B2CF9AE}" pid="24" name="Mendeley Recent Style Name 9_1">
    <vt:lpwstr>Short - Tom McDonald</vt:lpwstr>
  </property>
  <property fmtid="{D5CDD505-2E9C-101B-9397-08002B2CF9AE}" pid="25" name="ContentTypeId">
    <vt:lpwstr>0x010100E441C6A00C13DB4E8B1618824186234D</vt:lpwstr>
  </property>
</Properties>
</file>