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92F" w:rsidRPr="00B24C84" w:rsidRDefault="00F4292F" w:rsidP="00F4292F">
      <w:pPr>
        <w:rPr>
          <w:rFonts w:ascii="Arial" w:hAnsi="Arial" w:cs="Arial"/>
          <w:b/>
          <w:sz w:val="32"/>
          <w:szCs w:val="32"/>
        </w:rPr>
      </w:pPr>
      <w:bookmarkStart w:id="0" w:name="_GoBack"/>
      <w:bookmarkEnd w:id="0"/>
      <w:r w:rsidRPr="00B24C84">
        <w:rPr>
          <w:rFonts w:ascii="Arial" w:hAnsi="Arial" w:cs="Arial"/>
          <w:bCs/>
          <w:sz w:val="24"/>
          <w:szCs w:val="24"/>
        </w:rPr>
        <w:t xml:space="preserve">This is a pre- copy-editing, author-produced PDF of an article accepted following peer review for publication in </w:t>
      </w:r>
      <w:r w:rsidRPr="00B24C84">
        <w:rPr>
          <w:rFonts w:ascii="Arial" w:hAnsi="Arial" w:cs="Arial"/>
          <w:bCs/>
          <w:i/>
          <w:iCs/>
          <w:sz w:val="24"/>
          <w:szCs w:val="24"/>
        </w:rPr>
        <w:t>P</w:t>
      </w:r>
      <w:r>
        <w:rPr>
          <w:rFonts w:ascii="Arial" w:hAnsi="Arial" w:cs="Arial"/>
          <w:bCs/>
          <w:i/>
          <w:iCs/>
          <w:sz w:val="24"/>
          <w:szCs w:val="24"/>
        </w:rPr>
        <w:t>lanning Theory and Practice</w:t>
      </w:r>
      <w:r w:rsidRPr="00B24C84">
        <w:rPr>
          <w:rFonts w:ascii="Arial" w:hAnsi="Arial" w:cs="Arial"/>
          <w:bCs/>
          <w:sz w:val="24"/>
          <w:szCs w:val="24"/>
        </w:rPr>
        <w:t xml:space="preserve">: </w:t>
      </w:r>
    </w:p>
    <w:p w:rsidR="00F4292F" w:rsidRDefault="00F4292F" w:rsidP="00F4292F">
      <w:pPr>
        <w:rPr>
          <w:rFonts w:ascii="Arial" w:hAnsi="Arial" w:cs="Arial"/>
          <w:b/>
          <w:sz w:val="32"/>
          <w:szCs w:val="32"/>
        </w:rPr>
      </w:pPr>
    </w:p>
    <w:p w:rsidR="00F4292F" w:rsidRPr="00B24C84" w:rsidRDefault="00F4292F" w:rsidP="00F4292F">
      <w:pPr>
        <w:rPr>
          <w:rFonts w:ascii="Arial" w:hAnsi="Arial" w:cs="Arial"/>
          <w:b/>
          <w:sz w:val="36"/>
          <w:szCs w:val="36"/>
        </w:rPr>
      </w:pPr>
      <w:r w:rsidRPr="00B24C84">
        <w:rPr>
          <w:rFonts w:ascii="Arial" w:hAnsi="Arial" w:cs="Arial"/>
          <w:b/>
          <w:sz w:val="36"/>
          <w:szCs w:val="36"/>
        </w:rPr>
        <w:t>Integrating planning and environmental protection: an analysis of post-Brexit regulatory styles and practitioner attitudes in the UK</w:t>
      </w:r>
    </w:p>
    <w:p w:rsidR="00F4292F" w:rsidRDefault="00F4292F" w:rsidP="00F4292F">
      <w:pPr>
        <w:rPr>
          <w:rFonts w:ascii="Arial" w:hAnsi="Arial" w:cs="Arial"/>
          <w:b/>
          <w:sz w:val="24"/>
          <w:szCs w:val="24"/>
        </w:rPr>
      </w:pPr>
    </w:p>
    <w:p w:rsidR="00F4292F" w:rsidRDefault="00F4292F" w:rsidP="00F4292F">
      <w:pPr>
        <w:rPr>
          <w:rFonts w:ascii="Arial" w:hAnsi="Arial" w:cs="Arial"/>
          <w:sz w:val="24"/>
          <w:szCs w:val="24"/>
        </w:rPr>
      </w:pPr>
    </w:p>
    <w:p w:rsidR="00F4292F" w:rsidRPr="00F5556F" w:rsidRDefault="00F4292F" w:rsidP="00F4292F">
      <w:pPr>
        <w:rPr>
          <w:rFonts w:ascii="Arial" w:hAnsi="Arial" w:cs="Arial"/>
          <w:sz w:val="28"/>
          <w:szCs w:val="28"/>
        </w:rPr>
      </w:pPr>
      <w:r w:rsidRPr="00F5556F">
        <w:rPr>
          <w:rFonts w:ascii="Arial" w:hAnsi="Arial" w:cs="Arial"/>
          <w:sz w:val="28"/>
          <w:szCs w:val="28"/>
        </w:rPr>
        <w:t>Richard Cowell R</w:t>
      </w:r>
      <w:r w:rsidRPr="00F5556F">
        <w:rPr>
          <w:rFonts w:ascii="Arial" w:hAnsi="Arial" w:cs="Arial"/>
          <w:sz w:val="28"/>
          <w:szCs w:val="28"/>
          <w:vertAlign w:val="superscript"/>
        </w:rPr>
        <w:t>1</w:t>
      </w:r>
      <w:r w:rsidRPr="00F5556F">
        <w:rPr>
          <w:rFonts w:ascii="Arial" w:hAnsi="Arial" w:cs="Arial"/>
          <w:sz w:val="28"/>
          <w:szCs w:val="28"/>
        </w:rPr>
        <w:t>, Geraint Ellis G</w:t>
      </w:r>
      <w:r w:rsidRPr="00F5556F">
        <w:rPr>
          <w:rFonts w:ascii="Arial" w:hAnsi="Arial" w:cs="Arial"/>
          <w:sz w:val="28"/>
          <w:szCs w:val="28"/>
          <w:vertAlign w:val="superscript"/>
        </w:rPr>
        <w:t>2</w:t>
      </w:r>
      <w:r w:rsidRPr="00F5556F">
        <w:rPr>
          <w:rFonts w:ascii="Arial" w:hAnsi="Arial" w:cs="Arial"/>
          <w:sz w:val="28"/>
          <w:szCs w:val="28"/>
        </w:rPr>
        <w:t>, Thomas B Fischer</w:t>
      </w:r>
      <w:r w:rsidRPr="00F5556F">
        <w:rPr>
          <w:rFonts w:ascii="Arial" w:hAnsi="Arial" w:cs="Arial"/>
          <w:sz w:val="28"/>
          <w:szCs w:val="28"/>
          <w:vertAlign w:val="superscript"/>
        </w:rPr>
        <w:t>3</w:t>
      </w:r>
      <w:r w:rsidRPr="00F5556F">
        <w:rPr>
          <w:rFonts w:ascii="Arial" w:hAnsi="Arial" w:cs="Arial"/>
          <w:sz w:val="28"/>
          <w:szCs w:val="28"/>
        </w:rPr>
        <w:t>, Tony Jackson</w:t>
      </w:r>
      <w:r w:rsidRPr="00F5556F">
        <w:rPr>
          <w:rFonts w:ascii="Arial" w:hAnsi="Arial" w:cs="Arial"/>
          <w:sz w:val="28"/>
          <w:szCs w:val="28"/>
          <w:vertAlign w:val="superscript"/>
        </w:rPr>
        <w:t>4</w:t>
      </w:r>
      <w:r w:rsidRPr="00F5556F">
        <w:rPr>
          <w:rFonts w:ascii="Arial" w:hAnsi="Arial" w:cs="Arial"/>
          <w:sz w:val="28"/>
          <w:szCs w:val="28"/>
        </w:rPr>
        <w:t>, Thomas Muinzer</w:t>
      </w:r>
      <w:r w:rsidRPr="00F5556F">
        <w:rPr>
          <w:rFonts w:ascii="Arial" w:hAnsi="Arial" w:cs="Arial"/>
          <w:sz w:val="28"/>
          <w:szCs w:val="28"/>
          <w:vertAlign w:val="superscript"/>
        </w:rPr>
        <w:t>5</w:t>
      </w:r>
      <w:r w:rsidRPr="00F5556F">
        <w:rPr>
          <w:rFonts w:ascii="Arial" w:hAnsi="Arial" w:cs="Arial"/>
          <w:sz w:val="28"/>
          <w:szCs w:val="28"/>
        </w:rPr>
        <w:t xml:space="preserve"> and Olivier Sykes</w:t>
      </w:r>
      <w:r w:rsidRPr="00F5556F">
        <w:rPr>
          <w:rFonts w:ascii="Arial" w:hAnsi="Arial" w:cs="Arial"/>
          <w:sz w:val="28"/>
          <w:szCs w:val="28"/>
          <w:vertAlign w:val="superscript"/>
        </w:rPr>
        <w:t>3</w:t>
      </w:r>
    </w:p>
    <w:p w:rsidR="00F4292F" w:rsidRPr="00F5556F" w:rsidRDefault="00F4292F" w:rsidP="00F4292F">
      <w:pPr>
        <w:shd w:val="clear" w:color="auto" w:fill="FFFFFF"/>
        <w:spacing w:line="240" w:lineRule="auto"/>
        <w:rPr>
          <w:rFonts w:ascii="Arial" w:eastAsia="Times New Roman" w:hAnsi="Arial" w:cs="Arial"/>
          <w:b/>
          <w:bCs/>
          <w:color w:val="000000"/>
          <w:sz w:val="24"/>
          <w:szCs w:val="24"/>
          <w:lang w:eastAsia="en-GB"/>
        </w:rPr>
      </w:pP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r w:rsidRPr="00F5556F">
        <w:rPr>
          <w:rFonts w:ascii="Arial" w:eastAsia="Times New Roman" w:hAnsi="Arial" w:cs="Arial"/>
          <w:bCs/>
          <w:color w:val="000000"/>
          <w:sz w:val="24"/>
          <w:szCs w:val="24"/>
          <w:vertAlign w:val="superscript"/>
          <w:lang w:eastAsia="en-GB"/>
        </w:rPr>
        <w:t>1</w:t>
      </w:r>
      <w:r w:rsidRPr="00F5556F">
        <w:rPr>
          <w:rFonts w:ascii="Arial" w:eastAsia="Times New Roman" w:hAnsi="Arial" w:cs="Arial"/>
          <w:bCs/>
          <w:color w:val="000000"/>
          <w:sz w:val="24"/>
          <w:szCs w:val="24"/>
          <w:lang w:eastAsia="en-GB"/>
        </w:rPr>
        <w:t>School of Geography and Planning</w:t>
      </w: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r w:rsidRPr="00F5556F">
        <w:rPr>
          <w:rFonts w:ascii="Arial" w:eastAsia="Times New Roman" w:hAnsi="Arial" w:cs="Arial"/>
          <w:bCs/>
          <w:color w:val="000000"/>
          <w:sz w:val="24"/>
          <w:szCs w:val="24"/>
          <w:lang w:eastAsia="en-GB"/>
        </w:rPr>
        <w:t>Cardiff University</w:t>
      </w: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r w:rsidRPr="00F5556F">
        <w:rPr>
          <w:rFonts w:ascii="Arial" w:eastAsia="Times New Roman" w:hAnsi="Arial" w:cs="Arial"/>
          <w:bCs/>
          <w:color w:val="000000"/>
          <w:sz w:val="24"/>
          <w:szCs w:val="24"/>
          <w:lang w:eastAsia="en-GB"/>
        </w:rPr>
        <w:t>King Edward VII Avenue</w:t>
      </w: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r w:rsidRPr="00F5556F">
        <w:rPr>
          <w:rFonts w:ascii="Arial" w:eastAsia="Times New Roman" w:hAnsi="Arial" w:cs="Arial"/>
          <w:bCs/>
          <w:color w:val="000000"/>
          <w:sz w:val="24"/>
          <w:szCs w:val="24"/>
          <w:lang w:eastAsia="en-GB"/>
        </w:rPr>
        <w:t>Cardiff University CF10 3WA</w:t>
      </w: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r w:rsidRPr="00F5556F">
        <w:rPr>
          <w:rFonts w:ascii="Arial" w:eastAsia="Times New Roman" w:hAnsi="Arial" w:cs="Arial"/>
          <w:bCs/>
          <w:color w:val="000000"/>
          <w:sz w:val="24"/>
          <w:szCs w:val="24"/>
          <w:lang w:eastAsia="en-GB"/>
        </w:rPr>
        <w:t>UK</w:t>
      </w: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p>
    <w:p w:rsidR="00F4292F" w:rsidRPr="00F5556F" w:rsidRDefault="00F4292F" w:rsidP="00F4292F">
      <w:pPr>
        <w:pStyle w:val="xxxmsonormal"/>
        <w:shd w:val="clear" w:color="auto" w:fill="FFFFFF"/>
        <w:spacing w:before="0" w:beforeAutospacing="0" w:after="0" w:afterAutospacing="0"/>
        <w:rPr>
          <w:rFonts w:ascii="Arial" w:hAnsi="Arial" w:cs="Arial"/>
        </w:rPr>
      </w:pPr>
      <w:r w:rsidRPr="00F5556F">
        <w:rPr>
          <w:rFonts w:ascii="Arial" w:hAnsi="Arial" w:cs="Arial"/>
          <w:bCs/>
          <w:vertAlign w:val="superscript"/>
        </w:rPr>
        <w:t>2</w:t>
      </w:r>
      <w:r w:rsidRPr="00F5556F">
        <w:rPr>
          <w:rFonts w:ascii="Arial" w:hAnsi="Arial" w:cs="Arial"/>
          <w:bdr w:val="none" w:sz="0" w:space="0" w:color="auto" w:frame="1"/>
        </w:rPr>
        <w:t>School of Natural and Built Environment</w:t>
      </w:r>
    </w:p>
    <w:p w:rsidR="00F4292F" w:rsidRPr="00F5556F" w:rsidRDefault="00F4292F" w:rsidP="00F4292F">
      <w:pPr>
        <w:pStyle w:val="xxxmsonormal"/>
        <w:shd w:val="clear" w:color="auto" w:fill="FFFFFF"/>
        <w:spacing w:before="0" w:beforeAutospacing="0" w:after="0" w:afterAutospacing="0"/>
        <w:rPr>
          <w:rFonts w:ascii="Arial" w:hAnsi="Arial" w:cs="Arial"/>
        </w:rPr>
      </w:pPr>
      <w:r w:rsidRPr="00F5556F">
        <w:rPr>
          <w:rFonts w:ascii="Arial" w:hAnsi="Arial" w:cs="Arial"/>
          <w:bdr w:val="none" w:sz="0" w:space="0" w:color="auto" w:frame="1"/>
        </w:rPr>
        <w:t>Queen’s University, Belfast</w:t>
      </w:r>
    </w:p>
    <w:p w:rsidR="00F4292F" w:rsidRPr="00F5556F" w:rsidRDefault="00F4292F" w:rsidP="00F4292F">
      <w:pPr>
        <w:pStyle w:val="xxxmsonormal"/>
        <w:shd w:val="clear" w:color="auto" w:fill="FFFFFF"/>
        <w:spacing w:before="0" w:beforeAutospacing="0" w:after="0" w:afterAutospacing="0"/>
        <w:rPr>
          <w:rFonts w:ascii="Arial" w:hAnsi="Arial" w:cs="Arial"/>
        </w:rPr>
      </w:pPr>
      <w:r w:rsidRPr="00F5556F">
        <w:rPr>
          <w:rFonts w:ascii="Arial" w:hAnsi="Arial" w:cs="Arial"/>
          <w:bdr w:val="none" w:sz="0" w:space="0" w:color="auto" w:frame="1"/>
        </w:rPr>
        <w:t>David Keir Building</w:t>
      </w:r>
      <w:r w:rsidRPr="00F5556F">
        <w:rPr>
          <w:rFonts w:ascii="Arial" w:hAnsi="Arial" w:cs="Arial"/>
        </w:rPr>
        <w:t xml:space="preserve">, </w:t>
      </w:r>
      <w:r w:rsidRPr="00F5556F">
        <w:rPr>
          <w:rFonts w:ascii="Arial" w:hAnsi="Arial" w:cs="Arial"/>
          <w:bdr w:val="none" w:sz="0" w:space="0" w:color="auto" w:frame="1"/>
        </w:rPr>
        <w:t>Stranmillis Road</w:t>
      </w:r>
    </w:p>
    <w:p w:rsidR="00F4292F" w:rsidRPr="00F5556F" w:rsidRDefault="00F4292F" w:rsidP="00F4292F">
      <w:pPr>
        <w:pStyle w:val="xxxmsonormal"/>
        <w:shd w:val="clear" w:color="auto" w:fill="FFFFFF"/>
        <w:spacing w:before="0" w:beforeAutospacing="0" w:after="0" w:afterAutospacing="0"/>
        <w:rPr>
          <w:rFonts w:ascii="Arial" w:hAnsi="Arial" w:cs="Arial"/>
        </w:rPr>
      </w:pPr>
      <w:r w:rsidRPr="00F5556F">
        <w:rPr>
          <w:rFonts w:ascii="Arial" w:hAnsi="Arial" w:cs="Arial"/>
          <w:bdr w:val="none" w:sz="0" w:space="0" w:color="auto" w:frame="1"/>
        </w:rPr>
        <w:t>Belfast</w:t>
      </w:r>
      <w:r w:rsidRPr="00F5556F">
        <w:rPr>
          <w:rFonts w:ascii="Arial" w:hAnsi="Arial" w:cs="Arial"/>
        </w:rPr>
        <w:t xml:space="preserve">, </w:t>
      </w:r>
      <w:r w:rsidRPr="00F5556F">
        <w:rPr>
          <w:rFonts w:ascii="Arial" w:hAnsi="Arial" w:cs="Arial"/>
          <w:bdr w:val="none" w:sz="0" w:space="0" w:color="auto" w:frame="1"/>
        </w:rPr>
        <w:t>BT9 5AG</w:t>
      </w: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p>
    <w:p w:rsidR="00F4292F" w:rsidRDefault="00F4292F" w:rsidP="00F4292F">
      <w:pPr>
        <w:shd w:val="clear" w:color="auto" w:fill="FFFFFF"/>
        <w:spacing w:line="240" w:lineRule="auto"/>
        <w:rPr>
          <w:rFonts w:ascii="Arial" w:eastAsia="Times New Roman" w:hAnsi="Arial" w:cs="Arial"/>
          <w:bCs/>
          <w:color w:val="000000"/>
          <w:sz w:val="24"/>
          <w:szCs w:val="24"/>
          <w:lang w:eastAsia="en-GB"/>
        </w:rPr>
      </w:pPr>
      <w:r w:rsidRPr="00F5556F">
        <w:rPr>
          <w:rFonts w:ascii="Arial" w:eastAsia="Times New Roman" w:hAnsi="Arial" w:cs="Arial"/>
          <w:bCs/>
          <w:color w:val="000000"/>
          <w:sz w:val="24"/>
          <w:szCs w:val="24"/>
          <w:vertAlign w:val="superscript"/>
          <w:lang w:eastAsia="en-GB"/>
        </w:rPr>
        <w:t>3</w:t>
      </w:r>
      <w:r>
        <w:rPr>
          <w:rFonts w:ascii="Arial" w:eastAsia="Times New Roman" w:hAnsi="Arial" w:cs="Arial"/>
          <w:bCs/>
          <w:color w:val="000000"/>
          <w:sz w:val="24"/>
          <w:szCs w:val="24"/>
          <w:lang w:eastAsia="en-GB"/>
        </w:rPr>
        <w:t>Environmental Assessment and Management</w:t>
      </w: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Research Centre, Geography and Planning</w:t>
      </w: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r w:rsidRPr="00F5556F">
        <w:rPr>
          <w:rFonts w:ascii="Arial" w:eastAsia="Times New Roman" w:hAnsi="Arial" w:cs="Arial"/>
          <w:bCs/>
          <w:color w:val="000000"/>
          <w:sz w:val="24"/>
          <w:szCs w:val="24"/>
          <w:lang w:eastAsia="en-GB"/>
        </w:rPr>
        <w:t>University</w:t>
      </w:r>
      <w:r>
        <w:rPr>
          <w:rFonts w:ascii="Arial" w:eastAsia="Times New Roman" w:hAnsi="Arial" w:cs="Arial"/>
          <w:bCs/>
          <w:color w:val="000000"/>
          <w:sz w:val="24"/>
          <w:szCs w:val="24"/>
          <w:lang w:eastAsia="en-GB"/>
        </w:rPr>
        <w:t xml:space="preserve"> of Liverpool</w:t>
      </w:r>
    </w:p>
    <w:p w:rsidR="00F4292F" w:rsidRPr="00F5556F" w:rsidRDefault="00F4292F" w:rsidP="00F4292F">
      <w:pPr>
        <w:shd w:val="clear" w:color="auto" w:fill="FFFFFF"/>
        <w:spacing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Roxby Building ,</w:t>
      </w:r>
      <w:r w:rsidRPr="00F5556F">
        <w:rPr>
          <w:rFonts w:ascii="Arial" w:hAnsi="Arial" w:cs="Arial"/>
          <w:bCs/>
          <w:color w:val="000000"/>
          <w:sz w:val="24"/>
          <w:szCs w:val="24"/>
          <w:shd w:val="clear" w:color="auto" w:fill="FFFFFF"/>
        </w:rPr>
        <w:t>74 Bedford Street South</w:t>
      </w:r>
    </w:p>
    <w:p w:rsidR="00F4292F" w:rsidRPr="00C604BA" w:rsidRDefault="00F4292F" w:rsidP="00F4292F">
      <w:pPr>
        <w:shd w:val="clear" w:color="auto" w:fill="FFFFFF"/>
        <w:spacing w:line="240" w:lineRule="auto"/>
        <w:rPr>
          <w:rFonts w:ascii="Arial" w:eastAsia="Times New Roman" w:hAnsi="Arial" w:cs="Arial"/>
          <w:bCs/>
          <w:color w:val="000000"/>
          <w:sz w:val="24"/>
          <w:szCs w:val="24"/>
          <w:u w:val="single"/>
          <w:lang w:eastAsia="en-GB"/>
        </w:rPr>
      </w:pPr>
      <w:r w:rsidRPr="00F5556F">
        <w:rPr>
          <w:rFonts w:ascii="Arial" w:hAnsi="Arial" w:cs="Arial"/>
          <w:bCs/>
          <w:color w:val="000000"/>
          <w:sz w:val="24"/>
          <w:szCs w:val="24"/>
          <w:shd w:val="clear" w:color="auto" w:fill="FFFFFF"/>
        </w:rPr>
        <w:t>Liverpool, L69 7ZQ</w:t>
      </w:r>
      <w:r>
        <w:rPr>
          <w:rFonts w:ascii="Arial" w:hAnsi="Arial" w:cs="Arial"/>
          <w:bCs/>
          <w:color w:val="000000"/>
          <w:sz w:val="24"/>
          <w:szCs w:val="24"/>
          <w:shd w:val="clear" w:color="auto" w:fill="FFFFFF"/>
        </w:rPr>
        <w:t xml:space="preserve">, </w:t>
      </w:r>
      <w:r w:rsidRPr="009A7C4A">
        <w:rPr>
          <w:rFonts w:ascii="Arial" w:hAnsi="Arial" w:cs="Arial"/>
          <w:bCs/>
          <w:color w:val="000000"/>
          <w:sz w:val="24"/>
          <w:szCs w:val="24"/>
          <w:shd w:val="clear" w:color="auto" w:fill="FFFFFF"/>
        </w:rPr>
        <w:t>UK</w:t>
      </w: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p>
    <w:p w:rsidR="00F4292F" w:rsidRPr="00BD23F9" w:rsidRDefault="00F4292F" w:rsidP="00F4292F">
      <w:pPr>
        <w:pStyle w:val="NormalWeb"/>
        <w:shd w:val="clear" w:color="auto" w:fill="FFFFFF"/>
        <w:spacing w:before="0" w:beforeAutospacing="0" w:after="0" w:afterAutospacing="0"/>
        <w:rPr>
          <w:rFonts w:ascii="Arial" w:hAnsi="Arial" w:cs="Arial"/>
          <w:color w:val="201F1E"/>
          <w:sz w:val="24"/>
          <w:szCs w:val="24"/>
        </w:rPr>
      </w:pPr>
      <w:r w:rsidRPr="00BD23F9">
        <w:rPr>
          <w:rFonts w:ascii="Arial" w:hAnsi="Arial" w:cs="Arial"/>
          <w:bCs/>
          <w:color w:val="000000"/>
          <w:sz w:val="24"/>
          <w:szCs w:val="24"/>
          <w:vertAlign w:val="superscript"/>
        </w:rPr>
        <w:t>4</w:t>
      </w:r>
      <w:r w:rsidRPr="00BD23F9">
        <w:rPr>
          <w:rFonts w:ascii="Arial" w:hAnsi="Arial" w:cs="Arial"/>
          <w:color w:val="201F1E"/>
          <w:sz w:val="24"/>
          <w:szCs w:val="24"/>
        </w:rPr>
        <w:t>Town and Regional Planning</w:t>
      </w:r>
    </w:p>
    <w:p w:rsidR="00F4292F" w:rsidRPr="00BD23F9" w:rsidRDefault="00F4292F" w:rsidP="00F4292F">
      <w:pPr>
        <w:pStyle w:val="NormalWeb"/>
        <w:shd w:val="clear" w:color="auto" w:fill="FFFFFF"/>
        <w:spacing w:before="0" w:beforeAutospacing="0" w:after="0" w:afterAutospacing="0"/>
        <w:rPr>
          <w:rFonts w:ascii="Arial" w:hAnsi="Arial" w:cs="Arial"/>
          <w:color w:val="201F1E"/>
          <w:sz w:val="24"/>
          <w:szCs w:val="24"/>
        </w:rPr>
      </w:pPr>
      <w:r w:rsidRPr="00BD23F9">
        <w:rPr>
          <w:rFonts w:ascii="Arial" w:hAnsi="Arial" w:cs="Arial"/>
          <w:color w:val="201F1E"/>
          <w:sz w:val="24"/>
          <w:szCs w:val="24"/>
        </w:rPr>
        <w:t>School of the Environment</w:t>
      </w:r>
    </w:p>
    <w:p w:rsidR="00F4292F" w:rsidRPr="00BD23F9" w:rsidRDefault="00F4292F" w:rsidP="00F4292F">
      <w:pPr>
        <w:pStyle w:val="NormalWeb"/>
        <w:shd w:val="clear" w:color="auto" w:fill="FFFFFF"/>
        <w:spacing w:before="0" w:beforeAutospacing="0" w:after="0" w:afterAutospacing="0"/>
        <w:rPr>
          <w:rFonts w:ascii="Arial" w:hAnsi="Arial" w:cs="Arial"/>
          <w:color w:val="201F1E"/>
          <w:sz w:val="24"/>
          <w:szCs w:val="24"/>
        </w:rPr>
      </w:pPr>
      <w:r w:rsidRPr="00BD23F9">
        <w:rPr>
          <w:rFonts w:ascii="Arial" w:hAnsi="Arial" w:cs="Arial"/>
          <w:color w:val="201F1E"/>
          <w:sz w:val="24"/>
          <w:szCs w:val="24"/>
        </w:rPr>
        <w:t>University of Dundee</w:t>
      </w:r>
    </w:p>
    <w:p w:rsidR="00F4292F" w:rsidRPr="005F57A7" w:rsidRDefault="00F4292F" w:rsidP="00F4292F">
      <w:pPr>
        <w:pStyle w:val="NormalWeb"/>
        <w:shd w:val="clear" w:color="auto" w:fill="FFFFFF"/>
        <w:spacing w:before="0" w:beforeAutospacing="0" w:after="0" w:afterAutospacing="0"/>
        <w:rPr>
          <w:rFonts w:ascii="Arial" w:hAnsi="Arial" w:cs="Arial"/>
          <w:color w:val="201F1E"/>
          <w:sz w:val="24"/>
          <w:szCs w:val="24"/>
          <w:rPrChange w:id="1" w:author="Sykes, Olivier" w:date="2020-07-20T12:22:00Z">
            <w:rPr>
              <w:rFonts w:ascii="Arial" w:hAnsi="Arial" w:cs="Arial"/>
              <w:color w:val="201F1E"/>
              <w:sz w:val="24"/>
              <w:szCs w:val="24"/>
              <w:lang w:val="fr-FR"/>
            </w:rPr>
          </w:rPrChange>
        </w:rPr>
      </w:pPr>
      <w:r w:rsidRPr="00BD23F9">
        <w:rPr>
          <w:rFonts w:ascii="Arial" w:hAnsi="Arial" w:cs="Arial"/>
          <w:color w:val="201F1E"/>
          <w:sz w:val="24"/>
          <w:szCs w:val="24"/>
        </w:rPr>
        <w:t>Perth Road, Dundee DD1 4HN</w:t>
      </w:r>
    </w:p>
    <w:p w:rsidR="00F4292F" w:rsidRPr="005F57A7" w:rsidRDefault="00F4292F" w:rsidP="00F4292F">
      <w:pPr>
        <w:shd w:val="clear" w:color="auto" w:fill="FFFFFF"/>
        <w:spacing w:line="240" w:lineRule="auto"/>
        <w:rPr>
          <w:rFonts w:ascii="Arial" w:eastAsia="Times New Roman" w:hAnsi="Arial" w:cs="Arial"/>
          <w:bCs/>
          <w:color w:val="000000"/>
          <w:sz w:val="24"/>
          <w:szCs w:val="24"/>
          <w:lang w:eastAsia="en-GB"/>
          <w:rPrChange w:id="2" w:author="Sykes, Olivier" w:date="2020-07-20T12:22:00Z">
            <w:rPr>
              <w:rFonts w:ascii="Arial" w:eastAsia="Times New Roman" w:hAnsi="Arial" w:cs="Arial"/>
              <w:bCs/>
              <w:color w:val="000000"/>
              <w:sz w:val="24"/>
              <w:szCs w:val="24"/>
              <w:lang w:val="fr-FR" w:eastAsia="en-GB"/>
            </w:rPr>
          </w:rPrChange>
        </w:rPr>
      </w:pPr>
    </w:p>
    <w:p w:rsidR="00F4292F" w:rsidRPr="00F5556F" w:rsidRDefault="00F4292F" w:rsidP="00F4292F">
      <w:pPr>
        <w:pStyle w:val="xxxxmsonormal"/>
        <w:shd w:val="clear" w:color="auto" w:fill="FFFFFF"/>
        <w:spacing w:before="0" w:beforeAutospacing="0" w:after="0" w:afterAutospacing="0"/>
        <w:rPr>
          <w:rFonts w:ascii="Arial" w:hAnsi="Arial" w:cs="Arial"/>
          <w:color w:val="201F1E"/>
        </w:rPr>
      </w:pPr>
      <w:r w:rsidRPr="00F5556F">
        <w:rPr>
          <w:rFonts w:ascii="Arial" w:hAnsi="Arial" w:cs="Arial"/>
          <w:bCs/>
          <w:color w:val="000000"/>
          <w:vertAlign w:val="superscript"/>
        </w:rPr>
        <w:t xml:space="preserve">5 </w:t>
      </w:r>
      <w:r>
        <w:rPr>
          <w:rFonts w:ascii="Arial" w:hAnsi="Arial" w:cs="Arial"/>
          <w:color w:val="212121"/>
          <w:bdr w:val="none" w:sz="0" w:space="0" w:color="auto" w:frame="1"/>
        </w:rPr>
        <w:t>Aberdeen University Centre for Energy Law</w:t>
      </w:r>
    </w:p>
    <w:p w:rsidR="00F4292F" w:rsidRPr="00F5556F" w:rsidRDefault="00F4292F" w:rsidP="00F4292F">
      <w:pPr>
        <w:pStyle w:val="xxxxmsonormal"/>
        <w:shd w:val="clear" w:color="auto" w:fill="FFFFFF"/>
        <w:spacing w:before="0" w:beforeAutospacing="0" w:after="0" w:afterAutospacing="0"/>
        <w:rPr>
          <w:rFonts w:ascii="Arial" w:hAnsi="Arial" w:cs="Arial"/>
          <w:color w:val="201F1E"/>
        </w:rPr>
      </w:pPr>
      <w:r>
        <w:rPr>
          <w:rFonts w:ascii="Arial" w:hAnsi="Arial" w:cs="Arial"/>
          <w:color w:val="212121"/>
          <w:bdr w:val="none" w:sz="0" w:space="0" w:color="auto" w:frame="1"/>
        </w:rPr>
        <w:t>Tower Building</w:t>
      </w:r>
    </w:p>
    <w:p w:rsidR="00F4292F" w:rsidRPr="00F5556F" w:rsidRDefault="00F4292F" w:rsidP="00F4292F">
      <w:pPr>
        <w:pStyle w:val="xxxxmsonormal"/>
        <w:shd w:val="clear" w:color="auto" w:fill="FFFFFF"/>
        <w:spacing w:before="0" w:beforeAutospacing="0" w:after="0" w:afterAutospacing="0"/>
        <w:rPr>
          <w:rFonts w:ascii="Arial" w:hAnsi="Arial" w:cs="Arial"/>
          <w:color w:val="201F1E"/>
        </w:rPr>
      </w:pPr>
      <w:r w:rsidRPr="00F5556F">
        <w:rPr>
          <w:rFonts w:ascii="Arial" w:hAnsi="Arial" w:cs="Arial"/>
          <w:color w:val="212121"/>
          <w:bdr w:val="none" w:sz="0" w:space="0" w:color="auto" w:frame="1"/>
        </w:rPr>
        <w:t xml:space="preserve">University of </w:t>
      </w:r>
      <w:r>
        <w:rPr>
          <w:rFonts w:ascii="Arial" w:hAnsi="Arial" w:cs="Arial"/>
          <w:color w:val="212121"/>
          <w:bdr w:val="none" w:sz="0" w:space="0" w:color="auto" w:frame="1"/>
        </w:rPr>
        <w:t>Aberdeen</w:t>
      </w:r>
    </w:p>
    <w:p w:rsidR="00F4292F" w:rsidRDefault="00F4292F" w:rsidP="00F4292F">
      <w:pPr>
        <w:pStyle w:val="xxxxmsonormal"/>
        <w:shd w:val="clear" w:color="auto" w:fill="FFFFFF"/>
        <w:spacing w:before="0" w:beforeAutospacing="0" w:after="0" w:afterAutospacing="0"/>
        <w:rPr>
          <w:rFonts w:ascii="Arial" w:hAnsi="Arial" w:cs="Arial"/>
          <w:color w:val="212121"/>
          <w:bdr w:val="none" w:sz="0" w:space="0" w:color="auto" w:frame="1"/>
        </w:rPr>
      </w:pPr>
      <w:r>
        <w:rPr>
          <w:rFonts w:ascii="Arial" w:hAnsi="Arial" w:cs="Arial"/>
          <w:color w:val="212121"/>
          <w:bdr w:val="none" w:sz="0" w:space="0" w:color="auto" w:frame="1"/>
        </w:rPr>
        <w:t>Aberdeen</w:t>
      </w:r>
      <w:r w:rsidRPr="00F5556F">
        <w:rPr>
          <w:rFonts w:ascii="Arial" w:hAnsi="Arial" w:cs="Arial"/>
          <w:color w:val="212121"/>
          <w:bdr w:val="none" w:sz="0" w:space="0" w:color="auto" w:frame="1"/>
        </w:rPr>
        <w:t>, Scotland</w:t>
      </w:r>
    </w:p>
    <w:p w:rsidR="00F4292F" w:rsidRDefault="00F4292F" w:rsidP="00F4292F">
      <w:pPr>
        <w:shd w:val="clear" w:color="auto" w:fill="FFFFFF"/>
        <w:spacing w:line="240" w:lineRule="auto"/>
        <w:rPr>
          <w:rFonts w:ascii="Arial" w:eastAsia="Times New Roman" w:hAnsi="Arial" w:cs="Arial"/>
          <w:bCs/>
          <w:color w:val="000000"/>
          <w:sz w:val="24"/>
          <w:szCs w:val="24"/>
          <w:lang w:eastAsia="en-GB"/>
        </w:rPr>
      </w:pP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r w:rsidRPr="00F5556F">
        <w:rPr>
          <w:rFonts w:ascii="Arial" w:eastAsia="Times New Roman" w:hAnsi="Arial" w:cs="Arial"/>
          <w:b/>
          <w:bCs/>
          <w:color w:val="000000"/>
          <w:sz w:val="24"/>
          <w:szCs w:val="24"/>
          <w:lang w:eastAsia="en-GB"/>
        </w:rPr>
        <w:t>Email</w:t>
      </w:r>
      <w:r w:rsidRPr="00F5556F">
        <w:rPr>
          <w:rFonts w:ascii="Arial" w:eastAsia="Times New Roman" w:hAnsi="Arial" w:cs="Arial"/>
          <w:bCs/>
          <w:color w:val="000000"/>
          <w:sz w:val="24"/>
          <w:szCs w:val="24"/>
          <w:lang w:eastAsia="en-GB"/>
        </w:rPr>
        <w:t xml:space="preserve">: </w:t>
      </w:r>
      <w:hyperlink r:id="rId11" w:history="1">
        <w:r w:rsidRPr="00F5556F">
          <w:rPr>
            <w:rStyle w:val="Hyperlink"/>
            <w:rFonts w:ascii="Arial" w:eastAsia="Times New Roman" w:hAnsi="Arial" w:cs="Arial"/>
            <w:sz w:val="24"/>
            <w:szCs w:val="24"/>
            <w:lang w:eastAsia="en-GB"/>
          </w:rPr>
          <w:t>cowellrj@cardiff.ac.uk</w:t>
        </w:r>
      </w:hyperlink>
      <w:r w:rsidRPr="00F5556F">
        <w:rPr>
          <w:rFonts w:ascii="Arial" w:eastAsia="Times New Roman" w:hAnsi="Arial" w:cs="Arial"/>
          <w:bCs/>
          <w:color w:val="000000"/>
          <w:sz w:val="24"/>
          <w:szCs w:val="24"/>
          <w:lang w:eastAsia="en-GB"/>
        </w:rPr>
        <w:t xml:space="preserve">, </w:t>
      </w:r>
      <w:hyperlink r:id="rId12" w:history="1">
        <w:r w:rsidRPr="00F5556F">
          <w:rPr>
            <w:rStyle w:val="Hyperlink"/>
            <w:rFonts w:ascii="Arial" w:eastAsia="Times New Roman" w:hAnsi="Arial" w:cs="Arial"/>
            <w:sz w:val="24"/>
            <w:szCs w:val="24"/>
            <w:lang w:eastAsia="en-GB"/>
          </w:rPr>
          <w:t>g.ellis@qub.ac.uk</w:t>
        </w:r>
      </w:hyperlink>
      <w:r w:rsidRPr="00F5556F">
        <w:rPr>
          <w:rFonts w:ascii="Arial" w:eastAsia="Times New Roman" w:hAnsi="Arial" w:cs="Arial"/>
          <w:bCs/>
          <w:color w:val="000000"/>
          <w:sz w:val="24"/>
          <w:szCs w:val="24"/>
          <w:lang w:eastAsia="en-GB"/>
        </w:rPr>
        <w:t xml:space="preserve">, </w:t>
      </w:r>
      <w:hyperlink r:id="rId13" w:history="1">
        <w:r w:rsidRPr="00F5556F">
          <w:rPr>
            <w:rStyle w:val="Hyperlink"/>
            <w:rFonts w:ascii="Arial" w:eastAsia="Times New Roman" w:hAnsi="Arial" w:cs="Arial"/>
            <w:sz w:val="24"/>
            <w:szCs w:val="24"/>
            <w:lang w:eastAsia="en-GB"/>
          </w:rPr>
          <w:t>fischer@liverpool.ac.uk</w:t>
        </w:r>
      </w:hyperlink>
      <w:r w:rsidRPr="00F5556F">
        <w:rPr>
          <w:rFonts w:ascii="Arial" w:eastAsia="Times New Roman" w:hAnsi="Arial" w:cs="Arial"/>
          <w:bCs/>
          <w:color w:val="000000"/>
          <w:sz w:val="24"/>
          <w:szCs w:val="24"/>
          <w:lang w:eastAsia="en-GB"/>
        </w:rPr>
        <w:t xml:space="preserve">, </w:t>
      </w:r>
      <w:hyperlink r:id="rId14" w:history="1">
        <w:r w:rsidRPr="00F5556F">
          <w:rPr>
            <w:rStyle w:val="Hyperlink"/>
            <w:rFonts w:ascii="Arial" w:eastAsia="Times New Roman" w:hAnsi="Arial" w:cs="Arial"/>
            <w:sz w:val="24"/>
            <w:szCs w:val="24"/>
            <w:lang w:eastAsia="en-GB"/>
          </w:rPr>
          <w:t>a.a.jackson@dundee.ac.uk</w:t>
        </w:r>
      </w:hyperlink>
      <w:r w:rsidRPr="00F5556F">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thomas.muinzer@abdn.ac.uk</w:t>
      </w:r>
      <w:r w:rsidRPr="00F5556F">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o</w:t>
      </w:r>
      <w:r w:rsidRPr="00F5556F">
        <w:rPr>
          <w:rFonts w:ascii="Arial" w:eastAsia="Times New Roman" w:hAnsi="Arial" w:cs="Arial"/>
          <w:bCs/>
          <w:color w:val="000000"/>
          <w:sz w:val="24"/>
          <w:szCs w:val="24"/>
          <w:lang w:eastAsia="en-GB"/>
        </w:rPr>
        <w:t>livier.sykes@liverpool.ac.uk</w:t>
      </w: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p>
    <w:p w:rsidR="00F4292F" w:rsidRPr="00F5556F" w:rsidRDefault="00F4292F" w:rsidP="00F4292F">
      <w:pPr>
        <w:shd w:val="clear" w:color="auto" w:fill="FFFFFF"/>
        <w:spacing w:line="240" w:lineRule="auto"/>
        <w:rPr>
          <w:rFonts w:ascii="Arial" w:eastAsia="Times New Roman" w:hAnsi="Arial" w:cs="Arial"/>
          <w:bCs/>
          <w:color w:val="000000"/>
          <w:sz w:val="24"/>
          <w:szCs w:val="24"/>
          <w:lang w:eastAsia="en-GB"/>
        </w:rPr>
      </w:pPr>
      <w:r w:rsidRPr="00F5556F">
        <w:rPr>
          <w:rFonts w:ascii="Arial" w:eastAsia="Times New Roman" w:hAnsi="Arial" w:cs="Arial"/>
          <w:b/>
          <w:bCs/>
          <w:color w:val="000000"/>
          <w:sz w:val="24"/>
          <w:szCs w:val="24"/>
          <w:lang w:eastAsia="en-GB"/>
        </w:rPr>
        <w:t>Corresponding author:</w:t>
      </w:r>
      <w:r w:rsidRPr="00F5556F">
        <w:rPr>
          <w:rFonts w:ascii="Arial" w:eastAsia="Times New Roman" w:hAnsi="Arial" w:cs="Arial"/>
          <w:bCs/>
          <w:color w:val="000000"/>
          <w:sz w:val="24"/>
          <w:szCs w:val="24"/>
          <w:lang w:eastAsia="en-GB"/>
        </w:rPr>
        <w:t xml:space="preserve"> Richard Cowell</w:t>
      </w:r>
    </w:p>
    <w:p w:rsidR="00F4292F" w:rsidRDefault="00F4292F" w:rsidP="00F4292F"/>
    <w:p w:rsidR="00F4292F" w:rsidRDefault="00F4292F" w:rsidP="00077974">
      <w:pPr>
        <w:rPr>
          <w:rFonts w:ascii="Arial" w:hAnsi="Arial" w:cs="Arial"/>
          <w:b/>
          <w:sz w:val="32"/>
          <w:szCs w:val="32"/>
        </w:rPr>
      </w:pPr>
    </w:p>
    <w:p w:rsidR="00077974" w:rsidRPr="0062238C" w:rsidRDefault="00077974" w:rsidP="00077974">
      <w:pPr>
        <w:rPr>
          <w:rFonts w:ascii="Arial" w:hAnsi="Arial" w:cs="Arial"/>
          <w:b/>
          <w:sz w:val="32"/>
          <w:szCs w:val="32"/>
        </w:rPr>
      </w:pPr>
      <w:r w:rsidRPr="0062238C">
        <w:rPr>
          <w:rFonts w:ascii="Arial" w:hAnsi="Arial" w:cs="Arial"/>
          <w:b/>
          <w:sz w:val="32"/>
          <w:szCs w:val="32"/>
        </w:rPr>
        <w:lastRenderedPageBreak/>
        <w:t>Integrating planning and environmental protection: an analysis of post-‘Brexit’ regulatory styles and practitioner attitudes in the UK</w:t>
      </w:r>
    </w:p>
    <w:p w:rsidR="00077974" w:rsidRDefault="00077974" w:rsidP="00077974">
      <w:pPr>
        <w:rPr>
          <w:rFonts w:ascii="Arial" w:hAnsi="Arial" w:cs="Arial"/>
          <w:b/>
          <w:sz w:val="24"/>
          <w:szCs w:val="24"/>
        </w:rPr>
      </w:pPr>
    </w:p>
    <w:p w:rsidR="00077974" w:rsidRDefault="00077974" w:rsidP="00077974">
      <w:pPr>
        <w:rPr>
          <w:rFonts w:ascii="Arial" w:hAnsi="Arial" w:cs="Arial"/>
          <w:sz w:val="24"/>
          <w:szCs w:val="24"/>
        </w:rPr>
      </w:pPr>
    </w:p>
    <w:p w:rsidR="00077974" w:rsidRPr="00A43D70" w:rsidRDefault="00077974" w:rsidP="00077974">
      <w:pPr>
        <w:rPr>
          <w:rFonts w:ascii="Arial" w:hAnsi="Arial" w:cs="Arial"/>
          <w:sz w:val="24"/>
          <w:szCs w:val="24"/>
        </w:rPr>
      </w:pPr>
    </w:p>
    <w:p w:rsidR="00077974" w:rsidRPr="00EB49F0" w:rsidRDefault="00077974" w:rsidP="00077974">
      <w:pPr>
        <w:rPr>
          <w:rFonts w:ascii="Arial" w:hAnsi="Arial" w:cs="Arial"/>
          <w:sz w:val="24"/>
          <w:szCs w:val="24"/>
        </w:rPr>
      </w:pPr>
    </w:p>
    <w:p w:rsidR="00077974" w:rsidRPr="00694E3F" w:rsidRDefault="00077974" w:rsidP="00077974">
      <w:pPr>
        <w:rPr>
          <w:rFonts w:ascii="Arial" w:hAnsi="Arial" w:cs="Arial"/>
          <w:b/>
          <w:sz w:val="24"/>
          <w:szCs w:val="24"/>
        </w:rPr>
      </w:pPr>
      <w:r w:rsidRPr="00694E3F">
        <w:rPr>
          <w:rFonts w:ascii="Arial" w:hAnsi="Arial" w:cs="Arial"/>
          <w:b/>
          <w:sz w:val="24"/>
          <w:szCs w:val="24"/>
        </w:rPr>
        <w:t>Abstract</w:t>
      </w:r>
    </w:p>
    <w:p w:rsidR="00077974" w:rsidRDefault="00077974" w:rsidP="00077974">
      <w:pPr>
        <w:rPr>
          <w:rFonts w:ascii="Arial" w:hAnsi="Arial" w:cs="Arial"/>
          <w:sz w:val="24"/>
          <w:szCs w:val="24"/>
        </w:rPr>
      </w:pPr>
    </w:p>
    <w:p w:rsidR="00077974" w:rsidRDefault="00077974" w:rsidP="00077974">
      <w:pPr>
        <w:rPr>
          <w:rFonts w:ascii="Arial" w:hAnsi="Arial" w:cs="Arial"/>
          <w:sz w:val="24"/>
          <w:szCs w:val="24"/>
        </w:rPr>
      </w:pPr>
      <w:r>
        <w:rPr>
          <w:rFonts w:ascii="Arial" w:hAnsi="Arial" w:cs="Arial"/>
          <w:sz w:val="24"/>
          <w:szCs w:val="24"/>
        </w:rPr>
        <w:t>Debates around the</w:t>
      </w:r>
      <w:r w:rsidR="00A064A6">
        <w:rPr>
          <w:rFonts w:ascii="Arial" w:hAnsi="Arial" w:cs="Arial"/>
          <w:sz w:val="24"/>
          <w:szCs w:val="24"/>
        </w:rPr>
        <w:t xml:space="preserve"> impacts of the UK’s exit from the </w:t>
      </w:r>
      <w:r>
        <w:rPr>
          <w:rFonts w:ascii="Arial" w:hAnsi="Arial" w:cs="Arial"/>
          <w:sz w:val="24"/>
          <w:szCs w:val="24"/>
        </w:rPr>
        <w:t xml:space="preserve">European Union </w:t>
      </w:r>
      <w:r w:rsidR="00A064A6">
        <w:rPr>
          <w:rFonts w:ascii="Arial" w:hAnsi="Arial" w:cs="Arial"/>
          <w:sz w:val="24"/>
          <w:szCs w:val="24"/>
        </w:rPr>
        <w:t xml:space="preserve">(‘Brexit’) </w:t>
      </w:r>
      <w:r>
        <w:rPr>
          <w:rFonts w:ascii="Arial" w:hAnsi="Arial" w:cs="Arial"/>
          <w:sz w:val="24"/>
          <w:szCs w:val="24"/>
        </w:rPr>
        <w:t xml:space="preserve">have exposed the limited critical </w:t>
      </w:r>
      <w:r w:rsidR="004B679C">
        <w:rPr>
          <w:rFonts w:ascii="Arial" w:hAnsi="Arial" w:cs="Arial"/>
          <w:sz w:val="24"/>
          <w:szCs w:val="24"/>
        </w:rPr>
        <w:t xml:space="preserve">attention </w:t>
      </w:r>
      <w:r w:rsidR="008D6054">
        <w:rPr>
          <w:rFonts w:ascii="Arial" w:hAnsi="Arial" w:cs="Arial"/>
          <w:sz w:val="24"/>
          <w:szCs w:val="24"/>
        </w:rPr>
        <w:t>given to</w:t>
      </w:r>
      <w:r>
        <w:rPr>
          <w:rFonts w:ascii="Arial" w:hAnsi="Arial" w:cs="Arial"/>
          <w:sz w:val="24"/>
          <w:szCs w:val="24"/>
        </w:rPr>
        <w:t xml:space="preserve"> how planning systems intersect with environmental protection</w:t>
      </w:r>
      <w:r w:rsidR="008D6054">
        <w:rPr>
          <w:rFonts w:ascii="Arial" w:hAnsi="Arial" w:cs="Arial"/>
          <w:sz w:val="24"/>
          <w:szCs w:val="24"/>
        </w:rPr>
        <w:t>.</w:t>
      </w:r>
      <w:r w:rsidR="004B679C">
        <w:rPr>
          <w:rFonts w:ascii="Arial" w:hAnsi="Arial" w:cs="Arial"/>
          <w:sz w:val="24"/>
          <w:szCs w:val="24"/>
        </w:rPr>
        <w:t xml:space="preserve"> This is an important omission, especially given deregulatory pressures on both planning and environment in many countries.</w:t>
      </w:r>
      <w:r w:rsidR="008D6054">
        <w:rPr>
          <w:rFonts w:ascii="Arial" w:hAnsi="Arial" w:cs="Arial"/>
          <w:sz w:val="24"/>
          <w:szCs w:val="24"/>
        </w:rPr>
        <w:t xml:space="preserve"> </w:t>
      </w:r>
      <w:r>
        <w:rPr>
          <w:rFonts w:ascii="Arial" w:hAnsi="Arial" w:cs="Arial"/>
          <w:sz w:val="24"/>
          <w:szCs w:val="24"/>
        </w:rPr>
        <w:t>In</w:t>
      </w:r>
      <w:r w:rsidR="00970030">
        <w:rPr>
          <w:rFonts w:ascii="Arial" w:hAnsi="Arial" w:cs="Arial"/>
          <w:sz w:val="24"/>
          <w:szCs w:val="24"/>
        </w:rPr>
        <w:t xml:space="preserve"> response</w:t>
      </w:r>
      <w:r>
        <w:rPr>
          <w:rFonts w:ascii="Arial" w:hAnsi="Arial" w:cs="Arial"/>
          <w:sz w:val="24"/>
          <w:szCs w:val="24"/>
        </w:rPr>
        <w:t xml:space="preserve">, this paper </w:t>
      </w:r>
      <w:r w:rsidR="004B679C">
        <w:rPr>
          <w:rFonts w:ascii="Arial" w:hAnsi="Arial" w:cs="Arial"/>
          <w:sz w:val="24"/>
          <w:szCs w:val="24"/>
        </w:rPr>
        <w:t>uses</w:t>
      </w:r>
      <w:r>
        <w:rPr>
          <w:rFonts w:ascii="Arial" w:hAnsi="Arial" w:cs="Arial"/>
          <w:sz w:val="24"/>
          <w:szCs w:val="24"/>
        </w:rPr>
        <w:t xml:space="preserve"> documentary, interview and focus group data, to conceptualise different regulatory styles governing the environment-planning interface, and assess UK </w:t>
      </w:r>
      <w:r w:rsidRPr="003E087C">
        <w:rPr>
          <w:rFonts w:ascii="Arial" w:hAnsi="Arial" w:cs="Arial"/>
          <w:sz w:val="24"/>
          <w:szCs w:val="24"/>
        </w:rPr>
        <w:t>planning practitioner attitudes</w:t>
      </w:r>
      <w:r>
        <w:rPr>
          <w:rFonts w:ascii="Arial" w:hAnsi="Arial" w:cs="Arial"/>
          <w:sz w:val="24"/>
          <w:szCs w:val="24"/>
        </w:rPr>
        <w:t xml:space="preserve"> to EU environmental legislation</w:t>
      </w:r>
      <w:r w:rsidR="004B679C">
        <w:rPr>
          <w:rFonts w:ascii="Arial" w:hAnsi="Arial" w:cs="Arial"/>
          <w:sz w:val="24"/>
          <w:szCs w:val="24"/>
        </w:rPr>
        <w:t xml:space="preserve"> and scenarios for future</w:t>
      </w:r>
      <w:r w:rsidR="00AE2041">
        <w:rPr>
          <w:rFonts w:ascii="Arial" w:hAnsi="Arial" w:cs="Arial"/>
          <w:sz w:val="24"/>
          <w:szCs w:val="24"/>
        </w:rPr>
        <w:t xml:space="preserve"> change</w:t>
      </w:r>
      <w:r>
        <w:rPr>
          <w:rFonts w:ascii="Arial" w:hAnsi="Arial" w:cs="Arial"/>
          <w:sz w:val="24"/>
          <w:szCs w:val="24"/>
        </w:rPr>
        <w:t xml:space="preserve">. The data show </w:t>
      </w:r>
      <w:r w:rsidR="00970030">
        <w:rPr>
          <w:rFonts w:ascii="Arial" w:hAnsi="Arial" w:cs="Arial"/>
          <w:sz w:val="24"/>
          <w:szCs w:val="24"/>
        </w:rPr>
        <w:t xml:space="preserve">practitioners largely </w:t>
      </w:r>
      <w:r>
        <w:rPr>
          <w:rFonts w:ascii="Arial" w:hAnsi="Arial" w:cs="Arial"/>
          <w:sz w:val="24"/>
          <w:szCs w:val="24"/>
        </w:rPr>
        <w:t>support</w:t>
      </w:r>
      <w:r w:rsidR="00A4297A">
        <w:rPr>
          <w:rFonts w:ascii="Arial" w:hAnsi="Arial" w:cs="Arial"/>
          <w:sz w:val="24"/>
          <w:szCs w:val="24"/>
        </w:rPr>
        <w:t>ing</w:t>
      </w:r>
      <w:r>
        <w:rPr>
          <w:rFonts w:ascii="Arial" w:hAnsi="Arial" w:cs="Arial"/>
          <w:sz w:val="24"/>
          <w:szCs w:val="24"/>
        </w:rPr>
        <w:t xml:space="preserve"> the fixed standards and robust oversight characteristic of EU environmental regulatory styles, anxi</w:t>
      </w:r>
      <w:r w:rsidR="00970030">
        <w:rPr>
          <w:rFonts w:ascii="Arial" w:hAnsi="Arial" w:cs="Arial"/>
          <w:sz w:val="24"/>
          <w:szCs w:val="24"/>
        </w:rPr>
        <w:t>ous</w:t>
      </w:r>
      <w:r>
        <w:rPr>
          <w:rFonts w:ascii="Arial" w:hAnsi="Arial" w:cs="Arial"/>
          <w:sz w:val="24"/>
          <w:szCs w:val="24"/>
        </w:rPr>
        <w:t xml:space="preserve"> about deregulation, and interest</w:t>
      </w:r>
      <w:r w:rsidR="00970030">
        <w:rPr>
          <w:rFonts w:ascii="Arial" w:hAnsi="Arial" w:cs="Arial"/>
          <w:sz w:val="24"/>
          <w:szCs w:val="24"/>
        </w:rPr>
        <w:t>ed</w:t>
      </w:r>
      <w:r>
        <w:rPr>
          <w:rFonts w:ascii="Arial" w:hAnsi="Arial" w:cs="Arial"/>
          <w:sz w:val="24"/>
          <w:szCs w:val="24"/>
        </w:rPr>
        <w:t xml:space="preserve"> in procedural flexibility.</w:t>
      </w:r>
      <w:r w:rsidR="00AE2041">
        <w:rPr>
          <w:rFonts w:ascii="Arial" w:hAnsi="Arial" w:cs="Arial"/>
          <w:sz w:val="24"/>
          <w:szCs w:val="24"/>
        </w:rPr>
        <w:t xml:space="preserve"> </w:t>
      </w:r>
      <w:r w:rsidR="00970030">
        <w:rPr>
          <w:rFonts w:ascii="Arial" w:hAnsi="Arial" w:cs="Arial"/>
          <w:sz w:val="24"/>
          <w:szCs w:val="24"/>
        </w:rPr>
        <w:t>More fundamentally, i</w:t>
      </w:r>
      <w:r w:rsidR="00AE2041">
        <w:rPr>
          <w:rFonts w:ascii="Arial" w:hAnsi="Arial" w:cs="Arial"/>
          <w:sz w:val="24"/>
          <w:szCs w:val="24"/>
        </w:rPr>
        <w:t>t also reveals the compromises struck in regulatory desig</w:t>
      </w:r>
      <w:r w:rsidR="00970030">
        <w:rPr>
          <w:rFonts w:ascii="Arial" w:hAnsi="Arial" w:cs="Arial"/>
          <w:sz w:val="24"/>
          <w:szCs w:val="24"/>
        </w:rPr>
        <w:t>n, and the importance of</w:t>
      </w:r>
      <w:r>
        <w:rPr>
          <w:rFonts w:ascii="Arial" w:hAnsi="Arial" w:cs="Arial"/>
          <w:sz w:val="24"/>
          <w:szCs w:val="24"/>
        </w:rPr>
        <w:t xml:space="preserve"> concrete development-environment challenges </w:t>
      </w:r>
      <w:r w:rsidR="00970030">
        <w:rPr>
          <w:rFonts w:ascii="Arial" w:hAnsi="Arial" w:cs="Arial"/>
          <w:sz w:val="24"/>
          <w:szCs w:val="24"/>
        </w:rPr>
        <w:t xml:space="preserve">in constructing arguments for change. Consequently, </w:t>
      </w:r>
      <w:r>
        <w:rPr>
          <w:rFonts w:ascii="Arial" w:hAnsi="Arial" w:cs="Arial"/>
          <w:sz w:val="24"/>
          <w:szCs w:val="24"/>
        </w:rPr>
        <w:t xml:space="preserve">planning </w:t>
      </w:r>
      <w:r w:rsidR="00970030">
        <w:rPr>
          <w:rFonts w:ascii="Arial" w:hAnsi="Arial" w:cs="Arial"/>
          <w:sz w:val="24"/>
          <w:szCs w:val="24"/>
        </w:rPr>
        <w:t>occupies</w:t>
      </w:r>
      <w:r>
        <w:rPr>
          <w:rFonts w:ascii="Arial" w:hAnsi="Arial" w:cs="Arial"/>
          <w:sz w:val="24"/>
          <w:szCs w:val="24"/>
        </w:rPr>
        <w:t xml:space="preserve"> a pivotal position within wider debates about new environmental policy fixes, warranting more extensive professional discussion.</w:t>
      </w:r>
    </w:p>
    <w:p w:rsidR="00077974" w:rsidRDefault="00077974" w:rsidP="00077974">
      <w:pPr>
        <w:rPr>
          <w:rFonts w:ascii="Arial" w:hAnsi="Arial" w:cs="Arial"/>
          <w:sz w:val="24"/>
          <w:szCs w:val="24"/>
        </w:rPr>
      </w:pPr>
    </w:p>
    <w:p w:rsidR="00077974" w:rsidRPr="00532837" w:rsidRDefault="00077974" w:rsidP="00077974">
      <w:pPr>
        <w:rPr>
          <w:rFonts w:ascii="Arial" w:hAnsi="Arial" w:cs="Arial"/>
          <w:sz w:val="24"/>
          <w:szCs w:val="24"/>
        </w:rPr>
      </w:pPr>
      <w:r w:rsidRPr="00532837">
        <w:rPr>
          <w:rFonts w:ascii="Arial" w:hAnsi="Arial" w:cs="Arial"/>
          <w:b/>
          <w:sz w:val="24"/>
          <w:szCs w:val="24"/>
        </w:rPr>
        <w:t xml:space="preserve">Key words: </w:t>
      </w:r>
      <w:r w:rsidRPr="00532837">
        <w:rPr>
          <w:rFonts w:ascii="Arial" w:hAnsi="Arial" w:cs="Arial"/>
          <w:sz w:val="24"/>
          <w:szCs w:val="24"/>
        </w:rPr>
        <w:t xml:space="preserve">planning, environment, European Union, </w:t>
      </w:r>
      <w:r>
        <w:rPr>
          <w:rFonts w:ascii="Arial" w:hAnsi="Arial" w:cs="Arial"/>
          <w:sz w:val="24"/>
          <w:szCs w:val="24"/>
        </w:rPr>
        <w:t>Brexit</w:t>
      </w:r>
      <w:r w:rsidRPr="00532837">
        <w:rPr>
          <w:rFonts w:ascii="Arial" w:hAnsi="Arial" w:cs="Arial"/>
          <w:sz w:val="24"/>
          <w:szCs w:val="24"/>
        </w:rPr>
        <w:t>, devolution</w:t>
      </w:r>
      <w:r w:rsidR="00AE2041">
        <w:rPr>
          <w:rFonts w:ascii="Arial" w:hAnsi="Arial" w:cs="Arial"/>
          <w:sz w:val="24"/>
          <w:szCs w:val="24"/>
        </w:rPr>
        <w:t>, deregulation</w:t>
      </w:r>
      <w:r w:rsidRPr="00532837">
        <w:rPr>
          <w:rFonts w:ascii="Arial" w:hAnsi="Arial" w:cs="Arial"/>
          <w:sz w:val="24"/>
          <w:szCs w:val="24"/>
        </w:rPr>
        <w:t xml:space="preserve"> </w:t>
      </w:r>
    </w:p>
    <w:p w:rsidR="00077974" w:rsidRDefault="00077974">
      <w:pPr>
        <w:rPr>
          <w:rFonts w:ascii="Arial" w:hAnsi="Arial" w:cs="Arial"/>
          <w:b/>
          <w:sz w:val="24"/>
          <w:szCs w:val="24"/>
        </w:rPr>
      </w:pPr>
      <w:r>
        <w:rPr>
          <w:rFonts w:ascii="Arial" w:hAnsi="Arial" w:cs="Arial"/>
          <w:b/>
          <w:sz w:val="24"/>
          <w:szCs w:val="24"/>
        </w:rPr>
        <w:br w:type="page"/>
      </w:r>
    </w:p>
    <w:p w:rsidR="006B6F80" w:rsidRPr="00D65CDC" w:rsidRDefault="00694E3F">
      <w:pPr>
        <w:rPr>
          <w:rFonts w:ascii="Arial" w:hAnsi="Arial" w:cs="Arial"/>
          <w:sz w:val="24"/>
          <w:szCs w:val="24"/>
        </w:rPr>
      </w:pPr>
      <w:r w:rsidRPr="00694E3F">
        <w:rPr>
          <w:rFonts w:ascii="Arial" w:hAnsi="Arial" w:cs="Arial"/>
          <w:b/>
          <w:sz w:val="24"/>
          <w:szCs w:val="24"/>
        </w:rPr>
        <w:lastRenderedPageBreak/>
        <w:t>Introduction</w:t>
      </w:r>
    </w:p>
    <w:p w:rsidR="00E12A7E" w:rsidRPr="008B6F20" w:rsidRDefault="00E12A7E">
      <w:pPr>
        <w:rPr>
          <w:rFonts w:ascii="Arial" w:hAnsi="Arial" w:cs="Arial"/>
          <w:sz w:val="24"/>
          <w:szCs w:val="24"/>
        </w:rPr>
      </w:pPr>
    </w:p>
    <w:p w:rsidR="00CA3804" w:rsidRDefault="00970030">
      <w:pPr>
        <w:rPr>
          <w:rFonts w:ascii="Arial" w:hAnsi="Arial" w:cs="Arial"/>
          <w:sz w:val="24"/>
          <w:szCs w:val="24"/>
        </w:rPr>
      </w:pPr>
      <w:r>
        <w:rPr>
          <w:rFonts w:ascii="Arial" w:hAnsi="Arial" w:cs="Arial"/>
          <w:sz w:val="24"/>
          <w:szCs w:val="24"/>
        </w:rPr>
        <w:t>We are currently at a critical moment, both in terms of looming environmental crises and climate breakdown, but specifically within the UK, of major reappraisal of political culture,</w:t>
      </w:r>
      <w:r w:rsidRPr="008B6F20">
        <w:rPr>
          <w:rFonts w:ascii="Arial" w:hAnsi="Arial" w:cs="Arial"/>
          <w:sz w:val="24"/>
          <w:szCs w:val="24"/>
        </w:rPr>
        <w:t xml:space="preserve"> constitutional coherenc</w:t>
      </w:r>
      <w:r>
        <w:rPr>
          <w:rFonts w:ascii="Arial" w:hAnsi="Arial" w:cs="Arial"/>
          <w:sz w:val="24"/>
          <w:szCs w:val="24"/>
        </w:rPr>
        <w:t xml:space="preserve">e and social values prompted by the 2016 referendum to leave the EU. The subsequent ‘Brexit’ process has </w:t>
      </w:r>
      <w:r w:rsidRPr="008B6F20">
        <w:rPr>
          <w:rFonts w:ascii="Arial" w:hAnsi="Arial" w:cs="Arial"/>
          <w:sz w:val="24"/>
          <w:szCs w:val="24"/>
        </w:rPr>
        <w:t>exposed enduring</w:t>
      </w:r>
      <w:r w:rsidR="00A675D3">
        <w:rPr>
          <w:rFonts w:ascii="Arial" w:hAnsi="Arial" w:cs="Arial"/>
          <w:sz w:val="24"/>
          <w:szCs w:val="24"/>
        </w:rPr>
        <w:t xml:space="preserve"> tensions</w:t>
      </w:r>
      <w:r w:rsidRPr="008B6F20">
        <w:rPr>
          <w:rFonts w:ascii="Arial" w:hAnsi="Arial" w:cs="Arial"/>
          <w:sz w:val="24"/>
          <w:szCs w:val="24"/>
        </w:rPr>
        <w:t xml:space="preserve"> and weaknesses across a range of issues,</w:t>
      </w:r>
      <w:r>
        <w:rPr>
          <w:rFonts w:ascii="Arial" w:hAnsi="Arial" w:cs="Arial"/>
          <w:sz w:val="24"/>
          <w:szCs w:val="24"/>
        </w:rPr>
        <w:t xml:space="preserve"> including </w:t>
      </w:r>
      <w:r w:rsidRPr="008B6F20">
        <w:rPr>
          <w:rFonts w:ascii="Arial" w:hAnsi="Arial" w:cs="Arial"/>
          <w:sz w:val="24"/>
          <w:szCs w:val="24"/>
        </w:rPr>
        <w:t>environmental protection</w:t>
      </w:r>
      <w:r>
        <w:rPr>
          <w:rFonts w:ascii="Arial" w:hAnsi="Arial" w:cs="Arial"/>
          <w:sz w:val="24"/>
          <w:szCs w:val="24"/>
        </w:rPr>
        <w:t>, sparking concerns a</w:t>
      </w:r>
      <w:r w:rsidR="00373DAC">
        <w:rPr>
          <w:rFonts w:ascii="Arial" w:hAnsi="Arial" w:cs="Arial"/>
          <w:sz w:val="24"/>
          <w:szCs w:val="24"/>
        </w:rPr>
        <w:t>bout</w:t>
      </w:r>
      <w:r>
        <w:rPr>
          <w:rFonts w:ascii="Arial" w:hAnsi="Arial" w:cs="Arial"/>
          <w:sz w:val="24"/>
          <w:szCs w:val="24"/>
        </w:rPr>
        <w:t xml:space="preserve"> </w:t>
      </w:r>
      <w:r w:rsidRPr="00CE1C57">
        <w:rPr>
          <w:rFonts w:ascii="Arial" w:hAnsi="Arial" w:cs="Arial"/>
          <w:sz w:val="24"/>
          <w:szCs w:val="24"/>
        </w:rPr>
        <w:t>the risks arising from the loss of the EU’s environmental protection role (</w:t>
      </w:r>
      <w:r>
        <w:rPr>
          <w:rFonts w:ascii="Arial" w:hAnsi="Arial" w:cs="Arial"/>
          <w:sz w:val="24"/>
          <w:szCs w:val="24"/>
        </w:rPr>
        <w:t>e.g. Burns et al., 2018).</w:t>
      </w:r>
      <w:r w:rsidR="00C805FA">
        <w:rPr>
          <w:rFonts w:ascii="Arial" w:hAnsi="Arial" w:cs="Arial"/>
          <w:sz w:val="24"/>
          <w:szCs w:val="24"/>
        </w:rPr>
        <w:t xml:space="preserve"> Indeed, </w:t>
      </w:r>
      <w:r w:rsidR="00A675D3">
        <w:rPr>
          <w:rFonts w:ascii="Arial" w:hAnsi="Arial" w:cs="Arial"/>
          <w:sz w:val="24"/>
          <w:szCs w:val="24"/>
        </w:rPr>
        <w:t>Brexit</w:t>
      </w:r>
      <w:r w:rsidR="00C805FA">
        <w:rPr>
          <w:rFonts w:ascii="Arial" w:hAnsi="Arial" w:cs="Arial"/>
          <w:sz w:val="24"/>
          <w:szCs w:val="24"/>
        </w:rPr>
        <w:t xml:space="preserve"> has been represented </w:t>
      </w:r>
      <w:r w:rsidR="00BD23F9">
        <w:rPr>
          <w:rFonts w:ascii="Arial" w:hAnsi="Arial" w:cs="Arial"/>
          <w:sz w:val="24"/>
          <w:szCs w:val="24"/>
        </w:rPr>
        <w:t xml:space="preserve">by its proponents </w:t>
      </w:r>
      <w:r w:rsidR="00C805FA">
        <w:rPr>
          <w:rFonts w:ascii="Arial" w:hAnsi="Arial" w:cs="Arial"/>
          <w:sz w:val="24"/>
          <w:szCs w:val="24"/>
        </w:rPr>
        <w:t>as</w:t>
      </w:r>
      <w:r w:rsidR="00C805FA" w:rsidRPr="00334CC9">
        <w:rPr>
          <w:rFonts w:ascii="Arial" w:hAnsi="Arial" w:cs="Arial"/>
          <w:sz w:val="24"/>
          <w:szCs w:val="24"/>
        </w:rPr>
        <w:t xml:space="preserve"> an opportunity to free UK environ</w:t>
      </w:r>
      <w:r w:rsidR="00DB27FB">
        <w:rPr>
          <w:rFonts w:ascii="Arial" w:hAnsi="Arial" w:cs="Arial"/>
          <w:sz w:val="24"/>
          <w:szCs w:val="24"/>
        </w:rPr>
        <w:t>mental regulation</w:t>
      </w:r>
      <w:r w:rsidR="00C805FA" w:rsidRPr="00334CC9">
        <w:rPr>
          <w:rFonts w:ascii="Arial" w:hAnsi="Arial" w:cs="Arial"/>
          <w:sz w:val="24"/>
          <w:szCs w:val="24"/>
        </w:rPr>
        <w:t xml:space="preserve"> of unduly inflexible EU approaches</w:t>
      </w:r>
      <w:r w:rsidR="00CA3804">
        <w:rPr>
          <w:rFonts w:ascii="Arial" w:hAnsi="Arial" w:cs="Arial"/>
          <w:sz w:val="24"/>
          <w:szCs w:val="24"/>
        </w:rPr>
        <w:t xml:space="preserve"> (Johnson, 2018; Rees-Mogg, </w:t>
      </w:r>
      <w:r w:rsidR="00C805FA">
        <w:rPr>
          <w:rFonts w:ascii="Arial" w:hAnsi="Arial" w:cs="Arial"/>
          <w:sz w:val="24"/>
          <w:szCs w:val="24"/>
        </w:rPr>
        <w:t>2018)</w:t>
      </w:r>
      <w:r w:rsidR="00CA3804">
        <w:rPr>
          <w:rFonts w:ascii="Arial" w:hAnsi="Arial" w:cs="Arial"/>
          <w:sz w:val="24"/>
          <w:szCs w:val="24"/>
        </w:rPr>
        <w:t>.</w:t>
      </w:r>
    </w:p>
    <w:p w:rsidR="00CA3804" w:rsidRDefault="00CA3804">
      <w:pPr>
        <w:rPr>
          <w:rFonts w:ascii="Arial" w:hAnsi="Arial" w:cs="Arial"/>
          <w:sz w:val="24"/>
          <w:szCs w:val="24"/>
        </w:rPr>
      </w:pPr>
    </w:p>
    <w:p w:rsidR="001B758E" w:rsidRDefault="00DB27FB" w:rsidP="00A5122E">
      <w:pPr>
        <w:rPr>
          <w:rFonts w:ascii="Arial" w:hAnsi="Arial" w:cs="Arial"/>
          <w:sz w:val="24"/>
          <w:szCs w:val="24"/>
        </w:rPr>
      </w:pPr>
      <w:r>
        <w:rPr>
          <w:rFonts w:ascii="Arial" w:hAnsi="Arial" w:cs="Arial"/>
          <w:sz w:val="24"/>
          <w:szCs w:val="24"/>
        </w:rPr>
        <w:t>Such d</w:t>
      </w:r>
      <w:r w:rsidR="00A675D3">
        <w:rPr>
          <w:rFonts w:ascii="Arial" w:hAnsi="Arial" w:cs="Arial"/>
          <w:sz w:val="24"/>
          <w:szCs w:val="24"/>
        </w:rPr>
        <w:t xml:space="preserve">eregulatory </w:t>
      </w:r>
      <w:r w:rsidR="00C805FA">
        <w:rPr>
          <w:rFonts w:ascii="Arial" w:hAnsi="Arial" w:cs="Arial"/>
          <w:sz w:val="24"/>
          <w:szCs w:val="24"/>
        </w:rPr>
        <w:t>pressures are not a recent product of the Brexit debates</w:t>
      </w:r>
      <w:r w:rsidR="00A675D3">
        <w:rPr>
          <w:rFonts w:ascii="Arial" w:hAnsi="Arial" w:cs="Arial"/>
          <w:sz w:val="24"/>
          <w:szCs w:val="24"/>
        </w:rPr>
        <w:t xml:space="preserve"> -</w:t>
      </w:r>
      <w:r w:rsidR="00C805FA">
        <w:rPr>
          <w:rFonts w:ascii="Arial" w:hAnsi="Arial" w:cs="Arial"/>
          <w:sz w:val="24"/>
          <w:szCs w:val="24"/>
        </w:rPr>
        <w:t xml:space="preserve"> England’s planning </w:t>
      </w:r>
      <w:r w:rsidR="00A675D3">
        <w:rPr>
          <w:rFonts w:ascii="Arial" w:hAnsi="Arial" w:cs="Arial"/>
          <w:sz w:val="24"/>
          <w:szCs w:val="24"/>
        </w:rPr>
        <w:t>system</w:t>
      </w:r>
      <w:r w:rsidR="00C805FA">
        <w:rPr>
          <w:rFonts w:ascii="Arial" w:hAnsi="Arial" w:cs="Arial"/>
          <w:sz w:val="24"/>
          <w:szCs w:val="24"/>
        </w:rPr>
        <w:t xml:space="preserve"> has been subjected to decades of deregulatory </w:t>
      </w:r>
      <w:r w:rsidR="00A675D3">
        <w:rPr>
          <w:rFonts w:ascii="Arial" w:hAnsi="Arial" w:cs="Arial"/>
          <w:sz w:val="24"/>
          <w:szCs w:val="24"/>
        </w:rPr>
        <w:t>action</w:t>
      </w:r>
      <w:r w:rsidR="001B758E">
        <w:rPr>
          <w:rFonts w:ascii="Arial" w:hAnsi="Arial" w:cs="Arial"/>
          <w:sz w:val="24"/>
          <w:szCs w:val="24"/>
        </w:rPr>
        <w:t>. N</w:t>
      </w:r>
      <w:r w:rsidR="00C805FA">
        <w:rPr>
          <w:rFonts w:ascii="Arial" w:hAnsi="Arial" w:cs="Arial"/>
          <w:sz w:val="24"/>
          <w:szCs w:val="24"/>
        </w:rPr>
        <w:t>or are they unique to the UK (</w:t>
      </w:r>
      <w:r w:rsidR="00A675D3">
        <w:rPr>
          <w:rFonts w:ascii="Arial" w:hAnsi="Arial" w:cs="Arial"/>
          <w:sz w:val="24"/>
          <w:szCs w:val="24"/>
        </w:rPr>
        <w:t xml:space="preserve">Balaban, 2012; </w:t>
      </w:r>
      <w:r w:rsidR="00825392">
        <w:rPr>
          <w:rFonts w:ascii="Arial" w:hAnsi="Arial" w:cs="Arial"/>
          <w:sz w:val="24"/>
          <w:szCs w:val="24"/>
        </w:rPr>
        <w:t>Gleeson and Lo</w:t>
      </w:r>
      <w:r w:rsidR="00A675D3">
        <w:rPr>
          <w:rFonts w:ascii="Arial" w:hAnsi="Arial" w:cs="Arial"/>
          <w:sz w:val="24"/>
          <w:szCs w:val="24"/>
        </w:rPr>
        <w:t xml:space="preserve">w, 2000; </w:t>
      </w:r>
      <w:r w:rsidR="00C805FA">
        <w:rPr>
          <w:rFonts w:ascii="Arial" w:hAnsi="Arial" w:cs="Arial"/>
          <w:sz w:val="24"/>
          <w:szCs w:val="24"/>
        </w:rPr>
        <w:t>Olesen and Carter</w:t>
      </w:r>
      <w:r w:rsidR="00A675D3">
        <w:rPr>
          <w:rFonts w:ascii="Arial" w:hAnsi="Arial" w:cs="Arial"/>
          <w:sz w:val="24"/>
          <w:szCs w:val="24"/>
        </w:rPr>
        <w:t>,</w:t>
      </w:r>
      <w:r w:rsidR="00C805FA">
        <w:rPr>
          <w:rFonts w:ascii="Arial" w:hAnsi="Arial" w:cs="Arial"/>
          <w:sz w:val="24"/>
          <w:szCs w:val="24"/>
        </w:rPr>
        <w:t xml:space="preserve"> 2018)</w:t>
      </w:r>
      <w:r w:rsidR="00A5122E">
        <w:rPr>
          <w:rFonts w:ascii="Arial" w:hAnsi="Arial" w:cs="Arial"/>
          <w:sz w:val="24"/>
          <w:szCs w:val="24"/>
        </w:rPr>
        <w:t>, and they span pl</w:t>
      </w:r>
      <w:r>
        <w:rPr>
          <w:rFonts w:ascii="Arial" w:hAnsi="Arial" w:cs="Arial"/>
          <w:sz w:val="24"/>
          <w:szCs w:val="24"/>
        </w:rPr>
        <w:t>anning and environmental domains</w:t>
      </w:r>
      <w:r w:rsidR="00A5122E">
        <w:rPr>
          <w:rFonts w:ascii="Arial" w:hAnsi="Arial" w:cs="Arial"/>
          <w:sz w:val="24"/>
          <w:szCs w:val="24"/>
        </w:rPr>
        <w:t xml:space="preserve"> (Mol 2012)</w:t>
      </w:r>
      <w:r w:rsidR="00A675D3">
        <w:rPr>
          <w:rFonts w:ascii="Arial" w:hAnsi="Arial" w:cs="Arial"/>
          <w:sz w:val="24"/>
          <w:szCs w:val="24"/>
        </w:rPr>
        <w:t>. Yet in various ways we are poorly equipped, analytically, to respond to them.</w:t>
      </w:r>
      <w:r w:rsidR="00CA3804">
        <w:rPr>
          <w:rFonts w:ascii="Arial" w:hAnsi="Arial" w:cs="Arial"/>
          <w:sz w:val="24"/>
          <w:szCs w:val="24"/>
        </w:rPr>
        <w:t xml:space="preserve"> </w:t>
      </w:r>
      <w:r w:rsidR="00A5122E">
        <w:rPr>
          <w:rFonts w:ascii="Arial" w:hAnsi="Arial" w:cs="Arial"/>
          <w:sz w:val="24"/>
          <w:szCs w:val="24"/>
        </w:rPr>
        <w:t xml:space="preserve">One deficiency concerns our limited understanding of the interface between </w:t>
      </w:r>
      <w:r w:rsidR="00DF6DC4">
        <w:rPr>
          <w:rFonts w:ascii="Arial" w:hAnsi="Arial" w:cs="Arial"/>
          <w:sz w:val="24"/>
          <w:szCs w:val="24"/>
        </w:rPr>
        <w:t xml:space="preserve">spatial and land-use </w:t>
      </w:r>
      <w:r w:rsidR="00532D48" w:rsidRPr="008B6F20">
        <w:rPr>
          <w:rFonts w:ascii="Arial" w:hAnsi="Arial" w:cs="Arial"/>
          <w:sz w:val="24"/>
          <w:szCs w:val="24"/>
        </w:rPr>
        <w:t xml:space="preserve">planning </w:t>
      </w:r>
      <w:r w:rsidR="009D1E3A">
        <w:rPr>
          <w:rFonts w:ascii="Arial" w:hAnsi="Arial" w:cs="Arial"/>
          <w:sz w:val="24"/>
          <w:szCs w:val="24"/>
        </w:rPr>
        <w:t xml:space="preserve">systems </w:t>
      </w:r>
      <w:r w:rsidR="00532D48" w:rsidRPr="008B6F20">
        <w:rPr>
          <w:rFonts w:ascii="Arial" w:hAnsi="Arial" w:cs="Arial"/>
          <w:sz w:val="24"/>
          <w:szCs w:val="24"/>
        </w:rPr>
        <w:t>and environmental protection</w:t>
      </w:r>
      <w:r w:rsidR="00A5122E">
        <w:rPr>
          <w:rFonts w:ascii="Arial" w:hAnsi="Arial" w:cs="Arial"/>
          <w:sz w:val="24"/>
          <w:szCs w:val="24"/>
        </w:rPr>
        <w:t>. Although the relationship between these regulatory systems</w:t>
      </w:r>
      <w:r w:rsidR="00532D48" w:rsidRPr="008B6F20">
        <w:rPr>
          <w:rFonts w:ascii="Arial" w:hAnsi="Arial" w:cs="Arial"/>
          <w:sz w:val="24"/>
          <w:szCs w:val="24"/>
        </w:rPr>
        <w:t xml:space="preserve"> has long been </w:t>
      </w:r>
      <w:r w:rsidR="00EB49F0">
        <w:rPr>
          <w:rFonts w:ascii="Arial" w:hAnsi="Arial" w:cs="Arial"/>
          <w:sz w:val="24"/>
          <w:szCs w:val="24"/>
        </w:rPr>
        <w:t>represented as</w:t>
      </w:r>
      <w:r w:rsidR="00D06252">
        <w:rPr>
          <w:rFonts w:ascii="Arial" w:hAnsi="Arial" w:cs="Arial"/>
          <w:sz w:val="24"/>
          <w:szCs w:val="24"/>
        </w:rPr>
        <w:t xml:space="preserve"> synergistic (</w:t>
      </w:r>
      <w:r w:rsidR="00561D82">
        <w:rPr>
          <w:rFonts w:ascii="Arial" w:hAnsi="Arial" w:cs="Arial"/>
          <w:sz w:val="24"/>
          <w:szCs w:val="24"/>
        </w:rPr>
        <w:t>Honachefsky</w:t>
      </w:r>
      <w:r w:rsidR="006803EC">
        <w:rPr>
          <w:rFonts w:ascii="Arial" w:hAnsi="Arial" w:cs="Arial"/>
          <w:sz w:val="24"/>
          <w:szCs w:val="24"/>
        </w:rPr>
        <w:t>,</w:t>
      </w:r>
      <w:r w:rsidR="00561D82">
        <w:rPr>
          <w:rFonts w:ascii="Arial" w:hAnsi="Arial" w:cs="Arial"/>
          <w:sz w:val="24"/>
          <w:szCs w:val="24"/>
        </w:rPr>
        <w:t xml:space="preserve"> </w:t>
      </w:r>
      <w:r w:rsidR="00403B73">
        <w:rPr>
          <w:rFonts w:ascii="Arial" w:hAnsi="Arial" w:cs="Arial"/>
          <w:sz w:val="24"/>
          <w:szCs w:val="24"/>
        </w:rPr>
        <w:t>1999</w:t>
      </w:r>
      <w:r w:rsidR="006803EC">
        <w:rPr>
          <w:rFonts w:ascii="Arial" w:hAnsi="Arial" w:cs="Arial"/>
          <w:sz w:val="24"/>
          <w:szCs w:val="24"/>
        </w:rPr>
        <w:t xml:space="preserve">; Millichap, 1993; </w:t>
      </w:r>
      <w:r w:rsidR="006803EC" w:rsidRPr="008B6F20">
        <w:rPr>
          <w:rFonts w:ascii="Arial" w:hAnsi="Arial" w:cs="Arial"/>
          <w:sz w:val="24"/>
          <w:szCs w:val="24"/>
        </w:rPr>
        <w:t>UNCED</w:t>
      </w:r>
      <w:r w:rsidR="006803EC">
        <w:rPr>
          <w:rFonts w:ascii="Arial" w:hAnsi="Arial" w:cs="Arial"/>
          <w:sz w:val="24"/>
          <w:szCs w:val="24"/>
        </w:rPr>
        <w:t>,</w:t>
      </w:r>
      <w:r w:rsidR="006803EC" w:rsidRPr="008B6F20">
        <w:rPr>
          <w:rFonts w:ascii="Arial" w:hAnsi="Arial" w:cs="Arial"/>
          <w:sz w:val="24"/>
          <w:szCs w:val="24"/>
        </w:rPr>
        <w:t xml:space="preserve"> 1992</w:t>
      </w:r>
      <w:r w:rsidR="007F7224">
        <w:rPr>
          <w:rFonts w:ascii="Arial" w:hAnsi="Arial" w:cs="Arial"/>
          <w:sz w:val="24"/>
          <w:szCs w:val="24"/>
        </w:rPr>
        <w:t>)</w:t>
      </w:r>
      <w:r w:rsidR="00532D48" w:rsidRPr="008B6F20">
        <w:rPr>
          <w:rFonts w:ascii="Arial" w:hAnsi="Arial" w:cs="Arial"/>
          <w:sz w:val="24"/>
          <w:szCs w:val="24"/>
        </w:rPr>
        <w:t xml:space="preserve">, </w:t>
      </w:r>
      <w:r w:rsidR="00A25244">
        <w:rPr>
          <w:rFonts w:ascii="Arial" w:hAnsi="Arial" w:cs="Arial"/>
          <w:sz w:val="24"/>
          <w:szCs w:val="24"/>
        </w:rPr>
        <w:t>any</w:t>
      </w:r>
      <w:r w:rsidR="00DF6DC4">
        <w:rPr>
          <w:rFonts w:ascii="Arial" w:hAnsi="Arial" w:cs="Arial"/>
          <w:sz w:val="24"/>
          <w:szCs w:val="24"/>
        </w:rPr>
        <w:t xml:space="preserve"> connections between the</w:t>
      </w:r>
      <w:r w:rsidR="009C1DE4">
        <w:rPr>
          <w:rFonts w:ascii="Arial" w:hAnsi="Arial" w:cs="Arial"/>
          <w:sz w:val="24"/>
          <w:szCs w:val="24"/>
        </w:rPr>
        <w:t>m</w:t>
      </w:r>
      <w:r w:rsidR="00DF6DC4">
        <w:rPr>
          <w:rFonts w:ascii="Arial" w:hAnsi="Arial" w:cs="Arial"/>
          <w:sz w:val="24"/>
          <w:szCs w:val="24"/>
        </w:rPr>
        <w:t xml:space="preserve"> have </w:t>
      </w:r>
      <w:r w:rsidR="005E1ED8">
        <w:rPr>
          <w:rFonts w:ascii="Arial" w:hAnsi="Arial" w:cs="Arial"/>
          <w:sz w:val="24"/>
          <w:szCs w:val="24"/>
        </w:rPr>
        <w:t>emerged largely incremental</w:t>
      </w:r>
      <w:r w:rsidR="00DF6DC4">
        <w:rPr>
          <w:rFonts w:ascii="Arial" w:hAnsi="Arial" w:cs="Arial"/>
          <w:sz w:val="24"/>
          <w:szCs w:val="24"/>
        </w:rPr>
        <w:t>ly</w:t>
      </w:r>
      <w:r w:rsidR="005E1ED8">
        <w:rPr>
          <w:rFonts w:ascii="Arial" w:hAnsi="Arial" w:cs="Arial"/>
          <w:sz w:val="24"/>
          <w:szCs w:val="24"/>
        </w:rPr>
        <w:t xml:space="preserve"> (Van </w:t>
      </w:r>
      <w:r w:rsidR="008A3AEE">
        <w:rPr>
          <w:rFonts w:ascii="Arial" w:hAnsi="Arial" w:cs="Arial"/>
          <w:sz w:val="24"/>
          <w:szCs w:val="24"/>
        </w:rPr>
        <w:t>der H</w:t>
      </w:r>
      <w:r w:rsidR="004D790B">
        <w:rPr>
          <w:rFonts w:ascii="Arial" w:hAnsi="Arial" w:cs="Arial"/>
          <w:sz w:val="24"/>
          <w:szCs w:val="24"/>
        </w:rPr>
        <w:t>ei</w:t>
      </w:r>
      <w:r w:rsidR="008A3AEE">
        <w:rPr>
          <w:rFonts w:ascii="Arial" w:hAnsi="Arial" w:cs="Arial"/>
          <w:sz w:val="24"/>
          <w:szCs w:val="24"/>
        </w:rPr>
        <w:t>jden, 2011)</w:t>
      </w:r>
      <w:r w:rsidR="00561D82">
        <w:rPr>
          <w:rFonts w:ascii="Arial" w:hAnsi="Arial" w:cs="Arial"/>
          <w:sz w:val="24"/>
          <w:szCs w:val="24"/>
        </w:rPr>
        <w:t>.</w:t>
      </w:r>
      <w:r w:rsidR="006E7A7D">
        <w:rPr>
          <w:rFonts w:ascii="Arial" w:hAnsi="Arial" w:cs="Arial"/>
          <w:sz w:val="24"/>
          <w:szCs w:val="24"/>
        </w:rPr>
        <w:t xml:space="preserve"> </w:t>
      </w:r>
      <w:r w:rsidR="004D790B">
        <w:rPr>
          <w:rFonts w:ascii="Arial" w:hAnsi="Arial" w:cs="Arial"/>
          <w:sz w:val="24"/>
          <w:szCs w:val="24"/>
        </w:rPr>
        <w:t>Only r</w:t>
      </w:r>
      <w:r w:rsidR="000762C0">
        <w:rPr>
          <w:rFonts w:ascii="Arial" w:hAnsi="Arial" w:cs="Arial"/>
          <w:sz w:val="24"/>
          <w:szCs w:val="24"/>
        </w:rPr>
        <w:t>arely</w:t>
      </w:r>
      <w:r w:rsidR="00936F32">
        <w:rPr>
          <w:rFonts w:ascii="Arial" w:hAnsi="Arial" w:cs="Arial"/>
          <w:sz w:val="24"/>
          <w:szCs w:val="24"/>
        </w:rPr>
        <w:t xml:space="preserve"> </w:t>
      </w:r>
      <w:r w:rsidR="000762C0">
        <w:rPr>
          <w:rFonts w:ascii="Arial" w:hAnsi="Arial" w:cs="Arial"/>
          <w:sz w:val="24"/>
          <w:szCs w:val="24"/>
        </w:rPr>
        <w:t>have policy-makers</w:t>
      </w:r>
      <w:r w:rsidR="00936F32">
        <w:rPr>
          <w:rFonts w:ascii="Arial" w:hAnsi="Arial" w:cs="Arial"/>
          <w:sz w:val="24"/>
          <w:szCs w:val="24"/>
        </w:rPr>
        <w:t xml:space="preserve"> </w:t>
      </w:r>
      <w:r w:rsidR="00906457">
        <w:rPr>
          <w:rFonts w:ascii="Arial" w:hAnsi="Arial" w:cs="Arial"/>
          <w:sz w:val="24"/>
          <w:szCs w:val="24"/>
        </w:rPr>
        <w:t>subjected the relationship between planning and environmental protection to systematic re</w:t>
      </w:r>
      <w:r w:rsidR="00266A11">
        <w:rPr>
          <w:rFonts w:ascii="Arial" w:hAnsi="Arial" w:cs="Arial"/>
          <w:sz w:val="24"/>
          <w:szCs w:val="24"/>
        </w:rPr>
        <w:t>view</w:t>
      </w:r>
      <w:r w:rsidR="004D790B">
        <w:rPr>
          <w:rFonts w:ascii="Arial" w:hAnsi="Arial" w:cs="Arial"/>
          <w:sz w:val="24"/>
          <w:szCs w:val="24"/>
        </w:rPr>
        <w:t xml:space="preserve"> or reform</w:t>
      </w:r>
      <w:r w:rsidR="00A5122E">
        <w:rPr>
          <w:rFonts w:ascii="Arial" w:hAnsi="Arial" w:cs="Arial"/>
          <w:sz w:val="24"/>
          <w:szCs w:val="24"/>
        </w:rPr>
        <w:t xml:space="preserve"> (for examples, see </w:t>
      </w:r>
      <w:r w:rsidR="00561D82">
        <w:rPr>
          <w:rFonts w:ascii="Arial" w:hAnsi="Arial" w:cs="Arial"/>
          <w:sz w:val="24"/>
          <w:szCs w:val="24"/>
        </w:rPr>
        <w:t>Jackson and Dixon</w:t>
      </w:r>
      <w:r>
        <w:rPr>
          <w:rFonts w:ascii="Arial" w:hAnsi="Arial" w:cs="Arial"/>
          <w:sz w:val="24"/>
          <w:szCs w:val="24"/>
        </w:rPr>
        <w:t xml:space="preserve"> </w:t>
      </w:r>
      <w:r w:rsidR="00561D82">
        <w:rPr>
          <w:rFonts w:ascii="Arial" w:hAnsi="Arial" w:cs="Arial"/>
          <w:sz w:val="24"/>
          <w:szCs w:val="24"/>
        </w:rPr>
        <w:t>2007</w:t>
      </w:r>
      <w:r w:rsidR="00A5122E">
        <w:rPr>
          <w:rFonts w:ascii="Arial" w:hAnsi="Arial" w:cs="Arial"/>
          <w:sz w:val="24"/>
          <w:szCs w:val="24"/>
        </w:rPr>
        <w:t xml:space="preserve">; </w:t>
      </w:r>
      <w:r w:rsidR="009C17C7">
        <w:rPr>
          <w:rFonts w:ascii="Arial" w:hAnsi="Arial" w:cs="Arial"/>
          <w:sz w:val="24"/>
          <w:szCs w:val="24"/>
        </w:rPr>
        <w:t>RCEP</w:t>
      </w:r>
      <w:r w:rsidR="00620553">
        <w:rPr>
          <w:rFonts w:ascii="Arial" w:hAnsi="Arial" w:cs="Arial"/>
          <w:sz w:val="24"/>
          <w:szCs w:val="24"/>
        </w:rPr>
        <w:t>,</w:t>
      </w:r>
      <w:r w:rsidR="009C17C7">
        <w:rPr>
          <w:rFonts w:ascii="Arial" w:hAnsi="Arial" w:cs="Arial"/>
          <w:sz w:val="24"/>
          <w:szCs w:val="24"/>
        </w:rPr>
        <w:t xml:space="preserve"> </w:t>
      </w:r>
      <w:r w:rsidR="00561D82">
        <w:rPr>
          <w:rFonts w:ascii="Arial" w:hAnsi="Arial" w:cs="Arial"/>
          <w:sz w:val="24"/>
          <w:szCs w:val="24"/>
        </w:rPr>
        <w:t>2002</w:t>
      </w:r>
      <w:r w:rsidR="0060106B">
        <w:rPr>
          <w:rFonts w:ascii="Arial" w:hAnsi="Arial" w:cs="Arial"/>
          <w:sz w:val="24"/>
          <w:szCs w:val="24"/>
        </w:rPr>
        <w:t>)</w:t>
      </w:r>
      <w:r w:rsidR="00561D82">
        <w:rPr>
          <w:rFonts w:ascii="Arial" w:hAnsi="Arial" w:cs="Arial"/>
          <w:sz w:val="24"/>
          <w:szCs w:val="24"/>
        </w:rPr>
        <w:t>.</w:t>
      </w:r>
      <w:r w:rsidR="00936F32">
        <w:rPr>
          <w:rFonts w:ascii="Arial" w:hAnsi="Arial" w:cs="Arial"/>
          <w:sz w:val="24"/>
          <w:szCs w:val="24"/>
        </w:rPr>
        <w:t xml:space="preserve"> </w:t>
      </w:r>
      <w:r w:rsidR="00C947B7">
        <w:rPr>
          <w:rFonts w:ascii="Arial" w:hAnsi="Arial" w:cs="Arial"/>
          <w:sz w:val="24"/>
          <w:szCs w:val="24"/>
        </w:rPr>
        <w:t xml:space="preserve">This </w:t>
      </w:r>
      <w:r w:rsidR="00A96F3B">
        <w:rPr>
          <w:rFonts w:ascii="Arial" w:hAnsi="Arial" w:cs="Arial"/>
          <w:sz w:val="24"/>
          <w:szCs w:val="24"/>
        </w:rPr>
        <w:t xml:space="preserve">disconnect </w:t>
      </w:r>
      <w:r w:rsidR="00C947B7">
        <w:rPr>
          <w:rFonts w:ascii="Arial" w:hAnsi="Arial" w:cs="Arial"/>
          <w:sz w:val="24"/>
          <w:szCs w:val="24"/>
        </w:rPr>
        <w:t xml:space="preserve">is mirrored </w:t>
      </w:r>
      <w:r w:rsidR="00A96F3B">
        <w:rPr>
          <w:rFonts w:ascii="Arial" w:hAnsi="Arial" w:cs="Arial"/>
          <w:sz w:val="24"/>
          <w:szCs w:val="24"/>
        </w:rPr>
        <w:t xml:space="preserve">in academic research, with analysts bemoaning </w:t>
      </w:r>
      <w:r w:rsidR="008B6F20" w:rsidRPr="008B6F20">
        <w:rPr>
          <w:rFonts w:ascii="Arial" w:hAnsi="Arial" w:cs="Arial"/>
          <w:sz w:val="24"/>
          <w:szCs w:val="24"/>
        </w:rPr>
        <w:t>that ‘spatial planning theory is largely “disintegrated” … from much contemporary planning and environmental practice and wider discourses of sustainabil</w:t>
      </w:r>
      <w:r w:rsidR="00736969">
        <w:rPr>
          <w:rFonts w:ascii="Arial" w:hAnsi="Arial" w:cs="Arial"/>
          <w:sz w:val="24"/>
          <w:szCs w:val="24"/>
        </w:rPr>
        <w:t>ity’ (Adams et al</w:t>
      </w:r>
      <w:r w:rsidR="00620553">
        <w:rPr>
          <w:rFonts w:ascii="Arial" w:hAnsi="Arial" w:cs="Arial"/>
          <w:sz w:val="24"/>
          <w:szCs w:val="24"/>
        </w:rPr>
        <w:t>.,</w:t>
      </w:r>
      <w:r w:rsidR="00736969">
        <w:rPr>
          <w:rFonts w:ascii="Arial" w:hAnsi="Arial" w:cs="Arial"/>
          <w:sz w:val="24"/>
          <w:szCs w:val="24"/>
        </w:rPr>
        <w:t xml:space="preserve"> 2013, p.375).</w:t>
      </w:r>
    </w:p>
    <w:p w:rsidR="001B758E" w:rsidRDefault="001B758E" w:rsidP="00A5122E">
      <w:pPr>
        <w:rPr>
          <w:rFonts w:ascii="Arial" w:hAnsi="Arial" w:cs="Arial"/>
          <w:sz w:val="24"/>
          <w:szCs w:val="24"/>
        </w:rPr>
      </w:pPr>
    </w:p>
    <w:p w:rsidR="00A5122E" w:rsidRDefault="004B679C" w:rsidP="00A5122E">
      <w:pPr>
        <w:rPr>
          <w:rFonts w:ascii="Arial" w:hAnsi="Arial" w:cs="Arial"/>
          <w:sz w:val="24"/>
          <w:szCs w:val="24"/>
        </w:rPr>
      </w:pPr>
      <w:r>
        <w:rPr>
          <w:rFonts w:ascii="Arial" w:hAnsi="Arial" w:cs="Arial"/>
          <w:sz w:val="24"/>
          <w:szCs w:val="24"/>
        </w:rPr>
        <w:t>Another</w:t>
      </w:r>
      <w:r w:rsidR="00A5122E">
        <w:rPr>
          <w:rFonts w:ascii="Arial" w:hAnsi="Arial" w:cs="Arial"/>
          <w:sz w:val="24"/>
          <w:szCs w:val="24"/>
        </w:rPr>
        <w:t xml:space="preserve"> deficiency concerns our minimal understanding of how key stakeholders and the broader profession </w:t>
      </w:r>
      <w:r w:rsidR="00A5122E" w:rsidRPr="00CE1C57">
        <w:rPr>
          <w:rFonts w:ascii="Arial" w:hAnsi="Arial" w:cs="Arial"/>
          <w:sz w:val="24"/>
          <w:szCs w:val="24"/>
        </w:rPr>
        <w:t>conceive the relationship between environmental protection and planning, now and into the future</w:t>
      </w:r>
      <w:r w:rsidR="00A5122E">
        <w:rPr>
          <w:rFonts w:ascii="Arial" w:hAnsi="Arial" w:cs="Arial"/>
          <w:sz w:val="24"/>
          <w:szCs w:val="24"/>
        </w:rPr>
        <w:t>. This is of particular</w:t>
      </w:r>
      <w:r w:rsidR="00141F23">
        <w:rPr>
          <w:rFonts w:ascii="Arial" w:hAnsi="Arial" w:cs="Arial"/>
          <w:sz w:val="24"/>
          <w:szCs w:val="24"/>
        </w:rPr>
        <w:t xml:space="preserve"> import</w:t>
      </w:r>
      <w:r w:rsidR="0060106B">
        <w:rPr>
          <w:rFonts w:ascii="Arial" w:hAnsi="Arial" w:cs="Arial"/>
          <w:sz w:val="24"/>
          <w:szCs w:val="24"/>
        </w:rPr>
        <w:t>ance</w:t>
      </w:r>
      <w:r w:rsidR="00141F23">
        <w:rPr>
          <w:rFonts w:ascii="Arial" w:hAnsi="Arial" w:cs="Arial"/>
          <w:sz w:val="24"/>
          <w:szCs w:val="24"/>
        </w:rPr>
        <w:t>, we suggest, because planning occupies a pivotal position within the wider dynamics of change. I</w:t>
      </w:r>
      <w:r w:rsidR="00A5122E">
        <w:rPr>
          <w:rFonts w:ascii="Arial" w:hAnsi="Arial" w:cs="Arial"/>
          <w:sz w:val="24"/>
          <w:szCs w:val="24"/>
        </w:rPr>
        <w:t>t is often in planning – where regulatory requirements are translated into concrete development decisions – that the costs and benefits of environmental</w:t>
      </w:r>
      <w:r w:rsidR="00141F23">
        <w:rPr>
          <w:rFonts w:ascii="Arial" w:hAnsi="Arial" w:cs="Arial"/>
          <w:sz w:val="24"/>
          <w:szCs w:val="24"/>
        </w:rPr>
        <w:t xml:space="preserve"> protection measures </w:t>
      </w:r>
      <w:r w:rsidR="001B758E">
        <w:rPr>
          <w:rFonts w:ascii="Arial" w:hAnsi="Arial" w:cs="Arial"/>
          <w:sz w:val="24"/>
          <w:szCs w:val="24"/>
        </w:rPr>
        <w:t>can become sharply visible, and encounter greatest contestation.</w:t>
      </w:r>
    </w:p>
    <w:p w:rsidR="00F4199F" w:rsidRDefault="00F4199F" w:rsidP="00F4199F">
      <w:pPr>
        <w:ind w:left="567"/>
        <w:rPr>
          <w:rFonts w:ascii="Arial" w:hAnsi="Arial" w:cs="Arial"/>
          <w:sz w:val="24"/>
          <w:szCs w:val="24"/>
        </w:rPr>
      </w:pPr>
    </w:p>
    <w:p w:rsidR="001E400D" w:rsidRDefault="009C1DE4" w:rsidP="001E400D">
      <w:pPr>
        <w:rPr>
          <w:rFonts w:ascii="Arial" w:hAnsi="Arial" w:cs="Arial"/>
          <w:sz w:val="24"/>
          <w:szCs w:val="24"/>
        </w:rPr>
      </w:pPr>
      <w:r>
        <w:rPr>
          <w:rFonts w:ascii="Arial" w:hAnsi="Arial" w:cs="Arial"/>
          <w:sz w:val="24"/>
          <w:szCs w:val="24"/>
        </w:rPr>
        <w:t xml:space="preserve">This paper </w:t>
      </w:r>
      <w:r w:rsidR="00141F23">
        <w:rPr>
          <w:rFonts w:ascii="Arial" w:hAnsi="Arial" w:cs="Arial"/>
          <w:sz w:val="24"/>
          <w:szCs w:val="24"/>
        </w:rPr>
        <w:t xml:space="preserve">responds to these debates </w:t>
      </w:r>
      <w:r w:rsidR="00E163E0">
        <w:rPr>
          <w:rFonts w:ascii="Arial" w:hAnsi="Arial" w:cs="Arial"/>
          <w:sz w:val="24"/>
          <w:szCs w:val="24"/>
        </w:rPr>
        <w:t xml:space="preserve">by making </w:t>
      </w:r>
      <w:r>
        <w:rPr>
          <w:rFonts w:ascii="Arial" w:hAnsi="Arial" w:cs="Arial"/>
          <w:sz w:val="24"/>
          <w:szCs w:val="24"/>
        </w:rPr>
        <w:t xml:space="preserve">two, interconnected contributions. </w:t>
      </w:r>
      <w:r w:rsidR="006B549D">
        <w:rPr>
          <w:rFonts w:ascii="Arial" w:hAnsi="Arial" w:cs="Arial"/>
          <w:sz w:val="24"/>
          <w:szCs w:val="24"/>
        </w:rPr>
        <w:t>Firstly, i</w:t>
      </w:r>
      <w:r w:rsidR="006406BB" w:rsidRPr="005D6F62">
        <w:rPr>
          <w:rFonts w:ascii="Arial" w:hAnsi="Arial" w:cs="Arial"/>
          <w:sz w:val="24"/>
          <w:szCs w:val="24"/>
        </w:rPr>
        <w:t xml:space="preserve">t takes stock of existing literature on the planning-environment </w:t>
      </w:r>
      <w:r w:rsidR="00141F23">
        <w:rPr>
          <w:rFonts w:ascii="Arial" w:hAnsi="Arial" w:cs="Arial"/>
          <w:sz w:val="24"/>
          <w:szCs w:val="24"/>
        </w:rPr>
        <w:t>relationship</w:t>
      </w:r>
      <w:r w:rsidR="006406BB" w:rsidRPr="005D6F62">
        <w:rPr>
          <w:rFonts w:ascii="Arial" w:hAnsi="Arial" w:cs="Arial"/>
          <w:sz w:val="24"/>
          <w:szCs w:val="24"/>
        </w:rPr>
        <w:t xml:space="preserve">, </w:t>
      </w:r>
      <w:r>
        <w:rPr>
          <w:rFonts w:ascii="Arial" w:hAnsi="Arial" w:cs="Arial"/>
          <w:sz w:val="24"/>
          <w:szCs w:val="24"/>
        </w:rPr>
        <w:t xml:space="preserve">focusing on the </w:t>
      </w:r>
      <w:r w:rsidR="00141F23">
        <w:rPr>
          <w:rFonts w:ascii="Arial" w:hAnsi="Arial" w:cs="Arial"/>
          <w:sz w:val="24"/>
          <w:szCs w:val="24"/>
        </w:rPr>
        <w:t>interface</w:t>
      </w:r>
      <w:r>
        <w:rPr>
          <w:rFonts w:ascii="Arial" w:hAnsi="Arial" w:cs="Arial"/>
          <w:sz w:val="24"/>
          <w:szCs w:val="24"/>
        </w:rPr>
        <w:t xml:space="preserve"> between EU-derived envir</w:t>
      </w:r>
      <w:r w:rsidR="00E163E0">
        <w:rPr>
          <w:rFonts w:ascii="Arial" w:hAnsi="Arial" w:cs="Arial"/>
          <w:sz w:val="24"/>
          <w:szCs w:val="24"/>
        </w:rPr>
        <w:t>onmental legislation</w:t>
      </w:r>
      <w:r w:rsidR="00FA0E19">
        <w:rPr>
          <w:rFonts w:ascii="Arial" w:hAnsi="Arial" w:cs="Arial"/>
          <w:sz w:val="24"/>
          <w:szCs w:val="24"/>
        </w:rPr>
        <w:t xml:space="preserve"> and UK planning systems</w:t>
      </w:r>
      <w:r w:rsidR="00141F23">
        <w:rPr>
          <w:rFonts w:ascii="Arial" w:hAnsi="Arial" w:cs="Arial"/>
          <w:sz w:val="24"/>
          <w:szCs w:val="24"/>
        </w:rPr>
        <w:t xml:space="preserve">, and </w:t>
      </w:r>
      <w:r>
        <w:rPr>
          <w:rFonts w:ascii="Arial" w:hAnsi="Arial" w:cs="Arial"/>
          <w:sz w:val="24"/>
          <w:szCs w:val="24"/>
        </w:rPr>
        <w:t xml:space="preserve"> uses this to</w:t>
      </w:r>
      <w:r w:rsidR="005D6F62" w:rsidRPr="005D6F62">
        <w:rPr>
          <w:rFonts w:ascii="Arial" w:hAnsi="Arial" w:cs="Arial"/>
          <w:sz w:val="24"/>
          <w:szCs w:val="24"/>
        </w:rPr>
        <w:t xml:space="preserve"> map</w:t>
      </w:r>
      <w:r w:rsidR="006406BB" w:rsidRPr="005D6F62">
        <w:rPr>
          <w:rFonts w:ascii="Arial" w:hAnsi="Arial" w:cs="Arial"/>
          <w:sz w:val="24"/>
          <w:szCs w:val="24"/>
        </w:rPr>
        <w:t xml:space="preserve"> </w:t>
      </w:r>
      <w:r w:rsidR="00141F23">
        <w:rPr>
          <w:rFonts w:ascii="Arial" w:hAnsi="Arial" w:cs="Arial"/>
          <w:sz w:val="24"/>
          <w:szCs w:val="24"/>
        </w:rPr>
        <w:t>the</w:t>
      </w:r>
      <w:r w:rsidR="006406BB" w:rsidRPr="005D6F62">
        <w:rPr>
          <w:rFonts w:ascii="Arial" w:hAnsi="Arial" w:cs="Arial"/>
          <w:sz w:val="24"/>
          <w:szCs w:val="24"/>
        </w:rPr>
        <w:t xml:space="preserve"> regulatory styles that </w:t>
      </w:r>
      <w:r w:rsidR="00141F23">
        <w:rPr>
          <w:rFonts w:ascii="Arial" w:hAnsi="Arial" w:cs="Arial"/>
          <w:sz w:val="24"/>
          <w:szCs w:val="24"/>
        </w:rPr>
        <w:t xml:space="preserve">each display. This analysis then </w:t>
      </w:r>
      <w:r w:rsidR="0060106B">
        <w:rPr>
          <w:rFonts w:ascii="Arial" w:hAnsi="Arial" w:cs="Arial"/>
          <w:sz w:val="24"/>
          <w:szCs w:val="24"/>
        </w:rPr>
        <w:t>drive</w:t>
      </w:r>
      <w:r w:rsidR="00141F23">
        <w:rPr>
          <w:rFonts w:ascii="Arial" w:hAnsi="Arial" w:cs="Arial"/>
          <w:sz w:val="24"/>
          <w:szCs w:val="24"/>
        </w:rPr>
        <w:t xml:space="preserve">s the development of </w:t>
      </w:r>
      <w:r w:rsidR="00013822">
        <w:rPr>
          <w:rFonts w:ascii="Arial" w:hAnsi="Arial" w:cs="Arial"/>
          <w:sz w:val="24"/>
          <w:szCs w:val="24"/>
        </w:rPr>
        <w:t xml:space="preserve">scenarios for </w:t>
      </w:r>
      <w:r w:rsidR="00141F23">
        <w:rPr>
          <w:rFonts w:ascii="Arial" w:hAnsi="Arial" w:cs="Arial"/>
          <w:sz w:val="24"/>
          <w:szCs w:val="24"/>
        </w:rPr>
        <w:t>how the planning-environment rel</w:t>
      </w:r>
      <w:r w:rsidR="009702D1">
        <w:rPr>
          <w:rFonts w:ascii="Arial" w:hAnsi="Arial" w:cs="Arial"/>
          <w:sz w:val="24"/>
          <w:szCs w:val="24"/>
        </w:rPr>
        <w:t>ationship may change in future</w:t>
      </w:r>
      <w:r w:rsidR="006406BB" w:rsidRPr="005D6F62">
        <w:rPr>
          <w:rFonts w:ascii="Arial" w:hAnsi="Arial" w:cs="Arial"/>
          <w:sz w:val="24"/>
          <w:szCs w:val="24"/>
        </w:rPr>
        <w:t>.</w:t>
      </w:r>
      <w:r w:rsidR="00936F32">
        <w:rPr>
          <w:rFonts w:ascii="Arial" w:hAnsi="Arial" w:cs="Arial"/>
          <w:sz w:val="24"/>
          <w:szCs w:val="24"/>
        </w:rPr>
        <w:t xml:space="preserve"> </w:t>
      </w:r>
      <w:r w:rsidR="00376BA8">
        <w:rPr>
          <w:rFonts w:ascii="Arial" w:hAnsi="Arial" w:cs="Arial"/>
          <w:sz w:val="24"/>
          <w:szCs w:val="24"/>
        </w:rPr>
        <w:t>Th</w:t>
      </w:r>
      <w:r w:rsidR="009702D1">
        <w:rPr>
          <w:rFonts w:ascii="Arial" w:hAnsi="Arial" w:cs="Arial"/>
          <w:sz w:val="24"/>
          <w:szCs w:val="24"/>
        </w:rPr>
        <w:t>ese scenarios</w:t>
      </w:r>
      <w:r w:rsidR="00376BA8">
        <w:rPr>
          <w:rFonts w:ascii="Arial" w:hAnsi="Arial" w:cs="Arial"/>
          <w:sz w:val="24"/>
          <w:szCs w:val="24"/>
        </w:rPr>
        <w:t xml:space="preserve"> </w:t>
      </w:r>
      <w:r>
        <w:rPr>
          <w:rFonts w:ascii="Arial" w:hAnsi="Arial" w:cs="Arial"/>
          <w:sz w:val="24"/>
          <w:szCs w:val="24"/>
        </w:rPr>
        <w:t>inform</w:t>
      </w:r>
      <w:r w:rsidR="009702D1">
        <w:rPr>
          <w:rFonts w:ascii="Arial" w:hAnsi="Arial" w:cs="Arial"/>
          <w:sz w:val="24"/>
          <w:szCs w:val="24"/>
        </w:rPr>
        <w:t>ed</w:t>
      </w:r>
      <w:r w:rsidR="00376BA8">
        <w:rPr>
          <w:rFonts w:ascii="Arial" w:hAnsi="Arial" w:cs="Arial"/>
          <w:sz w:val="24"/>
          <w:szCs w:val="24"/>
        </w:rPr>
        <w:t xml:space="preserve"> the second contribution, which is a presentation of the results of the first significant study of</w:t>
      </w:r>
      <w:r w:rsidR="00936F32">
        <w:rPr>
          <w:rFonts w:ascii="Arial" w:hAnsi="Arial" w:cs="Arial"/>
          <w:sz w:val="24"/>
          <w:szCs w:val="24"/>
        </w:rPr>
        <w:t xml:space="preserve"> </w:t>
      </w:r>
      <w:r w:rsidR="00F505B9">
        <w:rPr>
          <w:rFonts w:ascii="Arial" w:hAnsi="Arial" w:cs="Arial"/>
          <w:sz w:val="24"/>
          <w:szCs w:val="24"/>
        </w:rPr>
        <w:t xml:space="preserve">UK </w:t>
      </w:r>
      <w:r w:rsidR="005D6F62" w:rsidRPr="005D6F62">
        <w:rPr>
          <w:rFonts w:ascii="Arial" w:hAnsi="Arial" w:cs="Arial"/>
          <w:sz w:val="24"/>
          <w:szCs w:val="24"/>
        </w:rPr>
        <w:lastRenderedPageBreak/>
        <w:t xml:space="preserve">practitioners’ attitudes towards </w:t>
      </w:r>
      <w:r>
        <w:rPr>
          <w:rFonts w:ascii="Arial" w:hAnsi="Arial" w:cs="Arial"/>
          <w:sz w:val="24"/>
          <w:szCs w:val="24"/>
        </w:rPr>
        <w:t>the interface between planning</w:t>
      </w:r>
      <w:r w:rsidR="00175311">
        <w:rPr>
          <w:rFonts w:ascii="Arial" w:hAnsi="Arial" w:cs="Arial"/>
          <w:sz w:val="24"/>
          <w:szCs w:val="24"/>
        </w:rPr>
        <w:t xml:space="preserve"> and</w:t>
      </w:r>
      <w:r w:rsidR="005D6F62" w:rsidRPr="005D6F62">
        <w:rPr>
          <w:rFonts w:ascii="Arial" w:hAnsi="Arial" w:cs="Arial"/>
          <w:sz w:val="24"/>
          <w:szCs w:val="24"/>
        </w:rPr>
        <w:t xml:space="preserve"> EU-derived environmental policy. </w:t>
      </w:r>
      <w:r w:rsidR="00376BA8">
        <w:rPr>
          <w:rFonts w:ascii="Arial" w:hAnsi="Arial" w:cs="Arial"/>
          <w:sz w:val="24"/>
          <w:szCs w:val="24"/>
        </w:rPr>
        <w:t>The findings</w:t>
      </w:r>
      <w:r w:rsidR="00175311">
        <w:rPr>
          <w:rFonts w:ascii="Arial" w:hAnsi="Arial" w:cs="Arial"/>
          <w:sz w:val="24"/>
          <w:szCs w:val="24"/>
        </w:rPr>
        <w:t xml:space="preserve"> </w:t>
      </w:r>
      <w:r w:rsidR="00376BA8">
        <w:rPr>
          <w:rFonts w:ascii="Arial" w:hAnsi="Arial" w:cs="Arial"/>
          <w:sz w:val="24"/>
          <w:szCs w:val="24"/>
        </w:rPr>
        <w:t>indicat</w:t>
      </w:r>
      <w:r w:rsidR="009702D1">
        <w:rPr>
          <w:rFonts w:ascii="Arial" w:hAnsi="Arial" w:cs="Arial"/>
          <w:sz w:val="24"/>
          <w:szCs w:val="24"/>
        </w:rPr>
        <w:t>e</w:t>
      </w:r>
      <w:r w:rsidR="00936F32">
        <w:rPr>
          <w:rFonts w:ascii="Arial" w:hAnsi="Arial" w:cs="Arial"/>
          <w:sz w:val="24"/>
          <w:szCs w:val="24"/>
        </w:rPr>
        <w:t xml:space="preserve"> </w:t>
      </w:r>
      <w:r w:rsidR="006B549D">
        <w:rPr>
          <w:rFonts w:ascii="Arial" w:hAnsi="Arial" w:cs="Arial"/>
          <w:sz w:val="24"/>
          <w:szCs w:val="24"/>
        </w:rPr>
        <w:t xml:space="preserve">practitioner </w:t>
      </w:r>
      <w:r w:rsidR="00175311">
        <w:rPr>
          <w:rFonts w:ascii="Arial" w:hAnsi="Arial" w:cs="Arial"/>
          <w:sz w:val="24"/>
          <w:szCs w:val="24"/>
        </w:rPr>
        <w:t>concerns about</w:t>
      </w:r>
      <w:r w:rsidR="006B549D">
        <w:rPr>
          <w:rFonts w:ascii="Arial" w:hAnsi="Arial" w:cs="Arial"/>
          <w:sz w:val="24"/>
          <w:szCs w:val="24"/>
        </w:rPr>
        <w:t xml:space="preserve"> future regulatory styles,</w:t>
      </w:r>
      <w:r w:rsidR="00376BA8">
        <w:rPr>
          <w:rFonts w:ascii="Arial" w:hAnsi="Arial" w:cs="Arial"/>
          <w:sz w:val="24"/>
          <w:szCs w:val="24"/>
        </w:rPr>
        <w:t xml:space="preserve"> </w:t>
      </w:r>
      <w:r w:rsidR="009702D1">
        <w:rPr>
          <w:rFonts w:ascii="Arial" w:hAnsi="Arial" w:cs="Arial"/>
          <w:sz w:val="24"/>
          <w:szCs w:val="24"/>
        </w:rPr>
        <w:t xml:space="preserve">especially potential deregulatory shifts post-Brexit, </w:t>
      </w:r>
      <w:r w:rsidR="00376BA8">
        <w:rPr>
          <w:rFonts w:ascii="Arial" w:hAnsi="Arial" w:cs="Arial"/>
          <w:sz w:val="24"/>
          <w:szCs w:val="24"/>
        </w:rPr>
        <w:t xml:space="preserve">but </w:t>
      </w:r>
      <w:r w:rsidR="00EB49F0">
        <w:rPr>
          <w:rFonts w:ascii="Arial" w:hAnsi="Arial" w:cs="Arial"/>
          <w:sz w:val="24"/>
          <w:szCs w:val="24"/>
        </w:rPr>
        <w:t xml:space="preserve">they </w:t>
      </w:r>
      <w:r w:rsidR="00E163E0">
        <w:rPr>
          <w:rFonts w:ascii="Arial" w:hAnsi="Arial" w:cs="Arial"/>
          <w:sz w:val="24"/>
          <w:szCs w:val="24"/>
        </w:rPr>
        <w:t xml:space="preserve">also </w:t>
      </w:r>
      <w:r w:rsidR="00175311">
        <w:rPr>
          <w:rFonts w:ascii="Arial" w:hAnsi="Arial" w:cs="Arial"/>
          <w:sz w:val="24"/>
          <w:szCs w:val="24"/>
        </w:rPr>
        <w:t xml:space="preserve">help </w:t>
      </w:r>
      <w:r w:rsidR="00F505B9">
        <w:rPr>
          <w:rFonts w:ascii="Arial" w:hAnsi="Arial" w:cs="Arial"/>
          <w:sz w:val="24"/>
          <w:szCs w:val="24"/>
        </w:rPr>
        <w:t>reveal</w:t>
      </w:r>
      <w:r w:rsidR="00376BA8">
        <w:rPr>
          <w:rFonts w:ascii="Arial" w:hAnsi="Arial" w:cs="Arial"/>
          <w:sz w:val="24"/>
          <w:szCs w:val="24"/>
        </w:rPr>
        <w:t xml:space="preserve"> the </w:t>
      </w:r>
      <w:r w:rsidR="006B549D">
        <w:rPr>
          <w:rFonts w:ascii="Arial" w:hAnsi="Arial" w:cs="Arial"/>
          <w:sz w:val="24"/>
          <w:szCs w:val="24"/>
        </w:rPr>
        <w:t xml:space="preserve">tensions to be navigated in any process of regulatory </w:t>
      </w:r>
      <w:r w:rsidR="00376BA8">
        <w:rPr>
          <w:rFonts w:ascii="Arial" w:hAnsi="Arial" w:cs="Arial"/>
          <w:sz w:val="24"/>
          <w:szCs w:val="24"/>
        </w:rPr>
        <w:t>re-</w:t>
      </w:r>
      <w:r w:rsidR="006B549D">
        <w:rPr>
          <w:rFonts w:ascii="Arial" w:hAnsi="Arial" w:cs="Arial"/>
          <w:sz w:val="24"/>
          <w:szCs w:val="24"/>
        </w:rPr>
        <w:t>design at the planning-environment interface</w:t>
      </w:r>
      <w:r w:rsidR="00E163E0">
        <w:rPr>
          <w:rFonts w:ascii="Arial" w:hAnsi="Arial" w:cs="Arial"/>
          <w:sz w:val="24"/>
          <w:szCs w:val="24"/>
        </w:rPr>
        <w:t xml:space="preserve"> (Inch</w:t>
      </w:r>
      <w:r w:rsidR="00620553">
        <w:rPr>
          <w:rFonts w:ascii="Arial" w:hAnsi="Arial" w:cs="Arial"/>
          <w:sz w:val="24"/>
          <w:szCs w:val="24"/>
        </w:rPr>
        <w:t>,</w:t>
      </w:r>
      <w:r w:rsidR="00E163E0">
        <w:rPr>
          <w:rFonts w:ascii="Arial" w:hAnsi="Arial" w:cs="Arial"/>
          <w:sz w:val="24"/>
          <w:szCs w:val="24"/>
        </w:rPr>
        <w:t xml:space="preserve"> 2009)</w:t>
      </w:r>
      <w:r w:rsidR="006B549D">
        <w:rPr>
          <w:rFonts w:ascii="Arial" w:hAnsi="Arial" w:cs="Arial"/>
          <w:sz w:val="24"/>
          <w:szCs w:val="24"/>
        </w:rPr>
        <w:t>.</w:t>
      </w:r>
    </w:p>
    <w:p w:rsidR="00444248" w:rsidRDefault="00444248" w:rsidP="00376BA8">
      <w:pPr>
        <w:rPr>
          <w:rFonts w:ascii="Arial" w:hAnsi="Arial" w:cs="Arial"/>
          <w:sz w:val="24"/>
          <w:szCs w:val="24"/>
        </w:rPr>
      </w:pPr>
    </w:p>
    <w:p w:rsidR="002B1198" w:rsidRDefault="002B1198">
      <w:pPr>
        <w:rPr>
          <w:rFonts w:ascii="Arial" w:hAnsi="Arial" w:cs="Arial"/>
          <w:sz w:val="24"/>
          <w:szCs w:val="24"/>
        </w:rPr>
      </w:pPr>
    </w:p>
    <w:p w:rsidR="000762C0" w:rsidRPr="000762C0" w:rsidRDefault="000762C0">
      <w:pPr>
        <w:rPr>
          <w:rFonts w:ascii="Arial" w:hAnsi="Arial" w:cs="Arial"/>
          <w:i/>
          <w:sz w:val="24"/>
          <w:szCs w:val="24"/>
        </w:rPr>
      </w:pPr>
      <w:r w:rsidRPr="000762C0">
        <w:rPr>
          <w:rFonts w:ascii="Arial" w:hAnsi="Arial" w:cs="Arial"/>
          <w:i/>
          <w:sz w:val="24"/>
          <w:szCs w:val="24"/>
        </w:rPr>
        <w:t>Methodology and structure</w:t>
      </w:r>
    </w:p>
    <w:p w:rsidR="000762C0" w:rsidRDefault="000762C0">
      <w:pPr>
        <w:rPr>
          <w:rFonts w:ascii="Arial" w:hAnsi="Arial" w:cs="Arial"/>
          <w:sz w:val="24"/>
          <w:szCs w:val="24"/>
        </w:rPr>
      </w:pPr>
    </w:p>
    <w:p w:rsidR="005E3979" w:rsidRDefault="000762C0">
      <w:pPr>
        <w:rPr>
          <w:rFonts w:ascii="Arial" w:hAnsi="Arial" w:cs="Arial"/>
          <w:sz w:val="24"/>
          <w:szCs w:val="24"/>
        </w:rPr>
      </w:pPr>
      <w:r>
        <w:rPr>
          <w:rFonts w:ascii="Arial" w:hAnsi="Arial" w:cs="Arial"/>
          <w:sz w:val="24"/>
          <w:szCs w:val="24"/>
        </w:rPr>
        <w:t>The anal</w:t>
      </w:r>
      <w:r w:rsidR="00FC0C16">
        <w:rPr>
          <w:rFonts w:ascii="Arial" w:hAnsi="Arial" w:cs="Arial"/>
          <w:sz w:val="24"/>
          <w:szCs w:val="24"/>
        </w:rPr>
        <w:t xml:space="preserve">ysis </w:t>
      </w:r>
      <w:r w:rsidR="00F505B9">
        <w:rPr>
          <w:rFonts w:ascii="Arial" w:hAnsi="Arial" w:cs="Arial"/>
          <w:sz w:val="24"/>
          <w:szCs w:val="24"/>
        </w:rPr>
        <w:t>carries forward</w:t>
      </w:r>
      <w:r w:rsidR="00936F32">
        <w:rPr>
          <w:rFonts w:ascii="Arial" w:hAnsi="Arial" w:cs="Arial"/>
          <w:sz w:val="24"/>
          <w:szCs w:val="24"/>
        </w:rPr>
        <w:t xml:space="preserve"> </w:t>
      </w:r>
      <w:r>
        <w:rPr>
          <w:rFonts w:ascii="Arial" w:hAnsi="Arial" w:cs="Arial"/>
          <w:sz w:val="24"/>
          <w:szCs w:val="24"/>
        </w:rPr>
        <w:t xml:space="preserve">research </w:t>
      </w:r>
      <w:r w:rsidR="00A064A6">
        <w:rPr>
          <w:rFonts w:ascii="Arial" w:hAnsi="Arial" w:cs="Arial"/>
          <w:sz w:val="24"/>
          <w:szCs w:val="24"/>
        </w:rPr>
        <w:t>commissioned</w:t>
      </w:r>
      <w:r>
        <w:rPr>
          <w:rFonts w:ascii="Arial" w:hAnsi="Arial" w:cs="Arial"/>
          <w:sz w:val="24"/>
          <w:szCs w:val="24"/>
        </w:rPr>
        <w:t xml:space="preserve"> by the Royal Town Planning Institute</w:t>
      </w:r>
      <w:r w:rsidR="00611B9C">
        <w:rPr>
          <w:rFonts w:ascii="Arial" w:hAnsi="Arial" w:cs="Arial"/>
          <w:sz w:val="24"/>
          <w:szCs w:val="24"/>
        </w:rPr>
        <w:t xml:space="preserve"> </w:t>
      </w:r>
      <w:r w:rsidR="00906EA3">
        <w:rPr>
          <w:rFonts w:ascii="Arial" w:hAnsi="Arial" w:cs="Arial"/>
          <w:sz w:val="24"/>
          <w:szCs w:val="24"/>
        </w:rPr>
        <w:t>(RTPI</w:t>
      </w:r>
      <w:r w:rsidR="00611B9C">
        <w:rPr>
          <w:rFonts w:ascii="Arial" w:hAnsi="Arial" w:cs="Arial"/>
          <w:sz w:val="24"/>
          <w:szCs w:val="24"/>
        </w:rPr>
        <w:t>: Cowell et al</w:t>
      </w:r>
      <w:r w:rsidR="00620553">
        <w:rPr>
          <w:rFonts w:ascii="Arial" w:hAnsi="Arial" w:cs="Arial"/>
          <w:sz w:val="24"/>
          <w:szCs w:val="24"/>
        </w:rPr>
        <w:t>.,</w:t>
      </w:r>
      <w:r w:rsidR="00611B9C">
        <w:rPr>
          <w:rFonts w:ascii="Arial" w:hAnsi="Arial" w:cs="Arial"/>
          <w:sz w:val="24"/>
          <w:szCs w:val="24"/>
        </w:rPr>
        <w:t xml:space="preserve"> 2019</w:t>
      </w:r>
      <w:r w:rsidR="00906EA3">
        <w:rPr>
          <w:rFonts w:ascii="Arial" w:hAnsi="Arial" w:cs="Arial"/>
          <w:sz w:val="24"/>
          <w:szCs w:val="24"/>
        </w:rPr>
        <w:t xml:space="preserve">) </w:t>
      </w:r>
      <w:r>
        <w:rPr>
          <w:rFonts w:ascii="Arial" w:hAnsi="Arial" w:cs="Arial"/>
          <w:sz w:val="24"/>
          <w:szCs w:val="24"/>
        </w:rPr>
        <w:t xml:space="preserve">designed to investigate the implications of </w:t>
      </w:r>
      <w:r w:rsidR="00936F32">
        <w:rPr>
          <w:rFonts w:ascii="Arial" w:hAnsi="Arial" w:cs="Arial"/>
          <w:sz w:val="24"/>
          <w:szCs w:val="24"/>
        </w:rPr>
        <w:t xml:space="preserve"> </w:t>
      </w:r>
      <w:r w:rsidR="006967B0">
        <w:rPr>
          <w:rFonts w:ascii="Arial" w:hAnsi="Arial" w:cs="Arial"/>
          <w:sz w:val="24"/>
          <w:szCs w:val="24"/>
        </w:rPr>
        <w:t>Brexit</w:t>
      </w:r>
      <w:r>
        <w:rPr>
          <w:rFonts w:ascii="Arial" w:hAnsi="Arial" w:cs="Arial"/>
          <w:sz w:val="24"/>
          <w:szCs w:val="24"/>
        </w:rPr>
        <w:t xml:space="preserve"> for the relationship between planning in </w:t>
      </w:r>
      <w:r w:rsidR="007C57E4">
        <w:rPr>
          <w:rFonts w:ascii="Arial" w:hAnsi="Arial" w:cs="Arial"/>
          <w:sz w:val="24"/>
          <w:szCs w:val="24"/>
        </w:rPr>
        <w:t xml:space="preserve">the </w:t>
      </w:r>
      <w:r>
        <w:rPr>
          <w:rFonts w:ascii="Arial" w:hAnsi="Arial" w:cs="Arial"/>
          <w:sz w:val="24"/>
          <w:szCs w:val="24"/>
        </w:rPr>
        <w:t>UK and EU environmental legislation.</w:t>
      </w:r>
      <w:r w:rsidR="009702D1">
        <w:rPr>
          <w:rFonts w:ascii="Arial" w:hAnsi="Arial" w:cs="Arial"/>
          <w:sz w:val="24"/>
          <w:szCs w:val="24"/>
        </w:rPr>
        <w:t xml:space="preserve"> Brexit was the issue most commonly cited by RTPI members as a priority for the organisation to explore in the 2017 members survey </w:t>
      </w:r>
      <w:r w:rsidR="00960BC5">
        <w:rPr>
          <w:rFonts w:ascii="Arial" w:hAnsi="Arial" w:cs="Arial"/>
          <w:sz w:val="24"/>
          <w:szCs w:val="24"/>
        </w:rPr>
        <w:t>(Wicks</w:t>
      </w:r>
      <w:r w:rsidR="009702D1">
        <w:rPr>
          <w:rFonts w:ascii="Arial" w:hAnsi="Arial" w:cs="Arial"/>
          <w:sz w:val="24"/>
          <w:szCs w:val="24"/>
        </w:rPr>
        <w:t xml:space="preserve">, 2017). </w:t>
      </w:r>
      <w:r w:rsidR="00F505B9">
        <w:rPr>
          <w:rFonts w:ascii="Arial" w:hAnsi="Arial" w:cs="Arial"/>
          <w:sz w:val="24"/>
          <w:szCs w:val="24"/>
        </w:rPr>
        <w:t xml:space="preserve">To map </w:t>
      </w:r>
      <w:r w:rsidR="006E5D1F">
        <w:rPr>
          <w:rFonts w:ascii="Arial" w:hAnsi="Arial" w:cs="Arial"/>
          <w:sz w:val="24"/>
          <w:szCs w:val="24"/>
        </w:rPr>
        <w:t>th</w:t>
      </w:r>
      <w:r w:rsidR="005E3979">
        <w:rPr>
          <w:rFonts w:ascii="Arial" w:hAnsi="Arial" w:cs="Arial"/>
          <w:sz w:val="24"/>
          <w:szCs w:val="24"/>
        </w:rPr>
        <w:t>e planning-EU-environment</w:t>
      </w:r>
      <w:r w:rsidR="006E5D1F">
        <w:rPr>
          <w:rFonts w:ascii="Arial" w:hAnsi="Arial" w:cs="Arial"/>
          <w:sz w:val="24"/>
          <w:szCs w:val="24"/>
        </w:rPr>
        <w:t xml:space="preserve"> relationship, the research </w:t>
      </w:r>
      <w:r w:rsidR="00C83E03">
        <w:rPr>
          <w:rFonts w:ascii="Arial" w:hAnsi="Arial" w:cs="Arial"/>
          <w:sz w:val="24"/>
          <w:szCs w:val="24"/>
        </w:rPr>
        <w:t>dr</w:t>
      </w:r>
      <w:r w:rsidR="006E5D1F">
        <w:rPr>
          <w:rFonts w:ascii="Arial" w:hAnsi="Arial" w:cs="Arial"/>
          <w:sz w:val="24"/>
          <w:szCs w:val="24"/>
        </w:rPr>
        <w:t>e</w:t>
      </w:r>
      <w:r w:rsidR="00C83E03">
        <w:rPr>
          <w:rFonts w:ascii="Arial" w:hAnsi="Arial" w:cs="Arial"/>
          <w:sz w:val="24"/>
          <w:szCs w:val="24"/>
        </w:rPr>
        <w:t xml:space="preserve">w </w:t>
      </w:r>
      <w:r w:rsidR="009702D1">
        <w:rPr>
          <w:rFonts w:ascii="Arial" w:hAnsi="Arial" w:cs="Arial"/>
          <w:sz w:val="24"/>
          <w:szCs w:val="24"/>
        </w:rPr>
        <w:t xml:space="preserve">on </w:t>
      </w:r>
      <w:r w:rsidR="00C83E03">
        <w:rPr>
          <w:rFonts w:ascii="Arial" w:hAnsi="Arial" w:cs="Arial"/>
          <w:sz w:val="24"/>
          <w:szCs w:val="24"/>
        </w:rPr>
        <w:t xml:space="preserve">existing academic </w:t>
      </w:r>
      <w:r w:rsidR="009702D1">
        <w:rPr>
          <w:rFonts w:ascii="Arial" w:hAnsi="Arial" w:cs="Arial"/>
          <w:sz w:val="24"/>
          <w:szCs w:val="24"/>
        </w:rPr>
        <w:t>studies of</w:t>
      </w:r>
      <w:r w:rsidR="00C83E03">
        <w:rPr>
          <w:rFonts w:ascii="Arial" w:hAnsi="Arial" w:cs="Arial"/>
          <w:sz w:val="24"/>
          <w:szCs w:val="24"/>
        </w:rPr>
        <w:t xml:space="preserve"> the Europeanisation of planning and environmental policy</w:t>
      </w:r>
      <w:r w:rsidR="009702D1">
        <w:rPr>
          <w:rFonts w:ascii="Arial" w:hAnsi="Arial" w:cs="Arial"/>
          <w:sz w:val="24"/>
          <w:szCs w:val="24"/>
        </w:rPr>
        <w:t xml:space="preserve"> and documentary data sources</w:t>
      </w:r>
      <w:r w:rsidR="001B758E">
        <w:rPr>
          <w:rFonts w:ascii="Arial" w:hAnsi="Arial" w:cs="Arial"/>
          <w:sz w:val="24"/>
          <w:szCs w:val="24"/>
        </w:rPr>
        <w:t>:</w:t>
      </w:r>
      <w:r w:rsidR="00C83E03">
        <w:rPr>
          <w:rFonts w:ascii="Arial" w:hAnsi="Arial" w:cs="Arial"/>
          <w:sz w:val="24"/>
          <w:szCs w:val="24"/>
        </w:rPr>
        <w:t xml:space="preserve"> environmental governance propo</w:t>
      </w:r>
      <w:r w:rsidR="007417CB">
        <w:rPr>
          <w:rFonts w:ascii="Arial" w:hAnsi="Arial" w:cs="Arial"/>
          <w:sz w:val="24"/>
          <w:szCs w:val="24"/>
        </w:rPr>
        <w:t>sals issued by UK governments si</w:t>
      </w:r>
      <w:r w:rsidR="00C83E03">
        <w:rPr>
          <w:rFonts w:ascii="Arial" w:hAnsi="Arial" w:cs="Arial"/>
          <w:sz w:val="24"/>
          <w:szCs w:val="24"/>
        </w:rPr>
        <w:t>nce the EU referendum; consultation responses by the RTPI to EU environmental legislat</w:t>
      </w:r>
      <w:r w:rsidR="00FC0C16">
        <w:rPr>
          <w:rFonts w:ascii="Arial" w:hAnsi="Arial" w:cs="Arial"/>
          <w:sz w:val="24"/>
          <w:szCs w:val="24"/>
        </w:rPr>
        <w:t>ion</w:t>
      </w:r>
      <w:r w:rsidR="00C83E03">
        <w:rPr>
          <w:rFonts w:ascii="Arial" w:hAnsi="Arial" w:cs="Arial"/>
          <w:sz w:val="24"/>
          <w:szCs w:val="24"/>
        </w:rPr>
        <w:t>; and commentary on the planning-EU-environment interface in the practitioner press.</w:t>
      </w:r>
      <w:r w:rsidR="005E3979">
        <w:rPr>
          <w:rFonts w:ascii="Arial" w:hAnsi="Arial" w:cs="Arial"/>
          <w:sz w:val="24"/>
          <w:szCs w:val="24"/>
        </w:rPr>
        <w:t xml:space="preserve"> This analysis was used to derive an initial assessment of how planning and EU environmental legislation intersect and to characterise the regulatory styles they each entail. This</w:t>
      </w:r>
      <w:r w:rsidR="001B758E">
        <w:rPr>
          <w:rFonts w:ascii="Arial" w:hAnsi="Arial" w:cs="Arial"/>
          <w:sz w:val="24"/>
          <w:szCs w:val="24"/>
        </w:rPr>
        <w:t xml:space="preserve"> in turn informed the </w:t>
      </w:r>
      <w:r w:rsidR="005E3979">
        <w:rPr>
          <w:rFonts w:ascii="Arial" w:hAnsi="Arial" w:cs="Arial"/>
          <w:sz w:val="24"/>
          <w:szCs w:val="24"/>
        </w:rPr>
        <w:t>sc</w:t>
      </w:r>
      <w:r w:rsidR="001B758E">
        <w:rPr>
          <w:rFonts w:ascii="Arial" w:hAnsi="Arial" w:cs="Arial"/>
          <w:sz w:val="24"/>
          <w:szCs w:val="24"/>
        </w:rPr>
        <w:t>enarios for future change</w:t>
      </w:r>
      <w:r w:rsidR="005E3979">
        <w:rPr>
          <w:rFonts w:ascii="Arial" w:hAnsi="Arial" w:cs="Arial"/>
          <w:sz w:val="24"/>
          <w:szCs w:val="24"/>
        </w:rPr>
        <w:t>.</w:t>
      </w:r>
    </w:p>
    <w:p w:rsidR="006E5D1F" w:rsidRDefault="006E5D1F">
      <w:pPr>
        <w:rPr>
          <w:rFonts w:ascii="Arial" w:hAnsi="Arial" w:cs="Arial"/>
          <w:sz w:val="24"/>
          <w:szCs w:val="24"/>
        </w:rPr>
      </w:pPr>
    </w:p>
    <w:p w:rsidR="006E5D1F" w:rsidRDefault="006E5D1F">
      <w:pPr>
        <w:rPr>
          <w:rFonts w:ascii="Arial" w:hAnsi="Arial" w:cs="Arial"/>
          <w:sz w:val="24"/>
          <w:szCs w:val="24"/>
        </w:rPr>
      </w:pPr>
      <w:r>
        <w:rPr>
          <w:rFonts w:ascii="Arial" w:hAnsi="Arial" w:cs="Arial"/>
          <w:sz w:val="24"/>
          <w:szCs w:val="24"/>
        </w:rPr>
        <w:t xml:space="preserve">This </w:t>
      </w:r>
      <w:r w:rsidR="005E3979">
        <w:rPr>
          <w:rFonts w:ascii="Arial" w:hAnsi="Arial" w:cs="Arial"/>
          <w:sz w:val="24"/>
          <w:szCs w:val="24"/>
        </w:rPr>
        <w:t>regulatory</w:t>
      </w:r>
      <w:r w:rsidR="00175311">
        <w:rPr>
          <w:rFonts w:ascii="Arial" w:hAnsi="Arial" w:cs="Arial"/>
          <w:sz w:val="24"/>
          <w:szCs w:val="24"/>
        </w:rPr>
        <w:t xml:space="preserve"> analysis </w:t>
      </w:r>
      <w:r>
        <w:rPr>
          <w:rFonts w:ascii="Arial" w:hAnsi="Arial" w:cs="Arial"/>
          <w:sz w:val="24"/>
          <w:szCs w:val="24"/>
        </w:rPr>
        <w:t xml:space="preserve">was accompanied by a two-element qualitative research design. The first element was semi-structured interviews with </w:t>
      </w:r>
      <w:r w:rsidRPr="00ED49FF">
        <w:rPr>
          <w:rFonts w:ascii="Arial" w:hAnsi="Arial" w:cs="Arial"/>
          <w:sz w:val="24"/>
          <w:szCs w:val="24"/>
        </w:rPr>
        <w:t>21 individuals from public, private and voluntary organisations</w:t>
      </w:r>
      <w:r w:rsidR="00233E47">
        <w:rPr>
          <w:rFonts w:ascii="Arial" w:hAnsi="Arial" w:cs="Arial"/>
          <w:sz w:val="24"/>
          <w:szCs w:val="24"/>
        </w:rPr>
        <w:t>, and all levels of government,</w:t>
      </w:r>
      <w:r w:rsidRPr="00ED49FF">
        <w:rPr>
          <w:rFonts w:ascii="Arial" w:hAnsi="Arial" w:cs="Arial"/>
          <w:sz w:val="24"/>
          <w:szCs w:val="24"/>
        </w:rPr>
        <w:t xml:space="preserve"> involved with planning and environmental policy, chosen particularly for their p</w:t>
      </w:r>
      <w:r>
        <w:rPr>
          <w:rFonts w:ascii="Arial" w:hAnsi="Arial" w:cs="Arial"/>
          <w:sz w:val="24"/>
          <w:szCs w:val="24"/>
        </w:rPr>
        <w:t>rior experience in policy-making as well as implementation. Interviews were conducted between July and December 2018. Interviewees were recruited from the four nations of the UK. Where permi</w:t>
      </w:r>
      <w:r w:rsidR="007C57E4">
        <w:rPr>
          <w:rFonts w:ascii="Arial" w:hAnsi="Arial" w:cs="Arial"/>
          <w:sz w:val="24"/>
          <w:szCs w:val="24"/>
        </w:rPr>
        <w:t>tted</w:t>
      </w:r>
      <w:r>
        <w:rPr>
          <w:rFonts w:ascii="Arial" w:hAnsi="Arial" w:cs="Arial"/>
          <w:sz w:val="24"/>
          <w:szCs w:val="24"/>
        </w:rPr>
        <w:t>, interviews were recorded and transcribed; where not, detailed notes were taken. The second element was f</w:t>
      </w:r>
      <w:r w:rsidRPr="00ED49FF">
        <w:rPr>
          <w:rFonts w:ascii="Arial" w:hAnsi="Arial" w:cs="Arial"/>
          <w:sz w:val="24"/>
          <w:szCs w:val="24"/>
        </w:rPr>
        <w:t xml:space="preserve">our focus groups, held in Liverpool, Belfast, Cardiff and Edinburgh during </w:t>
      </w:r>
      <w:r w:rsidR="00E163E0">
        <w:rPr>
          <w:rFonts w:ascii="Arial" w:hAnsi="Arial" w:cs="Arial"/>
          <w:sz w:val="24"/>
          <w:szCs w:val="24"/>
        </w:rPr>
        <w:t>autumn</w:t>
      </w:r>
      <w:r w:rsidRPr="00ED49FF">
        <w:rPr>
          <w:rFonts w:ascii="Arial" w:hAnsi="Arial" w:cs="Arial"/>
          <w:sz w:val="24"/>
          <w:szCs w:val="24"/>
        </w:rPr>
        <w:t xml:space="preserve"> 2018, involving 38 participants in total, drawn from public, private and voluntary organisations engaged in planning and its environmental dimensions.</w:t>
      </w:r>
      <w:r>
        <w:rPr>
          <w:rFonts w:ascii="Arial" w:hAnsi="Arial" w:cs="Arial"/>
          <w:sz w:val="24"/>
          <w:szCs w:val="24"/>
        </w:rPr>
        <w:t xml:space="preserve"> Here, recordings were supplemented by detailed contemporaneous notes, collected and verified between the facilitators</w:t>
      </w:r>
      <w:r w:rsidR="007C57E4">
        <w:rPr>
          <w:rFonts w:ascii="Arial" w:hAnsi="Arial" w:cs="Arial"/>
          <w:sz w:val="24"/>
          <w:szCs w:val="24"/>
        </w:rPr>
        <w:t xml:space="preserve">. </w:t>
      </w:r>
      <w:r w:rsidR="005E3979">
        <w:rPr>
          <w:rFonts w:ascii="Arial" w:hAnsi="Arial" w:cs="Arial"/>
          <w:sz w:val="24"/>
          <w:szCs w:val="24"/>
        </w:rPr>
        <w:t xml:space="preserve">In both interviews and focus groups we posed open-ended questions about attitudes towards EU-derived environmental policy and how it affected respondents’ work, </w:t>
      </w:r>
      <w:r w:rsidR="00960BC5">
        <w:rPr>
          <w:rFonts w:ascii="Arial" w:hAnsi="Arial" w:cs="Arial"/>
          <w:sz w:val="24"/>
          <w:szCs w:val="24"/>
        </w:rPr>
        <w:t>as well as on</w:t>
      </w:r>
      <w:r w:rsidR="005E3979">
        <w:rPr>
          <w:rFonts w:ascii="Arial" w:hAnsi="Arial" w:cs="Arial"/>
          <w:sz w:val="24"/>
          <w:szCs w:val="24"/>
        </w:rPr>
        <w:t xml:space="preserve"> the perceived implications of Brexit, explor</w:t>
      </w:r>
      <w:r w:rsidR="00960BC5">
        <w:rPr>
          <w:rFonts w:ascii="Arial" w:hAnsi="Arial" w:cs="Arial"/>
          <w:sz w:val="24"/>
          <w:szCs w:val="24"/>
        </w:rPr>
        <w:t>ing</w:t>
      </w:r>
      <w:r w:rsidR="005E3979">
        <w:rPr>
          <w:rFonts w:ascii="Arial" w:hAnsi="Arial" w:cs="Arial"/>
          <w:sz w:val="24"/>
          <w:szCs w:val="24"/>
        </w:rPr>
        <w:t xml:space="preserve"> reactions to su</w:t>
      </w:r>
      <w:r w:rsidR="002A7976">
        <w:rPr>
          <w:rFonts w:ascii="Arial" w:hAnsi="Arial" w:cs="Arial"/>
          <w:sz w:val="24"/>
          <w:szCs w:val="24"/>
        </w:rPr>
        <w:t xml:space="preserve">ggested scenarios for </w:t>
      </w:r>
      <w:r w:rsidR="004B679C">
        <w:rPr>
          <w:rFonts w:ascii="Arial" w:hAnsi="Arial" w:cs="Arial"/>
          <w:sz w:val="24"/>
          <w:szCs w:val="24"/>
        </w:rPr>
        <w:t>future</w:t>
      </w:r>
      <w:r w:rsidR="005E3979">
        <w:rPr>
          <w:rFonts w:ascii="Arial" w:hAnsi="Arial" w:cs="Arial"/>
          <w:sz w:val="24"/>
          <w:szCs w:val="24"/>
        </w:rPr>
        <w:t xml:space="preserve"> change.</w:t>
      </w:r>
    </w:p>
    <w:p w:rsidR="00EC20D7" w:rsidRDefault="00EC20D7" w:rsidP="00F85EA2">
      <w:pPr>
        <w:rPr>
          <w:rFonts w:ascii="Arial" w:hAnsi="Arial" w:cs="Arial"/>
          <w:sz w:val="24"/>
          <w:szCs w:val="24"/>
        </w:rPr>
      </w:pPr>
    </w:p>
    <w:p w:rsidR="006B6F80" w:rsidRDefault="006B6F80">
      <w:pPr>
        <w:rPr>
          <w:rFonts w:ascii="Arial" w:hAnsi="Arial" w:cs="Arial"/>
          <w:sz w:val="24"/>
          <w:szCs w:val="24"/>
        </w:rPr>
      </w:pPr>
    </w:p>
    <w:p w:rsidR="006B6F80" w:rsidRPr="006B6F80" w:rsidRDefault="004F0BD6">
      <w:pPr>
        <w:rPr>
          <w:rFonts w:ascii="Arial" w:hAnsi="Arial" w:cs="Arial"/>
          <w:b/>
          <w:sz w:val="24"/>
          <w:szCs w:val="24"/>
        </w:rPr>
      </w:pPr>
      <w:r>
        <w:rPr>
          <w:rFonts w:ascii="Arial" w:hAnsi="Arial" w:cs="Arial"/>
          <w:b/>
          <w:sz w:val="24"/>
          <w:szCs w:val="24"/>
        </w:rPr>
        <w:t>The planning-environment relationship</w:t>
      </w:r>
    </w:p>
    <w:p w:rsidR="006B6F80" w:rsidRDefault="006B6F80">
      <w:pPr>
        <w:rPr>
          <w:rFonts w:ascii="Arial" w:hAnsi="Arial" w:cs="Arial"/>
          <w:sz w:val="24"/>
          <w:szCs w:val="24"/>
        </w:rPr>
      </w:pPr>
    </w:p>
    <w:p w:rsidR="00F85EA2" w:rsidRPr="00F85EA2" w:rsidRDefault="00AA65A0">
      <w:pPr>
        <w:rPr>
          <w:rFonts w:ascii="Arial" w:hAnsi="Arial" w:cs="Arial"/>
          <w:i/>
          <w:sz w:val="24"/>
          <w:szCs w:val="24"/>
        </w:rPr>
      </w:pPr>
      <w:r>
        <w:rPr>
          <w:rFonts w:ascii="Arial" w:hAnsi="Arial" w:cs="Arial"/>
          <w:i/>
          <w:sz w:val="24"/>
          <w:szCs w:val="24"/>
        </w:rPr>
        <w:lastRenderedPageBreak/>
        <w:t xml:space="preserve">Environment, </w:t>
      </w:r>
      <w:r w:rsidR="003B3937">
        <w:rPr>
          <w:rFonts w:ascii="Arial" w:hAnsi="Arial" w:cs="Arial"/>
          <w:i/>
          <w:sz w:val="24"/>
          <w:szCs w:val="24"/>
        </w:rPr>
        <w:t>p</w:t>
      </w:r>
      <w:r w:rsidR="00F44F8B">
        <w:rPr>
          <w:rFonts w:ascii="Arial" w:hAnsi="Arial" w:cs="Arial"/>
          <w:i/>
          <w:sz w:val="24"/>
          <w:szCs w:val="24"/>
        </w:rPr>
        <w:t xml:space="preserve">lanning and </w:t>
      </w:r>
      <w:r w:rsidR="003B3937">
        <w:rPr>
          <w:rFonts w:ascii="Arial" w:hAnsi="Arial" w:cs="Arial"/>
          <w:i/>
          <w:sz w:val="24"/>
          <w:szCs w:val="24"/>
        </w:rPr>
        <w:t>E</w:t>
      </w:r>
      <w:r>
        <w:rPr>
          <w:rFonts w:ascii="Arial" w:hAnsi="Arial" w:cs="Arial"/>
          <w:i/>
          <w:sz w:val="24"/>
          <w:szCs w:val="24"/>
        </w:rPr>
        <w:t>uropeanisation</w:t>
      </w:r>
    </w:p>
    <w:p w:rsidR="00F85EA2" w:rsidRDefault="00F85EA2">
      <w:pPr>
        <w:rPr>
          <w:rFonts w:ascii="Arial" w:hAnsi="Arial" w:cs="Arial"/>
          <w:sz w:val="24"/>
          <w:szCs w:val="24"/>
        </w:rPr>
      </w:pPr>
    </w:p>
    <w:p w:rsidR="00F85EA2" w:rsidRDefault="00EC20D7">
      <w:pPr>
        <w:rPr>
          <w:rFonts w:ascii="Arial" w:hAnsi="Arial" w:cs="Arial"/>
          <w:sz w:val="24"/>
          <w:szCs w:val="24"/>
        </w:rPr>
      </w:pPr>
      <w:r>
        <w:rPr>
          <w:rFonts w:ascii="Arial" w:hAnsi="Arial" w:cs="Arial"/>
          <w:sz w:val="24"/>
          <w:szCs w:val="24"/>
        </w:rPr>
        <w:t>Analysts have long rec</w:t>
      </w:r>
      <w:r w:rsidR="00906EA3">
        <w:rPr>
          <w:rFonts w:ascii="Arial" w:hAnsi="Arial" w:cs="Arial"/>
          <w:sz w:val="24"/>
          <w:szCs w:val="24"/>
        </w:rPr>
        <w:t>ognised that the ambit and goals of</w:t>
      </w:r>
      <w:r>
        <w:rPr>
          <w:rFonts w:ascii="Arial" w:hAnsi="Arial" w:cs="Arial"/>
          <w:sz w:val="24"/>
          <w:szCs w:val="24"/>
        </w:rPr>
        <w:t xml:space="preserve"> planning </w:t>
      </w:r>
      <w:r w:rsidR="000C6F72">
        <w:rPr>
          <w:rFonts w:ascii="Arial" w:hAnsi="Arial" w:cs="Arial"/>
          <w:sz w:val="24"/>
          <w:szCs w:val="24"/>
        </w:rPr>
        <w:t>ha</w:t>
      </w:r>
      <w:r w:rsidR="00906EA3">
        <w:rPr>
          <w:rFonts w:ascii="Arial" w:hAnsi="Arial" w:cs="Arial"/>
          <w:sz w:val="24"/>
          <w:szCs w:val="24"/>
        </w:rPr>
        <w:t xml:space="preserve">ve co-evolved with </w:t>
      </w:r>
      <w:r>
        <w:rPr>
          <w:rFonts w:ascii="Arial" w:hAnsi="Arial" w:cs="Arial"/>
          <w:sz w:val="24"/>
          <w:szCs w:val="24"/>
        </w:rPr>
        <w:t xml:space="preserve">shifting conceptions of ‘environment’ </w:t>
      </w:r>
      <w:r w:rsidR="00F85EA2">
        <w:rPr>
          <w:rFonts w:ascii="Arial" w:hAnsi="Arial" w:cs="Arial"/>
          <w:sz w:val="24"/>
          <w:szCs w:val="24"/>
        </w:rPr>
        <w:t>(Healey and Shaw</w:t>
      </w:r>
      <w:r w:rsidR="00620553">
        <w:rPr>
          <w:rFonts w:ascii="Arial" w:hAnsi="Arial" w:cs="Arial"/>
          <w:sz w:val="24"/>
          <w:szCs w:val="24"/>
        </w:rPr>
        <w:t>,</w:t>
      </w:r>
      <w:r w:rsidR="00F85EA2">
        <w:rPr>
          <w:rFonts w:ascii="Arial" w:hAnsi="Arial" w:cs="Arial"/>
          <w:sz w:val="24"/>
          <w:szCs w:val="24"/>
        </w:rPr>
        <w:t xml:space="preserve"> 1994)</w:t>
      </w:r>
      <w:r>
        <w:rPr>
          <w:rFonts w:ascii="Arial" w:hAnsi="Arial" w:cs="Arial"/>
          <w:sz w:val="24"/>
          <w:szCs w:val="24"/>
        </w:rPr>
        <w:t>. In many countries, planning first e</w:t>
      </w:r>
      <w:r w:rsidR="00EB2FAA">
        <w:rPr>
          <w:rFonts w:ascii="Arial" w:hAnsi="Arial" w:cs="Arial"/>
          <w:sz w:val="24"/>
          <w:szCs w:val="24"/>
        </w:rPr>
        <w:t>merged as a suite of tools, also sometimes</w:t>
      </w:r>
      <w:r>
        <w:rPr>
          <w:rFonts w:ascii="Arial" w:hAnsi="Arial" w:cs="Arial"/>
          <w:sz w:val="24"/>
          <w:szCs w:val="24"/>
        </w:rPr>
        <w:t xml:space="preserve"> a social movement, to address the </w:t>
      </w:r>
      <w:r w:rsidR="003553E6">
        <w:rPr>
          <w:rFonts w:ascii="Arial" w:hAnsi="Arial" w:cs="Arial"/>
          <w:sz w:val="24"/>
          <w:szCs w:val="24"/>
        </w:rPr>
        <w:t>public health and ‘amenity’</w:t>
      </w:r>
      <w:r>
        <w:rPr>
          <w:rFonts w:ascii="Arial" w:hAnsi="Arial" w:cs="Arial"/>
          <w:sz w:val="24"/>
          <w:szCs w:val="24"/>
        </w:rPr>
        <w:t xml:space="preserve"> problems of urbanisation (</w:t>
      </w:r>
      <w:r w:rsidR="00AA65A0">
        <w:rPr>
          <w:rFonts w:ascii="Arial" w:hAnsi="Arial" w:cs="Arial"/>
          <w:sz w:val="24"/>
          <w:szCs w:val="24"/>
        </w:rPr>
        <w:t>Honache</w:t>
      </w:r>
      <w:r w:rsidR="00403B73">
        <w:rPr>
          <w:rFonts w:ascii="Arial" w:hAnsi="Arial" w:cs="Arial"/>
          <w:sz w:val="24"/>
          <w:szCs w:val="24"/>
        </w:rPr>
        <w:t>f</w:t>
      </w:r>
      <w:r w:rsidR="00AA65A0">
        <w:rPr>
          <w:rFonts w:ascii="Arial" w:hAnsi="Arial" w:cs="Arial"/>
          <w:sz w:val="24"/>
          <w:szCs w:val="24"/>
        </w:rPr>
        <w:t>sky</w:t>
      </w:r>
      <w:r w:rsidR="00620553">
        <w:rPr>
          <w:rFonts w:ascii="Arial" w:hAnsi="Arial" w:cs="Arial"/>
          <w:sz w:val="24"/>
          <w:szCs w:val="24"/>
        </w:rPr>
        <w:t>,</w:t>
      </w:r>
      <w:r w:rsidR="00AA65A0">
        <w:rPr>
          <w:rFonts w:ascii="Arial" w:hAnsi="Arial" w:cs="Arial"/>
          <w:sz w:val="24"/>
          <w:szCs w:val="24"/>
        </w:rPr>
        <w:t xml:space="preserve"> </w:t>
      </w:r>
      <w:r w:rsidR="00403B73">
        <w:rPr>
          <w:rFonts w:ascii="Arial" w:hAnsi="Arial" w:cs="Arial"/>
          <w:sz w:val="24"/>
          <w:szCs w:val="24"/>
        </w:rPr>
        <w:t>1999</w:t>
      </w:r>
      <w:r w:rsidR="006803EC">
        <w:rPr>
          <w:rFonts w:ascii="Arial" w:hAnsi="Arial" w:cs="Arial"/>
          <w:sz w:val="24"/>
          <w:szCs w:val="24"/>
        </w:rPr>
        <w:t>; Ward, 2004</w:t>
      </w:r>
      <w:r>
        <w:rPr>
          <w:rFonts w:ascii="Arial" w:hAnsi="Arial" w:cs="Arial"/>
          <w:sz w:val="24"/>
          <w:szCs w:val="24"/>
        </w:rPr>
        <w:t xml:space="preserve">). </w:t>
      </w:r>
      <w:r w:rsidR="00312391">
        <w:rPr>
          <w:rFonts w:ascii="Arial" w:hAnsi="Arial" w:cs="Arial"/>
          <w:sz w:val="24"/>
          <w:szCs w:val="24"/>
        </w:rPr>
        <w:t>Over</w:t>
      </w:r>
      <w:r w:rsidR="00025EB8">
        <w:rPr>
          <w:rFonts w:ascii="Arial" w:hAnsi="Arial" w:cs="Arial"/>
          <w:sz w:val="24"/>
          <w:szCs w:val="24"/>
        </w:rPr>
        <w:t xml:space="preserve"> subsequent decades, land use or spatial planning systems have acquired roles in delivering or supporting an expanding set of environmental functions, responding to problems at a range of scale</w:t>
      </w:r>
      <w:r w:rsidR="001E7BE9">
        <w:rPr>
          <w:rFonts w:ascii="Arial" w:hAnsi="Arial" w:cs="Arial"/>
          <w:sz w:val="24"/>
          <w:szCs w:val="24"/>
        </w:rPr>
        <w:t xml:space="preserve">s, </w:t>
      </w:r>
      <w:r w:rsidR="00AA65A0">
        <w:rPr>
          <w:rFonts w:ascii="Arial" w:hAnsi="Arial" w:cs="Arial"/>
          <w:sz w:val="24"/>
          <w:szCs w:val="24"/>
        </w:rPr>
        <w:t xml:space="preserve">from local to global, </w:t>
      </w:r>
      <w:r w:rsidR="001E7BE9">
        <w:rPr>
          <w:rFonts w:ascii="Arial" w:hAnsi="Arial" w:cs="Arial"/>
          <w:sz w:val="24"/>
          <w:szCs w:val="24"/>
        </w:rPr>
        <w:t>in urban and rural settings</w:t>
      </w:r>
      <w:r w:rsidR="00025EB8">
        <w:rPr>
          <w:rFonts w:ascii="Arial" w:hAnsi="Arial" w:cs="Arial"/>
          <w:sz w:val="24"/>
          <w:szCs w:val="24"/>
        </w:rPr>
        <w:t>, onshore and offshore.</w:t>
      </w:r>
    </w:p>
    <w:p w:rsidR="00A51A1C" w:rsidRDefault="00A51A1C">
      <w:pPr>
        <w:rPr>
          <w:rFonts w:ascii="Arial" w:hAnsi="Arial" w:cs="Arial"/>
          <w:sz w:val="24"/>
          <w:szCs w:val="24"/>
        </w:rPr>
      </w:pPr>
    </w:p>
    <w:p w:rsidR="00F7697D" w:rsidRDefault="00F7697D" w:rsidP="00E907C8">
      <w:pPr>
        <w:rPr>
          <w:rFonts w:ascii="Arial" w:hAnsi="Arial" w:cs="Arial"/>
          <w:sz w:val="24"/>
          <w:szCs w:val="24"/>
        </w:rPr>
      </w:pPr>
      <w:r>
        <w:rPr>
          <w:rFonts w:ascii="Arial" w:hAnsi="Arial" w:cs="Arial"/>
          <w:sz w:val="24"/>
          <w:szCs w:val="24"/>
        </w:rPr>
        <w:t>Only episodically have these e</w:t>
      </w:r>
      <w:r w:rsidR="00025EB8">
        <w:rPr>
          <w:rFonts w:ascii="Arial" w:hAnsi="Arial" w:cs="Arial"/>
          <w:sz w:val="24"/>
          <w:szCs w:val="24"/>
        </w:rPr>
        <w:t>xp</w:t>
      </w:r>
      <w:r w:rsidR="00906EA3">
        <w:rPr>
          <w:rFonts w:ascii="Arial" w:hAnsi="Arial" w:cs="Arial"/>
          <w:sz w:val="24"/>
          <w:szCs w:val="24"/>
        </w:rPr>
        <w:t>anding functional connections</w:t>
      </w:r>
      <w:r w:rsidR="00AA65A0">
        <w:rPr>
          <w:rFonts w:ascii="Arial" w:hAnsi="Arial" w:cs="Arial"/>
          <w:sz w:val="24"/>
          <w:szCs w:val="24"/>
        </w:rPr>
        <w:t xml:space="preserve"> elicited</w:t>
      </w:r>
      <w:r w:rsidR="00936F32">
        <w:rPr>
          <w:rFonts w:ascii="Arial" w:hAnsi="Arial" w:cs="Arial"/>
          <w:sz w:val="24"/>
          <w:szCs w:val="24"/>
        </w:rPr>
        <w:t xml:space="preserve"> </w:t>
      </w:r>
      <w:r w:rsidR="00025EB8">
        <w:rPr>
          <w:rFonts w:ascii="Arial" w:hAnsi="Arial" w:cs="Arial"/>
          <w:sz w:val="24"/>
          <w:szCs w:val="24"/>
        </w:rPr>
        <w:t>wider reflection on how planning and environmental action fit together, e</w:t>
      </w:r>
      <w:r w:rsidR="001B758E">
        <w:rPr>
          <w:rFonts w:ascii="Arial" w:hAnsi="Arial" w:cs="Arial"/>
          <w:sz w:val="24"/>
          <w:szCs w:val="24"/>
        </w:rPr>
        <w:t>i</w:t>
      </w:r>
      <w:r w:rsidR="00025EB8">
        <w:rPr>
          <w:rFonts w:ascii="Arial" w:hAnsi="Arial" w:cs="Arial"/>
          <w:sz w:val="24"/>
          <w:szCs w:val="24"/>
        </w:rPr>
        <w:t xml:space="preserve">ther conceptually or as forms of regulation. Debates about planning for sustainable development </w:t>
      </w:r>
      <w:r w:rsidR="00EB2FAA">
        <w:rPr>
          <w:rFonts w:ascii="Arial" w:hAnsi="Arial" w:cs="Arial"/>
          <w:sz w:val="24"/>
          <w:szCs w:val="24"/>
        </w:rPr>
        <w:t xml:space="preserve">in the 1990s </w:t>
      </w:r>
      <w:r w:rsidR="00025EB8">
        <w:rPr>
          <w:rFonts w:ascii="Arial" w:hAnsi="Arial" w:cs="Arial"/>
          <w:sz w:val="24"/>
          <w:szCs w:val="24"/>
        </w:rPr>
        <w:t xml:space="preserve">did prompt a major round of theorisation and critique, </w:t>
      </w:r>
      <w:r w:rsidR="001B758E">
        <w:rPr>
          <w:rFonts w:ascii="Arial" w:hAnsi="Arial" w:cs="Arial"/>
          <w:sz w:val="24"/>
          <w:szCs w:val="24"/>
        </w:rPr>
        <w:t xml:space="preserve">with much attention given to </w:t>
      </w:r>
      <w:r w:rsidR="001E7BE9">
        <w:rPr>
          <w:rFonts w:ascii="Arial" w:hAnsi="Arial" w:cs="Arial"/>
          <w:sz w:val="24"/>
          <w:szCs w:val="24"/>
        </w:rPr>
        <w:t>the status</w:t>
      </w:r>
      <w:r w:rsidR="00025EB8">
        <w:rPr>
          <w:rFonts w:ascii="Arial" w:hAnsi="Arial" w:cs="Arial"/>
          <w:sz w:val="24"/>
          <w:szCs w:val="24"/>
        </w:rPr>
        <w:t xml:space="preserve"> of environmental goals in planning. Analysts questioned whether </w:t>
      </w:r>
      <w:r w:rsidR="00AA65A0">
        <w:rPr>
          <w:rFonts w:ascii="Arial" w:hAnsi="Arial" w:cs="Arial"/>
          <w:sz w:val="24"/>
          <w:szCs w:val="24"/>
        </w:rPr>
        <w:t xml:space="preserve">planning’s </w:t>
      </w:r>
      <w:r w:rsidR="003D3269">
        <w:rPr>
          <w:rFonts w:ascii="Arial" w:hAnsi="Arial" w:cs="Arial"/>
          <w:sz w:val="24"/>
          <w:szCs w:val="24"/>
        </w:rPr>
        <w:t>pervasive</w:t>
      </w:r>
      <w:r w:rsidR="00AA65A0">
        <w:rPr>
          <w:rFonts w:ascii="Arial" w:hAnsi="Arial" w:cs="Arial"/>
          <w:sz w:val="24"/>
          <w:szCs w:val="24"/>
        </w:rPr>
        <w:t xml:space="preserve"> utilitarian </w:t>
      </w:r>
      <w:r w:rsidR="00025EB8">
        <w:rPr>
          <w:rFonts w:ascii="Arial" w:hAnsi="Arial" w:cs="Arial"/>
          <w:sz w:val="24"/>
          <w:szCs w:val="24"/>
        </w:rPr>
        <w:t xml:space="preserve">doctrines of ‘balancing’ competing goals </w:t>
      </w:r>
      <w:r w:rsidR="00D608C5">
        <w:rPr>
          <w:rFonts w:ascii="Arial" w:hAnsi="Arial" w:cs="Arial"/>
          <w:sz w:val="24"/>
          <w:szCs w:val="24"/>
        </w:rPr>
        <w:t>were</w:t>
      </w:r>
      <w:r w:rsidR="00936F32">
        <w:rPr>
          <w:rFonts w:ascii="Arial" w:hAnsi="Arial" w:cs="Arial"/>
          <w:sz w:val="24"/>
          <w:szCs w:val="24"/>
        </w:rPr>
        <w:t xml:space="preserve"> </w:t>
      </w:r>
      <w:r w:rsidR="00025EB8">
        <w:rPr>
          <w:rFonts w:ascii="Arial" w:hAnsi="Arial" w:cs="Arial"/>
          <w:sz w:val="24"/>
          <w:szCs w:val="24"/>
        </w:rPr>
        <w:t xml:space="preserve">compatible with </w:t>
      </w:r>
      <w:r w:rsidR="00EB2FAA">
        <w:rPr>
          <w:rFonts w:ascii="Arial" w:hAnsi="Arial" w:cs="Arial"/>
          <w:sz w:val="24"/>
          <w:szCs w:val="24"/>
        </w:rPr>
        <w:t>observing environmental limits</w:t>
      </w:r>
      <w:r w:rsidR="00CE528C">
        <w:rPr>
          <w:rFonts w:ascii="Arial" w:hAnsi="Arial" w:cs="Arial"/>
          <w:sz w:val="24"/>
          <w:szCs w:val="24"/>
        </w:rPr>
        <w:t xml:space="preserve"> </w:t>
      </w:r>
      <w:r w:rsidR="00025EB8">
        <w:rPr>
          <w:rFonts w:ascii="Arial" w:hAnsi="Arial" w:cs="Arial"/>
          <w:sz w:val="24"/>
          <w:szCs w:val="24"/>
        </w:rPr>
        <w:t>in the name of long-term sustainability</w:t>
      </w:r>
      <w:r w:rsidR="002B497C">
        <w:rPr>
          <w:rFonts w:ascii="Arial" w:hAnsi="Arial" w:cs="Arial"/>
          <w:sz w:val="24"/>
          <w:szCs w:val="24"/>
        </w:rPr>
        <w:t xml:space="preserve"> (Owens and Cowell</w:t>
      </w:r>
      <w:r w:rsidR="0000641A">
        <w:rPr>
          <w:rFonts w:ascii="Arial" w:hAnsi="Arial" w:cs="Arial"/>
          <w:sz w:val="24"/>
          <w:szCs w:val="24"/>
        </w:rPr>
        <w:t>,</w:t>
      </w:r>
      <w:r w:rsidR="002B497C">
        <w:rPr>
          <w:rFonts w:ascii="Arial" w:hAnsi="Arial" w:cs="Arial"/>
          <w:sz w:val="24"/>
          <w:szCs w:val="24"/>
        </w:rPr>
        <w:t xml:space="preserve"> 2010</w:t>
      </w:r>
      <w:r w:rsidR="003D3269">
        <w:rPr>
          <w:rFonts w:ascii="Arial" w:hAnsi="Arial" w:cs="Arial"/>
          <w:sz w:val="24"/>
          <w:szCs w:val="24"/>
        </w:rPr>
        <w:t>; Wackernagel and Rees, 1996</w:t>
      </w:r>
      <w:r w:rsidR="002B497C">
        <w:rPr>
          <w:rFonts w:ascii="Arial" w:hAnsi="Arial" w:cs="Arial"/>
          <w:sz w:val="24"/>
          <w:szCs w:val="24"/>
        </w:rPr>
        <w:t>)</w:t>
      </w:r>
      <w:r w:rsidR="00025EB8">
        <w:rPr>
          <w:rFonts w:ascii="Arial" w:hAnsi="Arial" w:cs="Arial"/>
          <w:sz w:val="24"/>
          <w:szCs w:val="24"/>
        </w:rPr>
        <w:t xml:space="preserve">.  Numerous investigations exposed the </w:t>
      </w:r>
      <w:r w:rsidR="00A51A1C">
        <w:rPr>
          <w:rFonts w:ascii="Arial" w:hAnsi="Arial" w:cs="Arial"/>
          <w:sz w:val="24"/>
          <w:szCs w:val="24"/>
        </w:rPr>
        <w:t>problematic realities of ‘planning for sustainable development’ in pro-growth contexts</w:t>
      </w:r>
      <w:r w:rsidR="00CE528C">
        <w:rPr>
          <w:rFonts w:ascii="Arial" w:hAnsi="Arial" w:cs="Arial"/>
          <w:sz w:val="24"/>
          <w:szCs w:val="24"/>
        </w:rPr>
        <w:t xml:space="preserve"> </w:t>
      </w:r>
      <w:r w:rsidR="0045445F">
        <w:rPr>
          <w:rFonts w:ascii="Arial" w:hAnsi="Arial" w:cs="Arial"/>
          <w:sz w:val="24"/>
          <w:szCs w:val="24"/>
        </w:rPr>
        <w:t>(</w:t>
      </w:r>
      <w:r w:rsidR="00F7768A">
        <w:rPr>
          <w:rFonts w:ascii="Arial" w:hAnsi="Arial" w:cs="Arial"/>
          <w:sz w:val="24"/>
          <w:szCs w:val="24"/>
        </w:rPr>
        <w:t>e.g.</w:t>
      </w:r>
      <w:r w:rsidR="004B679C">
        <w:rPr>
          <w:rFonts w:ascii="Arial" w:hAnsi="Arial" w:cs="Arial"/>
          <w:sz w:val="24"/>
          <w:szCs w:val="24"/>
        </w:rPr>
        <w:t xml:space="preserve"> </w:t>
      </w:r>
      <w:r w:rsidR="00AD0C60">
        <w:rPr>
          <w:rFonts w:ascii="Arial" w:hAnsi="Arial" w:cs="Arial"/>
          <w:sz w:val="24"/>
          <w:szCs w:val="24"/>
        </w:rPr>
        <w:t>Fischer, 1999</w:t>
      </w:r>
      <w:r w:rsidR="0045445F">
        <w:rPr>
          <w:rFonts w:ascii="Arial" w:hAnsi="Arial" w:cs="Arial"/>
          <w:sz w:val="24"/>
          <w:szCs w:val="24"/>
        </w:rPr>
        <w:t>)</w:t>
      </w:r>
      <w:r w:rsidR="00A51A1C">
        <w:rPr>
          <w:rFonts w:ascii="Arial" w:hAnsi="Arial" w:cs="Arial"/>
          <w:sz w:val="24"/>
          <w:szCs w:val="24"/>
        </w:rPr>
        <w:t>.</w:t>
      </w:r>
    </w:p>
    <w:p w:rsidR="00F7697D" w:rsidRDefault="00F7697D" w:rsidP="00E907C8">
      <w:pPr>
        <w:rPr>
          <w:rFonts w:ascii="Arial" w:hAnsi="Arial" w:cs="Arial"/>
          <w:sz w:val="24"/>
          <w:szCs w:val="24"/>
        </w:rPr>
      </w:pPr>
    </w:p>
    <w:p w:rsidR="00A51A1C" w:rsidRDefault="00E163E0" w:rsidP="00E907C8">
      <w:pPr>
        <w:rPr>
          <w:rFonts w:ascii="Arial" w:hAnsi="Arial" w:cs="Arial"/>
          <w:sz w:val="24"/>
          <w:szCs w:val="24"/>
        </w:rPr>
      </w:pPr>
      <w:r>
        <w:rPr>
          <w:rFonts w:ascii="Arial" w:hAnsi="Arial" w:cs="Arial"/>
          <w:sz w:val="24"/>
          <w:szCs w:val="24"/>
        </w:rPr>
        <w:t>A</w:t>
      </w:r>
      <w:r w:rsidR="002B497C">
        <w:rPr>
          <w:rFonts w:ascii="Arial" w:hAnsi="Arial" w:cs="Arial"/>
          <w:sz w:val="24"/>
          <w:szCs w:val="24"/>
        </w:rPr>
        <w:t>rguably</w:t>
      </w:r>
      <w:r w:rsidR="00C60B28">
        <w:rPr>
          <w:rFonts w:ascii="Arial" w:hAnsi="Arial" w:cs="Arial"/>
          <w:sz w:val="24"/>
          <w:szCs w:val="24"/>
        </w:rPr>
        <w:t>,</w:t>
      </w:r>
      <w:r w:rsidR="00CE528C">
        <w:rPr>
          <w:rFonts w:ascii="Arial" w:hAnsi="Arial" w:cs="Arial"/>
          <w:sz w:val="24"/>
          <w:szCs w:val="24"/>
        </w:rPr>
        <w:t xml:space="preserve"> </w:t>
      </w:r>
      <w:r w:rsidR="00A51A1C">
        <w:rPr>
          <w:rFonts w:ascii="Arial" w:hAnsi="Arial" w:cs="Arial"/>
          <w:sz w:val="24"/>
          <w:szCs w:val="24"/>
        </w:rPr>
        <w:t xml:space="preserve">theorisation of </w:t>
      </w:r>
      <w:r w:rsidR="001E7BE9">
        <w:rPr>
          <w:rFonts w:ascii="Arial" w:hAnsi="Arial" w:cs="Arial"/>
          <w:sz w:val="24"/>
          <w:szCs w:val="24"/>
        </w:rPr>
        <w:t xml:space="preserve">the </w:t>
      </w:r>
      <w:r w:rsidR="00A51A1C">
        <w:rPr>
          <w:rFonts w:ascii="Arial" w:hAnsi="Arial" w:cs="Arial"/>
          <w:sz w:val="24"/>
          <w:szCs w:val="24"/>
        </w:rPr>
        <w:t xml:space="preserve">planning-environment interface </w:t>
      </w:r>
      <w:r w:rsidR="002B497C">
        <w:rPr>
          <w:rFonts w:ascii="Arial" w:hAnsi="Arial" w:cs="Arial"/>
          <w:sz w:val="24"/>
          <w:szCs w:val="24"/>
        </w:rPr>
        <w:t xml:space="preserve">has </w:t>
      </w:r>
      <w:r w:rsidR="00A51A1C">
        <w:rPr>
          <w:rFonts w:ascii="Arial" w:hAnsi="Arial" w:cs="Arial"/>
          <w:sz w:val="24"/>
          <w:szCs w:val="24"/>
        </w:rPr>
        <w:t>scarcely moved forward</w:t>
      </w:r>
      <w:r w:rsidR="002B497C">
        <w:rPr>
          <w:rFonts w:ascii="Arial" w:hAnsi="Arial" w:cs="Arial"/>
          <w:sz w:val="24"/>
          <w:szCs w:val="24"/>
        </w:rPr>
        <w:t xml:space="preserve"> since this period. M</w:t>
      </w:r>
      <w:r w:rsidR="00EB2FAA">
        <w:rPr>
          <w:rFonts w:ascii="Arial" w:hAnsi="Arial" w:cs="Arial"/>
          <w:sz w:val="24"/>
          <w:szCs w:val="24"/>
        </w:rPr>
        <w:t>ost innovation</w:t>
      </w:r>
      <w:r w:rsidR="00CE528C">
        <w:rPr>
          <w:rFonts w:ascii="Arial" w:hAnsi="Arial" w:cs="Arial"/>
          <w:sz w:val="24"/>
          <w:szCs w:val="24"/>
        </w:rPr>
        <w:t xml:space="preserve"> </w:t>
      </w:r>
      <w:r w:rsidR="006406BB">
        <w:rPr>
          <w:rFonts w:ascii="Arial" w:hAnsi="Arial" w:cs="Arial"/>
          <w:sz w:val="24"/>
          <w:szCs w:val="24"/>
        </w:rPr>
        <w:t xml:space="preserve">since </w:t>
      </w:r>
      <w:r w:rsidR="000C6F72">
        <w:rPr>
          <w:rFonts w:ascii="Arial" w:hAnsi="Arial" w:cs="Arial"/>
          <w:sz w:val="24"/>
          <w:szCs w:val="24"/>
        </w:rPr>
        <w:t xml:space="preserve">the </w:t>
      </w:r>
      <w:r w:rsidR="006406BB">
        <w:rPr>
          <w:rFonts w:ascii="Arial" w:hAnsi="Arial" w:cs="Arial"/>
          <w:sz w:val="24"/>
          <w:szCs w:val="24"/>
        </w:rPr>
        <w:t xml:space="preserve">1990s </w:t>
      </w:r>
      <w:r w:rsidR="00D705B9">
        <w:rPr>
          <w:rFonts w:ascii="Arial" w:hAnsi="Arial" w:cs="Arial"/>
          <w:sz w:val="24"/>
          <w:szCs w:val="24"/>
        </w:rPr>
        <w:t>has lain</w:t>
      </w:r>
      <w:r w:rsidR="002B497C">
        <w:rPr>
          <w:rFonts w:ascii="Arial" w:hAnsi="Arial" w:cs="Arial"/>
          <w:sz w:val="24"/>
          <w:szCs w:val="24"/>
        </w:rPr>
        <w:t xml:space="preserve"> in examining </w:t>
      </w:r>
      <w:r w:rsidR="00A51A1C">
        <w:rPr>
          <w:rFonts w:ascii="Arial" w:hAnsi="Arial" w:cs="Arial"/>
          <w:sz w:val="24"/>
          <w:szCs w:val="24"/>
        </w:rPr>
        <w:t xml:space="preserve">new </w:t>
      </w:r>
      <w:r w:rsidR="002B497C">
        <w:rPr>
          <w:rFonts w:ascii="Arial" w:hAnsi="Arial" w:cs="Arial"/>
          <w:sz w:val="24"/>
          <w:szCs w:val="24"/>
        </w:rPr>
        <w:t xml:space="preserve">socio-environmental </w:t>
      </w:r>
      <w:r w:rsidR="00A51A1C">
        <w:rPr>
          <w:rFonts w:ascii="Arial" w:hAnsi="Arial" w:cs="Arial"/>
          <w:sz w:val="24"/>
          <w:szCs w:val="24"/>
        </w:rPr>
        <w:t xml:space="preserve">concepts </w:t>
      </w:r>
      <w:r w:rsidR="002B497C">
        <w:rPr>
          <w:rFonts w:ascii="Arial" w:hAnsi="Arial" w:cs="Arial"/>
          <w:sz w:val="24"/>
          <w:szCs w:val="24"/>
        </w:rPr>
        <w:t>(e.g. resilience),</w:t>
      </w:r>
      <w:r w:rsidR="00A51A1C">
        <w:rPr>
          <w:rFonts w:ascii="Arial" w:hAnsi="Arial" w:cs="Arial"/>
          <w:sz w:val="24"/>
          <w:szCs w:val="24"/>
        </w:rPr>
        <w:t xml:space="preserve"> metrics </w:t>
      </w:r>
      <w:r w:rsidR="006406BB">
        <w:rPr>
          <w:rFonts w:ascii="Arial" w:hAnsi="Arial" w:cs="Arial"/>
          <w:sz w:val="24"/>
          <w:szCs w:val="24"/>
        </w:rPr>
        <w:t xml:space="preserve">(from ecological footprint to metabolisms) </w:t>
      </w:r>
      <w:r w:rsidR="002B497C">
        <w:rPr>
          <w:rFonts w:ascii="Arial" w:hAnsi="Arial" w:cs="Arial"/>
          <w:sz w:val="24"/>
          <w:szCs w:val="24"/>
        </w:rPr>
        <w:t>and tools</w:t>
      </w:r>
      <w:r w:rsidR="0045445F">
        <w:rPr>
          <w:rFonts w:ascii="Arial" w:hAnsi="Arial" w:cs="Arial"/>
          <w:sz w:val="24"/>
          <w:szCs w:val="24"/>
        </w:rPr>
        <w:t xml:space="preserve"> (Davoudi et al</w:t>
      </w:r>
      <w:r w:rsidR="0000641A">
        <w:rPr>
          <w:rFonts w:ascii="Arial" w:hAnsi="Arial" w:cs="Arial"/>
          <w:sz w:val="24"/>
          <w:szCs w:val="24"/>
        </w:rPr>
        <w:t>.,</w:t>
      </w:r>
      <w:r w:rsidR="0045445F">
        <w:rPr>
          <w:rFonts w:ascii="Arial" w:hAnsi="Arial" w:cs="Arial"/>
          <w:sz w:val="24"/>
          <w:szCs w:val="24"/>
        </w:rPr>
        <w:t xml:space="preserve"> 2019)</w:t>
      </w:r>
      <w:r w:rsidR="002B497C">
        <w:rPr>
          <w:rFonts w:ascii="Arial" w:hAnsi="Arial" w:cs="Arial"/>
          <w:sz w:val="24"/>
          <w:szCs w:val="24"/>
        </w:rPr>
        <w:t xml:space="preserve">, </w:t>
      </w:r>
      <w:r w:rsidR="00A51A1C">
        <w:rPr>
          <w:rFonts w:ascii="Arial" w:hAnsi="Arial" w:cs="Arial"/>
          <w:sz w:val="24"/>
          <w:szCs w:val="24"/>
        </w:rPr>
        <w:t>rather tha</w:t>
      </w:r>
      <w:r w:rsidR="00993F20">
        <w:rPr>
          <w:rFonts w:ascii="Arial" w:hAnsi="Arial" w:cs="Arial"/>
          <w:sz w:val="24"/>
          <w:szCs w:val="24"/>
        </w:rPr>
        <w:t xml:space="preserve">n </w:t>
      </w:r>
      <w:r w:rsidR="002B497C">
        <w:rPr>
          <w:rFonts w:ascii="Arial" w:hAnsi="Arial" w:cs="Arial"/>
          <w:sz w:val="24"/>
          <w:szCs w:val="24"/>
        </w:rPr>
        <w:t xml:space="preserve">considering </w:t>
      </w:r>
      <w:r w:rsidR="00312391">
        <w:rPr>
          <w:rFonts w:ascii="Arial" w:hAnsi="Arial" w:cs="Arial"/>
          <w:sz w:val="24"/>
          <w:szCs w:val="24"/>
        </w:rPr>
        <w:t xml:space="preserve">how planning </w:t>
      </w:r>
      <w:r w:rsidR="00BF2174">
        <w:rPr>
          <w:rFonts w:ascii="Arial" w:hAnsi="Arial" w:cs="Arial"/>
          <w:sz w:val="24"/>
          <w:szCs w:val="24"/>
        </w:rPr>
        <w:t>systems manage</w:t>
      </w:r>
      <w:r w:rsidR="00CE528C">
        <w:rPr>
          <w:rFonts w:ascii="Arial" w:hAnsi="Arial" w:cs="Arial"/>
          <w:sz w:val="24"/>
          <w:szCs w:val="24"/>
        </w:rPr>
        <w:t xml:space="preserve"> </w:t>
      </w:r>
      <w:r w:rsidR="003553E6">
        <w:rPr>
          <w:rFonts w:ascii="Arial" w:hAnsi="Arial" w:cs="Arial"/>
          <w:sz w:val="24"/>
          <w:szCs w:val="24"/>
        </w:rPr>
        <w:t xml:space="preserve">or deliver </w:t>
      </w:r>
      <w:r w:rsidR="002B497C">
        <w:rPr>
          <w:rFonts w:ascii="Arial" w:hAnsi="Arial" w:cs="Arial"/>
          <w:sz w:val="24"/>
          <w:szCs w:val="24"/>
        </w:rPr>
        <w:t>environmental quality</w:t>
      </w:r>
      <w:r w:rsidR="00312391">
        <w:rPr>
          <w:rFonts w:ascii="Arial" w:hAnsi="Arial" w:cs="Arial"/>
          <w:sz w:val="24"/>
          <w:szCs w:val="24"/>
        </w:rPr>
        <w:t xml:space="preserve"> as a set of regulatory processes. Such neglect may reflect the</w:t>
      </w:r>
      <w:r w:rsidR="002B497C">
        <w:rPr>
          <w:rFonts w:ascii="Arial" w:hAnsi="Arial" w:cs="Arial"/>
          <w:sz w:val="24"/>
          <w:szCs w:val="24"/>
        </w:rPr>
        <w:t xml:space="preserve"> procedural emphasis among planning theorists</w:t>
      </w:r>
      <w:r w:rsidR="001872DA">
        <w:rPr>
          <w:rFonts w:ascii="Arial" w:hAnsi="Arial" w:cs="Arial"/>
          <w:sz w:val="24"/>
          <w:szCs w:val="24"/>
        </w:rPr>
        <w:t xml:space="preserve"> (Adams</w:t>
      </w:r>
      <w:r w:rsidR="009051EF">
        <w:rPr>
          <w:rFonts w:ascii="Arial" w:hAnsi="Arial" w:cs="Arial"/>
          <w:sz w:val="24"/>
          <w:szCs w:val="24"/>
        </w:rPr>
        <w:t xml:space="preserve"> et al</w:t>
      </w:r>
      <w:r w:rsidR="0000641A">
        <w:rPr>
          <w:rFonts w:ascii="Arial" w:hAnsi="Arial" w:cs="Arial"/>
          <w:sz w:val="24"/>
          <w:szCs w:val="24"/>
        </w:rPr>
        <w:t>.,</w:t>
      </w:r>
      <w:r w:rsidR="001872DA">
        <w:rPr>
          <w:rFonts w:ascii="Arial" w:hAnsi="Arial" w:cs="Arial"/>
          <w:sz w:val="24"/>
          <w:szCs w:val="24"/>
        </w:rPr>
        <w:t xml:space="preserve"> 2013)</w:t>
      </w:r>
      <w:r w:rsidR="002B497C">
        <w:rPr>
          <w:rFonts w:ascii="Arial" w:hAnsi="Arial" w:cs="Arial"/>
          <w:sz w:val="24"/>
          <w:szCs w:val="24"/>
        </w:rPr>
        <w:t xml:space="preserve">, </w:t>
      </w:r>
      <w:r w:rsidR="008323B4">
        <w:rPr>
          <w:rFonts w:ascii="Arial" w:hAnsi="Arial" w:cs="Arial"/>
          <w:sz w:val="24"/>
          <w:szCs w:val="24"/>
        </w:rPr>
        <w:t xml:space="preserve">the wider negativity towards planning regulation (Inch 2009), </w:t>
      </w:r>
      <w:r w:rsidR="00F7697D">
        <w:rPr>
          <w:rFonts w:ascii="Arial" w:hAnsi="Arial" w:cs="Arial"/>
          <w:sz w:val="24"/>
          <w:szCs w:val="24"/>
        </w:rPr>
        <w:t xml:space="preserve">and </w:t>
      </w:r>
      <w:r w:rsidR="008323B4">
        <w:rPr>
          <w:rFonts w:ascii="Arial" w:hAnsi="Arial" w:cs="Arial"/>
          <w:sz w:val="24"/>
          <w:szCs w:val="24"/>
        </w:rPr>
        <w:t>neglect of substantive values more broad</w:t>
      </w:r>
      <w:r w:rsidR="00FB25B3">
        <w:rPr>
          <w:rFonts w:ascii="Arial" w:hAnsi="Arial" w:cs="Arial"/>
          <w:sz w:val="24"/>
          <w:szCs w:val="24"/>
        </w:rPr>
        <w:t>ly (</w:t>
      </w:r>
      <w:r w:rsidR="006803EC">
        <w:rPr>
          <w:rFonts w:ascii="Arial" w:hAnsi="Arial" w:cs="Arial"/>
          <w:sz w:val="24"/>
          <w:szCs w:val="24"/>
        </w:rPr>
        <w:t xml:space="preserve">Campbell and Marshall, 2002; </w:t>
      </w:r>
      <w:r w:rsidR="00FB25B3">
        <w:rPr>
          <w:rFonts w:ascii="Arial" w:hAnsi="Arial" w:cs="Arial"/>
          <w:sz w:val="24"/>
          <w:szCs w:val="24"/>
        </w:rPr>
        <w:t>Jepson</w:t>
      </w:r>
      <w:r w:rsidR="0000641A">
        <w:rPr>
          <w:rFonts w:ascii="Arial" w:hAnsi="Arial" w:cs="Arial"/>
          <w:sz w:val="24"/>
          <w:szCs w:val="24"/>
        </w:rPr>
        <w:t>,</w:t>
      </w:r>
      <w:r w:rsidR="00FB25B3">
        <w:rPr>
          <w:rFonts w:ascii="Arial" w:hAnsi="Arial" w:cs="Arial"/>
          <w:sz w:val="24"/>
          <w:szCs w:val="24"/>
        </w:rPr>
        <w:t xml:space="preserve"> 2003).</w:t>
      </w:r>
      <w:r w:rsidR="003D3269">
        <w:rPr>
          <w:rFonts w:ascii="Arial" w:hAnsi="Arial" w:cs="Arial"/>
          <w:sz w:val="24"/>
          <w:szCs w:val="24"/>
        </w:rPr>
        <w:t xml:space="preserve"> </w:t>
      </w:r>
      <w:r w:rsidR="00D96796">
        <w:rPr>
          <w:rFonts w:ascii="Arial" w:hAnsi="Arial" w:cs="Arial"/>
          <w:sz w:val="24"/>
          <w:szCs w:val="24"/>
        </w:rPr>
        <w:t xml:space="preserve">Also obscuring the issue is widespread </w:t>
      </w:r>
      <w:r w:rsidR="00F7768A">
        <w:rPr>
          <w:rFonts w:ascii="Arial" w:hAnsi="Arial" w:cs="Arial"/>
          <w:sz w:val="24"/>
          <w:szCs w:val="24"/>
        </w:rPr>
        <w:t>genuflection</w:t>
      </w:r>
      <w:r w:rsidR="00D96796">
        <w:rPr>
          <w:rFonts w:ascii="Arial" w:hAnsi="Arial" w:cs="Arial"/>
          <w:sz w:val="24"/>
          <w:szCs w:val="24"/>
        </w:rPr>
        <w:t xml:space="preserve"> to</w:t>
      </w:r>
      <w:r w:rsidR="00F7768A">
        <w:rPr>
          <w:rFonts w:ascii="Arial" w:hAnsi="Arial" w:cs="Arial"/>
          <w:sz w:val="24"/>
          <w:szCs w:val="24"/>
        </w:rPr>
        <w:t>wards</w:t>
      </w:r>
      <w:r w:rsidR="00D96796">
        <w:rPr>
          <w:rFonts w:ascii="Arial" w:hAnsi="Arial" w:cs="Arial"/>
          <w:sz w:val="24"/>
          <w:szCs w:val="24"/>
        </w:rPr>
        <w:t xml:space="preserve"> ‘integration’, invoking a Panglossian conception of planning and environmental protection working </w:t>
      </w:r>
      <w:r w:rsidR="00723029">
        <w:rPr>
          <w:rFonts w:ascii="Arial" w:hAnsi="Arial" w:cs="Arial"/>
          <w:sz w:val="24"/>
          <w:szCs w:val="24"/>
        </w:rPr>
        <w:t xml:space="preserve">harmoniously </w:t>
      </w:r>
      <w:r w:rsidR="00D96796">
        <w:rPr>
          <w:rFonts w:ascii="Arial" w:hAnsi="Arial" w:cs="Arial"/>
          <w:sz w:val="24"/>
          <w:szCs w:val="24"/>
        </w:rPr>
        <w:t>together, but concealing harder-edged questions about how integration is achieved, whose goals and practices dominate</w:t>
      </w:r>
      <w:r w:rsidR="006C70A5">
        <w:rPr>
          <w:rFonts w:ascii="Arial" w:hAnsi="Arial" w:cs="Arial"/>
          <w:sz w:val="24"/>
          <w:szCs w:val="24"/>
        </w:rPr>
        <w:t>, and whether anything changes</w:t>
      </w:r>
      <w:r w:rsidR="00723029">
        <w:rPr>
          <w:rFonts w:ascii="Arial" w:hAnsi="Arial" w:cs="Arial"/>
          <w:sz w:val="24"/>
          <w:szCs w:val="24"/>
        </w:rPr>
        <w:t>.</w:t>
      </w:r>
    </w:p>
    <w:p w:rsidR="00A51A1C" w:rsidRDefault="00A51A1C" w:rsidP="00E907C8">
      <w:pPr>
        <w:rPr>
          <w:rFonts w:ascii="Arial" w:hAnsi="Arial" w:cs="Arial"/>
          <w:sz w:val="24"/>
          <w:szCs w:val="24"/>
        </w:rPr>
      </w:pPr>
    </w:p>
    <w:p w:rsidR="009C30D8" w:rsidRDefault="008323B4" w:rsidP="009C30D8">
      <w:pPr>
        <w:pStyle w:val="CommentText"/>
        <w:spacing w:line="276" w:lineRule="auto"/>
        <w:rPr>
          <w:rFonts w:ascii="Arial" w:hAnsi="Arial" w:cs="Arial"/>
          <w:sz w:val="24"/>
          <w:szCs w:val="24"/>
        </w:rPr>
      </w:pPr>
      <w:r>
        <w:rPr>
          <w:rFonts w:ascii="Arial" w:hAnsi="Arial" w:cs="Arial"/>
          <w:sz w:val="24"/>
          <w:szCs w:val="24"/>
        </w:rPr>
        <w:t>This situation has</w:t>
      </w:r>
      <w:r w:rsidR="00766F89">
        <w:rPr>
          <w:rFonts w:ascii="Arial" w:hAnsi="Arial" w:cs="Arial"/>
          <w:sz w:val="24"/>
          <w:szCs w:val="24"/>
        </w:rPr>
        <w:t xml:space="preserve"> been little affected </w:t>
      </w:r>
      <w:r w:rsidR="00E907C8">
        <w:rPr>
          <w:rFonts w:ascii="Arial" w:hAnsi="Arial" w:cs="Arial"/>
          <w:sz w:val="24"/>
          <w:szCs w:val="24"/>
        </w:rPr>
        <w:t xml:space="preserve">by </w:t>
      </w:r>
      <w:r w:rsidR="00766F89">
        <w:rPr>
          <w:rFonts w:ascii="Arial" w:hAnsi="Arial" w:cs="Arial"/>
          <w:sz w:val="24"/>
          <w:szCs w:val="24"/>
        </w:rPr>
        <w:t xml:space="preserve">the </w:t>
      </w:r>
      <w:r w:rsidR="00E907C8">
        <w:rPr>
          <w:rFonts w:ascii="Arial" w:hAnsi="Arial" w:cs="Arial"/>
          <w:sz w:val="24"/>
          <w:szCs w:val="24"/>
        </w:rPr>
        <w:t xml:space="preserve">growing influence of </w:t>
      </w:r>
      <w:r w:rsidR="0045445F">
        <w:rPr>
          <w:rFonts w:ascii="Arial" w:hAnsi="Arial" w:cs="Arial"/>
          <w:sz w:val="24"/>
          <w:szCs w:val="24"/>
        </w:rPr>
        <w:t xml:space="preserve">the </w:t>
      </w:r>
      <w:r w:rsidR="00766F89">
        <w:rPr>
          <w:rFonts w:ascii="Arial" w:hAnsi="Arial" w:cs="Arial"/>
          <w:sz w:val="24"/>
          <w:szCs w:val="24"/>
        </w:rPr>
        <w:t xml:space="preserve">EU; </w:t>
      </w:r>
      <w:r w:rsidR="00E163E0">
        <w:rPr>
          <w:rFonts w:ascii="Arial" w:hAnsi="Arial" w:cs="Arial"/>
          <w:sz w:val="24"/>
          <w:szCs w:val="24"/>
        </w:rPr>
        <w:t>which is surprising</w:t>
      </w:r>
      <w:r w:rsidR="00766F89">
        <w:rPr>
          <w:rFonts w:ascii="Arial" w:hAnsi="Arial" w:cs="Arial"/>
          <w:sz w:val="24"/>
          <w:szCs w:val="24"/>
        </w:rPr>
        <w:t xml:space="preserve"> given that </w:t>
      </w:r>
      <w:r w:rsidR="00994AE8">
        <w:rPr>
          <w:rFonts w:ascii="Arial" w:hAnsi="Arial" w:cs="Arial"/>
          <w:sz w:val="24"/>
          <w:szCs w:val="24"/>
        </w:rPr>
        <w:t>t</w:t>
      </w:r>
      <w:r w:rsidR="00E32DF7" w:rsidRPr="00E32DF7">
        <w:rPr>
          <w:rFonts w:ascii="Arial" w:hAnsi="Arial" w:cs="Arial"/>
          <w:sz w:val="24"/>
          <w:szCs w:val="24"/>
        </w:rPr>
        <w:t xml:space="preserve">he EU has developed principles, legislation and governance arrangements that have re-shaped the treatment of many </w:t>
      </w:r>
      <w:r w:rsidR="00766F89">
        <w:rPr>
          <w:rFonts w:ascii="Arial" w:hAnsi="Arial" w:cs="Arial"/>
          <w:sz w:val="24"/>
          <w:szCs w:val="24"/>
        </w:rPr>
        <w:t xml:space="preserve">environmental </w:t>
      </w:r>
      <w:r w:rsidR="00E32DF7" w:rsidRPr="00E32DF7">
        <w:rPr>
          <w:rFonts w:ascii="Arial" w:hAnsi="Arial" w:cs="Arial"/>
          <w:sz w:val="24"/>
          <w:szCs w:val="24"/>
        </w:rPr>
        <w:t>issues</w:t>
      </w:r>
      <w:r w:rsidR="003D3269">
        <w:rPr>
          <w:rFonts w:ascii="Arial" w:hAnsi="Arial" w:cs="Arial"/>
          <w:sz w:val="24"/>
          <w:szCs w:val="24"/>
        </w:rPr>
        <w:t xml:space="preserve"> across its member states </w:t>
      </w:r>
      <w:r w:rsidR="0045445F">
        <w:rPr>
          <w:rFonts w:ascii="Arial" w:hAnsi="Arial" w:cs="Arial"/>
          <w:sz w:val="24"/>
          <w:szCs w:val="24"/>
        </w:rPr>
        <w:t>(Burns et al</w:t>
      </w:r>
      <w:r w:rsidR="0000641A">
        <w:rPr>
          <w:rFonts w:ascii="Arial" w:hAnsi="Arial" w:cs="Arial"/>
          <w:sz w:val="24"/>
          <w:szCs w:val="24"/>
        </w:rPr>
        <w:t>.,</w:t>
      </w:r>
      <w:r w:rsidR="0045445F">
        <w:rPr>
          <w:rFonts w:ascii="Arial" w:hAnsi="Arial" w:cs="Arial"/>
          <w:sz w:val="24"/>
          <w:szCs w:val="24"/>
        </w:rPr>
        <w:t xml:space="preserve"> 2016). The</w:t>
      </w:r>
      <w:r w:rsidR="00E32DF7" w:rsidRPr="00E32DF7">
        <w:rPr>
          <w:rFonts w:ascii="Arial" w:hAnsi="Arial" w:cs="Arial"/>
          <w:sz w:val="24"/>
          <w:szCs w:val="24"/>
        </w:rPr>
        <w:t xml:space="preserve"> ‘Europeanisation’ of environmental policy has affected the </w:t>
      </w:r>
      <w:r w:rsidR="003D3269">
        <w:rPr>
          <w:rFonts w:ascii="Arial" w:hAnsi="Arial" w:cs="Arial"/>
          <w:sz w:val="24"/>
          <w:szCs w:val="24"/>
        </w:rPr>
        <w:t xml:space="preserve">UK </w:t>
      </w:r>
      <w:r w:rsidR="00E32DF7" w:rsidRPr="00E32DF7">
        <w:rPr>
          <w:rFonts w:ascii="Arial" w:hAnsi="Arial" w:cs="Arial"/>
          <w:sz w:val="24"/>
          <w:szCs w:val="24"/>
        </w:rPr>
        <w:t>planning system in myriad ways, both directly and indirectly (</w:t>
      </w:r>
      <w:r w:rsidR="00EB2FAA">
        <w:rPr>
          <w:rFonts w:ascii="Arial" w:hAnsi="Arial" w:cs="Arial"/>
          <w:sz w:val="24"/>
          <w:szCs w:val="24"/>
        </w:rPr>
        <w:t>Bishop et al</w:t>
      </w:r>
      <w:r w:rsidR="0000641A">
        <w:rPr>
          <w:rFonts w:ascii="Arial" w:hAnsi="Arial" w:cs="Arial"/>
          <w:sz w:val="24"/>
          <w:szCs w:val="24"/>
        </w:rPr>
        <w:t>.,</w:t>
      </w:r>
      <w:r w:rsidR="00EB2FAA">
        <w:rPr>
          <w:rFonts w:ascii="Arial" w:hAnsi="Arial" w:cs="Arial"/>
          <w:sz w:val="24"/>
          <w:szCs w:val="24"/>
        </w:rPr>
        <w:t xml:space="preserve"> 2000; </w:t>
      </w:r>
      <w:r w:rsidR="00E32DF7" w:rsidRPr="00E32DF7">
        <w:rPr>
          <w:rFonts w:ascii="Arial" w:hAnsi="Arial" w:cs="Arial"/>
          <w:sz w:val="24"/>
          <w:szCs w:val="24"/>
        </w:rPr>
        <w:t>Cowell and Owens 2016</w:t>
      </w:r>
      <w:r w:rsidR="00EB2FAA">
        <w:rPr>
          <w:rFonts w:ascii="Arial" w:hAnsi="Arial" w:cs="Arial"/>
          <w:sz w:val="24"/>
          <w:szCs w:val="24"/>
        </w:rPr>
        <w:t>; Tewdwr-Jones and Williams</w:t>
      </w:r>
      <w:r w:rsidR="0000641A">
        <w:rPr>
          <w:rFonts w:ascii="Arial" w:hAnsi="Arial" w:cs="Arial"/>
          <w:sz w:val="24"/>
          <w:szCs w:val="24"/>
        </w:rPr>
        <w:t>,</w:t>
      </w:r>
      <w:r w:rsidR="00EB2FAA">
        <w:rPr>
          <w:rFonts w:ascii="Arial" w:hAnsi="Arial" w:cs="Arial"/>
          <w:sz w:val="24"/>
          <w:szCs w:val="24"/>
        </w:rPr>
        <w:t xml:space="preserve"> 2001</w:t>
      </w:r>
      <w:r w:rsidR="00E32DF7" w:rsidRPr="00E32DF7">
        <w:rPr>
          <w:rFonts w:ascii="Arial" w:hAnsi="Arial" w:cs="Arial"/>
          <w:sz w:val="24"/>
          <w:szCs w:val="24"/>
        </w:rPr>
        <w:t>)</w:t>
      </w:r>
      <w:r w:rsidR="007D7E44">
        <w:rPr>
          <w:rFonts w:ascii="Arial" w:hAnsi="Arial" w:cs="Arial"/>
          <w:sz w:val="24"/>
          <w:szCs w:val="24"/>
        </w:rPr>
        <w:t>. Table 1 below highlights those EU environmental laws with the greatest effect on planning, showing</w:t>
      </w:r>
      <w:r w:rsidR="004B679C">
        <w:rPr>
          <w:rFonts w:ascii="Arial" w:hAnsi="Arial" w:cs="Arial"/>
          <w:sz w:val="24"/>
          <w:szCs w:val="24"/>
        </w:rPr>
        <w:t xml:space="preserve"> the breadth</w:t>
      </w:r>
      <w:r w:rsidR="007D7E44">
        <w:rPr>
          <w:rFonts w:ascii="Arial" w:hAnsi="Arial" w:cs="Arial"/>
          <w:sz w:val="24"/>
          <w:szCs w:val="24"/>
        </w:rPr>
        <w:t xml:space="preserve"> of procedural and substantive implications. For some directives, notably EIA and SEA, the planning system is the </w:t>
      </w:r>
      <w:r w:rsidR="007D7E44">
        <w:rPr>
          <w:rFonts w:ascii="Arial" w:hAnsi="Arial" w:cs="Arial"/>
          <w:sz w:val="24"/>
          <w:szCs w:val="24"/>
        </w:rPr>
        <w:lastRenderedPageBreak/>
        <w:t>prime delivery agent. For others, planning offers a suite of mechanisms by which goals can be achieved, but without a direct obligation.</w:t>
      </w:r>
    </w:p>
    <w:p w:rsidR="007D7E44" w:rsidRDefault="007D7E44" w:rsidP="00E907C8">
      <w:pPr>
        <w:pStyle w:val="CommentText"/>
        <w:spacing w:line="276" w:lineRule="auto"/>
        <w:rPr>
          <w:rFonts w:ascii="Arial" w:hAnsi="Arial" w:cs="Arial"/>
          <w:sz w:val="24"/>
          <w:szCs w:val="24"/>
        </w:rPr>
      </w:pPr>
    </w:p>
    <w:p w:rsidR="007D7E44" w:rsidRPr="001665D4" w:rsidRDefault="007D7E44" w:rsidP="007D7E44">
      <w:pPr>
        <w:rPr>
          <w:rFonts w:ascii="Arial" w:hAnsi="Arial" w:cs="Arial"/>
          <w:b/>
          <w:sz w:val="24"/>
          <w:szCs w:val="24"/>
        </w:rPr>
      </w:pPr>
      <w:r w:rsidRPr="001665D4">
        <w:rPr>
          <w:rFonts w:ascii="Arial" w:hAnsi="Arial" w:cs="Arial"/>
          <w:b/>
          <w:sz w:val="24"/>
          <w:szCs w:val="24"/>
        </w:rPr>
        <w:t xml:space="preserve">&lt;Insert Table </w:t>
      </w:r>
      <w:r>
        <w:rPr>
          <w:rFonts w:ascii="Arial" w:hAnsi="Arial" w:cs="Arial"/>
          <w:b/>
          <w:sz w:val="24"/>
          <w:szCs w:val="24"/>
        </w:rPr>
        <w:t xml:space="preserve">1 somewhere near </w:t>
      </w:r>
      <w:r w:rsidRPr="001665D4">
        <w:rPr>
          <w:rFonts w:ascii="Arial" w:hAnsi="Arial" w:cs="Arial"/>
          <w:b/>
          <w:sz w:val="24"/>
          <w:szCs w:val="24"/>
        </w:rPr>
        <w:t>here&gt;</w:t>
      </w:r>
    </w:p>
    <w:p w:rsidR="007D7E44" w:rsidRDefault="007D7E44" w:rsidP="00E907C8">
      <w:pPr>
        <w:pStyle w:val="CommentText"/>
        <w:spacing w:line="276" w:lineRule="auto"/>
        <w:rPr>
          <w:rFonts w:ascii="Arial" w:hAnsi="Arial" w:cs="Arial"/>
          <w:sz w:val="24"/>
          <w:szCs w:val="24"/>
        </w:rPr>
      </w:pPr>
    </w:p>
    <w:p w:rsidR="00E907C8" w:rsidRDefault="007D7E44" w:rsidP="00E907C8">
      <w:pPr>
        <w:pStyle w:val="CommentText"/>
        <w:spacing w:line="276" w:lineRule="auto"/>
        <w:rPr>
          <w:rFonts w:ascii="Arial" w:hAnsi="Arial" w:cs="Arial"/>
          <w:sz w:val="24"/>
          <w:szCs w:val="24"/>
        </w:rPr>
      </w:pPr>
      <w:r>
        <w:rPr>
          <w:rFonts w:ascii="Arial" w:hAnsi="Arial" w:cs="Arial"/>
          <w:sz w:val="24"/>
          <w:szCs w:val="24"/>
        </w:rPr>
        <w:t>The relationship between EU environmental policy and planning has emerged</w:t>
      </w:r>
      <w:r w:rsidR="00E32DF7" w:rsidRPr="00E32DF7">
        <w:rPr>
          <w:rFonts w:ascii="Arial" w:hAnsi="Arial" w:cs="Arial"/>
          <w:sz w:val="24"/>
          <w:szCs w:val="24"/>
        </w:rPr>
        <w:t xml:space="preserve"> incrementally, with little analy</w:t>
      </w:r>
      <w:r w:rsidR="003B3937">
        <w:rPr>
          <w:rFonts w:ascii="Arial" w:hAnsi="Arial" w:cs="Arial"/>
          <w:sz w:val="24"/>
          <w:szCs w:val="24"/>
        </w:rPr>
        <w:t>sis of</w:t>
      </w:r>
      <w:r w:rsidR="00E32DF7" w:rsidRPr="00E32DF7">
        <w:rPr>
          <w:rFonts w:ascii="Arial" w:hAnsi="Arial" w:cs="Arial"/>
          <w:sz w:val="24"/>
          <w:szCs w:val="24"/>
        </w:rPr>
        <w:t xml:space="preserve"> how these two sets of institutions</w:t>
      </w:r>
      <w:r w:rsidR="003B3937">
        <w:rPr>
          <w:rFonts w:ascii="Arial" w:hAnsi="Arial" w:cs="Arial"/>
          <w:sz w:val="24"/>
          <w:szCs w:val="24"/>
        </w:rPr>
        <w:t xml:space="preserve"> actually</w:t>
      </w:r>
      <w:r w:rsidR="00E32DF7" w:rsidRPr="00E32DF7">
        <w:rPr>
          <w:rFonts w:ascii="Arial" w:hAnsi="Arial" w:cs="Arial"/>
          <w:sz w:val="24"/>
          <w:szCs w:val="24"/>
        </w:rPr>
        <w:t xml:space="preserve"> interact</w:t>
      </w:r>
      <w:r w:rsidR="00DD2BC1">
        <w:rPr>
          <w:rFonts w:ascii="Arial" w:hAnsi="Arial" w:cs="Arial"/>
          <w:sz w:val="24"/>
          <w:szCs w:val="24"/>
        </w:rPr>
        <w:t xml:space="preserve"> (</w:t>
      </w:r>
      <w:r w:rsidR="00F7768A">
        <w:rPr>
          <w:rFonts w:ascii="Arial" w:hAnsi="Arial" w:cs="Arial"/>
          <w:sz w:val="24"/>
          <w:szCs w:val="24"/>
        </w:rPr>
        <w:t>though</w:t>
      </w:r>
      <w:r w:rsidR="00DD2BC1">
        <w:rPr>
          <w:rFonts w:ascii="Arial" w:hAnsi="Arial" w:cs="Arial"/>
          <w:sz w:val="24"/>
          <w:szCs w:val="24"/>
        </w:rPr>
        <w:t xml:space="preserve"> see Jones</w:t>
      </w:r>
      <w:r w:rsidR="0000641A">
        <w:rPr>
          <w:rFonts w:ascii="Arial" w:hAnsi="Arial" w:cs="Arial"/>
          <w:sz w:val="24"/>
          <w:szCs w:val="24"/>
        </w:rPr>
        <w:t>,</w:t>
      </w:r>
      <w:r w:rsidR="00DD2BC1">
        <w:rPr>
          <w:rFonts w:ascii="Arial" w:hAnsi="Arial" w:cs="Arial"/>
          <w:sz w:val="24"/>
          <w:szCs w:val="24"/>
        </w:rPr>
        <w:t xml:space="preserve"> 2012)</w:t>
      </w:r>
      <w:r w:rsidR="00E32DF7" w:rsidRPr="00E32DF7">
        <w:rPr>
          <w:rFonts w:ascii="Arial" w:hAnsi="Arial" w:cs="Arial"/>
          <w:sz w:val="24"/>
          <w:szCs w:val="24"/>
        </w:rPr>
        <w:t>.</w:t>
      </w:r>
      <w:r w:rsidR="00B950E0">
        <w:rPr>
          <w:rFonts w:ascii="Arial" w:hAnsi="Arial" w:cs="Arial"/>
          <w:sz w:val="24"/>
          <w:szCs w:val="24"/>
        </w:rPr>
        <w:t xml:space="preserve"> Studies of the </w:t>
      </w:r>
      <w:r w:rsidR="00B950E0" w:rsidRPr="00E907C8">
        <w:rPr>
          <w:rFonts w:ascii="Arial" w:hAnsi="Arial" w:cs="Arial"/>
          <w:sz w:val="24"/>
          <w:szCs w:val="24"/>
        </w:rPr>
        <w:t xml:space="preserve">Europeanisation of environmental policy </w:t>
      </w:r>
      <w:r w:rsidR="00B950E0">
        <w:rPr>
          <w:rFonts w:ascii="Arial" w:hAnsi="Arial" w:cs="Arial"/>
          <w:sz w:val="24"/>
          <w:szCs w:val="24"/>
        </w:rPr>
        <w:t xml:space="preserve">have occasionally </w:t>
      </w:r>
      <w:r w:rsidR="009C3009">
        <w:rPr>
          <w:rFonts w:ascii="Arial" w:hAnsi="Arial" w:cs="Arial"/>
          <w:sz w:val="24"/>
          <w:szCs w:val="24"/>
        </w:rPr>
        <w:t>examined</w:t>
      </w:r>
      <w:r w:rsidR="00B950E0">
        <w:rPr>
          <w:rFonts w:ascii="Arial" w:hAnsi="Arial" w:cs="Arial"/>
          <w:sz w:val="24"/>
          <w:szCs w:val="24"/>
        </w:rPr>
        <w:t xml:space="preserve"> planning (Haigh</w:t>
      </w:r>
      <w:r w:rsidR="0000641A">
        <w:rPr>
          <w:rFonts w:ascii="Arial" w:hAnsi="Arial" w:cs="Arial"/>
          <w:sz w:val="24"/>
          <w:szCs w:val="24"/>
        </w:rPr>
        <w:t>,</w:t>
      </w:r>
      <w:r w:rsidR="00B950E0">
        <w:rPr>
          <w:rFonts w:ascii="Arial" w:hAnsi="Arial" w:cs="Arial"/>
          <w:sz w:val="24"/>
          <w:szCs w:val="24"/>
        </w:rPr>
        <w:t xml:space="preserve"> 1987), but largely through the lens of specific instruments, such as environmental impact assessment (</w:t>
      </w:r>
      <w:r w:rsidR="003D3269">
        <w:rPr>
          <w:rFonts w:ascii="Arial" w:hAnsi="Arial" w:cs="Arial"/>
          <w:sz w:val="24"/>
          <w:szCs w:val="24"/>
        </w:rPr>
        <w:t xml:space="preserve">EIA; </w:t>
      </w:r>
      <w:r w:rsidR="00B950E0">
        <w:rPr>
          <w:rFonts w:ascii="Arial" w:hAnsi="Arial" w:cs="Arial"/>
          <w:sz w:val="24"/>
          <w:szCs w:val="24"/>
        </w:rPr>
        <w:t>Jordan</w:t>
      </w:r>
      <w:r w:rsidR="0000641A">
        <w:rPr>
          <w:rFonts w:ascii="Arial" w:hAnsi="Arial" w:cs="Arial"/>
          <w:sz w:val="24"/>
          <w:szCs w:val="24"/>
        </w:rPr>
        <w:t>,</w:t>
      </w:r>
      <w:r w:rsidR="00B950E0">
        <w:rPr>
          <w:rFonts w:ascii="Arial" w:hAnsi="Arial" w:cs="Arial"/>
          <w:sz w:val="24"/>
          <w:szCs w:val="24"/>
        </w:rPr>
        <w:t xml:space="preserve"> 2002). </w:t>
      </w:r>
      <w:r w:rsidR="003D3269">
        <w:rPr>
          <w:rFonts w:ascii="Arial" w:hAnsi="Arial" w:cs="Arial"/>
          <w:sz w:val="24"/>
          <w:szCs w:val="24"/>
        </w:rPr>
        <w:t>Meanwhile, t</w:t>
      </w:r>
      <w:r w:rsidR="00766F89">
        <w:rPr>
          <w:rFonts w:ascii="Arial" w:hAnsi="Arial" w:cs="Arial"/>
          <w:sz w:val="24"/>
          <w:szCs w:val="24"/>
        </w:rPr>
        <w:t>he research literatu</w:t>
      </w:r>
      <w:r w:rsidR="00F56551">
        <w:rPr>
          <w:rFonts w:ascii="Arial" w:hAnsi="Arial" w:cs="Arial"/>
          <w:sz w:val="24"/>
          <w:szCs w:val="24"/>
        </w:rPr>
        <w:t xml:space="preserve">re on the EU and planning </w:t>
      </w:r>
      <w:r w:rsidR="00B950E0">
        <w:rPr>
          <w:rFonts w:ascii="Arial" w:hAnsi="Arial" w:cs="Arial"/>
          <w:sz w:val="24"/>
          <w:szCs w:val="24"/>
        </w:rPr>
        <w:t>has focused mainly on</w:t>
      </w:r>
      <w:r w:rsidR="00766F89">
        <w:rPr>
          <w:rFonts w:ascii="Arial" w:hAnsi="Arial" w:cs="Arial"/>
          <w:sz w:val="24"/>
          <w:szCs w:val="24"/>
        </w:rPr>
        <w:t xml:space="preserve"> how </w:t>
      </w:r>
      <w:r w:rsidR="00E907C8" w:rsidRPr="00E907C8">
        <w:rPr>
          <w:rFonts w:ascii="Arial" w:hAnsi="Arial" w:cs="Arial"/>
          <w:sz w:val="24"/>
          <w:szCs w:val="24"/>
        </w:rPr>
        <w:t xml:space="preserve">Europeanisation </w:t>
      </w:r>
      <w:r w:rsidR="00906EA3">
        <w:rPr>
          <w:rFonts w:ascii="Arial" w:hAnsi="Arial" w:cs="Arial"/>
          <w:sz w:val="24"/>
          <w:szCs w:val="24"/>
        </w:rPr>
        <w:t>has affected</w:t>
      </w:r>
      <w:r w:rsidR="00E907C8" w:rsidRPr="00E907C8">
        <w:rPr>
          <w:rFonts w:ascii="Arial" w:hAnsi="Arial" w:cs="Arial"/>
          <w:sz w:val="24"/>
          <w:szCs w:val="24"/>
        </w:rPr>
        <w:t xml:space="preserve"> the spatial framing </w:t>
      </w:r>
      <w:r w:rsidR="008A286B">
        <w:rPr>
          <w:rFonts w:ascii="Arial" w:hAnsi="Arial" w:cs="Arial"/>
          <w:sz w:val="24"/>
          <w:szCs w:val="24"/>
        </w:rPr>
        <w:t>and institutional form of planning</w:t>
      </w:r>
      <w:r w:rsidR="00CE528C">
        <w:rPr>
          <w:rFonts w:ascii="Arial" w:hAnsi="Arial" w:cs="Arial"/>
          <w:sz w:val="24"/>
          <w:szCs w:val="24"/>
        </w:rPr>
        <w:t xml:space="preserve"> </w:t>
      </w:r>
      <w:r w:rsidR="00475D79">
        <w:rPr>
          <w:rFonts w:ascii="Arial" w:hAnsi="Arial" w:cs="Arial"/>
          <w:sz w:val="24"/>
          <w:szCs w:val="24"/>
        </w:rPr>
        <w:t>(</w:t>
      </w:r>
      <w:r w:rsidR="006803EC">
        <w:rPr>
          <w:rFonts w:ascii="Arial" w:hAnsi="Arial" w:cs="Arial"/>
          <w:sz w:val="24"/>
          <w:szCs w:val="24"/>
        </w:rPr>
        <w:t xml:space="preserve">Dühr et al 2010; </w:t>
      </w:r>
      <w:r w:rsidR="00475D79">
        <w:rPr>
          <w:rFonts w:ascii="Arial" w:hAnsi="Arial" w:cs="Arial"/>
          <w:sz w:val="24"/>
          <w:szCs w:val="24"/>
        </w:rPr>
        <w:t>Tewdwr-Jones and Williams</w:t>
      </w:r>
      <w:r w:rsidR="0000641A">
        <w:rPr>
          <w:rFonts w:ascii="Arial" w:hAnsi="Arial" w:cs="Arial"/>
          <w:sz w:val="24"/>
          <w:szCs w:val="24"/>
        </w:rPr>
        <w:t>,</w:t>
      </w:r>
      <w:r w:rsidR="00475D79">
        <w:rPr>
          <w:rFonts w:ascii="Arial" w:hAnsi="Arial" w:cs="Arial"/>
          <w:sz w:val="24"/>
          <w:szCs w:val="24"/>
        </w:rPr>
        <w:t xml:space="preserve"> 2001)</w:t>
      </w:r>
      <w:r w:rsidR="00C47B31">
        <w:rPr>
          <w:rFonts w:ascii="Arial" w:hAnsi="Arial" w:cs="Arial"/>
          <w:sz w:val="24"/>
          <w:szCs w:val="24"/>
        </w:rPr>
        <w:t>,</w:t>
      </w:r>
      <w:r w:rsidR="00766F89">
        <w:rPr>
          <w:rFonts w:ascii="Arial" w:hAnsi="Arial" w:cs="Arial"/>
          <w:sz w:val="24"/>
          <w:szCs w:val="24"/>
        </w:rPr>
        <w:t xml:space="preserve"> </w:t>
      </w:r>
      <w:r w:rsidR="00B950E0">
        <w:rPr>
          <w:rFonts w:ascii="Arial" w:hAnsi="Arial" w:cs="Arial"/>
          <w:sz w:val="24"/>
          <w:szCs w:val="24"/>
        </w:rPr>
        <w:t>while</w:t>
      </w:r>
      <w:r w:rsidR="00E907C8" w:rsidRPr="00E907C8">
        <w:rPr>
          <w:rFonts w:ascii="Arial" w:hAnsi="Arial" w:cs="Arial"/>
          <w:sz w:val="24"/>
          <w:szCs w:val="24"/>
        </w:rPr>
        <w:t xml:space="preserve"> treat</w:t>
      </w:r>
      <w:r w:rsidR="00B950E0">
        <w:rPr>
          <w:rFonts w:ascii="Arial" w:hAnsi="Arial" w:cs="Arial"/>
          <w:sz w:val="24"/>
          <w:szCs w:val="24"/>
        </w:rPr>
        <w:t>ing</w:t>
      </w:r>
      <w:r w:rsidR="00E907C8" w:rsidRPr="00E907C8">
        <w:rPr>
          <w:rFonts w:ascii="Arial" w:hAnsi="Arial" w:cs="Arial"/>
          <w:sz w:val="24"/>
          <w:szCs w:val="24"/>
        </w:rPr>
        <w:t xml:space="preserve"> environmental</w:t>
      </w:r>
      <w:r w:rsidR="008A286B">
        <w:rPr>
          <w:rFonts w:ascii="Arial" w:hAnsi="Arial" w:cs="Arial"/>
          <w:sz w:val="24"/>
          <w:szCs w:val="24"/>
        </w:rPr>
        <w:t xml:space="preserve"> aspects as </w:t>
      </w:r>
      <w:r w:rsidR="003315FD">
        <w:rPr>
          <w:rFonts w:ascii="Arial" w:hAnsi="Arial" w:cs="Arial"/>
          <w:sz w:val="24"/>
          <w:szCs w:val="24"/>
        </w:rPr>
        <w:t xml:space="preserve">a </w:t>
      </w:r>
      <w:r w:rsidR="008A286B">
        <w:rPr>
          <w:rFonts w:ascii="Arial" w:hAnsi="Arial" w:cs="Arial"/>
          <w:sz w:val="24"/>
          <w:szCs w:val="24"/>
        </w:rPr>
        <w:t>separate</w:t>
      </w:r>
      <w:r w:rsidR="00CE528C">
        <w:rPr>
          <w:rFonts w:ascii="Arial" w:hAnsi="Arial" w:cs="Arial"/>
          <w:sz w:val="24"/>
          <w:szCs w:val="24"/>
        </w:rPr>
        <w:t xml:space="preserve"> </w:t>
      </w:r>
      <w:r w:rsidR="003315FD">
        <w:rPr>
          <w:rFonts w:ascii="Arial" w:hAnsi="Arial" w:cs="Arial"/>
          <w:sz w:val="24"/>
          <w:szCs w:val="24"/>
        </w:rPr>
        <w:t>sphere</w:t>
      </w:r>
      <w:r w:rsidR="00BF2174">
        <w:rPr>
          <w:rFonts w:ascii="Arial" w:hAnsi="Arial" w:cs="Arial"/>
          <w:sz w:val="24"/>
          <w:szCs w:val="24"/>
        </w:rPr>
        <w:t xml:space="preserve"> of regulation, downplaying</w:t>
      </w:r>
      <w:r w:rsidR="00E907C8" w:rsidRPr="00E907C8">
        <w:rPr>
          <w:rFonts w:ascii="Arial" w:hAnsi="Arial" w:cs="Arial"/>
          <w:sz w:val="24"/>
          <w:szCs w:val="24"/>
        </w:rPr>
        <w:t xml:space="preserve"> systemic </w:t>
      </w:r>
      <w:r w:rsidR="00994AE8">
        <w:rPr>
          <w:rFonts w:ascii="Arial" w:hAnsi="Arial" w:cs="Arial"/>
          <w:sz w:val="24"/>
          <w:szCs w:val="24"/>
        </w:rPr>
        <w:t>implications</w:t>
      </w:r>
      <w:r w:rsidR="00CD144F">
        <w:rPr>
          <w:rFonts w:ascii="Arial" w:hAnsi="Arial" w:cs="Arial"/>
          <w:sz w:val="24"/>
          <w:szCs w:val="24"/>
        </w:rPr>
        <w:t xml:space="preserve">. </w:t>
      </w:r>
      <w:r w:rsidR="00475D79">
        <w:rPr>
          <w:rFonts w:ascii="Arial" w:hAnsi="Arial" w:cs="Arial"/>
          <w:sz w:val="24"/>
          <w:szCs w:val="24"/>
        </w:rPr>
        <w:t xml:space="preserve">This </w:t>
      </w:r>
      <w:r w:rsidR="00B950E0">
        <w:rPr>
          <w:rFonts w:ascii="Arial" w:hAnsi="Arial" w:cs="Arial"/>
          <w:sz w:val="24"/>
          <w:szCs w:val="24"/>
        </w:rPr>
        <w:t>dearth of attention is problematic, given analysts’ conclusions that</w:t>
      </w:r>
      <w:r w:rsidR="003315FD">
        <w:rPr>
          <w:rFonts w:ascii="Arial" w:hAnsi="Arial" w:cs="Arial"/>
          <w:sz w:val="24"/>
          <w:szCs w:val="24"/>
        </w:rPr>
        <w:t xml:space="preserve"> </w:t>
      </w:r>
      <w:r w:rsidR="00475D79">
        <w:rPr>
          <w:rFonts w:ascii="Arial" w:hAnsi="Arial" w:cs="Arial"/>
          <w:sz w:val="24"/>
          <w:szCs w:val="24"/>
        </w:rPr>
        <w:t xml:space="preserve">the effects of the EU on planning policy </w:t>
      </w:r>
      <w:r w:rsidR="001B7442">
        <w:rPr>
          <w:rFonts w:ascii="Arial" w:hAnsi="Arial" w:cs="Arial"/>
          <w:sz w:val="24"/>
          <w:szCs w:val="24"/>
        </w:rPr>
        <w:t xml:space="preserve">have </w:t>
      </w:r>
      <w:r w:rsidR="00475D79">
        <w:rPr>
          <w:rFonts w:ascii="Arial" w:hAnsi="Arial" w:cs="Arial"/>
          <w:sz w:val="24"/>
          <w:szCs w:val="24"/>
        </w:rPr>
        <w:t>been most pronounced in the areas of environmental policy (</w:t>
      </w:r>
      <w:r w:rsidR="00607FD8">
        <w:rPr>
          <w:rFonts w:ascii="Arial" w:hAnsi="Arial" w:cs="Arial"/>
          <w:sz w:val="24"/>
          <w:szCs w:val="24"/>
        </w:rPr>
        <w:t xml:space="preserve"> </w:t>
      </w:r>
      <w:r w:rsidR="006967B0" w:rsidRPr="00233E47">
        <w:rPr>
          <w:rFonts w:ascii="Arial" w:hAnsi="Arial" w:cs="Arial"/>
          <w:sz w:val="24"/>
          <w:szCs w:val="24"/>
        </w:rPr>
        <w:t>van Ravesteyn</w:t>
      </w:r>
      <w:r w:rsidR="00607FD8">
        <w:rPr>
          <w:rFonts w:ascii="Arial" w:hAnsi="Arial" w:cs="Arial"/>
          <w:sz w:val="24"/>
          <w:szCs w:val="24"/>
        </w:rPr>
        <w:t xml:space="preserve"> and Evers</w:t>
      </w:r>
      <w:r w:rsidR="006803EC">
        <w:rPr>
          <w:rFonts w:ascii="Arial" w:hAnsi="Arial" w:cs="Arial"/>
          <w:sz w:val="24"/>
          <w:szCs w:val="24"/>
        </w:rPr>
        <w:t>,</w:t>
      </w:r>
      <w:r w:rsidR="00607FD8">
        <w:rPr>
          <w:rFonts w:ascii="Arial" w:hAnsi="Arial" w:cs="Arial"/>
          <w:sz w:val="24"/>
          <w:szCs w:val="24"/>
        </w:rPr>
        <w:t xml:space="preserve"> 2004</w:t>
      </w:r>
      <w:r w:rsidR="006803EC" w:rsidRPr="006803EC">
        <w:rPr>
          <w:rFonts w:ascii="Arial" w:hAnsi="Arial" w:cs="Arial"/>
          <w:sz w:val="24"/>
          <w:szCs w:val="24"/>
        </w:rPr>
        <w:t xml:space="preserve"> </w:t>
      </w:r>
      <w:r w:rsidR="006803EC">
        <w:rPr>
          <w:rFonts w:ascii="Arial" w:hAnsi="Arial" w:cs="Arial"/>
          <w:sz w:val="24"/>
          <w:szCs w:val="24"/>
        </w:rPr>
        <w:t>Wilkinson et al., 1998</w:t>
      </w:r>
      <w:r w:rsidR="006C70A5">
        <w:rPr>
          <w:rFonts w:ascii="Arial" w:hAnsi="Arial" w:cs="Arial"/>
          <w:sz w:val="24"/>
          <w:szCs w:val="24"/>
        </w:rPr>
        <w:t>)</w:t>
      </w:r>
      <w:r w:rsidR="00475D79">
        <w:rPr>
          <w:rFonts w:ascii="Arial" w:hAnsi="Arial" w:cs="Arial"/>
          <w:sz w:val="24"/>
          <w:szCs w:val="24"/>
        </w:rPr>
        <w:t xml:space="preserve">. </w:t>
      </w:r>
    </w:p>
    <w:p w:rsidR="005722BF" w:rsidRDefault="005722BF" w:rsidP="00E907C8">
      <w:pPr>
        <w:pStyle w:val="CommentText"/>
        <w:spacing w:line="276" w:lineRule="auto"/>
        <w:rPr>
          <w:rFonts w:ascii="Arial" w:hAnsi="Arial" w:cs="Arial"/>
          <w:sz w:val="24"/>
          <w:szCs w:val="24"/>
        </w:rPr>
      </w:pPr>
    </w:p>
    <w:p w:rsidR="00ED3326" w:rsidRDefault="00ED3326" w:rsidP="00E907C8">
      <w:pPr>
        <w:pStyle w:val="CommentText"/>
        <w:spacing w:line="276" w:lineRule="auto"/>
        <w:rPr>
          <w:rFonts w:ascii="Arial" w:hAnsi="Arial" w:cs="Arial"/>
          <w:sz w:val="24"/>
          <w:szCs w:val="24"/>
        </w:rPr>
      </w:pPr>
      <w:r>
        <w:rPr>
          <w:rFonts w:ascii="Arial" w:hAnsi="Arial" w:cs="Arial"/>
          <w:sz w:val="24"/>
          <w:szCs w:val="24"/>
        </w:rPr>
        <w:t xml:space="preserve">How then should we try to understand the </w:t>
      </w:r>
      <w:r w:rsidR="00230380">
        <w:rPr>
          <w:rFonts w:ascii="Arial" w:hAnsi="Arial" w:cs="Arial"/>
          <w:sz w:val="24"/>
          <w:szCs w:val="24"/>
        </w:rPr>
        <w:t>relationship between planning and environmental regulatory systems</w:t>
      </w:r>
      <w:r>
        <w:rPr>
          <w:rFonts w:ascii="Arial" w:hAnsi="Arial" w:cs="Arial"/>
          <w:sz w:val="24"/>
          <w:szCs w:val="24"/>
        </w:rPr>
        <w:t xml:space="preserve">? There is a diverse conceptual library </w:t>
      </w:r>
      <w:r w:rsidR="006404E2">
        <w:rPr>
          <w:rFonts w:ascii="Arial" w:hAnsi="Arial" w:cs="Arial"/>
          <w:sz w:val="24"/>
          <w:szCs w:val="24"/>
        </w:rPr>
        <w:t xml:space="preserve">available, </w:t>
      </w:r>
      <w:r w:rsidR="00F7768A">
        <w:rPr>
          <w:rFonts w:ascii="Arial" w:hAnsi="Arial" w:cs="Arial"/>
          <w:sz w:val="24"/>
          <w:szCs w:val="24"/>
        </w:rPr>
        <w:t>including</w:t>
      </w:r>
      <w:r>
        <w:rPr>
          <w:rFonts w:ascii="Arial" w:hAnsi="Arial" w:cs="Arial"/>
          <w:sz w:val="24"/>
          <w:szCs w:val="24"/>
        </w:rPr>
        <w:t xml:space="preserve"> ‘planning cultures’ (Dühr et al</w:t>
      </w:r>
      <w:r w:rsidR="0000641A">
        <w:rPr>
          <w:rFonts w:ascii="Arial" w:hAnsi="Arial" w:cs="Arial"/>
          <w:sz w:val="24"/>
          <w:szCs w:val="24"/>
        </w:rPr>
        <w:t>.,</w:t>
      </w:r>
      <w:r>
        <w:rPr>
          <w:rFonts w:ascii="Arial" w:hAnsi="Arial" w:cs="Arial"/>
          <w:sz w:val="24"/>
          <w:szCs w:val="24"/>
        </w:rPr>
        <w:t xml:space="preserve"> 2010; Sanyal</w:t>
      </w:r>
      <w:r w:rsidR="0000641A">
        <w:rPr>
          <w:rFonts w:ascii="Arial" w:hAnsi="Arial" w:cs="Arial"/>
          <w:sz w:val="24"/>
          <w:szCs w:val="24"/>
        </w:rPr>
        <w:t>,</w:t>
      </w:r>
      <w:r>
        <w:rPr>
          <w:rFonts w:ascii="Arial" w:hAnsi="Arial" w:cs="Arial"/>
          <w:sz w:val="24"/>
          <w:szCs w:val="24"/>
        </w:rPr>
        <w:t xml:space="preserve"> 2005), ‘policy styles’ (Richardson</w:t>
      </w:r>
      <w:r w:rsidR="0000641A">
        <w:rPr>
          <w:rFonts w:ascii="Arial" w:hAnsi="Arial" w:cs="Arial"/>
          <w:sz w:val="24"/>
          <w:szCs w:val="24"/>
        </w:rPr>
        <w:t>,</w:t>
      </w:r>
      <w:r>
        <w:rPr>
          <w:rFonts w:ascii="Arial" w:hAnsi="Arial" w:cs="Arial"/>
          <w:sz w:val="24"/>
          <w:szCs w:val="24"/>
        </w:rPr>
        <w:t xml:space="preserve"> 1982) or ‘regulatory styles’ (Vogel</w:t>
      </w:r>
      <w:r w:rsidR="0000641A">
        <w:rPr>
          <w:rFonts w:ascii="Arial" w:hAnsi="Arial" w:cs="Arial"/>
          <w:sz w:val="24"/>
          <w:szCs w:val="24"/>
        </w:rPr>
        <w:t>,</w:t>
      </w:r>
      <w:r>
        <w:rPr>
          <w:rFonts w:ascii="Arial" w:hAnsi="Arial" w:cs="Arial"/>
          <w:sz w:val="24"/>
          <w:szCs w:val="24"/>
        </w:rPr>
        <w:t xml:space="preserve"> </w:t>
      </w:r>
      <w:r w:rsidR="009B2265">
        <w:rPr>
          <w:rFonts w:ascii="Arial" w:hAnsi="Arial" w:cs="Arial"/>
          <w:sz w:val="24"/>
          <w:szCs w:val="24"/>
        </w:rPr>
        <w:t>1986</w:t>
      </w:r>
      <w:r>
        <w:rPr>
          <w:rFonts w:ascii="Arial" w:hAnsi="Arial" w:cs="Arial"/>
          <w:sz w:val="24"/>
          <w:szCs w:val="24"/>
        </w:rPr>
        <w:t>), each seeking to capture how forms of governing acqu</w:t>
      </w:r>
      <w:r w:rsidR="006404E2">
        <w:rPr>
          <w:rFonts w:ascii="Arial" w:hAnsi="Arial" w:cs="Arial"/>
          <w:sz w:val="24"/>
          <w:szCs w:val="24"/>
        </w:rPr>
        <w:t>ire enduring characteristics, derived from</w:t>
      </w:r>
      <w:r>
        <w:rPr>
          <w:rFonts w:ascii="Arial" w:hAnsi="Arial" w:cs="Arial"/>
          <w:sz w:val="24"/>
          <w:szCs w:val="24"/>
        </w:rPr>
        <w:t xml:space="preserve"> the social, economic and political contexts in which they evolved. However, such concepts have </w:t>
      </w:r>
      <w:r w:rsidR="00F7768A">
        <w:rPr>
          <w:rFonts w:ascii="Arial" w:hAnsi="Arial" w:cs="Arial"/>
          <w:sz w:val="24"/>
          <w:szCs w:val="24"/>
        </w:rPr>
        <w:t xml:space="preserve">tended </w:t>
      </w:r>
      <w:r w:rsidR="006404E2">
        <w:rPr>
          <w:rFonts w:ascii="Arial" w:hAnsi="Arial" w:cs="Arial"/>
          <w:sz w:val="24"/>
          <w:szCs w:val="24"/>
        </w:rPr>
        <w:t xml:space="preserve">to exhibit a </w:t>
      </w:r>
      <w:r>
        <w:rPr>
          <w:rFonts w:ascii="Arial" w:hAnsi="Arial" w:cs="Arial"/>
          <w:sz w:val="24"/>
          <w:szCs w:val="24"/>
        </w:rPr>
        <w:t xml:space="preserve">degree of methodological nationalism </w:t>
      </w:r>
      <w:r w:rsidR="006404E2">
        <w:rPr>
          <w:rFonts w:ascii="Arial" w:hAnsi="Arial" w:cs="Arial"/>
          <w:sz w:val="24"/>
          <w:szCs w:val="24"/>
        </w:rPr>
        <w:t>- viewing governance forms</w:t>
      </w:r>
      <w:r>
        <w:rPr>
          <w:rFonts w:ascii="Arial" w:hAnsi="Arial" w:cs="Arial"/>
          <w:sz w:val="24"/>
          <w:szCs w:val="24"/>
        </w:rPr>
        <w:t xml:space="preserve"> as characteristic of nation states and internally coherent - that </w:t>
      </w:r>
      <w:r w:rsidR="006C70A5">
        <w:rPr>
          <w:rFonts w:ascii="Arial" w:hAnsi="Arial" w:cs="Arial"/>
          <w:sz w:val="24"/>
          <w:szCs w:val="24"/>
        </w:rPr>
        <w:t>is unhelpful for our subject</w:t>
      </w:r>
      <w:r>
        <w:rPr>
          <w:rFonts w:ascii="Arial" w:hAnsi="Arial" w:cs="Arial"/>
          <w:sz w:val="24"/>
          <w:szCs w:val="24"/>
        </w:rPr>
        <w:t xml:space="preserve"> here. Following Enevoldsen (1997), national styles may not always transcend policy sectors, which can exhibit distinct styles reflecting the constellation of actors, techniques and </w:t>
      </w:r>
      <w:r w:rsidR="006404E2">
        <w:rPr>
          <w:rFonts w:ascii="Arial" w:hAnsi="Arial" w:cs="Arial"/>
          <w:sz w:val="24"/>
          <w:szCs w:val="24"/>
        </w:rPr>
        <w:t>nature of the issue</w:t>
      </w:r>
      <w:r>
        <w:rPr>
          <w:rFonts w:ascii="Arial" w:hAnsi="Arial" w:cs="Arial"/>
          <w:sz w:val="24"/>
          <w:szCs w:val="24"/>
        </w:rPr>
        <w:t>s involved. Tensions may thus arise where multiple sectors interface in the govern</w:t>
      </w:r>
      <w:r w:rsidR="001527BE">
        <w:rPr>
          <w:rFonts w:ascii="Arial" w:hAnsi="Arial" w:cs="Arial"/>
          <w:sz w:val="24"/>
          <w:szCs w:val="24"/>
        </w:rPr>
        <w:t>ance of the same object</w:t>
      </w:r>
      <w:r w:rsidR="003B3937">
        <w:rPr>
          <w:rFonts w:ascii="Arial" w:hAnsi="Arial" w:cs="Arial"/>
          <w:sz w:val="24"/>
          <w:szCs w:val="24"/>
        </w:rPr>
        <w:t>:</w:t>
      </w:r>
      <w:r w:rsidR="001527BE">
        <w:rPr>
          <w:rFonts w:ascii="Arial" w:hAnsi="Arial" w:cs="Arial"/>
          <w:sz w:val="24"/>
          <w:szCs w:val="24"/>
        </w:rPr>
        <w:t xml:space="preserve"> </w:t>
      </w:r>
      <w:r w:rsidR="00F7768A">
        <w:rPr>
          <w:rFonts w:ascii="Arial" w:hAnsi="Arial" w:cs="Arial"/>
          <w:sz w:val="24"/>
          <w:szCs w:val="24"/>
        </w:rPr>
        <w:t>high</w:t>
      </w:r>
      <w:r w:rsidR="001527BE">
        <w:rPr>
          <w:rFonts w:ascii="Arial" w:hAnsi="Arial" w:cs="Arial"/>
          <w:sz w:val="24"/>
          <w:szCs w:val="24"/>
        </w:rPr>
        <w:t>ly likely with</w:t>
      </w:r>
      <w:r w:rsidR="00CE528C">
        <w:rPr>
          <w:rFonts w:ascii="Arial" w:hAnsi="Arial" w:cs="Arial"/>
          <w:sz w:val="24"/>
          <w:szCs w:val="24"/>
        </w:rPr>
        <w:t xml:space="preserve"> </w:t>
      </w:r>
      <w:r w:rsidR="00233E47">
        <w:rPr>
          <w:rFonts w:ascii="Arial" w:hAnsi="Arial" w:cs="Arial"/>
          <w:sz w:val="24"/>
          <w:szCs w:val="24"/>
        </w:rPr>
        <w:t xml:space="preserve">cross-cutting </w:t>
      </w:r>
      <w:r>
        <w:rPr>
          <w:rFonts w:ascii="Arial" w:hAnsi="Arial" w:cs="Arial"/>
          <w:sz w:val="24"/>
          <w:szCs w:val="24"/>
        </w:rPr>
        <w:t>environment</w:t>
      </w:r>
      <w:r w:rsidR="001527BE">
        <w:rPr>
          <w:rFonts w:ascii="Arial" w:hAnsi="Arial" w:cs="Arial"/>
          <w:sz w:val="24"/>
          <w:szCs w:val="24"/>
        </w:rPr>
        <w:t>al issues</w:t>
      </w:r>
      <w:r>
        <w:rPr>
          <w:rFonts w:ascii="Arial" w:hAnsi="Arial" w:cs="Arial"/>
          <w:sz w:val="24"/>
          <w:szCs w:val="24"/>
        </w:rPr>
        <w:t>.</w:t>
      </w:r>
    </w:p>
    <w:p w:rsidR="00021D3B" w:rsidRDefault="00021D3B">
      <w:pPr>
        <w:pStyle w:val="CommentText"/>
        <w:spacing w:line="276" w:lineRule="auto"/>
        <w:rPr>
          <w:rFonts w:ascii="Arial" w:hAnsi="Arial" w:cs="Arial"/>
          <w:sz w:val="24"/>
          <w:szCs w:val="24"/>
        </w:rPr>
      </w:pPr>
    </w:p>
    <w:p w:rsidR="00022398" w:rsidRDefault="00022398">
      <w:pPr>
        <w:pStyle w:val="CommentText"/>
        <w:spacing w:line="276" w:lineRule="auto"/>
        <w:rPr>
          <w:rFonts w:ascii="Arial" w:hAnsi="Arial" w:cs="Arial"/>
          <w:sz w:val="24"/>
          <w:szCs w:val="24"/>
        </w:rPr>
      </w:pPr>
      <w:r>
        <w:rPr>
          <w:rFonts w:ascii="Arial" w:hAnsi="Arial" w:cs="Arial"/>
          <w:sz w:val="24"/>
          <w:szCs w:val="24"/>
        </w:rPr>
        <w:t xml:space="preserve">In this paper we adopt ‘regulatory styles’ </w:t>
      </w:r>
      <w:r w:rsidR="001527BE">
        <w:rPr>
          <w:rFonts w:ascii="Arial" w:hAnsi="Arial" w:cs="Arial"/>
          <w:sz w:val="24"/>
          <w:szCs w:val="24"/>
        </w:rPr>
        <w:t xml:space="preserve">as used by </w:t>
      </w:r>
      <w:r>
        <w:rPr>
          <w:rFonts w:ascii="Arial" w:hAnsi="Arial" w:cs="Arial"/>
          <w:sz w:val="24"/>
          <w:szCs w:val="24"/>
        </w:rPr>
        <w:t>Vogel</w:t>
      </w:r>
      <w:r w:rsidR="001527BE">
        <w:rPr>
          <w:rFonts w:ascii="Arial" w:hAnsi="Arial" w:cs="Arial"/>
          <w:sz w:val="24"/>
          <w:szCs w:val="24"/>
        </w:rPr>
        <w:t xml:space="preserve"> (1986) to characterise patterns of interaction between regulators, regulations and the regulated</w:t>
      </w:r>
      <w:r w:rsidR="000D268F">
        <w:rPr>
          <w:rFonts w:ascii="Arial" w:hAnsi="Arial" w:cs="Arial"/>
          <w:sz w:val="24"/>
          <w:szCs w:val="24"/>
        </w:rPr>
        <w:t>, embracing administrative and political domains</w:t>
      </w:r>
      <w:r w:rsidR="004D790B">
        <w:rPr>
          <w:rFonts w:ascii="Arial" w:hAnsi="Arial" w:cs="Arial"/>
          <w:sz w:val="24"/>
          <w:szCs w:val="24"/>
        </w:rPr>
        <w:t xml:space="preserve">, including factors </w:t>
      </w:r>
      <w:r w:rsidR="00D705B9">
        <w:rPr>
          <w:rFonts w:ascii="Arial" w:hAnsi="Arial" w:cs="Arial"/>
          <w:sz w:val="24"/>
          <w:szCs w:val="24"/>
        </w:rPr>
        <w:t>such as</w:t>
      </w:r>
      <w:r w:rsidR="004D790B">
        <w:rPr>
          <w:rFonts w:ascii="Arial" w:hAnsi="Arial" w:cs="Arial"/>
          <w:sz w:val="24"/>
          <w:szCs w:val="24"/>
        </w:rPr>
        <w:t xml:space="preserve"> proclivities towards centralisation</w:t>
      </w:r>
      <w:r w:rsidR="00D705B9">
        <w:rPr>
          <w:rFonts w:ascii="Arial" w:hAnsi="Arial" w:cs="Arial"/>
          <w:sz w:val="24"/>
          <w:szCs w:val="24"/>
        </w:rPr>
        <w:t xml:space="preserve"> and</w:t>
      </w:r>
      <w:r w:rsidR="004D790B">
        <w:rPr>
          <w:rFonts w:ascii="Arial" w:hAnsi="Arial" w:cs="Arial"/>
          <w:sz w:val="24"/>
          <w:szCs w:val="24"/>
        </w:rPr>
        <w:t xml:space="preserve"> markets. </w:t>
      </w:r>
      <w:r w:rsidR="001527BE">
        <w:rPr>
          <w:rFonts w:ascii="Arial" w:hAnsi="Arial" w:cs="Arial"/>
          <w:sz w:val="24"/>
          <w:szCs w:val="24"/>
        </w:rPr>
        <w:t>We u</w:t>
      </w:r>
      <w:r w:rsidR="000D268F">
        <w:rPr>
          <w:rFonts w:ascii="Arial" w:hAnsi="Arial" w:cs="Arial"/>
          <w:sz w:val="24"/>
          <w:szCs w:val="24"/>
        </w:rPr>
        <w:t>se ‘regulatory styles’</w:t>
      </w:r>
      <w:r w:rsidR="00CE528C">
        <w:rPr>
          <w:rFonts w:ascii="Arial" w:hAnsi="Arial" w:cs="Arial"/>
          <w:sz w:val="24"/>
          <w:szCs w:val="24"/>
        </w:rPr>
        <w:t xml:space="preserve"> </w:t>
      </w:r>
      <w:r>
        <w:rPr>
          <w:rFonts w:ascii="Arial" w:hAnsi="Arial" w:cs="Arial"/>
          <w:sz w:val="24"/>
          <w:szCs w:val="24"/>
        </w:rPr>
        <w:t>largely for its pragmatic descriptive</w:t>
      </w:r>
      <w:r w:rsidR="00021D3B">
        <w:rPr>
          <w:rFonts w:ascii="Arial" w:hAnsi="Arial" w:cs="Arial"/>
          <w:sz w:val="24"/>
          <w:szCs w:val="24"/>
        </w:rPr>
        <w:t xml:space="preserve"> clarity</w:t>
      </w:r>
      <w:r w:rsidR="001527BE">
        <w:rPr>
          <w:rFonts w:ascii="Arial" w:hAnsi="Arial" w:cs="Arial"/>
          <w:sz w:val="24"/>
          <w:szCs w:val="24"/>
        </w:rPr>
        <w:t xml:space="preserve"> and</w:t>
      </w:r>
      <w:r w:rsidR="00021D3B">
        <w:rPr>
          <w:rFonts w:ascii="Arial" w:hAnsi="Arial" w:cs="Arial"/>
          <w:sz w:val="24"/>
          <w:szCs w:val="24"/>
        </w:rPr>
        <w:t xml:space="preserve"> as a heuristic</w:t>
      </w:r>
      <w:r w:rsidR="003B3937">
        <w:rPr>
          <w:rFonts w:ascii="Arial" w:hAnsi="Arial" w:cs="Arial"/>
          <w:sz w:val="24"/>
          <w:szCs w:val="24"/>
        </w:rPr>
        <w:t xml:space="preserve"> - </w:t>
      </w:r>
      <w:r w:rsidR="00021D3B">
        <w:rPr>
          <w:rFonts w:ascii="Arial" w:hAnsi="Arial" w:cs="Arial"/>
          <w:sz w:val="24"/>
          <w:szCs w:val="24"/>
        </w:rPr>
        <w:t xml:space="preserve">for mapping </w:t>
      </w:r>
      <w:r w:rsidR="006404E2">
        <w:rPr>
          <w:rFonts w:ascii="Arial" w:hAnsi="Arial" w:cs="Arial"/>
          <w:sz w:val="24"/>
          <w:szCs w:val="24"/>
        </w:rPr>
        <w:t xml:space="preserve">broad </w:t>
      </w:r>
      <w:r w:rsidR="00021D3B">
        <w:rPr>
          <w:rFonts w:ascii="Arial" w:hAnsi="Arial" w:cs="Arial"/>
          <w:sz w:val="24"/>
          <w:szCs w:val="24"/>
        </w:rPr>
        <w:t>distinctions and highlighting prospective change</w:t>
      </w:r>
      <w:r w:rsidR="003B3937">
        <w:rPr>
          <w:rFonts w:ascii="Arial" w:hAnsi="Arial" w:cs="Arial"/>
          <w:sz w:val="24"/>
          <w:szCs w:val="24"/>
        </w:rPr>
        <w:t xml:space="preserve"> -</w:t>
      </w:r>
      <w:r w:rsidR="00756507">
        <w:rPr>
          <w:rFonts w:ascii="Arial" w:hAnsi="Arial" w:cs="Arial"/>
          <w:sz w:val="24"/>
          <w:szCs w:val="24"/>
        </w:rPr>
        <w:t xml:space="preserve"> rather than as the basis of essentialist distinctions on which causal theoris</w:t>
      </w:r>
      <w:r w:rsidR="00AF7C7F">
        <w:rPr>
          <w:rFonts w:ascii="Arial" w:hAnsi="Arial" w:cs="Arial"/>
          <w:sz w:val="24"/>
          <w:szCs w:val="24"/>
        </w:rPr>
        <w:t>ing might be based</w:t>
      </w:r>
      <w:r w:rsidR="00021D3B">
        <w:rPr>
          <w:rFonts w:ascii="Arial" w:hAnsi="Arial" w:cs="Arial"/>
          <w:sz w:val="24"/>
          <w:szCs w:val="24"/>
        </w:rPr>
        <w:t xml:space="preserve">. </w:t>
      </w:r>
    </w:p>
    <w:p w:rsidR="00D555CD" w:rsidRDefault="00D555CD" w:rsidP="00E907C8">
      <w:pPr>
        <w:rPr>
          <w:rFonts w:ascii="Arial" w:hAnsi="Arial" w:cs="Arial"/>
          <w:sz w:val="24"/>
          <w:szCs w:val="24"/>
        </w:rPr>
      </w:pPr>
    </w:p>
    <w:p w:rsidR="00A51A1C" w:rsidRDefault="00A51A1C">
      <w:pPr>
        <w:rPr>
          <w:rFonts w:ascii="Arial" w:hAnsi="Arial" w:cs="Arial"/>
          <w:sz w:val="24"/>
          <w:szCs w:val="24"/>
        </w:rPr>
      </w:pPr>
    </w:p>
    <w:p w:rsidR="006B6F80" w:rsidRPr="006B6F80" w:rsidRDefault="003B3937">
      <w:pPr>
        <w:rPr>
          <w:rFonts w:ascii="Arial" w:hAnsi="Arial" w:cs="Arial"/>
          <w:i/>
          <w:sz w:val="24"/>
          <w:szCs w:val="24"/>
        </w:rPr>
      </w:pPr>
      <w:r>
        <w:rPr>
          <w:rFonts w:ascii="Arial" w:hAnsi="Arial" w:cs="Arial"/>
          <w:i/>
          <w:sz w:val="24"/>
          <w:szCs w:val="24"/>
        </w:rPr>
        <w:t>T</w:t>
      </w:r>
      <w:r w:rsidR="00F44F8B">
        <w:rPr>
          <w:rFonts w:ascii="Arial" w:hAnsi="Arial" w:cs="Arial"/>
          <w:i/>
          <w:sz w:val="24"/>
          <w:szCs w:val="24"/>
        </w:rPr>
        <w:t>he</w:t>
      </w:r>
      <w:r w:rsidR="006B6F80" w:rsidRPr="006B6F80">
        <w:rPr>
          <w:rFonts w:ascii="Arial" w:hAnsi="Arial" w:cs="Arial"/>
          <w:i/>
          <w:sz w:val="24"/>
          <w:szCs w:val="24"/>
        </w:rPr>
        <w:t xml:space="preserve"> </w:t>
      </w:r>
      <w:r w:rsidR="00F44F8B">
        <w:rPr>
          <w:rFonts w:ascii="Arial" w:hAnsi="Arial" w:cs="Arial"/>
          <w:i/>
          <w:sz w:val="24"/>
          <w:szCs w:val="24"/>
        </w:rPr>
        <w:t>regulatory styles</w:t>
      </w:r>
      <w:r w:rsidR="006B6F80" w:rsidRPr="006B6F80">
        <w:rPr>
          <w:rFonts w:ascii="Arial" w:hAnsi="Arial" w:cs="Arial"/>
          <w:i/>
          <w:sz w:val="24"/>
          <w:szCs w:val="24"/>
        </w:rPr>
        <w:t xml:space="preserve"> </w:t>
      </w:r>
      <w:r w:rsidR="00F44F8B">
        <w:rPr>
          <w:rFonts w:ascii="Arial" w:hAnsi="Arial" w:cs="Arial"/>
          <w:i/>
          <w:sz w:val="24"/>
          <w:szCs w:val="24"/>
        </w:rPr>
        <w:t xml:space="preserve">of </w:t>
      </w:r>
      <w:r w:rsidR="006B6F80" w:rsidRPr="006B6F80">
        <w:rPr>
          <w:rFonts w:ascii="Arial" w:hAnsi="Arial" w:cs="Arial"/>
          <w:i/>
          <w:sz w:val="24"/>
          <w:szCs w:val="24"/>
        </w:rPr>
        <w:t xml:space="preserve">UK </w:t>
      </w:r>
      <w:r w:rsidR="00F44F8B">
        <w:rPr>
          <w:rFonts w:ascii="Arial" w:hAnsi="Arial" w:cs="Arial"/>
          <w:i/>
          <w:sz w:val="24"/>
          <w:szCs w:val="24"/>
        </w:rPr>
        <w:t>environment and</w:t>
      </w:r>
      <w:r w:rsidR="006B6F80" w:rsidRPr="006B6F80">
        <w:rPr>
          <w:rFonts w:ascii="Arial" w:hAnsi="Arial" w:cs="Arial"/>
          <w:i/>
          <w:sz w:val="24"/>
          <w:szCs w:val="24"/>
        </w:rPr>
        <w:t xml:space="preserve"> planning</w:t>
      </w:r>
    </w:p>
    <w:p w:rsidR="006B6F80" w:rsidRDefault="006B6F80">
      <w:pPr>
        <w:rPr>
          <w:rFonts w:ascii="Arial" w:hAnsi="Arial" w:cs="Arial"/>
          <w:sz w:val="24"/>
          <w:szCs w:val="24"/>
        </w:rPr>
      </w:pPr>
    </w:p>
    <w:p w:rsidR="00013DC0" w:rsidRDefault="00175B7A" w:rsidP="007109B7">
      <w:pPr>
        <w:rPr>
          <w:rFonts w:ascii="Arial" w:hAnsi="Arial" w:cs="Arial"/>
          <w:sz w:val="24"/>
          <w:szCs w:val="24"/>
        </w:rPr>
      </w:pPr>
      <w:r>
        <w:rPr>
          <w:rFonts w:ascii="Arial" w:hAnsi="Arial" w:cs="Arial"/>
          <w:sz w:val="24"/>
          <w:szCs w:val="24"/>
        </w:rPr>
        <w:t>Ironically perhaps, the UK’s</w:t>
      </w:r>
      <w:r w:rsidR="00AF7C7F">
        <w:rPr>
          <w:rFonts w:ascii="Arial" w:hAnsi="Arial" w:cs="Arial"/>
          <w:sz w:val="24"/>
          <w:szCs w:val="24"/>
        </w:rPr>
        <w:t xml:space="preserve"> prospective departure from the</w:t>
      </w:r>
      <w:r w:rsidR="00CE528C">
        <w:rPr>
          <w:rFonts w:ascii="Arial" w:hAnsi="Arial" w:cs="Arial"/>
          <w:sz w:val="24"/>
          <w:szCs w:val="24"/>
        </w:rPr>
        <w:t xml:space="preserve"> </w:t>
      </w:r>
      <w:r w:rsidR="00F7768A">
        <w:rPr>
          <w:rFonts w:ascii="Arial" w:hAnsi="Arial" w:cs="Arial"/>
          <w:sz w:val="24"/>
          <w:szCs w:val="24"/>
        </w:rPr>
        <w:t xml:space="preserve">EU </w:t>
      </w:r>
      <w:r w:rsidR="00493407">
        <w:rPr>
          <w:rFonts w:ascii="Arial" w:hAnsi="Arial" w:cs="Arial"/>
          <w:sz w:val="24"/>
          <w:szCs w:val="24"/>
        </w:rPr>
        <w:t xml:space="preserve">triggered </w:t>
      </w:r>
      <w:r w:rsidR="00F7768A">
        <w:rPr>
          <w:rFonts w:ascii="Arial" w:hAnsi="Arial" w:cs="Arial"/>
          <w:sz w:val="24"/>
          <w:szCs w:val="24"/>
        </w:rPr>
        <w:t xml:space="preserve">a </w:t>
      </w:r>
      <w:r w:rsidR="00F44F8B">
        <w:rPr>
          <w:rFonts w:ascii="Arial" w:hAnsi="Arial" w:cs="Arial"/>
          <w:sz w:val="24"/>
          <w:szCs w:val="24"/>
        </w:rPr>
        <w:t>wave</w:t>
      </w:r>
      <w:r w:rsidR="00F7768A">
        <w:rPr>
          <w:rFonts w:ascii="Arial" w:hAnsi="Arial" w:cs="Arial"/>
          <w:sz w:val="24"/>
          <w:szCs w:val="24"/>
        </w:rPr>
        <w:t xml:space="preserve"> of </w:t>
      </w:r>
      <w:r w:rsidR="00493407">
        <w:rPr>
          <w:rFonts w:ascii="Arial" w:hAnsi="Arial" w:cs="Arial"/>
          <w:sz w:val="24"/>
          <w:szCs w:val="24"/>
        </w:rPr>
        <w:t>close</w:t>
      </w:r>
      <w:r w:rsidR="00F44F8B">
        <w:rPr>
          <w:rFonts w:ascii="Arial" w:hAnsi="Arial" w:cs="Arial"/>
          <w:sz w:val="24"/>
          <w:szCs w:val="24"/>
        </w:rPr>
        <w:t>r</w:t>
      </w:r>
      <w:r w:rsidR="00493407">
        <w:rPr>
          <w:rFonts w:ascii="Arial" w:hAnsi="Arial" w:cs="Arial"/>
          <w:sz w:val="24"/>
          <w:szCs w:val="24"/>
        </w:rPr>
        <w:t xml:space="preserve"> attention to the effects of EU environmental policy,</w:t>
      </w:r>
      <w:r>
        <w:rPr>
          <w:rFonts w:ascii="Arial" w:hAnsi="Arial" w:cs="Arial"/>
          <w:sz w:val="24"/>
          <w:szCs w:val="24"/>
        </w:rPr>
        <w:t xml:space="preserve"> including the relationship with planning, prompted </w:t>
      </w:r>
      <w:r w:rsidR="00233E47">
        <w:rPr>
          <w:rFonts w:ascii="Arial" w:hAnsi="Arial" w:cs="Arial"/>
          <w:sz w:val="24"/>
          <w:szCs w:val="24"/>
        </w:rPr>
        <w:t xml:space="preserve">in part </w:t>
      </w:r>
      <w:r>
        <w:rPr>
          <w:rFonts w:ascii="Arial" w:hAnsi="Arial" w:cs="Arial"/>
          <w:sz w:val="24"/>
          <w:szCs w:val="24"/>
        </w:rPr>
        <w:t xml:space="preserve">by concerns at what might be lost. </w:t>
      </w:r>
      <w:r w:rsidR="00A67542">
        <w:rPr>
          <w:rFonts w:ascii="Arial" w:hAnsi="Arial" w:cs="Arial"/>
          <w:sz w:val="24"/>
          <w:szCs w:val="24"/>
        </w:rPr>
        <w:t xml:space="preserve">Most </w:t>
      </w:r>
      <w:r w:rsidR="00AF7C7F">
        <w:rPr>
          <w:rFonts w:ascii="Arial" w:hAnsi="Arial" w:cs="Arial"/>
          <w:sz w:val="24"/>
          <w:szCs w:val="24"/>
        </w:rPr>
        <w:t xml:space="preserve">analyses </w:t>
      </w:r>
      <w:r w:rsidR="00A67542">
        <w:rPr>
          <w:rFonts w:ascii="Arial" w:hAnsi="Arial" w:cs="Arial"/>
          <w:sz w:val="24"/>
          <w:szCs w:val="24"/>
        </w:rPr>
        <w:t>conclude that EU membership</w:t>
      </w:r>
      <w:r w:rsidR="005722BF" w:rsidRPr="00A67542">
        <w:rPr>
          <w:rFonts w:ascii="Arial" w:hAnsi="Arial" w:cs="Arial"/>
          <w:sz w:val="24"/>
          <w:szCs w:val="24"/>
        </w:rPr>
        <w:t xml:space="preserve"> has driven positive</w:t>
      </w:r>
      <w:r w:rsidR="00960CFE">
        <w:rPr>
          <w:rFonts w:ascii="Arial" w:hAnsi="Arial" w:cs="Arial"/>
          <w:sz w:val="24"/>
          <w:szCs w:val="24"/>
        </w:rPr>
        <w:t xml:space="preserve">, substantive </w:t>
      </w:r>
      <w:r w:rsidR="00736969">
        <w:rPr>
          <w:rFonts w:ascii="Arial" w:hAnsi="Arial" w:cs="Arial"/>
          <w:sz w:val="24"/>
          <w:szCs w:val="24"/>
        </w:rPr>
        <w:t xml:space="preserve">environmental </w:t>
      </w:r>
      <w:r w:rsidR="005722BF" w:rsidRPr="00A67542">
        <w:rPr>
          <w:rFonts w:ascii="Arial" w:hAnsi="Arial" w:cs="Arial"/>
          <w:sz w:val="24"/>
          <w:szCs w:val="24"/>
        </w:rPr>
        <w:t>imp</w:t>
      </w:r>
      <w:r w:rsidR="00A67542">
        <w:rPr>
          <w:rFonts w:ascii="Arial" w:hAnsi="Arial" w:cs="Arial"/>
          <w:sz w:val="24"/>
          <w:szCs w:val="24"/>
        </w:rPr>
        <w:t xml:space="preserve">rovements in a number of areas, notably </w:t>
      </w:r>
      <w:r w:rsidR="005722BF" w:rsidRPr="00A67542">
        <w:rPr>
          <w:rFonts w:ascii="Arial" w:hAnsi="Arial" w:cs="Arial"/>
          <w:sz w:val="24"/>
          <w:szCs w:val="24"/>
        </w:rPr>
        <w:t>air, water</w:t>
      </w:r>
      <w:r w:rsidR="00A67542">
        <w:rPr>
          <w:rFonts w:ascii="Arial" w:hAnsi="Arial" w:cs="Arial"/>
          <w:sz w:val="24"/>
          <w:szCs w:val="24"/>
        </w:rPr>
        <w:t xml:space="preserve"> quality, beach</w:t>
      </w:r>
      <w:r w:rsidR="003B3937">
        <w:rPr>
          <w:rFonts w:ascii="Arial" w:hAnsi="Arial" w:cs="Arial"/>
          <w:sz w:val="24"/>
          <w:szCs w:val="24"/>
        </w:rPr>
        <w:t xml:space="preserve"> cleanliness</w:t>
      </w:r>
      <w:r w:rsidR="00736969">
        <w:rPr>
          <w:rFonts w:ascii="Arial" w:hAnsi="Arial" w:cs="Arial"/>
          <w:sz w:val="24"/>
          <w:szCs w:val="24"/>
        </w:rPr>
        <w:t>, waste</w:t>
      </w:r>
      <w:r w:rsidR="00AF7C7F">
        <w:rPr>
          <w:rFonts w:ascii="Arial" w:hAnsi="Arial" w:cs="Arial"/>
          <w:sz w:val="24"/>
          <w:szCs w:val="24"/>
        </w:rPr>
        <w:t xml:space="preserve"> management</w:t>
      </w:r>
      <w:r w:rsidR="00A67542">
        <w:rPr>
          <w:rFonts w:ascii="Arial" w:hAnsi="Arial" w:cs="Arial"/>
          <w:sz w:val="24"/>
          <w:szCs w:val="24"/>
        </w:rPr>
        <w:t xml:space="preserve"> and </w:t>
      </w:r>
      <w:r w:rsidR="005722BF" w:rsidRPr="00A67542">
        <w:rPr>
          <w:rFonts w:ascii="Arial" w:hAnsi="Arial" w:cs="Arial"/>
          <w:sz w:val="24"/>
          <w:szCs w:val="24"/>
        </w:rPr>
        <w:t>nature conservation</w:t>
      </w:r>
      <w:r w:rsidR="00A67542">
        <w:rPr>
          <w:rFonts w:ascii="Arial" w:hAnsi="Arial" w:cs="Arial"/>
          <w:sz w:val="24"/>
          <w:szCs w:val="24"/>
        </w:rPr>
        <w:t xml:space="preserve">, rescuing </w:t>
      </w:r>
      <w:r w:rsidR="00AF7C7F">
        <w:rPr>
          <w:rFonts w:ascii="Arial" w:hAnsi="Arial" w:cs="Arial"/>
          <w:sz w:val="24"/>
          <w:szCs w:val="24"/>
        </w:rPr>
        <w:t>the UK</w:t>
      </w:r>
      <w:r w:rsidR="00A67542">
        <w:rPr>
          <w:rFonts w:ascii="Arial" w:hAnsi="Arial" w:cs="Arial"/>
          <w:sz w:val="24"/>
          <w:szCs w:val="24"/>
        </w:rPr>
        <w:t xml:space="preserve"> from the 1980s status of ‘the dirty man of Europe’ (Burns et al</w:t>
      </w:r>
      <w:r w:rsidR="0000641A">
        <w:rPr>
          <w:rFonts w:ascii="Arial" w:hAnsi="Arial" w:cs="Arial"/>
          <w:sz w:val="24"/>
          <w:szCs w:val="24"/>
        </w:rPr>
        <w:t>.,</w:t>
      </w:r>
      <w:r w:rsidR="00A67542">
        <w:rPr>
          <w:rFonts w:ascii="Arial" w:hAnsi="Arial" w:cs="Arial"/>
          <w:sz w:val="24"/>
          <w:szCs w:val="24"/>
        </w:rPr>
        <w:t xml:space="preserve"> 2016; IEEP</w:t>
      </w:r>
      <w:r w:rsidR="0000641A">
        <w:rPr>
          <w:rFonts w:ascii="Arial" w:hAnsi="Arial" w:cs="Arial"/>
          <w:sz w:val="24"/>
          <w:szCs w:val="24"/>
        </w:rPr>
        <w:t>,</w:t>
      </w:r>
      <w:r w:rsidR="00A67542">
        <w:rPr>
          <w:rFonts w:ascii="Arial" w:hAnsi="Arial" w:cs="Arial"/>
          <w:sz w:val="24"/>
          <w:szCs w:val="24"/>
        </w:rPr>
        <w:t xml:space="preserve"> 2013</w:t>
      </w:r>
      <w:r w:rsidR="00A361D0">
        <w:rPr>
          <w:rFonts w:ascii="Arial" w:hAnsi="Arial" w:cs="Arial"/>
          <w:sz w:val="24"/>
          <w:szCs w:val="24"/>
        </w:rPr>
        <w:t xml:space="preserve">). </w:t>
      </w:r>
      <w:r w:rsidR="00493407">
        <w:rPr>
          <w:rFonts w:ascii="Arial" w:hAnsi="Arial" w:cs="Arial"/>
          <w:sz w:val="24"/>
          <w:szCs w:val="24"/>
        </w:rPr>
        <w:t>EU measures that are procedural in nature</w:t>
      </w:r>
      <w:r w:rsidR="00F7768A">
        <w:rPr>
          <w:rFonts w:ascii="Arial" w:hAnsi="Arial" w:cs="Arial"/>
          <w:sz w:val="24"/>
          <w:szCs w:val="24"/>
        </w:rPr>
        <w:t xml:space="preserve"> such as</w:t>
      </w:r>
      <w:r w:rsidR="00493407">
        <w:rPr>
          <w:rFonts w:ascii="Arial" w:hAnsi="Arial" w:cs="Arial"/>
          <w:sz w:val="24"/>
          <w:szCs w:val="24"/>
        </w:rPr>
        <w:t xml:space="preserve"> EIA and </w:t>
      </w:r>
      <w:r w:rsidR="00F44F8B">
        <w:rPr>
          <w:rFonts w:ascii="Arial" w:hAnsi="Arial" w:cs="Arial"/>
          <w:sz w:val="24"/>
          <w:szCs w:val="24"/>
        </w:rPr>
        <w:t>Strategic Environmental Assessment (</w:t>
      </w:r>
      <w:r w:rsidR="00493407">
        <w:rPr>
          <w:rFonts w:ascii="Arial" w:hAnsi="Arial" w:cs="Arial"/>
          <w:sz w:val="24"/>
          <w:szCs w:val="24"/>
        </w:rPr>
        <w:t>SEA</w:t>
      </w:r>
      <w:r w:rsidR="00F44F8B">
        <w:rPr>
          <w:rFonts w:ascii="Arial" w:hAnsi="Arial" w:cs="Arial"/>
          <w:sz w:val="24"/>
          <w:szCs w:val="24"/>
        </w:rPr>
        <w:t>)</w:t>
      </w:r>
      <w:r w:rsidR="00493407">
        <w:rPr>
          <w:rFonts w:ascii="Arial" w:hAnsi="Arial" w:cs="Arial"/>
          <w:sz w:val="24"/>
          <w:szCs w:val="24"/>
        </w:rPr>
        <w:t xml:space="preserve"> have </w:t>
      </w:r>
      <w:r w:rsidR="009C3009">
        <w:rPr>
          <w:rFonts w:ascii="Arial" w:hAnsi="Arial" w:cs="Arial"/>
          <w:sz w:val="24"/>
          <w:szCs w:val="24"/>
        </w:rPr>
        <w:t xml:space="preserve">long </w:t>
      </w:r>
      <w:r w:rsidR="00493407">
        <w:rPr>
          <w:rFonts w:ascii="Arial" w:hAnsi="Arial" w:cs="Arial"/>
          <w:sz w:val="24"/>
          <w:szCs w:val="24"/>
        </w:rPr>
        <w:t>attracted interest from planning researchers</w:t>
      </w:r>
      <w:r w:rsidR="00F7768A">
        <w:rPr>
          <w:rFonts w:ascii="Arial" w:hAnsi="Arial" w:cs="Arial"/>
          <w:sz w:val="24"/>
          <w:szCs w:val="24"/>
        </w:rPr>
        <w:t>,</w:t>
      </w:r>
      <w:r w:rsidR="00CE528C">
        <w:rPr>
          <w:rFonts w:ascii="Arial" w:hAnsi="Arial" w:cs="Arial"/>
          <w:sz w:val="24"/>
          <w:szCs w:val="24"/>
        </w:rPr>
        <w:t xml:space="preserve"> </w:t>
      </w:r>
      <w:r w:rsidR="00493407">
        <w:rPr>
          <w:rFonts w:ascii="Arial" w:hAnsi="Arial" w:cs="Arial"/>
          <w:sz w:val="24"/>
          <w:szCs w:val="24"/>
        </w:rPr>
        <w:t>examin</w:t>
      </w:r>
      <w:r w:rsidR="00F44F8B">
        <w:rPr>
          <w:rFonts w:ascii="Arial" w:hAnsi="Arial" w:cs="Arial"/>
          <w:sz w:val="24"/>
          <w:szCs w:val="24"/>
        </w:rPr>
        <w:t>ing</w:t>
      </w:r>
      <w:r w:rsidR="00493407">
        <w:rPr>
          <w:rFonts w:ascii="Arial" w:hAnsi="Arial" w:cs="Arial"/>
          <w:sz w:val="24"/>
          <w:szCs w:val="24"/>
        </w:rPr>
        <w:t xml:space="preserve"> the substantive effects </w:t>
      </w:r>
      <w:r w:rsidR="00F44F8B">
        <w:rPr>
          <w:rFonts w:ascii="Arial" w:hAnsi="Arial" w:cs="Arial"/>
          <w:sz w:val="24"/>
          <w:szCs w:val="24"/>
        </w:rPr>
        <w:t xml:space="preserve">of these techniques </w:t>
      </w:r>
      <w:r w:rsidR="00493407">
        <w:rPr>
          <w:rFonts w:ascii="Arial" w:hAnsi="Arial" w:cs="Arial"/>
          <w:sz w:val="24"/>
          <w:szCs w:val="24"/>
        </w:rPr>
        <w:t xml:space="preserve">on the environmental performance of development </w:t>
      </w:r>
      <w:r w:rsidR="00CA29FA">
        <w:rPr>
          <w:rFonts w:ascii="Arial" w:hAnsi="Arial" w:cs="Arial"/>
          <w:sz w:val="24"/>
          <w:szCs w:val="24"/>
        </w:rPr>
        <w:t>(Arts et al</w:t>
      </w:r>
      <w:r w:rsidR="0000641A">
        <w:rPr>
          <w:rFonts w:ascii="Arial" w:hAnsi="Arial" w:cs="Arial"/>
          <w:sz w:val="24"/>
          <w:szCs w:val="24"/>
        </w:rPr>
        <w:t>.</w:t>
      </w:r>
      <w:r w:rsidR="00CA29FA">
        <w:rPr>
          <w:rFonts w:ascii="Arial" w:hAnsi="Arial" w:cs="Arial"/>
          <w:sz w:val="24"/>
          <w:szCs w:val="24"/>
        </w:rPr>
        <w:t xml:space="preserve">, 2013) </w:t>
      </w:r>
      <w:r w:rsidR="00E35B2B">
        <w:rPr>
          <w:rFonts w:ascii="Arial" w:hAnsi="Arial" w:cs="Arial"/>
          <w:sz w:val="24"/>
          <w:szCs w:val="24"/>
        </w:rPr>
        <w:t>and on</w:t>
      </w:r>
      <w:r w:rsidR="003B3937">
        <w:rPr>
          <w:rFonts w:ascii="Arial" w:hAnsi="Arial" w:cs="Arial"/>
          <w:sz w:val="24"/>
          <w:szCs w:val="24"/>
        </w:rPr>
        <w:t xml:space="preserve"> </w:t>
      </w:r>
      <w:r w:rsidR="00C230E9">
        <w:rPr>
          <w:rFonts w:ascii="Arial" w:hAnsi="Arial" w:cs="Arial"/>
          <w:sz w:val="24"/>
          <w:szCs w:val="24"/>
        </w:rPr>
        <w:t>the qualities of</w:t>
      </w:r>
      <w:r w:rsidR="00493407">
        <w:rPr>
          <w:rFonts w:ascii="Arial" w:hAnsi="Arial" w:cs="Arial"/>
          <w:sz w:val="24"/>
          <w:szCs w:val="24"/>
        </w:rPr>
        <w:t xml:space="preserve"> decision-making, such</w:t>
      </w:r>
      <w:r w:rsidR="00F44F8B">
        <w:rPr>
          <w:rFonts w:ascii="Arial" w:hAnsi="Arial" w:cs="Arial"/>
          <w:sz w:val="24"/>
          <w:szCs w:val="24"/>
        </w:rPr>
        <w:t xml:space="preserve"> </w:t>
      </w:r>
      <w:r w:rsidR="00545E9D">
        <w:rPr>
          <w:rFonts w:ascii="Arial" w:hAnsi="Arial" w:cs="Arial"/>
          <w:sz w:val="24"/>
          <w:szCs w:val="24"/>
        </w:rPr>
        <w:t xml:space="preserve">as </w:t>
      </w:r>
      <w:r w:rsidR="00F44F8B">
        <w:rPr>
          <w:rFonts w:ascii="Arial" w:hAnsi="Arial" w:cs="Arial"/>
          <w:sz w:val="24"/>
          <w:szCs w:val="24"/>
        </w:rPr>
        <w:t>transparency and</w:t>
      </w:r>
      <w:r w:rsidR="00543BDF">
        <w:rPr>
          <w:rFonts w:ascii="Arial" w:hAnsi="Arial" w:cs="Arial"/>
          <w:sz w:val="24"/>
          <w:szCs w:val="24"/>
        </w:rPr>
        <w:t xml:space="preserve"> </w:t>
      </w:r>
      <w:r w:rsidR="00C230E9">
        <w:rPr>
          <w:rFonts w:ascii="Arial" w:hAnsi="Arial" w:cs="Arial"/>
          <w:sz w:val="24"/>
          <w:szCs w:val="24"/>
        </w:rPr>
        <w:t>accountability</w:t>
      </w:r>
      <w:r w:rsidR="00543BDF">
        <w:rPr>
          <w:rFonts w:ascii="Arial" w:hAnsi="Arial" w:cs="Arial"/>
          <w:sz w:val="24"/>
          <w:szCs w:val="24"/>
        </w:rPr>
        <w:t xml:space="preserve"> (</w:t>
      </w:r>
      <w:r w:rsidR="00E35B2B">
        <w:rPr>
          <w:rFonts w:ascii="Arial" w:hAnsi="Arial" w:cs="Arial"/>
          <w:sz w:val="24"/>
          <w:szCs w:val="24"/>
        </w:rPr>
        <w:t>e.g.</w:t>
      </w:r>
      <w:r w:rsidR="00543BDF">
        <w:rPr>
          <w:rFonts w:ascii="Arial" w:hAnsi="Arial" w:cs="Arial"/>
          <w:sz w:val="24"/>
          <w:szCs w:val="24"/>
        </w:rPr>
        <w:t xml:space="preserve"> Sheate</w:t>
      </w:r>
      <w:r w:rsidR="0000641A">
        <w:rPr>
          <w:rFonts w:ascii="Arial" w:hAnsi="Arial" w:cs="Arial"/>
          <w:sz w:val="24"/>
          <w:szCs w:val="24"/>
        </w:rPr>
        <w:t>,</w:t>
      </w:r>
      <w:r w:rsidR="00543BDF">
        <w:rPr>
          <w:rFonts w:ascii="Arial" w:hAnsi="Arial" w:cs="Arial"/>
          <w:sz w:val="24"/>
          <w:szCs w:val="24"/>
        </w:rPr>
        <w:t xml:space="preserve"> 2012).</w:t>
      </w:r>
    </w:p>
    <w:p w:rsidR="00493407" w:rsidRDefault="00493407" w:rsidP="007109B7">
      <w:pPr>
        <w:rPr>
          <w:rFonts w:ascii="Arial" w:hAnsi="Arial" w:cs="Arial"/>
          <w:sz w:val="24"/>
          <w:szCs w:val="24"/>
        </w:rPr>
      </w:pPr>
    </w:p>
    <w:p w:rsidR="005722BF" w:rsidRPr="007109B7" w:rsidRDefault="00493407" w:rsidP="0095773B">
      <w:pPr>
        <w:rPr>
          <w:rFonts w:ascii="Arial" w:hAnsi="Arial" w:cs="Arial"/>
          <w:sz w:val="24"/>
          <w:szCs w:val="24"/>
        </w:rPr>
      </w:pPr>
      <w:r>
        <w:rPr>
          <w:rFonts w:ascii="Arial" w:hAnsi="Arial" w:cs="Arial"/>
          <w:sz w:val="24"/>
          <w:szCs w:val="24"/>
        </w:rPr>
        <w:t xml:space="preserve">Causal effects are often traced </w:t>
      </w:r>
      <w:r w:rsidR="00F44F8B">
        <w:rPr>
          <w:rFonts w:ascii="Arial" w:hAnsi="Arial" w:cs="Arial"/>
          <w:sz w:val="24"/>
          <w:szCs w:val="24"/>
        </w:rPr>
        <w:t xml:space="preserve">back </w:t>
      </w:r>
      <w:r>
        <w:rPr>
          <w:rFonts w:ascii="Arial" w:hAnsi="Arial" w:cs="Arial"/>
          <w:sz w:val="24"/>
          <w:szCs w:val="24"/>
        </w:rPr>
        <w:t xml:space="preserve">to EU legislation, especially key environmental Directives – a legislative form which sets a framework of requirements that Member States are obliged to meet but without dictating the means of doing so. </w:t>
      </w:r>
      <w:r w:rsidR="0095773B">
        <w:rPr>
          <w:rFonts w:ascii="Arial" w:hAnsi="Arial" w:cs="Arial"/>
          <w:sz w:val="24"/>
          <w:szCs w:val="24"/>
        </w:rPr>
        <w:t xml:space="preserve">However, the legislation does not function in isolation. </w:t>
      </w:r>
      <w:r w:rsidR="00F7768A">
        <w:rPr>
          <w:rFonts w:ascii="Arial" w:hAnsi="Arial" w:cs="Arial"/>
          <w:sz w:val="24"/>
          <w:szCs w:val="24"/>
        </w:rPr>
        <w:t>A</w:t>
      </w:r>
      <w:r w:rsidR="00067FF7" w:rsidRPr="007109B7">
        <w:rPr>
          <w:rFonts w:ascii="Arial" w:hAnsi="Arial" w:cs="Arial"/>
          <w:sz w:val="24"/>
          <w:szCs w:val="24"/>
        </w:rPr>
        <w:t xml:space="preserve"> defining feature of the EU environmental </w:t>
      </w:r>
      <w:r w:rsidR="00067FF7" w:rsidRPr="007109B7">
        <w:rPr>
          <w:rFonts w:ascii="Arial" w:hAnsi="Arial" w:cs="Arial"/>
          <w:i/>
          <w:sz w:val="24"/>
          <w:szCs w:val="24"/>
        </w:rPr>
        <w:t>acquis</w:t>
      </w:r>
      <w:r w:rsidR="00067FF7" w:rsidRPr="007109B7">
        <w:rPr>
          <w:rFonts w:ascii="Arial" w:hAnsi="Arial" w:cs="Arial"/>
          <w:sz w:val="24"/>
          <w:szCs w:val="24"/>
        </w:rPr>
        <w:t xml:space="preserve"> is that </w:t>
      </w:r>
      <w:r w:rsidR="001D524D" w:rsidRPr="007109B7">
        <w:rPr>
          <w:rFonts w:ascii="Arial" w:hAnsi="Arial" w:cs="Arial"/>
          <w:sz w:val="24"/>
          <w:szCs w:val="24"/>
        </w:rPr>
        <w:t>legislation is backed up by</w:t>
      </w:r>
      <w:r w:rsidR="0095773B">
        <w:rPr>
          <w:rFonts w:ascii="Arial" w:hAnsi="Arial" w:cs="Arial"/>
          <w:sz w:val="24"/>
          <w:szCs w:val="24"/>
        </w:rPr>
        <w:t xml:space="preserve"> robust governance machinery for</w:t>
      </w:r>
      <w:r w:rsidR="001D524D" w:rsidRPr="007109B7">
        <w:rPr>
          <w:rFonts w:ascii="Arial" w:hAnsi="Arial" w:cs="Arial"/>
          <w:sz w:val="24"/>
          <w:szCs w:val="24"/>
        </w:rPr>
        <w:t xml:space="preserve"> monitoring progress, pursuing implementation deficits and, if required, taking enforcement action</w:t>
      </w:r>
      <w:r w:rsidR="0095773B">
        <w:rPr>
          <w:rFonts w:ascii="Arial" w:hAnsi="Arial" w:cs="Arial"/>
          <w:sz w:val="24"/>
          <w:szCs w:val="24"/>
        </w:rPr>
        <w:t>. This is</w:t>
      </w:r>
      <w:r w:rsidR="00CE528C">
        <w:rPr>
          <w:rFonts w:ascii="Arial" w:hAnsi="Arial" w:cs="Arial"/>
          <w:sz w:val="24"/>
          <w:szCs w:val="24"/>
        </w:rPr>
        <w:t xml:space="preserve"> </w:t>
      </w:r>
      <w:r w:rsidR="001D524D" w:rsidRPr="007109B7">
        <w:rPr>
          <w:rFonts w:ascii="Arial" w:hAnsi="Arial" w:cs="Arial"/>
          <w:sz w:val="24"/>
          <w:szCs w:val="24"/>
        </w:rPr>
        <w:t>delivered by the European Commission,</w:t>
      </w:r>
      <w:r w:rsidR="00A278D1">
        <w:rPr>
          <w:rFonts w:ascii="Arial" w:hAnsi="Arial" w:cs="Arial"/>
          <w:sz w:val="24"/>
          <w:szCs w:val="24"/>
        </w:rPr>
        <w:t xml:space="preserve"> the </w:t>
      </w:r>
      <w:r w:rsidR="00545E9D">
        <w:rPr>
          <w:rFonts w:ascii="Arial" w:hAnsi="Arial" w:cs="Arial"/>
          <w:sz w:val="24"/>
          <w:szCs w:val="24"/>
        </w:rPr>
        <w:t xml:space="preserve">Court of Justice of the </w:t>
      </w:r>
      <w:r w:rsidR="00A278D1">
        <w:rPr>
          <w:rFonts w:ascii="Arial" w:hAnsi="Arial" w:cs="Arial"/>
          <w:sz w:val="24"/>
          <w:szCs w:val="24"/>
        </w:rPr>
        <w:t>EU</w:t>
      </w:r>
      <w:r w:rsidR="001D524D" w:rsidRPr="007109B7">
        <w:rPr>
          <w:rFonts w:ascii="Arial" w:hAnsi="Arial" w:cs="Arial"/>
          <w:sz w:val="24"/>
          <w:szCs w:val="24"/>
        </w:rPr>
        <w:t>, and a host of other specialist bodies. This machinery has challenged slippage, held governments to account and cultivated policy learning (Burns et al</w:t>
      </w:r>
      <w:r w:rsidR="0000641A">
        <w:rPr>
          <w:rFonts w:ascii="Arial" w:hAnsi="Arial" w:cs="Arial"/>
          <w:sz w:val="24"/>
          <w:szCs w:val="24"/>
        </w:rPr>
        <w:t>.,</w:t>
      </w:r>
      <w:r w:rsidR="001D524D" w:rsidRPr="007109B7">
        <w:rPr>
          <w:rFonts w:ascii="Arial" w:hAnsi="Arial" w:cs="Arial"/>
          <w:sz w:val="24"/>
          <w:szCs w:val="24"/>
        </w:rPr>
        <w:t xml:space="preserve"> 2016; </w:t>
      </w:r>
      <w:r w:rsidR="00607FD8">
        <w:rPr>
          <w:rFonts w:ascii="Arial" w:hAnsi="Arial" w:cs="Arial"/>
          <w:sz w:val="24"/>
          <w:szCs w:val="24"/>
        </w:rPr>
        <w:t>Reid</w:t>
      </w:r>
      <w:r w:rsidR="0000641A">
        <w:rPr>
          <w:rFonts w:ascii="Arial" w:hAnsi="Arial" w:cs="Arial"/>
          <w:sz w:val="24"/>
          <w:szCs w:val="24"/>
        </w:rPr>
        <w:t>,</w:t>
      </w:r>
      <w:r w:rsidR="00607FD8">
        <w:rPr>
          <w:rFonts w:ascii="Arial" w:hAnsi="Arial" w:cs="Arial"/>
          <w:sz w:val="24"/>
          <w:szCs w:val="24"/>
        </w:rPr>
        <w:t xml:space="preserve"> 2016</w:t>
      </w:r>
      <w:r w:rsidR="00AA735D">
        <w:rPr>
          <w:rFonts w:ascii="Arial" w:hAnsi="Arial" w:cs="Arial"/>
          <w:sz w:val="24"/>
          <w:szCs w:val="24"/>
        </w:rPr>
        <w:t>)</w:t>
      </w:r>
      <w:r w:rsidR="00607FD8">
        <w:rPr>
          <w:rFonts w:ascii="Arial" w:hAnsi="Arial" w:cs="Arial"/>
          <w:sz w:val="24"/>
          <w:szCs w:val="24"/>
        </w:rPr>
        <w:t>.</w:t>
      </w:r>
      <w:r w:rsidR="007136DD" w:rsidRPr="007109B7">
        <w:rPr>
          <w:rFonts w:ascii="Arial" w:hAnsi="Arial" w:cs="Arial"/>
          <w:sz w:val="24"/>
          <w:szCs w:val="24"/>
        </w:rPr>
        <w:t xml:space="preserve"> While much EU environmental legislation has been developed, in part, in response to international conventions, most</w:t>
      </w:r>
      <w:r w:rsidR="002057E0">
        <w:rPr>
          <w:rFonts w:ascii="Arial" w:hAnsi="Arial" w:cs="Arial"/>
          <w:sz w:val="24"/>
          <w:szCs w:val="24"/>
        </w:rPr>
        <w:t xml:space="preserve"> such </w:t>
      </w:r>
      <w:r w:rsidR="007136DD" w:rsidRPr="007109B7">
        <w:rPr>
          <w:rFonts w:ascii="Arial" w:hAnsi="Arial" w:cs="Arial"/>
          <w:sz w:val="24"/>
          <w:szCs w:val="24"/>
        </w:rPr>
        <w:t xml:space="preserve">conventions are less detailed </w:t>
      </w:r>
      <w:r w:rsidR="00E32D47" w:rsidRPr="0095773B">
        <w:rPr>
          <w:rFonts w:ascii="Arial" w:hAnsi="Arial" w:cs="Arial"/>
          <w:sz w:val="24"/>
          <w:szCs w:val="24"/>
        </w:rPr>
        <w:t>in their requirements than EU Directives</w:t>
      </w:r>
      <w:r w:rsidR="007136DD" w:rsidRPr="007109B7">
        <w:rPr>
          <w:rFonts w:ascii="Arial" w:hAnsi="Arial" w:cs="Arial"/>
          <w:sz w:val="24"/>
          <w:szCs w:val="24"/>
        </w:rPr>
        <w:t>, and lack mechanisms for securing implementatio</w:t>
      </w:r>
      <w:r w:rsidR="00263FF1">
        <w:rPr>
          <w:rFonts w:ascii="Arial" w:hAnsi="Arial" w:cs="Arial"/>
          <w:sz w:val="24"/>
          <w:szCs w:val="24"/>
        </w:rPr>
        <w:t>n (</w:t>
      </w:r>
      <w:r w:rsidR="00A95513">
        <w:rPr>
          <w:rFonts w:ascii="Arial" w:hAnsi="Arial" w:cs="Arial"/>
          <w:sz w:val="24"/>
          <w:szCs w:val="24"/>
        </w:rPr>
        <w:t>Burns et al</w:t>
      </w:r>
      <w:r w:rsidR="0000641A">
        <w:rPr>
          <w:rFonts w:ascii="Arial" w:hAnsi="Arial" w:cs="Arial"/>
          <w:sz w:val="24"/>
          <w:szCs w:val="24"/>
        </w:rPr>
        <w:t>.,</w:t>
      </w:r>
      <w:r w:rsidR="00A95513">
        <w:rPr>
          <w:rFonts w:ascii="Arial" w:hAnsi="Arial" w:cs="Arial"/>
          <w:sz w:val="24"/>
          <w:szCs w:val="24"/>
        </w:rPr>
        <w:t xml:space="preserve"> 2016</w:t>
      </w:r>
      <w:r w:rsidR="00263FF1">
        <w:rPr>
          <w:rFonts w:ascii="Arial" w:hAnsi="Arial" w:cs="Arial"/>
          <w:sz w:val="24"/>
          <w:szCs w:val="24"/>
        </w:rPr>
        <w:t>)</w:t>
      </w:r>
      <w:r w:rsidR="00F7768A">
        <w:rPr>
          <w:rFonts w:ascii="Arial" w:hAnsi="Arial" w:cs="Arial"/>
          <w:sz w:val="24"/>
          <w:szCs w:val="24"/>
        </w:rPr>
        <w:t>, or supportive funding programmes (e.g. LIFE+).</w:t>
      </w:r>
    </w:p>
    <w:p w:rsidR="00AF6678" w:rsidRDefault="00AF6678">
      <w:pPr>
        <w:rPr>
          <w:rFonts w:ascii="Arial" w:hAnsi="Arial" w:cs="Arial"/>
          <w:sz w:val="24"/>
          <w:szCs w:val="24"/>
        </w:rPr>
      </w:pPr>
    </w:p>
    <w:p w:rsidR="00AF6678" w:rsidRDefault="008D36EC" w:rsidP="001D524D">
      <w:pPr>
        <w:rPr>
          <w:rFonts w:ascii="Arial" w:hAnsi="Arial" w:cs="Arial"/>
          <w:sz w:val="24"/>
          <w:szCs w:val="24"/>
        </w:rPr>
      </w:pPr>
      <w:r>
        <w:rPr>
          <w:rFonts w:ascii="Arial" w:hAnsi="Arial" w:cs="Arial"/>
          <w:sz w:val="24"/>
          <w:szCs w:val="24"/>
        </w:rPr>
        <w:t>This d</w:t>
      </w:r>
      <w:r w:rsidR="001D524D">
        <w:rPr>
          <w:rFonts w:ascii="Arial" w:hAnsi="Arial" w:cs="Arial"/>
          <w:sz w:val="24"/>
          <w:szCs w:val="24"/>
        </w:rPr>
        <w:t>elineation of the EU ‘governance architecture’ help</w:t>
      </w:r>
      <w:r w:rsidR="0095773B">
        <w:rPr>
          <w:rFonts w:ascii="Arial" w:hAnsi="Arial" w:cs="Arial"/>
          <w:sz w:val="24"/>
          <w:szCs w:val="24"/>
        </w:rPr>
        <w:t>s</w:t>
      </w:r>
      <w:r w:rsidR="001D524D">
        <w:rPr>
          <w:rFonts w:ascii="Arial" w:hAnsi="Arial" w:cs="Arial"/>
          <w:sz w:val="24"/>
          <w:szCs w:val="24"/>
        </w:rPr>
        <w:t xml:space="preserve"> specify key features associated with the EU’s </w:t>
      </w:r>
      <w:r w:rsidR="00021930">
        <w:rPr>
          <w:rFonts w:ascii="Arial" w:hAnsi="Arial" w:cs="Arial"/>
          <w:sz w:val="24"/>
          <w:szCs w:val="24"/>
        </w:rPr>
        <w:t xml:space="preserve">own </w:t>
      </w:r>
      <w:r w:rsidR="001D524D">
        <w:rPr>
          <w:rFonts w:ascii="Arial" w:hAnsi="Arial" w:cs="Arial"/>
          <w:sz w:val="24"/>
          <w:szCs w:val="24"/>
        </w:rPr>
        <w:t>regul</w:t>
      </w:r>
      <w:r w:rsidR="007109B7">
        <w:rPr>
          <w:rFonts w:ascii="Arial" w:hAnsi="Arial" w:cs="Arial"/>
          <w:sz w:val="24"/>
          <w:szCs w:val="24"/>
        </w:rPr>
        <w:t>atory style for the environ</w:t>
      </w:r>
      <w:r w:rsidR="00736969">
        <w:rPr>
          <w:rFonts w:ascii="Arial" w:hAnsi="Arial" w:cs="Arial"/>
          <w:sz w:val="24"/>
          <w:szCs w:val="24"/>
        </w:rPr>
        <w:t>ment. Legislation has tended to have ‘hard edges’ (Burns et a</w:t>
      </w:r>
      <w:r w:rsidR="00756A5E">
        <w:rPr>
          <w:rFonts w:ascii="Arial" w:hAnsi="Arial" w:cs="Arial"/>
          <w:sz w:val="24"/>
          <w:szCs w:val="24"/>
        </w:rPr>
        <w:t>l.,</w:t>
      </w:r>
      <w:r w:rsidR="00736969">
        <w:rPr>
          <w:rFonts w:ascii="Arial" w:hAnsi="Arial" w:cs="Arial"/>
          <w:sz w:val="24"/>
          <w:szCs w:val="24"/>
        </w:rPr>
        <w:t xml:space="preserve"> 2016), with </w:t>
      </w:r>
      <w:r w:rsidR="007109B7">
        <w:rPr>
          <w:rFonts w:ascii="Arial" w:hAnsi="Arial" w:cs="Arial"/>
          <w:sz w:val="24"/>
          <w:szCs w:val="24"/>
        </w:rPr>
        <w:t xml:space="preserve">firm, substantive environmental targets and standards </w:t>
      </w:r>
      <w:r w:rsidR="00A278D1">
        <w:rPr>
          <w:rFonts w:ascii="Arial" w:hAnsi="Arial" w:cs="Arial"/>
          <w:sz w:val="24"/>
          <w:szCs w:val="24"/>
        </w:rPr>
        <w:t>(</w:t>
      </w:r>
      <w:r w:rsidR="007109B7">
        <w:rPr>
          <w:rFonts w:ascii="Arial" w:hAnsi="Arial" w:cs="Arial"/>
          <w:sz w:val="24"/>
          <w:szCs w:val="24"/>
        </w:rPr>
        <w:t>e.g. for air quality</w:t>
      </w:r>
      <w:r w:rsidR="00A278D1">
        <w:rPr>
          <w:rFonts w:ascii="Arial" w:hAnsi="Arial" w:cs="Arial"/>
          <w:sz w:val="24"/>
          <w:szCs w:val="24"/>
        </w:rPr>
        <w:t>)</w:t>
      </w:r>
      <w:r w:rsidR="00021930">
        <w:rPr>
          <w:rFonts w:ascii="Arial" w:hAnsi="Arial" w:cs="Arial"/>
          <w:sz w:val="24"/>
          <w:szCs w:val="24"/>
        </w:rPr>
        <w:t>, that are</w:t>
      </w:r>
      <w:r w:rsidR="00CE528C">
        <w:rPr>
          <w:rFonts w:ascii="Arial" w:hAnsi="Arial" w:cs="Arial"/>
          <w:sz w:val="24"/>
          <w:szCs w:val="24"/>
        </w:rPr>
        <w:t xml:space="preserve"> </w:t>
      </w:r>
      <w:r w:rsidR="008F0ED1">
        <w:rPr>
          <w:rFonts w:ascii="Arial" w:hAnsi="Arial" w:cs="Arial"/>
          <w:sz w:val="24"/>
          <w:szCs w:val="24"/>
        </w:rPr>
        <w:t xml:space="preserve">formal, </w:t>
      </w:r>
      <w:r w:rsidR="001527BE">
        <w:rPr>
          <w:rFonts w:ascii="Arial" w:hAnsi="Arial" w:cs="Arial"/>
          <w:sz w:val="24"/>
          <w:szCs w:val="24"/>
        </w:rPr>
        <w:t>uniform and relatively strict, with</w:t>
      </w:r>
      <w:r w:rsidR="00CE528C">
        <w:rPr>
          <w:rFonts w:ascii="Arial" w:hAnsi="Arial" w:cs="Arial"/>
          <w:sz w:val="24"/>
          <w:szCs w:val="24"/>
        </w:rPr>
        <w:t xml:space="preserve"> </w:t>
      </w:r>
      <w:r w:rsidR="00AA735D">
        <w:rPr>
          <w:rFonts w:ascii="Arial" w:hAnsi="Arial" w:cs="Arial"/>
          <w:sz w:val="24"/>
          <w:szCs w:val="24"/>
        </w:rPr>
        <w:t xml:space="preserve">specific </w:t>
      </w:r>
      <w:r w:rsidR="00A278D1">
        <w:rPr>
          <w:rFonts w:ascii="Arial" w:hAnsi="Arial" w:cs="Arial"/>
          <w:sz w:val="24"/>
          <w:szCs w:val="24"/>
        </w:rPr>
        <w:t xml:space="preserve">time frames for implementation. </w:t>
      </w:r>
      <w:r w:rsidR="007109B7">
        <w:rPr>
          <w:rFonts w:ascii="Arial" w:hAnsi="Arial" w:cs="Arial"/>
          <w:sz w:val="24"/>
          <w:szCs w:val="24"/>
        </w:rPr>
        <w:t xml:space="preserve">The </w:t>
      </w:r>
      <w:r w:rsidR="0095773B">
        <w:rPr>
          <w:rFonts w:ascii="Arial" w:hAnsi="Arial" w:cs="Arial"/>
          <w:sz w:val="24"/>
          <w:szCs w:val="24"/>
        </w:rPr>
        <w:t>overall</w:t>
      </w:r>
      <w:r w:rsidR="007109B7">
        <w:rPr>
          <w:rFonts w:ascii="Arial" w:hAnsi="Arial" w:cs="Arial"/>
          <w:sz w:val="24"/>
          <w:szCs w:val="24"/>
        </w:rPr>
        <w:t xml:space="preserve"> effect i</w:t>
      </w:r>
      <w:r w:rsidR="00A278D1">
        <w:rPr>
          <w:rFonts w:ascii="Arial" w:hAnsi="Arial" w:cs="Arial"/>
          <w:sz w:val="24"/>
          <w:szCs w:val="24"/>
        </w:rPr>
        <w:t xml:space="preserve">s to </w:t>
      </w:r>
      <w:r w:rsidR="00736969">
        <w:rPr>
          <w:rFonts w:ascii="Arial" w:hAnsi="Arial" w:cs="Arial"/>
          <w:sz w:val="24"/>
          <w:szCs w:val="24"/>
        </w:rPr>
        <w:t>facilitate</w:t>
      </w:r>
      <w:r w:rsidR="00A278D1">
        <w:rPr>
          <w:rFonts w:ascii="Arial" w:hAnsi="Arial" w:cs="Arial"/>
          <w:sz w:val="24"/>
          <w:szCs w:val="24"/>
        </w:rPr>
        <w:t xml:space="preserve"> monitoring and enforcement</w:t>
      </w:r>
      <w:r w:rsidR="001527BE">
        <w:rPr>
          <w:rFonts w:ascii="Arial" w:hAnsi="Arial" w:cs="Arial"/>
          <w:sz w:val="24"/>
          <w:szCs w:val="24"/>
        </w:rPr>
        <w:t xml:space="preserve"> across diverse contexts</w:t>
      </w:r>
      <w:r w:rsidR="00A278D1">
        <w:rPr>
          <w:rFonts w:ascii="Arial" w:hAnsi="Arial" w:cs="Arial"/>
          <w:sz w:val="24"/>
          <w:szCs w:val="24"/>
        </w:rPr>
        <w:t>,</w:t>
      </w:r>
      <w:r w:rsidR="00CE528C">
        <w:rPr>
          <w:rFonts w:ascii="Arial" w:hAnsi="Arial" w:cs="Arial"/>
          <w:sz w:val="24"/>
          <w:szCs w:val="24"/>
        </w:rPr>
        <w:t xml:space="preserve"> </w:t>
      </w:r>
      <w:r w:rsidR="007109B7">
        <w:rPr>
          <w:rFonts w:ascii="Arial" w:hAnsi="Arial" w:cs="Arial"/>
          <w:sz w:val="24"/>
          <w:szCs w:val="24"/>
        </w:rPr>
        <w:t xml:space="preserve">to structure the relationship between </w:t>
      </w:r>
      <w:r w:rsidR="00A278D1">
        <w:rPr>
          <w:rFonts w:ascii="Arial" w:hAnsi="Arial" w:cs="Arial"/>
          <w:sz w:val="24"/>
          <w:szCs w:val="24"/>
        </w:rPr>
        <w:t xml:space="preserve">EU </w:t>
      </w:r>
      <w:r w:rsidR="007109B7">
        <w:rPr>
          <w:rFonts w:ascii="Arial" w:hAnsi="Arial" w:cs="Arial"/>
          <w:sz w:val="24"/>
          <w:szCs w:val="24"/>
        </w:rPr>
        <w:t>environmental requirements and competing goals</w:t>
      </w:r>
      <w:r w:rsidR="00AA735D">
        <w:rPr>
          <w:rFonts w:ascii="Arial" w:hAnsi="Arial" w:cs="Arial"/>
          <w:sz w:val="24"/>
          <w:szCs w:val="24"/>
        </w:rPr>
        <w:t xml:space="preserve">, </w:t>
      </w:r>
      <w:r w:rsidR="00E35B2B">
        <w:rPr>
          <w:rFonts w:ascii="Arial" w:hAnsi="Arial" w:cs="Arial"/>
          <w:sz w:val="24"/>
          <w:szCs w:val="24"/>
        </w:rPr>
        <w:t xml:space="preserve">and thereby </w:t>
      </w:r>
      <w:r w:rsidR="00156103">
        <w:rPr>
          <w:rFonts w:ascii="Arial" w:hAnsi="Arial" w:cs="Arial"/>
          <w:sz w:val="24"/>
          <w:szCs w:val="24"/>
        </w:rPr>
        <w:t>constrain the discretion of domestic act</w:t>
      </w:r>
      <w:r w:rsidR="00A278D1">
        <w:rPr>
          <w:rFonts w:ascii="Arial" w:hAnsi="Arial" w:cs="Arial"/>
          <w:sz w:val="24"/>
          <w:szCs w:val="24"/>
        </w:rPr>
        <w:t>ors</w:t>
      </w:r>
      <w:r w:rsidR="007109B7">
        <w:rPr>
          <w:rFonts w:ascii="Arial" w:hAnsi="Arial" w:cs="Arial"/>
          <w:sz w:val="24"/>
          <w:szCs w:val="24"/>
        </w:rPr>
        <w:t>.</w:t>
      </w:r>
      <w:r w:rsidR="00CE528C">
        <w:rPr>
          <w:rFonts w:ascii="Arial" w:hAnsi="Arial" w:cs="Arial"/>
          <w:sz w:val="24"/>
          <w:szCs w:val="24"/>
        </w:rPr>
        <w:t xml:space="preserve"> </w:t>
      </w:r>
      <w:r w:rsidR="007109B7">
        <w:rPr>
          <w:rFonts w:ascii="Arial" w:hAnsi="Arial" w:cs="Arial"/>
          <w:sz w:val="24"/>
          <w:szCs w:val="24"/>
        </w:rPr>
        <w:t>Moreover, EU legislation takes time to make but is durable</w:t>
      </w:r>
      <w:r>
        <w:rPr>
          <w:rFonts w:ascii="Arial" w:hAnsi="Arial" w:cs="Arial"/>
          <w:sz w:val="24"/>
          <w:szCs w:val="24"/>
        </w:rPr>
        <w:t xml:space="preserve"> thereafter</w:t>
      </w:r>
      <w:r w:rsidR="007109B7">
        <w:rPr>
          <w:rFonts w:ascii="Arial" w:hAnsi="Arial" w:cs="Arial"/>
          <w:sz w:val="24"/>
          <w:szCs w:val="24"/>
        </w:rPr>
        <w:t xml:space="preserve">, and </w:t>
      </w:r>
      <w:r w:rsidR="00021930">
        <w:rPr>
          <w:rFonts w:ascii="Arial" w:hAnsi="Arial" w:cs="Arial"/>
          <w:sz w:val="24"/>
          <w:szCs w:val="24"/>
        </w:rPr>
        <w:t>th</w:t>
      </w:r>
      <w:r w:rsidR="00C230E9">
        <w:rPr>
          <w:rFonts w:ascii="Arial" w:hAnsi="Arial" w:cs="Arial"/>
          <w:sz w:val="24"/>
          <w:szCs w:val="24"/>
        </w:rPr>
        <w:t>erefore</w:t>
      </w:r>
      <w:r w:rsidR="00021930">
        <w:rPr>
          <w:rFonts w:ascii="Arial" w:hAnsi="Arial" w:cs="Arial"/>
          <w:sz w:val="24"/>
          <w:szCs w:val="24"/>
        </w:rPr>
        <w:t xml:space="preserve"> </w:t>
      </w:r>
      <w:r w:rsidR="00233E47">
        <w:rPr>
          <w:rFonts w:ascii="Arial" w:hAnsi="Arial" w:cs="Arial"/>
          <w:sz w:val="24"/>
          <w:szCs w:val="24"/>
        </w:rPr>
        <w:t>less vulnerable</w:t>
      </w:r>
      <w:r w:rsidR="00CE528C">
        <w:rPr>
          <w:rFonts w:ascii="Arial" w:hAnsi="Arial" w:cs="Arial"/>
          <w:sz w:val="24"/>
          <w:szCs w:val="24"/>
        </w:rPr>
        <w:t xml:space="preserve"> </w:t>
      </w:r>
      <w:r w:rsidR="00021930">
        <w:rPr>
          <w:rFonts w:ascii="Arial" w:hAnsi="Arial" w:cs="Arial"/>
          <w:sz w:val="24"/>
          <w:szCs w:val="24"/>
        </w:rPr>
        <w:t>to</w:t>
      </w:r>
      <w:r w:rsidR="007109B7">
        <w:rPr>
          <w:rFonts w:ascii="Arial" w:hAnsi="Arial" w:cs="Arial"/>
          <w:sz w:val="24"/>
          <w:szCs w:val="24"/>
        </w:rPr>
        <w:t xml:space="preserve"> short-term political vicissitudes</w:t>
      </w:r>
      <w:r w:rsidR="00021930">
        <w:rPr>
          <w:rFonts w:ascii="Arial" w:hAnsi="Arial" w:cs="Arial"/>
          <w:sz w:val="24"/>
          <w:szCs w:val="24"/>
        </w:rPr>
        <w:t xml:space="preserve"> than</w:t>
      </w:r>
      <w:r w:rsidR="007109B7">
        <w:rPr>
          <w:rFonts w:ascii="Arial" w:hAnsi="Arial" w:cs="Arial"/>
          <w:sz w:val="24"/>
          <w:szCs w:val="24"/>
        </w:rPr>
        <w:t xml:space="preserve"> national action. Commentator</w:t>
      </w:r>
      <w:r w:rsidR="00131672">
        <w:rPr>
          <w:rFonts w:ascii="Arial" w:hAnsi="Arial" w:cs="Arial"/>
          <w:sz w:val="24"/>
          <w:szCs w:val="24"/>
        </w:rPr>
        <w:t>s</w:t>
      </w:r>
      <w:r w:rsidR="007109B7">
        <w:rPr>
          <w:rFonts w:ascii="Arial" w:hAnsi="Arial" w:cs="Arial"/>
          <w:sz w:val="24"/>
          <w:szCs w:val="24"/>
        </w:rPr>
        <w:t xml:space="preserve"> also point to the EU’s institutionalised commitment to </w:t>
      </w:r>
      <w:r w:rsidR="00BB683F">
        <w:rPr>
          <w:rFonts w:ascii="Arial" w:hAnsi="Arial" w:cs="Arial"/>
          <w:sz w:val="24"/>
          <w:szCs w:val="24"/>
        </w:rPr>
        <w:t xml:space="preserve">‘a high level of environmental protection’, supported by a wider set of principles such as </w:t>
      </w:r>
      <w:r w:rsidR="00F7768A">
        <w:rPr>
          <w:rFonts w:ascii="Arial" w:hAnsi="Arial" w:cs="Arial"/>
          <w:sz w:val="24"/>
          <w:szCs w:val="24"/>
        </w:rPr>
        <w:t xml:space="preserve">the </w:t>
      </w:r>
      <w:r w:rsidR="00BB683F">
        <w:rPr>
          <w:rFonts w:ascii="Arial" w:hAnsi="Arial" w:cs="Arial"/>
          <w:sz w:val="24"/>
          <w:szCs w:val="24"/>
        </w:rPr>
        <w:t>‘p</w:t>
      </w:r>
      <w:r w:rsidR="00F7768A">
        <w:rPr>
          <w:rFonts w:ascii="Arial" w:hAnsi="Arial" w:cs="Arial"/>
          <w:sz w:val="24"/>
          <w:szCs w:val="24"/>
        </w:rPr>
        <w:t>recautionary principle</w:t>
      </w:r>
      <w:r w:rsidR="00BB683F">
        <w:rPr>
          <w:rFonts w:ascii="Arial" w:hAnsi="Arial" w:cs="Arial"/>
          <w:sz w:val="24"/>
          <w:szCs w:val="24"/>
        </w:rPr>
        <w:t>’</w:t>
      </w:r>
      <w:r w:rsidR="00021930">
        <w:rPr>
          <w:rFonts w:ascii="Arial" w:hAnsi="Arial" w:cs="Arial"/>
          <w:sz w:val="24"/>
          <w:szCs w:val="24"/>
        </w:rPr>
        <w:t xml:space="preserve"> (Burns et al</w:t>
      </w:r>
      <w:r w:rsidR="0000641A">
        <w:rPr>
          <w:rFonts w:ascii="Arial" w:hAnsi="Arial" w:cs="Arial"/>
          <w:sz w:val="24"/>
          <w:szCs w:val="24"/>
        </w:rPr>
        <w:t>.,</w:t>
      </w:r>
      <w:r w:rsidR="00021930">
        <w:rPr>
          <w:rFonts w:ascii="Arial" w:hAnsi="Arial" w:cs="Arial"/>
          <w:sz w:val="24"/>
          <w:szCs w:val="24"/>
        </w:rPr>
        <w:t xml:space="preserve"> 2016)</w:t>
      </w:r>
      <w:r w:rsidR="00BB683F">
        <w:rPr>
          <w:rFonts w:ascii="Arial" w:hAnsi="Arial" w:cs="Arial"/>
          <w:sz w:val="24"/>
          <w:szCs w:val="24"/>
        </w:rPr>
        <w:t>.</w:t>
      </w:r>
      <w:r w:rsidR="0095773B" w:rsidRPr="004C19BE">
        <w:rPr>
          <w:rFonts w:ascii="Arial" w:hAnsi="Arial" w:cs="Arial"/>
          <w:sz w:val="24"/>
          <w:szCs w:val="24"/>
        </w:rPr>
        <w:t xml:space="preserve">This is not to say that </w:t>
      </w:r>
      <w:r w:rsidR="00131672" w:rsidRPr="004C19BE">
        <w:rPr>
          <w:rFonts w:ascii="Arial" w:hAnsi="Arial" w:cs="Arial"/>
          <w:sz w:val="24"/>
          <w:szCs w:val="24"/>
        </w:rPr>
        <w:t>EU environmental legislation has been static</w:t>
      </w:r>
      <w:r w:rsidR="00A278D1" w:rsidRPr="004C19BE">
        <w:rPr>
          <w:rFonts w:ascii="Arial" w:hAnsi="Arial" w:cs="Arial"/>
          <w:sz w:val="24"/>
          <w:szCs w:val="24"/>
        </w:rPr>
        <w:t xml:space="preserve">, </w:t>
      </w:r>
      <w:r w:rsidR="00BB683F" w:rsidRPr="004C19BE">
        <w:rPr>
          <w:rFonts w:ascii="Arial" w:hAnsi="Arial" w:cs="Arial"/>
          <w:sz w:val="24"/>
          <w:szCs w:val="24"/>
        </w:rPr>
        <w:t>or wholly effective</w:t>
      </w:r>
      <w:r w:rsidR="00131672" w:rsidRPr="004C19BE">
        <w:rPr>
          <w:rFonts w:ascii="Arial" w:hAnsi="Arial" w:cs="Arial"/>
          <w:sz w:val="24"/>
          <w:szCs w:val="24"/>
        </w:rPr>
        <w:t xml:space="preserve">. </w:t>
      </w:r>
      <w:r w:rsidR="00F44F8B">
        <w:rPr>
          <w:rFonts w:ascii="Arial" w:hAnsi="Arial" w:cs="Arial"/>
          <w:sz w:val="24"/>
          <w:szCs w:val="24"/>
        </w:rPr>
        <w:t>M</w:t>
      </w:r>
      <w:r w:rsidR="00131672" w:rsidRPr="004C19BE">
        <w:rPr>
          <w:rFonts w:ascii="Arial" w:hAnsi="Arial" w:cs="Arial"/>
          <w:sz w:val="24"/>
          <w:szCs w:val="24"/>
        </w:rPr>
        <w:t xml:space="preserve">oves towards ‘framework directives’, designed to align goal-orientation with more complex, spatially differentiated problems, </w:t>
      </w:r>
      <w:r w:rsidR="00F44F8B">
        <w:rPr>
          <w:rFonts w:ascii="Arial" w:hAnsi="Arial" w:cs="Arial"/>
          <w:sz w:val="24"/>
          <w:szCs w:val="24"/>
        </w:rPr>
        <w:t>have brought</w:t>
      </w:r>
      <w:r w:rsidR="00131672" w:rsidRPr="004C19BE">
        <w:rPr>
          <w:rFonts w:ascii="Arial" w:hAnsi="Arial" w:cs="Arial"/>
          <w:sz w:val="24"/>
          <w:szCs w:val="24"/>
        </w:rPr>
        <w:t xml:space="preserve"> </w:t>
      </w:r>
      <w:r w:rsidR="00562702" w:rsidRPr="004C19BE">
        <w:rPr>
          <w:rFonts w:ascii="Arial" w:hAnsi="Arial" w:cs="Arial"/>
          <w:sz w:val="24"/>
          <w:szCs w:val="24"/>
        </w:rPr>
        <w:t xml:space="preserve">some weakening of regulatory </w:t>
      </w:r>
      <w:r w:rsidR="00021930" w:rsidRPr="004C19BE">
        <w:rPr>
          <w:rFonts w:ascii="Arial" w:hAnsi="Arial" w:cs="Arial"/>
          <w:sz w:val="24"/>
          <w:szCs w:val="24"/>
        </w:rPr>
        <w:t>‘bite’</w:t>
      </w:r>
      <w:r w:rsidR="00131672" w:rsidRPr="004C19BE">
        <w:rPr>
          <w:rFonts w:ascii="Arial" w:hAnsi="Arial" w:cs="Arial"/>
          <w:sz w:val="24"/>
          <w:szCs w:val="24"/>
        </w:rPr>
        <w:t xml:space="preserve"> (Howarth</w:t>
      </w:r>
      <w:r w:rsidR="0000641A">
        <w:rPr>
          <w:rFonts w:ascii="Arial" w:hAnsi="Arial" w:cs="Arial"/>
          <w:sz w:val="24"/>
          <w:szCs w:val="24"/>
        </w:rPr>
        <w:t>,</w:t>
      </w:r>
      <w:r w:rsidR="00131672" w:rsidRPr="004C19BE">
        <w:rPr>
          <w:rFonts w:ascii="Arial" w:hAnsi="Arial" w:cs="Arial"/>
          <w:sz w:val="24"/>
          <w:szCs w:val="24"/>
        </w:rPr>
        <w:t xml:space="preserve"> 2009)</w:t>
      </w:r>
      <w:r w:rsidR="003E1A20" w:rsidRPr="004C19BE">
        <w:rPr>
          <w:rFonts w:ascii="Arial" w:hAnsi="Arial" w:cs="Arial"/>
          <w:sz w:val="24"/>
          <w:szCs w:val="24"/>
        </w:rPr>
        <w:t>.</w:t>
      </w:r>
      <w:r w:rsidR="00233E47">
        <w:rPr>
          <w:rFonts w:ascii="Arial" w:hAnsi="Arial" w:cs="Arial"/>
          <w:sz w:val="24"/>
          <w:szCs w:val="24"/>
        </w:rPr>
        <w:t>Nevertheless, t</w:t>
      </w:r>
      <w:r w:rsidR="00131672">
        <w:rPr>
          <w:rFonts w:ascii="Arial" w:hAnsi="Arial" w:cs="Arial"/>
          <w:sz w:val="24"/>
          <w:szCs w:val="24"/>
        </w:rPr>
        <w:t xml:space="preserve">here is sufficient coherence to the EU’s regulatory style for the environment to </w:t>
      </w:r>
      <w:r w:rsidR="00F44F8B">
        <w:rPr>
          <w:rFonts w:ascii="Arial" w:hAnsi="Arial" w:cs="Arial"/>
          <w:sz w:val="24"/>
          <w:szCs w:val="24"/>
        </w:rPr>
        <w:t>distil its k</w:t>
      </w:r>
      <w:r w:rsidR="007D7E44">
        <w:rPr>
          <w:rFonts w:ascii="Arial" w:hAnsi="Arial" w:cs="Arial"/>
          <w:sz w:val="24"/>
          <w:szCs w:val="24"/>
        </w:rPr>
        <w:t>ey features, as shown in Table 2</w:t>
      </w:r>
      <w:r w:rsidR="00F44F8B">
        <w:rPr>
          <w:rFonts w:ascii="Arial" w:hAnsi="Arial" w:cs="Arial"/>
          <w:sz w:val="24"/>
          <w:szCs w:val="24"/>
        </w:rPr>
        <w:t xml:space="preserve">, to </w:t>
      </w:r>
      <w:r w:rsidR="00131672">
        <w:rPr>
          <w:rFonts w:ascii="Arial" w:hAnsi="Arial" w:cs="Arial"/>
          <w:sz w:val="24"/>
          <w:szCs w:val="24"/>
        </w:rPr>
        <w:t>inform compar</w:t>
      </w:r>
      <w:r w:rsidR="00F44F8B">
        <w:rPr>
          <w:rFonts w:ascii="Arial" w:hAnsi="Arial" w:cs="Arial"/>
          <w:sz w:val="24"/>
          <w:szCs w:val="24"/>
        </w:rPr>
        <w:t>ison</w:t>
      </w:r>
      <w:r w:rsidR="004542B3">
        <w:rPr>
          <w:rFonts w:ascii="Arial" w:hAnsi="Arial" w:cs="Arial"/>
          <w:sz w:val="24"/>
          <w:szCs w:val="24"/>
        </w:rPr>
        <w:t xml:space="preserve"> with UK planning.</w:t>
      </w:r>
    </w:p>
    <w:p w:rsidR="00527AAC" w:rsidRDefault="00527AAC">
      <w:pPr>
        <w:rPr>
          <w:rFonts w:ascii="Arial" w:hAnsi="Arial" w:cs="Arial"/>
          <w:sz w:val="24"/>
          <w:szCs w:val="24"/>
        </w:rPr>
      </w:pPr>
    </w:p>
    <w:p w:rsidR="008F0ED1" w:rsidRPr="00683A42" w:rsidRDefault="00F81825">
      <w:pPr>
        <w:rPr>
          <w:rFonts w:ascii="Arial" w:hAnsi="Arial" w:cs="Arial"/>
          <w:b/>
          <w:sz w:val="24"/>
          <w:szCs w:val="24"/>
        </w:rPr>
      </w:pPr>
      <w:r w:rsidRPr="00683A42">
        <w:rPr>
          <w:rFonts w:ascii="Arial" w:hAnsi="Arial" w:cs="Arial"/>
          <w:b/>
          <w:sz w:val="24"/>
          <w:szCs w:val="24"/>
        </w:rPr>
        <w:t xml:space="preserve">&lt;Insert Table </w:t>
      </w:r>
      <w:r w:rsidR="007D7E44">
        <w:rPr>
          <w:rFonts w:ascii="Arial" w:hAnsi="Arial" w:cs="Arial"/>
          <w:b/>
          <w:sz w:val="24"/>
          <w:szCs w:val="24"/>
        </w:rPr>
        <w:t>2</w:t>
      </w:r>
      <w:r w:rsidRPr="00683A42">
        <w:rPr>
          <w:rFonts w:ascii="Arial" w:hAnsi="Arial" w:cs="Arial"/>
          <w:b/>
          <w:sz w:val="24"/>
          <w:szCs w:val="24"/>
        </w:rPr>
        <w:t xml:space="preserve"> somewhere near here&gt;</w:t>
      </w:r>
    </w:p>
    <w:p w:rsidR="008F0ED1" w:rsidRDefault="008F0ED1">
      <w:pPr>
        <w:rPr>
          <w:rFonts w:ascii="Arial" w:hAnsi="Arial" w:cs="Arial"/>
          <w:sz w:val="24"/>
          <w:szCs w:val="24"/>
        </w:rPr>
      </w:pPr>
    </w:p>
    <w:p w:rsidR="00AF6678" w:rsidRDefault="00131672">
      <w:pPr>
        <w:rPr>
          <w:rFonts w:ascii="Arial" w:hAnsi="Arial" w:cs="Arial"/>
          <w:sz w:val="24"/>
          <w:szCs w:val="24"/>
        </w:rPr>
      </w:pPr>
      <w:r>
        <w:rPr>
          <w:rFonts w:ascii="Arial" w:hAnsi="Arial" w:cs="Arial"/>
          <w:sz w:val="24"/>
          <w:szCs w:val="24"/>
        </w:rPr>
        <w:t>Broadly speaking, the regulatory style of UK planning</w:t>
      </w:r>
      <w:r w:rsidR="00CE528C">
        <w:rPr>
          <w:rFonts w:ascii="Arial" w:hAnsi="Arial" w:cs="Arial"/>
          <w:sz w:val="24"/>
          <w:szCs w:val="24"/>
        </w:rPr>
        <w:t xml:space="preserve"> </w:t>
      </w:r>
      <w:r>
        <w:rPr>
          <w:rFonts w:ascii="Arial" w:hAnsi="Arial" w:cs="Arial"/>
          <w:sz w:val="24"/>
          <w:szCs w:val="24"/>
        </w:rPr>
        <w:t>is characterise</w:t>
      </w:r>
      <w:r w:rsidR="008D36EC">
        <w:rPr>
          <w:rFonts w:ascii="Arial" w:hAnsi="Arial" w:cs="Arial"/>
          <w:sz w:val="24"/>
          <w:szCs w:val="24"/>
        </w:rPr>
        <w:t xml:space="preserve">d </w:t>
      </w:r>
      <w:r w:rsidR="00156103">
        <w:rPr>
          <w:rFonts w:ascii="Arial" w:hAnsi="Arial" w:cs="Arial"/>
          <w:sz w:val="24"/>
          <w:szCs w:val="24"/>
        </w:rPr>
        <w:t xml:space="preserve">more </w:t>
      </w:r>
      <w:r w:rsidR="008D36EC">
        <w:rPr>
          <w:rFonts w:ascii="Arial" w:hAnsi="Arial" w:cs="Arial"/>
          <w:sz w:val="24"/>
          <w:szCs w:val="24"/>
        </w:rPr>
        <w:t>by discretion and flexibility</w:t>
      </w:r>
      <w:r w:rsidR="004475F0">
        <w:rPr>
          <w:rFonts w:ascii="Arial" w:hAnsi="Arial" w:cs="Arial"/>
          <w:sz w:val="24"/>
          <w:szCs w:val="24"/>
        </w:rPr>
        <w:t>, reflecting in part its common law traditions</w:t>
      </w:r>
      <w:r w:rsidR="00834691">
        <w:rPr>
          <w:rFonts w:ascii="Arial" w:hAnsi="Arial" w:cs="Arial"/>
          <w:sz w:val="24"/>
          <w:szCs w:val="24"/>
        </w:rPr>
        <w:t xml:space="preserve"> (</w:t>
      </w:r>
      <w:r w:rsidR="002057E0">
        <w:rPr>
          <w:rFonts w:ascii="Arial" w:hAnsi="Arial" w:cs="Arial"/>
          <w:sz w:val="24"/>
          <w:szCs w:val="24"/>
        </w:rPr>
        <w:t>Booth</w:t>
      </w:r>
      <w:r w:rsidR="0000641A">
        <w:rPr>
          <w:rFonts w:ascii="Arial" w:hAnsi="Arial" w:cs="Arial"/>
          <w:sz w:val="24"/>
          <w:szCs w:val="24"/>
        </w:rPr>
        <w:t>,</w:t>
      </w:r>
      <w:r w:rsidR="002057E0">
        <w:rPr>
          <w:rFonts w:ascii="Arial" w:hAnsi="Arial" w:cs="Arial"/>
          <w:sz w:val="24"/>
          <w:szCs w:val="24"/>
        </w:rPr>
        <w:t xml:space="preserve"> 2007</w:t>
      </w:r>
      <w:r w:rsidR="00834691">
        <w:rPr>
          <w:rFonts w:ascii="Arial" w:hAnsi="Arial" w:cs="Arial"/>
          <w:sz w:val="24"/>
          <w:szCs w:val="24"/>
        </w:rPr>
        <w:t>)</w:t>
      </w:r>
      <w:r w:rsidR="008D36EC">
        <w:rPr>
          <w:rFonts w:ascii="Arial" w:hAnsi="Arial" w:cs="Arial"/>
          <w:sz w:val="24"/>
          <w:szCs w:val="24"/>
        </w:rPr>
        <w:t xml:space="preserve">. </w:t>
      </w:r>
      <w:r w:rsidR="008A6F0E">
        <w:rPr>
          <w:rFonts w:ascii="Arial" w:hAnsi="Arial" w:cs="Arial"/>
          <w:sz w:val="24"/>
          <w:szCs w:val="24"/>
        </w:rPr>
        <w:t>This</w:t>
      </w:r>
      <w:r w:rsidR="008F0ED1">
        <w:rPr>
          <w:rFonts w:ascii="Arial" w:hAnsi="Arial" w:cs="Arial"/>
          <w:sz w:val="24"/>
          <w:szCs w:val="24"/>
        </w:rPr>
        <w:t xml:space="preserve"> can be </w:t>
      </w:r>
      <w:r w:rsidR="00B3392A">
        <w:rPr>
          <w:rFonts w:ascii="Arial" w:hAnsi="Arial" w:cs="Arial"/>
          <w:sz w:val="24"/>
          <w:szCs w:val="24"/>
        </w:rPr>
        <w:t>observed</w:t>
      </w:r>
      <w:r w:rsidR="00230380">
        <w:rPr>
          <w:rFonts w:ascii="Arial" w:hAnsi="Arial" w:cs="Arial"/>
          <w:sz w:val="24"/>
          <w:szCs w:val="24"/>
        </w:rPr>
        <w:t xml:space="preserve"> </w:t>
      </w:r>
      <w:r>
        <w:rPr>
          <w:rFonts w:ascii="Arial" w:hAnsi="Arial" w:cs="Arial"/>
          <w:sz w:val="24"/>
          <w:szCs w:val="24"/>
        </w:rPr>
        <w:t xml:space="preserve">in </w:t>
      </w:r>
      <w:r w:rsidR="008D36EC">
        <w:rPr>
          <w:rFonts w:ascii="Arial" w:hAnsi="Arial" w:cs="Arial"/>
          <w:sz w:val="24"/>
          <w:szCs w:val="24"/>
        </w:rPr>
        <w:t>the use of</w:t>
      </w:r>
      <w:r>
        <w:rPr>
          <w:rFonts w:ascii="Arial" w:hAnsi="Arial" w:cs="Arial"/>
          <w:sz w:val="24"/>
          <w:szCs w:val="24"/>
        </w:rPr>
        <w:t xml:space="preserve"> broad enabling legislation</w:t>
      </w:r>
      <w:r w:rsidR="008D36EC">
        <w:rPr>
          <w:rFonts w:ascii="Arial" w:hAnsi="Arial" w:cs="Arial"/>
          <w:sz w:val="24"/>
          <w:szCs w:val="24"/>
        </w:rPr>
        <w:t>,</w:t>
      </w:r>
      <w:r>
        <w:rPr>
          <w:rFonts w:ascii="Arial" w:hAnsi="Arial" w:cs="Arial"/>
          <w:sz w:val="24"/>
          <w:szCs w:val="24"/>
        </w:rPr>
        <w:t xml:space="preserve"> deferring substantive detail to policy statements</w:t>
      </w:r>
      <w:r w:rsidR="00BB683F">
        <w:rPr>
          <w:rFonts w:ascii="Arial" w:hAnsi="Arial" w:cs="Arial"/>
          <w:sz w:val="24"/>
          <w:szCs w:val="24"/>
        </w:rPr>
        <w:t xml:space="preserve"> produced by the executive</w:t>
      </w:r>
      <w:r w:rsidR="008D36EC">
        <w:rPr>
          <w:rFonts w:ascii="Arial" w:hAnsi="Arial" w:cs="Arial"/>
          <w:sz w:val="24"/>
          <w:szCs w:val="24"/>
        </w:rPr>
        <w:t>. T</w:t>
      </w:r>
      <w:r>
        <w:rPr>
          <w:rFonts w:ascii="Arial" w:hAnsi="Arial" w:cs="Arial"/>
          <w:sz w:val="24"/>
          <w:szCs w:val="24"/>
        </w:rPr>
        <w:t>his gives much fr</w:t>
      </w:r>
      <w:r w:rsidR="00BB683F">
        <w:rPr>
          <w:rFonts w:ascii="Arial" w:hAnsi="Arial" w:cs="Arial"/>
          <w:sz w:val="24"/>
          <w:szCs w:val="24"/>
        </w:rPr>
        <w:t>eedom for manoeuvre to government</w:t>
      </w:r>
      <w:r w:rsidR="008D36EC">
        <w:rPr>
          <w:rFonts w:ascii="Arial" w:hAnsi="Arial" w:cs="Arial"/>
          <w:sz w:val="24"/>
          <w:szCs w:val="24"/>
        </w:rPr>
        <w:t xml:space="preserve">, underpinning the considerable </w:t>
      </w:r>
      <w:r w:rsidR="00156103">
        <w:rPr>
          <w:rFonts w:ascii="Arial" w:hAnsi="Arial" w:cs="Arial"/>
          <w:sz w:val="24"/>
          <w:szCs w:val="24"/>
        </w:rPr>
        <w:t xml:space="preserve">centralisation of </w:t>
      </w:r>
      <w:r w:rsidR="008D36EC">
        <w:rPr>
          <w:rFonts w:ascii="Arial" w:hAnsi="Arial" w:cs="Arial"/>
          <w:sz w:val="24"/>
          <w:szCs w:val="24"/>
        </w:rPr>
        <w:t>pow</w:t>
      </w:r>
      <w:r w:rsidR="00156103">
        <w:rPr>
          <w:rFonts w:ascii="Arial" w:hAnsi="Arial" w:cs="Arial"/>
          <w:sz w:val="24"/>
          <w:szCs w:val="24"/>
        </w:rPr>
        <w:t>er that</w:t>
      </w:r>
      <w:r w:rsidR="008D36EC">
        <w:rPr>
          <w:rFonts w:ascii="Arial" w:hAnsi="Arial" w:cs="Arial"/>
          <w:sz w:val="24"/>
          <w:szCs w:val="24"/>
        </w:rPr>
        <w:t xml:space="preserve"> is another characteristic of UK regulatory styles.  </w:t>
      </w:r>
      <w:r w:rsidR="00A77E15">
        <w:rPr>
          <w:rFonts w:ascii="Arial" w:hAnsi="Arial" w:cs="Arial"/>
          <w:sz w:val="24"/>
          <w:szCs w:val="24"/>
        </w:rPr>
        <w:t>T</w:t>
      </w:r>
      <w:r w:rsidR="008D36EC">
        <w:rPr>
          <w:rFonts w:ascii="Arial" w:hAnsi="Arial" w:cs="Arial"/>
          <w:sz w:val="24"/>
          <w:szCs w:val="24"/>
        </w:rPr>
        <w:t>here is</w:t>
      </w:r>
      <w:r w:rsidR="00CE528C">
        <w:rPr>
          <w:rFonts w:ascii="Arial" w:hAnsi="Arial" w:cs="Arial"/>
          <w:sz w:val="24"/>
          <w:szCs w:val="24"/>
        </w:rPr>
        <w:t xml:space="preserve"> </w:t>
      </w:r>
      <w:r w:rsidR="00A77E15">
        <w:rPr>
          <w:rFonts w:ascii="Arial" w:hAnsi="Arial" w:cs="Arial"/>
          <w:sz w:val="24"/>
          <w:szCs w:val="24"/>
        </w:rPr>
        <w:t xml:space="preserve">also </w:t>
      </w:r>
      <w:r w:rsidR="00683A42">
        <w:rPr>
          <w:rFonts w:ascii="Arial" w:hAnsi="Arial" w:cs="Arial"/>
          <w:sz w:val="24"/>
          <w:szCs w:val="24"/>
        </w:rPr>
        <w:t>much</w:t>
      </w:r>
      <w:r w:rsidR="008D36EC">
        <w:rPr>
          <w:rFonts w:ascii="Arial" w:hAnsi="Arial" w:cs="Arial"/>
          <w:sz w:val="24"/>
          <w:szCs w:val="24"/>
        </w:rPr>
        <w:t xml:space="preserve"> flexibility and discretion conferred on local planning authorities e.g.</w:t>
      </w:r>
      <w:r w:rsidR="00CB48E7">
        <w:rPr>
          <w:rFonts w:ascii="Arial" w:hAnsi="Arial" w:cs="Arial"/>
          <w:sz w:val="24"/>
          <w:szCs w:val="24"/>
        </w:rPr>
        <w:t xml:space="preserve"> in drawing up plans and making individual development control decisions</w:t>
      </w:r>
      <w:r w:rsidR="00CE528C">
        <w:rPr>
          <w:rFonts w:ascii="Arial" w:hAnsi="Arial" w:cs="Arial"/>
          <w:sz w:val="24"/>
          <w:szCs w:val="24"/>
        </w:rPr>
        <w:t xml:space="preserve"> </w:t>
      </w:r>
      <w:r w:rsidR="005E34A0">
        <w:rPr>
          <w:rFonts w:ascii="Arial" w:hAnsi="Arial" w:cs="Arial"/>
          <w:sz w:val="24"/>
          <w:szCs w:val="24"/>
        </w:rPr>
        <w:t xml:space="preserve">that </w:t>
      </w:r>
      <w:r w:rsidR="00545E9D">
        <w:rPr>
          <w:rFonts w:ascii="Arial" w:hAnsi="Arial" w:cs="Arial"/>
          <w:sz w:val="24"/>
          <w:szCs w:val="24"/>
        </w:rPr>
        <w:t xml:space="preserve">ostensibly </w:t>
      </w:r>
      <w:r w:rsidR="00683A42">
        <w:rPr>
          <w:rFonts w:ascii="Arial" w:hAnsi="Arial" w:cs="Arial"/>
          <w:sz w:val="24"/>
          <w:szCs w:val="24"/>
        </w:rPr>
        <w:t>balance</w:t>
      </w:r>
      <w:r w:rsidR="005E34A0">
        <w:rPr>
          <w:rFonts w:ascii="Arial" w:hAnsi="Arial" w:cs="Arial"/>
          <w:sz w:val="24"/>
          <w:szCs w:val="24"/>
        </w:rPr>
        <w:t xml:space="preserve"> ‘material considerations’ with</w:t>
      </w:r>
      <w:r w:rsidR="0078163E">
        <w:rPr>
          <w:rFonts w:ascii="Arial" w:hAnsi="Arial" w:cs="Arial"/>
          <w:sz w:val="24"/>
          <w:szCs w:val="24"/>
        </w:rPr>
        <w:t xml:space="preserve"> public interest objective</w:t>
      </w:r>
      <w:r w:rsidR="00683A42">
        <w:rPr>
          <w:rFonts w:ascii="Arial" w:hAnsi="Arial" w:cs="Arial"/>
          <w:sz w:val="24"/>
          <w:szCs w:val="24"/>
        </w:rPr>
        <w:t>s</w:t>
      </w:r>
      <w:r w:rsidR="00CE528C">
        <w:rPr>
          <w:rFonts w:ascii="Arial" w:hAnsi="Arial" w:cs="Arial"/>
          <w:sz w:val="24"/>
          <w:szCs w:val="24"/>
        </w:rPr>
        <w:t xml:space="preserve"> </w:t>
      </w:r>
      <w:r w:rsidR="00FC18BC">
        <w:rPr>
          <w:rFonts w:ascii="Arial" w:hAnsi="Arial" w:cs="Arial"/>
          <w:sz w:val="24"/>
          <w:szCs w:val="24"/>
        </w:rPr>
        <w:t>(Booth</w:t>
      </w:r>
      <w:r w:rsidR="0000641A">
        <w:rPr>
          <w:rFonts w:ascii="Arial" w:hAnsi="Arial" w:cs="Arial"/>
          <w:sz w:val="24"/>
          <w:szCs w:val="24"/>
        </w:rPr>
        <w:t>,</w:t>
      </w:r>
      <w:r w:rsidR="00FC18BC">
        <w:rPr>
          <w:rFonts w:ascii="Arial" w:hAnsi="Arial" w:cs="Arial"/>
          <w:sz w:val="24"/>
          <w:szCs w:val="24"/>
        </w:rPr>
        <w:t xml:space="preserve"> 2007)</w:t>
      </w:r>
      <w:r w:rsidR="008D36EC">
        <w:rPr>
          <w:rFonts w:ascii="Arial" w:hAnsi="Arial" w:cs="Arial"/>
          <w:sz w:val="24"/>
          <w:szCs w:val="24"/>
        </w:rPr>
        <w:t xml:space="preserve">. </w:t>
      </w:r>
      <w:r w:rsidR="00FC18BC">
        <w:rPr>
          <w:rFonts w:ascii="Arial" w:hAnsi="Arial" w:cs="Arial"/>
          <w:sz w:val="24"/>
          <w:szCs w:val="24"/>
        </w:rPr>
        <w:t>Scope</w:t>
      </w:r>
      <w:r w:rsidR="008D36EC">
        <w:rPr>
          <w:rFonts w:ascii="Arial" w:hAnsi="Arial" w:cs="Arial"/>
          <w:sz w:val="24"/>
          <w:szCs w:val="24"/>
        </w:rPr>
        <w:t xml:space="preserve"> fo</w:t>
      </w:r>
      <w:r w:rsidR="00A77E15">
        <w:rPr>
          <w:rFonts w:ascii="Arial" w:hAnsi="Arial" w:cs="Arial"/>
          <w:sz w:val="24"/>
          <w:szCs w:val="24"/>
        </w:rPr>
        <w:t>r challenging decisions ha</w:t>
      </w:r>
      <w:r w:rsidR="00683A42">
        <w:rPr>
          <w:rFonts w:ascii="Arial" w:hAnsi="Arial" w:cs="Arial"/>
          <w:sz w:val="24"/>
          <w:szCs w:val="24"/>
        </w:rPr>
        <w:t>s</w:t>
      </w:r>
      <w:r w:rsidR="00A77E15">
        <w:rPr>
          <w:rFonts w:ascii="Arial" w:hAnsi="Arial" w:cs="Arial"/>
          <w:sz w:val="24"/>
          <w:szCs w:val="24"/>
        </w:rPr>
        <w:t xml:space="preserve"> limits</w:t>
      </w:r>
      <w:r w:rsidR="008D36EC">
        <w:rPr>
          <w:rFonts w:ascii="Arial" w:hAnsi="Arial" w:cs="Arial"/>
          <w:sz w:val="24"/>
          <w:szCs w:val="24"/>
        </w:rPr>
        <w:t>, being confined largely to developers or, where pursued through judicial review, to</w:t>
      </w:r>
      <w:r w:rsidR="00A77E15">
        <w:rPr>
          <w:rFonts w:ascii="Arial" w:hAnsi="Arial" w:cs="Arial"/>
          <w:sz w:val="24"/>
          <w:szCs w:val="24"/>
        </w:rPr>
        <w:t xml:space="preserve"> procedural matters. This contrasts with the </w:t>
      </w:r>
      <w:r w:rsidR="007C338B">
        <w:rPr>
          <w:rFonts w:ascii="Arial" w:hAnsi="Arial" w:cs="Arial"/>
          <w:sz w:val="24"/>
          <w:szCs w:val="24"/>
        </w:rPr>
        <w:t>outcome-orientation of EU legislation (Reid</w:t>
      </w:r>
      <w:r w:rsidR="0000641A">
        <w:rPr>
          <w:rFonts w:ascii="Arial" w:hAnsi="Arial" w:cs="Arial"/>
          <w:sz w:val="24"/>
          <w:szCs w:val="24"/>
        </w:rPr>
        <w:t>,</w:t>
      </w:r>
      <w:r w:rsidR="007C338B">
        <w:rPr>
          <w:rFonts w:ascii="Arial" w:hAnsi="Arial" w:cs="Arial"/>
          <w:sz w:val="24"/>
          <w:szCs w:val="24"/>
        </w:rPr>
        <w:t xml:space="preserve"> 2012)</w:t>
      </w:r>
      <w:r w:rsidR="00A77E15">
        <w:rPr>
          <w:rFonts w:ascii="Arial" w:hAnsi="Arial" w:cs="Arial"/>
          <w:sz w:val="24"/>
          <w:szCs w:val="24"/>
        </w:rPr>
        <w:t xml:space="preserve"> and open scope for complaints</w:t>
      </w:r>
      <w:r w:rsidR="007C338B">
        <w:rPr>
          <w:rFonts w:ascii="Arial" w:hAnsi="Arial" w:cs="Arial"/>
          <w:sz w:val="24"/>
          <w:szCs w:val="24"/>
        </w:rPr>
        <w:t>.</w:t>
      </w:r>
      <w:r w:rsidR="008657F4">
        <w:rPr>
          <w:rFonts w:ascii="Arial" w:hAnsi="Arial" w:cs="Arial"/>
          <w:sz w:val="24"/>
          <w:szCs w:val="24"/>
        </w:rPr>
        <w:t xml:space="preserve"> While UK legislation does structure the weight to be attached to environmental matters in planning, EU legislation has tended to add further weight and, </w:t>
      </w:r>
      <w:r w:rsidR="00545E9D">
        <w:rPr>
          <w:rFonts w:ascii="Arial" w:hAnsi="Arial" w:cs="Arial"/>
          <w:sz w:val="24"/>
          <w:szCs w:val="24"/>
        </w:rPr>
        <w:t>sometimes</w:t>
      </w:r>
      <w:r w:rsidR="008657F4">
        <w:rPr>
          <w:rFonts w:ascii="Arial" w:hAnsi="Arial" w:cs="Arial"/>
          <w:sz w:val="24"/>
          <w:szCs w:val="24"/>
        </w:rPr>
        <w:t>, specific procedural tests (Jones</w:t>
      </w:r>
      <w:r w:rsidR="0000641A">
        <w:rPr>
          <w:rFonts w:ascii="Arial" w:hAnsi="Arial" w:cs="Arial"/>
          <w:sz w:val="24"/>
          <w:szCs w:val="24"/>
        </w:rPr>
        <w:t>,</w:t>
      </w:r>
      <w:r w:rsidR="008657F4">
        <w:rPr>
          <w:rFonts w:ascii="Arial" w:hAnsi="Arial" w:cs="Arial"/>
          <w:sz w:val="24"/>
          <w:szCs w:val="24"/>
        </w:rPr>
        <w:t xml:space="preserve"> 2012).</w:t>
      </w:r>
    </w:p>
    <w:p w:rsidR="00AF6678" w:rsidRDefault="00AF6678">
      <w:pPr>
        <w:rPr>
          <w:rFonts w:ascii="Arial" w:hAnsi="Arial" w:cs="Arial"/>
          <w:sz w:val="24"/>
          <w:szCs w:val="24"/>
        </w:rPr>
      </w:pPr>
    </w:p>
    <w:p w:rsidR="00692329" w:rsidRDefault="00A77E15" w:rsidP="00A366EF">
      <w:pPr>
        <w:rPr>
          <w:rFonts w:ascii="Arial" w:hAnsi="Arial" w:cs="Arial"/>
          <w:sz w:val="24"/>
          <w:szCs w:val="24"/>
        </w:rPr>
      </w:pPr>
      <w:r>
        <w:rPr>
          <w:rFonts w:ascii="Arial" w:hAnsi="Arial" w:cs="Arial"/>
          <w:sz w:val="24"/>
          <w:szCs w:val="24"/>
        </w:rPr>
        <w:t xml:space="preserve">The distinctive </w:t>
      </w:r>
      <w:r w:rsidR="00FC18BC">
        <w:rPr>
          <w:rFonts w:ascii="Arial" w:hAnsi="Arial" w:cs="Arial"/>
          <w:sz w:val="24"/>
          <w:szCs w:val="24"/>
        </w:rPr>
        <w:t xml:space="preserve">features of each </w:t>
      </w:r>
      <w:r>
        <w:rPr>
          <w:rFonts w:ascii="Arial" w:hAnsi="Arial" w:cs="Arial"/>
          <w:sz w:val="24"/>
          <w:szCs w:val="24"/>
        </w:rPr>
        <w:t>regulatory style</w:t>
      </w:r>
      <w:r w:rsidR="002E0F62">
        <w:rPr>
          <w:rFonts w:ascii="Arial" w:hAnsi="Arial" w:cs="Arial"/>
          <w:sz w:val="24"/>
          <w:szCs w:val="24"/>
        </w:rPr>
        <w:t xml:space="preserve"> help to</w:t>
      </w:r>
      <w:r>
        <w:rPr>
          <w:rFonts w:ascii="Arial" w:hAnsi="Arial" w:cs="Arial"/>
          <w:sz w:val="24"/>
          <w:szCs w:val="24"/>
        </w:rPr>
        <w:t xml:space="preserve"> shape the </w:t>
      </w:r>
      <w:r w:rsidR="00E20FA3">
        <w:rPr>
          <w:rFonts w:ascii="Arial" w:hAnsi="Arial" w:cs="Arial"/>
          <w:sz w:val="24"/>
          <w:szCs w:val="24"/>
        </w:rPr>
        <w:t>interface between</w:t>
      </w:r>
      <w:r>
        <w:rPr>
          <w:rFonts w:ascii="Arial" w:hAnsi="Arial" w:cs="Arial"/>
          <w:sz w:val="24"/>
          <w:szCs w:val="24"/>
        </w:rPr>
        <w:t xml:space="preserve"> planning and (EU) environmental policy in the UK. I</w:t>
      </w:r>
      <w:r w:rsidR="00736259" w:rsidRPr="00736259">
        <w:rPr>
          <w:rFonts w:ascii="Arial" w:hAnsi="Arial" w:cs="Arial"/>
          <w:sz w:val="24"/>
          <w:szCs w:val="24"/>
        </w:rPr>
        <w:t xml:space="preserve">n formal constitutional terms the </w:t>
      </w:r>
      <w:r w:rsidR="00201AB0">
        <w:rPr>
          <w:rFonts w:ascii="Arial" w:hAnsi="Arial" w:cs="Arial"/>
          <w:sz w:val="24"/>
          <w:szCs w:val="24"/>
        </w:rPr>
        <w:t xml:space="preserve">interface is structured by the fact that </w:t>
      </w:r>
      <w:r w:rsidR="00736259" w:rsidRPr="00736259">
        <w:rPr>
          <w:rFonts w:ascii="Arial" w:hAnsi="Arial" w:cs="Arial"/>
          <w:sz w:val="24"/>
          <w:szCs w:val="24"/>
        </w:rPr>
        <w:t>environment is a ‘shared’ competence between the EU and Member States but planning</w:t>
      </w:r>
      <w:r w:rsidR="00CE528C">
        <w:rPr>
          <w:rFonts w:ascii="Arial" w:hAnsi="Arial" w:cs="Arial"/>
          <w:sz w:val="24"/>
          <w:szCs w:val="24"/>
        </w:rPr>
        <w:t xml:space="preserve"> </w:t>
      </w:r>
      <w:r w:rsidR="00736259" w:rsidRPr="00736259">
        <w:rPr>
          <w:rFonts w:ascii="Arial" w:hAnsi="Arial" w:cs="Arial"/>
          <w:sz w:val="24"/>
          <w:szCs w:val="24"/>
        </w:rPr>
        <w:t>remains largely a national matter.</w:t>
      </w:r>
      <w:r w:rsidR="00201AB0">
        <w:rPr>
          <w:rFonts w:ascii="Arial" w:hAnsi="Arial" w:cs="Arial"/>
          <w:sz w:val="24"/>
          <w:szCs w:val="24"/>
        </w:rPr>
        <w:t xml:space="preserve"> </w:t>
      </w:r>
      <w:r w:rsidR="00736259" w:rsidRPr="00736259">
        <w:rPr>
          <w:rFonts w:ascii="Arial" w:hAnsi="Arial" w:cs="Arial"/>
          <w:sz w:val="24"/>
          <w:szCs w:val="24"/>
        </w:rPr>
        <w:t xml:space="preserve">EU legislation in this sphere can only be adopted by unanimity (Article 192(2), Treaty on </w:t>
      </w:r>
      <w:r w:rsidR="007D1C0B">
        <w:rPr>
          <w:rFonts w:ascii="Arial" w:hAnsi="Arial" w:cs="Arial"/>
          <w:sz w:val="24"/>
          <w:szCs w:val="24"/>
        </w:rPr>
        <w:t xml:space="preserve">the Functioning of the </w:t>
      </w:r>
      <w:r w:rsidR="00736259" w:rsidRPr="00736259">
        <w:rPr>
          <w:rFonts w:ascii="Arial" w:hAnsi="Arial" w:cs="Arial"/>
          <w:sz w:val="24"/>
          <w:szCs w:val="24"/>
        </w:rPr>
        <w:t xml:space="preserve">European Union). </w:t>
      </w:r>
      <w:r w:rsidR="00201AB0">
        <w:rPr>
          <w:rFonts w:ascii="Arial" w:hAnsi="Arial" w:cs="Arial"/>
          <w:sz w:val="24"/>
          <w:szCs w:val="24"/>
        </w:rPr>
        <w:t>T</w:t>
      </w:r>
      <w:r w:rsidR="002A38A7">
        <w:rPr>
          <w:rFonts w:ascii="Arial" w:hAnsi="Arial" w:cs="Arial"/>
          <w:sz w:val="24"/>
          <w:szCs w:val="24"/>
        </w:rPr>
        <w:t xml:space="preserve">he line </w:t>
      </w:r>
      <w:r w:rsidR="00201AB0">
        <w:rPr>
          <w:rFonts w:ascii="Arial" w:hAnsi="Arial" w:cs="Arial"/>
          <w:sz w:val="24"/>
          <w:szCs w:val="24"/>
        </w:rPr>
        <w:t>is</w:t>
      </w:r>
      <w:r w:rsidR="002A38A7">
        <w:rPr>
          <w:rFonts w:ascii="Arial" w:hAnsi="Arial" w:cs="Arial"/>
          <w:sz w:val="24"/>
          <w:szCs w:val="24"/>
        </w:rPr>
        <w:t xml:space="preserve"> </w:t>
      </w:r>
      <w:r w:rsidR="00201AB0">
        <w:rPr>
          <w:rFonts w:ascii="Arial" w:hAnsi="Arial" w:cs="Arial"/>
          <w:sz w:val="24"/>
          <w:szCs w:val="24"/>
        </w:rPr>
        <w:t>more blurred than the high-level constitutional arrangements might suggest</w:t>
      </w:r>
      <w:r w:rsidR="002A38A7">
        <w:rPr>
          <w:rFonts w:ascii="Arial" w:hAnsi="Arial" w:cs="Arial"/>
          <w:sz w:val="24"/>
          <w:szCs w:val="24"/>
        </w:rPr>
        <w:t xml:space="preserve"> </w:t>
      </w:r>
      <w:r w:rsidR="00736259" w:rsidRPr="00736259">
        <w:rPr>
          <w:rFonts w:ascii="Arial" w:hAnsi="Arial" w:cs="Arial"/>
          <w:sz w:val="24"/>
          <w:szCs w:val="24"/>
        </w:rPr>
        <w:t>(</w:t>
      </w:r>
      <w:r w:rsidR="006803EC" w:rsidRPr="00736259">
        <w:rPr>
          <w:rFonts w:ascii="Arial" w:hAnsi="Arial" w:cs="Arial"/>
          <w:sz w:val="24"/>
          <w:szCs w:val="24"/>
        </w:rPr>
        <w:t>Bond et al</w:t>
      </w:r>
      <w:r w:rsidR="006803EC">
        <w:rPr>
          <w:rFonts w:ascii="Arial" w:hAnsi="Arial" w:cs="Arial"/>
          <w:sz w:val="24"/>
          <w:szCs w:val="24"/>
        </w:rPr>
        <w:t>.,</w:t>
      </w:r>
      <w:r w:rsidR="006803EC" w:rsidRPr="00736259">
        <w:rPr>
          <w:rFonts w:ascii="Arial" w:hAnsi="Arial" w:cs="Arial"/>
          <w:sz w:val="24"/>
          <w:szCs w:val="24"/>
        </w:rPr>
        <w:t xml:space="preserve"> 2016</w:t>
      </w:r>
      <w:r w:rsidR="006803EC">
        <w:rPr>
          <w:rFonts w:ascii="Arial" w:hAnsi="Arial" w:cs="Arial"/>
          <w:sz w:val="24"/>
          <w:szCs w:val="24"/>
        </w:rPr>
        <w:t xml:space="preserve">; </w:t>
      </w:r>
      <w:r w:rsidR="00736259" w:rsidRPr="00736259">
        <w:rPr>
          <w:rFonts w:ascii="Arial" w:hAnsi="Arial" w:cs="Arial"/>
          <w:sz w:val="24"/>
          <w:szCs w:val="24"/>
        </w:rPr>
        <w:t>Haigh</w:t>
      </w:r>
      <w:r w:rsidR="0000641A">
        <w:rPr>
          <w:rFonts w:ascii="Arial" w:hAnsi="Arial" w:cs="Arial"/>
          <w:sz w:val="24"/>
          <w:szCs w:val="24"/>
        </w:rPr>
        <w:t>,</w:t>
      </w:r>
      <w:r w:rsidR="00736259" w:rsidRPr="00736259">
        <w:rPr>
          <w:rFonts w:ascii="Arial" w:hAnsi="Arial" w:cs="Arial"/>
          <w:sz w:val="24"/>
          <w:szCs w:val="24"/>
        </w:rPr>
        <w:t xml:space="preserve"> 1987), </w:t>
      </w:r>
      <w:r w:rsidR="002A38A7">
        <w:rPr>
          <w:rFonts w:ascii="Arial" w:hAnsi="Arial" w:cs="Arial"/>
          <w:sz w:val="24"/>
          <w:szCs w:val="24"/>
        </w:rPr>
        <w:t xml:space="preserve">especially </w:t>
      </w:r>
      <w:r w:rsidR="00A366EF">
        <w:rPr>
          <w:rFonts w:ascii="Arial" w:hAnsi="Arial" w:cs="Arial"/>
          <w:sz w:val="24"/>
          <w:szCs w:val="24"/>
        </w:rPr>
        <w:t xml:space="preserve">on environmental matters, </w:t>
      </w:r>
      <w:r w:rsidR="00736259" w:rsidRPr="00736259">
        <w:rPr>
          <w:rFonts w:ascii="Arial" w:hAnsi="Arial" w:cs="Arial"/>
          <w:sz w:val="24"/>
          <w:szCs w:val="24"/>
        </w:rPr>
        <w:t xml:space="preserve">and </w:t>
      </w:r>
      <w:r w:rsidR="00201AB0">
        <w:rPr>
          <w:rFonts w:ascii="Arial" w:hAnsi="Arial" w:cs="Arial"/>
          <w:sz w:val="24"/>
          <w:szCs w:val="24"/>
        </w:rPr>
        <w:t>arguably</w:t>
      </w:r>
      <w:r w:rsidR="002A38A7">
        <w:rPr>
          <w:rFonts w:ascii="Arial" w:hAnsi="Arial" w:cs="Arial"/>
          <w:sz w:val="24"/>
          <w:szCs w:val="24"/>
        </w:rPr>
        <w:t xml:space="preserve"> </w:t>
      </w:r>
      <w:r w:rsidR="00736259" w:rsidRPr="00736259">
        <w:rPr>
          <w:rFonts w:ascii="Arial" w:hAnsi="Arial" w:cs="Arial"/>
          <w:sz w:val="24"/>
          <w:szCs w:val="24"/>
        </w:rPr>
        <w:t>should be permeable if planning is to integrat</w:t>
      </w:r>
      <w:r w:rsidR="003A6E65">
        <w:rPr>
          <w:rFonts w:ascii="Arial" w:hAnsi="Arial" w:cs="Arial"/>
          <w:sz w:val="24"/>
          <w:szCs w:val="24"/>
        </w:rPr>
        <w:t>e environmental</w:t>
      </w:r>
      <w:r w:rsidR="00736259" w:rsidRPr="00736259">
        <w:rPr>
          <w:rFonts w:ascii="Arial" w:hAnsi="Arial" w:cs="Arial"/>
          <w:sz w:val="24"/>
          <w:szCs w:val="24"/>
        </w:rPr>
        <w:t xml:space="preserve"> goal</w:t>
      </w:r>
      <w:r w:rsidR="003A6E65">
        <w:rPr>
          <w:rFonts w:ascii="Arial" w:hAnsi="Arial" w:cs="Arial"/>
          <w:sz w:val="24"/>
          <w:szCs w:val="24"/>
        </w:rPr>
        <w:t>s</w:t>
      </w:r>
      <w:r>
        <w:rPr>
          <w:rFonts w:ascii="Arial" w:hAnsi="Arial" w:cs="Arial"/>
          <w:sz w:val="24"/>
          <w:szCs w:val="24"/>
        </w:rPr>
        <w:t xml:space="preserve">. </w:t>
      </w:r>
      <w:r w:rsidR="00201AB0">
        <w:rPr>
          <w:rFonts w:ascii="Arial" w:hAnsi="Arial" w:cs="Arial"/>
          <w:sz w:val="24"/>
          <w:szCs w:val="24"/>
        </w:rPr>
        <w:t>In political terms</w:t>
      </w:r>
      <w:r w:rsidR="002A38A7">
        <w:rPr>
          <w:rFonts w:ascii="Arial" w:hAnsi="Arial" w:cs="Arial"/>
          <w:sz w:val="24"/>
          <w:szCs w:val="24"/>
        </w:rPr>
        <w:t>,</w:t>
      </w:r>
      <w:r w:rsidR="00B12F73" w:rsidRPr="00A366EF">
        <w:rPr>
          <w:rFonts w:ascii="Arial" w:hAnsi="Arial" w:cs="Arial"/>
          <w:sz w:val="24"/>
          <w:szCs w:val="24"/>
        </w:rPr>
        <w:t xml:space="preserve"> </w:t>
      </w:r>
      <w:r w:rsidR="00201AB0">
        <w:rPr>
          <w:rFonts w:ascii="Arial" w:hAnsi="Arial" w:cs="Arial"/>
          <w:sz w:val="24"/>
          <w:szCs w:val="24"/>
        </w:rPr>
        <w:t xml:space="preserve">the interface is shaped by the tendency of </w:t>
      </w:r>
      <w:r w:rsidR="00B12F73" w:rsidRPr="00A366EF">
        <w:rPr>
          <w:rFonts w:ascii="Arial" w:hAnsi="Arial" w:cs="Arial"/>
          <w:sz w:val="24"/>
          <w:szCs w:val="24"/>
        </w:rPr>
        <w:t xml:space="preserve">Westminster governments </w:t>
      </w:r>
      <w:r w:rsidR="002A38A7">
        <w:rPr>
          <w:rFonts w:ascii="Arial" w:hAnsi="Arial" w:cs="Arial"/>
          <w:sz w:val="24"/>
          <w:szCs w:val="24"/>
        </w:rPr>
        <w:t xml:space="preserve">to </w:t>
      </w:r>
      <w:r w:rsidR="00201AB0">
        <w:rPr>
          <w:rFonts w:ascii="Arial" w:hAnsi="Arial" w:cs="Arial"/>
          <w:sz w:val="24"/>
          <w:szCs w:val="24"/>
        </w:rPr>
        <w:t>take</w:t>
      </w:r>
      <w:r w:rsidR="002A38A7">
        <w:rPr>
          <w:rFonts w:ascii="Arial" w:hAnsi="Arial" w:cs="Arial"/>
          <w:sz w:val="24"/>
          <w:szCs w:val="24"/>
        </w:rPr>
        <w:t xml:space="preserve"> a</w:t>
      </w:r>
      <w:r w:rsidR="00B12F73" w:rsidRPr="00A366EF">
        <w:rPr>
          <w:rFonts w:ascii="Arial" w:hAnsi="Arial" w:cs="Arial"/>
          <w:sz w:val="24"/>
          <w:szCs w:val="24"/>
        </w:rPr>
        <w:t xml:space="preserve"> narrow, compliance-based approach</w:t>
      </w:r>
      <w:r w:rsidR="00CE528C">
        <w:rPr>
          <w:rFonts w:ascii="Arial" w:hAnsi="Arial" w:cs="Arial"/>
          <w:sz w:val="24"/>
          <w:szCs w:val="24"/>
        </w:rPr>
        <w:t xml:space="preserve"> </w:t>
      </w:r>
      <w:r w:rsidR="00443F16">
        <w:rPr>
          <w:rFonts w:ascii="Arial" w:hAnsi="Arial" w:cs="Arial"/>
          <w:sz w:val="24"/>
          <w:szCs w:val="24"/>
        </w:rPr>
        <w:t xml:space="preserve">to EU environmental legislation </w:t>
      </w:r>
      <w:r w:rsidR="00736969">
        <w:rPr>
          <w:rFonts w:ascii="Arial" w:hAnsi="Arial" w:cs="Arial"/>
          <w:sz w:val="24"/>
          <w:szCs w:val="24"/>
        </w:rPr>
        <w:t>(Howarth</w:t>
      </w:r>
      <w:r w:rsidR="0000641A">
        <w:rPr>
          <w:rFonts w:ascii="Arial" w:hAnsi="Arial" w:cs="Arial"/>
          <w:sz w:val="24"/>
          <w:szCs w:val="24"/>
        </w:rPr>
        <w:t>,</w:t>
      </w:r>
      <w:r w:rsidR="00736969">
        <w:rPr>
          <w:rFonts w:ascii="Arial" w:hAnsi="Arial" w:cs="Arial"/>
          <w:sz w:val="24"/>
          <w:szCs w:val="24"/>
        </w:rPr>
        <w:t xml:space="preserve"> 2009</w:t>
      </w:r>
      <w:r w:rsidR="004E4728">
        <w:rPr>
          <w:rFonts w:ascii="Arial" w:hAnsi="Arial" w:cs="Arial"/>
          <w:sz w:val="24"/>
          <w:szCs w:val="24"/>
        </w:rPr>
        <w:t xml:space="preserve">; </w:t>
      </w:r>
      <w:r w:rsidR="00B3392A">
        <w:rPr>
          <w:rFonts w:ascii="Arial" w:hAnsi="Arial" w:cs="Arial"/>
          <w:sz w:val="24"/>
          <w:szCs w:val="24"/>
        </w:rPr>
        <w:t>Morphet</w:t>
      </w:r>
      <w:r w:rsidR="0000641A">
        <w:rPr>
          <w:rFonts w:ascii="Arial" w:hAnsi="Arial" w:cs="Arial"/>
          <w:sz w:val="24"/>
          <w:szCs w:val="24"/>
        </w:rPr>
        <w:t>,</w:t>
      </w:r>
      <w:r w:rsidR="00B3392A">
        <w:rPr>
          <w:rFonts w:ascii="Arial" w:hAnsi="Arial" w:cs="Arial"/>
          <w:sz w:val="24"/>
          <w:szCs w:val="24"/>
        </w:rPr>
        <w:t xml:space="preserve"> 2017</w:t>
      </w:r>
      <w:r w:rsidR="00736969">
        <w:rPr>
          <w:rFonts w:ascii="Arial" w:hAnsi="Arial" w:cs="Arial"/>
          <w:sz w:val="24"/>
          <w:szCs w:val="24"/>
        </w:rPr>
        <w:t>)</w:t>
      </w:r>
      <w:r w:rsidR="00475D79">
        <w:rPr>
          <w:rFonts w:ascii="Arial" w:hAnsi="Arial" w:cs="Arial"/>
          <w:sz w:val="24"/>
          <w:szCs w:val="24"/>
        </w:rPr>
        <w:t>, minimising</w:t>
      </w:r>
      <w:r w:rsidR="00B12F73" w:rsidRPr="00A366EF">
        <w:rPr>
          <w:rFonts w:ascii="Arial" w:hAnsi="Arial" w:cs="Arial"/>
          <w:sz w:val="24"/>
          <w:szCs w:val="24"/>
        </w:rPr>
        <w:t xml:space="preserve"> the </w:t>
      </w:r>
      <w:r w:rsidR="00777403">
        <w:rPr>
          <w:rFonts w:ascii="Arial" w:hAnsi="Arial" w:cs="Arial"/>
          <w:sz w:val="24"/>
          <w:szCs w:val="24"/>
        </w:rPr>
        <w:t xml:space="preserve">more </w:t>
      </w:r>
      <w:r w:rsidR="00B12F73" w:rsidRPr="00A366EF">
        <w:rPr>
          <w:rFonts w:ascii="Arial" w:hAnsi="Arial" w:cs="Arial"/>
          <w:sz w:val="24"/>
          <w:szCs w:val="24"/>
        </w:rPr>
        <w:t xml:space="preserve">substantive </w:t>
      </w:r>
      <w:r w:rsidR="00777403">
        <w:rPr>
          <w:rFonts w:ascii="Arial" w:hAnsi="Arial" w:cs="Arial"/>
          <w:sz w:val="24"/>
          <w:szCs w:val="24"/>
        </w:rPr>
        <w:t xml:space="preserve">EU </w:t>
      </w:r>
      <w:r w:rsidR="00B12F73" w:rsidRPr="00A366EF">
        <w:rPr>
          <w:rFonts w:ascii="Arial" w:hAnsi="Arial" w:cs="Arial"/>
          <w:sz w:val="24"/>
          <w:szCs w:val="24"/>
        </w:rPr>
        <w:t>environmental agenda</w:t>
      </w:r>
      <w:r w:rsidR="00813169">
        <w:rPr>
          <w:rFonts w:ascii="Arial" w:hAnsi="Arial" w:cs="Arial"/>
          <w:sz w:val="24"/>
          <w:szCs w:val="24"/>
        </w:rPr>
        <w:t xml:space="preserve">, for example by </w:t>
      </w:r>
      <w:r w:rsidR="001C37D0" w:rsidRPr="001C37D0">
        <w:rPr>
          <w:rFonts w:ascii="Arial" w:hAnsi="Arial" w:cs="Arial"/>
          <w:sz w:val="24"/>
          <w:szCs w:val="24"/>
        </w:rPr>
        <w:t>critici</w:t>
      </w:r>
      <w:r w:rsidR="001C37D0">
        <w:rPr>
          <w:rFonts w:ascii="Arial" w:hAnsi="Arial" w:cs="Arial"/>
          <w:sz w:val="24"/>
          <w:szCs w:val="24"/>
        </w:rPr>
        <w:t>sing</w:t>
      </w:r>
      <w:r w:rsidR="001C37D0" w:rsidRPr="001C37D0">
        <w:rPr>
          <w:rFonts w:ascii="Arial" w:hAnsi="Arial" w:cs="Arial"/>
          <w:sz w:val="24"/>
          <w:szCs w:val="24"/>
        </w:rPr>
        <w:t xml:space="preserve"> EU ‘regulatory creep … imposing additional and expensive requirements on the planning system’</w:t>
      </w:r>
      <w:r w:rsidR="0000641A">
        <w:rPr>
          <w:rFonts w:ascii="Arial" w:hAnsi="Arial" w:cs="Arial"/>
          <w:sz w:val="24"/>
          <w:szCs w:val="24"/>
        </w:rPr>
        <w:t xml:space="preserve"> </w:t>
      </w:r>
      <w:r w:rsidR="005A4FE3">
        <w:rPr>
          <w:rFonts w:ascii="Arial" w:hAnsi="Arial" w:cs="Arial"/>
          <w:sz w:val="24"/>
          <w:szCs w:val="24"/>
        </w:rPr>
        <w:t>(Pickles</w:t>
      </w:r>
      <w:r w:rsidR="0000641A">
        <w:rPr>
          <w:rFonts w:ascii="Arial" w:hAnsi="Arial" w:cs="Arial"/>
          <w:sz w:val="24"/>
          <w:szCs w:val="24"/>
        </w:rPr>
        <w:t>,</w:t>
      </w:r>
      <w:r w:rsidR="005A4FE3">
        <w:rPr>
          <w:rFonts w:ascii="Arial" w:hAnsi="Arial" w:cs="Arial"/>
          <w:sz w:val="24"/>
          <w:szCs w:val="24"/>
        </w:rPr>
        <w:t xml:space="preserve"> 2012)</w:t>
      </w:r>
      <w:r w:rsidR="001C37D0" w:rsidRPr="001C37D0">
        <w:rPr>
          <w:rFonts w:ascii="Arial" w:hAnsi="Arial" w:cs="Arial"/>
          <w:sz w:val="24"/>
          <w:szCs w:val="24"/>
        </w:rPr>
        <w:t>.</w:t>
      </w:r>
      <w:r w:rsidR="00FC18BC">
        <w:rPr>
          <w:rFonts w:ascii="Arial" w:hAnsi="Arial" w:cs="Arial"/>
          <w:sz w:val="24"/>
          <w:szCs w:val="24"/>
        </w:rPr>
        <w:t xml:space="preserve"> T</w:t>
      </w:r>
      <w:r w:rsidR="00B12F73" w:rsidRPr="00A366EF">
        <w:rPr>
          <w:rFonts w:ascii="Arial" w:hAnsi="Arial" w:cs="Arial"/>
          <w:sz w:val="24"/>
          <w:szCs w:val="24"/>
        </w:rPr>
        <w:t>he fact that the UK had a comprehensive planning system in place pr</w:t>
      </w:r>
      <w:r w:rsidR="00626F05">
        <w:rPr>
          <w:rFonts w:ascii="Arial" w:hAnsi="Arial" w:cs="Arial"/>
          <w:sz w:val="24"/>
          <w:szCs w:val="24"/>
        </w:rPr>
        <w:t>ior to EU membership</w:t>
      </w:r>
      <w:r w:rsidR="00B12F73" w:rsidRPr="00A366EF">
        <w:rPr>
          <w:rFonts w:ascii="Arial" w:hAnsi="Arial" w:cs="Arial"/>
          <w:sz w:val="24"/>
          <w:szCs w:val="24"/>
        </w:rPr>
        <w:t xml:space="preserve"> has </w:t>
      </w:r>
      <w:r w:rsidR="00B3392A">
        <w:rPr>
          <w:rFonts w:ascii="Arial" w:hAnsi="Arial" w:cs="Arial"/>
          <w:sz w:val="24"/>
          <w:szCs w:val="24"/>
        </w:rPr>
        <w:t>l</w:t>
      </w:r>
      <w:r w:rsidR="00B60B66">
        <w:rPr>
          <w:rFonts w:ascii="Arial" w:hAnsi="Arial" w:cs="Arial"/>
          <w:sz w:val="24"/>
          <w:szCs w:val="24"/>
        </w:rPr>
        <w:t xml:space="preserve">ed to </w:t>
      </w:r>
      <w:r w:rsidR="00B12F73" w:rsidRPr="00A366EF">
        <w:rPr>
          <w:rFonts w:ascii="Arial" w:hAnsi="Arial" w:cs="Arial"/>
          <w:sz w:val="24"/>
          <w:szCs w:val="24"/>
        </w:rPr>
        <w:t>question</w:t>
      </w:r>
      <w:r w:rsidR="00B3392A">
        <w:rPr>
          <w:rFonts w:ascii="Arial" w:hAnsi="Arial" w:cs="Arial"/>
          <w:sz w:val="24"/>
          <w:szCs w:val="24"/>
        </w:rPr>
        <w:t>ing of</w:t>
      </w:r>
      <w:r w:rsidR="00B12F73" w:rsidRPr="00A366EF">
        <w:rPr>
          <w:rFonts w:ascii="Arial" w:hAnsi="Arial" w:cs="Arial"/>
          <w:sz w:val="24"/>
          <w:szCs w:val="24"/>
        </w:rPr>
        <w:t xml:space="preserve"> the added value of European environmental legislation</w:t>
      </w:r>
      <w:r w:rsidR="00FC18BC">
        <w:rPr>
          <w:rFonts w:ascii="Arial" w:hAnsi="Arial" w:cs="Arial"/>
          <w:sz w:val="24"/>
          <w:szCs w:val="24"/>
        </w:rPr>
        <w:t xml:space="preserve">; occasionally also by </w:t>
      </w:r>
      <w:r w:rsidR="00A54AB6">
        <w:rPr>
          <w:rFonts w:ascii="Arial" w:hAnsi="Arial" w:cs="Arial"/>
          <w:sz w:val="24"/>
          <w:szCs w:val="24"/>
        </w:rPr>
        <w:t>the planning profession (Haigh 1987).</w:t>
      </w:r>
    </w:p>
    <w:p w:rsidR="001C37D0" w:rsidRPr="001C37D0" w:rsidRDefault="001C37D0" w:rsidP="00545E9D">
      <w:pPr>
        <w:rPr>
          <w:rFonts w:ascii="Arial" w:hAnsi="Arial" w:cs="Arial"/>
          <w:sz w:val="24"/>
          <w:szCs w:val="24"/>
        </w:rPr>
      </w:pPr>
    </w:p>
    <w:p w:rsidR="009C30D8" w:rsidRDefault="00E42FC9" w:rsidP="00545E9D">
      <w:pPr>
        <w:rPr>
          <w:rFonts w:ascii="Arial" w:hAnsi="Arial" w:cs="Arial"/>
          <w:sz w:val="24"/>
          <w:szCs w:val="24"/>
        </w:rPr>
      </w:pPr>
      <w:r>
        <w:rPr>
          <w:rFonts w:ascii="Arial" w:hAnsi="Arial" w:cs="Arial"/>
          <w:sz w:val="24"/>
          <w:szCs w:val="24"/>
        </w:rPr>
        <w:t>The net result of this approach</w:t>
      </w:r>
      <w:r w:rsidR="00B12F73" w:rsidRPr="00B60B66">
        <w:rPr>
          <w:rFonts w:ascii="Arial" w:hAnsi="Arial" w:cs="Arial"/>
          <w:sz w:val="24"/>
          <w:szCs w:val="24"/>
        </w:rPr>
        <w:t xml:space="preserve"> is that the</w:t>
      </w:r>
      <w:r w:rsidR="00692329" w:rsidRPr="00B60B66">
        <w:rPr>
          <w:rFonts w:ascii="Arial" w:hAnsi="Arial" w:cs="Arial"/>
          <w:sz w:val="24"/>
          <w:szCs w:val="24"/>
        </w:rPr>
        <w:t xml:space="preserve"> Europeanization of </w:t>
      </w:r>
      <w:r w:rsidR="00A366EF" w:rsidRPr="00B60B66">
        <w:rPr>
          <w:rFonts w:ascii="Arial" w:hAnsi="Arial" w:cs="Arial"/>
          <w:sz w:val="24"/>
          <w:szCs w:val="24"/>
        </w:rPr>
        <w:t>environmental policy has served</w:t>
      </w:r>
      <w:r w:rsidR="00692329" w:rsidRPr="00B60B66">
        <w:rPr>
          <w:rFonts w:ascii="Arial" w:hAnsi="Arial" w:cs="Arial"/>
          <w:sz w:val="24"/>
          <w:szCs w:val="24"/>
        </w:rPr>
        <w:t xml:space="preserve"> both </w:t>
      </w:r>
      <w:r w:rsidR="00A366EF" w:rsidRPr="00B60B66">
        <w:rPr>
          <w:rFonts w:ascii="Arial" w:hAnsi="Arial" w:cs="Arial"/>
          <w:sz w:val="24"/>
          <w:szCs w:val="24"/>
        </w:rPr>
        <w:t xml:space="preserve">to </w:t>
      </w:r>
      <w:r w:rsidR="00692329" w:rsidRPr="00B60B66">
        <w:rPr>
          <w:rFonts w:ascii="Arial" w:hAnsi="Arial" w:cs="Arial"/>
          <w:sz w:val="24"/>
          <w:szCs w:val="24"/>
        </w:rPr>
        <w:t>drive forward environmental p</w:t>
      </w:r>
      <w:r w:rsidR="00B12F73" w:rsidRPr="00B60B66">
        <w:rPr>
          <w:rFonts w:ascii="Arial" w:hAnsi="Arial" w:cs="Arial"/>
          <w:sz w:val="24"/>
          <w:szCs w:val="24"/>
        </w:rPr>
        <w:t>rotection in planning</w:t>
      </w:r>
      <w:r w:rsidR="00692329" w:rsidRPr="00B60B66">
        <w:rPr>
          <w:rFonts w:ascii="Arial" w:hAnsi="Arial" w:cs="Arial"/>
          <w:sz w:val="24"/>
          <w:szCs w:val="24"/>
        </w:rPr>
        <w:t xml:space="preserve">, but also create a kind of separation (by governance level, and by </w:t>
      </w:r>
      <w:r w:rsidR="0078163E">
        <w:rPr>
          <w:rFonts w:ascii="Arial" w:hAnsi="Arial" w:cs="Arial"/>
          <w:sz w:val="24"/>
          <w:szCs w:val="24"/>
        </w:rPr>
        <w:t xml:space="preserve">regulatory </w:t>
      </w:r>
      <w:r w:rsidR="00692329" w:rsidRPr="00B60B66">
        <w:rPr>
          <w:rFonts w:ascii="Arial" w:hAnsi="Arial" w:cs="Arial"/>
          <w:sz w:val="24"/>
          <w:szCs w:val="24"/>
        </w:rPr>
        <w:t>style), with tight</w:t>
      </w:r>
      <w:r w:rsidR="00201AB0">
        <w:rPr>
          <w:rFonts w:ascii="Arial" w:hAnsi="Arial" w:cs="Arial"/>
          <w:sz w:val="24"/>
          <w:szCs w:val="24"/>
        </w:rPr>
        <w:t>, formal</w:t>
      </w:r>
      <w:r w:rsidR="00692329" w:rsidRPr="00B60B66">
        <w:rPr>
          <w:rFonts w:ascii="Arial" w:hAnsi="Arial" w:cs="Arial"/>
          <w:sz w:val="24"/>
          <w:szCs w:val="24"/>
        </w:rPr>
        <w:t xml:space="preserve"> regulation from </w:t>
      </w:r>
      <w:r w:rsidR="00A54AB6">
        <w:rPr>
          <w:rFonts w:ascii="Arial" w:hAnsi="Arial" w:cs="Arial"/>
          <w:sz w:val="24"/>
          <w:szCs w:val="24"/>
        </w:rPr>
        <w:t xml:space="preserve">the </w:t>
      </w:r>
      <w:r w:rsidR="00692329" w:rsidRPr="00B60B66">
        <w:rPr>
          <w:rFonts w:ascii="Arial" w:hAnsi="Arial" w:cs="Arial"/>
          <w:sz w:val="24"/>
          <w:szCs w:val="24"/>
        </w:rPr>
        <w:t xml:space="preserve">EU </w:t>
      </w:r>
      <w:r w:rsidR="00B3392A">
        <w:rPr>
          <w:rFonts w:ascii="Arial" w:hAnsi="Arial" w:cs="Arial"/>
          <w:sz w:val="24"/>
          <w:szCs w:val="24"/>
        </w:rPr>
        <w:t xml:space="preserve">interfacing with </w:t>
      </w:r>
      <w:r w:rsidR="00692329" w:rsidRPr="00B60B66">
        <w:rPr>
          <w:rFonts w:ascii="Arial" w:hAnsi="Arial" w:cs="Arial"/>
          <w:sz w:val="24"/>
          <w:szCs w:val="24"/>
        </w:rPr>
        <w:t>a UK</w:t>
      </w:r>
      <w:r w:rsidR="004E4728">
        <w:rPr>
          <w:rFonts w:ascii="Arial" w:hAnsi="Arial" w:cs="Arial"/>
          <w:sz w:val="24"/>
          <w:szCs w:val="24"/>
        </w:rPr>
        <w:t xml:space="preserve"> planning</w:t>
      </w:r>
      <w:r w:rsidR="00692329" w:rsidRPr="00B60B66">
        <w:rPr>
          <w:rFonts w:ascii="Arial" w:hAnsi="Arial" w:cs="Arial"/>
          <w:sz w:val="24"/>
          <w:szCs w:val="24"/>
        </w:rPr>
        <w:t xml:space="preserve"> regulatory style favour</w:t>
      </w:r>
      <w:r w:rsidR="00B3392A">
        <w:rPr>
          <w:rFonts w:ascii="Arial" w:hAnsi="Arial" w:cs="Arial"/>
          <w:sz w:val="24"/>
          <w:szCs w:val="24"/>
        </w:rPr>
        <w:t>ing</w:t>
      </w:r>
      <w:r w:rsidR="00692329" w:rsidRPr="00B60B66">
        <w:rPr>
          <w:rFonts w:ascii="Arial" w:hAnsi="Arial" w:cs="Arial"/>
          <w:sz w:val="24"/>
          <w:szCs w:val="24"/>
        </w:rPr>
        <w:t xml:space="preserve"> discretion, flexibility, </w:t>
      </w:r>
      <w:r w:rsidR="00B60B66">
        <w:rPr>
          <w:rFonts w:ascii="Arial" w:hAnsi="Arial" w:cs="Arial"/>
          <w:sz w:val="24"/>
          <w:szCs w:val="24"/>
        </w:rPr>
        <w:t xml:space="preserve">and </w:t>
      </w:r>
      <w:r w:rsidR="00692329" w:rsidRPr="00B60B66">
        <w:rPr>
          <w:rFonts w:ascii="Arial" w:hAnsi="Arial" w:cs="Arial"/>
          <w:sz w:val="24"/>
          <w:szCs w:val="24"/>
        </w:rPr>
        <w:t>case-by-case balance.</w:t>
      </w:r>
      <w:r w:rsidR="00CE528C">
        <w:rPr>
          <w:rFonts w:ascii="Arial" w:hAnsi="Arial" w:cs="Arial"/>
          <w:sz w:val="24"/>
          <w:szCs w:val="24"/>
        </w:rPr>
        <w:t xml:space="preserve"> </w:t>
      </w:r>
      <w:r w:rsidR="007D7E44">
        <w:rPr>
          <w:rFonts w:ascii="Arial" w:hAnsi="Arial" w:cs="Arial"/>
          <w:sz w:val="24"/>
          <w:szCs w:val="24"/>
        </w:rPr>
        <w:t xml:space="preserve">The consequence is a number of complexities, tensions and fissures in the relationship between two regulatory systems. For example, although the EU has pushed the UK to meet its air quality standards, </w:t>
      </w:r>
      <w:r w:rsidR="008621C2">
        <w:rPr>
          <w:rFonts w:ascii="Arial" w:hAnsi="Arial" w:cs="Arial"/>
          <w:sz w:val="24"/>
          <w:szCs w:val="24"/>
        </w:rPr>
        <w:t>this has not always been weighted heavily in planning: thus, the traffic-related pollution generated by specific land allocations ha</w:t>
      </w:r>
      <w:r w:rsidR="00545E9D">
        <w:rPr>
          <w:rFonts w:ascii="Arial" w:hAnsi="Arial" w:cs="Arial"/>
          <w:sz w:val="24"/>
          <w:szCs w:val="24"/>
        </w:rPr>
        <w:t>s</w:t>
      </w:r>
      <w:r w:rsidR="008621C2">
        <w:rPr>
          <w:rFonts w:ascii="Arial" w:hAnsi="Arial" w:cs="Arial"/>
          <w:sz w:val="24"/>
          <w:szCs w:val="24"/>
        </w:rPr>
        <w:t xml:space="preserve"> tended to be treated as just one material consideration to be balanced against others in making decisions. Successful infraction proceedings</w:t>
      </w:r>
      <w:r w:rsidR="007D7E44">
        <w:rPr>
          <w:rFonts w:ascii="Arial" w:hAnsi="Arial" w:cs="Arial"/>
          <w:sz w:val="24"/>
          <w:szCs w:val="24"/>
        </w:rPr>
        <w:t xml:space="preserve"> brought </w:t>
      </w:r>
      <w:r w:rsidR="008621C2">
        <w:rPr>
          <w:rFonts w:ascii="Arial" w:hAnsi="Arial" w:cs="Arial"/>
          <w:sz w:val="24"/>
          <w:szCs w:val="24"/>
        </w:rPr>
        <w:t xml:space="preserve">against the UK government for exceeding EU limit values (Barnes et al., 2018) </w:t>
      </w:r>
      <w:r w:rsidR="00545E9D">
        <w:rPr>
          <w:rFonts w:ascii="Arial" w:hAnsi="Arial" w:cs="Arial"/>
          <w:sz w:val="24"/>
          <w:szCs w:val="24"/>
        </w:rPr>
        <w:t>have led</w:t>
      </w:r>
      <w:r w:rsidR="008621C2">
        <w:rPr>
          <w:rFonts w:ascii="Arial" w:hAnsi="Arial" w:cs="Arial"/>
          <w:sz w:val="24"/>
          <w:szCs w:val="24"/>
        </w:rPr>
        <w:t xml:space="preserve"> to tightening connections between plan-making and air quality, as witnessed in other EU member states (Van Ravensteyn and Evers 2004).</w:t>
      </w:r>
    </w:p>
    <w:p w:rsidR="009C30D8" w:rsidRDefault="009C30D8" w:rsidP="00545E9D">
      <w:pPr>
        <w:rPr>
          <w:rFonts w:ascii="Arial" w:hAnsi="Arial" w:cs="Arial"/>
          <w:sz w:val="24"/>
          <w:szCs w:val="24"/>
        </w:rPr>
      </w:pPr>
    </w:p>
    <w:p w:rsidR="008D6054" w:rsidRDefault="007D7E44" w:rsidP="00545E9D">
      <w:pPr>
        <w:rPr>
          <w:rFonts w:ascii="Arial" w:hAnsi="Arial" w:cs="Arial"/>
          <w:sz w:val="24"/>
          <w:szCs w:val="24"/>
        </w:rPr>
      </w:pPr>
      <w:r>
        <w:rPr>
          <w:rFonts w:ascii="Arial" w:hAnsi="Arial" w:cs="Arial"/>
          <w:sz w:val="24"/>
          <w:szCs w:val="24"/>
        </w:rPr>
        <w:t>T</w:t>
      </w:r>
      <w:r w:rsidRPr="004C19BE">
        <w:rPr>
          <w:rFonts w:ascii="Arial" w:hAnsi="Arial" w:cs="Arial"/>
          <w:sz w:val="24"/>
          <w:szCs w:val="24"/>
        </w:rPr>
        <w:t xml:space="preserve">he EU has also reinforced compliance with the Aarhus Convention on </w:t>
      </w:r>
      <w:r w:rsidRPr="004C19BE">
        <w:rPr>
          <w:rFonts w:ascii="Arial" w:hAnsi="Arial" w:cs="Arial"/>
          <w:i/>
          <w:sz w:val="24"/>
          <w:szCs w:val="24"/>
        </w:rPr>
        <w:t>Access to Information, Public Participation in Decision-Making and Access to Justice in Environmental Matters</w:t>
      </w:r>
      <w:r w:rsidRPr="004C19BE">
        <w:rPr>
          <w:rFonts w:ascii="Arial" w:hAnsi="Arial" w:cs="Arial"/>
          <w:sz w:val="24"/>
          <w:szCs w:val="24"/>
        </w:rPr>
        <w:t>, pres</w:t>
      </w:r>
      <w:r w:rsidR="009C3009">
        <w:rPr>
          <w:rFonts w:ascii="Arial" w:hAnsi="Arial" w:cs="Arial"/>
          <w:sz w:val="24"/>
          <w:szCs w:val="24"/>
        </w:rPr>
        <w:t xml:space="preserve">sing the UK government on </w:t>
      </w:r>
      <w:r w:rsidR="009C30D8" w:rsidRPr="009C30D8">
        <w:rPr>
          <w:rFonts w:ascii="Arial" w:hAnsi="Arial" w:cs="Arial"/>
          <w:i/>
          <w:sz w:val="24"/>
          <w:szCs w:val="24"/>
        </w:rPr>
        <w:t>inter alia</w:t>
      </w:r>
      <w:r w:rsidRPr="004C19BE">
        <w:rPr>
          <w:rFonts w:ascii="Arial" w:hAnsi="Arial" w:cs="Arial"/>
          <w:sz w:val="24"/>
          <w:szCs w:val="24"/>
        </w:rPr>
        <w:t xml:space="preserve"> cost protection for citizen access to justice (Maurici and Moules</w:t>
      </w:r>
      <w:r>
        <w:rPr>
          <w:rFonts w:ascii="Arial" w:hAnsi="Arial" w:cs="Arial"/>
          <w:sz w:val="24"/>
          <w:szCs w:val="24"/>
        </w:rPr>
        <w:t>,</w:t>
      </w:r>
      <w:r w:rsidRPr="004C19BE">
        <w:rPr>
          <w:rFonts w:ascii="Arial" w:hAnsi="Arial" w:cs="Arial"/>
          <w:sz w:val="24"/>
          <w:szCs w:val="24"/>
        </w:rPr>
        <w:t xml:space="preserve"> 2014). However, the ambit of EU complaints/enforcement action applies only to EU environmental legislation, not UK planning (Jones</w:t>
      </w:r>
      <w:r>
        <w:rPr>
          <w:rFonts w:ascii="Arial" w:hAnsi="Arial" w:cs="Arial"/>
          <w:sz w:val="24"/>
          <w:szCs w:val="24"/>
        </w:rPr>
        <w:t>,</w:t>
      </w:r>
      <w:r w:rsidRPr="004C19BE">
        <w:rPr>
          <w:rFonts w:ascii="Arial" w:hAnsi="Arial" w:cs="Arial"/>
          <w:sz w:val="24"/>
          <w:szCs w:val="24"/>
        </w:rPr>
        <w:t xml:space="preserve"> 2012), where the UK government has acted to reduce</w:t>
      </w:r>
      <w:r>
        <w:rPr>
          <w:rFonts w:ascii="Arial" w:hAnsi="Arial" w:cs="Arial"/>
          <w:sz w:val="24"/>
          <w:szCs w:val="24"/>
        </w:rPr>
        <w:t xml:space="preserve"> </w:t>
      </w:r>
      <w:r w:rsidRPr="004C19BE">
        <w:rPr>
          <w:rFonts w:ascii="Arial" w:hAnsi="Arial" w:cs="Arial"/>
          <w:sz w:val="24"/>
          <w:szCs w:val="24"/>
        </w:rPr>
        <w:t>the scope for legal challenge (Rice</w:t>
      </w:r>
      <w:r>
        <w:rPr>
          <w:rFonts w:ascii="Arial" w:hAnsi="Arial" w:cs="Arial"/>
          <w:sz w:val="24"/>
          <w:szCs w:val="24"/>
        </w:rPr>
        <w:t>,</w:t>
      </w:r>
      <w:r w:rsidRPr="004C19BE">
        <w:rPr>
          <w:rFonts w:ascii="Arial" w:hAnsi="Arial" w:cs="Arial"/>
          <w:sz w:val="24"/>
          <w:szCs w:val="24"/>
        </w:rPr>
        <w:t xml:space="preserve"> 2016).</w:t>
      </w:r>
      <w:r>
        <w:rPr>
          <w:rFonts w:ascii="Arial" w:hAnsi="Arial" w:cs="Arial"/>
          <w:sz w:val="24"/>
          <w:szCs w:val="24"/>
        </w:rPr>
        <w:t xml:space="preserve"> </w:t>
      </w:r>
      <w:r w:rsidR="00B3392A">
        <w:rPr>
          <w:rFonts w:ascii="Arial" w:hAnsi="Arial" w:cs="Arial"/>
          <w:sz w:val="24"/>
          <w:szCs w:val="24"/>
        </w:rPr>
        <w:t>T</w:t>
      </w:r>
      <w:r w:rsidR="00BB46C1">
        <w:rPr>
          <w:rFonts w:ascii="Arial" w:hAnsi="Arial" w:cs="Arial"/>
          <w:sz w:val="24"/>
          <w:szCs w:val="24"/>
        </w:rPr>
        <w:t xml:space="preserve">hese differences </w:t>
      </w:r>
      <w:r>
        <w:rPr>
          <w:rFonts w:ascii="Arial" w:hAnsi="Arial" w:cs="Arial"/>
          <w:sz w:val="24"/>
          <w:szCs w:val="24"/>
        </w:rPr>
        <w:t xml:space="preserve">of regulatory style </w:t>
      </w:r>
      <w:r w:rsidR="00BB46C1">
        <w:rPr>
          <w:rFonts w:ascii="Arial" w:hAnsi="Arial" w:cs="Arial"/>
          <w:sz w:val="24"/>
          <w:szCs w:val="24"/>
        </w:rPr>
        <w:t xml:space="preserve">have been amplified and exposed by the intensification, post-2010, of moves in England to deregulate planning and attune it more closely to market growth facilitation </w:t>
      </w:r>
      <w:r w:rsidR="00187DEF">
        <w:rPr>
          <w:rFonts w:ascii="Arial" w:hAnsi="Arial" w:cs="Arial"/>
          <w:sz w:val="24"/>
          <w:szCs w:val="24"/>
        </w:rPr>
        <w:t>(Cowell and Owens 201</w:t>
      </w:r>
      <w:r w:rsidR="002E0F62">
        <w:rPr>
          <w:rFonts w:ascii="Arial" w:hAnsi="Arial" w:cs="Arial"/>
          <w:sz w:val="24"/>
          <w:szCs w:val="24"/>
        </w:rPr>
        <w:t>6</w:t>
      </w:r>
      <w:r w:rsidR="00187DEF">
        <w:rPr>
          <w:rFonts w:ascii="Arial" w:hAnsi="Arial" w:cs="Arial"/>
          <w:sz w:val="24"/>
          <w:szCs w:val="24"/>
        </w:rPr>
        <w:t>)</w:t>
      </w:r>
      <w:r w:rsidR="00BB46C1">
        <w:rPr>
          <w:rFonts w:ascii="Arial" w:hAnsi="Arial" w:cs="Arial"/>
          <w:sz w:val="24"/>
          <w:szCs w:val="24"/>
        </w:rPr>
        <w:t>.</w:t>
      </w:r>
      <w:r w:rsidR="009C3009">
        <w:rPr>
          <w:rFonts w:ascii="Arial" w:hAnsi="Arial" w:cs="Arial"/>
          <w:sz w:val="24"/>
          <w:szCs w:val="24"/>
        </w:rPr>
        <w:t xml:space="preserve"> </w:t>
      </w:r>
      <w:r w:rsidR="00F17C89">
        <w:rPr>
          <w:rFonts w:ascii="Arial" w:hAnsi="Arial" w:cs="Arial"/>
          <w:sz w:val="24"/>
          <w:szCs w:val="24"/>
        </w:rPr>
        <w:t xml:space="preserve">The </w:t>
      </w:r>
      <w:r w:rsidR="00A54AB6">
        <w:rPr>
          <w:rFonts w:ascii="Arial" w:hAnsi="Arial" w:cs="Arial"/>
          <w:sz w:val="24"/>
          <w:szCs w:val="24"/>
        </w:rPr>
        <w:t xml:space="preserve">dynamics have </w:t>
      </w:r>
      <w:r w:rsidR="00F17C89">
        <w:rPr>
          <w:rFonts w:ascii="Arial" w:hAnsi="Arial" w:cs="Arial"/>
          <w:sz w:val="24"/>
          <w:szCs w:val="24"/>
        </w:rPr>
        <w:t>differe</w:t>
      </w:r>
      <w:r w:rsidR="00A25907">
        <w:rPr>
          <w:rFonts w:ascii="Arial" w:hAnsi="Arial" w:cs="Arial"/>
          <w:sz w:val="24"/>
          <w:szCs w:val="24"/>
        </w:rPr>
        <w:t>d</w:t>
      </w:r>
      <w:r w:rsidR="00F17C89">
        <w:rPr>
          <w:rFonts w:ascii="Arial" w:hAnsi="Arial" w:cs="Arial"/>
          <w:sz w:val="24"/>
          <w:szCs w:val="24"/>
        </w:rPr>
        <w:t xml:space="preserve"> in </w:t>
      </w:r>
      <w:r w:rsidR="00A54AB6">
        <w:rPr>
          <w:rFonts w:ascii="Arial" w:hAnsi="Arial" w:cs="Arial"/>
          <w:sz w:val="24"/>
          <w:szCs w:val="24"/>
        </w:rPr>
        <w:t xml:space="preserve">Northern Ireland, </w:t>
      </w:r>
      <w:r w:rsidR="00F17C89">
        <w:rPr>
          <w:rFonts w:ascii="Arial" w:hAnsi="Arial" w:cs="Arial"/>
          <w:sz w:val="24"/>
          <w:szCs w:val="24"/>
        </w:rPr>
        <w:t xml:space="preserve">Scotland and Wales, </w:t>
      </w:r>
      <w:r w:rsidR="00A54AB6">
        <w:rPr>
          <w:rFonts w:ascii="Arial" w:hAnsi="Arial" w:cs="Arial"/>
          <w:sz w:val="24"/>
          <w:szCs w:val="24"/>
        </w:rPr>
        <w:t>a</w:t>
      </w:r>
      <w:r w:rsidR="00B3392A">
        <w:rPr>
          <w:rFonts w:ascii="Arial" w:hAnsi="Arial" w:cs="Arial"/>
          <w:sz w:val="24"/>
          <w:szCs w:val="24"/>
        </w:rPr>
        <w:t>s we discuss</w:t>
      </w:r>
      <w:r w:rsidR="00A54AB6">
        <w:rPr>
          <w:rFonts w:ascii="Arial" w:hAnsi="Arial" w:cs="Arial"/>
          <w:sz w:val="24"/>
          <w:szCs w:val="24"/>
        </w:rPr>
        <w:t xml:space="preserve"> below.</w:t>
      </w:r>
    </w:p>
    <w:p w:rsidR="00692329" w:rsidRDefault="00692329" w:rsidP="001665D4">
      <w:pPr>
        <w:rPr>
          <w:rFonts w:ascii="Arial" w:hAnsi="Arial" w:cs="Arial"/>
          <w:sz w:val="24"/>
          <w:szCs w:val="24"/>
        </w:rPr>
      </w:pPr>
    </w:p>
    <w:p w:rsidR="00906457" w:rsidRDefault="00906457">
      <w:pPr>
        <w:rPr>
          <w:rFonts w:ascii="Arial" w:hAnsi="Arial" w:cs="Arial"/>
          <w:sz w:val="24"/>
          <w:szCs w:val="24"/>
        </w:rPr>
      </w:pPr>
    </w:p>
    <w:p w:rsidR="00780870" w:rsidRPr="00780870" w:rsidRDefault="00780870">
      <w:pPr>
        <w:rPr>
          <w:rFonts w:ascii="Arial" w:hAnsi="Arial" w:cs="Arial"/>
          <w:i/>
          <w:sz w:val="24"/>
          <w:szCs w:val="24"/>
        </w:rPr>
      </w:pPr>
      <w:r w:rsidRPr="00780870">
        <w:rPr>
          <w:rFonts w:ascii="Arial" w:hAnsi="Arial" w:cs="Arial"/>
          <w:i/>
          <w:sz w:val="24"/>
          <w:szCs w:val="24"/>
        </w:rPr>
        <w:t>Regulatory styles and scenarios</w:t>
      </w:r>
      <w:r>
        <w:rPr>
          <w:rFonts w:ascii="Arial" w:hAnsi="Arial" w:cs="Arial"/>
          <w:i/>
          <w:sz w:val="24"/>
          <w:szCs w:val="24"/>
        </w:rPr>
        <w:t xml:space="preserve"> for change</w:t>
      </w:r>
    </w:p>
    <w:p w:rsidR="00E90F0F" w:rsidRDefault="00E90F0F" w:rsidP="000447D8">
      <w:pPr>
        <w:rPr>
          <w:rFonts w:ascii="Arial" w:hAnsi="Arial" w:cs="Arial"/>
          <w:sz w:val="24"/>
          <w:szCs w:val="24"/>
        </w:rPr>
      </w:pPr>
    </w:p>
    <w:p w:rsidR="00BA4F2F" w:rsidRDefault="007D1C0B" w:rsidP="00610CEB">
      <w:pPr>
        <w:rPr>
          <w:rFonts w:ascii="Arial" w:hAnsi="Arial" w:cs="Arial"/>
          <w:sz w:val="24"/>
          <w:szCs w:val="24"/>
        </w:rPr>
      </w:pPr>
      <w:r>
        <w:rPr>
          <w:rFonts w:ascii="Arial" w:hAnsi="Arial" w:cs="Arial"/>
          <w:sz w:val="24"/>
          <w:szCs w:val="24"/>
        </w:rPr>
        <w:t xml:space="preserve">The discussion above </w:t>
      </w:r>
      <w:r w:rsidR="009431AF">
        <w:rPr>
          <w:rFonts w:ascii="Arial" w:hAnsi="Arial" w:cs="Arial"/>
          <w:sz w:val="24"/>
          <w:szCs w:val="24"/>
        </w:rPr>
        <w:t>has</w:t>
      </w:r>
      <w:r w:rsidR="00610CEB">
        <w:rPr>
          <w:rFonts w:ascii="Arial" w:hAnsi="Arial" w:cs="Arial"/>
          <w:sz w:val="24"/>
          <w:szCs w:val="24"/>
        </w:rPr>
        <w:t xml:space="preserve"> pulled together key structuring features of EU environmental and UK planning regulatory styles that coalesce at the planning-environment interface. W</w:t>
      </w:r>
      <w:r w:rsidR="004542B3">
        <w:rPr>
          <w:rFonts w:ascii="Arial" w:hAnsi="Arial" w:cs="Arial"/>
          <w:sz w:val="24"/>
          <w:szCs w:val="24"/>
        </w:rPr>
        <w:t xml:space="preserve">e turn </w:t>
      </w:r>
      <w:r w:rsidR="00E877FB">
        <w:rPr>
          <w:rFonts w:ascii="Arial" w:hAnsi="Arial" w:cs="Arial"/>
          <w:sz w:val="24"/>
          <w:szCs w:val="24"/>
        </w:rPr>
        <w:t xml:space="preserve">now </w:t>
      </w:r>
      <w:r w:rsidR="004542B3">
        <w:rPr>
          <w:rFonts w:ascii="Arial" w:hAnsi="Arial" w:cs="Arial"/>
          <w:sz w:val="24"/>
          <w:szCs w:val="24"/>
        </w:rPr>
        <w:t>to present the regulatory styles dynamically, as scenarios for future change</w:t>
      </w:r>
      <w:r w:rsidR="006C67B6">
        <w:rPr>
          <w:rFonts w:ascii="Arial" w:hAnsi="Arial" w:cs="Arial"/>
          <w:sz w:val="24"/>
          <w:szCs w:val="24"/>
        </w:rPr>
        <w:t xml:space="preserve"> (see</w:t>
      </w:r>
      <w:r w:rsidR="00610CEB">
        <w:rPr>
          <w:rFonts w:ascii="Arial" w:hAnsi="Arial" w:cs="Arial"/>
          <w:sz w:val="24"/>
          <w:szCs w:val="24"/>
        </w:rPr>
        <w:t xml:space="preserve"> Figure 1 below</w:t>
      </w:r>
      <w:r w:rsidR="006C67B6">
        <w:rPr>
          <w:rFonts w:ascii="Arial" w:hAnsi="Arial" w:cs="Arial"/>
          <w:sz w:val="24"/>
          <w:szCs w:val="24"/>
        </w:rPr>
        <w:t>)</w:t>
      </w:r>
      <w:r w:rsidR="00BA4F2F">
        <w:rPr>
          <w:rFonts w:ascii="Arial" w:hAnsi="Arial" w:cs="Arial"/>
          <w:sz w:val="24"/>
          <w:szCs w:val="24"/>
        </w:rPr>
        <w:t>. The scenarios are informed by the disputes surrounding Brexit in the UK, hence the horizontal</w:t>
      </w:r>
      <w:r w:rsidR="006C67B6">
        <w:rPr>
          <w:rFonts w:ascii="Arial" w:hAnsi="Arial" w:cs="Arial"/>
          <w:sz w:val="24"/>
          <w:szCs w:val="24"/>
        </w:rPr>
        <w:t xml:space="preserve"> axis counter</w:t>
      </w:r>
      <w:r w:rsidR="002650B7">
        <w:rPr>
          <w:rFonts w:ascii="Arial" w:hAnsi="Arial" w:cs="Arial"/>
          <w:sz w:val="24"/>
          <w:szCs w:val="24"/>
        </w:rPr>
        <w:t>-</w:t>
      </w:r>
      <w:r w:rsidR="006C67B6">
        <w:rPr>
          <w:rFonts w:ascii="Arial" w:hAnsi="Arial" w:cs="Arial"/>
          <w:sz w:val="24"/>
          <w:szCs w:val="24"/>
        </w:rPr>
        <w:t>poses</w:t>
      </w:r>
      <w:r w:rsidR="00BA4F2F">
        <w:rPr>
          <w:rFonts w:ascii="Arial" w:hAnsi="Arial" w:cs="Arial"/>
          <w:sz w:val="24"/>
          <w:szCs w:val="24"/>
        </w:rPr>
        <w:t xml:space="preserve"> ‘consistency’ with EU</w:t>
      </w:r>
      <w:r w:rsidR="006C67B6">
        <w:rPr>
          <w:rFonts w:ascii="Arial" w:hAnsi="Arial" w:cs="Arial"/>
          <w:sz w:val="24"/>
          <w:szCs w:val="24"/>
        </w:rPr>
        <w:t xml:space="preserve"> regulatory styles</w:t>
      </w:r>
      <w:r w:rsidR="00BA4F2F">
        <w:rPr>
          <w:rFonts w:ascii="Arial" w:hAnsi="Arial" w:cs="Arial"/>
          <w:sz w:val="24"/>
          <w:szCs w:val="24"/>
        </w:rPr>
        <w:t xml:space="preserve"> with ‘sovereignty’ for UK institutions, </w:t>
      </w:r>
      <w:r w:rsidR="002650B7">
        <w:rPr>
          <w:rFonts w:ascii="Arial" w:hAnsi="Arial" w:cs="Arial"/>
          <w:sz w:val="24"/>
          <w:szCs w:val="24"/>
        </w:rPr>
        <w:t>which enlarges</w:t>
      </w:r>
      <w:r w:rsidR="00BA4F2F">
        <w:rPr>
          <w:rFonts w:ascii="Arial" w:hAnsi="Arial" w:cs="Arial"/>
          <w:sz w:val="24"/>
          <w:szCs w:val="24"/>
        </w:rPr>
        <w:t xml:space="preserve"> the space for </w:t>
      </w:r>
      <w:r w:rsidR="006C67B6">
        <w:rPr>
          <w:rFonts w:ascii="Arial" w:hAnsi="Arial" w:cs="Arial"/>
          <w:sz w:val="24"/>
          <w:szCs w:val="24"/>
        </w:rPr>
        <w:t xml:space="preserve">more discretionary </w:t>
      </w:r>
      <w:r w:rsidR="002650B7">
        <w:rPr>
          <w:rFonts w:ascii="Arial" w:hAnsi="Arial" w:cs="Arial"/>
          <w:sz w:val="24"/>
          <w:szCs w:val="24"/>
        </w:rPr>
        <w:t>UK regulatory styles</w:t>
      </w:r>
      <w:r w:rsidR="00BA4F2F">
        <w:rPr>
          <w:rFonts w:ascii="Arial" w:hAnsi="Arial" w:cs="Arial"/>
          <w:sz w:val="24"/>
          <w:szCs w:val="24"/>
        </w:rPr>
        <w:t>. The vertical axis captures key elements of environmental and planning gov</w:t>
      </w:r>
      <w:r w:rsidR="006C67B6">
        <w:rPr>
          <w:rFonts w:ascii="Arial" w:hAnsi="Arial" w:cs="Arial"/>
          <w:sz w:val="24"/>
          <w:szCs w:val="24"/>
        </w:rPr>
        <w:t xml:space="preserve">ernance </w:t>
      </w:r>
      <w:r w:rsidR="00BA4F2F">
        <w:rPr>
          <w:rFonts w:ascii="Arial" w:hAnsi="Arial" w:cs="Arial"/>
          <w:sz w:val="24"/>
          <w:szCs w:val="24"/>
        </w:rPr>
        <w:t>subject to these different styles of regulation – goals and processes</w:t>
      </w:r>
      <w:r w:rsidR="006C67B6">
        <w:rPr>
          <w:rFonts w:ascii="Arial" w:hAnsi="Arial" w:cs="Arial"/>
          <w:sz w:val="24"/>
          <w:szCs w:val="24"/>
        </w:rPr>
        <w:t xml:space="preserve"> – thus positioning the four scenarios</w:t>
      </w:r>
      <w:r w:rsidR="00BA4F2F">
        <w:rPr>
          <w:rFonts w:ascii="Arial" w:hAnsi="Arial" w:cs="Arial"/>
          <w:sz w:val="24"/>
          <w:szCs w:val="24"/>
        </w:rPr>
        <w:t>. Although the UK’s distinctive regulatory traditions in planning might amplify the contrasts with EU practices, the allocation of power</w:t>
      </w:r>
      <w:r w:rsidR="006C67B6">
        <w:rPr>
          <w:rFonts w:ascii="Arial" w:hAnsi="Arial" w:cs="Arial"/>
          <w:sz w:val="24"/>
          <w:szCs w:val="24"/>
        </w:rPr>
        <w:t xml:space="preserve"> for</w:t>
      </w:r>
      <w:r w:rsidR="00BA4F2F">
        <w:rPr>
          <w:rFonts w:ascii="Arial" w:hAnsi="Arial" w:cs="Arial"/>
          <w:sz w:val="24"/>
          <w:szCs w:val="24"/>
        </w:rPr>
        <w:t xml:space="preserve"> discretion and flexibility is a concern in most planning (Booth 2007) and environmental policy systems, as well as a major focus in debates about deregulation.</w:t>
      </w:r>
    </w:p>
    <w:p w:rsidR="00A33FFF" w:rsidRDefault="00A33FFF">
      <w:pPr>
        <w:rPr>
          <w:rFonts w:ascii="Arial" w:hAnsi="Arial" w:cs="Arial"/>
          <w:sz w:val="24"/>
          <w:szCs w:val="24"/>
        </w:rPr>
      </w:pPr>
    </w:p>
    <w:p w:rsidR="00AC2B8B" w:rsidRPr="00AC2B8B" w:rsidRDefault="00AC2B8B">
      <w:pPr>
        <w:rPr>
          <w:rFonts w:ascii="Arial" w:hAnsi="Arial" w:cs="Arial"/>
          <w:b/>
          <w:sz w:val="24"/>
          <w:szCs w:val="24"/>
        </w:rPr>
      </w:pPr>
      <w:r w:rsidRPr="00AC2B8B">
        <w:rPr>
          <w:rFonts w:ascii="Arial" w:hAnsi="Arial" w:cs="Arial"/>
          <w:b/>
          <w:sz w:val="24"/>
          <w:szCs w:val="24"/>
        </w:rPr>
        <w:t xml:space="preserve">&lt;Insert </w:t>
      </w:r>
      <w:r w:rsidR="00610CEB">
        <w:rPr>
          <w:rFonts w:ascii="Arial" w:hAnsi="Arial" w:cs="Arial"/>
          <w:b/>
          <w:sz w:val="24"/>
          <w:szCs w:val="24"/>
        </w:rPr>
        <w:t>Figure 1</w:t>
      </w:r>
      <w:r w:rsidRPr="00AC2B8B">
        <w:rPr>
          <w:rFonts w:ascii="Arial" w:hAnsi="Arial" w:cs="Arial"/>
          <w:b/>
          <w:sz w:val="24"/>
          <w:szCs w:val="24"/>
        </w:rPr>
        <w:t xml:space="preserve"> somewhere near here&gt;</w:t>
      </w:r>
    </w:p>
    <w:p w:rsidR="00AC2B8B" w:rsidRDefault="00AC2B8B">
      <w:pPr>
        <w:rPr>
          <w:rFonts w:ascii="Arial" w:hAnsi="Arial" w:cs="Arial"/>
          <w:sz w:val="24"/>
          <w:szCs w:val="24"/>
        </w:rPr>
      </w:pPr>
    </w:p>
    <w:p w:rsidR="00FE7D03" w:rsidRDefault="007B66B5" w:rsidP="007B66B5">
      <w:pPr>
        <w:rPr>
          <w:rFonts w:ascii="Arial" w:hAnsi="Arial" w:cs="Arial"/>
          <w:sz w:val="24"/>
          <w:szCs w:val="24"/>
        </w:rPr>
      </w:pPr>
      <w:r>
        <w:rPr>
          <w:rFonts w:ascii="Arial" w:hAnsi="Arial" w:cs="Arial"/>
          <w:sz w:val="24"/>
          <w:szCs w:val="24"/>
        </w:rPr>
        <w:t xml:space="preserve">One can conceive of </w:t>
      </w:r>
      <w:r w:rsidR="004542B3">
        <w:rPr>
          <w:rFonts w:ascii="Arial" w:hAnsi="Arial" w:cs="Arial"/>
          <w:sz w:val="24"/>
          <w:szCs w:val="24"/>
        </w:rPr>
        <w:t xml:space="preserve">a </w:t>
      </w:r>
      <w:r w:rsidR="006C67B6">
        <w:rPr>
          <w:rFonts w:ascii="Arial" w:hAnsi="Arial" w:cs="Arial"/>
          <w:sz w:val="24"/>
          <w:szCs w:val="24"/>
        </w:rPr>
        <w:t>scenario</w:t>
      </w:r>
      <w:r w:rsidR="004542B3">
        <w:rPr>
          <w:rFonts w:ascii="Arial" w:hAnsi="Arial" w:cs="Arial"/>
          <w:sz w:val="24"/>
          <w:szCs w:val="24"/>
        </w:rPr>
        <w:t xml:space="preserve"> in </w:t>
      </w:r>
      <w:r w:rsidR="00DB45B1">
        <w:rPr>
          <w:rFonts w:ascii="Arial" w:hAnsi="Arial" w:cs="Arial"/>
          <w:sz w:val="24"/>
          <w:szCs w:val="24"/>
        </w:rPr>
        <w:t xml:space="preserve">which </w:t>
      </w:r>
      <w:r w:rsidR="00E7351F">
        <w:rPr>
          <w:rFonts w:ascii="Arial" w:hAnsi="Arial" w:cs="Arial"/>
          <w:sz w:val="24"/>
          <w:szCs w:val="24"/>
        </w:rPr>
        <w:t xml:space="preserve">UK governments maintain </w:t>
      </w:r>
      <w:r>
        <w:rPr>
          <w:rFonts w:ascii="Arial" w:hAnsi="Arial" w:cs="Arial"/>
          <w:sz w:val="24"/>
          <w:szCs w:val="24"/>
        </w:rPr>
        <w:t>EU environme</w:t>
      </w:r>
      <w:r w:rsidR="000447D8">
        <w:rPr>
          <w:rFonts w:ascii="Arial" w:hAnsi="Arial" w:cs="Arial"/>
          <w:sz w:val="24"/>
          <w:szCs w:val="24"/>
        </w:rPr>
        <w:t>ntal regulatory styles, with their</w:t>
      </w:r>
      <w:r>
        <w:rPr>
          <w:rFonts w:ascii="Arial" w:hAnsi="Arial" w:cs="Arial"/>
          <w:sz w:val="24"/>
          <w:szCs w:val="24"/>
        </w:rPr>
        <w:t xml:space="preserve"> emphasis on specific goals and machinery to </w:t>
      </w:r>
      <w:r w:rsidR="00953156">
        <w:rPr>
          <w:rFonts w:ascii="Arial" w:hAnsi="Arial" w:cs="Arial"/>
          <w:sz w:val="24"/>
          <w:szCs w:val="24"/>
        </w:rPr>
        <w:t>reinforce</w:t>
      </w:r>
      <w:r>
        <w:rPr>
          <w:rFonts w:ascii="Arial" w:hAnsi="Arial" w:cs="Arial"/>
          <w:sz w:val="24"/>
          <w:szCs w:val="24"/>
        </w:rPr>
        <w:t xml:space="preserve"> implementation</w:t>
      </w:r>
      <w:r w:rsidR="003E0684">
        <w:rPr>
          <w:rFonts w:ascii="Arial" w:hAnsi="Arial" w:cs="Arial"/>
          <w:sz w:val="24"/>
          <w:szCs w:val="24"/>
        </w:rPr>
        <w:t xml:space="preserve">, but </w:t>
      </w:r>
      <w:r w:rsidR="00187DEF">
        <w:rPr>
          <w:rFonts w:ascii="Arial" w:hAnsi="Arial" w:cs="Arial"/>
          <w:sz w:val="24"/>
          <w:szCs w:val="24"/>
        </w:rPr>
        <w:t>also exten</w:t>
      </w:r>
      <w:r w:rsidR="004542B3">
        <w:rPr>
          <w:rFonts w:ascii="Arial" w:hAnsi="Arial" w:cs="Arial"/>
          <w:sz w:val="24"/>
          <w:szCs w:val="24"/>
        </w:rPr>
        <w:t>d</w:t>
      </w:r>
      <w:r w:rsidR="001C5392">
        <w:rPr>
          <w:rFonts w:ascii="Arial" w:hAnsi="Arial" w:cs="Arial"/>
          <w:sz w:val="24"/>
          <w:szCs w:val="24"/>
        </w:rPr>
        <w:t xml:space="preserve"> these practices</w:t>
      </w:r>
      <w:r w:rsidR="00187DEF">
        <w:rPr>
          <w:rFonts w:ascii="Arial" w:hAnsi="Arial" w:cs="Arial"/>
          <w:sz w:val="24"/>
          <w:szCs w:val="24"/>
        </w:rPr>
        <w:t xml:space="preserve"> to</w:t>
      </w:r>
      <w:r w:rsidR="00E877FB">
        <w:rPr>
          <w:rFonts w:ascii="Arial" w:hAnsi="Arial" w:cs="Arial"/>
          <w:sz w:val="24"/>
          <w:szCs w:val="24"/>
        </w:rPr>
        <w:t xml:space="preserve"> cover</w:t>
      </w:r>
      <w:r>
        <w:rPr>
          <w:rFonts w:ascii="Arial" w:hAnsi="Arial" w:cs="Arial"/>
          <w:sz w:val="24"/>
          <w:szCs w:val="24"/>
        </w:rPr>
        <w:t xml:space="preserve"> the environmental </w:t>
      </w:r>
      <w:r w:rsidR="00E877FB">
        <w:rPr>
          <w:rFonts w:ascii="Arial" w:hAnsi="Arial" w:cs="Arial"/>
          <w:sz w:val="24"/>
          <w:szCs w:val="24"/>
        </w:rPr>
        <w:t>performance</w:t>
      </w:r>
      <w:r>
        <w:rPr>
          <w:rFonts w:ascii="Arial" w:hAnsi="Arial" w:cs="Arial"/>
          <w:sz w:val="24"/>
          <w:szCs w:val="24"/>
        </w:rPr>
        <w:t xml:space="preserve"> of planning beyond the present boundaries of EU legislation</w:t>
      </w:r>
      <w:r w:rsidR="00956EFC">
        <w:rPr>
          <w:rFonts w:ascii="Arial" w:hAnsi="Arial" w:cs="Arial"/>
          <w:sz w:val="24"/>
          <w:szCs w:val="24"/>
        </w:rPr>
        <w:t xml:space="preserve"> (</w:t>
      </w:r>
      <w:r w:rsidR="002245D1">
        <w:rPr>
          <w:rFonts w:ascii="Arial" w:hAnsi="Arial" w:cs="Arial"/>
          <w:sz w:val="24"/>
          <w:szCs w:val="24"/>
        </w:rPr>
        <w:t>e.g. Scenario 1 ‘Firm environmental standards’</w:t>
      </w:r>
      <w:r w:rsidR="00956EFC">
        <w:rPr>
          <w:rFonts w:ascii="Arial" w:hAnsi="Arial" w:cs="Arial"/>
          <w:sz w:val="24"/>
          <w:szCs w:val="24"/>
        </w:rPr>
        <w:t>)</w:t>
      </w:r>
      <w:r>
        <w:rPr>
          <w:rFonts w:ascii="Arial" w:hAnsi="Arial" w:cs="Arial"/>
          <w:sz w:val="24"/>
          <w:szCs w:val="24"/>
        </w:rPr>
        <w:t>. Equally,</w:t>
      </w:r>
      <w:r w:rsidR="00187DEF">
        <w:rPr>
          <w:rFonts w:ascii="Arial" w:hAnsi="Arial" w:cs="Arial"/>
          <w:sz w:val="24"/>
          <w:szCs w:val="24"/>
        </w:rPr>
        <w:t xml:space="preserve"> one could see further extension</w:t>
      </w:r>
      <w:r>
        <w:rPr>
          <w:rFonts w:ascii="Arial" w:hAnsi="Arial" w:cs="Arial"/>
          <w:sz w:val="24"/>
          <w:szCs w:val="24"/>
        </w:rPr>
        <w:t xml:space="preserve"> of </w:t>
      </w:r>
      <w:r w:rsidR="00187DEF">
        <w:rPr>
          <w:rFonts w:ascii="Arial" w:hAnsi="Arial" w:cs="Arial"/>
          <w:sz w:val="24"/>
          <w:szCs w:val="24"/>
        </w:rPr>
        <w:t>domestic</w:t>
      </w:r>
      <w:r w:rsidR="004824A1" w:rsidRPr="007B66B5">
        <w:rPr>
          <w:rFonts w:ascii="Arial" w:hAnsi="Arial" w:cs="Arial"/>
          <w:sz w:val="24"/>
          <w:szCs w:val="24"/>
        </w:rPr>
        <w:t xml:space="preserve"> policy styles, rooted in </w:t>
      </w:r>
      <w:r w:rsidR="00183EAD">
        <w:rPr>
          <w:rFonts w:ascii="Arial" w:hAnsi="Arial" w:cs="Arial"/>
          <w:sz w:val="24"/>
          <w:szCs w:val="24"/>
        </w:rPr>
        <w:t>the flexibility and discretion</w:t>
      </w:r>
      <w:r w:rsidR="00F17C89">
        <w:rPr>
          <w:rFonts w:ascii="Arial" w:hAnsi="Arial" w:cs="Arial"/>
          <w:sz w:val="24"/>
          <w:szCs w:val="24"/>
        </w:rPr>
        <w:t xml:space="preserve"> apparent in</w:t>
      </w:r>
      <w:r w:rsidR="004542B3">
        <w:rPr>
          <w:rFonts w:ascii="Arial" w:hAnsi="Arial" w:cs="Arial"/>
          <w:sz w:val="24"/>
          <w:szCs w:val="24"/>
        </w:rPr>
        <w:t xml:space="preserve"> UK</w:t>
      </w:r>
      <w:r w:rsidR="004824A1" w:rsidRPr="007B66B5">
        <w:rPr>
          <w:rFonts w:ascii="Arial" w:hAnsi="Arial" w:cs="Arial"/>
          <w:sz w:val="24"/>
          <w:szCs w:val="24"/>
        </w:rPr>
        <w:t xml:space="preserve"> planning, </w:t>
      </w:r>
      <w:r w:rsidR="00187DEF">
        <w:rPr>
          <w:rFonts w:ascii="Arial" w:hAnsi="Arial" w:cs="Arial"/>
          <w:sz w:val="24"/>
          <w:szCs w:val="24"/>
        </w:rPr>
        <w:t xml:space="preserve">to </w:t>
      </w:r>
      <w:r w:rsidR="006C67B6">
        <w:rPr>
          <w:rFonts w:ascii="Arial" w:hAnsi="Arial" w:cs="Arial"/>
          <w:sz w:val="24"/>
          <w:szCs w:val="24"/>
        </w:rPr>
        <w:t>reshape</w:t>
      </w:r>
      <w:r w:rsidR="004824A1" w:rsidRPr="007B66B5">
        <w:rPr>
          <w:rFonts w:ascii="Arial" w:hAnsi="Arial" w:cs="Arial"/>
          <w:sz w:val="24"/>
          <w:szCs w:val="24"/>
        </w:rPr>
        <w:t xml:space="preserve"> </w:t>
      </w:r>
      <w:r>
        <w:rPr>
          <w:rFonts w:ascii="Arial" w:hAnsi="Arial" w:cs="Arial"/>
          <w:sz w:val="24"/>
          <w:szCs w:val="24"/>
        </w:rPr>
        <w:t xml:space="preserve">aspects of environmental protection previously </w:t>
      </w:r>
      <w:r w:rsidR="003E0684">
        <w:rPr>
          <w:rFonts w:ascii="Arial" w:hAnsi="Arial" w:cs="Arial"/>
          <w:sz w:val="24"/>
          <w:szCs w:val="24"/>
        </w:rPr>
        <w:t>encompassed by</w:t>
      </w:r>
      <w:r>
        <w:rPr>
          <w:rFonts w:ascii="Arial" w:hAnsi="Arial" w:cs="Arial"/>
          <w:sz w:val="24"/>
          <w:szCs w:val="24"/>
        </w:rPr>
        <w:t xml:space="preserve"> EU legislation</w:t>
      </w:r>
      <w:r w:rsidR="00956EFC">
        <w:rPr>
          <w:rFonts w:ascii="Arial" w:hAnsi="Arial" w:cs="Arial"/>
          <w:sz w:val="24"/>
          <w:szCs w:val="24"/>
        </w:rPr>
        <w:t xml:space="preserve"> (</w:t>
      </w:r>
      <w:r w:rsidR="002245D1">
        <w:rPr>
          <w:rFonts w:ascii="Arial" w:hAnsi="Arial" w:cs="Arial"/>
          <w:sz w:val="24"/>
          <w:szCs w:val="24"/>
        </w:rPr>
        <w:t>e.g. Scenarios 3 and 4, ‘Flexible means’ and ‘Softening standards’</w:t>
      </w:r>
      <w:r w:rsidR="00F07319">
        <w:rPr>
          <w:rFonts w:ascii="Arial" w:hAnsi="Arial" w:cs="Arial"/>
          <w:sz w:val="24"/>
          <w:szCs w:val="24"/>
        </w:rPr>
        <w:t>)</w:t>
      </w:r>
      <w:r w:rsidR="00610CEB">
        <w:rPr>
          <w:rFonts w:ascii="Arial" w:hAnsi="Arial" w:cs="Arial"/>
          <w:sz w:val="24"/>
          <w:szCs w:val="24"/>
        </w:rPr>
        <w:t xml:space="preserve">. </w:t>
      </w:r>
    </w:p>
    <w:p w:rsidR="00FE7D03" w:rsidRDefault="00FE7D03" w:rsidP="007B66B5">
      <w:pPr>
        <w:rPr>
          <w:rFonts w:ascii="Arial" w:hAnsi="Arial" w:cs="Arial"/>
          <w:sz w:val="24"/>
          <w:szCs w:val="24"/>
        </w:rPr>
      </w:pPr>
    </w:p>
    <w:p w:rsidR="001C5392" w:rsidRPr="008E1C95" w:rsidRDefault="006C67B6" w:rsidP="00E877FB">
      <w:pPr>
        <w:rPr>
          <w:rFonts w:ascii="Arial" w:hAnsi="Arial" w:cs="Arial"/>
          <w:sz w:val="24"/>
          <w:szCs w:val="24"/>
        </w:rPr>
      </w:pPr>
      <w:r>
        <w:rPr>
          <w:rFonts w:ascii="Arial" w:hAnsi="Arial" w:cs="Arial"/>
          <w:sz w:val="24"/>
          <w:szCs w:val="24"/>
        </w:rPr>
        <w:t>The</w:t>
      </w:r>
      <w:r w:rsidR="00F7476E">
        <w:rPr>
          <w:rFonts w:ascii="Arial" w:hAnsi="Arial" w:cs="Arial"/>
          <w:sz w:val="24"/>
          <w:szCs w:val="24"/>
        </w:rPr>
        <w:t>se</w:t>
      </w:r>
      <w:r>
        <w:rPr>
          <w:rFonts w:ascii="Arial" w:hAnsi="Arial" w:cs="Arial"/>
          <w:sz w:val="24"/>
          <w:szCs w:val="24"/>
        </w:rPr>
        <w:t xml:space="preserve"> scenarios </w:t>
      </w:r>
      <w:r w:rsidR="00F7476E">
        <w:rPr>
          <w:rFonts w:ascii="Arial" w:hAnsi="Arial" w:cs="Arial"/>
          <w:sz w:val="24"/>
          <w:szCs w:val="24"/>
        </w:rPr>
        <w:t>act as</w:t>
      </w:r>
      <w:r>
        <w:rPr>
          <w:rFonts w:ascii="Arial" w:hAnsi="Arial" w:cs="Arial"/>
          <w:sz w:val="24"/>
          <w:szCs w:val="24"/>
        </w:rPr>
        <w:t xml:space="preserve"> a heuristic device, designed to stimulate reflection and discussion</w:t>
      </w:r>
      <w:r w:rsidR="00FE7D03">
        <w:rPr>
          <w:rFonts w:ascii="Arial" w:hAnsi="Arial" w:cs="Arial"/>
          <w:sz w:val="24"/>
          <w:szCs w:val="24"/>
        </w:rPr>
        <w:t xml:space="preserve"> and</w:t>
      </w:r>
      <w:r w:rsidR="00F7476E">
        <w:rPr>
          <w:rFonts w:ascii="Arial" w:hAnsi="Arial" w:cs="Arial"/>
          <w:sz w:val="24"/>
          <w:szCs w:val="24"/>
        </w:rPr>
        <w:t xml:space="preserve"> thus</w:t>
      </w:r>
      <w:r w:rsidR="00FE7D03">
        <w:rPr>
          <w:rFonts w:ascii="Arial" w:hAnsi="Arial" w:cs="Arial"/>
          <w:sz w:val="24"/>
          <w:szCs w:val="24"/>
        </w:rPr>
        <w:t xml:space="preserve"> necessarily simplif</w:t>
      </w:r>
      <w:r>
        <w:rPr>
          <w:rFonts w:ascii="Arial" w:hAnsi="Arial" w:cs="Arial"/>
          <w:sz w:val="24"/>
          <w:szCs w:val="24"/>
        </w:rPr>
        <w:t>y</w:t>
      </w:r>
      <w:r w:rsidR="00FE7D03">
        <w:rPr>
          <w:rFonts w:ascii="Arial" w:hAnsi="Arial" w:cs="Arial"/>
          <w:sz w:val="24"/>
          <w:szCs w:val="24"/>
        </w:rPr>
        <w:t xml:space="preserve"> a more nuanced reality. UK governments have not been entirely averse to fixed targets and standards for </w:t>
      </w:r>
      <w:r w:rsidR="00953156">
        <w:rPr>
          <w:rFonts w:ascii="Arial" w:hAnsi="Arial" w:cs="Arial"/>
          <w:sz w:val="24"/>
          <w:szCs w:val="24"/>
        </w:rPr>
        <w:t>environmental quality, for example the</w:t>
      </w:r>
      <w:r w:rsidR="00FE7D03">
        <w:rPr>
          <w:rFonts w:ascii="Arial" w:hAnsi="Arial" w:cs="Arial"/>
          <w:sz w:val="24"/>
          <w:szCs w:val="24"/>
        </w:rPr>
        <w:t xml:space="preserve"> decarbonisation targets of the Climate C</w:t>
      </w:r>
      <w:r w:rsidR="00953156">
        <w:rPr>
          <w:rFonts w:ascii="Arial" w:hAnsi="Arial" w:cs="Arial"/>
          <w:sz w:val="24"/>
          <w:szCs w:val="24"/>
        </w:rPr>
        <w:t>hange Act 2008</w:t>
      </w:r>
      <w:r w:rsidR="00FE7D03">
        <w:rPr>
          <w:rFonts w:ascii="Arial" w:hAnsi="Arial" w:cs="Arial"/>
          <w:sz w:val="24"/>
          <w:szCs w:val="24"/>
        </w:rPr>
        <w:t xml:space="preserve"> (Muinzer</w:t>
      </w:r>
      <w:r w:rsidR="0000641A">
        <w:rPr>
          <w:rFonts w:ascii="Arial" w:hAnsi="Arial" w:cs="Arial"/>
          <w:sz w:val="24"/>
          <w:szCs w:val="24"/>
        </w:rPr>
        <w:t>,</w:t>
      </w:r>
      <w:r w:rsidR="00FE7D03">
        <w:rPr>
          <w:rFonts w:ascii="Arial" w:hAnsi="Arial" w:cs="Arial"/>
          <w:sz w:val="24"/>
          <w:szCs w:val="24"/>
        </w:rPr>
        <w:t xml:space="preserve"> 2018).</w:t>
      </w:r>
      <w:r w:rsidR="00953156">
        <w:rPr>
          <w:rFonts w:ascii="Arial" w:hAnsi="Arial" w:cs="Arial"/>
          <w:sz w:val="24"/>
          <w:szCs w:val="24"/>
        </w:rPr>
        <w:t xml:space="preserve"> Nor is EU environmental legislation bereft of discretion; </w:t>
      </w:r>
      <w:r w:rsidR="00953156" w:rsidRPr="004D790B">
        <w:rPr>
          <w:rFonts w:ascii="Arial" w:hAnsi="Arial" w:cs="Arial"/>
          <w:sz w:val="24"/>
          <w:szCs w:val="24"/>
        </w:rPr>
        <w:t>Member States have the scope to pursue higher standards.</w:t>
      </w:r>
      <w:r>
        <w:rPr>
          <w:rFonts w:ascii="Arial" w:hAnsi="Arial" w:cs="Arial"/>
          <w:sz w:val="24"/>
          <w:szCs w:val="24"/>
        </w:rPr>
        <w:t xml:space="preserve"> Nevertheless</w:t>
      </w:r>
      <w:r w:rsidR="00F81825" w:rsidRPr="00E877FB">
        <w:rPr>
          <w:rFonts w:ascii="Arial" w:hAnsi="Arial" w:cs="Arial"/>
          <w:sz w:val="24"/>
          <w:szCs w:val="24"/>
        </w:rPr>
        <w:t>, the scenarios are not entirely speculative</w:t>
      </w:r>
      <w:r w:rsidR="00953156">
        <w:rPr>
          <w:rFonts w:ascii="Arial" w:hAnsi="Arial" w:cs="Arial"/>
          <w:sz w:val="24"/>
          <w:szCs w:val="24"/>
        </w:rPr>
        <w:t>, with elements of them</w:t>
      </w:r>
      <w:r w:rsidR="00CE528C">
        <w:rPr>
          <w:rFonts w:ascii="Arial" w:hAnsi="Arial" w:cs="Arial"/>
          <w:sz w:val="24"/>
          <w:szCs w:val="24"/>
        </w:rPr>
        <w:t xml:space="preserve"> </w:t>
      </w:r>
      <w:r w:rsidR="00953156">
        <w:rPr>
          <w:rFonts w:ascii="Arial" w:hAnsi="Arial" w:cs="Arial"/>
          <w:sz w:val="24"/>
          <w:szCs w:val="24"/>
        </w:rPr>
        <w:t>already being mobilised</w:t>
      </w:r>
      <w:r>
        <w:rPr>
          <w:rFonts w:ascii="Arial" w:hAnsi="Arial" w:cs="Arial"/>
          <w:sz w:val="24"/>
          <w:szCs w:val="24"/>
        </w:rPr>
        <w:t xml:space="preserve"> by</w:t>
      </w:r>
      <w:r w:rsidR="00F81825" w:rsidRPr="00E877FB">
        <w:rPr>
          <w:rFonts w:ascii="Arial" w:hAnsi="Arial" w:cs="Arial"/>
          <w:sz w:val="24"/>
          <w:szCs w:val="24"/>
        </w:rPr>
        <w:t xml:space="preserve"> governments across the UK </w:t>
      </w:r>
      <w:r>
        <w:rPr>
          <w:rFonts w:ascii="Arial" w:hAnsi="Arial" w:cs="Arial"/>
          <w:sz w:val="24"/>
          <w:szCs w:val="24"/>
        </w:rPr>
        <w:t xml:space="preserve">as they </w:t>
      </w:r>
      <w:r w:rsidR="00F81825" w:rsidRPr="00E877FB">
        <w:rPr>
          <w:rFonts w:ascii="Arial" w:hAnsi="Arial" w:cs="Arial"/>
          <w:sz w:val="24"/>
          <w:szCs w:val="24"/>
        </w:rPr>
        <w:t xml:space="preserve">try to navigate </w:t>
      </w:r>
      <w:r w:rsidR="006967B0">
        <w:rPr>
          <w:rFonts w:ascii="Arial" w:hAnsi="Arial" w:cs="Arial"/>
          <w:sz w:val="24"/>
          <w:szCs w:val="24"/>
        </w:rPr>
        <w:t>‘Brexit’</w:t>
      </w:r>
      <w:r w:rsidR="00F81825" w:rsidRPr="00E877FB">
        <w:rPr>
          <w:rFonts w:ascii="Arial" w:hAnsi="Arial" w:cs="Arial"/>
          <w:sz w:val="24"/>
          <w:szCs w:val="24"/>
        </w:rPr>
        <w:t xml:space="preserve">. For England, legislation designed to fill the ‘environmental governance gap’ left by leaving the </w:t>
      </w:r>
      <w:bookmarkStart w:id="3" w:name="_Hlk19818864"/>
      <w:r w:rsidR="00F81825" w:rsidRPr="00E877FB">
        <w:rPr>
          <w:rFonts w:ascii="Arial" w:hAnsi="Arial" w:cs="Arial"/>
          <w:sz w:val="24"/>
          <w:szCs w:val="24"/>
        </w:rPr>
        <w:t>EU proposes a new environmental watchdog body</w:t>
      </w:r>
      <w:bookmarkEnd w:id="3"/>
      <w:r w:rsidR="00F81825" w:rsidRPr="00E877FB">
        <w:rPr>
          <w:rFonts w:ascii="Arial" w:hAnsi="Arial" w:cs="Arial"/>
          <w:sz w:val="24"/>
          <w:szCs w:val="24"/>
        </w:rPr>
        <w:t>, to take on board monitoring, complaints handling and enforcement</w:t>
      </w:r>
      <w:r>
        <w:rPr>
          <w:rFonts w:ascii="Arial" w:hAnsi="Arial" w:cs="Arial"/>
          <w:sz w:val="24"/>
          <w:szCs w:val="24"/>
        </w:rPr>
        <w:t xml:space="preserve"> </w:t>
      </w:r>
      <w:r w:rsidRPr="00E877FB">
        <w:rPr>
          <w:rFonts w:ascii="Arial" w:hAnsi="Arial" w:cs="Arial"/>
          <w:sz w:val="24"/>
          <w:szCs w:val="24"/>
        </w:rPr>
        <w:t>(HM Government</w:t>
      </w:r>
      <w:r>
        <w:rPr>
          <w:rFonts w:ascii="Arial" w:hAnsi="Arial" w:cs="Arial"/>
          <w:sz w:val="24"/>
          <w:szCs w:val="24"/>
        </w:rPr>
        <w:t>,</w:t>
      </w:r>
      <w:r w:rsidRPr="00E877FB">
        <w:rPr>
          <w:rFonts w:ascii="Arial" w:hAnsi="Arial" w:cs="Arial"/>
          <w:sz w:val="24"/>
          <w:szCs w:val="24"/>
        </w:rPr>
        <w:t xml:space="preserve"> </w:t>
      </w:r>
      <w:r w:rsidR="00F271E6">
        <w:rPr>
          <w:rFonts w:ascii="Arial" w:hAnsi="Arial" w:cs="Arial"/>
          <w:sz w:val="24"/>
          <w:szCs w:val="24"/>
        </w:rPr>
        <w:t>2020</w:t>
      </w:r>
      <w:r w:rsidR="00F81825" w:rsidRPr="00E877FB">
        <w:rPr>
          <w:rFonts w:ascii="Arial" w:hAnsi="Arial" w:cs="Arial"/>
          <w:sz w:val="24"/>
          <w:szCs w:val="24"/>
        </w:rPr>
        <w:t>, generating debate as to how far it should embrace planning (Ricketts</w:t>
      </w:r>
      <w:r w:rsidR="0000641A">
        <w:rPr>
          <w:rFonts w:ascii="Arial" w:hAnsi="Arial" w:cs="Arial"/>
          <w:sz w:val="24"/>
          <w:szCs w:val="24"/>
        </w:rPr>
        <w:t>,</w:t>
      </w:r>
      <w:r w:rsidR="00F81825" w:rsidRPr="00E877FB">
        <w:rPr>
          <w:rFonts w:ascii="Arial" w:hAnsi="Arial" w:cs="Arial"/>
          <w:sz w:val="24"/>
          <w:szCs w:val="24"/>
        </w:rPr>
        <w:t xml:space="preserve"> 2018).</w:t>
      </w:r>
      <w:r w:rsidR="002245D1">
        <w:rPr>
          <w:rFonts w:ascii="Arial" w:hAnsi="Arial" w:cs="Arial"/>
          <w:sz w:val="24"/>
          <w:szCs w:val="24"/>
        </w:rPr>
        <w:t xml:space="preserve"> </w:t>
      </w:r>
      <w:r w:rsidR="00E877FB">
        <w:rPr>
          <w:rFonts w:ascii="Arial" w:hAnsi="Arial" w:cs="Arial"/>
          <w:sz w:val="24"/>
          <w:szCs w:val="24"/>
        </w:rPr>
        <w:t>P</w:t>
      </w:r>
      <w:r w:rsidR="00FE7D03">
        <w:rPr>
          <w:rFonts w:ascii="Arial" w:hAnsi="Arial" w:cs="Arial"/>
          <w:sz w:val="24"/>
          <w:szCs w:val="24"/>
        </w:rPr>
        <w:t>olitical desire</w:t>
      </w:r>
      <w:r w:rsidR="00E877FB">
        <w:rPr>
          <w:rFonts w:ascii="Arial" w:hAnsi="Arial" w:cs="Arial"/>
          <w:sz w:val="24"/>
          <w:szCs w:val="24"/>
        </w:rPr>
        <w:t>s</w:t>
      </w:r>
      <w:r w:rsidR="00FE7D03">
        <w:rPr>
          <w:rFonts w:ascii="Arial" w:hAnsi="Arial" w:cs="Arial"/>
          <w:sz w:val="24"/>
          <w:szCs w:val="24"/>
        </w:rPr>
        <w:t xml:space="preserve"> to create a ‘Green </w:t>
      </w:r>
      <w:r w:rsidR="006967B0">
        <w:rPr>
          <w:rFonts w:ascii="Arial" w:hAnsi="Arial" w:cs="Arial"/>
          <w:sz w:val="24"/>
          <w:szCs w:val="24"/>
        </w:rPr>
        <w:t>‘Brexit’</w:t>
      </w:r>
      <w:r w:rsidR="00FE7D03">
        <w:rPr>
          <w:rFonts w:ascii="Arial" w:hAnsi="Arial" w:cs="Arial"/>
          <w:sz w:val="24"/>
          <w:szCs w:val="24"/>
        </w:rPr>
        <w:t xml:space="preserve"> sparked the </w:t>
      </w:r>
      <w:r w:rsidR="00E877FB">
        <w:rPr>
          <w:rFonts w:ascii="Arial" w:hAnsi="Arial" w:cs="Arial"/>
          <w:sz w:val="24"/>
          <w:szCs w:val="24"/>
        </w:rPr>
        <w:t>creation of</w:t>
      </w:r>
      <w:r w:rsidR="00FE7D03">
        <w:rPr>
          <w:rFonts w:ascii="Arial" w:hAnsi="Arial" w:cs="Arial"/>
          <w:sz w:val="24"/>
          <w:szCs w:val="24"/>
        </w:rPr>
        <w:t xml:space="preserve"> a new environmental strategy (HM Government</w:t>
      </w:r>
      <w:r w:rsidR="0000641A">
        <w:rPr>
          <w:rFonts w:ascii="Arial" w:hAnsi="Arial" w:cs="Arial"/>
          <w:sz w:val="24"/>
          <w:szCs w:val="24"/>
        </w:rPr>
        <w:t>,</w:t>
      </w:r>
      <w:r w:rsidR="00FE7D03">
        <w:rPr>
          <w:rFonts w:ascii="Arial" w:hAnsi="Arial" w:cs="Arial"/>
          <w:sz w:val="24"/>
          <w:szCs w:val="24"/>
        </w:rPr>
        <w:t xml:space="preserve"> 2018)</w:t>
      </w:r>
      <w:r>
        <w:rPr>
          <w:rFonts w:ascii="Arial" w:hAnsi="Arial" w:cs="Arial"/>
          <w:sz w:val="24"/>
          <w:szCs w:val="24"/>
        </w:rPr>
        <w:t>, including</w:t>
      </w:r>
      <w:r w:rsidR="00FE7D03">
        <w:rPr>
          <w:rFonts w:ascii="Arial" w:hAnsi="Arial" w:cs="Arial"/>
          <w:sz w:val="24"/>
          <w:szCs w:val="24"/>
        </w:rPr>
        <w:t xml:space="preserve"> statutory environmental goals and targets</w:t>
      </w:r>
      <w:r w:rsidR="00817CA5">
        <w:rPr>
          <w:rFonts w:ascii="Arial" w:hAnsi="Arial" w:cs="Arial"/>
          <w:sz w:val="24"/>
          <w:szCs w:val="24"/>
        </w:rPr>
        <w:t>, the ambit</w:t>
      </w:r>
      <w:r w:rsidR="00FE7D03">
        <w:rPr>
          <w:rFonts w:ascii="Arial" w:hAnsi="Arial" w:cs="Arial"/>
          <w:sz w:val="24"/>
          <w:szCs w:val="24"/>
        </w:rPr>
        <w:t xml:space="preserve"> of which project into planning domains.</w:t>
      </w:r>
      <w:r w:rsidR="001C5392">
        <w:rPr>
          <w:rFonts w:ascii="Arial" w:hAnsi="Arial" w:cs="Arial"/>
          <w:sz w:val="24"/>
          <w:szCs w:val="24"/>
        </w:rPr>
        <w:t xml:space="preserve"> </w:t>
      </w:r>
      <w:r w:rsidR="008E1C95">
        <w:rPr>
          <w:rFonts w:ascii="Arial" w:hAnsi="Arial" w:cs="Arial"/>
          <w:sz w:val="24"/>
          <w:szCs w:val="24"/>
        </w:rPr>
        <w:t>If this</w:t>
      </w:r>
      <w:r w:rsidR="001C5392">
        <w:rPr>
          <w:rFonts w:ascii="Arial" w:hAnsi="Arial" w:cs="Arial"/>
          <w:sz w:val="24"/>
          <w:szCs w:val="24"/>
        </w:rPr>
        <w:t xml:space="preserve"> resemble</w:t>
      </w:r>
      <w:r w:rsidR="008E1C95">
        <w:rPr>
          <w:rFonts w:ascii="Arial" w:hAnsi="Arial" w:cs="Arial"/>
          <w:sz w:val="24"/>
          <w:szCs w:val="24"/>
        </w:rPr>
        <w:t xml:space="preserve">s </w:t>
      </w:r>
      <w:r w:rsidR="001C5392">
        <w:rPr>
          <w:rFonts w:ascii="Arial" w:hAnsi="Arial" w:cs="Arial"/>
          <w:sz w:val="24"/>
          <w:szCs w:val="24"/>
        </w:rPr>
        <w:t xml:space="preserve">Scenario 1, </w:t>
      </w:r>
      <w:r w:rsidR="001C5392" w:rsidRPr="008E1C95">
        <w:rPr>
          <w:rFonts w:ascii="Arial" w:hAnsi="Arial" w:cs="Arial"/>
          <w:sz w:val="24"/>
          <w:szCs w:val="24"/>
        </w:rPr>
        <w:t>concerns about the prospect of watering down environment protection ha</w:t>
      </w:r>
      <w:r w:rsidR="00F7476E">
        <w:rPr>
          <w:rFonts w:ascii="Arial" w:hAnsi="Arial" w:cs="Arial"/>
          <w:sz w:val="24"/>
          <w:szCs w:val="24"/>
        </w:rPr>
        <w:t>ve</w:t>
      </w:r>
      <w:r w:rsidR="001C5392" w:rsidRPr="008E1C95">
        <w:rPr>
          <w:rFonts w:ascii="Arial" w:hAnsi="Arial" w:cs="Arial"/>
          <w:sz w:val="24"/>
          <w:szCs w:val="24"/>
        </w:rPr>
        <w:t xml:space="preserve"> not disappeared, not least because the UK government’s position in Brexit negotiations is that it </w:t>
      </w:r>
      <w:r w:rsidR="009C30D8" w:rsidRPr="009C30D8">
        <w:rPr>
          <w:rFonts w:ascii="Arial" w:eastAsia="Times New Roman" w:hAnsi="Arial" w:cs="Arial"/>
          <w:bCs/>
          <w:color w:val="000000"/>
          <w:sz w:val="24"/>
          <w:szCs w:val="24"/>
          <w:lang w:eastAsia="en-GB"/>
        </w:rPr>
        <w:t xml:space="preserve"> ‘will choose autonomy over regulatory alignment’ with the EU (Pickstone 2020).</w:t>
      </w:r>
    </w:p>
    <w:p w:rsidR="00FE7D03" w:rsidRPr="008E1C95" w:rsidRDefault="00FE7D03" w:rsidP="007B66B5">
      <w:pPr>
        <w:rPr>
          <w:rFonts w:ascii="Arial" w:hAnsi="Arial" w:cs="Arial"/>
          <w:sz w:val="24"/>
          <w:szCs w:val="24"/>
        </w:rPr>
      </w:pPr>
    </w:p>
    <w:p w:rsidR="00E82636" w:rsidRDefault="000447D8" w:rsidP="006A78D4">
      <w:pPr>
        <w:rPr>
          <w:rFonts w:ascii="Arial" w:hAnsi="Arial" w:cs="Arial"/>
          <w:sz w:val="24"/>
          <w:szCs w:val="24"/>
        </w:rPr>
      </w:pPr>
      <w:r>
        <w:rPr>
          <w:rFonts w:ascii="Arial" w:hAnsi="Arial" w:cs="Arial"/>
          <w:sz w:val="24"/>
          <w:szCs w:val="24"/>
        </w:rPr>
        <w:t xml:space="preserve">Although the </w:t>
      </w:r>
      <w:r w:rsidR="005C5D04">
        <w:rPr>
          <w:rFonts w:ascii="Arial" w:hAnsi="Arial" w:cs="Arial"/>
          <w:sz w:val="24"/>
          <w:szCs w:val="24"/>
        </w:rPr>
        <w:t>right</w:t>
      </w:r>
      <w:r w:rsidR="00FE3E65">
        <w:rPr>
          <w:rFonts w:ascii="Arial" w:hAnsi="Arial" w:cs="Arial"/>
          <w:sz w:val="24"/>
          <w:szCs w:val="24"/>
        </w:rPr>
        <w:t>-hand</w:t>
      </w:r>
      <w:r w:rsidR="005C5D04">
        <w:rPr>
          <w:rFonts w:ascii="Arial" w:hAnsi="Arial" w:cs="Arial"/>
          <w:sz w:val="24"/>
          <w:szCs w:val="24"/>
        </w:rPr>
        <w:t xml:space="preserve"> side of Fi</w:t>
      </w:r>
      <w:r w:rsidR="00610CEB">
        <w:rPr>
          <w:rFonts w:ascii="Arial" w:hAnsi="Arial" w:cs="Arial"/>
          <w:sz w:val="24"/>
          <w:szCs w:val="24"/>
        </w:rPr>
        <w:t>gure 1</w:t>
      </w:r>
      <w:r w:rsidR="005C5D04">
        <w:rPr>
          <w:rFonts w:ascii="Arial" w:hAnsi="Arial" w:cs="Arial"/>
          <w:sz w:val="24"/>
          <w:szCs w:val="24"/>
        </w:rPr>
        <w:t xml:space="preserve"> is </w:t>
      </w:r>
      <w:r>
        <w:rPr>
          <w:rFonts w:ascii="Arial" w:hAnsi="Arial" w:cs="Arial"/>
          <w:sz w:val="24"/>
          <w:szCs w:val="24"/>
        </w:rPr>
        <w:t>labelled ‘becoming more domestic’</w:t>
      </w:r>
      <w:r w:rsidR="00BD6543">
        <w:rPr>
          <w:rFonts w:ascii="Arial" w:hAnsi="Arial" w:cs="Arial"/>
          <w:sz w:val="24"/>
          <w:szCs w:val="24"/>
        </w:rPr>
        <w:t>, of course there is already significant differentiation of approach within the UK</w:t>
      </w:r>
      <w:r w:rsidR="00B00AE6">
        <w:rPr>
          <w:rFonts w:ascii="Arial" w:hAnsi="Arial" w:cs="Arial"/>
          <w:sz w:val="24"/>
          <w:szCs w:val="24"/>
        </w:rPr>
        <w:t xml:space="preserve"> because of</w:t>
      </w:r>
      <w:r w:rsidR="00655F71">
        <w:rPr>
          <w:rFonts w:ascii="Arial" w:hAnsi="Arial" w:cs="Arial"/>
          <w:sz w:val="24"/>
          <w:szCs w:val="24"/>
        </w:rPr>
        <w:t xml:space="preserve"> devolution</w:t>
      </w:r>
      <w:r w:rsidR="00FE3E65">
        <w:rPr>
          <w:rFonts w:ascii="Arial" w:hAnsi="Arial" w:cs="Arial"/>
          <w:sz w:val="24"/>
          <w:szCs w:val="24"/>
        </w:rPr>
        <w:t xml:space="preserve">. The UK devolution settlements have given Northern Ireland, Scotland and Wales significant power over planning and environmental policy, but </w:t>
      </w:r>
      <w:r w:rsidR="006A78D4">
        <w:rPr>
          <w:rFonts w:ascii="Arial" w:hAnsi="Arial" w:cs="Arial"/>
          <w:sz w:val="24"/>
          <w:szCs w:val="24"/>
        </w:rPr>
        <w:t xml:space="preserve">this has been exercised </w:t>
      </w:r>
      <w:r w:rsidR="002650B7">
        <w:rPr>
          <w:rFonts w:ascii="Arial" w:hAnsi="Arial" w:cs="Arial"/>
          <w:sz w:val="24"/>
          <w:szCs w:val="24"/>
        </w:rPr>
        <w:t xml:space="preserve">within a </w:t>
      </w:r>
      <w:r w:rsidR="00FE3E65">
        <w:rPr>
          <w:rFonts w:ascii="Arial" w:hAnsi="Arial" w:cs="Arial"/>
          <w:sz w:val="24"/>
          <w:szCs w:val="24"/>
        </w:rPr>
        <w:t>framework of minimum common requirements</w:t>
      </w:r>
      <w:r w:rsidR="006A78D4">
        <w:rPr>
          <w:rFonts w:ascii="Arial" w:hAnsi="Arial" w:cs="Arial"/>
          <w:sz w:val="24"/>
          <w:szCs w:val="24"/>
        </w:rPr>
        <w:t xml:space="preserve"> arising from EU membership. Brexit could well therefore lead to further divergence. </w:t>
      </w:r>
      <w:r w:rsidR="00953156">
        <w:rPr>
          <w:rFonts w:ascii="Arial" w:hAnsi="Arial" w:cs="Arial"/>
          <w:sz w:val="24"/>
          <w:szCs w:val="24"/>
        </w:rPr>
        <w:t>T</w:t>
      </w:r>
      <w:r w:rsidR="00E82636">
        <w:rPr>
          <w:rFonts w:ascii="Arial" w:hAnsi="Arial" w:cs="Arial"/>
          <w:sz w:val="24"/>
          <w:szCs w:val="24"/>
        </w:rPr>
        <w:t>he governments of</w:t>
      </w:r>
      <w:r w:rsidR="00E82636" w:rsidRPr="003C2C48">
        <w:rPr>
          <w:rFonts w:ascii="Arial" w:hAnsi="Arial" w:cs="Arial"/>
          <w:sz w:val="24"/>
          <w:szCs w:val="24"/>
        </w:rPr>
        <w:t xml:space="preserve"> Wales and Scotland</w:t>
      </w:r>
      <w:r w:rsidR="00E82636">
        <w:rPr>
          <w:rFonts w:ascii="Arial" w:hAnsi="Arial" w:cs="Arial"/>
          <w:sz w:val="24"/>
          <w:szCs w:val="24"/>
        </w:rPr>
        <w:t xml:space="preserve"> had already taken a more ambitious approach to </w:t>
      </w:r>
      <w:r w:rsidR="00610CEB">
        <w:rPr>
          <w:rFonts w:ascii="Arial" w:hAnsi="Arial" w:cs="Arial"/>
          <w:sz w:val="24"/>
          <w:szCs w:val="24"/>
        </w:rPr>
        <w:t xml:space="preserve">various </w:t>
      </w:r>
      <w:r w:rsidR="00E82636">
        <w:rPr>
          <w:rFonts w:ascii="Arial" w:hAnsi="Arial" w:cs="Arial"/>
          <w:sz w:val="24"/>
          <w:szCs w:val="24"/>
        </w:rPr>
        <w:t xml:space="preserve">EU environmental Directives than the UK government: notably with waste in Wales and </w:t>
      </w:r>
      <w:r w:rsidR="00FF00A6">
        <w:rPr>
          <w:rFonts w:ascii="Arial" w:hAnsi="Arial" w:cs="Arial"/>
          <w:sz w:val="24"/>
          <w:szCs w:val="24"/>
        </w:rPr>
        <w:t xml:space="preserve">the </w:t>
      </w:r>
      <w:r w:rsidR="00E82636">
        <w:rPr>
          <w:rFonts w:ascii="Arial" w:hAnsi="Arial" w:cs="Arial"/>
          <w:sz w:val="24"/>
          <w:szCs w:val="24"/>
        </w:rPr>
        <w:t>SEA</w:t>
      </w:r>
      <w:r w:rsidR="00FF00A6">
        <w:rPr>
          <w:rFonts w:ascii="Arial" w:hAnsi="Arial" w:cs="Arial"/>
          <w:sz w:val="24"/>
          <w:szCs w:val="24"/>
        </w:rPr>
        <w:t xml:space="preserve"> (Jackson and Illsley 2006)</w:t>
      </w:r>
      <w:r w:rsidR="006803EC">
        <w:rPr>
          <w:rFonts w:ascii="Arial" w:hAnsi="Arial" w:cs="Arial"/>
          <w:sz w:val="24"/>
          <w:szCs w:val="24"/>
        </w:rPr>
        <w:t xml:space="preserve"> </w:t>
      </w:r>
      <w:r w:rsidR="00E51A19">
        <w:rPr>
          <w:rFonts w:ascii="Arial" w:hAnsi="Arial" w:cs="Arial"/>
          <w:sz w:val="24"/>
          <w:szCs w:val="24"/>
        </w:rPr>
        <w:t>and Water Framework Directive</w:t>
      </w:r>
      <w:r w:rsidR="00FF00A6">
        <w:rPr>
          <w:rFonts w:ascii="Arial" w:hAnsi="Arial" w:cs="Arial"/>
          <w:sz w:val="24"/>
          <w:szCs w:val="24"/>
        </w:rPr>
        <w:t>s</w:t>
      </w:r>
      <w:r w:rsidR="00CE528C">
        <w:rPr>
          <w:rFonts w:ascii="Arial" w:hAnsi="Arial" w:cs="Arial"/>
          <w:sz w:val="24"/>
          <w:szCs w:val="24"/>
        </w:rPr>
        <w:t xml:space="preserve"> </w:t>
      </w:r>
      <w:r w:rsidR="00E82636">
        <w:rPr>
          <w:rFonts w:ascii="Arial" w:hAnsi="Arial" w:cs="Arial"/>
          <w:sz w:val="24"/>
          <w:szCs w:val="24"/>
        </w:rPr>
        <w:t>in Scotland. O</w:t>
      </w:r>
      <w:r w:rsidR="00E82636" w:rsidRPr="003C2C48">
        <w:rPr>
          <w:rFonts w:ascii="Arial" w:hAnsi="Arial" w:cs="Arial"/>
          <w:sz w:val="24"/>
          <w:szCs w:val="24"/>
        </w:rPr>
        <w:t>ngoing EU alignment is an explicit political priority</w:t>
      </w:r>
      <w:r w:rsidR="00E82636">
        <w:rPr>
          <w:rFonts w:ascii="Arial" w:hAnsi="Arial" w:cs="Arial"/>
          <w:sz w:val="24"/>
          <w:szCs w:val="24"/>
        </w:rPr>
        <w:t xml:space="preserve"> for both </w:t>
      </w:r>
      <w:r w:rsidR="00E82636" w:rsidRPr="003C2C48">
        <w:rPr>
          <w:rFonts w:ascii="Arial" w:hAnsi="Arial" w:cs="Arial"/>
          <w:sz w:val="24"/>
          <w:szCs w:val="24"/>
        </w:rPr>
        <w:t>(Burns et al</w:t>
      </w:r>
      <w:r w:rsidR="0000641A">
        <w:rPr>
          <w:rFonts w:ascii="Arial" w:hAnsi="Arial" w:cs="Arial"/>
          <w:sz w:val="24"/>
          <w:szCs w:val="24"/>
        </w:rPr>
        <w:t>.,</w:t>
      </w:r>
      <w:r w:rsidR="00E82636" w:rsidRPr="003C2C48">
        <w:rPr>
          <w:rFonts w:ascii="Arial" w:hAnsi="Arial" w:cs="Arial"/>
          <w:sz w:val="24"/>
          <w:szCs w:val="24"/>
        </w:rPr>
        <w:t xml:space="preserve"> 2018)</w:t>
      </w:r>
      <w:r w:rsidR="00E82636">
        <w:rPr>
          <w:rFonts w:ascii="Arial" w:hAnsi="Arial" w:cs="Arial"/>
          <w:sz w:val="24"/>
          <w:szCs w:val="24"/>
        </w:rPr>
        <w:t xml:space="preserve">. </w:t>
      </w:r>
      <w:r w:rsidR="00E82636" w:rsidRPr="00334CC9">
        <w:rPr>
          <w:rFonts w:ascii="Arial" w:hAnsi="Arial" w:cs="Arial"/>
          <w:sz w:val="24"/>
          <w:szCs w:val="24"/>
        </w:rPr>
        <w:t>Meanwhile, in Northern Ireland</w:t>
      </w:r>
      <w:r w:rsidR="00E82636">
        <w:rPr>
          <w:rFonts w:ascii="Arial" w:hAnsi="Arial" w:cs="Arial"/>
          <w:sz w:val="24"/>
          <w:szCs w:val="24"/>
        </w:rPr>
        <w:t>,</w:t>
      </w:r>
      <w:r w:rsidR="00E82636" w:rsidRPr="00334CC9">
        <w:rPr>
          <w:rFonts w:ascii="Arial" w:hAnsi="Arial" w:cs="Arial"/>
          <w:sz w:val="24"/>
          <w:szCs w:val="24"/>
        </w:rPr>
        <w:t xml:space="preserve"> devolved institutions </w:t>
      </w:r>
      <w:r w:rsidR="006A78D4">
        <w:rPr>
          <w:rFonts w:ascii="Arial" w:hAnsi="Arial" w:cs="Arial"/>
          <w:sz w:val="24"/>
          <w:szCs w:val="24"/>
        </w:rPr>
        <w:t>were</w:t>
      </w:r>
      <w:r w:rsidR="00E82636" w:rsidRPr="00334CC9">
        <w:rPr>
          <w:rFonts w:ascii="Arial" w:hAnsi="Arial" w:cs="Arial"/>
          <w:sz w:val="24"/>
          <w:szCs w:val="24"/>
        </w:rPr>
        <w:t xml:space="preserve"> </w:t>
      </w:r>
      <w:r w:rsidR="00D3318E">
        <w:rPr>
          <w:rFonts w:ascii="Arial" w:hAnsi="Arial" w:cs="Arial"/>
          <w:sz w:val="24"/>
          <w:szCs w:val="24"/>
        </w:rPr>
        <w:t xml:space="preserve">suspended </w:t>
      </w:r>
      <w:r w:rsidR="006A78D4">
        <w:rPr>
          <w:rFonts w:ascii="Arial" w:hAnsi="Arial" w:cs="Arial"/>
          <w:sz w:val="24"/>
          <w:szCs w:val="24"/>
        </w:rPr>
        <w:t>from</w:t>
      </w:r>
      <w:r w:rsidR="00D3318E">
        <w:rPr>
          <w:rFonts w:ascii="Arial" w:hAnsi="Arial" w:cs="Arial"/>
          <w:sz w:val="24"/>
          <w:szCs w:val="24"/>
        </w:rPr>
        <w:t xml:space="preserve"> January 2017 </w:t>
      </w:r>
      <w:r w:rsidR="006A78D4">
        <w:rPr>
          <w:rFonts w:ascii="Arial" w:hAnsi="Arial" w:cs="Arial"/>
          <w:sz w:val="24"/>
          <w:szCs w:val="24"/>
        </w:rPr>
        <w:t>to January 2020</w:t>
      </w:r>
      <w:r w:rsidR="002650B7">
        <w:rPr>
          <w:rFonts w:ascii="Arial" w:hAnsi="Arial" w:cs="Arial"/>
          <w:sz w:val="24"/>
          <w:szCs w:val="24"/>
        </w:rPr>
        <w:t>,</w:t>
      </w:r>
      <w:r w:rsidR="006A78D4">
        <w:rPr>
          <w:rFonts w:ascii="Arial" w:hAnsi="Arial" w:cs="Arial"/>
          <w:sz w:val="24"/>
          <w:szCs w:val="24"/>
        </w:rPr>
        <w:t xml:space="preserve"> </w:t>
      </w:r>
      <w:r w:rsidR="002650B7">
        <w:rPr>
          <w:rFonts w:ascii="Arial" w:hAnsi="Arial" w:cs="Arial"/>
          <w:sz w:val="24"/>
          <w:szCs w:val="24"/>
        </w:rPr>
        <w:t xml:space="preserve">making it hard to discern </w:t>
      </w:r>
      <w:r w:rsidR="00E82636">
        <w:rPr>
          <w:rFonts w:ascii="Arial" w:hAnsi="Arial" w:cs="Arial"/>
          <w:sz w:val="24"/>
          <w:szCs w:val="24"/>
        </w:rPr>
        <w:t xml:space="preserve">how </w:t>
      </w:r>
      <w:r w:rsidR="006A78D4">
        <w:rPr>
          <w:rFonts w:ascii="Arial" w:hAnsi="Arial" w:cs="Arial"/>
          <w:sz w:val="24"/>
          <w:szCs w:val="24"/>
        </w:rPr>
        <w:t>post-Brexit environmental governance</w:t>
      </w:r>
      <w:r w:rsidR="00E82636">
        <w:rPr>
          <w:rFonts w:ascii="Arial" w:hAnsi="Arial" w:cs="Arial"/>
          <w:sz w:val="24"/>
          <w:szCs w:val="24"/>
        </w:rPr>
        <w:t xml:space="preserve"> w</w:t>
      </w:r>
      <w:r w:rsidR="00F7476E">
        <w:rPr>
          <w:rFonts w:ascii="Arial" w:hAnsi="Arial" w:cs="Arial"/>
          <w:sz w:val="24"/>
          <w:szCs w:val="24"/>
        </w:rPr>
        <w:t>ill</w:t>
      </w:r>
      <w:r w:rsidR="00E82636">
        <w:rPr>
          <w:rFonts w:ascii="Arial" w:hAnsi="Arial" w:cs="Arial"/>
          <w:sz w:val="24"/>
          <w:szCs w:val="24"/>
        </w:rPr>
        <w:t xml:space="preserve"> be handled </w:t>
      </w:r>
      <w:r w:rsidR="00F7476E">
        <w:rPr>
          <w:rFonts w:ascii="Arial" w:hAnsi="Arial" w:cs="Arial"/>
          <w:sz w:val="24"/>
          <w:szCs w:val="24"/>
        </w:rPr>
        <w:t>by</w:t>
      </w:r>
      <w:r w:rsidR="00E82636">
        <w:rPr>
          <w:rFonts w:ascii="Arial" w:hAnsi="Arial" w:cs="Arial"/>
          <w:sz w:val="24"/>
          <w:szCs w:val="24"/>
        </w:rPr>
        <w:t xml:space="preserve"> the Northern Ireland Assembly.</w:t>
      </w:r>
    </w:p>
    <w:p w:rsidR="0059239C" w:rsidRDefault="0059239C" w:rsidP="00693862">
      <w:pPr>
        <w:rPr>
          <w:rFonts w:ascii="Arial" w:hAnsi="Arial" w:cs="Arial"/>
          <w:sz w:val="24"/>
          <w:szCs w:val="24"/>
        </w:rPr>
      </w:pPr>
    </w:p>
    <w:p w:rsidR="008E1C95" w:rsidRDefault="008E1C95" w:rsidP="00693862">
      <w:pPr>
        <w:rPr>
          <w:rFonts w:ascii="Arial" w:hAnsi="Arial" w:cs="Arial"/>
          <w:sz w:val="24"/>
          <w:szCs w:val="24"/>
        </w:rPr>
      </w:pPr>
      <w:r>
        <w:rPr>
          <w:rFonts w:ascii="Arial" w:hAnsi="Arial" w:cs="Arial"/>
          <w:sz w:val="24"/>
          <w:szCs w:val="24"/>
        </w:rPr>
        <w:t xml:space="preserve">Whatever </w:t>
      </w:r>
      <w:r w:rsidR="00756A5E">
        <w:rPr>
          <w:rFonts w:ascii="Arial" w:hAnsi="Arial" w:cs="Arial"/>
          <w:sz w:val="24"/>
          <w:szCs w:val="24"/>
        </w:rPr>
        <w:t>lays</w:t>
      </w:r>
      <w:r>
        <w:rPr>
          <w:rFonts w:ascii="Arial" w:hAnsi="Arial" w:cs="Arial"/>
          <w:sz w:val="24"/>
          <w:szCs w:val="24"/>
        </w:rPr>
        <w:t xml:space="preserve"> ahead, the value</w:t>
      </w:r>
      <w:r w:rsidR="002650B7">
        <w:rPr>
          <w:rFonts w:ascii="Arial" w:hAnsi="Arial" w:cs="Arial"/>
          <w:sz w:val="24"/>
          <w:szCs w:val="24"/>
        </w:rPr>
        <w:t xml:space="preserve"> of the scenarios as heuristics</w:t>
      </w:r>
      <w:r>
        <w:rPr>
          <w:rFonts w:ascii="Arial" w:hAnsi="Arial" w:cs="Arial"/>
          <w:sz w:val="24"/>
          <w:szCs w:val="24"/>
        </w:rPr>
        <w:t xml:space="preserve"> lies in their capacity to prompt meaningful discussion about the merits of different change trajectories among act</w:t>
      </w:r>
      <w:r w:rsidR="002650B7">
        <w:rPr>
          <w:rFonts w:ascii="Arial" w:hAnsi="Arial" w:cs="Arial"/>
          <w:sz w:val="24"/>
          <w:szCs w:val="24"/>
        </w:rPr>
        <w:t>ors that engage with</w:t>
      </w:r>
      <w:r>
        <w:rPr>
          <w:rFonts w:ascii="Arial" w:hAnsi="Arial" w:cs="Arial"/>
          <w:sz w:val="24"/>
          <w:szCs w:val="24"/>
        </w:rPr>
        <w:t xml:space="preserve"> the planning-environment interface. We now turn therefore to our analysis of the qualitative data from planning and environmental practitioners.</w:t>
      </w:r>
    </w:p>
    <w:p w:rsidR="00C805FA" w:rsidRDefault="00C805FA">
      <w:pPr>
        <w:rPr>
          <w:rFonts w:ascii="Arial" w:hAnsi="Arial" w:cs="Arial"/>
          <w:sz w:val="24"/>
          <w:szCs w:val="24"/>
        </w:rPr>
      </w:pPr>
    </w:p>
    <w:p w:rsidR="00183EAD" w:rsidRDefault="00183EAD">
      <w:pPr>
        <w:rPr>
          <w:rFonts w:ascii="Arial" w:hAnsi="Arial" w:cs="Arial"/>
          <w:sz w:val="24"/>
          <w:szCs w:val="24"/>
        </w:rPr>
      </w:pPr>
    </w:p>
    <w:p w:rsidR="00183EAD" w:rsidRDefault="00183EAD">
      <w:pPr>
        <w:rPr>
          <w:rFonts w:ascii="Arial" w:hAnsi="Arial" w:cs="Arial"/>
          <w:sz w:val="24"/>
          <w:szCs w:val="24"/>
        </w:rPr>
      </w:pPr>
      <w:r>
        <w:rPr>
          <w:rFonts w:ascii="Arial" w:hAnsi="Arial" w:cs="Arial"/>
          <w:b/>
          <w:sz w:val="24"/>
          <w:szCs w:val="24"/>
        </w:rPr>
        <w:t>Practitioner</w:t>
      </w:r>
      <w:r w:rsidR="00CE528C">
        <w:rPr>
          <w:rFonts w:ascii="Arial" w:hAnsi="Arial" w:cs="Arial"/>
          <w:b/>
          <w:sz w:val="24"/>
          <w:szCs w:val="24"/>
        </w:rPr>
        <w:t xml:space="preserve"> </w:t>
      </w:r>
      <w:r>
        <w:rPr>
          <w:rFonts w:ascii="Arial" w:hAnsi="Arial" w:cs="Arial"/>
          <w:b/>
          <w:sz w:val="24"/>
          <w:szCs w:val="24"/>
        </w:rPr>
        <w:t>perspectives</w:t>
      </w:r>
    </w:p>
    <w:p w:rsidR="00183EAD" w:rsidRDefault="00183EAD">
      <w:pPr>
        <w:rPr>
          <w:rFonts w:ascii="Arial" w:hAnsi="Arial" w:cs="Arial"/>
          <w:sz w:val="24"/>
          <w:szCs w:val="24"/>
        </w:rPr>
      </w:pPr>
    </w:p>
    <w:p w:rsidR="00183EAD" w:rsidRPr="00183EAD" w:rsidRDefault="00183EAD">
      <w:pPr>
        <w:rPr>
          <w:rFonts w:ascii="Arial" w:hAnsi="Arial" w:cs="Arial"/>
          <w:i/>
          <w:sz w:val="24"/>
          <w:szCs w:val="24"/>
        </w:rPr>
      </w:pPr>
      <w:r w:rsidRPr="00183EAD">
        <w:rPr>
          <w:rFonts w:ascii="Arial" w:hAnsi="Arial" w:cs="Arial"/>
          <w:i/>
          <w:sz w:val="24"/>
          <w:szCs w:val="24"/>
        </w:rPr>
        <w:t>Existing understanding</w:t>
      </w:r>
    </w:p>
    <w:p w:rsidR="006B6F80" w:rsidRDefault="006B6F80">
      <w:pPr>
        <w:rPr>
          <w:rFonts w:ascii="Arial" w:hAnsi="Arial" w:cs="Arial"/>
          <w:sz w:val="24"/>
          <w:szCs w:val="24"/>
        </w:rPr>
      </w:pPr>
    </w:p>
    <w:p w:rsidR="00541B41" w:rsidRDefault="005D2D6D">
      <w:pPr>
        <w:rPr>
          <w:rFonts w:ascii="Arial" w:hAnsi="Arial" w:cs="Arial"/>
          <w:sz w:val="24"/>
          <w:szCs w:val="24"/>
        </w:rPr>
      </w:pPr>
      <w:r>
        <w:rPr>
          <w:rFonts w:ascii="Arial" w:hAnsi="Arial" w:cs="Arial"/>
          <w:sz w:val="24"/>
          <w:szCs w:val="24"/>
        </w:rPr>
        <w:t>Alongside</w:t>
      </w:r>
      <w:r w:rsidR="00CE528C">
        <w:rPr>
          <w:rFonts w:ascii="Arial" w:hAnsi="Arial" w:cs="Arial"/>
          <w:sz w:val="24"/>
          <w:szCs w:val="24"/>
        </w:rPr>
        <w:t xml:space="preserve"> </w:t>
      </w:r>
      <w:r w:rsidR="00411097">
        <w:rPr>
          <w:rFonts w:ascii="Arial" w:hAnsi="Arial" w:cs="Arial"/>
          <w:sz w:val="24"/>
          <w:szCs w:val="24"/>
        </w:rPr>
        <w:t xml:space="preserve">the </w:t>
      </w:r>
      <w:r w:rsidR="00541B41">
        <w:rPr>
          <w:rFonts w:ascii="Arial" w:hAnsi="Arial" w:cs="Arial"/>
          <w:sz w:val="24"/>
          <w:szCs w:val="24"/>
        </w:rPr>
        <w:t>limited conceptualisation of the planning-environment</w:t>
      </w:r>
      <w:r w:rsidR="00791569">
        <w:rPr>
          <w:rFonts w:ascii="Arial" w:hAnsi="Arial" w:cs="Arial"/>
          <w:sz w:val="24"/>
          <w:szCs w:val="24"/>
        </w:rPr>
        <w:t xml:space="preserve"> interface</w:t>
      </w:r>
      <w:r w:rsidR="00F11592">
        <w:rPr>
          <w:rFonts w:ascii="Arial" w:hAnsi="Arial" w:cs="Arial"/>
          <w:sz w:val="24"/>
          <w:szCs w:val="24"/>
        </w:rPr>
        <w:t xml:space="preserve">, </w:t>
      </w:r>
      <w:r w:rsidR="00541B41">
        <w:rPr>
          <w:rFonts w:ascii="Arial" w:hAnsi="Arial" w:cs="Arial"/>
          <w:sz w:val="24"/>
          <w:szCs w:val="24"/>
        </w:rPr>
        <w:t xml:space="preserve">there has </w:t>
      </w:r>
      <w:r w:rsidR="00F11592">
        <w:rPr>
          <w:rFonts w:ascii="Arial" w:hAnsi="Arial" w:cs="Arial"/>
          <w:sz w:val="24"/>
          <w:szCs w:val="24"/>
        </w:rPr>
        <w:t xml:space="preserve">also </w:t>
      </w:r>
      <w:r w:rsidR="006A21EE">
        <w:rPr>
          <w:rFonts w:ascii="Arial" w:hAnsi="Arial" w:cs="Arial"/>
          <w:sz w:val="24"/>
          <w:szCs w:val="24"/>
        </w:rPr>
        <w:t>been little research in</w:t>
      </w:r>
      <w:r w:rsidR="00541B41">
        <w:rPr>
          <w:rFonts w:ascii="Arial" w:hAnsi="Arial" w:cs="Arial"/>
          <w:sz w:val="24"/>
          <w:szCs w:val="24"/>
        </w:rPr>
        <w:t>to the attitudes of the p</w:t>
      </w:r>
      <w:r w:rsidR="00791569">
        <w:rPr>
          <w:rFonts w:ascii="Arial" w:hAnsi="Arial" w:cs="Arial"/>
          <w:sz w:val="24"/>
          <w:szCs w:val="24"/>
        </w:rPr>
        <w:t>ractitioner</w:t>
      </w:r>
      <w:r w:rsidR="00F340BC">
        <w:rPr>
          <w:rFonts w:ascii="Arial" w:hAnsi="Arial" w:cs="Arial"/>
          <w:sz w:val="24"/>
          <w:szCs w:val="24"/>
        </w:rPr>
        <w:t>s in this sphere</w:t>
      </w:r>
      <w:r w:rsidR="00541B41">
        <w:rPr>
          <w:rFonts w:ascii="Arial" w:hAnsi="Arial" w:cs="Arial"/>
          <w:sz w:val="24"/>
          <w:szCs w:val="24"/>
        </w:rPr>
        <w:t xml:space="preserve">. </w:t>
      </w:r>
      <w:r w:rsidR="00791569">
        <w:rPr>
          <w:rFonts w:ascii="Arial" w:hAnsi="Arial" w:cs="Arial"/>
          <w:sz w:val="24"/>
          <w:szCs w:val="24"/>
        </w:rPr>
        <w:t xml:space="preserve">As with planning theory, </w:t>
      </w:r>
      <w:r w:rsidR="00411097">
        <w:rPr>
          <w:rFonts w:ascii="Arial" w:hAnsi="Arial" w:cs="Arial"/>
          <w:sz w:val="24"/>
          <w:szCs w:val="24"/>
        </w:rPr>
        <w:t xml:space="preserve">attitudinal </w:t>
      </w:r>
      <w:r w:rsidR="00791569">
        <w:rPr>
          <w:rFonts w:ascii="Arial" w:hAnsi="Arial" w:cs="Arial"/>
          <w:sz w:val="24"/>
          <w:szCs w:val="24"/>
        </w:rPr>
        <w:t xml:space="preserve">research has </w:t>
      </w:r>
      <w:r w:rsidR="00541B41">
        <w:rPr>
          <w:rFonts w:ascii="Arial" w:hAnsi="Arial" w:cs="Arial"/>
          <w:sz w:val="24"/>
          <w:szCs w:val="24"/>
        </w:rPr>
        <w:t xml:space="preserve">tended to emphasise procedural concerns, </w:t>
      </w:r>
      <w:r w:rsidR="00791569">
        <w:rPr>
          <w:rFonts w:ascii="Arial" w:hAnsi="Arial" w:cs="Arial"/>
          <w:sz w:val="24"/>
          <w:szCs w:val="24"/>
        </w:rPr>
        <w:t>notably planners’ attitudes towards publics, participation and c</w:t>
      </w:r>
      <w:r w:rsidR="00D45F43">
        <w:rPr>
          <w:rFonts w:ascii="Arial" w:hAnsi="Arial" w:cs="Arial"/>
          <w:sz w:val="24"/>
          <w:szCs w:val="24"/>
        </w:rPr>
        <w:t>ollaboration</w:t>
      </w:r>
      <w:r w:rsidR="00791569">
        <w:rPr>
          <w:rFonts w:ascii="Arial" w:hAnsi="Arial" w:cs="Arial"/>
          <w:sz w:val="24"/>
          <w:szCs w:val="24"/>
        </w:rPr>
        <w:t xml:space="preserve"> (</w:t>
      </w:r>
      <w:r w:rsidR="00F70C84">
        <w:rPr>
          <w:rFonts w:ascii="Arial" w:hAnsi="Arial" w:cs="Arial"/>
          <w:sz w:val="24"/>
          <w:szCs w:val="24"/>
        </w:rPr>
        <w:t>e.g.</w:t>
      </w:r>
      <w:r w:rsidR="00CE528C">
        <w:rPr>
          <w:rFonts w:ascii="Arial" w:hAnsi="Arial" w:cs="Arial"/>
          <w:sz w:val="24"/>
          <w:szCs w:val="24"/>
        </w:rPr>
        <w:t xml:space="preserve"> </w:t>
      </w:r>
      <w:r w:rsidR="007744A7">
        <w:rPr>
          <w:rFonts w:ascii="Arial" w:hAnsi="Arial" w:cs="Arial"/>
          <w:sz w:val="24"/>
          <w:szCs w:val="24"/>
        </w:rPr>
        <w:t>Woltjer</w:t>
      </w:r>
      <w:r w:rsidR="0000641A">
        <w:rPr>
          <w:rFonts w:ascii="Arial" w:hAnsi="Arial" w:cs="Arial"/>
          <w:sz w:val="24"/>
          <w:szCs w:val="24"/>
        </w:rPr>
        <w:t>,</w:t>
      </w:r>
      <w:r w:rsidR="007744A7">
        <w:rPr>
          <w:rFonts w:ascii="Arial" w:hAnsi="Arial" w:cs="Arial"/>
          <w:sz w:val="24"/>
          <w:szCs w:val="24"/>
        </w:rPr>
        <w:t xml:space="preserve"> 2002</w:t>
      </w:r>
      <w:r w:rsidR="00791569">
        <w:rPr>
          <w:rFonts w:ascii="Arial" w:hAnsi="Arial" w:cs="Arial"/>
          <w:sz w:val="24"/>
          <w:szCs w:val="24"/>
        </w:rPr>
        <w:t>)</w:t>
      </w:r>
      <w:r w:rsidR="00541B41">
        <w:rPr>
          <w:rFonts w:ascii="Arial" w:hAnsi="Arial" w:cs="Arial"/>
          <w:sz w:val="24"/>
          <w:szCs w:val="24"/>
        </w:rPr>
        <w:t xml:space="preserve">. </w:t>
      </w:r>
      <w:r w:rsidR="003E0E60">
        <w:rPr>
          <w:rFonts w:ascii="Arial" w:hAnsi="Arial" w:cs="Arial"/>
          <w:sz w:val="24"/>
          <w:szCs w:val="24"/>
        </w:rPr>
        <w:t>However, u</w:t>
      </w:r>
      <w:r w:rsidR="00B60D4E">
        <w:rPr>
          <w:rFonts w:ascii="Arial" w:hAnsi="Arial" w:cs="Arial"/>
          <w:sz w:val="24"/>
          <w:szCs w:val="24"/>
        </w:rPr>
        <w:t>nderstanding the perspective of practitioners</w:t>
      </w:r>
      <w:r w:rsidR="00F70C84">
        <w:rPr>
          <w:rFonts w:ascii="Arial" w:hAnsi="Arial" w:cs="Arial"/>
          <w:sz w:val="24"/>
          <w:szCs w:val="24"/>
        </w:rPr>
        <w:t xml:space="preserve"> is of more than empirical interest</w:t>
      </w:r>
      <w:r w:rsidR="00B60D4E">
        <w:rPr>
          <w:rFonts w:ascii="Arial" w:hAnsi="Arial" w:cs="Arial"/>
          <w:sz w:val="24"/>
          <w:szCs w:val="24"/>
        </w:rPr>
        <w:t xml:space="preserve">, given </w:t>
      </w:r>
      <w:r w:rsidR="001E5D46">
        <w:rPr>
          <w:rFonts w:ascii="Arial" w:hAnsi="Arial" w:cs="Arial"/>
          <w:sz w:val="24"/>
          <w:szCs w:val="24"/>
        </w:rPr>
        <w:t>the important institutional positions that practitioners occupy (Jepson</w:t>
      </w:r>
      <w:r w:rsidR="0000641A">
        <w:rPr>
          <w:rFonts w:ascii="Arial" w:hAnsi="Arial" w:cs="Arial"/>
          <w:sz w:val="24"/>
          <w:szCs w:val="24"/>
        </w:rPr>
        <w:t>,</w:t>
      </w:r>
      <w:r w:rsidR="001E5D46">
        <w:rPr>
          <w:rFonts w:ascii="Arial" w:hAnsi="Arial" w:cs="Arial"/>
          <w:sz w:val="24"/>
          <w:szCs w:val="24"/>
        </w:rPr>
        <w:t xml:space="preserve"> 2003), </w:t>
      </w:r>
      <w:r w:rsidR="008E4AD0">
        <w:rPr>
          <w:rFonts w:ascii="Arial" w:hAnsi="Arial" w:cs="Arial"/>
          <w:sz w:val="24"/>
          <w:szCs w:val="24"/>
        </w:rPr>
        <w:t>hence</w:t>
      </w:r>
      <w:r w:rsidR="00B60D4E">
        <w:rPr>
          <w:rFonts w:ascii="Arial" w:hAnsi="Arial" w:cs="Arial"/>
          <w:sz w:val="24"/>
          <w:szCs w:val="24"/>
        </w:rPr>
        <w:t>:</w:t>
      </w:r>
    </w:p>
    <w:p w:rsidR="00FE6427" w:rsidRDefault="00FE6427" w:rsidP="00541B41">
      <w:pPr>
        <w:pStyle w:val="ListParagraph"/>
        <w:ind w:left="0"/>
        <w:rPr>
          <w:rFonts w:ascii="Arial" w:hAnsi="Arial" w:cs="Arial"/>
          <w:sz w:val="24"/>
          <w:szCs w:val="24"/>
        </w:rPr>
      </w:pPr>
    </w:p>
    <w:p w:rsidR="00953156" w:rsidRDefault="00F4199F">
      <w:pPr>
        <w:pStyle w:val="ListParagraph"/>
        <w:ind w:left="567"/>
        <w:rPr>
          <w:rFonts w:ascii="Arial" w:hAnsi="Arial" w:cs="Arial"/>
          <w:sz w:val="24"/>
          <w:szCs w:val="24"/>
        </w:rPr>
      </w:pPr>
      <w:r>
        <w:rPr>
          <w:rFonts w:ascii="Arial" w:hAnsi="Arial" w:cs="Arial"/>
          <w:sz w:val="24"/>
          <w:szCs w:val="24"/>
        </w:rPr>
        <w:t>‘A fuller conception of planners as reflexive agents operating in such a space, and of the limits to that agency, might provi</w:t>
      </w:r>
      <w:r w:rsidR="001E5D46">
        <w:rPr>
          <w:rFonts w:ascii="Arial" w:hAnsi="Arial" w:cs="Arial"/>
          <w:sz w:val="24"/>
          <w:szCs w:val="24"/>
        </w:rPr>
        <w:t>de a better basis to inform ...</w:t>
      </w:r>
      <w:r>
        <w:rPr>
          <w:rFonts w:ascii="Arial" w:hAnsi="Arial" w:cs="Arial"/>
          <w:sz w:val="24"/>
          <w:szCs w:val="24"/>
        </w:rPr>
        <w:t xml:space="preserve"> national policy debates</w:t>
      </w:r>
      <w:r w:rsidR="00B60D4E">
        <w:rPr>
          <w:rFonts w:ascii="Arial" w:hAnsi="Arial" w:cs="Arial"/>
          <w:sz w:val="24"/>
          <w:szCs w:val="24"/>
        </w:rPr>
        <w:t>’ (Inch</w:t>
      </w:r>
      <w:r w:rsidR="0000641A">
        <w:rPr>
          <w:rFonts w:ascii="Arial" w:hAnsi="Arial" w:cs="Arial"/>
          <w:sz w:val="24"/>
          <w:szCs w:val="24"/>
        </w:rPr>
        <w:t xml:space="preserve">, </w:t>
      </w:r>
      <w:r w:rsidR="00B60D4E">
        <w:rPr>
          <w:rFonts w:ascii="Arial" w:hAnsi="Arial" w:cs="Arial"/>
          <w:sz w:val="24"/>
          <w:szCs w:val="24"/>
        </w:rPr>
        <w:t>2009, p.98).</w:t>
      </w:r>
    </w:p>
    <w:p w:rsidR="00B60D4E" w:rsidRDefault="00B60D4E" w:rsidP="00F4199F">
      <w:pPr>
        <w:pStyle w:val="ListParagraph"/>
        <w:ind w:left="0"/>
        <w:rPr>
          <w:rFonts w:ascii="Arial" w:hAnsi="Arial" w:cs="Arial"/>
          <w:sz w:val="24"/>
          <w:szCs w:val="24"/>
        </w:rPr>
      </w:pPr>
    </w:p>
    <w:p w:rsidR="00F4199F" w:rsidRDefault="00D97AD9" w:rsidP="00F4199F">
      <w:pPr>
        <w:pStyle w:val="ListParagraph"/>
        <w:ind w:left="0"/>
        <w:rPr>
          <w:rFonts w:ascii="Arial" w:hAnsi="Arial" w:cs="Arial"/>
          <w:sz w:val="24"/>
          <w:szCs w:val="24"/>
        </w:rPr>
      </w:pPr>
      <w:r>
        <w:rPr>
          <w:rFonts w:ascii="Arial" w:hAnsi="Arial" w:cs="Arial"/>
          <w:sz w:val="24"/>
          <w:szCs w:val="24"/>
        </w:rPr>
        <w:t>The</w:t>
      </w:r>
      <w:r w:rsidR="00CE528C">
        <w:rPr>
          <w:rFonts w:ascii="Arial" w:hAnsi="Arial" w:cs="Arial"/>
          <w:sz w:val="24"/>
          <w:szCs w:val="24"/>
        </w:rPr>
        <w:t xml:space="preserve"> </w:t>
      </w:r>
      <w:r w:rsidR="00B60D4E">
        <w:rPr>
          <w:rFonts w:ascii="Arial" w:hAnsi="Arial" w:cs="Arial"/>
          <w:sz w:val="24"/>
          <w:szCs w:val="24"/>
        </w:rPr>
        <w:t>‘</w:t>
      </w:r>
      <w:r w:rsidR="00F4199F">
        <w:rPr>
          <w:rFonts w:ascii="Arial" w:hAnsi="Arial" w:cs="Arial"/>
          <w:sz w:val="24"/>
          <w:szCs w:val="24"/>
        </w:rPr>
        <w:t>undervalued politics</w:t>
      </w:r>
      <w:r w:rsidR="00B60D4E">
        <w:rPr>
          <w:rFonts w:ascii="Arial" w:hAnsi="Arial" w:cs="Arial"/>
          <w:sz w:val="24"/>
          <w:szCs w:val="24"/>
        </w:rPr>
        <w:t xml:space="preserve"> of practice’ (</w:t>
      </w:r>
      <w:r w:rsidR="00DA7812" w:rsidRPr="00DA7812">
        <w:rPr>
          <w:rFonts w:ascii="Arial" w:hAnsi="Arial" w:cs="Arial"/>
          <w:i/>
          <w:sz w:val="24"/>
          <w:szCs w:val="24"/>
        </w:rPr>
        <w:t>op. cit</w:t>
      </w:r>
      <w:r w:rsidR="00B60D4E">
        <w:rPr>
          <w:rFonts w:ascii="Arial" w:hAnsi="Arial" w:cs="Arial"/>
          <w:sz w:val="24"/>
          <w:szCs w:val="24"/>
        </w:rPr>
        <w:t xml:space="preserve">. </w:t>
      </w:r>
      <w:r w:rsidR="008A3F06">
        <w:rPr>
          <w:rFonts w:ascii="Arial" w:hAnsi="Arial" w:cs="Arial"/>
          <w:sz w:val="24"/>
          <w:szCs w:val="24"/>
        </w:rPr>
        <w:t>p</w:t>
      </w:r>
      <w:r w:rsidR="00B60D4E">
        <w:rPr>
          <w:rFonts w:ascii="Arial" w:hAnsi="Arial" w:cs="Arial"/>
          <w:sz w:val="24"/>
          <w:szCs w:val="24"/>
        </w:rPr>
        <w:t>.98) offers insights for ‘stronger and deeper theories’ (Campbell and Marshall</w:t>
      </w:r>
      <w:r w:rsidR="0000641A">
        <w:rPr>
          <w:rFonts w:ascii="Arial" w:hAnsi="Arial" w:cs="Arial"/>
          <w:sz w:val="24"/>
          <w:szCs w:val="24"/>
        </w:rPr>
        <w:t>,</w:t>
      </w:r>
      <w:r w:rsidR="00B60D4E">
        <w:rPr>
          <w:rFonts w:ascii="Arial" w:hAnsi="Arial" w:cs="Arial"/>
          <w:sz w:val="24"/>
          <w:szCs w:val="24"/>
        </w:rPr>
        <w:t xml:space="preserve"> </w:t>
      </w:r>
      <w:r w:rsidR="005F26FD">
        <w:rPr>
          <w:rFonts w:ascii="Arial" w:hAnsi="Arial" w:cs="Arial"/>
          <w:sz w:val="24"/>
          <w:szCs w:val="24"/>
        </w:rPr>
        <w:t>2002</w:t>
      </w:r>
      <w:r w:rsidR="00B60D4E">
        <w:rPr>
          <w:rFonts w:ascii="Arial" w:hAnsi="Arial" w:cs="Arial"/>
          <w:sz w:val="24"/>
          <w:szCs w:val="24"/>
        </w:rPr>
        <w:t>, p.108); in this case</w:t>
      </w:r>
      <w:r w:rsidR="001E5D46">
        <w:rPr>
          <w:rFonts w:ascii="Arial" w:hAnsi="Arial" w:cs="Arial"/>
          <w:sz w:val="24"/>
          <w:szCs w:val="24"/>
        </w:rPr>
        <w:t xml:space="preserve"> </w:t>
      </w:r>
      <w:r w:rsidR="003E0E60">
        <w:rPr>
          <w:rFonts w:ascii="Arial" w:hAnsi="Arial" w:cs="Arial"/>
          <w:sz w:val="24"/>
          <w:szCs w:val="24"/>
        </w:rPr>
        <w:t xml:space="preserve">of </w:t>
      </w:r>
      <w:r w:rsidR="001E5D46">
        <w:rPr>
          <w:rFonts w:ascii="Arial" w:hAnsi="Arial" w:cs="Arial"/>
          <w:sz w:val="24"/>
          <w:szCs w:val="24"/>
        </w:rPr>
        <w:t>how one might conceive of planning and environmental protection working together.</w:t>
      </w:r>
    </w:p>
    <w:p w:rsidR="00F4199F" w:rsidRDefault="00F4199F" w:rsidP="00541B41">
      <w:pPr>
        <w:pStyle w:val="ListParagraph"/>
        <w:ind w:left="0"/>
        <w:rPr>
          <w:rFonts w:ascii="Arial" w:hAnsi="Arial" w:cs="Arial"/>
          <w:sz w:val="24"/>
          <w:szCs w:val="24"/>
        </w:rPr>
      </w:pPr>
    </w:p>
    <w:p w:rsidR="00737A20" w:rsidRDefault="001E5D46" w:rsidP="00F11592">
      <w:pPr>
        <w:rPr>
          <w:rFonts w:ascii="Arial" w:hAnsi="Arial" w:cs="Arial"/>
          <w:sz w:val="24"/>
          <w:szCs w:val="24"/>
        </w:rPr>
      </w:pPr>
      <w:r>
        <w:rPr>
          <w:rFonts w:ascii="Arial" w:hAnsi="Arial" w:cs="Arial"/>
          <w:sz w:val="24"/>
          <w:szCs w:val="24"/>
        </w:rPr>
        <w:t xml:space="preserve">Although synergies between planning and environmental protection may be widely asserted, the limited evidence available shows practitioners </w:t>
      </w:r>
      <w:r w:rsidR="00F70C84">
        <w:rPr>
          <w:rFonts w:ascii="Arial" w:hAnsi="Arial" w:cs="Arial"/>
          <w:sz w:val="24"/>
          <w:szCs w:val="24"/>
        </w:rPr>
        <w:t>being conflicted</w:t>
      </w:r>
      <w:r w:rsidR="00411097">
        <w:rPr>
          <w:rFonts w:ascii="Arial" w:hAnsi="Arial" w:cs="Arial"/>
          <w:sz w:val="24"/>
          <w:szCs w:val="24"/>
        </w:rPr>
        <w:t xml:space="preserve">. </w:t>
      </w:r>
      <w:r w:rsidR="00A9629F">
        <w:rPr>
          <w:rFonts w:ascii="Arial" w:hAnsi="Arial" w:cs="Arial"/>
          <w:sz w:val="24"/>
          <w:szCs w:val="24"/>
        </w:rPr>
        <w:t>J</w:t>
      </w:r>
      <w:r w:rsidR="00541B41" w:rsidRPr="00223FDC">
        <w:rPr>
          <w:rFonts w:ascii="Arial" w:hAnsi="Arial" w:cs="Arial"/>
          <w:sz w:val="24"/>
          <w:szCs w:val="24"/>
        </w:rPr>
        <w:t>epson</w:t>
      </w:r>
      <w:r w:rsidR="00FB25B3" w:rsidRPr="00223FDC">
        <w:rPr>
          <w:rFonts w:ascii="Arial" w:hAnsi="Arial" w:cs="Arial"/>
          <w:sz w:val="24"/>
          <w:szCs w:val="24"/>
        </w:rPr>
        <w:t>’s</w:t>
      </w:r>
      <w:r w:rsidR="007E6922">
        <w:rPr>
          <w:rFonts w:ascii="Arial" w:hAnsi="Arial" w:cs="Arial"/>
          <w:sz w:val="24"/>
          <w:szCs w:val="24"/>
        </w:rPr>
        <w:t xml:space="preserve"> </w:t>
      </w:r>
      <w:r w:rsidR="00FB25B3">
        <w:rPr>
          <w:rFonts w:ascii="Arial" w:hAnsi="Arial" w:cs="Arial"/>
          <w:sz w:val="24"/>
          <w:szCs w:val="24"/>
        </w:rPr>
        <w:t>survey of US planners f</w:t>
      </w:r>
      <w:r w:rsidR="00D97AD9">
        <w:rPr>
          <w:rFonts w:ascii="Arial" w:hAnsi="Arial" w:cs="Arial"/>
          <w:sz w:val="24"/>
          <w:szCs w:val="24"/>
        </w:rPr>
        <w:t>ound</w:t>
      </w:r>
      <w:r w:rsidR="00FB25B3">
        <w:rPr>
          <w:rFonts w:ascii="Arial" w:hAnsi="Arial" w:cs="Arial"/>
          <w:sz w:val="24"/>
          <w:szCs w:val="24"/>
        </w:rPr>
        <w:t xml:space="preserve"> them ‘not particularly comfortable’ (Jepson 2003, 404) with conceptions of sustainable development rooted in ecological thinking, preferring to defer to land market pressures rather</w:t>
      </w:r>
      <w:r w:rsidR="00223FDC">
        <w:rPr>
          <w:rFonts w:ascii="Arial" w:hAnsi="Arial" w:cs="Arial"/>
          <w:sz w:val="24"/>
          <w:szCs w:val="24"/>
        </w:rPr>
        <w:t xml:space="preserve"> than environmental constraints</w:t>
      </w:r>
      <w:r w:rsidR="005D2D6D">
        <w:rPr>
          <w:rFonts w:ascii="Arial" w:hAnsi="Arial" w:cs="Arial"/>
          <w:sz w:val="24"/>
          <w:szCs w:val="24"/>
        </w:rPr>
        <w:t xml:space="preserve">. </w:t>
      </w:r>
      <w:r w:rsidR="00223FDC">
        <w:rPr>
          <w:rFonts w:ascii="Arial" w:hAnsi="Arial" w:cs="Arial"/>
          <w:sz w:val="24"/>
          <w:szCs w:val="24"/>
        </w:rPr>
        <w:t>Campbell and Marshall (</w:t>
      </w:r>
      <w:r w:rsidR="005F26FD">
        <w:rPr>
          <w:rFonts w:ascii="Arial" w:hAnsi="Arial" w:cs="Arial"/>
          <w:sz w:val="24"/>
          <w:szCs w:val="24"/>
        </w:rPr>
        <w:t>2002</w:t>
      </w:r>
      <w:r w:rsidR="00223FDC">
        <w:rPr>
          <w:rFonts w:ascii="Arial" w:hAnsi="Arial" w:cs="Arial"/>
          <w:sz w:val="24"/>
          <w:szCs w:val="24"/>
        </w:rPr>
        <w:t xml:space="preserve">) </w:t>
      </w:r>
      <w:r w:rsidR="005D2D6D">
        <w:rPr>
          <w:rFonts w:ascii="Arial" w:hAnsi="Arial" w:cs="Arial"/>
          <w:sz w:val="24"/>
          <w:szCs w:val="24"/>
        </w:rPr>
        <w:t xml:space="preserve">found </w:t>
      </w:r>
      <w:r w:rsidR="00223FDC">
        <w:rPr>
          <w:rFonts w:ascii="Arial" w:hAnsi="Arial" w:cs="Arial"/>
          <w:sz w:val="24"/>
          <w:szCs w:val="24"/>
        </w:rPr>
        <w:t xml:space="preserve">younger planners </w:t>
      </w:r>
      <w:r w:rsidR="00F340BC">
        <w:rPr>
          <w:rFonts w:ascii="Arial" w:hAnsi="Arial" w:cs="Arial"/>
          <w:sz w:val="24"/>
          <w:szCs w:val="24"/>
        </w:rPr>
        <w:t xml:space="preserve">in the UK </w:t>
      </w:r>
      <w:r w:rsidR="00223FDC">
        <w:rPr>
          <w:rFonts w:ascii="Arial" w:hAnsi="Arial" w:cs="Arial"/>
          <w:sz w:val="24"/>
          <w:szCs w:val="24"/>
        </w:rPr>
        <w:t>more comfortable with justifying the role of planning as</w:t>
      </w:r>
      <w:r w:rsidR="000D0D92">
        <w:rPr>
          <w:rFonts w:ascii="Arial" w:hAnsi="Arial" w:cs="Arial"/>
          <w:sz w:val="24"/>
          <w:szCs w:val="24"/>
        </w:rPr>
        <w:t xml:space="preserve"> ‘protecting the environment’.</w:t>
      </w:r>
      <w:r w:rsidR="00223FDC">
        <w:rPr>
          <w:rFonts w:ascii="Arial" w:hAnsi="Arial" w:cs="Arial"/>
          <w:sz w:val="24"/>
          <w:szCs w:val="24"/>
        </w:rPr>
        <w:t xml:space="preserve"> Yet practitioners were also </w:t>
      </w:r>
      <w:r w:rsidR="000D0D92">
        <w:rPr>
          <w:rFonts w:ascii="Arial" w:hAnsi="Arial" w:cs="Arial"/>
          <w:sz w:val="24"/>
          <w:szCs w:val="24"/>
        </w:rPr>
        <w:t>found to experience tensions in reconciling the environmental, economic a</w:t>
      </w:r>
      <w:r w:rsidR="006A21EE">
        <w:rPr>
          <w:rFonts w:ascii="Arial" w:hAnsi="Arial" w:cs="Arial"/>
          <w:sz w:val="24"/>
          <w:szCs w:val="24"/>
        </w:rPr>
        <w:t>nd social dimensions</w:t>
      </w:r>
      <w:r w:rsidR="007E6922">
        <w:rPr>
          <w:rFonts w:ascii="Arial" w:hAnsi="Arial" w:cs="Arial"/>
          <w:sz w:val="24"/>
          <w:szCs w:val="24"/>
        </w:rPr>
        <w:t xml:space="preserve"> of sustainability</w:t>
      </w:r>
      <w:r w:rsidR="006A21EE">
        <w:rPr>
          <w:rFonts w:ascii="Arial" w:hAnsi="Arial" w:cs="Arial"/>
          <w:sz w:val="24"/>
          <w:szCs w:val="24"/>
        </w:rPr>
        <w:t>,</w:t>
      </w:r>
      <w:r w:rsidR="000D0D92">
        <w:rPr>
          <w:rFonts w:ascii="Arial" w:hAnsi="Arial" w:cs="Arial"/>
          <w:sz w:val="24"/>
          <w:szCs w:val="24"/>
        </w:rPr>
        <w:t xml:space="preserve"> in </w:t>
      </w:r>
      <w:r w:rsidR="006A21EE">
        <w:rPr>
          <w:rFonts w:ascii="Arial" w:hAnsi="Arial" w:cs="Arial"/>
          <w:sz w:val="24"/>
          <w:szCs w:val="24"/>
        </w:rPr>
        <w:t xml:space="preserve">the context of </w:t>
      </w:r>
      <w:r w:rsidR="000D0D92">
        <w:rPr>
          <w:rFonts w:ascii="Arial" w:hAnsi="Arial" w:cs="Arial"/>
          <w:sz w:val="24"/>
          <w:szCs w:val="24"/>
        </w:rPr>
        <w:t>market-based economies</w:t>
      </w:r>
      <w:r w:rsidR="00411097">
        <w:rPr>
          <w:rFonts w:ascii="Arial" w:hAnsi="Arial" w:cs="Arial"/>
          <w:sz w:val="24"/>
          <w:szCs w:val="24"/>
        </w:rPr>
        <w:t xml:space="preserve">. </w:t>
      </w:r>
      <w:r w:rsidR="008A3F06">
        <w:rPr>
          <w:rFonts w:ascii="Arial" w:hAnsi="Arial" w:cs="Arial"/>
          <w:sz w:val="24"/>
          <w:szCs w:val="24"/>
        </w:rPr>
        <w:t xml:space="preserve">Lipsky (1980) noted how </w:t>
      </w:r>
      <w:r w:rsidR="00E7509B">
        <w:rPr>
          <w:rFonts w:ascii="Arial" w:hAnsi="Arial" w:cs="Arial"/>
          <w:sz w:val="24"/>
          <w:szCs w:val="24"/>
        </w:rPr>
        <w:t>professional</w:t>
      </w:r>
      <w:r w:rsidR="00D97AD9">
        <w:rPr>
          <w:rFonts w:ascii="Arial" w:hAnsi="Arial" w:cs="Arial"/>
          <w:sz w:val="24"/>
          <w:szCs w:val="24"/>
        </w:rPr>
        <w:t>s</w:t>
      </w:r>
      <w:r w:rsidR="00E7509B">
        <w:rPr>
          <w:rFonts w:ascii="Arial" w:hAnsi="Arial" w:cs="Arial"/>
          <w:sz w:val="24"/>
          <w:szCs w:val="24"/>
        </w:rPr>
        <w:t xml:space="preserve"> face dilemmas in ena</w:t>
      </w:r>
      <w:r w:rsidR="00A27CD0">
        <w:rPr>
          <w:rFonts w:ascii="Arial" w:hAnsi="Arial" w:cs="Arial"/>
          <w:sz w:val="24"/>
          <w:szCs w:val="24"/>
        </w:rPr>
        <w:t>cting any values they might hold</w:t>
      </w:r>
      <w:r w:rsidR="00E7509B">
        <w:rPr>
          <w:rFonts w:ascii="Arial" w:hAnsi="Arial" w:cs="Arial"/>
          <w:sz w:val="24"/>
          <w:szCs w:val="24"/>
        </w:rPr>
        <w:t xml:space="preserve"> in real world situations whe</w:t>
      </w:r>
      <w:r w:rsidR="000D0D92">
        <w:rPr>
          <w:rFonts w:ascii="Arial" w:hAnsi="Arial" w:cs="Arial"/>
          <w:sz w:val="24"/>
          <w:szCs w:val="24"/>
        </w:rPr>
        <w:t>re competing pressures apply</w:t>
      </w:r>
      <w:r w:rsidR="004858A9">
        <w:rPr>
          <w:rFonts w:ascii="Arial" w:hAnsi="Arial" w:cs="Arial"/>
          <w:sz w:val="24"/>
          <w:szCs w:val="24"/>
        </w:rPr>
        <w:t xml:space="preserve">. This is clearly pertinent to planning, which </w:t>
      </w:r>
      <w:r w:rsidR="005D2D6D">
        <w:rPr>
          <w:rFonts w:ascii="Arial" w:hAnsi="Arial" w:cs="Arial"/>
          <w:sz w:val="24"/>
          <w:szCs w:val="24"/>
        </w:rPr>
        <w:t>straddles</w:t>
      </w:r>
      <w:r w:rsidR="004858A9">
        <w:rPr>
          <w:rFonts w:ascii="Arial" w:hAnsi="Arial" w:cs="Arial"/>
          <w:sz w:val="24"/>
          <w:szCs w:val="24"/>
        </w:rPr>
        <w:t xml:space="preserve"> </w:t>
      </w:r>
      <w:r w:rsidR="005D2D6D">
        <w:rPr>
          <w:rFonts w:ascii="Arial" w:hAnsi="Arial" w:cs="Arial"/>
          <w:sz w:val="24"/>
          <w:szCs w:val="24"/>
        </w:rPr>
        <w:t>‘contradictory demands from economy and civil society’ (Inch 2009, 85</w:t>
      </w:r>
      <w:r w:rsidR="00D97AD9">
        <w:rPr>
          <w:rFonts w:ascii="Arial" w:hAnsi="Arial" w:cs="Arial"/>
          <w:sz w:val="24"/>
          <w:szCs w:val="24"/>
        </w:rPr>
        <w:t>)</w:t>
      </w:r>
      <w:r w:rsidR="007E6922">
        <w:rPr>
          <w:rFonts w:ascii="Arial" w:hAnsi="Arial" w:cs="Arial"/>
          <w:sz w:val="24"/>
          <w:szCs w:val="24"/>
        </w:rPr>
        <w:t xml:space="preserve"> that are never fully resolved</w:t>
      </w:r>
      <w:r w:rsidR="00D97AD9">
        <w:rPr>
          <w:rFonts w:ascii="Arial" w:hAnsi="Arial" w:cs="Arial"/>
          <w:sz w:val="24"/>
          <w:szCs w:val="24"/>
        </w:rPr>
        <w:t>.</w:t>
      </w:r>
    </w:p>
    <w:p w:rsidR="00E7509B" w:rsidRDefault="00E7509B" w:rsidP="00F11592">
      <w:pPr>
        <w:rPr>
          <w:rFonts w:ascii="Arial" w:hAnsi="Arial" w:cs="Arial"/>
          <w:sz w:val="24"/>
          <w:szCs w:val="24"/>
        </w:rPr>
      </w:pPr>
    </w:p>
    <w:p w:rsidR="00ED49FF" w:rsidRDefault="004376C0" w:rsidP="00A27CD0">
      <w:pPr>
        <w:rPr>
          <w:rFonts w:ascii="Arial" w:hAnsi="Arial" w:cs="Arial"/>
          <w:sz w:val="24"/>
          <w:szCs w:val="24"/>
        </w:rPr>
      </w:pPr>
      <w:r>
        <w:rPr>
          <w:rFonts w:ascii="Arial" w:hAnsi="Arial" w:cs="Arial"/>
          <w:sz w:val="24"/>
          <w:szCs w:val="24"/>
        </w:rPr>
        <w:t xml:space="preserve">This </w:t>
      </w:r>
      <w:r w:rsidR="00730331">
        <w:rPr>
          <w:rFonts w:ascii="Arial" w:hAnsi="Arial" w:cs="Arial"/>
          <w:sz w:val="24"/>
          <w:szCs w:val="24"/>
        </w:rPr>
        <w:t>creates</w:t>
      </w:r>
      <w:r>
        <w:rPr>
          <w:rFonts w:ascii="Arial" w:hAnsi="Arial" w:cs="Arial"/>
          <w:sz w:val="24"/>
          <w:szCs w:val="24"/>
        </w:rPr>
        <w:t xml:space="preserve"> </w:t>
      </w:r>
      <w:r w:rsidR="008A3F06">
        <w:rPr>
          <w:rFonts w:ascii="Arial" w:hAnsi="Arial" w:cs="Arial"/>
          <w:sz w:val="24"/>
          <w:szCs w:val="24"/>
        </w:rPr>
        <w:t>issues</w:t>
      </w:r>
      <w:r w:rsidR="00CE528C">
        <w:rPr>
          <w:rFonts w:ascii="Arial" w:hAnsi="Arial" w:cs="Arial"/>
          <w:sz w:val="24"/>
          <w:szCs w:val="24"/>
        </w:rPr>
        <w:t xml:space="preserve"> </w:t>
      </w:r>
      <w:r w:rsidR="008A3F06">
        <w:rPr>
          <w:rFonts w:ascii="Arial" w:hAnsi="Arial" w:cs="Arial"/>
          <w:sz w:val="24"/>
          <w:szCs w:val="24"/>
        </w:rPr>
        <w:t>in interpreting attitudinal</w:t>
      </w:r>
      <w:r w:rsidR="00FE6529">
        <w:rPr>
          <w:rFonts w:ascii="Arial" w:hAnsi="Arial" w:cs="Arial"/>
          <w:sz w:val="24"/>
          <w:szCs w:val="24"/>
        </w:rPr>
        <w:t xml:space="preserve"> data</w:t>
      </w:r>
      <w:r w:rsidR="00C03EB6">
        <w:rPr>
          <w:rFonts w:ascii="Arial" w:hAnsi="Arial" w:cs="Arial"/>
          <w:sz w:val="24"/>
          <w:szCs w:val="24"/>
        </w:rPr>
        <w:t xml:space="preserve">. </w:t>
      </w:r>
      <w:r w:rsidR="00FE6529">
        <w:rPr>
          <w:rFonts w:ascii="Arial" w:hAnsi="Arial" w:cs="Arial"/>
          <w:sz w:val="24"/>
          <w:szCs w:val="24"/>
        </w:rPr>
        <w:t>A r</w:t>
      </w:r>
      <w:r w:rsidR="00C03EB6">
        <w:rPr>
          <w:rFonts w:ascii="Arial" w:hAnsi="Arial" w:cs="Arial"/>
          <w:sz w:val="24"/>
          <w:szCs w:val="24"/>
        </w:rPr>
        <w:t>ejection of the value-fact dualism latent in much attitudinal research should guide us to consider how facts and values are interlinked</w:t>
      </w:r>
      <w:r w:rsidR="008A3F06">
        <w:rPr>
          <w:rFonts w:ascii="Arial" w:hAnsi="Arial" w:cs="Arial"/>
          <w:sz w:val="24"/>
          <w:szCs w:val="24"/>
        </w:rPr>
        <w:t>,</w:t>
      </w:r>
      <w:r w:rsidR="00C03EB6">
        <w:rPr>
          <w:rFonts w:ascii="Arial" w:hAnsi="Arial" w:cs="Arial"/>
          <w:sz w:val="24"/>
          <w:szCs w:val="24"/>
        </w:rPr>
        <w:t xml:space="preserve"> com</w:t>
      </w:r>
      <w:r w:rsidR="008A3F06">
        <w:rPr>
          <w:rFonts w:ascii="Arial" w:hAnsi="Arial" w:cs="Arial"/>
          <w:sz w:val="24"/>
          <w:szCs w:val="24"/>
        </w:rPr>
        <w:t>ing</w:t>
      </w:r>
      <w:r w:rsidR="00C03EB6">
        <w:rPr>
          <w:rFonts w:ascii="Arial" w:hAnsi="Arial" w:cs="Arial"/>
          <w:sz w:val="24"/>
          <w:szCs w:val="24"/>
        </w:rPr>
        <w:t xml:space="preserve"> together in dealing with issues of dispute (Boltanski and Th</w:t>
      </w:r>
      <w:r w:rsidR="00814462">
        <w:rPr>
          <w:rFonts w:ascii="Arial" w:hAnsi="Arial" w:cs="Arial"/>
          <w:sz w:val="24"/>
          <w:szCs w:val="24"/>
        </w:rPr>
        <w:t>é</w:t>
      </w:r>
      <w:r w:rsidR="00C03EB6">
        <w:rPr>
          <w:rFonts w:ascii="Arial" w:hAnsi="Arial" w:cs="Arial"/>
          <w:sz w:val="24"/>
          <w:szCs w:val="24"/>
        </w:rPr>
        <w:t>venot</w:t>
      </w:r>
      <w:r w:rsidR="0000641A">
        <w:rPr>
          <w:rFonts w:ascii="Arial" w:hAnsi="Arial" w:cs="Arial"/>
          <w:sz w:val="24"/>
          <w:szCs w:val="24"/>
        </w:rPr>
        <w:t>,</w:t>
      </w:r>
      <w:r w:rsidR="00C03EB6">
        <w:rPr>
          <w:rFonts w:ascii="Arial" w:hAnsi="Arial" w:cs="Arial"/>
          <w:sz w:val="24"/>
          <w:szCs w:val="24"/>
        </w:rPr>
        <w:t xml:space="preserve"> 2006).  </w:t>
      </w:r>
      <w:r w:rsidR="008A3F06">
        <w:rPr>
          <w:rFonts w:ascii="Arial" w:hAnsi="Arial" w:cs="Arial"/>
          <w:sz w:val="24"/>
          <w:szCs w:val="24"/>
        </w:rPr>
        <w:t>Consequently,</w:t>
      </w:r>
      <w:r w:rsidR="00CE528C">
        <w:rPr>
          <w:rFonts w:ascii="Arial" w:hAnsi="Arial" w:cs="Arial"/>
          <w:sz w:val="24"/>
          <w:szCs w:val="24"/>
        </w:rPr>
        <w:t xml:space="preserve"> </w:t>
      </w:r>
      <w:r w:rsidR="00DC2501">
        <w:rPr>
          <w:rFonts w:ascii="Arial" w:hAnsi="Arial" w:cs="Arial"/>
          <w:sz w:val="24"/>
          <w:szCs w:val="24"/>
        </w:rPr>
        <w:t xml:space="preserve">the views expressed </w:t>
      </w:r>
      <w:r w:rsidR="002A7976">
        <w:rPr>
          <w:rFonts w:ascii="Arial" w:hAnsi="Arial" w:cs="Arial"/>
          <w:sz w:val="24"/>
          <w:szCs w:val="24"/>
        </w:rPr>
        <w:t xml:space="preserve">by respondents </w:t>
      </w:r>
      <w:r w:rsidR="00DC2501">
        <w:rPr>
          <w:rFonts w:ascii="Arial" w:hAnsi="Arial" w:cs="Arial"/>
          <w:sz w:val="24"/>
          <w:szCs w:val="24"/>
        </w:rPr>
        <w:t>should not be read simpl</w:t>
      </w:r>
      <w:r w:rsidR="00C2563A">
        <w:rPr>
          <w:rFonts w:ascii="Arial" w:hAnsi="Arial" w:cs="Arial"/>
          <w:sz w:val="24"/>
          <w:szCs w:val="24"/>
        </w:rPr>
        <w:t xml:space="preserve">y as </w:t>
      </w:r>
      <w:r w:rsidR="00DC2501">
        <w:rPr>
          <w:rFonts w:ascii="Arial" w:hAnsi="Arial" w:cs="Arial"/>
          <w:sz w:val="24"/>
          <w:szCs w:val="24"/>
        </w:rPr>
        <w:t>extrapolation</w:t>
      </w:r>
      <w:r w:rsidR="00C2563A">
        <w:rPr>
          <w:rFonts w:ascii="Arial" w:hAnsi="Arial" w:cs="Arial"/>
          <w:sz w:val="24"/>
          <w:szCs w:val="24"/>
        </w:rPr>
        <w:t>s</w:t>
      </w:r>
      <w:r w:rsidR="00FD6908" w:rsidRPr="00DC2501">
        <w:rPr>
          <w:rFonts w:ascii="Arial" w:hAnsi="Arial" w:cs="Arial"/>
          <w:sz w:val="24"/>
          <w:szCs w:val="24"/>
        </w:rPr>
        <w:t xml:space="preserve"> of held</w:t>
      </w:r>
      <w:r w:rsidR="00541B41" w:rsidRPr="00DC2501">
        <w:rPr>
          <w:rFonts w:ascii="Arial" w:hAnsi="Arial" w:cs="Arial"/>
          <w:sz w:val="24"/>
          <w:szCs w:val="24"/>
        </w:rPr>
        <w:t>, stable cognitive</w:t>
      </w:r>
      <w:r w:rsidR="00FD6908" w:rsidRPr="00DC2501">
        <w:rPr>
          <w:rFonts w:ascii="Arial" w:hAnsi="Arial" w:cs="Arial"/>
          <w:sz w:val="24"/>
          <w:szCs w:val="24"/>
        </w:rPr>
        <w:t xml:space="preserve"> values</w:t>
      </w:r>
      <w:r w:rsidR="00CE528C">
        <w:rPr>
          <w:rFonts w:ascii="Arial" w:hAnsi="Arial" w:cs="Arial"/>
          <w:sz w:val="24"/>
          <w:szCs w:val="24"/>
        </w:rPr>
        <w:t xml:space="preserve"> </w:t>
      </w:r>
      <w:r w:rsidR="008F4320" w:rsidRPr="00A27CD0">
        <w:rPr>
          <w:rFonts w:ascii="Arial" w:hAnsi="Arial" w:cs="Arial"/>
          <w:i/>
          <w:sz w:val="24"/>
          <w:szCs w:val="24"/>
        </w:rPr>
        <w:t>onto</w:t>
      </w:r>
      <w:r w:rsidR="008F4320" w:rsidRPr="00DC2501">
        <w:rPr>
          <w:rFonts w:ascii="Arial" w:hAnsi="Arial" w:cs="Arial"/>
          <w:sz w:val="24"/>
          <w:szCs w:val="24"/>
        </w:rPr>
        <w:t xml:space="preserve"> t</w:t>
      </w:r>
      <w:r w:rsidR="00DC2501">
        <w:rPr>
          <w:rFonts w:ascii="Arial" w:hAnsi="Arial" w:cs="Arial"/>
          <w:sz w:val="24"/>
          <w:szCs w:val="24"/>
        </w:rPr>
        <w:t xml:space="preserve">he </w:t>
      </w:r>
      <w:r w:rsidR="00C03EB6">
        <w:rPr>
          <w:rFonts w:ascii="Arial" w:hAnsi="Arial" w:cs="Arial"/>
          <w:sz w:val="24"/>
          <w:szCs w:val="24"/>
        </w:rPr>
        <w:t xml:space="preserve">dilemmas of </w:t>
      </w:r>
      <w:r w:rsidR="00F61703">
        <w:rPr>
          <w:rFonts w:ascii="Arial" w:hAnsi="Arial" w:cs="Arial"/>
          <w:sz w:val="24"/>
          <w:szCs w:val="24"/>
        </w:rPr>
        <w:t xml:space="preserve">environment-planning </w:t>
      </w:r>
      <w:r w:rsidR="00C03EB6">
        <w:rPr>
          <w:rFonts w:ascii="Arial" w:hAnsi="Arial" w:cs="Arial"/>
          <w:sz w:val="24"/>
          <w:szCs w:val="24"/>
        </w:rPr>
        <w:t>interactions</w:t>
      </w:r>
      <w:r w:rsidR="00DC2501">
        <w:rPr>
          <w:rFonts w:ascii="Arial" w:hAnsi="Arial" w:cs="Arial"/>
          <w:sz w:val="24"/>
          <w:szCs w:val="24"/>
        </w:rPr>
        <w:t>. Instead, value</w:t>
      </w:r>
      <w:r w:rsidR="006A21EE">
        <w:rPr>
          <w:rFonts w:ascii="Arial" w:hAnsi="Arial" w:cs="Arial"/>
          <w:sz w:val="24"/>
          <w:szCs w:val="24"/>
        </w:rPr>
        <w:t>-based</w:t>
      </w:r>
      <w:r w:rsidR="00DC2501">
        <w:rPr>
          <w:rFonts w:ascii="Arial" w:hAnsi="Arial" w:cs="Arial"/>
          <w:sz w:val="24"/>
          <w:szCs w:val="24"/>
        </w:rPr>
        <w:t xml:space="preserve"> or attit</w:t>
      </w:r>
      <w:r w:rsidR="006A21EE">
        <w:rPr>
          <w:rFonts w:ascii="Arial" w:hAnsi="Arial" w:cs="Arial"/>
          <w:sz w:val="24"/>
          <w:szCs w:val="24"/>
        </w:rPr>
        <w:t>udinal remarks should be seen as</w:t>
      </w:r>
      <w:r w:rsidR="00CE528C">
        <w:rPr>
          <w:rFonts w:ascii="Arial" w:hAnsi="Arial" w:cs="Arial"/>
          <w:sz w:val="24"/>
          <w:szCs w:val="24"/>
        </w:rPr>
        <w:t xml:space="preserve"> </w:t>
      </w:r>
      <w:r w:rsidR="00FD6908" w:rsidRPr="00DC2501">
        <w:rPr>
          <w:rFonts w:ascii="Arial" w:hAnsi="Arial" w:cs="Arial"/>
          <w:sz w:val="24"/>
          <w:szCs w:val="24"/>
        </w:rPr>
        <w:t>connected to and grounded in situations that are deemed to b</w:t>
      </w:r>
      <w:r w:rsidR="00DC2501">
        <w:rPr>
          <w:rFonts w:ascii="Arial" w:hAnsi="Arial" w:cs="Arial"/>
          <w:sz w:val="24"/>
          <w:szCs w:val="24"/>
        </w:rPr>
        <w:t>e problematic and n</w:t>
      </w:r>
      <w:r w:rsidR="00C2563A">
        <w:rPr>
          <w:rFonts w:ascii="Arial" w:hAnsi="Arial" w:cs="Arial"/>
          <w:sz w:val="24"/>
          <w:szCs w:val="24"/>
        </w:rPr>
        <w:t xml:space="preserve">eed resolving. </w:t>
      </w:r>
      <w:r w:rsidR="00E30A0B">
        <w:rPr>
          <w:rFonts w:ascii="Arial" w:hAnsi="Arial" w:cs="Arial"/>
          <w:sz w:val="24"/>
          <w:szCs w:val="24"/>
        </w:rPr>
        <w:t>This matters because</w:t>
      </w:r>
      <w:r w:rsidR="00CE528C">
        <w:rPr>
          <w:rFonts w:ascii="Arial" w:hAnsi="Arial" w:cs="Arial"/>
          <w:sz w:val="24"/>
          <w:szCs w:val="24"/>
        </w:rPr>
        <w:t xml:space="preserve"> </w:t>
      </w:r>
      <w:r w:rsidR="00E7351F">
        <w:rPr>
          <w:rFonts w:ascii="Arial" w:hAnsi="Arial" w:cs="Arial"/>
          <w:sz w:val="24"/>
          <w:szCs w:val="24"/>
        </w:rPr>
        <w:t>whether</w:t>
      </w:r>
      <w:r w:rsidR="00E30A0B">
        <w:rPr>
          <w:rFonts w:ascii="Arial" w:hAnsi="Arial" w:cs="Arial"/>
          <w:sz w:val="24"/>
          <w:szCs w:val="24"/>
        </w:rPr>
        <w:t xml:space="preserve"> institutional arrangements deal effectively with conflictual situations </w:t>
      </w:r>
      <w:r w:rsidR="00E7351F">
        <w:rPr>
          <w:rFonts w:ascii="Arial" w:hAnsi="Arial" w:cs="Arial"/>
          <w:sz w:val="24"/>
          <w:szCs w:val="24"/>
        </w:rPr>
        <w:t>affects</w:t>
      </w:r>
      <w:r w:rsidR="00E30A0B">
        <w:rPr>
          <w:rFonts w:ascii="Arial" w:hAnsi="Arial" w:cs="Arial"/>
          <w:sz w:val="24"/>
          <w:szCs w:val="24"/>
        </w:rPr>
        <w:t xml:space="preserve"> their stability,</w:t>
      </w:r>
      <w:r w:rsidR="00737A20">
        <w:rPr>
          <w:rFonts w:ascii="Arial" w:hAnsi="Arial" w:cs="Arial"/>
          <w:sz w:val="24"/>
          <w:szCs w:val="24"/>
        </w:rPr>
        <w:t xml:space="preserve"> </w:t>
      </w:r>
      <w:r w:rsidR="00E30A0B">
        <w:rPr>
          <w:rFonts w:ascii="Arial" w:hAnsi="Arial" w:cs="Arial"/>
          <w:sz w:val="24"/>
          <w:szCs w:val="24"/>
        </w:rPr>
        <w:t>a</w:t>
      </w:r>
      <w:r w:rsidR="002A7976">
        <w:rPr>
          <w:rFonts w:ascii="Arial" w:hAnsi="Arial" w:cs="Arial"/>
          <w:sz w:val="24"/>
          <w:szCs w:val="24"/>
        </w:rPr>
        <w:t>s</w:t>
      </w:r>
      <w:r w:rsidR="00E30A0B">
        <w:rPr>
          <w:rFonts w:ascii="Arial" w:hAnsi="Arial" w:cs="Arial"/>
          <w:sz w:val="24"/>
          <w:szCs w:val="24"/>
        </w:rPr>
        <w:t xml:space="preserve"> </w:t>
      </w:r>
      <w:r w:rsidR="00E7351F">
        <w:rPr>
          <w:rFonts w:ascii="Arial" w:hAnsi="Arial" w:cs="Arial"/>
          <w:sz w:val="24"/>
          <w:szCs w:val="24"/>
        </w:rPr>
        <w:t>a</w:t>
      </w:r>
      <w:r w:rsidR="00E30A0B">
        <w:rPr>
          <w:rFonts w:ascii="Arial" w:hAnsi="Arial" w:cs="Arial"/>
          <w:sz w:val="24"/>
          <w:szCs w:val="24"/>
        </w:rPr>
        <w:t xml:space="preserve"> perceived failure to do so may animate arguments for change (Boltanski and Th</w:t>
      </w:r>
      <w:r w:rsidR="00814462">
        <w:rPr>
          <w:rFonts w:ascii="Arial" w:hAnsi="Arial" w:cs="Arial"/>
          <w:sz w:val="24"/>
          <w:szCs w:val="24"/>
        </w:rPr>
        <w:t>é</w:t>
      </w:r>
      <w:r w:rsidR="00E30A0B">
        <w:rPr>
          <w:rFonts w:ascii="Arial" w:hAnsi="Arial" w:cs="Arial"/>
          <w:sz w:val="24"/>
          <w:szCs w:val="24"/>
        </w:rPr>
        <w:t>venot</w:t>
      </w:r>
      <w:r w:rsidR="0000641A">
        <w:rPr>
          <w:rFonts w:ascii="Arial" w:hAnsi="Arial" w:cs="Arial"/>
          <w:sz w:val="24"/>
          <w:szCs w:val="24"/>
        </w:rPr>
        <w:t>,</w:t>
      </w:r>
      <w:r w:rsidR="00E30A0B">
        <w:rPr>
          <w:rFonts w:ascii="Arial" w:hAnsi="Arial" w:cs="Arial"/>
          <w:sz w:val="24"/>
          <w:szCs w:val="24"/>
        </w:rPr>
        <w:t xml:space="preserve"> 2006).</w:t>
      </w:r>
      <w:r w:rsidR="002A7976">
        <w:rPr>
          <w:rFonts w:ascii="Arial" w:hAnsi="Arial" w:cs="Arial"/>
          <w:sz w:val="24"/>
          <w:szCs w:val="24"/>
        </w:rPr>
        <w:t xml:space="preserve"> </w:t>
      </w:r>
      <w:r w:rsidR="00DC2501">
        <w:rPr>
          <w:rFonts w:ascii="Arial" w:hAnsi="Arial" w:cs="Arial"/>
          <w:sz w:val="24"/>
          <w:szCs w:val="24"/>
        </w:rPr>
        <w:t>We have taken forward these insights i</w:t>
      </w:r>
      <w:r w:rsidR="00C2563A">
        <w:rPr>
          <w:rFonts w:ascii="Arial" w:hAnsi="Arial" w:cs="Arial"/>
          <w:sz w:val="24"/>
          <w:szCs w:val="24"/>
        </w:rPr>
        <w:t>n</w:t>
      </w:r>
      <w:r w:rsidR="008A3F06">
        <w:rPr>
          <w:rFonts w:ascii="Arial" w:hAnsi="Arial" w:cs="Arial"/>
          <w:sz w:val="24"/>
          <w:szCs w:val="24"/>
        </w:rPr>
        <w:t xml:space="preserve"> our</w:t>
      </w:r>
      <w:r w:rsidR="00C2563A">
        <w:rPr>
          <w:rFonts w:ascii="Arial" w:hAnsi="Arial" w:cs="Arial"/>
          <w:sz w:val="24"/>
          <w:szCs w:val="24"/>
        </w:rPr>
        <w:t xml:space="preserve"> data gathering and analysis. </w:t>
      </w:r>
    </w:p>
    <w:p w:rsidR="0070345C" w:rsidRDefault="0070345C">
      <w:pPr>
        <w:rPr>
          <w:rFonts w:ascii="Arial" w:hAnsi="Arial" w:cs="Arial"/>
          <w:sz w:val="24"/>
          <w:szCs w:val="24"/>
        </w:rPr>
      </w:pPr>
    </w:p>
    <w:p w:rsidR="00FD6908" w:rsidRDefault="00FD6908">
      <w:pPr>
        <w:rPr>
          <w:rFonts w:ascii="Arial" w:hAnsi="Arial" w:cs="Arial"/>
          <w:sz w:val="24"/>
          <w:szCs w:val="24"/>
        </w:rPr>
      </w:pPr>
    </w:p>
    <w:p w:rsidR="00AC7032" w:rsidRPr="00AC7032" w:rsidRDefault="00AC7032">
      <w:pPr>
        <w:rPr>
          <w:rFonts w:ascii="Arial" w:hAnsi="Arial" w:cs="Arial"/>
          <w:i/>
          <w:sz w:val="24"/>
          <w:szCs w:val="24"/>
        </w:rPr>
      </w:pPr>
      <w:r w:rsidRPr="00AC7032">
        <w:rPr>
          <w:rFonts w:ascii="Arial" w:hAnsi="Arial" w:cs="Arial"/>
          <w:i/>
          <w:sz w:val="24"/>
          <w:szCs w:val="24"/>
        </w:rPr>
        <w:t>How do (EU) environmental legisl</w:t>
      </w:r>
      <w:r w:rsidR="000919C1">
        <w:rPr>
          <w:rFonts w:ascii="Arial" w:hAnsi="Arial" w:cs="Arial"/>
          <w:i/>
          <w:sz w:val="24"/>
          <w:szCs w:val="24"/>
        </w:rPr>
        <w:t>ation and planning interact</w:t>
      </w:r>
      <w:r w:rsidRPr="00AC7032">
        <w:rPr>
          <w:rFonts w:ascii="Arial" w:hAnsi="Arial" w:cs="Arial"/>
          <w:i/>
          <w:sz w:val="24"/>
          <w:szCs w:val="24"/>
        </w:rPr>
        <w:t>?</w:t>
      </w:r>
    </w:p>
    <w:p w:rsidR="00F61703" w:rsidRPr="00DF1FAE" w:rsidRDefault="00F61703">
      <w:pPr>
        <w:rPr>
          <w:rFonts w:ascii="Arial" w:hAnsi="Arial" w:cs="Arial"/>
          <w:sz w:val="24"/>
          <w:szCs w:val="24"/>
        </w:rPr>
      </w:pPr>
    </w:p>
    <w:p w:rsidR="00DF1FAE" w:rsidRDefault="00DF1FAE" w:rsidP="00DF1FAE">
      <w:pPr>
        <w:rPr>
          <w:rFonts w:ascii="Arial" w:hAnsi="Arial" w:cs="Arial"/>
          <w:sz w:val="24"/>
          <w:szCs w:val="24"/>
        </w:rPr>
      </w:pPr>
      <w:r w:rsidRPr="00DF1FAE">
        <w:rPr>
          <w:rFonts w:ascii="Arial" w:hAnsi="Arial" w:cs="Arial"/>
          <w:sz w:val="24"/>
          <w:szCs w:val="24"/>
        </w:rPr>
        <w:t xml:space="preserve">Most </w:t>
      </w:r>
      <w:r w:rsidR="00760B4D">
        <w:rPr>
          <w:rFonts w:ascii="Arial" w:hAnsi="Arial" w:cs="Arial"/>
          <w:sz w:val="24"/>
          <w:szCs w:val="24"/>
        </w:rPr>
        <w:t>interviewees and focus group participants</w:t>
      </w:r>
      <w:r w:rsidR="004B1160">
        <w:rPr>
          <w:rFonts w:ascii="Arial" w:hAnsi="Arial" w:cs="Arial"/>
          <w:sz w:val="24"/>
          <w:szCs w:val="24"/>
        </w:rPr>
        <w:t xml:space="preserve"> perceived</w:t>
      </w:r>
      <w:r w:rsidRPr="00DF1FAE">
        <w:rPr>
          <w:rFonts w:ascii="Arial" w:hAnsi="Arial" w:cs="Arial"/>
          <w:sz w:val="24"/>
          <w:szCs w:val="24"/>
        </w:rPr>
        <w:t xml:space="preserve"> that EU membership had underpinned significant</w:t>
      </w:r>
      <w:r w:rsidR="00760B4D">
        <w:rPr>
          <w:rFonts w:ascii="Arial" w:hAnsi="Arial" w:cs="Arial"/>
          <w:sz w:val="24"/>
          <w:szCs w:val="24"/>
        </w:rPr>
        <w:t xml:space="preserve"> substantive</w:t>
      </w:r>
      <w:r w:rsidRPr="00DF1FAE">
        <w:rPr>
          <w:rFonts w:ascii="Arial" w:hAnsi="Arial" w:cs="Arial"/>
          <w:sz w:val="24"/>
          <w:szCs w:val="24"/>
        </w:rPr>
        <w:t xml:space="preserve"> improvements in environmental quality and raised levels of environmental protection. Respondents referred to the significant clean</w:t>
      </w:r>
      <w:r w:rsidR="00F402D9">
        <w:rPr>
          <w:rFonts w:ascii="Arial" w:hAnsi="Arial" w:cs="Arial"/>
          <w:sz w:val="24"/>
          <w:szCs w:val="24"/>
        </w:rPr>
        <w:t>-</w:t>
      </w:r>
      <w:r w:rsidRPr="00DF1FAE">
        <w:rPr>
          <w:rFonts w:ascii="Arial" w:hAnsi="Arial" w:cs="Arial"/>
          <w:sz w:val="24"/>
          <w:szCs w:val="24"/>
        </w:rPr>
        <w:t xml:space="preserve">up of rivers and beaches, air quality improvements, and to areas of biodiverse landscape that would otherwise have been </w:t>
      </w:r>
      <w:r w:rsidR="00383255">
        <w:rPr>
          <w:rFonts w:ascii="Arial" w:hAnsi="Arial" w:cs="Arial"/>
          <w:sz w:val="24"/>
          <w:szCs w:val="24"/>
        </w:rPr>
        <w:t>lost to development</w:t>
      </w:r>
      <w:r w:rsidR="00FA4347">
        <w:rPr>
          <w:rFonts w:ascii="Arial" w:hAnsi="Arial" w:cs="Arial"/>
          <w:sz w:val="24"/>
          <w:szCs w:val="24"/>
        </w:rPr>
        <w:t>, were it not for ‘tighter’ EU regulation</w:t>
      </w:r>
      <w:r w:rsidRPr="00DF1FAE">
        <w:rPr>
          <w:rFonts w:ascii="Arial" w:hAnsi="Arial" w:cs="Arial"/>
          <w:sz w:val="24"/>
          <w:szCs w:val="24"/>
        </w:rPr>
        <w:t xml:space="preserve">. </w:t>
      </w:r>
      <w:r w:rsidR="004F2DB1">
        <w:rPr>
          <w:rFonts w:ascii="Arial" w:hAnsi="Arial" w:cs="Arial"/>
          <w:sz w:val="24"/>
          <w:szCs w:val="24"/>
        </w:rPr>
        <w:t>Older, domestic</w:t>
      </w:r>
      <w:r w:rsidR="00CE528C">
        <w:rPr>
          <w:rFonts w:ascii="Arial" w:hAnsi="Arial" w:cs="Arial"/>
          <w:sz w:val="24"/>
          <w:szCs w:val="24"/>
        </w:rPr>
        <w:t xml:space="preserve"> </w:t>
      </w:r>
      <w:r w:rsidR="004F2DB1">
        <w:rPr>
          <w:rFonts w:ascii="Arial" w:hAnsi="Arial" w:cs="Arial"/>
          <w:sz w:val="24"/>
          <w:szCs w:val="24"/>
        </w:rPr>
        <w:t xml:space="preserve">environmental </w:t>
      </w:r>
      <w:r w:rsidRPr="00DF1FAE">
        <w:rPr>
          <w:rFonts w:ascii="Arial" w:hAnsi="Arial" w:cs="Arial"/>
          <w:sz w:val="24"/>
          <w:szCs w:val="24"/>
        </w:rPr>
        <w:t xml:space="preserve">legislation (such as the Wildlife and Countryside Act 1981) </w:t>
      </w:r>
      <w:r w:rsidR="00276332">
        <w:rPr>
          <w:rFonts w:ascii="Arial" w:hAnsi="Arial" w:cs="Arial"/>
          <w:sz w:val="24"/>
          <w:szCs w:val="24"/>
        </w:rPr>
        <w:t>w</w:t>
      </w:r>
      <w:r w:rsidR="004F2DB1">
        <w:rPr>
          <w:rFonts w:ascii="Arial" w:hAnsi="Arial" w:cs="Arial"/>
          <w:sz w:val="24"/>
          <w:szCs w:val="24"/>
        </w:rPr>
        <w:t>as</w:t>
      </w:r>
      <w:r w:rsidR="00276332">
        <w:rPr>
          <w:rFonts w:ascii="Arial" w:hAnsi="Arial" w:cs="Arial"/>
          <w:sz w:val="24"/>
          <w:szCs w:val="24"/>
        </w:rPr>
        <w:t xml:space="preserve"> observed to </w:t>
      </w:r>
      <w:r w:rsidRPr="00DF1FAE">
        <w:rPr>
          <w:rFonts w:ascii="Arial" w:hAnsi="Arial" w:cs="Arial"/>
          <w:sz w:val="24"/>
          <w:szCs w:val="24"/>
        </w:rPr>
        <w:t xml:space="preserve">lack teeth by comparison, and </w:t>
      </w:r>
      <w:r w:rsidR="00FE6529">
        <w:rPr>
          <w:rFonts w:ascii="Arial" w:hAnsi="Arial" w:cs="Arial"/>
          <w:sz w:val="24"/>
          <w:szCs w:val="24"/>
        </w:rPr>
        <w:t xml:space="preserve">respondents argued </w:t>
      </w:r>
      <w:r w:rsidRPr="00DF1FAE">
        <w:rPr>
          <w:rFonts w:ascii="Arial" w:hAnsi="Arial" w:cs="Arial"/>
          <w:sz w:val="24"/>
          <w:szCs w:val="24"/>
        </w:rPr>
        <w:t xml:space="preserve">that UK governments could have acted of their own accord </w:t>
      </w:r>
      <w:r w:rsidR="007E7D61">
        <w:rPr>
          <w:rFonts w:ascii="Arial" w:hAnsi="Arial" w:cs="Arial"/>
          <w:sz w:val="24"/>
          <w:szCs w:val="24"/>
        </w:rPr>
        <w:t xml:space="preserve">– without EU pressure - </w:t>
      </w:r>
      <w:r w:rsidRPr="00DF1FAE">
        <w:rPr>
          <w:rFonts w:ascii="Arial" w:hAnsi="Arial" w:cs="Arial"/>
          <w:sz w:val="24"/>
          <w:szCs w:val="24"/>
        </w:rPr>
        <w:t xml:space="preserve">but did not do so. </w:t>
      </w:r>
      <w:r w:rsidR="00737A20">
        <w:rPr>
          <w:rFonts w:ascii="Arial" w:hAnsi="Arial" w:cs="Arial"/>
          <w:sz w:val="24"/>
          <w:szCs w:val="24"/>
        </w:rPr>
        <w:t>On</w:t>
      </w:r>
      <w:r w:rsidR="00276332">
        <w:rPr>
          <w:rFonts w:ascii="Arial" w:hAnsi="Arial" w:cs="Arial"/>
          <w:sz w:val="24"/>
          <w:szCs w:val="24"/>
        </w:rPr>
        <w:t xml:space="preserve"> conceptions of the environment, </w:t>
      </w:r>
      <w:r w:rsidR="00737A20">
        <w:rPr>
          <w:rFonts w:ascii="Arial" w:hAnsi="Arial" w:cs="Arial"/>
          <w:sz w:val="24"/>
          <w:szCs w:val="24"/>
        </w:rPr>
        <w:t xml:space="preserve">respondents expressed that </w:t>
      </w:r>
      <w:r w:rsidR="00276332">
        <w:rPr>
          <w:rFonts w:ascii="Arial" w:hAnsi="Arial" w:cs="Arial"/>
          <w:sz w:val="24"/>
          <w:szCs w:val="24"/>
        </w:rPr>
        <w:t>‘European membership has given a greater focus to targets and thresholds’, aiding ‘understanding of environmental limits’</w:t>
      </w:r>
      <w:r w:rsidR="001047A4">
        <w:rPr>
          <w:rFonts w:ascii="Arial" w:hAnsi="Arial" w:cs="Arial"/>
          <w:sz w:val="24"/>
          <w:szCs w:val="24"/>
        </w:rPr>
        <w:t>.</w:t>
      </w:r>
    </w:p>
    <w:p w:rsidR="00737A20" w:rsidRDefault="00737A20" w:rsidP="00DF1FAE">
      <w:pPr>
        <w:rPr>
          <w:rFonts w:ascii="Arial" w:hAnsi="Arial" w:cs="Arial"/>
          <w:sz w:val="24"/>
          <w:szCs w:val="24"/>
        </w:rPr>
      </w:pPr>
    </w:p>
    <w:p w:rsidR="00B02AB3" w:rsidRDefault="00800FA1" w:rsidP="001229B3">
      <w:pPr>
        <w:rPr>
          <w:rFonts w:ascii="Arial" w:hAnsi="Arial" w:cs="Arial"/>
          <w:sz w:val="24"/>
          <w:szCs w:val="24"/>
        </w:rPr>
      </w:pPr>
      <w:r>
        <w:rPr>
          <w:rFonts w:ascii="Arial" w:hAnsi="Arial" w:cs="Arial"/>
          <w:sz w:val="24"/>
          <w:szCs w:val="24"/>
        </w:rPr>
        <w:t>Similarly, r</w:t>
      </w:r>
      <w:r w:rsidR="00276332" w:rsidRPr="00DF1FAE">
        <w:rPr>
          <w:rFonts w:ascii="Arial" w:hAnsi="Arial" w:cs="Arial"/>
          <w:sz w:val="24"/>
          <w:szCs w:val="24"/>
        </w:rPr>
        <w:t xml:space="preserve">espondents </w:t>
      </w:r>
      <w:r w:rsidR="00276332">
        <w:rPr>
          <w:rFonts w:ascii="Arial" w:hAnsi="Arial" w:cs="Arial"/>
          <w:sz w:val="24"/>
          <w:szCs w:val="24"/>
        </w:rPr>
        <w:t xml:space="preserve">also </w:t>
      </w:r>
      <w:r w:rsidR="00276332" w:rsidRPr="00DF1FAE">
        <w:rPr>
          <w:rFonts w:ascii="Arial" w:hAnsi="Arial" w:cs="Arial"/>
          <w:sz w:val="24"/>
          <w:szCs w:val="24"/>
        </w:rPr>
        <w:t xml:space="preserve">appreciated certain qualitative features of EU legislation, such as its purposive nature, its basis in scientific assessment of some form, the clear objectives and its </w:t>
      </w:r>
      <w:r w:rsidR="00C2105B">
        <w:rPr>
          <w:rFonts w:ascii="Arial" w:hAnsi="Arial" w:cs="Arial"/>
          <w:sz w:val="24"/>
          <w:szCs w:val="24"/>
        </w:rPr>
        <w:t>st</w:t>
      </w:r>
      <w:r w:rsidR="00276332" w:rsidRPr="00DF1FAE">
        <w:rPr>
          <w:rFonts w:ascii="Arial" w:hAnsi="Arial" w:cs="Arial"/>
          <w:sz w:val="24"/>
          <w:szCs w:val="24"/>
        </w:rPr>
        <w:t>ability compared to national political levels, especially in England</w:t>
      </w:r>
      <w:r w:rsidR="00276332">
        <w:rPr>
          <w:rFonts w:ascii="Arial" w:hAnsi="Arial" w:cs="Arial"/>
          <w:sz w:val="24"/>
          <w:szCs w:val="24"/>
        </w:rPr>
        <w:t xml:space="preserve"> and Northern Ireland.</w:t>
      </w:r>
      <w:r w:rsidR="00CE528C">
        <w:rPr>
          <w:rFonts w:ascii="Arial" w:hAnsi="Arial" w:cs="Arial"/>
          <w:sz w:val="24"/>
          <w:szCs w:val="24"/>
        </w:rPr>
        <w:t xml:space="preserve"> </w:t>
      </w:r>
      <w:r w:rsidR="00276332">
        <w:rPr>
          <w:rFonts w:ascii="Arial" w:hAnsi="Arial" w:cs="Arial"/>
          <w:sz w:val="24"/>
          <w:szCs w:val="24"/>
        </w:rPr>
        <w:t xml:space="preserve">Its value was linked to </w:t>
      </w:r>
      <w:r w:rsidR="00DF1FAE" w:rsidRPr="00DF1FAE">
        <w:rPr>
          <w:rFonts w:ascii="Arial" w:hAnsi="Arial" w:cs="Arial"/>
          <w:sz w:val="24"/>
          <w:szCs w:val="24"/>
        </w:rPr>
        <w:t xml:space="preserve">the wider capacity that EU institutions possess for driving implementation. In particular, </w:t>
      </w:r>
      <w:r w:rsidR="00276332">
        <w:rPr>
          <w:rFonts w:ascii="Arial" w:hAnsi="Arial" w:cs="Arial"/>
          <w:sz w:val="24"/>
          <w:szCs w:val="24"/>
        </w:rPr>
        <w:t>respondents</w:t>
      </w:r>
      <w:r w:rsidR="00DF1FAE" w:rsidRPr="00DF1FAE">
        <w:rPr>
          <w:rFonts w:ascii="Arial" w:hAnsi="Arial" w:cs="Arial"/>
          <w:sz w:val="24"/>
          <w:szCs w:val="24"/>
        </w:rPr>
        <w:t xml:space="preserve"> pointed to </w:t>
      </w:r>
      <w:r w:rsidR="009C528C">
        <w:rPr>
          <w:rFonts w:ascii="Arial" w:hAnsi="Arial" w:cs="Arial"/>
          <w:sz w:val="24"/>
          <w:szCs w:val="24"/>
        </w:rPr>
        <w:t>the scope for legal redress,</w:t>
      </w:r>
      <w:r w:rsidR="009C528C" w:rsidRPr="00DF1FAE">
        <w:rPr>
          <w:rFonts w:ascii="Arial" w:hAnsi="Arial" w:cs="Arial"/>
          <w:sz w:val="24"/>
          <w:szCs w:val="24"/>
        </w:rPr>
        <w:t xml:space="preserve"> the genuine threat of fines for infractions</w:t>
      </w:r>
      <w:r w:rsidR="009C528C">
        <w:rPr>
          <w:rFonts w:ascii="Arial" w:hAnsi="Arial" w:cs="Arial"/>
          <w:sz w:val="24"/>
          <w:szCs w:val="24"/>
        </w:rPr>
        <w:t>, and</w:t>
      </w:r>
      <w:r w:rsidR="00CE528C">
        <w:rPr>
          <w:rFonts w:ascii="Arial" w:hAnsi="Arial" w:cs="Arial"/>
          <w:sz w:val="24"/>
          <w:szCs w:val="24"/>
        </w:rPr>
        <w:t xml:space="preserve"> </w:t>
      </w:r>
      <w:r w:rsidR="00DF1FAE" w:rsidRPr="00DF1FAE">
        <w:rPr>
          <w:rFonts w:ascii="Arial" w:hAnsi="Arial" w:cs="Arial"/>
          <w:sz w:val="24"/>
          <w:szCs w:val="24"/>
        </w:rPr>
        <w:t xml:space="preserve">EU action being </w:t>
      </w:r>
      <w:r w:rsidR="009C528C">
        <w:rPr>
          <w:rFonts w:ascii="Arial" w:hAnsi="Arial" w:cs="Arial"/>
          <w:sz w:val="24"/>
          <w:szCs w:val="24"/>
        </w:rPr>
        <w:t xml:space="preserve">better insulated </w:t>
      </w:r>
      <w:r w:rsidR="00DF1FAE" w:rsidRPr="00DF1FAE">
        <w:rPr>
          <w:rFonts w:ascii="Arial" w:hAnsi="Arial" w:cs="Arial"/>
          <w:sz w:val="24"/>
          <w:szCs w:val="24"/>
        </w:rPr>
        <w:t xml:space="preserve">from </w:t>
      </w:r>
      <w:r w:rsidR="009325EA">
        <w:rPr>
          <w:rFonts w:ascii="Arial" w:hAnsi="Arial" w:cs="Arial"/>
          <w:sz w:val="24"/>
          <w:szCs w:val="24"/>
        </w:rPr>
        <w:t xml:space="preserve">short-termist </w:t>
      </w:r>
      <w:r w:rsidR="00737A20">
        <w:rPr>
          <w:rFonts w:ascii="Arial" w:hAnsi="Arial" w:cs="Arial"/>
          <w:sz w:val="24"/>
          <w:szCs w:val="24"/>
        </w:rPr>
        <w:t>domestic</w:t>
      </w:r>
      <w:r w:rsidR="00DF1FAE" w:rsidRPr="00DF1FAE">
        <w:rPr>
          <w:rFonts w:ascii="Arial" w:hAnsi="Arial" w:cs="Arial"/>
          <w:sz w:val="24"/>
          <w:szCs w:val="24"/>
        </w:rPr>
        <w:t>, political pressures.</w:t>
      </w:r>
      <w:r w:rsidR="00B02AB3">
        <w:rPr>
          <w:rFonts w:ascii="Arial" w:hAnsi="Arial" w:cs="Arial"/>
          <w:sz w:val="24"/>
          <w:szCs w:val="24"/>
        </w:rPr>
        <w:t xml:space="preserve"> As an example:</w:t>
      </w:r>
    </w:p>
    <w:p w:rsidR="00B02AB3" w:rsidRPr="00B02AB3" w:rsidRDefault="00B02AB3" w:rsidP="001229B3">
      <w:pPr>
        <w:rPr>
          <w:rFonts w:ascii="Arial" w:hAnsi="Arial" w:cs="Arial"/>
          <w:sz w:val="24"/>
          <w:szCs w:val="24"/>
        </w:rPr>
      </w:pPr>
    </w:p>
    <w:p w:rsidR="00B02AB3" w:rsidRPr="00B02AB3" w:rsidRDefault="00B02AB3" w:rsidP="00B02AB3">
      <w:pPr>
        <w:ind w:left="567"/>
        <w:rPr>
          <w:rFonts w:ascii="Arial" w:hAnsi="Arial" w:cs="Arial"/>
          <w:sz w:val="24"/>
          <w:szCs w:val="24"/>
        </w:rPr>
      </w:pPr>
      <w:r w:rsidRPr="00756A5E">
        <w:rPr>
          <w:rFonts w:ascii="Arial" w:hAnsi="Arial" w:cs="Arial"/>
          <w:sz w:val="24"/>
          <w:szCs w:val="24"/>
        </w:rPr>
        <w:t>‘you only have to look at the UK government’s ducking and diving on air quality – without the EU element they’d have just brushed it under the carpet’</w:t>
      </w:r>
    </w:p>
    <w:p w:rsidR="00B02AB3" w:rsidRPr="00B02AB3" w:rsidRDefault="00B02AB3" w:rsidP="001229B3">
      <w:pPr>
        <w:rPr>
          <w:rFonts w:ascii="Arial" w:hAnsi="Arial" w:cs="Arial"/>
          <w:sz w:val="24"/>
          <w:szCs w:val="24"/>
        </w:rPr>
      </w:pPr>
    </w:p>
    <w:p w:rsidR="001229B3" w:rsidRPr="00DF1FAE" w:rsidRDefault="00CE528C" w:rsidP="001229B3">
      <w:pPr>
        <w:rPr>
          <w:rFonts w:ascii="Arial" w:hAnsi="Arial" w:cs="Arial"/>
          <w:sz w:val="24"/>
          <w:szCs w:val="24"/>
        </w:rPr>
      </w:pPr>
      <w:r>
        <w:rPr>
          <w:rFonts w:ascii="Arial" w:hAnsi="Arial" w:cs="Arial"/>
          <w:sz w:val="24"/>
          <w:szCs w:val="24"/>
        </w:rPr>
        <w:t xml:space="preserve"> </w:t>
      </w:r>
      <w:r w:rsidR="005A0F0C">
        <w:rPr>
          <w:rFonts w:ascii="Arial" w:hAnsi="Arial" w:cs="Arial"/>
          <w:sz w:val="24"/>
          <w:szCs w:val="24"/>
        </w:rPr>
        <w:t xml:space="preserve">For </w:t>
      </w:r>
      <w:r w:rsidR="00F271E6">
        <w:rPr>
          <w:rFonts w:ascii="Arial" w:hAnsi="Arial" w:cs="Arial"/>
          <w:sz w:val="24"/>
          <w:szCs w:val="24"/>
        </w:rPr>
        <w:t xml:space="preserve">all </w:t>
      </w:r>
      <w:r w:rsidR="005A0F0C">
        <w:rPr>
          <w:rFonts w:ascii="Arial" w:hAnsi="Arial" w:cs="Arial"/>
          <w:sz w:val="24"/>
          <w:szCs w:val="24"/>
        </w:rPr>
        <w:t xml:space="preserve">these reasons, </w:t>
      </w:r>
      <w:r w:rsidR="00AB545A">
        <w:rPr>
          <w:rFonts w:ascii="Arial" w:hAnsi="Arial" w:cs="Arial"/>
          <w:sz w:val="24"/>
          <w:szCs w:val="24"/>
        </w:rPr>
        <w:t>EU regulation</w:t>
      </w:r>
      <w:r w:rsidR="00FE6529">
        <w:rPr>
          <w:rFonts w:ascii="Arial" w:hAnsi="Arial" w:cs="Arial"/>
          <w:sz w:val="24"/>
          <w:szCs w:val="24"/>
        </w:rPr>
        <w:t xml:space="preserve"> was </w:t>
      </w:r>
      <w:r w:rsidR="009325EA">
        <w:rPr>
          <w:rFonts w:ascii="Arial" w:hAnsi="Arial" w:cs="Arial"/>
          <w:sz w:val="24"/>
          <w:szCs w:val="24"/>
        </w:rPr>
        <w:t>widely described as ‘a backstop’</w:t>
      </w:r>
      <w:r w:rsidR="00DF1FAE" w:rsidRPr="00DF1FAE">
        <w:rPr>
          <w:rFonts w:ascii="Arial" w:hAnsi="Arial" w:cs="Arial"/>
          <w:sz w:val="24"/>
          <w:szCs w:val="24"/>
        </w:rPr>
        <w:t>.</w:t>
      </w:r>
    </w:p>
    <w:p w:rsidR="00F61703" w:rsidRPr="00DF1FAE" w:rsidRDefault="00F61703">
      <w:pPr>
        <w:rPr>
          <w:rFonts w:ascii="Arial" w:hAnsi="Arial" w:cs="Arial"/>
          <w:sz w:val="24"/>
          <w:szCs w:val="24"/>
        </w:rPr>
      </w:pPr>
    </w:p>
    <w:p w:rsidR="00DF1FAE" w:rsidRPr="00DF1FAE" w:rsidRDefault="00DF1FAE" w:rsidP="00DF1FAE">
      <w:pPr>
        <w:rPr>
          <w:rFonts w:ascii="Arial" w:hAnsi="Arial" w:cs="Arial"/>
          <w:sz w:val="24"/>
          <w:szCs w:val="24"/>
        </w:rPr>
      </w:pPr>
      <w:r w:rsidRPr="00DF1FAE">
        <w:rPr>
          <w:rFonts w:ascii="Arial" w:hAnsi="Arial" w:cs="Arial"/>
          <w:sz w:val="24"/>
          <w:szCs w:val="24"/>
        </w:rPr>
        <w:t>These positive views were qualified i</w:t>
      </w:r>
      <w:r w:rsidR="009325EA">
        <w:rPr>
          <w:rFonts w:ascii="Arial" w:hAnsi="Arial" w:cs="Arial"/>
          <w:sz w:val="24"/>
          <w:szCs w:val="24"/>
        </w:rPr>
        <w:t>n various</w:t>
      </w:r>
      <w:r w:rsidRPr="00DF1FAE">
        <w:rPr>
          <w:rFonts w:ascii="Arial" w:hAnsi="Arial" w:cs="Arial"/>
          <w:sz w:val="24"/>
          <w:szCs w:val="24"/>
        </w:rPr>
        <w:t xml:space="preserve"> ways. For </w:t>
      </w:r>
      <w:r w:rsidR="009325EA">
        <w:rPr>
          <w:rFonts w:ascii="Arial" w:hAnsi="Arial" w:cs="Arial"/>
          <w:sz w:val="24"/>
          <w:szCs w:val="24"/>
        </w:rPr>
        <w:t>some</w:t>
      </w:r>
      <w:r w:rsidRPr="00DF1FAE">
        <w:rPr>
          <w:rFonts w:ascii="Arial" w:hAnsi="Arial" w:cs="Arial"/>
          <w:sz w:val="24"/>
          <w:szCs w:val="24"/>
        </w:rPr>
        <w:t>, the fact that environment</w:t>
      </w:r>
      <w:r w:rsidR="00660A91">
        <w:rPr>
          <w:rFonts w:ascii="Arial" w:hAnsi="Arial" w:cs="Arial"/>
          <w:sz w:val="24"/>
          <w:szCs w:val="24"/>
        </w:rPr>
        <w:t>al</w:t>
      </w:r>
      <w:r w:rsidRPr="00DF1FAE">
        <w:rPr>
          <w:rFonts w:ascii="Arial" w:hAnsi="Arial" w:cs="Arial"/>
          <w:sz w:val="24"/>
          <w:szCs w:val="24"/>
        </w:rPr>
        <w:t xml:space="preserve"> directives set tight constraints and prescriptive legal requirement</w:t>
      </w:r>
      <w:r w:rsidR="00005AC6">
        <w:rPr>
          <w:rFonts w:ascii="Arial" w:hAnsi="Arial" w:cs="Arial"/>
          <w:sz w:val="24"/>
          <w:szCs w:val="24"/>
        </w:rPr>
        <w:t>s</w:t>
      </w:r>
      <w:r w:rsidRPr="00DF1FAE">
        <w:rPr>
          <w:rFonts w:ascii="Arial" w:hAnsi="Arial" w:cs="Arial"/>
          <w:sz w:val="24"/>
          <w:szCs w:val="24"/>
        </w:rPr>
        <w:t xml:space="preserve"> could itself be a problem, as it diminished the scope for flexible solutions</w:t>
      </w:r>
      <w:r w:rsidR="003C4CC2" w:rsidRPr="003C4CC2">
        <w:rPr>
          <w:rFonts w:ascii="Arial" w:hAnsi="Arial" w:cs="Arial"/>
          <w:sz w:val="24"/>
          <w:szCs w:val="24"/>
        </w:rPr>
        <w:t>: ‘</w:t>
      </w:r>
      <w:r w:rsidR="009C30D8" w:rsidRPr="009C30D8">
        <w:rPr>
          <w:rFonts w:ascii="Arial" w:hAnsi="Arial" w:cs="Arial"/>
          <w:sz w:val="24"/>
          <w:szCs w:val="24"/>
        </w:rPr>
        <w:t>In a discretionary system, you can work your way around these problems but not in a regulatory system’.</w:t>
      </w:r>
      <w:r w:rsidRPr="00DF1FAE">
        <w:rPr>
          <w:rFonts w:ascii="Arial" w:hAnsi="Arial" w:cs="Arial"/>
          <w:sz w:val="24"/>
          <w:szCs w:val="24"/>
        </w:rPr>
        <w:t xml:space="preserve"> </w:t>
      </w:r>
      <w:r w:rsidR="009325EA">
        <w:rPr>
          <w:rFonts w:ascii="Arial" w:hAnsi="Arial" w:cs="Arial"/>
          <w:sz w:val="24"/>
          <w:szCs w:val="24"/>
        </w:rPr>
        <w:t>T</w:t>
      </w:r>
      <w:r w:rsidRPr="00DF1FAE">
        <w:rPr>
          <w:rFonts w:ascii="Arial" w:hAnsi="Arial" w:cs="Arial"/>
          <w:sz w:val="24"/>
          <w:szCs w:val="24"/>
        </w:rPr>
        <w:t xml:space="preserve">he tests of the Habitats Directive </w:t>
      </w:r>
      <w:r w:rsidR="009325EA">
        <w:rPr>
          <w:rFonts w:ascii="Arial" w:hAnsi="Arial" w:cs="Arial"/>
          <w:sz w:val="24"/>
          <w:szCs w:val="24"/>
        </w:rPr>
        <w:t>were most likely to be described as ‘</w:t>
      </w:r>
      <w:r w:rsidRPr="00DF1FAE">
        <w:rPr>
          <w:rFonts w:ascii="Arial" w:hAnsi="Arial" w:cs="Arial"/>
          <w:sz w:val="24"/>
          <w:szCs w:val="24"/>
        </w:rPr>
        <w:t>too rigid</w:t>
      </w:r>
      <w:r w:rsidR="009325EA">
        <w:rPr>
          <w:rFonts w:ascii="Arial" w:hAnsi="Arial" w:cs="Arial"/>
          <w:sz w:val="24"/>
          <w:szCs w:val="24"/>
        </w:rPr>
        <w:t>’</w:t>
      </w:r>
      <w:r w:rsidR="00756A5E">
        <w:rPr>
          <w:rFonts w:ascii="Arial" w:hAnsi="Arial" w:cs="Arial"/>
          <w:sz w:val="24"/>
          <w:szCs w:val="24"/>
        </w:rPr>
        <w:t xml:space="preserve"> or ‘prescriptive and overly cautious’</w:t>
      </w:r>
      <w:r w:rsidR="00800FA1">
        <w:rPr>
          <w:rFonts w:ascii="Arial" w:hAnsi="Arial" w:cs="Arial"/>
          <w:sz w:val="24"/>
          <w:szCs w:val="24"/>
        </w:rPr>
        <w:t>;</w:t>
      </w:r>
      <w:r w:rsidR="009325EA">
        <w:rPr>
          <w:rFonts w:ascii="Arial" w:hAnsi="Arial" w:cs="Arial"/>
          <w:sz w:val="24"/>
          <w:szCs w:val="24"/>
        </w:rPr>
        <w:t xml:space="preserve"> unsurprisingly perhaps given </w:t>
      </w:r>
      <w:r w:rsidR="00FE6529">
        <w:rPr>
          <w:rFonts w:ascii="Arial" w:hAnsi="Arial" w:cs="Arial"/>
          <w:sz w:val="24"/>
          <w:szCs w:val="24"/>
        </w:rPr>
        <w:t>that</w:t>
      </w:r>
      <w:r w:rsidR="009325EA">
        <w:rPr>
          <w:rFonts w:ascii="Arial" w:hAnsi="Arial" w:cs="Arial"/>
          <w:sz w:val="24"/>
          <w:szCs w:val="24"/>
        </w:rPr>
        <w:t xml:space="preserve"> EU nature conservation legislation</w:t>
      </w:r>
      <w:r w:rsidR="00CE528C">
        <w:rPr>
          <w:rFonts w:ascii="Arial" w:hAnsi="Arial" w:cs="Arial"/>
          <w:sz w:val="24"/>
          <w:szCs w:val="24"/>
        </w:rPr>
        <w:t xml:space="preserve"> </w:t>
      </w:r>
      <w:r w:rsidR="009325EA">
        <w:rPr>
          <w:rFonts w:ascii="Arial" w:hAnsi="Arial" w:cs="Arial"/>
          <w:sz w:val="24"/>
          <w:szCs w:val="24"/>
        </w:rPr>
        <w:t>can translate more directly, through planning, into the refusal or modification of planning consents</w:t>
      </w:r>
      <w:r w:rsidRPr="00DF1FAE">
        <w:rPr>
          <w:rFonts w:ascii="Arial" w:hAnsi="Arial" w:cs="Arial"/>
          <w:sz w:val="24"/>
          <w:szCs w:val="24"/>
        </w:rPr>
        <w:t>,</w:t>
      </w:r>
      <w:r w:rsidR="009325EA">
        <w:rPr>
          <w:rFonts w:ascii="Arial" w:hAnsi="Arial" w:cs="Arial"/>
          <w:sz w:val="24"/>
          <w:szCs w:val="24"/>
        </w:rPr>
        <w:t xml:space="preserve"> than other areas of law.</w:t>
      </w:r>
      <w:r w:rsidR="00760B4D">
        <w:rPr>
          <w:rFonts w:ascii="Arial" w:hAnsi="Arial" w:cs="Arial"/>
          <w:sz w:val="24"/>
          <w:szCs w:val="24"/>
        </w:rPr>
        <w:t xml:space="preserve"> </w:t>
      </w:r>
      <w:r w:rsidR="00DD4999">
        <w:rPr>
          <w:rFonts w:ascii="Arial" w:hAnsi="Arial" w:cs="Arial"/>
          <w:sz w:val="24"/>
          <w:szCs w:val="24"/>
        </w:rPr>
        <w:t>R</w:t>
      </w:r>
      <w:r w:rsidR="009325EA">
        <w:rPr>
          <w:rFonts w:ascii="Arial" w:hAnsi="Arial" w:cs="Arial"/>
          <w:sz w:val="24"/>
          <w:szCs w:val="24"/>
        </w:rPr>
        <w:t>emark</w:t>
      </w:r>
      <w:r w:rsidR="00DD4999">
        <w:rPr>
          <w:rFonts w:ascii="Arial" w:hAnsi="Arial" w:cs="Arial"/>
          <w:sz w:val="24"/>
          <w:szCs w:val="24"/>
        </w:rPr>
        <w:t>s like</w:t>
      </w:r>
      <w:r w:rsidR="009325EA">
        <w:rPr>
          <w:rFonts w:ascii="Arial" w:hAnsi="Arial" w:cs="Arial"/>
          <w:sz w:val="24"/>
          <w:szCs w:val="24"/>
        </w:rPr>
        <w:t xml:space="preserve"> ‘by all means give due importance to the birds but you shouldn’t have an absolute ban’</w:t>
      </w:r>
      <w:r w:rsidR="00DD4999">
        <w:rPr>
          <w:rFonts w:ascii="Arial" w:hAnsi="Arial" w:cs="Arial"/>
          <w:sz w:val="24"/>
          <w:szCs w:val="24"/>
        </w:rPr>
        <w:t xml:space="preserve">, and ‘I think that it is far too directive rather than discretionary because it doesn’t enable people to make a sensible planning decision’, </w:t>
      </w:r>
      <w:r w:rsidR="009325EA">
        <w:rPr>
          <w:rFonts w:ascii="Arial" w:hAnsi="Arial" w:cs="Arial"/>
          <w:sz w:val="24"/>
          <w:szCs w:val="24"/>
        </w:rPr>
        <w:t xml:space="preserve">characterise </w:t>
      </w:r>
      <w:r w:rsidR="00DD4999">
        <w:rPr>
          <w:rFonts w:ascii="Arial" w:hAnsi="Arial" w:cs="Arial"/>
          <w:sz w:val="24"/>
          <w:szCs w:val="24"/>
        </w:rPr>
        <w:t xml:space="preserve">a perceived friction between the Habitats Directive and the flexible norms </w:t>
      </w:r>
      <w:r w:rsidR="00473F49">
        <w:rPr>
          <w:rFonts w:ascii="Arial" w:hAnsi="Arial" w:cs="Arial"/>
          <w:sz w:val="24"/>
          <w:szCs w:val="24"/>
        </w:rPr>
        <w:t>of</w:t>
      </w:r>
      <w:r w:rsidR="00DD4999">
        <w:rPr>
          <w:rFonts w:ascii="Arial" w:hAnsi="Arial" w:cs="Arial"/>
          <w:sz w:val="24"/>
          <w:szCs w:val="24"/>
        </w:rPr>
        <w:t xml:space="preserve"> UK planning regulatory styles</w:t>
      </w:r>
      <w:r w:rsidR="009325EA">
        <w:rPr>
          <w:rFonts w:ascii="Arial" w:hAnsi="Arial" w:cs="Arial"/>
          <w:sz w:val="24"/>
          <w:szCs w:val="24"/>
        </w:rPr>
        <w:t>.</w:t>
      </w:r>
      <w:r w:rsidR="00CE528C">
        <w:rPr>
          <w:rFonts w:ascii="Arial" w:hAnsi="Arial" w:cs="Arial"/>
          <w:sz w:val="24"/>
          <w:szCs w:val="24"/>
        </w:rPr>
        <w:t xml:space="preserve"> </w:t>
      </w:r>
      <w:r w:rsidRPr="00DF1FAE">
        <w:rPr>
          <w:rFonts w:ascii="Arial" w:hAnsi="Arial" w:cs="Arial"/>
          <w:sz w:val="24"/>
          <w:szCs w:val="24"/>
        </w:rPr>
        <w:t>Meeting the procedural requirements of EU Directives</w:t>
      </w:r>
      <w:r w:rsidR="004F2DB1">
        <w:rPr>
          <w:rFonts w:ascii="Arial" w:hAnsi="Arial" w:cs="Arial"/>
          <w:sz w:val="24"/>
          <w:szCs w:val="24"/>
        </w:rPr>
        <w:t>,</w:t>
      </w:r>
      <w:r w:rsidRPr="00DF1FAE">
        <w:rPr>
          <w:rFonts w:ascii="Arial" w:hAnsi="Arial" w:cs="Arial"/>
          <w:sz w:val="24"/>
          <w:szCs w:val="24"/>
        </w:rPr>
        <w:t xml:space="preserve"> with what was perceived as an emphasis on compliance</w:t>
      </w:r>
      <w:r w:rsidR="004F2DB1">
        <w:rPr>
          <w:rFonts w:ascii="Arial" w:hAnsi="Arial" w:cs="Arial"/>
          <w:sz w:val="24"/>
          <w:szCs w:val="24"/>
        </w:rPr>
        <w:t>,</w:t>
      </w:r>
      <w:r w:rsidRPr="00DF1FAE">
        <w:rPr>
          <w:rFonts w:ascii="Arial" w:hAnsi="Arial" w:cs="Arial"/>
          <w:sz w:val="24"/>
          <w:szCs w:val="24"/>
        </w:rPr>
        <w:t xml:space="preserve"> was also seen as deflecting attention from achieving enhancement and improvement.</w:t>
      </w:r>
    </w:p>
    <w:p w:rsidR="00DF1FAE" w:rsidRPr="00DF1FAE" w:rsidRDefault="00DF1FAE" w:rsidP="00DF1FAE">
      <w:pPr>
        <w:rPr>
          <w:rFonts w:ascii="Arial" w:hAnsi="Arial" w:cs="Arial"/>
          <w:sz w:val="24"/>
          <w:szCs w:val="24"/>
        </w:rPr>
      </w:pPr>
    </w:p>
    <w:p w:rsidR="00760B4D" w:rsidRDefault="00DF1FAE" w:rsidP="00DF1FAE">
      <w:pPr>
        <w:rPr>
          <w:rFonts w:ascii="Arial" w:hAnsi="Arial" w:cs="Arial"/>
          <w:sz w:val="24"/>
          <w:szCs w:val="24"/>
        </w:rPr>
      </w:pPr>
      <w:r w:rsidRPr="00DF1FAE">
        <w:rPr>
          <w:rFonts w:ascii="Arial" w:hAnsi="Arial" w:cs="Arial"/>
          <w:sz w:val="24"/>
          <w:szCs w:val="24"/>
        </w:rPr>
        <w:t>While there was</w:t>
      </w:r>
      <w:r w:rsidR="00DB616D">
        <w:rPr>
          <w:rFonts w:ascii="Arial" w:hAnsi="Arial" w:cs="Arial"/>
          <w:sz w:val="24"/>
          <w:szCs w:val="24"/>
        </w:rPr>
        <w:t xml:space="preserve"> overall</w:t>
      </w:r>
      <w:r w:rsidR="00CE528C">
        <w:rPr>
          <w:rFonts w:ascii="Arial" w:hAnsi="Arial" w:cs="Arial"/>
          <w:sz w:val="24"/>
          <w:szCs w:val="24"/>
        </w:rPr>
        <w:t xml:space="preserve"> </w:t>
      </w:r>
      <w:r>
        <w:rPr>
          <w:rFonts w:ascii="Arial" w:hAnsi="Arial" w:cs="Arial"/>
          <w:sz w:val="24"/>
          <w:szCs w:val="24"/>
        </w:rPr>
        <w:t>support for environmental policies</w:t>
      </w:r>
      <w:r w:rsidR="00CE528C">
        <w:rPr>
          <w:rFonts w:ascii="Arial" w:hAnsi="Arial" w:cs="Arial"/>
          <w:sz w:val="24"/>
          <w:szCs w:val="24"/>
        </w:rPr>
        <w:t xml:space="preserve"> </w:t>
      </w:r>
      <w:r w:rsidR="00DB616D">
        <w:rPr>
          <w:rFonts w:ascii="Arial" w:hAnsi="Arial" w:cs="Arial"/>
          <w:sz w:val="24"/>
          <w:szCs w:val="24"/>
        </w:rPr>
        <w:t>that pursu</w:t>
      </w:r>
      <w:r w:rsidR="00BC6FA7">
        <w:rPr>
          <w:rFonts w:ascii="Arial" w:hAnsi="Arial" w:cs="Arial"/>
          <w:sz w:val="24"/>
          <w:szCs w:val="24"/>
        </w:rPr>
        <w:t>ed</w:t>
      </w:r>
      <w:r w:rsidR="004B1160">
        <w:rPr>
          <w:rFonts w:ascii="Arial" w:hAnsi="Arial" w:cs="Arial"/>
          <w:sz w:val="24"/>
          <w:szCs w:val="24"/>
        </w:rPr>
        <w:t xml:space="preserve"> substantive environmental protection </w:t>
      </w:r>
      <w:r w:rsidR="005A0F0C">
        <w:rPr>
          <w:rFonts w:ascii="Arial" w:hAnsi="Arial" w:cs="Arial"/>
          <w:sz w:val="24"/>
          <w:szCs w:val="24"/>
        </w:rPr>
        <w:t>goal</w:t>
      </w:r>
      <w:r w:rsidR="004B1160">
        <w:rPr>
          <w:rFonts w:ascii="Arial" w:hAnsi="Arial" w:cs="Arial"/>
          <w:sz w:val="24"/>
          <w:szCs w:val="24"/>
        </w:rPr>
        <w:t>s</w:t>
      </w:r>
      <w:r w:rsidRPr="00DF1FAE">
        <w:rPr>
          <w:rFonts w:ascii="Arial" w:hAnsi="Arial" w:cs="Arial"/>
          <w:sz w:val="24"/>
          <w:szCs w:val="24"/>
        </w:rPr>
        <w:t xml:space="preserve">, there was more equivocation on the effects of specific procedures, </w:t>
      </w:r>
      <w:r w:rsidR="009325EA">
        <w:rPr>
          <w:rFonts w:ascii="Arial" w:hAnsi="Arial" w:cs="Arial"/>
          <w:sz w:val="24"/>
          <w:szCs w:val="24"/>
        </w:rPr>
        <w:t>especially</w:t>
      </w:r>
      <w:r w:rsidRPr="00DF1FAE">
        <w:rPr>
          <w:rFonts w:ascii="Arial" w:hAnsi="Arial" w:cs="Arial"/>
          <w:sz w:val="24"/>
          <w:szCs w:val="24"/>
        </w:rPr>
        <w:t xml:space="preserve"> EIA and SEA. Perceptions that procedures could be bureaucratic, disproportionate and costly were commonly expressed, linked to </w:t>
      </w:r>
      <w:r w:rsidR="000629B6">
        <w:rPr>
          <w:rFonts w:ascii="Arial" w:hAnsi="Arial" w:cs="Arial"/>
          <w:sz w:val="24"/>
          <w:szCs w:val="24"/>
        </w:rPr>
        <w:t xml:space="preserve">problems of interpretation and </w:t>
      </w:r>
      <w:r w:rsidRPr="00DF1FAE">
        <w:rPr>
          <w:rFonts w:ascii="Arial" w:hAnsi="Arial" w:cs="Arial"/>
          <w:sz w:val="24"/>
          <w:szCs w:val="24"/>
        </w:rPr>
        <w:t xml:space="preserve">concerns that positive </w:t>
      </w:r>
      <w:r w:rsidR="00800FA1">
        <w:rPr>
          <w:rFonts w:ascii="Arial" w:hAnsi="Arial" w:cs="Arial"/>
          <w:sz w:val="24"/>
          <w:szCs w:val="24"/>
        </w:rPr>
        <w:t xml:space="preserve">environmental </w:t>
      </w:r>
      <w:r w:rsidRPr="00DF1FAE">
        <w:rPr>
          <w:rFonts w:ascii="Arial" w:hAnsi="Arial" w:cs="Arial"/>
          <w:sz w:val="24"/>
          <w:szCs w:val="24"/>
        </w:rPr>
        <w:t xml:space="preserve">outcomes were not always </w:t>
      </w:r>
      <w:r w:rsidR="00760B4D">
        <w:rPr>
          <w:rFonts w:ascii="Arial" w:hAnsi="Arial" w:cs="Arial"/>
          <w:sz w:val="24"/>
          <w:szCs w:val="24"/>
        </w:rPr>
        <w:t>apparent</w:t>
      </w:r>
      <w:r w:rsidRPr="00DF1FAE">
        <w:rPr>
          <w:rFonts w:ascii="Arial" w:hAnsi="Arial" w:cs="Arial"/>
          <w:sz w:val="24"/>
          <w:szCs w:val="24"/>
        </w:rPr>
        <w:t xml:space="preserve">. Respondents referred to the uncertainties arising from, for example, screening and scoping decisions attached to EIA, and questioned whether procedures </w:t>
      </w:r>
      <w:r w:rsidR="005B2610">
        <w:rPr>
          <w:rFonts w:ascii="Arial" w:hAnsi="Arial" w:cs="Arial"/>
          <w:sz w:val="24"/>
          <w:szCs w:val="24"/>
        </w:rPr>
        <w:t>–</w:t>
      </w:r>
      <w:r w:rsidR="000629B6">
        <w:rPr>
          <w:rFonts w:ascii="Arial" w:hAnsi="Arial" w:cs="Arial"/>
          <w:sz w:val="24"/>
          <w:szCs w:val="24"/>
        </w:rPr>
        <w:t xml:space="preserve"> </w:t>
      </w:r>
      <w:r w:rsidR="005B2610">
        <w:rPr>
          <w:rFonts w:ascii="Arial" w:hAnsi="Arial" w:cs="Arial"/>
          <w:sz w:val="24"/>
          <w:szCs w:val="24"/>
        </w:rPr>
        <w:t>variously</w:t>
      </w:r>
      <w:r w:rsidRPr="00DF1FAE">
        <w:rPr>
          <w:rFonts w:ascii="Arial" w:hAnsi="Arial" w:cs="Arial"/>
          <w:sz w:val="24"/>
          <w:szCs w:val="24"/>
        </w:rPr>
        <w:t xml:space="preserve"> perceived as onerous</w:t>
      </w:r>
      <w:r w:rsidR="005B2610">
        <w:rPr>
          <w:rFonts w:ascii="Arial" w:hAnsi="Arial" w:cs="Arial"/>
          <w:sz w:val="24"/>
          <w:szCs w:val="24"/>
        </w:rPr>
        <w:t>, or ‘slight overkill’</w:t>
      </w:r>
      <w:r w:rsidRPr="00DF1FAE">
        <w:rPr>
          <w:rFonts w:ascii="Arial" w:hAnsi="Arial" w:cs="Arial"/>
          <w:sz w:val="24"/>
          <w:szCs w:val="24"/>
        </w:rPr>
        <w:t xml:space="preserve"> - were appropriate in all circumstances</w:t>
      </w:r>
      <w:r w:rsidR="000919C1">
        <w:rPr>
          <w:rFonts w:ascii="Arial" w:hAnsi="Arial" w:cs="Arial"/>
          <w:sz w:val="24"/>
          <w:szCs w:val="24"/>
        </w:rPr>
        <w:t>.</w:t>
      </w:r>
      <w:r w:rsidR="00AE0735">
        <w:rPr>
          <w:rFonts w:ascii="Arial" w:hAnsi="Arial" w:cs="Arial"/>
          <w:sz w:val="24"/>
          <w:szCs w:val="24"/>
        </w:rPr>
        <w:t xml:space="preserve"> </w:t>
      </w:r>
      <w:r w:rsidR="0038408C" w:rsidRPr="00DF1FAE">
        <w:rPr>
          <w:rFonts w:ascii="Arial" w:hAnsi="Arial" w:cs="Arial"/>
          <w:sz w:val="24"/>
          <w:szCs w:val="24"/>
        </w:rPr>
        <w:t xml:space="preserve">Given that </w:t>
      </w:r>
      <w:r w:rsidR="004F2DB1">
        <w:rPr>
          <w:rFonts w:ascii="Arial" w:hAnsi="Arial" w:cs="Arial"/>
          <w:sz w:val="24"/>
          <w:szCs w:val="24"/>
        </w:rPr>
        <w:t xml:space="preserve">domestic </w:t>
      </w:r>
      <w:r w:rsidR="0038408C" w:rsidRPr="00DF1FAE">
        <w:rPr>
          <w:rFonts w:ascii="Arial" w:hAnsi="Arial" w:cs="Arial"/>
          <w:sz w:val="24"/>
          <w:szCs w:val="24"/>
        </w:rPr>
        <w:t>planning legislation al</w:t>
      </w:r>
      <w:r w:rsidR="004F2DB1">
        <w:rPr>
          <w:rFonts w:ascii="Arial" w:hAnsi="Arial" w:cs="Arial"/>
          <w:sz w:val="24"/>
          <w:szCs w:val="24"/>
        </w:rPr>
        <w:t>ready</w:t>
      </w:r>
      <w:r w:rsidR="00CE528C">
        <w:rPr>
          <w:rFonts w:ascii="Arial" w:hAnsi="Arial" w:cs="Arial"/>
          <w:sz w:val="24"/>
          <w:szCs w:val="24"/>
        </w:rPr>
        <w:t xml:space="preserve"> </w:t>
      </w:r>
      <w:r w:rsidR="004F2DB1">
        <w:rPr>
          <w:rFonts w:ascii="Arial" w:hAnsi="Arial" w:cs="Arial"/>
          <w:sz w:val="24"/>
          <w:szCs w:val="24"/>
        </w:rPr>
        <w:t>allow</w:t>
      </w:r>
      <w:r w:rsidR="0038408C" w:rsidRPr="00DF1FAE">
        <w:rPr>
          <w:rFonts w:ascii="Arial" w:hAnsi="Arial" w:cs="Arial"/>
          <w:sz w:val="24"/>
          <w:szCs w:val="24"/>
        </w:rPr>
        <w:t>s local planning authorities to request sufficient environmental information before making a decision</w:t>
      </w:r>
      <w:r w:rsidR="00EC2973">
        <w:rPr>
          <w:rFonts w:ascii="Arial" w:hAnsi="Arial" w:cs="Arial"/>
          <w:sz w:val="24"/>
          <w:szCs w:val="24"/>
        </w:rPr>
        <w:t xml:space="preserve"> (Haigh</w:t>
      </w:r>
      <w:r w:rsidR="0000641A">
        <w:rPr>
          <w:rFonts w:ascii="Arial" w:hAnsi="Arial" w:cs="Arial"/>
          <w:sz w:val="24"/>
          <w:szCs w:val="24"/>
        </w:rPr>
        <w:t>,</w:t>
      </w:r>
      <w:r w:rsidR="00EC2973">
        <w:rPr>
          <w:rFonts w:ascii="Arial" w:hAnsi="Arial" w:cs="Arial"/>
          <w:sz w:val="24"/>
          <w:szCs w:val="24"/>
        </w:rPr>
        <w:t xml:space="preserve"> 1987)</w:t>
      </w:r>
      <w:r w:rsidR="00760B4D">
        <w:rPr>
          <w:rFonts w:ascii="Arial" w:hAnsi="Arial" w:cs="Arial"/>
          <w:sz w:val="24"/>
          <w:szCs w:val="24"/>
        </w:rPr>
        <w:t xml:space="preserve"> and for public engagement</w:t>
      </w:r>
      <w:r w:rsidR="0038408C" w:rsidRPr="00DF1FAE">
        <w:rPr>
          <w:rFonts w:ascii="Arial" w:hAnsi="Arial" w:cs="Arial"/>
          <w:sz w:val="24"/>
          <w:szCs w:val="24"/>
        </w:rPr>
        <w:t xml:space="preserve">, respondents discussed whether </w:t>
      </w:r>
      <w:r w:rsidR="004B1160">
        <w:rPr>
          <w:rFonts w:ascii="Arial" w:hAnsi="Arial" w:cs="Arial"/>
          <w:sz w:val="24"/>
          <w:szCs w:val="24"/>
        </w:rPr>
        <w:t>f</w:t>
      </w:r>
      <w:r w:rsidR="00EC2973">
        <w:rPr>
          <w:rFonts w:ascii="Arial" w:hAnsi="Arial" w:cs="Arial"/>
          <w:sz w:val="24"/>
          <w:szCs w:val="24"/>
        </w:rPr>
        <w:t>ull EIA needed to be so widely used</w:t>
      </w:r>
      <w:r w:rsidR="00B95A6D">
        <w:rPr>
          <w:rFonts w:ascii="Arial" w:hAnsi="Arial" w:cs="Arial"/>
          <w:sz w:val="24"/>
          <w:szCs w:val="24"/>
        </w:rPr>
        <w:t>. The perception was that</w:t>
      </w:r>
      <w:r w:rsidR="00760B4D">
        <w:rPr>
          <w:rFonts w:ascii="Arial" w:hAnsi="Arial" w:cs="Arial"/>
          <w:sz w:val="24"/>
          <w:szCs w:val="24"/>
        </w:rPr>
        <w:t xml:space="preserve"> it:</w:t>
      </w:r>
    </w:p>
    <w:p w:rsidR="00760B4D" w:rsidRDefault="00760B4D" w:rsidP="00DF1FAE">
      <w:pPr>
        <w:rPr>
          <w:rFonts w:ascii="Arial" w:hAnsi="Arial" w:cs="Arial"/>
          <w:sz w:val="24"/>
          <w:szCs w:val="24"/>
        </w:rPr>
      </w:pPr>
    </w:p>
    <w:p w:rsidR="009C30D8" w:rsidRDefault="00760B4D" w:rsidP="009C30D8">
      <w:pPr>
        <w:ind w:left="567"/>
        <w:rPr>
          <w:rFonts w:ascii="Arial" w:hAnsi="Arial" w:cs="Arial"/>
          <w:sz w:val="24"/>
          <w:szCs w:val="24"/>
        </w:rPr>
      </w:pPr>
      <w:r>
        <w:rPr>
          <w:rFonts w:ascii="Arial" w:hAnsi="Arial" w:cs="Arial"/>
          <w:sz w:val="24"/>
          <w:szCs w:val="24"/>
        </w:rPr>
        <w:t xml:space="preserve">‘just bolts on an additional layer </w:t>
      </w:r>
      <w:r w:rsidR="00756A5E">
        <w:rPr>
          <w:rFonts w:ascii="Arial" w:hAnsi="Arial" w:cs="Arial"/>
          <w:sz w:val="24"/>
          <w:szCs w:val="24"/>
        </w:rPr>
        <w:t>of process</w:t>
      </w:r>
      <w:r>
        <w:rPr>
          <w:rFonts w:ascii="Arial" w:hAnsi="Arial" w:cs="Arial"/>
          <w:sz w:val="24"/>
          <w:szCs w:val="24"/>
        </w:rPr>
        <w:t xml:space="preserve"> that</w:t>
      </w:r>
      <w:r w:rsidR="005B2610">
        <w:rPr>
          <w:rFonts w:ascii="Arial" w:hAnsi="Arial" w:cs="Arial"/>
          <w:sz w:val="24"/>
          <w:szCs w:val="24"/>
        </w:rPr>
        <w:t xml:space="preserve"> frankly just si</w:t>
      </w:r>
      <w:r>
        <w:rPr>
          <w:rFonts w:ascii="Arial" w:hAnsi="Arial" w:cs="Arial"/>
          <w:sz w:val="24"/>
          <w:szCs w:val="24"/>
        </w:rPr>
        <w:t>ts</w:t>
      </w:r>
      <w:r w:rsidR="005B2610">
        <w:rPr>
          <w:rFonts w:ascii="Arial" w:hAnsi="Arial" w:cs="Arial"/>
          <w:sz w:val="24"/>
          <w:szCs w:val="24"/>
        </w:rPr>
        <w:t xml:space="preserve"> on top of the existing transparency arrangements</w:t>
      </w:r>
      <w:r>
        <w:rPr>
          <w:rFonts w:ascii="Arial" w:hAnsi="Arial" w:cs="Arial"/>
          <w:sz w:val="24"/>
          <w:szCs w:val="24"/>
        </w:rPr>
        <w:t xml:space="preserve"> that are at the heart of the </w:t>
      </w:r>
      <w:r w:rsidR="005B2610">
        <w:rPr>
          <w:rFonts w:ascii="Arial" w:hAnsi="Arial" w:cs="Arial"/>
          <w:sz w:val="24"/>
          <w:szCs w:val="24"/>
        </w:rPr>
        <w:t>planning</w:t>
      </w:r>
      <w:r>
        <w:rPr>
          <w:rFonts w:ascii="Arial" w:hAnsi="Arial" w:cs="Arial"/>
          <w:sz w:val="24"/>
          <w:szCs w:val="24"/>
        </w:rPr>
        <w:t xml:space="preserve"> system’</w:t>
      </w:r>
      <w:r w:rsidR="005B2610">
        <w:rPr>
          <w:rFonts w:ascii="Arial" w:hAnsi="Arial" w:cs="Arial"/>
          <w:sz w:val="24"/>
          <w:szCs w:val="24"/>
        </w:rPr>
        <w:t>.</w:t>
      </w:r>
    </w:p>
    <w:p w:rsidR="0038408C" w:rsidRDefault="0038408C" w:rsidP="00DF1FAE">
      <w:pPr>
        <w:rPr>
          <w:rFonts w:ascii="Arial" w:hAnsi="Arial" w:cs="Arial"/>
          <w:sz w:val="24"/>
          <w:szCs w:val="24"/>
        </w:rPr>
      </w:pPr>
    </w:p>
    <w:p w:rsidR="00A43E93" w:rsidRPr="00A43E93" w:rsidRDefault="00DF1FAE" w:rsidP="00A43E93">
      <w:pPr>
        <w:rPr>
          <w:rFonts w:ascii="Arial" w:hAnsi="Arial" w:cs="Arial"/>
          <w:sz w:val="24"/>
          <w:szCs w:val="24"/>
        </w:rPr>
      </w:pPr>
      <w:r>
        <w:rPr>
          <w:rFonts w:ascii="Arial" w:hAnsi="Arial" w:cs="Arial"/>
          <w:sz w:val="24"/>
          <w:szCs w:val="24"/>
        </w:rPr>
        <w:t>However, a marked and consistent feature of the da</w:t>
      </w:r>
      <w:r w:rsidR="00BC6FA7">
        <w:rPr>
          <w:rFonts w:ascii="Arial" w:hAnsi="Arial" w:cs="Arial"/>
          <w:sz w:val="24"/>
          <w:szCs w:val="24"/>
        </w:rPr>
        <w:t>ta was the way that</w:t>
      </w:r>
      <w:r w:rsidR="00800FA1">
        <w:rPr>
          <w:rFonts w:ascii="Arial" w:hAnsi="Arial" w:cs="Arial"/>
          <w:sz w:val="24"/>
          <w:szCs w:val="24"/>
        </w:rPr>
        <w:t xml:space="preserve"> </w:t>
      </w:r>
      <w:r w:rsidR="00AE2EA0">
        <w:rPr>
          <w:rFonts w:ascii="Arial" w:hAnsi="Arial" w:cs="Arial"/>
          <w:sz w:val="24"/>
          <w:szCs w:val="24"/>
        </w:rPr>
        <w:t xml:space="preserve">many </w:t>
      </w:r>
      <w:r w:rsidR="00BC6FA7">
        <w:rPr>
          <w:rFonts w:ascii="Arial" w:hAnsi="Arial" w:cs="Arial"/>
          <w:sz w:val="24"/>
          <w:szCs w:val="24"/>
        </w:rPr>
        <w:t xml:space="preserve">respondents </w:t>
      </w:r>
      <w:r w:rsidR="000919C1">
        <w:rPr>
          <w:rFonts w:ascii="Arial" w:hAnsi="Arial" w:cs="Arial"/>
          <w:sz w:val="24"/>
          <w:szCs w:val="24"/>
        </w:rPr>
        <w:t>recognised</w:t>
      </w:r>
      <w:r>
        <w:rPr>
          <w:rFonts w:ascii="Arial" w:hAnsi="Arial" w:cs="Arial"/>
          <w:sz w:val="24"/>
          <w:szCs w:val="24"/>
        </w:rPr>
        <w:t xml:space="preserve"> the limits to certain positions and </w:t>
      </w:r>
      <w:r w:rsidR="0038408C">
        <w:rPr>
          <w:rFonts w:ascii="Arial" w:hAnsi="Arial" w:cs="Arial"/>
          <w:sz w:val="24"/>
          <w:szCs w:val="24"/>
        </w:rPr>
        <w:t>presented counter</w:t>
      </w:r>
      <w:r w:rsidR="00A60B1A">
        <w:rPr>
          <w:rFonts w:ascii="Arial" w:hAnsi="Arial" w:cs="Arial"/>
          <w:sz w:val="24"/>
          <w:szCs w:val="24"/>
        </w:rPr>
        <w:t>-</w:t>
      </w:r>
      <w:r w:rsidR="00800FA1">
        <w:rPr>
          <w:rFonts w:ascii="Arial" w:hAnsi="Arial" w:cs="Arial"/>
          <w:sz w:val="24"/>
          <w:szCs w:val="24"/>
        </w:rPr>
        <w:t>arguments</w:t>
      </w:r>
      <w:r w:rsidR="0038408C">
        <w:rPr>
          <w:rFonts w:ascii="Arial" w:hAnsi="Arial" w:cs="Arial"/>
          <w:sz w:val="24"/>
          <w:szCs w:val="24"/>
        </w:rPr>
        <w:t xml:space="preserve">. One recurring illustration was the </w:t>
      </w:r>
      <w:r w:rsidRPr="00DF1FAE">
        <w:rPr>
          <w:rFonts w:ascii="Arial" w:hAnsi="Arial" w:cs="Arial"/>
          <w:sz w:val="24"/>
          <w:szCs w:val="24"/>
        </w:rPr>
        <w:t xml:space="preserve">trade-offs inherent in the </w:t>
      </w:r>
      <w:r w:rsidR="00BC6FA7">
        <w:rPr>
          <w:rFonts w:ascii="Arial" w:hAnsi="Arial" w:cs="Arial"/>
          <w:sz w:val="24"/>
          <w:szCs w:val="24"/>
        </w:rPr>
        <w:t>c</w:t>
      </w:r>
      <w:r w:rsidR="00473F49">
        <w:rPr>
          <w:rFonts w:ascii="Arial" w:hAnsi="Arial" w:cs="Arial"/>
          <w:sz w:val="24"/>
          <w:szCs w:val="24"/>
        </w:rPr>
        <w:t>onstructing</w:t>
      </w:r>
      <w:r w:rsidR="00BC6FA7">
        <w:rPr>
          <w:rFonts w:ascii="Arial" w:hAnsi="Arial" w:cs="Arial"/>
          <w:sz w:val="24"/>
          <w:szCs w:val="24"/>
        </w:rPr>
        <w:t xml:space="preserve"> </w:t>
      </w:r>
      <w:r w:rsidR="005B2610">
        <w:rPr>
          <w:rFonts w:ascii="Arial" w:hAnsi="Arial" w:cs="Arial"/>
          <w:sz w:val="24"/>
          <w:szCs w:val="24"/>
        </w:rPr>
        <w:t xml:space="preserve">formal, </w:t>
      </w:r>
      <w:r w:rsidR="00BC6FA7">
        <w:rPr>
          <w:rFonts w:ascii="Arial" w:hAnsi="Arial" w:cs="Arial"/>
          <w:sz w:val="24"/>
          <w:szCs w:val="24"/>
        </w:rPr>
        <w:t>standardised, EU</w:t>
      </w:r>
      <w:r w:rsidRPr="00DF1FAE">
        <w:rPr>
          <w:rFonts w:ascii="Arial" w:hAnsi="Arial" w:cs="Arial"/>
          <w:sz w:val="24"/>
          <w:szCs w:val="24"/>
        </w:rPr>
        <w:t xml:space="preserve"> rules. For some, this created interpre</w:t>
      </w:r>
      <w:r w:rsidR="00072346">
        <w:rPr>
          <w:rFonts w:ascii="Arial" w:hAnsi="Arial" w:cs="Arial"/>
          <w:sz w:val="24"/>
          <w:szCs w:val="24"/>
        </w:rPr>
        <w:t>ta</w:t>
      </w:r>
      <w:r w:rsidRPr="00DF1FAE">
        <w:rPr>
          <w:rFonts w:ascii="Arial" w:hAnsi="Arial" w:cs="Arial"/>
          <w:sz w:val="24"/>
          <w:szCs w:val="24"/>
        </w:rPr>
        <w:t>t</w:t>
      </w:r>
      <w:r w:rsidR="00BC6FA7">
        <w:rPr>
          <w:rFonts w:ascii="Arial" w:hAnsi="Arial" w:cs="Arial"/>
          <w:sz w:val="24"/>
          <w:szCs w:val="24"/>
        </w:rPr>
        <w:t>ive difficulties in applying cross</w:t>
      </w:r>
      <w:r w:rsidRPr="00DF1FAE">
        <w:rPr>
          <w:rFonts w:ascii="Arial" w:hAnsi="Arial" w:cs="Arial"/>
          <w:sz w:val="24"/>
          <w:szCs w:val="24"/>
        </w:rPr>
        <w:t xml:space="preserve">-European requirements to the specific characteristics of the UK planning system, to different categories of development (each with their own regulations) </w:t>
      </w:r>
      <w:r w:rsidR="004B1160">
        <w:rPr>
          <w:rFonts w:ascii="Arial" w:hAnsi="Arial" w:cs="Arial"/>
          <w:sz w:val="24"/>
          <w:szCs w:val="24"/>
        </w:rPr>
        <w:t>or to the diversity of local</w:t>
      </w:r>
      <w:r w:rsidRPr="00DF1FAE">
        <w:rPr>
          <w:rFonts w:ascii="Arial" w:hAnsi="Arial" w:cs="Arial"/>
          <w:sz w:val="24"/>
          <w:szCs w:val="24"/>
        </w:rPr>
        <w:t xml:space="preserve"> circumstances.  EU l</w:t>
      </w:r>
      <w:r w:rsidR="004F2DB1">
        <w:rPr>
          <w:rFonts w:ascii="Arial" w:hAnsi="Arial" w:cs="Arial"/>
          <w:sz w:val="24"/>
          <w:szCs w:val="24"/>
        </w:rPr>
        <w:t>aws</w:t>
      </w:r>
      <w:r w:rsidRPr="00DF1FAE">
        <w:rPr>
          <w:rFonts w:ascii="Arial" w:hAnsi="Arial" w:cs="Arial"/>
          <w:sz w:val="24"/>
          <w:szCs w:val="24"/>
        </w:rPr>
        <w:t xml:space="preserve"> </w:t>
      </w:r>
      <w:r w:rsidR="00800FA1">
        <w:rPr>
          <w:rFonts w:ascii="Arial" w:hAnsi="Arial" w:cs="Arial"/>
          <w:sz w:val="24"/>
          <w:szCs w:val="24"/>
        </w:rPr>
        <w:t xml:space="preserve">were </w:t>
      </w:r>
      <w:r w:rsidR="005A0F0C">
        <w:rPr>
          <w:rFonts w:ascii="Arial" w:hAnsi="Arial" w:cs="Arial"/>
          <w:sz w:val="24"/>
          <w:szCs w:val="24"/>
        </w:rPr>
        <w:t>re</w:t>
      </w:r>
      <w:r w:rsidR="00800FA1">
        <w:rPr>
          <w:rFonts w:ascii="Arial" w:hAnsi="Arial" w:cs="Arial"/>
          <w:sz w:val="24"/>
          <w:szCs w:val="24"/>
        </w:rPr>
        <w:t xml:space="preserve">presented as </w:t>
      </w:r>
      <w:r w:rsidRPr="00DF1FAE">
        <w:rPr>
          <w:rFonts w:ascii="Arial" w:hAnsi="Arial" w:cs="Arial"/>
          <w:sz w:val="24"/>
          <w:szCs w:val="24"/>
        </w:rPr>
        <w:t>‘one size fits all’ procedures (such as the tests for the Habitats Directive)</w:t>
      </w:r>
      <w:r w:rsidR="00B95A6D">
        <w:rPr>
          <w:rFonts w:ascii="Arial" w:hAnsi="Arial" w:cs="Arial"/>
          <w:sz w:val="24"/>
          <w:szCs w:val="24"/>
        </w:rPr>
        <w:t>, and</w:t>
      </w:r>
      <w:r w:rsidRPr="00DF1FAE">
        <w:rPr>
          <w:rFonts w:ascii="Arial" w:hAnsi="Arial" w:cs="Arial"/>
          <w:sz w:val="24"/>
          <w:szCs w:val="24"/>
        </w:rPr>
        <w:t xml:space="preserve"> as </w:t>
      </w:r>
      <w:r w:rsidR="00072346">
        <w:rPr>
          <w:rFonts w:ascii="Arial" w:hAnsi="Arial" w:cs="Arial"/>
          <w:sz w:val="24"/>
          <w:szCs w:val="24"/>
        </w:rPr>
        <w:t>disproportionate</w:t>
      </w:r>
      <w:r w:rsidRPr="00DF1FAE">
        <w:rPr>
          <w:rFonts w:ascii="Arial" w:hAnsi="Arial" w:cs="Arial"/>
          <w:sz w:val="24"/>
          <w:szCs w:val="24"/>
        </w:rPr>
        <w:t xml:space="preserve"> when applied to ‘the small’ – i.e. projects or decisions per</w:t>
      </w:r>
      <w:r w:rsidR="00DB616D">
        <w:rPr>
          <w:rFonts w:ascii="Arial" w:hAnsi="Arial" w:cs="Arial"/>
          <w:sz w:val="24"/>
          <w:szCs w:val="24"/>
        </w:rPr>
        <w:t>ceived to be small in size or</w:t>
      </w:r>
      <w:r w:rsidRPr="00DF1FAE">
        <w:rPr>
          <w:rFonts w:ascii="Arial" w:hAnsi="Arial" w:cs="Arial"/>
          <w:sz w:val="24"/>
          <w:szCs w:val="24"/>
        </w:rPr>
        <w:t xml:space="preserve"> li</w:t>
      </w:r>
      <w:r w:rsidR="0038408C">
        <w:rPr>
          <w:rFonts w:ascii="Arial" w:hAnsi="Arial" w:cs="Arial"/>
          <w:sz w:val="24"/>
          <w:szCs w:val="24"/>
        </w:rPr>
        <w:t xml:space="preserve">kely </w:t>
      </w:r>
      <w:r w:rsidR="00DB616D">
        <w:rPr>
          <w:rFonts w:ascii="Arial" w:hAnsi="Arial" w:cs="Arial"/>
          <w:sz w:val="24"/>
          <w:szCs w:val="24"/>
        </w:rPr>
        <w:t xml:space="preserve">to have negligible adverse </w:t>
      </w:r>
      <w:r w:rsidR="0038408C">
        <w:rPr>
          <w:rFonts w:ascii="Arial" w:hAnsi="Arial" w:cs="Arial"/>
          <w:sz w:val="24"/>
          <w:szCs w:val="24"/>
        </w:rPr>
        <w:t>effects.</w:t>
      </w:r>
      <w:r w:rsidR="007C654E">
        <w:rPr>
          <w:rFonts w:ascii="Arial" w:hAnsi="Arial" w:cs="Arial"/>
          <w:sz w:val="24"/>
          <w:szCs w:val="24"/>
        </w:rPr>
        <w:t xml:space="preserve"> </w:t>
      </w:r>
      <w:r w:rsidR="0038408C">
        <w:rPr>
          <w:rFonts w:ascii="Arial" w:hAnsi="Arial" w:cs="Arial"/>
          <w:sz w:val="24"/>
          <w:szCs w:val="24"/>
        </w:rPr>
        <w:t>But</w:t>
      </w:r>
      <w:r w:rsidR="00A60B1A">
        <w:rPr>
          <w:rFonts w:ascii="Arial" w:hAnsi="Arial" w:cs="Arial"/>
          <w:sz w:val="24"/>
          <w:szCs w:val="24"/>
        </w:rPr>
        <w:t>,</w:t>
      </w:r>
      <w:r w:rsidR="0038408C">
        <w:rPr>
          <w:rFonts w:ascii="Arial" w:hAnsi="Arial" w:cs="Arial"/>
          <w:sz w:val="24"/>
          <w:szCs w:val="24"/>
        </w:rPr>
        <w:t xml:space="preserve"> r</w:t>
      </w:r>
      <w:r w:rsidRPr="00DF1FAE">
        <w:rPr>
          <w:rFonts w:ascii="Arial" w:hAnsi="Arial" w:cs="Arial"/>
          <w:sz w:val="24"/>
          <w:szCs w:val="24"/>
        </w:rPr>
        <w:t>espondents also recognised risks in such lines of thinking</w:t>
      </w:r>
      <w:r w:rsidR="00373DAC">
        <w:rPr>
          <w:rFonts w:ascii="Arial" w:hAnsi="Arial" w:cs="Arial"/>
          <w:sz w:val="24"/>
          <w:szCs w:val="24"/>
        </w:rPr>
        <w:t>. N</w:t>
      </w:r>
      <w:r w:rsidRPr="00DF1FAE">
        <w:rPr>
          <w:rFonts w:ascii="Arial" w:hAnsi="Arial" w:cs="Arial"/>
          <w:sz w:val="24"/>
          <w:szCs w:val="24"/>
        </w:rPr>
        <w:t>otionally small projects</w:t>
      </w:r>
      <w:r w:rsidR="00373DAC">
        <w:rPr>
          <w:rFonts w:ascii="Arial" w:hAnsi="Arial" w:cs="Arial"/>
          <w:sz w:val="24"/>
          <w:szCs w:val="24"/>
        </w:rPr>
        <w:t xml:space="preserve"> were observed to still have the potential for</w:t>
      </w:r>
      <w:r w:rsidRPr="00DF1FAE">
        <w:rPr>
          <w:rFonts w:ascii="Arial" w:hAnsi="Arial" w:cs="Arial"/>
          <w:sz w:val="24"/>
          <w:szCs w:val="24"/>
        </w:rPr>
        <w:t xml:space="preserve"> major environmental effects, ether individually or cumulatively, which needed to be considered</w:t>
      </w:r>
      <w:r w:rsidR="00373DAC">
        <w:rPr>
          <w:rFonts w:ascii="Arial" w:hAnsi="Arial" w:cs="Arial"/>
          <w:sz w:val="24"/>
          <w:szCs w:val="24"/>
        </w:rPr>
        <w:t xml:space="preserve">. </w:t>
      </w:r>
      <w:r w:rsidR="0038408C">
        <w:rPr>
          <w:rFonts w:ascii="Arial" w:hAnsi="Arial" w:cs="Arial"/>
          <w:sz w:val="24"/>
          <w:szCs w:val="24"/>
        </w:rPr>
        <w:t>H</w:t>
      </w:r>
      <w:r w:rsidR="0038408C" w:rsidRPr="00DF1FAE">
        <w:rPr>
          <w:rFonts w:ascii="Arial" w:hAnsi="Arial" w:cs="Arial"/>
          <w:sz w:val="24"/>
          <w:szCs w:val="24"/>
        </w:rPr>
        <w:t>aving standardised, formal regulatory requirements was seen as driving consistency of practice across local authorities</w:t>
      </w:r>
      <w:r w:rsidR="00A43E93">
        <w:rPr>
          <w:rFonts w:ascii="Arial" w:hAnsi="Arial" w:cs="Arial"/>
          <w:sz w:val="24"/>
          <w:szCs w:val="24"/>
        </w:rPr>
        <w:t xml:space="preserve"> and in national implementation.</w:t>
      </w:r>
      <w:r w:rsidR="0038408C" w:rsidRPr="00DF1FAE">
        <w:rPr>
          <w:rFonts w:ascii="Arial" w:hAnsi="Arial" w:cs="Arial"/>
          <w:sz w:val="24"/>
          <w:szCs w:val="24"/>
        </w:rPr>
        <w:t xml:space="preserve"> Indeed, this was</w:t>
      </w:r>
      <w:r w:rsidR="004B1160">
        <w:rPr>
          <w:rFonts w:ascii="Arial" w:hAnsi="Arial" w:cs="Arial"/>
          <w:sz w:val="24"/>
          <w:szCs w:val="24"/>
        </w:rPr>
        <w:t xml:space="preserve"> a common perception of</w:t>
      </w:r>
      <w:r w:rsidR="0038408C" w:rsidRPr="00DF1FAE">
        <w:rPr>
          <w:rFonts w:ascii="Arial" w:hAnsi="Arial" w:cs="Arial"/>
          <w:sz w:val="24"/>
          <w:szCs w:val="24"/>
        </w:rPr>
        <w:t xml:space="preserve"> the value of EU legislation for procedures – that </w:t>
      </w:r>
      <w:r w:rsidR="00A9629F">
        <w:rPr>
          <w:rFonts w:ascii="Arial" w:hAnsi="Arial" w:cs="Arial"/>
          <w:sz w:val="24"/>
          <w:szCs w:val="24"/>
        </w:rPr>
        <w:t>it</w:t>
      </w:r>
      <w:r w:rsidR="0038408C" w:rsidRPr="00DF1FAE">
        <w:rPr>
          <w:rFonts w:ascii="Arial" w:hAnsi="Arial" w:cs="Arial"/>
          <w:sz w:val="24"/>
          <w:szCs w:val="24"/>
        </w:rPr>
        <w:t xml:space="preserve"> created consistency, across time and space, and across planning contexts where</w:t>
      </w:r>
      <w:r w:rsidR="000629B6">
        <w:rPr>
          <w:rFonts w:ascii="Arial" w:hAnsi="Arial" w:cs="Arial"/>
          <w:sz w:val="24"/>
          <w:szCs w:val="24"/>
        </w:rPr>
        <w:t xml:space="preserve"> the weight given to</w:t>
      </w:r>
      <w:r w:rsidR="0038408C" w:rsidRPr="00DF1FAE">
        <w:rPr>
          <w:rFonts w:ascii="Arial" w:hAnsi="Arial" w:cs="Arial"/>
          <w:sz w:val="24"/>
          <w:szCs w:val="24"/>
        </w:rPr>
        <w:t xml:space="preserve"> environmental </w:t>
      </w:r>
      <w:r w:rsidR="000629B6">
        <w:rPr>
          <w:rFonts w:ascii="Arial" w:hAnsi="Arial" w:cs="Arial"/>
          <w:sz w:val="24"/>
          <w:szCs w:val="24"/>
        </w:rPr>
        <w:t>concern</w:t>
      </w:r>
      <w:r w:rsidR="00A60B1A">
        <w:rPr>
          <w:rFonts w:ascii="Arial" w:hAnsi="Arial" w:cs="Arial"/>
          <w:sz w:val="24"/>
          <w:szCs w:val="24"/>
        </w:rPr>
        <w:t>s</w:t>
      </w:r>
      <w:r w:rsidR="00BC6FA7">
        <w:rPr>
          <w:rFonts w:ascii="Arial" w:hAnsi="Arial" w:cs="Arial"/>
          <w:sz w:val="24"/>
          <w:szCs w:val="24"/>
        </w:rPr>
        <w:t xml:space="preserve"> could vary significantly.</w:t>
      </w:r>
      <w:r w:rsidR="00AE2EA0">
        <w:rPr>
          <w:rFonts w:ascii="Arial" w:hAnsi="Arial" w:cs="Arial"/>
          <w:sz w:val="24"/>
          <w:szCs w:val="24"/>
        </w:rPr>
        <w:t xml:space="preserve"> </w:t>
      </w:r>
      <w:r w:rsidR="00CE528C">
        <w:rPr>
          <w:rFonts w:ascii="Arial" w:hAnsi="Arial" w:cs="Arial"/>
          <w:sz w:val="24"/>
          <w:szCs w:val="24"/>
        </w:rPr>
        <w:t xml:space="preserve"> </w:t>
      </w:r>
      <w:r w:rsidR="00A43E93" w:rsidRPr="00A43E93">
        <w:rPr>
          <w:rFonts w:ascii="Arial" w:hAnsi="Arial" w:cs="Arial"/>
          <w:sz w:val="24"/>
          <w:szCs w:val="24"/>
        </w:rPr>
        <w:t xml:space="preserve">Arguments for consistency </w:t>
      </w:r>
      <w:r w:rsidR="005B2610">
        <w:rPr>
          <w:rFonts w:ascii="Arial" w:hAnsi="Arial" w:cs="Arial"/>
          <w:sz w:val="24"/>
          <w:szCs w:val="24"/>
        </w:rPr>
        <w:t xml:space="preserve">based on EU regulatory standards </w:t>
      </w:r>
      <w:r w:rsidR="00A43E93" w:rsidRPr="00A43E93">
        <w:rPr>
          <w:rFonts w:ascii="Arial" w:hAnsi="Arial" w:cs="Arial"/>
          <w:sz w:val="24"/>
          <w:szCs w:val="24"/>
        </w:rPr>
        <w:t>also came from economic sectors like the minerals industry</w:t>
      </w:r>
      <w:r w:rsidR="005B2610">
        <w:rPr>
          <w:rFonts w:ascii="Arial" w:hAnsi="Arial" w:cs="Arial"/>
          <w:sz w:val="24"/>
          <w:szCs w:val="24"/>
        </w:rPr>
        <w:t xml:space="preserve">, keen to maintain </w:t>
      </w:r>
      <w:r w:rsidR="005B2610" w:rsidRPr="00A43E93">
        <w:rPr>
          <w:rFonts w:ascii="Arial" w:hAnsi="Arial" w:cs="Arial"/>
          <w:sz w:val="24"/>
          <w:szCs w:val="24"/>
        </w:rPr>
        <w:t>frictionless, cross-border trade</w:t>
      </w:r>
      <w:r w:rsidR="005B2610">
        <w:rPr>
          <w:rFonts w:ascii="Arial" w:hAnsi="Arial" w:cs="Arial"/>
          <w:sz w:val="24"/>
          <w:szCs w:val="24"/>
        </w:rPr>
        <w:t xml:space="preserve"> and </w:t>
      </w:r>
      <w:r w:rsidR="00A43E93" w:rsidRPr="00A43E93">
        <w:rPr>
          <w:rFonts w:ascii="Arial" w:hAnsi="Arial" w:cs="Arial"/>
          <w:sz w:val="24"/>
          <w:szCs w:val="24"/>
        </w:rPr>
        <w:t>prevent undercutting</w:t>
      </w:r>
      <w:r w:rsidR="003767E1">
        <w:rPr>
          <w:rFonts w:ascii="Arial" w:hAnsi="Arial" w:cs="Arial"/>
          <w:sz w:val="24"/>
          <w:szCs w:val="24"/>
        </w:rPr>
        <w:t>: ‘we need this regulation to protect legitimate, responsible companies’.</w:t>
      </w:r>
    </w:p>
    <w:p w:rsidR="00A43E93" w:rsidRPr="00A43E93" w:rsidRDefault="00A43E93" w:rsidP="00A43E93">
      <w:pPr>
        <w:rPr>
          <w:rFonts w:ascii="Arial" w:hAnsi="Arial" w:cs="Arial"/>
          <w:sz w:val="24"/>
          <w:szCs w:val="24"/>
        </w:rPr>
      </w:pPr>
    </w:p>
    <w:p w:rsidR="00622268" w:rsidRDefault="00A43E93" w:rsidP="00A43E93">
      <w:pPr>
        <w:rPr>
          <w:rFonts w:ascii="Arial" w:hAnsi="Arial" w:cs="Arial"/>
          <w:sz w:val="24"/>
          <w:szCs w:val="24"/>
        </w:rPr>
      </w:pPr>
      <w:r w:rsidRPr="00A43E93">
        <w:rPr>
          <w:rFonts w:ascii="Arial" w:hAnsi="Arial" w:cs="Arial"/>
          <w:sz w:val="24"/>
          <w:szCs w:val="24"/>
        </w:rPr>
        <w:t xml:space="preserve">The issue of consistency </w:t>
      </w:r>
      <w:r w:rsidR="00072346">
        <w:rPr>
          <w:rFonts w:ascii="Arial" w:hAnsi="Arial" w:cs="Arial"/>
          <w:sz w:val="24"/>
          <w:szCs w:val="24"/>
        </w:rPr>
        <w:t>featured in discussions about</w:t>
      </w:r>
      <w:r w:rsidRPr="00A43E93">
        <w:rPr>
          <w:rFonts w:ascii="Arial" w:hAnsi="Arial" w:cs="Arial"/>
          <w:sz w:val="24"/>
          <w:szCs w:val="24"/>
        </w:rPr>
        <w:t xml:space="preserve"> the relationship between environmental legislation and planning acro</w:t>
      </w:r>
      <w:r w:rsidR="00DB616D">
        <w:rPr>
          <w:rFonts w:ascii="Arial" w:hAnsi="Arial" w:cs="Arial"/>
          <w:sz w:val="24"/>
          <w:szCs w:val="24"/>
        </w:rPr>
        <w:t>ss the devolved nations. R</w:t>
      </w:r>
      <w:r w:rsidRPr="00A43E93">
        <w:rPr>
          <w:rFonts w:ascii="Arial" w:hAnsi="Arial" w:cs="Arial"/>
          <w:sz w:val="24"/>
          <w:szCs w:val="24"/>
        </w:rPr>
        <w:t>espondents</w:t>
      </w:r>
      <w:r w:rsidR="00CE528C">
        <w:rPr>
          <w:rFonts w:ascii="Arial" w:hAnsi="Arial" w:cs="Arial"/>
          <w:sz w:val="24"/>
          <w:szCs w:val="24"/>
        </w:rPr>
        <w:t xml:space="preserve"> </w:t>
      </w:r>
      <w:r w:rsidRPr="00A43E93">
        <w:rPr>
          <w:rFonts w:ascii="Arial" w:hAnsi="Arial" w:cs="Arial"/>
          <w:sz w:val="24"/>
          <w:szCs w:val="24"/>
        </w:rPr>
        <w:t xml:space="preserve">reported that divergence in planning approaches arising from devolution was an established fact, and that there were </w:t>
      </w:r>
      <w:r w:rsidR="00797495">
        <w:rPr>
          <w:rFonts w:ascii="Arial" w:hAnsi="Arial" w:cs="Arial"/>
          <w:sz w:val="24"/>
          <w:szCs w:val="24"/>
        </w:rPr>
        <w:t>advantages to allowing</w:t>
      </w:r>
      <w:r w:rsidRPr="00A43E93">
        <w:rPr>
          <w:rFonts w:ascii="Arial" w:hAnsi="Arial" w:cs="Arial"/>
          <w:sz w:val="24"/>
          <w:szCs w:val="24"/>
        </w:rPr>
        <w:t xml:space="preserve"> parts of the UK to demonstrate best practice and </w:t>
      </w:r>
      <w:r w:rsidR="002215ED">
        <w:rPr>
          <w:rFonts w:ascii="Arial" w:hAnsi="Arial" w:cs="Arial"/>
          <w:sz w:val="24"/>
          <w:szCs w:val="24"/>
        </w:rPr>
        <w:t>adopt</w:t>
      </w:r>
      <w:r w:rsidRPr="00A43E93">
        <w:rPr>
          <w:rFonts w:ascii="Arial" w:hAnsi="Arial" w:cs="Arial"/>
          <w:sz w:val="24"/>
          <w:szCs w:val="24"/>
        </w:rPr>
        <w:t xml:space="preserve"> locally-appropriate solutions. However, at the same time it was recognised that</w:t>
      </w:r>
      <w:r w:rsidR="00DB616D">
        <w:rPr>
          <w:rFonts w:ascii="Arial" w:hAnsi="Arial" w:cs="Arial"/>
          <w:sz w:val="24"/>
          <w:szCs w:val="24"/>
        </w:rPr>
        <w:t xml:space="preserve">, </w:t>
      </w:r>
      <w:r w:rsidR="00797495">
        <w:rPr>
          <w:rFonts w:ascii="Arial" w:hAnsi="Arial" w:cs="Arial"/>
          <w:sz w:val="24"/>
          <w:szCs w:val="24"/>
        </w:rPr>
        <w:t>as the UK left the EU</w:t>
      </w:r>
      <w:r w:rsidR="00DB616D">
        <w:rPr>
          <w:rFonts w:ascii="Arial" w:hAnsi="Arial" w:cs="Arial"/>
          <w:sz w:val="24"/>
          <w:szCs w:val="24"/>
        </w:rPr>
        <w:t>,</w:t>
      </w:r>
      <w:r w:rsidRPr="00A43E93">
        <w:rPr>
          <w:rFonts w:ascii="Arial" w:hAnsi="Arial" w:cs="Arial"/>
          <w:sz w:val="24"/>
          <w:szCs w:val="24"/>
        </w:rPr>
        <w:t xml:space="preserve"> </w:t>
      </w:r>
      <w:r w:rsidR="00797495">
        <w:rPr>
          <w:rFonts w:ascii="Arial" w:hAnsi="Arial" w:cs="Arial"/>
          <w:sz w:val="24"/>
          <w:szCs w:val="24"/>
        </w:rPr>
        <w:t xml:space="preserve">consistent cross-UK approaches and collaboration </w:t>
      </w:r>
      <w:r w:rsidRPr="00A43E93">
        <w:rPr>
          <w:rFonts w:ascii="Arial" w:hAnsi="Arial" w:cs="Arial"/>
          <w:sz w:val="24"/>
          <w:szCs w:val="24"/>
        </w:rPr>
        <w:t xml:space="preserve">would </w:t>
      </w:r>
      <w:r w:rsidR="00797495">
        <w:rPr>
          <w:rFonts w:ascii="Arial" w:hAnsi="Arial" w:cs="Arial"/>
          <w:sz w:val="24"/>
          <w:szCs w:val="24"/>
        </w:rPr>
        <w:t>remain</w:t>
      </w:r>
      <w:r w:rsidRPr="00A43E93">
        <w:rPr>
          <w:rFonts w:ascii="Arial" w:hAnsi="Arial" w:cs="Arial"/>
          <w:sz w:val="24"/>
          <w:szCs w:val="24"/>
        </w:rPr>
        <w:t xml:space="preserve"> </w:t>
      </w:r>
      <w:r w:rsidR="00473F49">
        <w:rPr>
          <w:rFonts w:ascii="Arial" w:hAnsi="Arial" w:cs="Arial"/>
          <w:sz w:val="24"/>
          <w:szCs w:val="24"/>
        </w:rPr>
        <w:t xml:space="preserve">very </w:t>
      </w:r>
      <w:r w:rsidRPr="00A43E93">
        <w:rPr>
          <w:rFonts w:ascii="Arial" w:hAnsi="Arial" w:cs="Arial"/>
          <w:sz w:val="24"/>
          <w:szCs w:val="24"/>
        </w:rPr>
        <w:t>desirable, for example in addressing cross-boundary problems of an environmental or environment-trade nature, making things simple for developers and avoiding</w:t>
      </w:r>
      <w:r w:rsidR="00B95A6D">
        <w:rPr>
          <w:rFonts w:ascii="Arial" w:hAnsi="Arial" w:cs="Arial"/>
          <w:sz w:val="24"/>
          <w:szCs w:val="24"/>
        </w:rPr>
        <w:t xml:space="preserve"> a</w:t>
      </w:r>
      <w:r w:rsidRPr="00A43E93">
        <w:rPr>
          <w:rFonts w:ascii="Arial" w:hAnsi="Arial" w:cs="Arial"/>
          <w:sz w:val="24"/>
          <w:szCs w:val="24"/>
        </w:rPr>
        <w:t xml:space="preserve"> ‘race to the bottom’ </w:t>
      </w:r>
      <w:r w:rsidR="00B95A6D">
        <w:rPr>
          <w:rFonts w:ascii="Arial" w:hAnsi="Arial" w:cs="Arial"/>
          <w:sz w:val="24"/>
          <w:szCs w:val="24"/>
        </w:rPr>
        <w:t xml:space="preserve">of </w:t>
      </w:r>
      <w:r w:rsidR="00AE2EA0">
        <w:rPr>
          <w:rFonts w:ascii="Arial" w:hAnsi="Arial" w:cs="Arial"/>
          <w:sz w:val="24"/>
          <w:szCs w:val="24"/>
        </w:rPr>
        <w:t xml:space="preserve">competitive </w:t>
      </w:r>
      <w:r w:rsidRPr="00A43E93">
        <w:rPr>
          <w:rFonts w:ascii="Arial" w:hAnsi="Arial" w:cs="Arial"/>
          <w:sz w:val="24"/>
          <w:szCs w:val="24"/>
        </w:rPr>
        <w:t>deregulation.</w:t>
      </w:r>
    </w:p>
    <w:p w:rsidR="00622268" w:rsidRDefault="00622268" w:rsidP="00A43E93">
      <w:pPr>
        <w:rPr>
          <w:rFonts w:ascii="Arial" w:hAnsi="Arial" w:cs="Arial"/>
          <w:sz w:val="24"/>
          <w:szCs w:val="24"/>
        </w:rPr>
      </w:pPr>
    </w:p>
    <w:p w:rsidR="00A43E93" w:rsidRPr="00DE6FC3" w:rsidRDefault="00EB50DE" w:rsidP="00A43E93">
      <w:pPr>
        <w:rPr>
          <w:rFonts w:ascii="Times New Roman" w:hAnsi="Times New Roman" w:cs="Times New Roman"/>
          <w:sz w:val="24"/>
          <w:szCs w:val="24"/>
        </w:rPr>
      </w:pPr>
      <w:r>
        <w:rPr>
          <w:rFonts w:ascii="Arial" w:hAnsi="Arial" w:cs="Arial"/>
          <w:sz w:val="24"/>
          <w:szCs w:val="24"/>
        </w:rPr>
        <w:t>Interestingly, w</w:t>
      </w:r>
      <w:r w:rsidR="00622268">
        <w:rPr>
          <w:rFonts w:ascii="Arial" w:hAnsi="Arial" w:cs="Arial"/>
          <w:sz w:val="24"/>
          <w:szCs w:val="24"/>
        </w:rPr>
        <w:t xml:space="preserve">hen </w:t>
      </w:r>
      <w:r>
        <w:rPr>
          <w:rFonts w:ascii="Arial" w:hAnsi="Arial" w:cs="Arial"/>
          <w:sz w:val="24"/>
          <w:szCs w:val="24"/>
        </w:rPr>
        <w:t xml:space="preserve">the planning-environment interface is </w:t>
      </w:r>
      <w:r w:rsidR="00622268">
        <w:rPr>
          <w:rFonts w:ascii="Arial" w:hAnsi="Arial" w:cs="Arial"/>
          <w:sz w:val="24"/>
          <w:szCs w:val="24"/>
        </w:rPr>
        <w:t xml:space="preserve">viewed </w:t>
      </w:r>
      <w:r w:rsidR="004F2DB1">
        <w:rPr>
          <w:rFonts w:ascii="Arial" w:hAnsi="Arial" w:cs="Arial"/>
          <w:sz w:val="24"/>
          <w:szCs w:val="24"/>
        </w:rPr>
        <w:t>through</w:t>
      </w:r>
      <w:r w:rsidR="00622268">
        <w:rPr>
          <w:rFonts w:ascii="Arial" w:hAnsi="Arial" w:cs="Arial"/>
          <w:sz w:val="24"/>
          <w:szCs w:val="24"/>
        </w:rPr>
        <w:t xml:space="preserve"> practitioners’ perspectives, the notion of clear regulatory styles starts to blur.</w:t>
      </w:r>
      <w:r w:rsidR="00631C04">
        <w:rPr>
          <w:rFonts w:ascii="Arial" w:hAnsi="Arial" w:cs="Arial"/>
          <w:sz w:val="24"/>
          <w:szCs w:val="24"/>
        </w:rPr>
        <w:t xml:space="preserve"> The qualitative data indicated how the effects exerted by a regulatory style – procedurally and substantively – reflect the social and political processes shaping ru</w:t>
      </w:r>
      <w:r w:rsidR="00885311">
        <w:rPr>
          <w:rFonts w:ascii="Arial" w:hAnsi="Arial" w:cs="Arial"/>
          <w:sz w:val="24"/>
          <w:szCs w:val="24"/>
        </w:rPr>
        <w:t>les in practice, rather than just the</w:t>
      </w:r>
      <w:r w:rsidR="00631C04">
        <w:rPr>
          <w:rFonts w:ascii="Arial" w:hAnsi="Arial" w:cs="Arial"/>
          <w:sz w:val="24"/>
          <w:szCs w:val="24"/>
        </w:rPr>
        <w:t xml:space="preserve"> innate, formal properties. </w:t>
      </w:r>
      <w:r w:rsidR="00622268">
        <w:rPr>
          <w:rFonts w:ascii="Arial" w:hAnsi="Arial" w:cs="Arial"/>
          <w:sz w:val="24"/>
          <w:szCs w:val="24"/>
        </w:rPr>
        <w:t xml:space="preserve"> </w:t>
      </w:r>
      <w:r w:rsidR="00DE6FC3">
        <w:rPr>
          <w:rFonts w:ascii="Arial" w:hAnsi="Arial" w:cs="Arial"/>
          <w:sz w:val="24"/>
          <w:szCs w:val="24"/>
        </w:rPr>
        <w:t>Conse</w:t>
      </w:r>
      <w:r w:rsidR="005A0F0C">
        <w:rPr>
          <w:rFonts w:ascii="Arial" w:hAnsi="Arial" w:cs="Arial"/>
          <w:sz w:val="24"/>
          <w:szCs w:val="24"/>
        </w:rPr>
        <w:t>q</w:t>
      </w:r>
      <w:r w:rsidR="00DE6FC3">
        <w:rPr>
          <w:rFonts w:ascii="Arial" w:hAnsi="Arial" w:cs="Arial"/>
          <w:sz w:val="24"/>
          <w:szCs w:val="24"/>
        </w:rPr>
        <w:t xml:space="preserve">uently,  </w:t>
      </w:r>
      <w:r w:rsidR="00622268">
        <w:rPr>
          <w:rFonts w:ascii="Arial" w:hAnsi="Arial" w:cs="Arial"/>
          <w:sz w:val="24"/>
          <w:szCs w:val="24"/>
        </w:rPr>
        <w:t xml:space="preserve">respondents rarely blamed any difficulties they experienced </w:t>
      </w:r>
      <w:r w:rsidR="00DE6FC3">
        <w:rPr>
          <w:rFonts w:ascii="Arial" w:hAnsi="Arial" w:cs="Arial"/>
          <w:sz w:val="24"/>
          <w:szCs w:val="24"/>
        </w:rPr>
        <w:t xml:space="preserve">at the interface between planning and </w:t>
      </w:r>
      <w:r w:rsidR="00622268">
        <w:rPr>
          <w:rFonts w:ascii="Arial" w:hAnsi="Arial" w:cs="Arial"/>
          <w:sz w:val="24"/>
          <w:szCs w:val="24"/>
        </w:rPr>
        <w:t xml:space="preserve"> EU-derived </w:t>
      </w:r>
      <w:r w:rsidR="00DE6FC3">
        <w:rPr>
          <w:rFonts w:ascii="Arial" w:hAnsi="Arial" w:cs="Arial"/>
          <w:sz w:val="24"/>
          <w:szCs w:val="24"/>
        </w:rPr>
        <w:t xml:space="preserve">environmental policy </w:t>
      </w:r>
      <w:r w:rsidR="00622268">
        <w:rPr>
          <w:rFonts w:ascii="Arial" w:hAnsi="Arial" w:cs="Arial"/>
          <w:sz w:val="24"/>
          <w:szCs w:val="24"/>
        </w:rPr>
        <w:t xml:space="preserve"> </w:t>
      </w:r>
      <w:r w:rsidR="00631C04">
        <w:rPr>
          <w:rFonts w:ascii="Arial" w:hAnsi="Arial" w:cs="Arial"/>
          <w:sz w:val="24"/>
          <w:szCs w:val="24"/>
        </w:rPr>
        <w:t xml:space="preserve">wholly </w:t>
      </w:r>
      <w:r w:rsidR="00622268">
        <w:rPr>
          <w:rFonts w:ascii="Arial" w:hAnsi="Arial" w:cs="Arial"/>
          <w:sz w:val="24"/>
          <w:szCs w:val="24"/>
        </w:rPr>
        <w:t xml:space="preserve">on the </w:t>
      </w:r>
      <w:r w:rsidR="00631C04">
        <w:rPr>
          <w:rFonts w:ascii="Arial" w:hAnsi="Arial" w:cs="Arial"/>
          <w:sz w:val="24"/>
          <w:szCs w:val="24"/>
        </w:rPr>
        <w:t xml:space="preserve">EU or the </w:t>
      </w:r>
      <w:r w:rsidR="00622268">
        <w:rPr>
          <w:rFonts w:ascii="Arial" w:hAnsi="Arial" w:cs="Arial"/>
          <w:sz w:val="24"/>
          <w:szCs w:val="24"/>
        </w:rPr>
        <w:t>legislation</w:t>
      </w:r>
      <w:r w:rsidR="00DE6FC3">
        <w:rPr>
          <w:rFonts w:ascii="Arial" w:hAnsi="Arial" w:cs="Arial"/>
          <w:sz w:val="24"/>
          <w:szCs w:val="24"/>
        </w:rPr>
        <w:t>:</w:t>
      </w:r>
      <w:r w:rsidR="00AE2EA0">
        <w:rPr>
          <w:rFonts w:ascii="Arial" w:hAnsi="Arial" w:cs="Arial"/>
          <w:sz w:val="24"/>
          <w:szCs w:val="24"/>
        </w:rPr>
        <w:t xml:space="preserve"> ‘I think the problems that we’ve had with EIA and SEA etc, is ho</w:t>
      </w:r>
      <w:r w:rsidR="00DE6FC3">
        <w:rPr>
          <w:rFonts w:ascii="Arial" w:hAnsi="Arial" w:cs="Arial"/>
          <w:sz w:val="24"/>
          <w:szCs w:val="24"/>
        </w:rPr>
        <w:t>w we’ve handled them in the UK’</w:t>
      </w:r>
      <w:r w:rsidR="005A0F0C">
        <w:rPr>
          <w:rFonts w:ascii="Arial" w:hAnsi="Arial" w:cs="Arial"/>
          <w:sz w:val="24"/>
          <w:szCs w:val="24"/>
        </w:rPr>
        <w:t>.</w:t>
      </w:r>
      <w:r w:rsidR="00DE6FC3">
        <w:rPr>
          <w:rFonts w:ascii="Arial" w:hAnsi="Arial" w:cs="Arial"/>
          <w:sz w:val="24"/>
          <w:szCs w:val="24"/>
        </w:rPr>
        <w:t xml:space="preserve"> </w:t>
      </w:r>
      <w:r w:rsidR="00AE2EA0">
        <w:rPr>
          <w:rFonts w:ascii="Arial" w:hAnsi="Arial" w:cs="Arial"/>
          <w:sz w:val="24"/>
          <w:szCs w:val="24"/>
        </w:rPr>
        <w:t>Respondents</w:t>
      </w:r>
      <w:r w:rsidR="00622268">
        <w:rPr>
          <w:rFonts w:ascii="Arial" w:hAnsi="Arial" w:cs="Arial"/>
          <w:sz w:val="24"/>
          <w:szCs w:val="24"/>
        </w:rPr>
        <w:t xml:space="preserve"> pointed instead to an array of intervening factors, including national </w:t>
      </w:r>
      <w:r w:rsidR="001047A4">
        <w:rPr>
          <w:rFonts w:ascii="Arial" w:hAnsi="Arial" w:cs="Arial"/>
          <w:sz w:val="24"/>
          <w:szCs w:val="24"/>
        </w:rPr>
        <w:t xml:space="preserve">regulatory </w:t>
      </w:r>
      <w:r w:rsidR="00622268">
        <w:rPr>
          <w:rFonts w:ascii="Arial" w:hAnsi="Arial" w:cs="Arial"/>
          <w:sz w:val="24"/>
          <w:szCs w:val="24"/>
        </w:rPr>
        <w:t>transposition and guidance, inconsistencies in planning practice and the skills, competences and intentions of actors on the ground</w:t>
      </w:r>
      <w:r w:rsidR="009C528C">
        <w:rPr>
          <w:rFonts w:ascii="Arial" w:hAnsi="Arial" w:cs="Arial"/>
          <w:sz w:val="24"/>
          <w:szCs w:val="24"/>
        </w:rPr>
        <w:t>, as</w:t>
      </w:r>
      <w:r w:rsidR="00622268">
        <w:rPr>
          <w:rFonts w:ascii="Arial" w:hAnsi="Arial" w:cs="Arial"/>
          <w:sz w:val="24"/>
          <w:szCs w:val="24"/>
        </w:rPr>
        <w:t xml:space="preserve"> summarised in Figure </w:t>
      </w:r>
      <w:r w:rsidR="009C528C">
        <w:rPr>
          <w:rFonts w:ascii="Arial" w:hAnsi="Arial" w:cs="Arial"/>
          <w:sz w:val="24"/>
          <w:szCs w:val="24"/>
        </w:rPr>
        <w:t>2</w:t>
      </w:r>
      <w:r w:rsidR="00622268">
        <w:rPr>
          <w:rFonts w:ascii="Arial" w:hAnsi="Arial" w:cs="Arial"/>
          <w:sz w:val="24"/>
          <w:szCs w:val="24"/>
        </w:rPr>
        <w:t>.</w:t>
      </w:r>
      <w:r w:rsidR="00CE4F81">
        <w:rPr>
          <w:rFonts w:ascii="Arial" w:hAnsi="Arial" w:cs="Arial"/>
          <w:sz w:val="24"/>
          <w:szCs w:val="24"/>
        </w:rPr>
        <w:t xml:space="preserve"> Those that believed EU regulation had under-delivere</w:t>
      </w:r>
      <w:r w:rsidR="00473F49">
        <w:rPr>
          <w:rFonts w:ascii="Arial" w:hAnsi="Arial" w:cs="Arial"/>
          <w:sz w:val="24"/>
          <w:szCs w:val="24"/>
        </w:rPr>
        <w:t xml:space="preserve">d </w:t>
      </w:r>
      <w:r w:rsidR="00A60B1A">
        <w:rPr>
          <w:rFonts w:ascii="Arial" w:hAnsi="Arial" w:cs="Arial"/>
          <w:sz w:val="24"/>
          <w:szCs w:val="24"/>
        </w:rPr>
        <w:t xml:space="preserve">for the environment </w:t>
      </w:r>
      <w:r w:rsidR="00473F49">
        <w:rPr>
          <w:rFonts w:ascii="Arial" w:hAnsi="Arial" w:cs="Arial"/>
          <w:sz w:val="24"/>
          <w:szCs w:val="24"/>
        </w:rPr>
        <w:t>also placed the blame on domestic institutions</w:t>
      </w:r>
      <w:r w:rsidR="00A60B1A">
        <w:rPr>
          <w:rFonts w:ascii="Arial" w:hAnsi="Arial" w:cs="Arial"/>
          <w:sz w:val="24"/>
          <w:szCs w:val="24"/>
        </w:rPr>
        <w:t>.</w:t>
      </w:r>
    </w:p>
    <w:p w:rsidR="00622268" w:rsidRDefault="00622268" w:rsidP="00A43E93">
      <w:pPr>
        <w:rPr>
          <w:rFonts w:ascii="Arial" w:hAnsi="Arial" w:cs="Arial"/>
          <w:sz w:val="24"/>
          <w:szCs w:val="24"/>
        </w:rPr>
      </w:pPr>
    </w:p>
    <w:p w:rsidR="00622268" w:rsidRPr="009C528C" w:rsidRDefault="00F81825" w:rsidP="00A43E93">
      <w:pPr>
        <w:rPr>
          <w:rFonts w:ascii="Arial" w:hAnsi="Arial" w:cs="Arial"/>
          <w:b/>
          <w:sz w:val="24"/>
          <w:szCs w:val="24"/>
        </w:rPr>
      </w:pPr>
      <w:r w:rsidRPr="009C528C">
        <w:rPr>
          <w:rFonts w:ascii="Arial" w:hAnsi="Arial" w:cs="Arial"/>
          <w:b/>
          <w:sz w:val="24"/>
          <w:szCs w:val="24"/>
        </w:rPr>
        <w:t xml:space="preserve">&lt;Put Figure </w:t>
      </w:r>
      <w:r w:rsidR="009C528C">
        <w:rPr>
          <w:rFonts w:ascii="Arial" w:hAnsi="Arial" w:cs="Arial"/>
          <w:b/>
          <w:sz w:val="24"/>
          <w:szCs w:val="24"/>
        </w:rPr>
        <w:t>2</w:t>
      </w:r>
      <w:r w:rsidRPr="009C528C">
        <w:rPr>
          <w:rFonts w:ascii="Arial" w:hAnsi="Arial" w:cs="Arial"/>
          <w:b/>
          <w:sz w:val="24"/>
          <w:szCs w:val="24"/>
        </w:rPr>
        <w:t xml:space="preserve"> somewhere near here&gt;</w:t>
      </w:r>
    </w:p>
    <w:p w:rsidR="0059239C" w:rsidRDefault="0059239C">
      <w:pPr>
        <w:rPr>
          <w:rFonts w:ascii="Arial" w:hAnsi="Arial" w:cs="Arial"/>
          <w:sz w:val="24"/>
          <w:szCs w:val="24"/>
        </w:rPr>
      </w:pPr>
    </w:p>
    <w:p w:rsidR="00622268" w:rsidRDefault="00631C04" w:rsidP="00622268">
      <w:pPr>
        <w:rPr>
          <w:rFonts w:ascii="Arial" w:hAnsi="Arial" w:cs="Arial"/>
          <w:sz w:val="24"/>
          <w:szCs w:val="24"/>
        </w:rPr>
      </w:pPr>
      <w:r>
        <w:rPr>
          <w:rFonts w:ascii="Arial" w:hAnsi="Arial" w:cs="Arial"/>
          <w:sz w:val="24"/>
          <w:szCs w:val="24"/>
        </w:rPr>
        <w:t>Similarly, m</w:t>
      </w:r>
      <w:r w:rsidR="00622268">
        <w:rPr>
          <w:rFonts w:ascii="Arial" w:hAnsi="Arial" w:cs="Arial"/>
          <w:sz w:val="24"/>
          <w:szCs w:val="24"/>
        </w:rPr>
        <w:t xml:space="preserve">any </w:t>
      </w:r>
      <w:r>
        <w:rPr>
          <w:rFonts w:ascii="Arial" w:hAnsi="Arial" w:cs="Arial"/>
          <w:sz w:val="24"/>
          <w:szCs w:val="24"/>
        </w:rPr>
        <w:t xml:space="preserve">responses </w:t>
      </w:r>
      <w:r w:rsidR="00622268">
        <w:rPr>
          <w:rFonts w:ascii="Arial" w:hAnsi="Arial" w:cs="Arial"/>
          <w:sz w:val="24"/>
          <w:szCs w:val="24"/>
        </w:rPr>
        <w:t xml:space="preserve">noted that the formal, procedural requirements of </w:t>
      </w:r>
      <w:r w:rsidR="00622268" w:rsidRPr="00D12AC5">
        <w:rPr>
          <w:rFonts w:ascii="Arial" w:hAnsi="Arial" w:cs="Arial"/>
          <w:sz w:val="24"/>
          <w:szCs w:val="24"/>
        </w:rPr>
        <w:t>EU Directives</w:t>
      </w:r>
      <w:r w:rsidR="00622268">
        <w:rPr>
          <w:rFonts w:ascii="Arial" w:hAnsi="Arial" w:cs="Arial"/>
          <w:sz w:val="24"/>
          <w:szCs w:val="24"/>
        </w:rPr>
        <w:t xml:space="preserve"> provided </w:t>
      </w:r>
      <w:r w:rsidR="00622268" w:rsidRPr="00D12AC5">
        <w:rPr>
          <w:rFonts w:ascii="Arial" w:hAnsi="Arial" w:cs="Arial"/>
          <w:sz w:val="24"/>
          <w:szCs w:val="24"/>
        </w:rPr>
        <w:t>‘loopholes’ or ‘</w:t>
      </w:r>
      <w:r w:rsidR="00A4297A">
        <w:rPr>
          <w:rFonts w:ascii="Arial" w:hAnsi="Arial" w:cs="Arial"/>
          <w:sz w:val="24"/>
          <w:szCs w:val="24"/>
        </w:rPr>
        <w:t xml:space="preserve">more </w:t>
      </w:r>
      <w:r w:rsidR="00622268" w:rsidRPr="00D12AC5">
        <w:rPr>
          <w:rFonts w:ascii="Arial" w:hAnsi="Arial" w:cs="Arial"/>
          <w:sz w:val="24"/>
          <w:szCs w:val="24"/>
        </w:rPr>
        <w:t>tripwires’</w:t>
      </w:r>
      <w:r w:rsidR="00557CDF">
        <w:rPr>
          <w:rFonts w:ascii="Arial" w:hAnsi="Arial" w:cs="Arial"/>
          <w:sz w:val="24"/>
          <w:szCs w:val="24"/>
        </w:rPr>
        <w:t>, which</w:t>
      </w:r>
      <w:r w:rsidR="00622268" w:rsidRPr="00D12AC5">
        <w:rPr>
          <w:rFonts w:ascii="Arial" w:hAnsi="Arial" w:cs="Arial"/>
          <w:sz w:val="24"/>
          <w:szCs w:val="24"/>
        </w:rPr>
        <w:t xml:space="preserve"> </w:t>
      </w:r>
      <w:r w:rsidR="00885311">
        <w:rPr>
          <w:rFonts w:ascii="Arial" w:hAnsi="Arial" w:cs="Arial"/>
          <w:sz w:val="24"/>
          <w:szCs w:val="24"/>
        </w:rPr>
        <w:t xml:space="preserve">domestic </w:t>
      </w:r>
      <w:r w:rsidR="00622268" w:rsidRPr="00D12AC5">
        <w:rPr>
          <w:rFonts w:ascii="Arial" w:hAnsi="Arial" w:cs="Arial"/>
          <w:sz w:val="24"/>
          <w:szCs w:val="24"/>
        </w:rPr>
        <w:t xml:space="preserve">actors </w:t>
      </w:r>
      <w:r w:rsidR="00473F49">
        <w:rPr>
          <w:rFonts w:ascii="Arial" w:hAnsi="Arial" w:cs="Arial"/>
          <w:sz w:val="24"/>
          <w:szCs w:val="24"/>
        </w:rPr>
        <w:t xml:space="preserve">then </w:t>
      </w:r>
      <w:r w:rsidR="00622268" w:rsidRPr="00960CE8">
        <w:rPr>
          <w:rFonts w:ascii="Arial" w:hAnsi="Arial" w:cs="Arial"/>
          <w:sz w:val="24"/>
          <w:szCs w:val="24"/>
        </w:rPr>
        <w:t>exploit</w:t>
      </w:r>
      <w:r w:rsidR="00473F49">
        <w:rPr>
          <w:rFonts w:ascii="Arial" w:hAnsi="Arial" w:cs="Arial"/>
          <w:sz w:val="24"/>
          <w:szCs w:val="24"/>
        </w:rPr>
        <w:t>ed</w:t>
      </w:r>
      <w:r w:rsidR="00622268">
        <w:rPr>
          <w:rFonts w:ascii="Arial" w:hAnsi="Arial" w:cs="Arial"/>
          <w:sz w:val="24"/>
          <w:szCs w:val="24"/>
        </w:rPr>
        <w:t xml:space="preserve">. </w:t>
      </w:r>
      <w:r w:rsidR="00D16553">
        <w:rPr>
          <w:rFonts w:ascii="Arial" w:hAnsi="Arial" w:cs="Arial"/>
          <w:sz w:val="24"/>
          <w:szCs w:val="24"/>
        </w:rPr>
        <w:t>For some, t</w:t>
      </w:r>
      <w:r w:rsidR="00DD4999">
        <w:rPr>
          <w:rFonts w:ascii="Arial" w:hAnsi="Arial" w:cs="Arial"/>
          <w:sz w:val="24"/>
          <w:szCs w:val="24"/>
        </w:rPr>
        <w:t>hey created</w:t>
      </w:r>
      <w:r w:rsidR="00D16553">
        <w:rPr>
          <w:rFonts w:ascii="Arial" w:hAnsi="Arial" w:cs="Arial"/>
          <w:sz w:val="24"/>
          <w:szCs w:val="24"/>
        </w:rPr>
        <w:t xml:space="preserve"> opportunities for </w:t>
      </w:r>
      <w:r w:rsidR="00DD4999">
        <w:rPr>
          <w:rFonts w:ascii="Arial" w:hAnsi="Arial" w:cs="Arial"/>
          <w:sz w:val="24"/>
          <w:szCs w:val="24"/>
        </w:rPr>
        <w:t xml:space="preserve">‘well-heeled middle classes stopping development’, or ‘a very nice little earner for lawyers and </w:t>
      </w:r>
      <w:r w:rsidR="004F2DB1" w:rsidRPr="00960CE8">
        <w:rPr>
          <w:rFonts w:ascii="Arial" w:hAnsi="Arial" w:cs="Arial"/>
          <w:sz w:val="24"/>
          <w:szCs w:val="24"/>
        </w:rPr>
        <w:t xml:space="preserve"> consultants</w:t>
      </w:r>
      <w:r w:rsidR="00DD4999">
        <w:rPr>
          <w:rFonts w:ascii="Arial" w:hAnsi="Arial" w:cs="Arial"/>
          <w:sz w:val="24"/>
          <w:szCs w:val="24"/>
        </w:rPr>
        <w:t>’.</w:t>
      </w:r>
      <w:r w:rsidR="00D16553">
        <w:rPr>
          <w:rFonts w:ascii="Arial" w:hAnsi="Arial" w:cs="Arial"/>
          <w:sz w:val="24"/>
          <w:szCs w:val="24"/>
        </w:rPr>
        <w:t xml:space="preserve"> </w:t>
      </w:r>
      <w:r w:rsidR="00DD4999">
        <w:rPr>
          <w:rFonts w:ascii="Arial" w:hAnsi="Arial" w:cs="Arial"/>
          <w:sz w:val="24"/>
          <w:szCs w:val="24"/>
        </w:rPr>
        <w:t>F</w:t>
      </w:r>
      <w:r w:rsidR="00622268" w:rsidRPr="00960CE8">
        <w:rPr>
          <w:rFonts w:ascii="Arial" w:hAnsi="Arial" w:cs="Arial"/>
          <w:sz w:val="24"/>
          <w:szCs w:val="24"/>
        </w:rPr>
        <w:t xml:space="preserve">or others, </w:t>
      </w:r>
      <w:r w:rsidR="00D16553">
        <w:rPr>
          <w:rFonts w:ascii="Arial" w:hAnsi="Arial" w:cs="Arial"/>
          <w:sz w:val="24"/>
          <w:szCs w:val="24"/>
        </w:rPr>
        <w:t>it</w:t>
      </w:r>
      <w:r w:rsidR="00622268" w:rsidRPr="00960CE8">
        <w:rPr>
          <w:rFonts w:ascii="Arial" w:hAnsi="Arial" w:cs="Arial"/>
          <w:sz w:val="24"/>
          <w:szCs w:val="24"/>
        </w:rPr>
        <w:t xml:space="preserve"> was developers exploiting any softening of requirements.</w:t>
      </w:r>
      <w:r w:rsidR="00622268">
        <w:rPr>
          <w:rFonts w:ascii="Arial" w:hAnsi="Arial" w:cs="Arial"/>
          <w:sz w:val="24"/>
          <w:szCs w:val="24"/>
        </w:rPr>
        <w:t xml:space="preserve"> In turn,</w:t>
      </w:r>
      <w:r>
        <w:rPr>
          <w:rFonts w:ascii="Arial" w:hAnsi="Arial" w:cs="Arial"/>
          <w:sz w:val="24"/>
          <w:szCs w:val="24"/>
        </w:rPr>
        <w:t xml:space="preserve"> a pervasive</w:t>
      </w:r>
      <w:r w:rsidR="00622268">
        <w:rPr>
          <w:rFonts w:ascii="Arial" w:hAnsi="Arial" w:cs="Arial"/>
          <w:sz w:val="24"/>
          <w:szCs w:val="24"/>
        </w:rPr>
        <w:t xml:space="preserve"> ‘fear of legal challenge’ was seen as driving </w:t>
      </w:r>
      <w:r>
        <w:rPr>
          <w:rFonts w:ascii="Arial" w:hAnsi="Arial" w:cs="Arial"/>
          <w:sz w:val="24"/>
          <w:szCs w:val="24"/>
        </w:rPr>
        <w:t>a</w:t>
      </w:r>
      <w:r w:rsidR="00622268">
        <w:rPr>
          <w:rFonts w:ascii="Arial" w:hAnsi="Arial" w:cs="Arial"/>
          <w:sz w:val="24"/>
          <w:szCs w:val="24"/>
        </w:rPr>
        <w:t xml:space="preserve"> risk-averse ‘over compliance’ that helped to make procedures feel unduly bureaucratic</w:t>
      </w:r>
      <w:r w:rsidR="00AE2EA0">
        <w:rPr>
          <w:rFonts w:ascii="Arial" w:hAnsi="Arial" w:cs="Arial"/>
          <w:sz w:val="24"/>
          <w:szCs w:val="24"/>
        </w:rPr>
        <w:t xml:space="preserve">. </w:t>
      </w:r>
      <w:r w:rsidR="00557CDF">
        <w:rPr>
          <w:rFonts w:ascii="Arial" w:hAnsi="Arial" w:cs="Arial"/>
          <w:sz w:val="24"/>
          <w:szCs w:val="24"/>
        </w:rPr>
        <w:t>However</w:t>
      </w:r>
      <w:r w:rsidR="00622268">
        <w:rPr>
          <w:rFonts w:ascii="Arial" w:hAnsi="Arial" w:cs="Arial"/>
          <w:sz w:val="24"/>
          <w:szCs w:val="24"/>
        </w:rPr>
        <w:t xml:space="preserve"> this </w:t>
      </w:r>
      <w:r w:rsidR="00557CDF">
        <w:rPr>
          <w:rFonts w:ascii="Arial" w:hAnsi="Arial" w:cs="Arial"/>
          <w:sz w:val="24"/>
          <w:szCs w:val="24"/>
        </w:rPr>
        <w:t xml:space="preserve">too </w:t>
      </w:r>
      <w:r w:rsidR="00622268">
        <w:rPr>
          <w:rFonts w:ascii="Arial" w:hAnsi="Arial" w:cs="Arial"/>
          <w:sz w:val="24"/>
          <w:szCs w:val="24"/>
        </w:rPr>
        <w:t>was perceived as a home-grown effect: ‘domestic challenge and judicial review, that’s not going to go away in a post-</w:t>
      </w:r>
      <w:r w:rsidR="006967B0">
        <w:rPr>
          <w:rFonts w:ascii="Arial" w:hAnsi="Arial" w:cs="Arial"/>
          <w:sz w:val="24"/>
          <w:szCs w:val="24"/>
        </w:rPr>
        <w:t>’Brexit’</w:t>
      </w:r>
      <w:r w:rsidR="00622268">
        <w:rPr>
          <w:rFonts w:ascii="Arial" w:hAnsi="Arial" w:cs="Arial"/>
          <w:sz w:val="24"/>
          <w:szCs w:val="24"/>
        </w:rPr>
        <w:t xml:space="preserve"> world, is it?’</w:t>
      </w:r>
      <w:r w:rsidR="00AE2EA0">
        <w:rPr>
          <w:rFonts w:ascii="Arial" w:hAnsi="Arial" w:cs="Arial"/>
          <w:sz w:val="24"/>
          <w:szCs w:val="24"/>
        </w:rPr>
        <w:t>; ‘the challenge culture is already there’.</w:t>
      </w:r>
    </w:p>
    <w:p w:rsidR="00660A91" w:rsidRPr="00324A7C" w:rsidRDefault="00660A91">
      <w:pPr>
        <w:rPr>
          <w:rFonts w:ascii="Arial" w:hAnsi="Arial" w:cs="Arial"/>
        </w:rPr>
      </w:pPr>
    </w:p>
    <w:p w:rsidR="0031144E" w:rsidRDefault="0031144E">
      <w:pPr>
        <w:rPr>
          <w:rFonts w:ascii="Arial" w:hAnsi="Arial" w:cs="Arial"/>
          <w:sz w:val="24"/>
          <w:szCs w:val="24"/>
        </w:rPr>
      </w:pPr>
    </w:p>
    <w:p w:rsidR="001E41A8" w:rsidRPr="001E41A8" w:rsidRDefault="001E41A8">
      <w:pPr>
        <w:rPr>
          <w:rFonts w:ascii="Arial" w:hAnsi="Arial" w:cs="Arial"/>
          <w:i/>
          <w:sz w:val="24"/>
          <w:szCs w:val="24"/>
        </w:rPr>
      </w:pPr>
      <w:r w:rsidRPr="001E41A8">
        <w:rPr>
          <w:rFonts w:ascii="Arial" w:hAnsi="Arial" w:cs="Arial"/>
          <w:i/>
          <w:sz w:val="24"/>
          <w:szCs w:val="24"/>
        </w:rPr>
        <w:t>Future scenarios</w:t>
      </w:r>
    </w:p>
    <w:p w:rsidR="00953156" w:rsidRDefault="00CD0BDB">
      <w:pPr>
        <w:tabs>
          <w:tab w:val="left" w:pos="1365"/>
        </w:tabs>
        <w:rPr>
          <w:rFonts w:ascii="Arial" w:hAnsi="Arial" w:cs="Arial"/>
          <w:sz w:val="24"/>
          <w:szCs w:val="24"/>
        </w:rPr>
      </w:pPr>
      <w:r>
        <w:rPr>
          <w:rFonts w:ascii="Arial" w:hAnsi="Arial" w:cs="Arial"/>
          <w:sz w:val="24"/>
          <w:szCs w:val="24"/>
        </w:rPr>
        <w:tab/>
      </w:r>
    </w:p>
    <w:p w:rsidR="00247F55" w:rsidRDefault="00247F55" w:rsidP="00A33FFF">
      <w:pPr>
        <w:rPr>
          <w:rFonts w:ascii="Arial" w:hAnsi="Arial" w:cs="Arial"/>
          <w:sz w:val="24"/>
          <w:szCs w:val="24"/>
        </w:rPr>
      </w:pPr>
      <w:r>
        <w:rPr>
          <w:rFonts w:ascii="Arial" w:hAnsi="Arial" w:cs="Arial"/>
          <w:sz w:val="24"/>
          <w:szCs w:val="24"/>
        </w:rPr>
        <w:t xml:space="preserve">These themes recur in the patterns of responses to </w:t>
      </w:r>
      <w:r w:rsidR="00FC5F8D">
        <w:rPr>
          <w:rFonts w:ascii="Arial" w:hAnsi="Arial" w:cs="Arial"/>
          <w:sz w:val="24"/>
          <w:szCs w:val="24"/>
        </w:rPr>
        <w:t xml:space="preserve">the </w:t>
      </w:r>
      <w:r>
        <w:rPr>
          <w:rFonts w:ascii="Arial" w:hAnsi="Arial" w:cs="Arial"/>
          <w:sz w:val="24"/>
          <w:szCs w:val="24"/>
        </w:rPr>
        <w:t>future scenarios for the planning-environment interf</w:t>
      </w:r>
      <w:r w:rsidR="00891CB3">
        <w:rPr>
          <w:rFonts w:ascii="Arial" w:hAnsi="Arial" w:cs="Arial"/>
          <w:sz w:val="24"/>
          <w:szCs w:val="24"/>
        </w:rPr>
        <w:t xml:space="preserve">ace as the UK </w:t>
      </w:r>
      <w:r w:rsidR="004407FE">
        <w:rPr>
          <w:rFonts w:ascii="Arial" w:hAnsi="Arial" w:cs="Arial"/>
          <w:sz w:val="24"/>
          <w:szCs w:val="24"/>
        </w:rPr>
        <w:t>leaves</w:t>
      </w:r>
      <w:r w:rsidR="00891CB3">
        <w:rPr>
          <w:rFonts w:ascii="Arial" w:hAnsi="Arial" w:cs="Arial"/>
          <w:sz w:val="24"/>
          <w:szCs w:val="24"/>
        </w:rPr>
        <w:t xml:space="preserve"> the EU</w:t>
      </w:r>
      <w:r>
        <w:rPr>
          <w:rFonts w:ascii="Arial" w:hAnsi="Arial" w:cs="Arial"/>
          <w:sz w:val="24"/>
          <w:szCs w:val="24"/>
        </w:rPr>
        <w:t>.</w:t>
      </w:r>
    </w:p>
    <w:p w:rsidR="00247F55" w:rsidRDefault="00247F55" w:rsidP="00A33FFF">
      <w:pPr>
        <w:rPr>
          <w:rFonts w:ascii="Arial" w:hAnsi="Arial" w:cs="Arial"/>
          <w:sz w:val="24"/>
          <w:szCs w:val="24"/>
        </w:rPr>
      </w:pPr>
    </w:p>
    <w:p w:rsidR="005D51BD" w:rsidRDefault="00A33FFF" w:rsidP="00F64A8A">
      <w:pPr>
        <w:rPr>
          <w:rFonts w:ascii="Arial" w:hAnsi="Arial" w:cs="Arial"/>
          <w:sz w:val="24"/>
          <w:szCs w:val="24"/>
        </w:rPr>
      </w:pPr>
      <w:r w:rsidRPr="00A33FFF">
        <w:rPr>
          <w:rFonts w:ascii="Arial" w:hAnsi="Arial" w:cs="Arial"/>
          <w:sz w:val="24"/>
          <w:szCs w:val="24"/>
        </w:rPr>
        <w:t>Much positive support was expressed for Scenario 1</w:t>
      </w:r>
      <w:r w:rsidR="00557CDF">
        <w:rPr>
          <w:rFonts w:ascii="Arial" w:hAnsi="Arial" w:cs="Arial"/>
          <w:sz w:val="24"/>
          <w:szCs w:val="24"/>
        </w:rPr>
        <w:t>,</w:t>
      </w:r>
      <w:r w:rsidRPr="00A33FFF">
        <w:rPr>
          <w:rFonts w:ascii="Arial" w:hAnsi="Arial" w:cs="Arial"/>
          <w:sz w:val="24"/>
          <w:szCs w:val="24"/>
        </w:rPr>
        <w:t xml:space="preserve"> </w:t>
      </w:r>
      <w:r w:rsidR="00557CDF" w:rsidRPr="00557CDF">
        <w:rPr>
          <w:rFonts w:ascii="Arial" w:hAnsi="Arial" w:cs="Arial"/>
          <w:i/>
          <w:sz w:val="24"/>
          <w:szCs w:val="24"/>
        </w:rPr>
        <w:t>F</w:t>
      </w:r>
      <w:r w:rsidRPr="00557CDF">
        <w:rPr>
          <w:rFonts w:ascii="Arial" w:hAnsi="Arial" w:cs="Arial"/>
          <w:i/>
          <w:sz w:val="24"/>
          <w:szCs w:val="24"/>
        </w:rPr>
        <w:t>irm environmental standards</w:t>
      </w:r>
      <w:r w:rsidRPr="00A33FFF">
        <w:rPr>
          <w:rFonts w:ascii="Arial" w:hAnsi="Arial" w:cs="Arial"/>
          <w:sz w:val="24"/>
          <w:szCs w:val="24"/>
        </w:rPr>
        <w:t>.</w:t>
      </w:r>
      <w:r w:rsidR="00CE528C">
        <w:rPr>
          <w:rFonts w:ascii="Arial" w:hAnsi="Arial" w:cs="Arial"/>
          <w:sz w:val="24"/>
          <w:szCs w:val="24"/>
        </w:rPr>
        <w:t xml:space="preserve"> </w:t>
      </w:r>
      <w:r w:rsidR="005D51BD" w:rsidRPr="00A33FFF">
        <w:rPr>
          <w:rFonts w:ascii="Arial" w:hAnsi="Arial" w:cs="Arial"/>
          <w:sz w:val="24"/>
          <w:szCs w:val="24"/>
        </w:rPr>
        <w:t xml:space="preserve">Respondents frequently expressed their distrust of </w:t>
      </w:r>
      <w:r w:rsidR="00557CDF">
        <w:rPr>
          <w:rFonts w:ascii="Arial" w:hAnsi="Arial" w:cs="Arial"/>
          <w:sz w:val="24"/>
          <w:szCs w:val="24"/>
        </w:rPr>
        <w:t xml:space="preserve">domestic </w:t>
      </w:r>
      <w:r w:rsidR="005D51BD" w:rsidRPr="00A33FFF">
        <w:rPr>
          <w:rFonts w:ascii="Arial" w:hAnsi="Arial" w:cs="Arial"/>
          <w:sz w:val="24"/>
          <w:szCs w:val="24"/>
        </w:rPr>
        <w:t>politicians, using this as a justification for regulatory arrangements that restricted political discretion. EU-style legislation was supported precisely because it comes with statements of purpose and creates ‘red lines’ and ‘harder edges’ (Burns et al</w:t>
      </w:r>
      <w:r w:rsidR="0000641A">
        <w:rPr>
          <w:rFonts w:ascii="Arial" w:hAnsi="Arial" w:cs="Arial"/>
          <w:sz w:val="24"/>
          <w:szCs w:val="24"/>
        </w:rPr>
        <w:t>.,</w:t>
      </w:r>
      <w:r w:rsidR="005D51BD" w:rsidRPr="00A33FFF">
        <w:rPr>
          <w:rFonts w:ascii="Arial" w:hAnsi="Arial" w:cs="Arial"/>
          <w:sz w:val="24"/>
          <w:szCs w:val="24"/>
        </w:rPr>
        <w:t xml:space="preserve"> 2016), which UK planning legislation tends to lack.</w:t>
      </w:r>
    </w:p>
    <w:p w:rsidR="005D51BD" w:rsidRDefault="005D51BD" w:rsidP="00F64A8A">
      <w:pPr>
        <w:rPr>
          <w:rFonts w:ascii="Arial" w:hAnsi="Arial" w:cs="Arial"/>
          <w:sz w:val="24"/>
          <w:szCs w:val="24"/>
        </w:rPr>
      </w:pPr>
    </w:p>
    <w:p w:rsidR="00F64A8A" w:rsidRPr="00F64A8A" w:rsidRDefault="00F64A8A" w:rsidP="00F64A8A">
      <w:pPr>
        <w:rPr>
          <w:rFonts w:ascii="Arial" w:hAnsi="Arial" w:cs="Arial"/>
          <w:sz w:val="24"/>
          <w:szCs w:val="24"/>
        </w:rPr>
      </w:pPr>
      <w:r w:rsidRPr="00F64A8A">
        <w:rPr>
          <w:rFonts w:ascii="Arial" w:hAnsi="Arial" w:cs="Arial"/>
          <w:sz w:val="24"/>
          <w:szCs w:val="24"/>
        </w:rPr>
        <w:t xml:space="preserve">Respondents were </w:t>
      </w:r>
      <w:r w:rsidR="000E0C37">
        <w:rPr>
          <w:rFonts w:ascii="Arial" w:hAnsi="Arial" w:cs="Arial"/>
          <w:sz w:val="24"/>
          <w:szCs w:val="24"/>
        </w:rPr>
        <w:t xml:space="preserve">also </w:t>
      </w:r>
      <w:r w:rsidRPr="00F64A8A">
        <w:rPr>
          <w:rFonts w:ascii="Arial" w:hAnsi="Arial" w:cs="Arial"/>
          <w:sz w:val="24"/>
          <w:szCs w:val="24"/>
        </w:rPr>
        <w:t xml:space="preserve">generally very positive about </w:t>
      </w:r>
      <w:r w:rsidR="00030F59">
        <w:rPr>
          <w:rFonts w:ascii="Arial" w:hAnsi="Arial" w:cs="Arial"/>
          <w:sz w:val="24"/>
          <w:szCs w:val="24"/>
        </w:rPr>
        <w:t xml:space="preserve">shifting the regulatory style of planning to focus more heavily on purpose, goals and </w:t>
      </w:r>
      <w:r w:rsidR="00B94FF0">
        <w:rPr>
          <w:rFonts w:ascii="Arial" w:hAnsi="Arial" w:cs="Arial"/>
          <w:sz w:val="24"/>
          <w:szCs w:val="24"/>
        </w:rPr>
        <w:t>targe</w:t>
      </w:r>
      <w:r w:rsidR="00030F59">
        <w:rPr>
          <w:rFonts w:ascii="Arial" w:hAnsi="Arial" w:cs="Arial"/>
          <w:sz w:val="24"/>
          <w:szCs w:val="24"/>
        </w:rPr>
        <w:t>ts, including raising the material status of environmental standards for air and water quality</w:t>
      </w:r>
      <w:r w:rsidR="00994BD2">
        <w:rPr>
          <w:rFonts w:ascii="Arial" w:hAnsi="Arial" w:cs="Arial"/>
          <w:sz w:val="24"/>
          <w:szCs w:val="24"/>
        </w:rPr>
        <w:t xml:space="preserve"> in planning decisions</w:t>
      </w:r>
      <w:r w:rsidR="00030F59">
        <w:rPr>
          <w:rFonts w:ascii="Arial" w:hAnsi="Arial" w:cs="Arial"/>
          <w:sz w:val="24"/>
          <w:szCs w:val="24"/>
        </w:rPr>
        <w:t xml:space="preserve">.  </w:t>
      </w:r>
      <w:r w:rsidRPr="00F64A8A">
        <w:rPr>
          <w:rFonts w:ascii="Arial" w:hAnsi="Arial" w:cs="Arial"/>
          <w:sz w:val="24"/>
          <w:szCs w:val="24"/>
        </w:rPr>
        <w:t xml:space="preserve">It was widely perceived that air quality had historically </w:t>
      </w:r>
      <w:r w:rsidR="007D013B">
        <w:rPr>
          <w:rFonts w:ascii="Arial" w:hAnsi="Arial" w:cs="Arial"/>
          <w:sz w:val="24"/>
          <w:szCs w:val="24"/>
        </w:rPr>
        <w:t xml:space="preserve">had a </w:t>
      </w:r>
      <w:r w:rsidRPr="00F64A8A">
        <w:rPr>
          <w:rFonts w:ascii="Arial" w:hAnsi="Arial" w:cs="Arial"/>
          <w:sz w:val="24"/>
          <w:szCs w:val="24"/>
        </w:rPr>
        <w:t xml:space="preserve">too low profile, </w:t>
      </w:r>
      <w:r w:rsidR="00453F28">
        <w:rPr>
          <w:rFonts w:ascii="Arial" w:hAnsi="Arial" w:cs="Arial"/>
          <w:sz w:val="24"/>
          <w:szCs w:val="24"/>
        </w:rPr>
        <w:t>lacking</w:t>
      </w:r>
      <w:r w:rsidRPr="00F64A8A">
        <w:rPr>
          <w:rFonts w:ascii="Arial" w:hAnsi="Arial" w:cs="Arial"/>
          <w:sz w:val="24"/>
          <w:szCs w:val="24"/>
        </w:rPr>
        <w:t xml:space="preserve"> political support and skilled practitioners to champion it</w:t>
      </w:r>
      <w:r w:rsidR="00453F28">
        <w:rPr>
          <w:rFonts w:ascii="Arial" w:hAnsi="Arial" w:cs="Arial"/>
          <w:sz w:val="24"/>
          <w:szCs w:val="24"/>
        </w:rPr>
        <w:t>, and thus action in this area was ‘still quite battered by vi</w:t>
      </w:r>
      <w:r w:rsidR="00C2105B">
        <w:rPr>
          <w:rFonts w:ascii="Arial" w:hAnsi="Arial" w:cs="Arial"/>
          <w:sz w:val="24"/>
          <w:szCs w:val="24"/>
        </w:rPr>
        <w:t>ability arguments’ from</w:t>
      </w:r>
      <w:r w:rsidR="00453F28">
        <w:rPr>
          <w:rFonts w:ascii="Arial" w:hAnsi="Arial" w:cs="Arial"/>
          <w:sz w:val="24"/>
          <w:szCs w:val="24"/>
        </w:rPr>
        <w:t xml:space="preserve"> developers.</w:t>
      </w:r>
      <w:r w:rsidRPr="00F64A8A">
        <w:rPr>
          <w:rFonts w:ascii="Arial" w:hAnsi="Arial" w:cs="Arial"/>
          <w:sz w:val="24"/>
          <w:szCs w:val="24"/>
        </w:rPr>
        <w:t xml:space="preserve"> Respondents also express</w:t>
      </w:r>
      <w:r w:rsidR="00BC7FF1">
        <w:rPr>
          <w:rFonts w:ascii="Arial" w:hAnsi="Arial" w:cs="Arial"/>
          <w:sz w:val="24"/>
          <w:szCs w:val="24"/>
        </w:rPr>
        <w:t>ed</w:t>
      </w:r>
      <w:r w:rsidRPr="00F64A8A">
        <w:rPr>
          <w:rFonts w:ascii="Arial" w:hAnsi="Arial" w:cs="Arial"/>
          <w:sz w:val="24"/>
          <w:szCs w:val="24"/>
        </w:rPr>
        <w:t xml:space="preserve"> a need to go further, including better integration </w:t>
      </w:r>
      <w:r w:rsidR="000E0C37">
        <w:rPr>
          <w:rFonts w:ascii="Arial" w:hAnsi="Arial" w:cs="Arial"/>
          <w:sz w:val="24"/>
          <w:szCs w:val="24"/>
        </w:rPr>
        <w:t xml:space="preserve">between environmental quality targets and </w:t>
      </w:r>
      <w:r w:rsidRPr="00F64A8A">
        <w:rPr>
          <w:rFonts w:ascii="Arial" w:hAnsi="Arial" w:cs="Arial"/>
          <w:sz w:val="24"/>
          <w:szCs w:val="24"/>
        </w:rPr>
        <w:t xml:space="preserve">plan-making, enabling a more strategic role </w:t>
      </w:r>
      <w:r w:rsidR="00C33807">
        <w:rPr>
          <w:rFonts w:ascii="Arial" w:hAnsi="Arial" w:cs="Arial"/>
          <w:sz w:val="24"/>
          <w:szCs w:val="24"/>
        </w:rPr>
        <w:t xml:space="preserve">for planning </w:t>
      </w:r>
      <w:r w:rsidRPr="00F64A8A">
        <w:rPr>
          <w:rFonts w:ascii="Arial" w:hAnsi="Arial" w:cs="Arial"/>
          <w:sz w:val="24"/>
          <w:szCs w:val="24"/>
        </w:rPr>
        <w:t>that could embrace cumulative effects.</w:t>
      </w:r>
    </w:p>
    <w:p w:rsidR="00F64A8A" w:rsidRPr="00F64A8A" w:rsidRDefault="00F64A8A" w:rsidP="00F64A8A">
      <w:pPr>
        <w:rPr>
          <w:rFonts w:ascii="Arial" w:hAnsi="Arial" w:cs="Arial"/>
          <w:sz w:val="24"/>
          <w:szCs w:val="24"/>
        </w:rPr>
      </w:pPr>
    </w:p>
    <w:p w:rsidR="00F64A8A" w:rsidRPr="00F64A8A" w:rsidRDefault="00F64A8A" w:rsidP="00F64A8A">
      <w:pPr>
        <w:rPr>
          <w:rFonts w:ascii="Arial" w:hAnsi="Arial" w:cs="Arial"/>
          <w:sz w:val="24"/>
          <w:szCs w:val="24"/>
        </w:rPr>
      </w:pPr>
      <w:r w:rsidRPr="00F64A8A">
        <w:rPr>
          <w:rFonts w:ascii="Arial" w:hAnsi="Arial" w:cs="Arial"/>
          <w:sz w:val="24"/>
          <w:szCs w:val="24"/>
        </w:rPr>
        <w:t>Where there w</w:t>
      </w:r>
      <w:r w:rsidR="000E0C37">
        <w:rPr>
          <w:rFonts w:ascii="Arial" w:hAnsi="Arial" w:cs="Arial"/>
          <w:sz w:val="24"/>
          <w:szCs w:val="24"/>
        </w:rPr>
        <w:t>as equivocation about the merits of Scenario 1</w:t>
      </w:r>
      <w:r w:rsidRPr="00F64A8A">
        <w:rPr>
          <w:rFonts w:ascii="Arial" w:hAnsi="Arial" w:cs="Arial"/>
          <w:sz w:val="24"/>
          <w:szCs w:val="24"/>
        </w:rPr>
        <w:t>, it lay in giving the planning system a responsibility to address issues without the po</w:t>
      </w:r>
      <w:r w:rsidR="007C417F">
        <w:rPr>
          <w:rFonts w:ascii="Arial" w:hAnsi="Arial" w:cs="Arial"/>
          <w:sz w:val="24"/>
          <w:szCs w:val="24"/>
        </w:rPr>
        <w:t>wer to do so</w:t>
      </w:r>
      <w:r w:rsidR="000E0C37">
        <w:rPr>
          <w:rFonts w:ascii="Arial" w:hAnsi="Arial" w:cs="Arial"/>
          <w:sz w:val="24"/>
          <w:szCs w:val="24"/>
        </w:rPr>
        <w:t>: any notion of environmental ‘safe space</w:t>
      </w:r>
      <w:r w:rsidR="00D16553">
        <w:rPr>
          <w:rFonts w:ascii="Arial" w:hAnsi="Arial" w:cs="Arial"/>
          <w:sz w:val="24"/>
          <w:szCs w:val="24"/>
        </w:rPr>
        <w:t>’</w:t>
      </w:r>
      <w:r w:rsidR="000E0C37">
        <w:rPr>
          <w:rFonts w:ascii="Arial" w:hAnsi="Arial" w:cs="Arial"/>
          <w:sz w:val="24"/>
          <w:szCs w:val="24"/>
        </w:rPr>
        <w:t xml:space="preserve"> for humanity ‘needs to be provided </w:t>
      </w:r>
      <w:r w:rsidR="009C30D8" w:rsidRPr="009C30D8">
        <w:rPr>
          <w:rFonts w:ascii="Arial" w:hAnsi="Arial" w:cs="Arial"/>
          <w:i/>
          <w:sz w:val="24"/>
          <w:szCs w:val="24"/>
        </w:rPr>
        <w:t>for</w:t>
      </w:r>
      <w:r w:rsidR="000E0C37">
        <w:rPr>
          <w:rFonts w:ascii="Arial" w:hAnsi="Arial" w:cs="Arial"/>
          <w:sz w:val="24"/>
          <w:szCs w:val="24"/>
        </w:rPr>
        <w:t xml:space="preserve"> planners, rather than leaving planners in a vacuum working it out for themselves’. </w:t>
      </w:r>
      <w:r w:rsidR="004407FE">
        <w:rPr>
          <w:rFonts w:ascii="Arial" w:hAnsi="Arial" w:cs="Arial"/>
          <w:sz w:val="24"/>
          <w:szCs w:val="24"/>
        </w:rPr>
        <w:t>The</w:t>
      </w:r>
      <w:r w:rsidRPr="00F64A8A">
        <w:rPr>
          <w:rFonts w:ascii="Arial" w:hAnsi="Arial" w:cs="Arial"/>
          <w:sz w:val="24"/>
          <w:szCs w:val="24"/>
        </w:rPr>
        <w:t xml:space="preserve"> legal </w:t>
      </w:r>
      <w:r w:rsidR="000E0C37">
        <w:rPr>
          <w:rFonts w:ascii="Arial" w:hAnsi="Arial" w:cs="Arial"/>
          <w:sz w:val="24"/>
          <w:szCs w:val="24"/>
        </w:rPr>
        <w:t>practitioners</w:t>
      </w:r>
      <w:r w:rsidRPr="00F64A8A">
        <w:rPr>
          <w:rFonts w:ascii="Arial" w:hAnsi="Arial" w:cs="Arial"/>
          <w:sz w:val="24"/>
          <w:szCs w:val="24"/>
        </w:rPr>
        <w:t xml:space="preserve"> </w:t>
      </w:r>
      <w:r w:rsidR="004407FE">
        <w:rPr>
          <w:rFonts w:ascii="Arial" w:hAnsi="Arial" w:cs="Arial"/>
          <w:sz w:val="24"/>
          <w:szCs w:val="24"/>
        </w:rPr>
        <w:t xml:space="preserve">interviewed </w:t>
      </w:r>
      <w:r w:rsidRPr="00F64A8A">
        <w:rPr>
          <w:rFonts w:ascii="Arial" w:hAnsi="Arial" w:cs="Arial"/>
          <w:sz w:val="24"/>
          <w:szCs w:val="24"/>
        </w:rPr>
        <w:t xml:space="preserve">also recognised that reinforcing a </w:t>
      </w:r>
      <w:r w:rsidR="004407FE">
        <w:rPr>
          <w:rFonts w:ascii="Arial" w:hAnsi="Arial" w:cs="Arial"/>
          <w:sz w:val="24"/>
          <w:szCs w:val="24"/>
        </w:rPr>
        <w:t xml:space="preserve">purposive, </w:t>
      </w:r>
      <w:r w:rsidRPr="00F64A8A">
        <w:rPr>
          <w:rFonts w:ascii="Arial" w:hAnsi="Arial" w:cs="Arial"/>
          <w:sz w:val="24"/>
          <w:szCs w:val="24"/>
        </w:rPr>
        <w:t xml:space="preserve">goal- or outcome-orientation to decision-making in planning could entail </w:t>
      </w:r>
      <w:r w:rsidR="00030F59">
        <w:rPr>
          <w:rFonts w:ascii="Arial" w:hAnsi="Arial" w:cs="Arial"/>
          <w:sz w:val="24"/>
          <w:szCs w:val="24"/>
        </w:rPr>
        <w:t xml:space="preserve">far </w:t>
      </w:r>
      <w:r w:rsidRPr="00F64A8A">
        <w:rPr>
          <w:rFonts w:ascii="Arial" w:hAnsi="Arial" w:cs="Arial"/>
          <w:sz w:val="24"/>
          <w:szCs w:val="24"/>
        </w:rPr>
        <w:t>deeper challenges to the types of interpretive approaches that the UK courts take to applying the law (Reid</w:t>
      </w:r>
      <w:r w:rsidR="0000641A">
        <w:rPr>
          <w:rFonts w:ascii="Arial" w:hAnsi="Arial" w:cs="Arial"/>
          <w:sz w:val="24"/>
          <w:szCs w:val="24"/>
        </w:rPr>
        <w:t>,</w:t>
      </w:r>
      <w:r w:rsidRPr="00F64A8A">
        <w:rPr>
          <w:rFonts w:ascii="Arial" w:hAnsi="Arial" w:cs="Arial"/>
          <w:sz w:val="24"/>
          <w:szCs w:val="24"/>
        </w:rPr>
        <w:t xml:space="preserve"> 2012).</w:t>
      </w:r>
    </w:p>
    <w:p w:rsidR="0031144E" w:rsidRDefault="0031144E" w:rsidP="0031144E">
      <w:pPr>
        <w:rPr>
          <w:rFonts w:ascii="Arial" w:hAnsi="Arial" w:cs="Arial"/>
          <w:sz w:val="24"/>
          <w:szCs w:val="24"/>
        </w:rPr>
      </w:pPr>
    </w:p>
    <w:p w:rsidR="000E0C37" w:rsidRPr="00C33807" w:rsidRDefault="000E0C37" w:rsidP="000E0C37">
      <w:pPr>
        <w:rPr>
          <w:rFonts w:ascii="Arial" w:hAnsi="Arial" w:cs="Arial"/>
          <w:sz w:val="24"/>
          <w:szCs w:val="24"/>
        </w:rPr>
      </w:pPr>
      <w:r w:rsidRPr="00D83800">
        <w:rPr>
          <w:rFonts w:ascii="Arial" w:hAnsi="Arial" w:cs="Arial"/>
          <w:sz w:val="24"/>
          <w:szCs w:val="24"/>
        </w:rPr>
        <w:t xml:space="preserve">By comparison, </w:t>
      </w:r>
      <w:r>
        <w:rPr>
          <w:rFonts w:ascii="Arial" w:hAnsi="Arial" w:cs="Arial"/>
          <w:sz w:val="24"/>
          <w:szCs w:val="24"/>
        </w:rPr>
        <w:t>our research encountered</w:t>
      </w:r>
      <w:r w:rsidRPr="00D83800">
        <w:rPr>
          <w:rFonts w:ascii="Arial" w:hAnsi="Arial" w:cs="Arial"/>
          <w:sz w:val="24"/>
          <w:szCs w:val="24"/>
        </w:rPr>
        <w:t xml:space="preserve"> less spontaneous engagement with the merits of Scenario 2,</w:t>
      </w:r>
      <w:r w:rsidR="00557CDF">
        <w:rPr>
          <w:rFonts w:ascii="Arial" w:hAnsi="Arial" w:cs="Arial"/>
          <w:sz w:val="24"/>
          <w:szCs w:val="24"/>
        </w:rPr>
        <w:t xml:space="preserve"> </w:t>
      </w:r>
      <w:r w:rsidR="00557CDF" w:rsidRPr="00557CDF">
        <w:rPr>
          <w:rFonts w:ascii="Arial" w:hAnsi="Arial" w:cs="Arial"/>
          <w:i/>
          <w:sz w:val="24"/>
          <w:szCs w:val="24"/>
        </w:rPr>
        <w:t>Robust Oversight</w:t>
      </w:r>
      <w:r w:rsidRPr="00D83800">
        <w:rPr>
          <w:rFonts w:ascii="Arial" w:hAnsi="Arial" w:cs="Arial"/>
          <w:sz w:val="24"/>
          <w:szCs w:val="24"/>
        </w:rPr>
        <w:t>.</w:t>
      </w:r>
      <w:r>
        <w:rPr>
          <w:rFonts w:ascii="Arial" w:hAnsi="Arial" w:cs="Arial"/>
          <w:sz w:val="24"/>
          <w:szCs w:val="24"/>
        </w:rPr>
        <w:t xml:space="preserve"> The exception was Northern Ireland, where the question of ‘</w:t>
      </w:r>
      <w:r w:rsidRPr="00D83800">
        <w:rPr>
          <w:rFonts w:ascii="Arial" w:hAnsi="Arial" w:cs="Arial"/>
          <w:sz w:val="24"/>
          <w:szCs w:val="24"/>
        </w:rPr>
        <w:t>who would hold decision-makers to account once we left the EU?</w:t>
      </w:r>
      <w:r>
        <w:rPr>
          <w:rFonts w:ascii="Arial" w:hAnsi="Arial" w:cs="Arial"/>
          <w:sz w:val="24"/>
          <w:szCs w:val="24"/>
        </w:rPr>
        <w:t xml:space="preserve">’ was </w:t>
      </w:r>
      <w:r w:rsidR="004F2DB1">
        <w:rPr>
          <w:rFonts w:ascii="Arial" w:hAnsi="Arial" w:cs="Arial"/>
          <w:sz w:val="24"/>
          <w:szCs w:val="24"/>
        </w:rPr>
        <w:t>a</w:t>
      </w:r>
      <w:r>
        <w:rPr>
          <w:rFonts w:ascii="Arial" w:hAnsi="Arial" w:cs="Arial"/>
          <w:sz w:val="24"/>
          <w:szCs w:val="24"/>
        </w:rPr>
        <w:t xml:space="preserve"> </w:t>
      </w:r>
      <w:r w:rsidR="00B85267">
        <w:rPr>
          <w:rFonts w:ascii="Arial" w:hAnsi="Arial" w:cs="Arial"/>
          <w:sz w:val="24"/>
          <w:szCs w:val="24"/>
        </w:rPr>
        <w:t xml:space="preserve">pervasive </w:t>
      </w:r>
      <w:r>
        <w:rPr>
          <w:rFonts w:ascii="Arial" w:hAnsi="Arial" w:cs="Arial"/>
          <w:sz w:val="24"/>
          <w:szCs w:val="24"/>
        </w:rPr>
        <w:t>concern.</w:t>
      </w:r>
      <w:r w:rsidR="00CE528C">
        <w:rPr>
          <w:rFonts w:ascii="Arial" w:hAnsi="Arial" w:cs="Arial"/>
          <w:sz w:val="24"/>
          <w:szCs w:val="24"/>
        </w:rPr>
        <w:t xml:space="preserve"> </w:t>
      </w:r>
      <w:r>
        <w:rPr>
          <w:rFonts w:ascii="Arial" w:hAnsi="Arial" w:cs="Arial"/>
          <w:sz w:val="24"/>
          <w:szCs w:val="24"/>
        </w:rPr>
        <w:t>The broader quietism on these issues may reflect the fact that most</w:t>
      </w:r>
      <w:r w:rsidR="00CE528C">
        <w:rPr>
          <w:rFonts w:ascii="Arial" w:hAnsi="Arial" w:cs="Arial"/>
          <w:sz w:val="24"/>
          <w:szCs w:val="24"/>
        </w:rPr>
        <w:t xml:space="preserve"> </w:t>
      </w:r>
      <w:r>
        <w:rPr>
          <w:rFonts w:ascii="Arial" w:hAnsi="Arial" w:cs="Arial"/>
          <w:sz w:val="24"/>
          <w:szCs w:val="24"/>
        </w:rPr>
        <w:t xml:space="preserve">respondents </w:t>
      </w:r>
      <w:r w:rsidR="00D16553">
        <w:rPr>
          <w:rFonts w:ascii="Arial" w:hAnsi="Arial" w:cs="Arial"/>
          <w:sz w:val="24"/>
          <w:szCs w:val="24"/>
        </w:rPr>
        <w:t>were</w:t>
      </w:r>
      <w:r w:rsidRPr="00D83800">
        <w:rPr>
          <w:rFonts w:ascii="Arial" w:hAnsi="Arial" w:cs="Arial"/>
          <w:sz w:val="24"/>
          <w:szCs w:val="24"/>
        </w:rPr>
        <w:t xml:space="preserve"> genuinely ambivalent about the value of procedural checks and public engagement opportunities</w:t>
      </w:r>
      <w:r>
        <w:rPr>
          <w:rFonts w:ascii="Arial" w:hAnsi="Arial" w:cs="Arial"/>
          <w:sz w:val="24"/>
          <w:szCs w:val="24"/>
        </w:rPr>
        <w:t xml:space="preserve"> (as noted </w:t>
      </w:r>
      <w:r w:rsidR="005D51BD">
        <w:rPr>
          <w:rFonts w:ascii="Arial" w:hAnsi="Arial" w:cs="Arial"/>
          <w:sz w:val="24"/>
          <w:szCs w:val="24"/>
        </w:rPr>
        <w:t xml:space="preserve">by </w:t>
      </w:r>
      <w:r>
        <w:rPr>
          <w:rFonts w:ascii="Arial" w:hAnsi="Arial" w:cs="Arial"/>
          <w:sz w:val="24"/>
          <w:szCs w:val="24"/>
        </w:rPr>
        <w:t>Campbell and Marshall</w:t>
      </w:r>
      <w:r w:rsidR="0000641A">
        <w:rPr>
          <w:rFonts w:ascii="Arial" w:hAnsi="Arial" w:cs="Arial"/>
          <w:sz w:val="24"/>
          <w:szCs w:val="24"/>
        </w:rPr>
        <w:t>,</w:t>
      </w:r>
      <w:r>
        <w:rPr>
          <w:rFonts w:ascii="Arial" w:hAnsi="Arial" w:cs="Arial"/>
          <w:sz w:val="24"/>
          <w:szCs w:val="24"/>
        </w:rPr>
        <w:t xml:space="preserve"> 200</w:t>
      </w:r>
      <w:r w:rsidR="005F26FD">
        <w:rPr>
          <w:rFonts w:ascii="Arial" w:hAnsi="Arial" w:cs="Arial"/>
          <w:sz w:val="24"/>
          <w:szCs w:val="24"/>
        </w:rPr>
        <w:t>2</w:t>
      </w:r>
      <w:r>
        <w:rPr>
          <w:rFonts w:ascii="Arial" w:hAnsi="Arial" w:cs="Arial"/>
          <w:sz w:val="24"/>
          <w:szCs w:val="24"/>
        </w:rPr>
        <w:t xml:space="preserve">), which </w:t>
      </w:r>
      <w:r w:rsidR="005D51BD">
        <w:rPr>
          <w:rFonts w:ascii="Arial" w:hAnsi="Arial" w:cs="Arial"/>
          <w:sz w:val="24"/>
          <w:szCs w:val="24"/>
        </w:rPr>
        <w:t>could</w:t>
      </w:r>
      <w:r>
        <w:rPr>
          <w:rFonts w:ascii="Arial" w:hAnsi="Arial" w:cs="Arial"/>
          <w:sz w:val="24"/>
          <w:szCs w:val="24"/>
        </w:rPr>
        <w:t xml:space="preserve"> fetter their own discretion</w:t>
      </w:r>
      <w:r w:rsidRPr="00D83800">
        <w:rPr>
          <w:rFonts w:ascii="Arial" w:hAnsi="Arial" w:cs="Arial"/>
          <w:sz w:val="24"/>
          <w:szCs w:val="24"/>
        </w:rPr>
        <w:t>; or at least uncertain as to how they translate into substantively better outcomes</w:t>
      </w:r>
      <w:r>
        <w:rPr>
          <w:rFonts w:ascii="Arial" w:hAnsi="Arial" w:cs="Arial"/>
          <w:sz w:val="24"/>
          <w:szCs w:val="24"/>
        </w:rPr>
        <w:t xml:space="preserve">. </w:t>
      </w:r>
      <w:r w:rsidR="00EF1CFC">
        <w:rPr>
          <w:rFonts w:ascii="Arial" w:hAnsi="Arial" w:cs="Arial"/>
          <w:sz w:val="24"/>
          <w:szCs w:val="24"/>
        </w:rPr>
        <w:t>Responses to Scenario 2, that it was ‘not improving public engagement’, ‘not reducing delays’ and ‘had to be balanced against excessive bureaucracy’</w:t>
      </w:r>
      <w:r w:rsidR="004628C0">
        <w:rPr>
          <w:rFonts w:ascii="Arial" w:hAnsi="Arial" w:cs="Arial"/>
          <w:sz w:val="24"/>
          <w:szCs w:val="24"/>
        </w:rPr>
        <w:t xml:space="preserve"> indicate</w:t>
      </w:r>
      <w:r w:rsidR="00EF1CFC">
        <w:rPr>
          <w:rFonts w:ascii="Arial" w:hAnsi="Arial" w:cs="Arial"/>
          <w:sz w:val="24"/>
          <w:szCs w:val="24"/>
        </w:rPr>
        <w:t xml:space="preserve"> the benchmarks by which some judged the merits of future changes.</w:t>
      </w:r>
    </w:p>
    <w:p w:rsidR="000E0C37" w:rsidRPr="00441631" w:rsidRDefault="000E0C37" w:rsidP="0031144E">
      <w:pPr>
        <w:rPr>
          <w:rFonts w:ascii="Arial" w:hAnsi="Arial" w:cs="Arial"/>
          <w:sz w:val="24"/>
          <w:szCs w:val="24"/>
        </w:rPr>
      </w:pPr>
    </w:p>
    <w:p w:rsidR="00441631" w:rsidRDefault="00030F59" w:rsidP="0031144E">
      <w:pPr>
        <w:rPr>
          <w:rFonts w:ascii="Arial" w:hAnsi="Arial" w:cs="Arial"/>
          <w:sz w:val="24"/>
          <w:szCs w:val="24"/>
        </w:rPr>
      </w:pPr>
      <w:r>
        <w:rPr>
          <w:rFonts w:ascii="Arial" w:hAnsi="Arial" w:cs="Arial"/>
          <w:sz w:val="24"/>
          <w:szCs w:val="24"/>
        </w:rPr>
        <w:t>Interestingly,</w:t>
      </w:r>
      <w:r w:rsidR="00441631" w:rsidRPr="00441631">
        <w:rPr>
          <w:rFonts w:ascii="Arial" w:hAnsi="Arial" w:cs="Arial"/>
          <w:sz w:val="24"/>
          <w:szCs w:val="24"/>
        </w:rPr>
        <w:t xml:space="preserve"> respondents’ support for Scenario 3</w:t>
      </w:r>
      <w:r w:rsidR="00557CDF">
        <w:rPr>
          <w:rFonts w:ascii="Arial" w:hAnsi="Arial" w:cs="Arial"/>
          <w:sz w:val="24"/>
          <w:szCs w:val="24"/>
        </w:rPr>
        <w:t xml:space="preserve">, </w:t>
      </w:r>
      <w:r w:rsidR="00557CDF" w:rsidRPr="00557CDF">
        <w:rPr>
          <w:rFonts w:ascii="Arial" w:hAnsi="Arial" w:cs="Arial"/>
          <w:i/>
          <w:sz w:val="24"/>
          <w:szCs w:val="24"/>
        </w:rPr>
        <w:t>Flexible means</w:t>
      </w:r>
      <w:r w:rsidR="00557CDF">
        <w:rPr>
          <w:rFonts w:ascii="Arial" w:hAnsi="Arial" w:cs="Arial"/>
          <w:sz w:val="24"/>
          <w:szCs w:val="24"/>
        </w:rPr>
        <w:t xml:space="preserve">, </w:t>
      </w:r>
      <w:r>
        <w:rPr>
          <w:rFonts w:ascii="Arial" w:hAnsi="Arial" w:cs="Arial"/>
          <w:sz w:val="24"/>
          <w:szCs w:val="24"/>
        </w:rPr>
        <w:t>was</w:t>
      </w:r>
      <w:r w:rsidR="00441631" w:rsidRPr="00441631">
        <w:rPr>
          <w:rFonts w:ascii="Arial" w:hAnsi="Arial" w:cs="Arial"/>
          <w:sz w:val="24"/>
          <w:szCs w:val="24"/>
        </w:rPr>
        <w:t xml:space="preserve"> nearly as strong as for Scenario 1. </w:t>
      </w:r>
      <w:r w:rsidR="00974234">
        <w:rPr>
          <w:rFonts w:ascii="Arial" w:hAnsi="Arial" w:cs="Arial"/>
          <w:sz w:val="24"/>
          <w:szCs w:val="24"/>
        </w:rPr>
        <w:t xml:space="preserve"> Flexibility was supported </w:t>
      </w:r>
      <w:r w:rsidR="00EF1CFC">
        <w:rPr>
          <w:rFonts w:ascii="Arial" w:hAnsi="Arial" w:cs="Arial"/>
          <w:sz w:val="24"/>
          <w:szCs w:val="24"/>
        </w:rPr>
        <w:t>because of</w:t>
      </w:r>
      <w:r w:rsidR="00974234">
        <w:rPr>
          <w:rFonts w:ascii="Arial" w:hAnsi="Arial" w:cs="Arial"/>
          <w:sz w:val="24"/>
          <w:szCs w:val="24"/>
        </w:rPr>
        <w:t xml:space="preserve"> the nature of environmental problems: ‘if we’re going to meet the very complex goals that we’re faced with, particularly in the environmental field, then you have to have that flexibility’. It was also viewed in spatial terms, as allowing responsive</w:t>
      </w:r>
      <w:r w:rsidR="005D51BD">
        <w:rPr>
          <w:rFonts w:ascii="Arial" w:hAnsi="Arial" w:cs="Arial"/>
          <w:sz w:val="24"/>
          <w:szCs w:val="24"/>
        </w:rPr>
        <w:t>ness</w:t>
      </w:r>
      <w:r w:rsidR="00974234">
        <w:rPr>
          <w:rFonts w:ascii="Arial" w:hAnsi="Arial" w:cs="Arial"/>
          <w:sz w:val="24"/>
          <w:szCs w:val="24"/>
        </w:rPr>
        <w:t xml:space="preserve"> to the varying circumstances of places</w:t>
      </w:r>
      <w:r w:rsidR="00203692">
        <w:rPr>
          <w:rFonts w:ascii="Arial" w:hAnsi="Arial" w:cs="Arial"/>
          <w:sz w:val="24"/>
          <w:szCs w:val="24"/>
        </w:rPr>
        <w:t>, regions</w:t>
      </w:r>
      <w:r w:rsidR="00974234">
        <w:rPr>
          <w:rFonts w:ascii="Arial" w:hAnsi="Arial" w:cs="Arial"/>
          <w:sz w:val="24"/>
          <w:szCs w:val="24"/>
        </w:rPr>
        <w:t xml:space="preserve"> and nations</w:t>
      </w:r>
      <w:r w:rsidR="00EF1CFC">
        <w:rPr>
          <w:rFonts w:ascii="Arial" w:hAnsi="Arial" w:cs="Arial"/>
          <w:sz w:val="24"/>
          <w:szCs w:val="24"/>
        </w:rPr>
        <w:t>, and which ‘empowered communities/regions/nations to deliver desired outcomes which respected local conditions’</w:t>
      </w:r>
      <w:r w:rsidR="00974234">
        <w:rPr>
          <w:rFonts w:ascii="Arial" w:hAnsi="Arial" w:cs="Arial"/>
          <w:sz w:val="24"/>
          <w:szCs w:val="24"/>
        </w:rPr>
        <w:t>.</w:t>
      </w:r>
      <w:r w:rsidR="00CE528C">
        <w:rPr>
          <w:rFonts w:ascii="Arial" w:hAnsi="Arial" w:cs="Arial"/>
          <w:sz w:val="24"/>
          <w:szCs w:val="24"/>
        </w:rPr>
        <w:t xml:space="preserve"> </w:t>
      </w:r>
      <w:r w:rsidR="00441631" w:rsidRPr="00441631">
        <w:rPr>
          <w:rFonts w:ascii="Arial" w:hAnsi="Arial" w:cs="Arial"/>
          <w:sz w:val="24"/>
          <w:szCs w:val="24"/>
        </w:rPr>
        <w:t xml:space="preserve">Support for Scenario 3 may have been buoyed by stating that it operated in the context of firm environmental targets, though a few respondents did recognise that being more flexible about the means by which </w:t>
      </w:r>
      <w:r w:rsidR="00D16553">
        <w:rPr>
          <w:rFonts w:ascii="Arial" w:hAnsi="Arial" w:cs="Arial"/>
          <w:sz w:val="24"/>
          <w:szCs w:val="24"/>
        </w:rPr>
        <w:t>environmental</w:t>
      </w:r>
      <w:r w:rsidR="00441631" w:rsidRPr="00441631">
        <w:rPr>
          <w:rFonts w:ascii="Arial" w:hAnsi="Arial" w:cs="Arial"/>
          <w:sz w:val="24"/>
          <w:szCs w:val="24"/>
        </w:rPr>
        <w:t xml:space="preserve"> objectives are achieved could implicitly affect the ends</w:t>
      </w:r>
      <w:r w:rsidR="00974234">
        <w:rPr>
          <w:rFonts w:ascii="Arial" w:hAnsi="Arial" w:cs="Arial"/>
          <w:sz w:val="24"/>
          <w:szCs w:val="24"/>
        </w:rPr>
        <w:t>, as we discuss below</w:t>
      </w:r>
      <w:r w:rsidR="00441631" w:rsidRPr="00441631">
        <w:rPr>
          <w:rFonts w:ascii="Arial" w:hAnsi="Arial" w:cs="Arial"/>
          <w:sz w:val="24"/>
          <w:szCs w:val="24"/>
        </w:rPr>
        <w:t>.</w:t>
      </w:r>
    </w:p>
    <w:p w:rsidR="004C638D" w:rsidRDefault="004C638D" w:rsidP="0031144E">
      <w:pPr>
        <w:rPr>
          <w:rFonts w:ascii="Arial" w:hAnsi="Arial" w:cs="Arial"/>
          <w:sz w:val="24"/>
          <w:szCs w:val="24"/>
        </w:rPr>
      </w:pPr>
    </w:p>
    <w:p w:rsidR="004C638D" w:rsidRPr="004C638D" w:rsidRDefault="004C638D" w:rsidP="004C638D">
      <w:pPr>
        <w:rPr>
          <w:rFonts w:ascii="Arial" w:hAnsi="Arial" w:cs="Arial"/>
          <w:sz w:val="24"/>
          <w:szCs w:val="24"/>
        </w:rPr>
      </w:pPr>
      <w:r>
        <w:rPr>
          <w:rFonts w:ascii="Arial" w:hAnsi="Arial" w:cs="Arial"/>
          <w:sz w:val="24"/>
          <w:szCs w:val="24"/>
        </w:rPr>
        <w:t>A</w:t>
      </w:r>
      <w:r w:rsidR="00822CF2">
        <w:rPr>
          <w:rFonts w:ascii="Arial" w:hAnsi="Arial" w:cs="Arial"/>
          <w:sz w:val="24"/>
          <w:szCs w:val="24"/>
        </w:rPr>
        <w:t xml:space="preserve">lthough there was much positivity for ‘removing the straitjacket’ </w:t>
      </w:r>
      <w:r w:rsidR="003B0E69">
        <w:rPr>
          <w:rFonts w:ascii="Arial" w:hAnsi="Arial" w:cs="Arial"/>
          <w:sz w:val="24"/>
          <w:szCs w:val="24"/>
        </w:rPr>
        <w:t xml:space="preserve">and ‘tick-boxes’ </w:t>
      </w:r>
      <w:r w:rsidR="00822CF2">
        <w:rPr>
          <w:rFonts w:ascii="Arial" w:hAnsi="Arial" w:cs="Arial"/>
          <w:sz w:val="24"/>
          <w:szCs w:val="24"/>
        </w:rPr>
        <w:t xml:space="preserve">of procedural </w:t>
      </w:r>
      <w:r w:rsidR="003B0E69">
        <w:rPr>
          <w:rFonts w:ascii="Arial" w:hAnsi="Arial" w:cs="Arial"/>
          <w:sz w:val="24"/>
          <w:szCs w:val="24"/>
        </w:rPr>
        <w:t>constraints</w:t>
      </w:r>
      <w:r>
        <w:rPr>
          <w:rFonts w:ascii="Arial" w:hAnsi="Arial" w:cs="Arial"/>
          <w:sz w:val="24"/>
          <w:szCs w:val="24"/>
        </w:rPr>
        <w:t xml:space="preserve">, respondents were alert to how </w:t>
      </w:r>
      <w:r w:rsidR="00822CF2">
        <w:rPr>
          <w:rFonts w:ascii="Arial" w:hAnsi="Arial" w:cs="Arial"/>
          <w:sz w:val="24"/>
          <w:szCs w:val="24"/>
        </w:rPr>
        <w:t>increased</w:t>
      </w:r>
      <w:r>
        <w:rPr>
          <w:rFonts w:ascii="Arial" w:hAnsi="Arial" w:cs="Arial"/>
          <w:sz w:val="24"/>
          <w:szCs w:val="24"/>
        </w:rPr>
        <w:t xml:space="preserve"> flexibility could be exploited</w:t>
      </w:r>
      <w:r w:rsidR="00822CF2">
        <w:rPr>
          <w:rFonts w:ascii="Arial" w:hAnsi="Arial" w:cs="Arial"/>
          <w:sz w:val="24"/>
          <w:szCs w:val="24"/>
        </w:rPr>
        <w:t xml:space="preserve"> and the risks of procedural simplification</w:t>
      </w:r>
      <w:r>
        <w:rPr>
          <w:rFonts w:ascii="Arial" w:hAnsi="Arial" w:cs="Arial"/>
          <w:sz w:val="24"/>
          <w:szCs w:val="24"/>
        </w:rPr>
        <w:t>.</w:t>
      </w:r>
      <w:r w:rsidR="00822CF2">
        <w:rPr>
          <w:rFonts w:ascii="Arial" w:hAnsi="Arial" w:cs="Arial"/>
          <w:sz w:val="24"/>
          <w:szCs w:val="24"/>
        </w:rPr>
        <w:t xml:space="preserve"> </w:t>
      </w:r>
      <w:r w:rsidR="00974234">
        <w:rPr>
          <w:rFonts w:ascii="Arial" w:hAnsi="Arial" w:cs="Arial"/>
          <w:sz w:val="24"/>
          <w:szCs w:val="24"/>
        </w:rPr>
        <w:t>T</w:t>
      </w:r>
      <w:r w:rsidRPr="004C638D">
        <w:rPr>
          <w:rFonts w:ascii="Arial" w:hAnsi="Arial" w:cs="Arial"/>
          <w:sz w:val="24"/>
          <w:szCs w:val="24"/>
        </w:rPr>
        <w:t>here</w:t>
      </w:r>
      <w:r w:rsidR="00C33807">
        <w:rPr>
          <w:rFonts w:ascii="Arial" w:hAnsi="Arial" w:cs="Arial"/>
          <w:sz w:val="24"/>
          <w:szCs w:val="24"/>
        </w:rPr>
        <w:t xml:space="preserve"> could be </w:t>
      </w:r>
      <w:r w:rsidR="00822CF2">
        <w:rPr>
          <w:rFonts w:ascii="Arial" w:hAnsi="Arial" w:cs="Arial"/>
          <w:sz w:val="24"/>
          <w:szCs w:val="24"/>
        </w:rPr>
        <w:t>threat</w:t>
      </w:r>
      <w:r w:rsidR="00C33807">
        <w:rPr>
          <w:rFonts w:ascii="Arial" w:hAnsi="Arial" w:cs="Arial"/>
          <w:sz w:val="24"/>
          <w:szCs w:val="24"/>
        </w:rPr>
        <w:t>s to existing</w:t>
      </w:r>
      <w:r w:rsidRPr="004C638D">
        <w:rPr>
          <w:rFonts w:ascii="Arial" w:hAnsi="Arial" w:cs="Arial"/>
          <w:sz w:val="24"/>
          <w:szCs w:val="24"/>
        </w:rPr>
        <w:t xml:space="preserve"> valued </w:t>
      </w:r>
      <w:r w:rsidR="00974234">
        <w:rPr>
          <w:rFonts w:ascii="Arial" w:hAnsi="Arial" w:cs="Arial"/>
          <w:sz w:val="24"/>
          <w:szCs w:val="24"/>
        </w:rPr>
        <w:t xml:space="preserve">environmental </w:t>
      </w:r>
      <w:r w:rsidRPr="004C638D">
        <w:rPr>
          <w:rFonts w:ascii="Arial" w:hAnsi="Arial" w:cs="Arial"/>
          <w:sz w:val="24"/>
          <w:szCs w:val="24"/>
        </w:rPr>
        <w:t xml:space="preserve">sites if new flexibilities were not organised as </w:t>
      </w:r>
      <w:r w:rsidRPr="004C638D">
        <w:rPr>
          <w:rFonts w:ascii="Arial" w:hAnsi="Arial" w:cs="Arial"/>
          <w:i/>
          <w:sz w:val="24"/>
          <w:szCs w:val="24"/>
        </w:rPr>
        <w:t>addition</w:t>
      </w:r>
      <w:r w:rsidR="00822CF2">
        <w:rPr>
          <w:rFonts w:ascii="Arial" w:hAnsi="Arial" w:cs="Arial"/>
          <w:i/>
          <w:sz w:val="24"/>
          <w:szCs w:val="24"/>
        </w:rPr>
        <w:t>al</w:t>
      </w:r>
      <w:r w:rsidRPr="004C638D">
        <w:rPr>
          <w:rFonts w:ascii="Arial" w:hAnsi="Arial" w:cs="Arial"/>
          <w:i/>
          <w:sz w:val="24"/>
          <w:szCs w:val="24"/>
        </w:rPr>
        <w:t xml:space="preserve"> to</w:t>
      </w:r>
      <w:r w:rsidRPr="004C638D">
        <w:rPr>
          <w:rFonts w:ascii="Arial" w:hAnsi="Arial" w:cs="Arial"/>
          <w:sz w:val="24"/>
          <w:szCs w:val="24"/>
        </w:rPr>
        <w:t xml:space="preserve"> protective measures</w:t>
      </w:r>
      <w:r w:rsidR="00822CF2">
        <w:rPr>
          <w:rFonts w:ascii="Arial" w:hAnsi="Arial" w:cs="Arial"/>
          <w:sz w:val="24"/>
          <w:szCs w:val="24"/>
        </w:rPr>
        <w:t>: ‘there is a risk</w:t>
      </w:r>
      <w:r w:rsidR="00F1269A">
        <w:rPr>
          <w:rFonts w:ascii="Arial" w:hAnsi="Arial" w:cs="Arial"/>
          <w:sz w:val="24"/>
          <w:szCs w:val="24"/>
        </w:rPr>
        <w:t xml:space="preserve"> that you lose some very precious habitat ... because you think it can be offset elsewhere’.</w:t>
      </w:r>
      <w:r w:rsidRPr="004C638D">
        <w:rPr>
          <w:rFonts w:ascii="Arial" w:hAnsi="Arial" w:cs="Arial"/>
          <w:sz w:val="24"/>
          <w:szCs w:val="24"/>
        </w:rPr>
        <w:t xml:space="preserve"> </w:t>
      </w:r>
      <w:r w:rsidR="00822CF2">
        <w:rPr>
          <w:rFonts w:ascii="Arial" w:hAnsi="Arial" w:cs="Arial"/>
          <w:sz w:val="24"/>
          <w:szCs w:val="24"/>
        </w:rPr>
        <w:t xml:space="preserve">Again, attitudes towards regulatory styles are interconnected with beliefs about how things would pan out in particular situations, </w:t>
      </w:r>
      <w:r w:rsidR="00453F28">
        <w:rPr>
          <w:rFonts w:ascii="Arial" w:hAnsi="Arial" w:cs="Arial"/>
          <w:sz w:val="24"/>
          <w:szCs w:val="24"/>
        </w:rPr>
        <w:t>as new reg</w:t>
      </w:r>
      <w:r w:rsidR="00B85267">
        <w:rPr>
          <w:rFonts w:ascii="Arial" w:hAnsi="Arial" w:cs="Arial"/>
          <w:sz w:val="24"/>
          <w:szCs w:val="24"/>
        </w:rPr>
        <w:t xml:space="preserve">ulatory approaches </w:t>
      </w:r>
      <w:r w:rsidR="003B0E69">
        <w:rPr>
          <w:rFonts w:ascii="Arial" w:hAnsi="Arial" w:cs="Arial"/>
          <w:sz w:val="24"/>
          <w:szCs w:val="24"/>
        </w:rPr>
        <w:t>a</w:t>
      </w:r>
      <w:r w:rsidR="00B85267">
        <w:rPr>
          <w:rFonts w:ascii="Arial" w:hAnsi="Arial" w:cs="Arial"/>
          <w:sz w:val="24"/>
          <w:szCs w:val="24"/>
        </w:rPr>
        <w:t>re exploited</w:t>
      </w:r>
      <w:r w:rsidR="00453F28">
        <w:rPr>
          <w:rFonts w:ascii="Arial" w:hAnsi="Arial" w:cs="Arial"/>
          <w:sz w:val="24"/>
          <w:szCs w:val="24"/>
        </w:rPr>
        <w:t xml:space="preserve"> by developers, planning authorities and government</w:t>
      </w:r>
      <w:r w:rsidR="000629B6">
        <w:rPr>
          <w:rFonts w:ascii="Arial" w:hAnsi="Arial" w:cs="Arial"/>
          <w:sz w:val="24"/>
          <w:szCs w:val="24"/>
        </w:rPr>
        <w:t xml:space="preserve">: </w:t>
      </w:r>
      <w:r w:rsidR="000629B6" w:rsidRPr="000629B6">
        <w:rPr>
          <w:rFonts w:ascii="Arial" w:hAnsi="Arial" w:cs="Arial"/>
          <w:sz w:val="24"/>
          <w:szCs w:val="24"/>
        </w:rPr>
        <w:t>‘</w:t>
      </w:r>
      <w:r w:rsidR="009C30D8" w:rsidRPr="009C30D8">
        <w:rPr>
          <w:rFonts w:ascii="Arial" w:hAnsi="Arial" w:cs="Arial"/>
          <w:sz w:val="24"/>
          <w:szCs w:val="24"/>
          <w:lang w:val="en-IE"/>
        </w:rPr>
        <w:t>Give them an inch and they'll take a mile</w:t>
      </w:r>
      <w:r w:rsidR="009C30D8" w:rsidRPr="003B0E69">
        <w:rPr>
          <w:rFonts w:ascii="Arial" w:hAnsi="Arial" w:cs="Arial"/>
          <w:sz w:val="24"/>
          <w:szCs w:val="24"/>
          <w:lang w:val="en-IE"/>
        </w:rPr>
        <w:t>!</w:t>
      </w:r>
      <w:r w:rsidR="009C30D8" w:rsidRPr="009C30D8">
        <w:rPr>
          <w:rFonts w:ascii="Arial" w:hAnsi="Arial" w:cs="Arial"/>
          <w:sz w:val="24"/>
          <w:szCs w:val="24"/>
          <w:lang w:val="en-IE"/>
        </w:rPr>
        <w:t>’</w:t>
      </w:r>
      <w:r w:rsidR="00822CF2">
        <w:rPr>
          <w:rFonts w:ascii="Arial" w:hAnsi="Arial" w:cs="Arial"/>
          <w:sz w:val="24"/>
          <w:szCs w:val="24"/>
        </w:rPr>
        <w:t xml:space="preserve">  </w:t>
      </w:r>
      <w:r w:rsidRPr="004C638D">
        <w:rPr>
          <w:rFonts w:ascii="Arial" w:hAnsi="Arial" w:cs="Arial"/>
          <w:sz w:val="24"/>
          <w:szCs w:val="24"/>
        </w:rPr>
        <w:t xml:space="preserve">Greater flexibility </w:t>
      </w:r>
      <w:r w:rsidR="00974234">
        <w:rPr>
          <w:rFonts w:ascii="Arial" w:hAnsi="Arial" w:cs="Arial"/>
          <w:sz w:val="24"/>
          <w:szCs w:val="24"/>
        </w:rPr>
        <w:t xml:space="preserve">was </w:t>
      </w:r>
      <w:r w:rsidR="00822CF2">
        <w:rPr>
          <w:rFonts w:ascii="Arial" w:hAnsi="Arial" w:cs="Arial"/>
          <w:sz w:val="24"/>
          <w:szCs w:val="24"/>
        </w:rPr>
        <w:t xml:space="preserve">therefore also </w:t>
      </w:r>
      <w:r w:rsidR="00974234">
        <w:rPr>
          <w:rFonts w:ascii="Arial" w:hAnsi="Arial" w:cs="Arial"/>
          <w:sz w:val="24"/>
          <w:szCs w:val="24"/>
        </w:rPr>
        <w:t xml:space="preserve">deemed to </w:t>
      </w:r>
      <w:r w:rsidRPr="004C638D">
        <w:rPr>
          <w:rFonts w:ascii="Arial" w:hAnsi="Arial" w:cs="Arial"/>
          <w:sz w:val="24"/>
          <w:szCs w:val="24"/>
        </w:rPr>
        <w:t xml:space="preserve">require careful controls, including provision for accountability, </w:t>
      </w:r>
      <w:r w:rsidR="00A67CC9">
        <w:rPr>
          <w:rFonts w:ascii="Arial" w:hAnsi="Arial" w:cs="Arial"/>
          <w:sz w:val="24"/>
          <w:szCs w:val="24"/>
        </w:rPr>
        <w:t>monitoring and sufficient resources, otherwise it could ‘enable complete disregard for the environment</w:t>
      </w:r>
      <w:r w:rsidR="003B0E69">
        <w:rPr>
          <w:rFonts w:ascii="Arial" w:hAnsi="Arial" w:cs="Arial"/>
          <w:sz w:val="24"/>
          <w:szCs w:val="24"/>
        </w:rPr>
        <w:t>’</w:t>
      </w:r>
      <w:r w:rsidRPr="004C638D">
        <w:rPr>
          <w:rFonts w:ascii="Arial" w:hAnsi="Arial" w:cs="Arial"/>
          <w:sz w:val="24"/>
          <w:szCs w:val="24"/>
        </w:rPr>
        <w:t>.</w:t>
      </w:r>
      <w:r w:rsidR="00CE528C">
        <w:rPr>
          <w:rFonts w:ascii="Arial" w:hAnsi="Arial" w:cs="Arial"/>
          <w:sz w:val="24"/>
          <w:szCs w:val="24"/>
        </w:rPr>
        <w:t xml:space="preserve"> </w:t>
      </w:r>
    </w:p>
    <w:p w:rsidR="00F64A8A" w:rsidRDefault="00F64A8A" w:rsidP="0031144E">
      <w:pPr>
        <w:rPr>
          <w:rFonts w:ascii="Arial" w:hAnsi="Arial" w:cs="Arial"/>
          <w:sz w:val="24"/>
          <w:szCs w:val="24"/>
        </w:rPr>
      </w:pPr>
    </w:p>
    <w:p w:rsidR="00974234" w:rsidRPr="00D83800" w:rsidRDefault="00D83800" w:rsidP="00D83800">
      <w:pPr>
        <w:rPr>
          <w:rFonts w:ascii="Arial" w:hAnsi="Arial" w:cs="Arial"/>
          <w:sz w:val="24"/>
          <w:szCs w:val="24"/>
        </w:rPr>
      </w:pPr>
      <w:r w:rsidRPr="00D83800">
        <w:rPr>
          <w:rFonts w:ascii="Arial" w:hAnsi="Arial" w:cs="Arial"/>
          <w:sz w:val="24"/>
          <w:szCs w:val="24"/>
        </w:rPr>
        <w:t xml:space="preserve">For almost all respondents, </w:t>
      </w:r>
      <w:r w:rsidR="00F1269A">
        <w:rPr>
          <w:rFonts w:ascii="Arial" w:hAnsi="Arial" w:cs="Arial"/>
          <w:sz w:val="24"/>
          <w:szCs w:val="24"/>
        </w:rPr>
        <w:t>S</w:t>
      </w:r>
      <w:r w:rsidRPr="00D83800">
        <w:rPr>
          <w:rFonts w:ascii="Arial" w:hAnsi="Arial" w:cs="Arial"/>
          <w:sz w:val="24"/>
          <w:szCs w:val="24"/>
        </w:rPr>
        <w:t xml:space="preserve">cenario 4 – </w:t>
      </w:r>
      <w:r w:rsidR="003B0E69">
        <w:rPr>
          <w:rFonts w:ascii="Arial" w:hAnsi="Arial" w:cs="Arial"/>
          <w:sz w:val="24"/>
          <w:szCs w:val="24"/>
        </w:rPr>
        <w:t>S</w:t>
      </w:r>
      <w:r w:rsidRPr="00D83800">
        <w:rPr>
          <w:rFonts w:ascii="Arial" w:hAnsi="Arial" w:cs="Arial"/>
          <w:sz w:val="24"/>
          <w:szCs w:val="24"/>
        </w:rPr>
        <w:t>often</w:t>
      </w:r>
      <w:r w:rsidR="003B0E69">
        <w:rPr>
          <w:rFonts w:ascii="Arial" w:hAnsi="Arial" w:cs="Arial"/>
          <w:sz w:val="24"/>
          <w:szCs w:val="24"/>
        </w:rPr>
        <w:t>ing</w:t>
      </w:r>
      <w:r w:rsidRPr="00D83800">
        <w:rPr>
          <w:rFonts w:ascii="Arial" w:hAnsi="Arial" w:cs="Arial"/>
          <w:sz w:val="24"/>
          <w:szCs w:val="24"/>
        </w:rPr>
        <w:t xml:space="preserve"> </w:t>
      </w:r>
      <w:r w:rsidR="003B0E69">
        <w:rPr>
          <w:rFonts w:ascii="Arial" w:hAnsi="Arial" w:cs="Arial"/>
          <w:sz w:val="24"/>
          <w:szCs w:val="24"/>
        </w:rPr>
        <w:t>standards</w:t>
      </w:r>
      <w:r w:rsidRPr="00D83800">
        <w:rPr>
          <w:rFonts w:ascii="Arial" w:hAnsi="Arial" w:cs="Arial"/>
          <w:sz w:val="24"/>
          <w:szCs w:val="24"/>
        </w:rPr>
        <w:t>– was viewed negatively</w:t>
      </w:r>
      <w:r w:rsidR="00F1269A">
        <w:rPr>
          <w:rFonts w:ascii="Arial" w:hAnsi="Arial" w:cs="Arial"/>
          <w:sz w:val="24"/>
          <w:szCs w:val="24"/>
        </w:rPr>
        <w:t>, describing it</w:t>
      </w:r>
      <w:r w:rsidRPr="00D83800">
        <w:rPr>
          <w:rFonts w:ascii="Arial" w:hAnsi="Arial" w:cs="Arial"/>
          <w:sz w:val="24"/>
          <w:szCs w:val="24"/>
        </w:rPr>
        <w:t xml:space="preserve"> as ‘my worst nightmare’</w:t>
      </w:r>
      <w:r w:rsidR="00203692">
        <w:rPr>
          <w:rFonts w:ascii="Arial" w:hAnsi="Arial" w:cs="Arial"/>
          <w:sz w:val="24"/>
          <w:szCs w:val="24"/>
        </w:rPr>
        <w:t>;  ‘a real threat’</w:t>
      </w:r>
      <w:r w:rsidR="00F1269A">
        <w:rPr>
          <w:rFonts w:ascii="Arial" w:hAnsi="Arial" w:cs="Arial"/>
          <w:sz w:val="24"/>
          <w:szCs w:val="24"/>
        </w:rPr>
        <w:t xml:space="preserve"> and ‘open to abuse’</w:t>
      </w:r>
      <w:r w:rsidR="00203692">
        <w:rPr>
          <w:rFonts w:ascii="Arial" w:hAnsi="Arial" w:cs="Arial"/>
          <w:sz w:val="24"/>
          <w:szCs w:val="24"/>
        </w:rPr>
        <w:t xml:space="preserve">. </w:t>
      </w:r>
      <w:r w:rsidR="00FF171C">
        <w:rPr>
          <w:rFonts w:ascii="Arial" w:hAnsi="Arial" w:cs="Arial"/>
          <w:sz w:val="24"/>
          <w:szCs w:val="24"/>
        </w:rPr>
        <w:t>Many r</w:t>
      </w:r>
      <w:r w:rsidRPr="00D83800">
        <w:rPr>
          <w:rFonts w:ascii="Arial" w:hAnsi="Arial" w:cs="Arial"/>
          <w:sz w:val="24"/>
          <w:szCs w:val="24"/>
        </w:rPr>
        <w:t>espondents were almost uniformly concerned that this might translate into domestic politicians exercising any new found powers to weaken environmental protections in the pursuit of short-term g</w:t>
      </w:r>
      <w:r w:rsidR="00F1269A">
        <w:rPr>
          <w:rFonts w:ascii="Arial" w:hAnsi="Arial" w:cs="Arial"/>
          <w:sz w:val="24"/>
          <w:szCs w:val="24"/>
        </w:rPr>
        <w:t>rowth</w:t>
      </w:r>
      <w:r w:rsidRPr="00D83800">
        <w:rPr>
          <w:rFonts w:ascii="Arial" w:hAnsi="Arial" w:cs="Arial"/>
          <w:sz w:val="24"/>
          <w:szCs w:val="24"/>
        </w:rPr>
        <w:t>. For some, this reflected perceptions that</w:t>
      </w:r>
      <w:r w:rsidR="003C4CC2">
        <w:rPr>
          <w:rFonts w:ascii="Arial" w:hAnsi="Arial" w:cs="Arial"/>
          <w:sz w:val="24"/>
          <w:szCs w:val="24"/>
        </w:rPr>
        <w:t>, since 2010,</w:t>
      </w:r>
      <w:r w:rsidRPr="00D83800">
        <w:rPr>
          <w:rFonts w:ascii="Arial" w:hAnsi="Arial" w:cs="Arial"/>
          <w:sz w:val="24"/>
          <w:szCs w:val="24"/>
        </w:rPr>
        <w:t xml:space="preserve"> </w:t>
      </w:r>
      <w:r w:rsidR="004C638D">
        <w:rPr>
          <w:rFonts w:ascii="Arial" w:hAnsi="Arial" w:cs="Arial"/>
          <w:sz w:val="24"/>
          <w:szCs w:val="24"/>
        </w:rPr>
        <w:t xml:space="preserve">the </w:t>
      </w:r>
      <w:r w:rsidR="00FF171C">
        <w:rPr>
          <w:rFonts w:ascii="Arial" w:hAnsi="Arial" w:cs="Arial"/>
          <w:sz w:val="24"/>
          <w:szCs w:val="24"/>
        </w:rPr>
        <w:t xml:space="preserve">Westminster government </w:t>
      </w:r>
      <w:r w:rsidRPr="00D83800">
        <w:rPr>
          <w:rFonts w:ascii="Arial" w:hAnsi="Arial" w:cs="Arial"/>
          <w:sz w:val="24"/>
          <w:szCs w:val="24"/>
        </w:rPr>
        <w:t xml:space="preserve">had come to regard EU </w:t>
      </w:r>
      <w:r w:rsidR="003C4CC2">
        <w:rPr>
          <w:rFonts w:ascii="Arial" w:hAnsi="Arial" w:cs="Arial"/>
          <w:sz w:val="24"/>
          <w:szCs w:val="24"/>
        </w:rPr>
        <w:t xml:space="preserve">environmental </w:t>
      </w:r>
      <w:r w:rsidRPr="00D83800">
        <w:rPr>
          <w:rFonts w:ascii="Arial" w:hAnsi="Arial" w:cs="Arial"/>
          <w:sz w:val="24"/>
          <w:szCs w:val="24"/>
        </w:rPr>
        <w:t xml:space="preserve">requirements as a barrier to development, especially housing. Respondents added that any ‘gains’ </w:t>
      </w:r>
      <w:r w:rsidR="00A67CC9">
        <w:rPr>
          <w:rFonts w:ascii="Arial" w:hAnsi="Arial" w:cs="Arial"/>
          <w:sz w:val="24"/>
          <w:szCs w:val="24"/>
        </w:rPr>
        <w:t>for development from</w:t>
      </w:r>
      <w:r w:rsidRPr="00D83800">
        <w:rPr>
          <w:rFonts w:ascii="Arial" w:hAnsi="Arial" w:cs="Arial"/>
          <w:sz w:val="24"/>
          <w:szCs w:val="24"/>
        </w:rPr>
        <w:t xml:space="preserve"> such streamlining could be illusory, insofar as weakening standards and requirements could simply create more uncertainty </w:t>
      </w:r>
      <w:r w:rsidR="00BA2202">
        <w:rPr>
          <w:rFonts w:ascii="Arial" w:hAnsi="Arial" w:cs="Arial"/>
          <w:sz w:val="24"/>
          <w:szCs w:val="24"/>
        </w:rPr>
        <w:t xml:space="preserve">for developers </w:t>
      </w:r>
      <w:r w:rsidRPr="00D83800">
        <w:rPr>
          <w:rFonts w:ascii="Arial" w:hAnsi="Arial" w:cs="Arial"/>
          <w:sz w:val="24"/>
          <w:szCs w:val="24"/>
        </w:rPr>
        <w:t xml:space="preserve">and lead to more cases ending in the </w:t>
      </w:r>
      <w:r w:rsidR="00A9629F" w:rsidRPr="00D83800">
        <w:rPr>
          <w:rFonts w:ascii="Arial" w:hAnsi="Arial" w:cs="Arial"/>
          <w:sz w:val="24"/>
          <w:szCs w:val="24"/>
        </w:rPr>
        <w:t>courts</w:t>
      </w:r>
      <w:r w:rsidR="00A9629F" w:rsidRPr="00A67CC9">
        <w:rPr>
          <w:rFonts w:ascii="Arial" w:hAnsi="Arial" w:cs="Arial"/>
          <w:sz w:val="24"/>
          <w:szCs w:val="24"/>
        </w:rPr>
        <w:t>.</w:t>
      </w:r>
      <w:r w:rsidR="00A67CC9" w:rsidRPr="00A67CC9">
        <w:rPr>
          <w:rFonts w:ascii="Arial" w:hAnsi="Arial" w:cs="Arial"/>
          <w:sz w:val="24"/>
          <w:szCs w:val="24"/>
        </w:rPr>
        <w:t xml:space="preserve"> </w:t>
      </w:r>
      <w:r w:rsidR="00A67CC9">
        <w:rPr>
          <w:rFonts w:ascii="Arial" w:hAnsi="Arial" w:cs="Arial"/>
          <w:sz w:val="24"/>
          <w:szCs w:val="24"/>
        </w:rPr>
        <w:t>Expre</w:t>
      </w:r>
      <w:r w:rsidR="003B0E69">
        <w:rPr>
          <w:rFonts w:ascii="Arial" w:hAnsi="Arial" w:cs="Arial"/>
          <w:sz w:val="24"/>
          <w:szCs w:val="24"/>
        </w:rPr>
        <w:t>ssed in outcome terms,</w:t>
      </w:r>
      <w:r w:rsidR="00A67CC9" w:rsidRPr="00A67CC9">
        <w:rPr>
          <w:rFonts w:ascii="Arial" w:hAnsi="Arial" w:cs="Arial"/>
          <w:sz w:val="24"/>
          <w:szCs w:val="24"/>
        </w:rPr>
        <w:t xml:space="preserve"> ‘</w:t>
      </w:r>
      <w:r w:rsidR="00A67CC9">
        <w:rPr>
          <w:rFonts w:ascii="Arial" w:hAnsi="Arial" w:cs="Arial"/>
          <w:sz w:val="24"/>
          <w:szCs w:val="24"/>
        </w:rPr>
        <w:t>r</w:t>
      </w:r>
      <w:r w:rsidR="009C30D8" w:rsidRPr="009C30D8">
        <w:rPr>
          <w:rFonts w:ascii="Arial" w:hAnsi="Arial" w:cs="Arial"/>
          <w:sz w:val="24"/>
          <w:szCs w:val="24"/>
        </w:rPr>
        <w:t>educing ambition and rules would lead to environmental and community harm, which eventually would harm the economy’.</w:t>
      </w:r>
      <w:r w:rsidR="00A9629F" w:rsidRPr="00A67CC9">
        <w:rPr>
          <w:rFonts w:ascii="Arial" w:hAnsi="Arial" w:cs="Arial"/>
          <w:sz w:val="24"/>
          <w:szCs w:val="24"/>
        </w:rPr>
        <w:t xml:space="preserve"> Our</w:t>
      </w:r>
      <w:r w:rsidR="00203692">
        <w:rPr>
          <w:rFonts w:ascii="Arial" w:hAnsi="Arial" w:cs="Arial"/>
          <w:sz w:val="24"/>
          <w:szCs w:val="24"/>
        </w:rPr>
        <w:t xml:space="preserve"> research did encounter </w:t>
      </w:r>
      <w:r w:rsidR="00B85267">
        <w:rPr>
          <w:rFonts w:ascii="Arial" w:hAnsi="Arial" w:cs="Arial"/>
          <w:sz w:val="24"/>
          <w:szCs w:val="24"/>
        </w:rPr>
        <w:t>a few</w:t>
      </w:r>
      <w:r w:rsidR="00BA2202">
        <w:rPr>
          <w:rFonts w:ascii="Arial" w:hAnsi="Arial" w:cs="Arial"/>
          <w:sz w:val="24"/>
          <w:szCs w:val="24"/>
        </w:rPr>
        <w:t xml:space="preserve"> </w:t>
      </w:r>
      <w:r w:rsidR="00203692">
        <w:rPr>
          <w:rFonts w:ascii="Arial" w:hAnsi="Arial" w:cs="Arial"/>
          <w:sz w:val="24"/>
          <w:szCs w:val="24"/>
        </w:rPr>
        <w:t xml:space="preserve">advocates for radical simplification of planning by removing the ‘extra legislation’ the EU had created, </w:t>
      </w:r>
      <w:r w:rsidR="00BA2202">
        <w:rPr>
          <w:rFonts w:ascii="Arial" w:hAnsi="Arial" w:cs="Arial"/>
          <w:sz w:val="24"/>
          <w:szCs w:val="24"/>
        </w:rPr>
        <w:t>as means to attract inward investment or t</w:t>
      </w:r>
      <w:r w:rsidR="00CD0F05">
        <w:rPr>
          <w:rFonts w:ascii="Arial" w:hAnsi="Arial" w:cs="Arial"/>
          <w:sz w:val="24"/>
          <w:szCs w:val="24"/>
        </w:rPr>
        <w:t>o de-clutter planning judgement</w:t>
      </w:r>
      <w:r w:rsidR="00A27D74">
        <w:rPr>
          <w:rFonts w:ascii="Arial" w:hAnsi="Arial" w:cs="Arial"/>
          <w:sz w:val="24"/>
          <w:szCs w:val="24"/>
        </w:rPr>
        <w:t>. These were few in number,</w:t>
      </w:r>
      <w:r w:rsidR="00BA2202">
        <w:rPr>
          <w:rFonts w:ascii="Arial" w:hAnsi="Arial" w:cs="Arial"/>
          <w:sz w:val="24"/>
          <w:szCs w:val="24"/>
        </w:rPr>
        <w:t xml:space="preserve"> tended to be planning lawyers</w:t>
      </w:r>
      <w:r w:rsidR="00A27D74">
        <w:rPr>
          <w:rFonts w:ascii="Arial" w:hAnsi="Arial" w:cs="Arial"/>
          <w:sz w:val="24"/>
          <w:szCs w:val="24"/>
        </w:rPr>
        <w:t xml:space="preserve"> and – as noted above – were not without caveats</w:t>
      </w:r>
      <w:r w:rsidR="00BA2202">
        <w:rPr>
          <w:rFonts w:ascii="Arial" w:hAnsi="Arial" w:cs="Arial"/>
          <w:sz w:val="24"/>
          <w:szCs w:val="24"/>
        </w:rPr>
        <w:t>.</w:t>
      </w:r>
    </w:p>
    <w:p w:rsidR="00B96D43" w:rsidRPr="00B96D43" w:rsidRDefault="00B96D43" w:rsidP="00B96D43">
      <w:pPr>
        <w:rPr>
          <w:rFonts w:ascii="Arial" w:hAnsi="Arial" w:cs="Arial"/>
          <w:sz w:val="24"/>
          <w:szCs w:val="24"/>
        </w:rPr>
      </w:pPr>
    </w:p>
    <w:p w:rsidR="00D83800" w:rsidRPr="00D83800" w:rsidRDefault="00D83800" w:rsidP="00D83800">
      <w:pPr>
        <w:rPr>
          <w:rFonts w:ascii="Arial" w:hAnsi="Arial" w:cs="Arial"/>
          <w:sz w:val="24"/>
          <w:szCs w:val="24"/>
        </w:rPr>
      </w:pPr>
      <w:r w:rsidRPr="00D83800">
        <w:rPr>
          <w:rFonts w:ascii="Arial" w:hAnsi="Arial" w:cs="Arial"/>
          <w:sz w:val="24"/>
          <w:szCs w:val="24"/>
        </w:rPr>
        <w:t xml:space="preserve">Many of the concerns </w:t>
      </w:r>
      <w:r w:rsidR="00203692">
        <w:rPr>
          <w:rFonts w:ascii="Arial" w:hAnsi="Arial" w:cs="Arial"/>
          <w:sz w:val="24"/>
          <w:szCs w:val="24"/>
        </w:rPr>
        <w:t xml:space="preserve">expressed </w:t>
      </w:r>
      <w:r w:rsidRPr="00D83800">
        <w:rPr>
          <w:rFonts w:ascii="Arial" w:hAnsi="Arial" w:cs="Arial"/>
          <w:sz w:val="24"/>
          <w:szCs w:val="24"/>
        </w:rPr>
        <w:t xml:space="preserve">were UK-wide, but it is also clear that </w:t>
      </w:r>
      <w:r w:rsidR="009309C1">
        <w:rPr>
          <w:rFonts w:ascii="Arial" w:hAnsi="Arial" w:cs="Arial"/>
          <w:sz w:val="24"/>
          <w:szCs w:val="24"/>
        </w:rPr>
        <w:t>future</w:t>
      </w:r>
      <w:r w:rsidR="006967B0">
        <w:rPr>
          <w:rFonts w:ascii="Arial" w:hAnsi="Arial" w:cs="Arial"/>
          <w:sz w:val="24"/>
          <w:szCs w:val="24"/>
        </w:rPr>
        <w:t xml:space="preserve"> </w:t>
      </w:r>
      <w:r w:rsidRPr="00D83800">
        <w:rPr>
          <w:rFonts w:ascii="Arial" w:hAnsi="Arial" w:cs="Arial"/>
          <w:sz w:val="24"/>
          <w:szCs w:val="24"/>
        </w:rPr>
        <w:t xml:space="preserve">scenarios for the </w:t>
      </w:r>
      <w:r w:rsidR="00203692" w:rsidRPr="00D83800">
        <w:rPr>
          <w:rFonts w:ascii="Arial" w:hAnsi="Arial" w:cs="Arial"/>
          <w:sz w:val="24"/>
          <w:szCs w:val="24"/>
        </w:rPr>
        <w:t xml:space="preserve">planning-environment interface </w:t>
      </w:r>
      <w:r w:rsidRPr="00D83800">
        <w:rPr>
          <w:rFonts w:ascii="Arial" w:hAnsi="Arial" w:cs="Arial"/>
          <w:sz w:val="24"/>
          <w:szCs w:val="24"/>
        </w:rPr>
        <w:t xml:space="preserve">could be perceived very differently </w:t>
      </w:r>
      <w:r w:rsidR="00203692">
        <w:rPr>
          <w:rFonts w:ascii="Arial" w:hAnsi="Arial" w:cs="Arial"/>
          <w:sz w:val="24"/>
          <w:szCs w:val="24"/>
        </w:rPr>
        <w:t>across the devolved government areas</w:t>
      </w:r>
      <w:r w:rsidRPr="00D83800">
        <w:rPr>
          <w:rFonts w:ascii="Arial" w:hAnsi="Arial" w:cs="Arial"/>
          <w:sz w:val="24"/>
          <w:szCs w:val="24"/>
        </w:rPr>
        <w:t xml:space="preserve">. Perhaps the starkest concerns came from Northern Ireland. Here respondents </w:t>
      </w:r>
      <w:r w:rsidR="00CD0F05">
        <w:rPr>
          <w:rFonts w:ascii="Arial" w:hAnsi="Arial" w:cs="Arial"/>
          <w:sz w:val="24"/>
          <w:szCs w:val="24"/>
        </w:rPr>
        <w:t>raised</w:t>
      </w:r>
      <w:r w:rsidRPr="00D83800">
        <w:rPr>
          <w:rFonts w:ascii="Arial" w:hAnsi="Arial" w:cs="Arial"/>
          <w:sz w:val="24"/>
          <w:szCs w:val="24"/>
        </w:rPr>
        <w:t xml:space="preserve"> the limited capacity or interest of the devolved government in environmental </w:t>
      </w:r>
      <w:r w:rsidR="004F2DB1">
        <w:rPr>
          <w:rFonts w:ascii="Arial" w:hAnsi="Arial" w:cs="Arial"/>
          <w:sz w:val="24"/>
          <w:szCs w:val="24"/>
        </w:rPr>
        <w:t>matter</w:t>
      </w:r>
      <w:r w:rsidRPr="00D83800">
        <w:rPr>
          <w:rFonts w:ascii="Arial" w:hAnsi="Arial" w:cs="Arial"/>
          <w:sz w:val="24"/>
          <w:szCs w:val="24"/>
        </w:rPr>
        <w:t>s, and the weakness of institutional arrangements compared to the rest of the UK (Northern Ireland has no independent environment agenc</w:t>
      </w:r>
      <w:r w:rsidR="009334D3">
        <w:rPr>
          <w:rFonts w:ascii="Arial" w:hAnsi="Arial" w:cs="Arial"/>
          <w:sz w:val="24"/>
          <w:szCs w:val="24"/>
        </w:rPr>
        <w:t>y</w:t>
      </w:r>
      <w:r w:rsidRPr="00D83800">
        <w:rPr>
          <w:rFonts w:ascii="Arial" w:hAnsi="Arial" w:cs="Arial"/>
          <w:sz w:val="24"/>
          <w:szCs w:val="24"/>
        </w:rPr>
        <w:t>)</w:t>
      </w:r>
      <w:r w:rsidR="00B85267">
        <w:rPr>
          <w:rFonts w:ascii="Arial" w:hAnsi="Arial" w:cs="Arial"/>
          <w:sz w:val="24"/>
          <w:szCs w:val="24"/>
        </w:rPr>
        <w:t>: ‘it’s always been a rogue state, environmentally’</w:t>
      </w:r>
      <w:r w:rsidRPr="00D83800">
        <w:rPr>
          <w:rFonts w:ascii="Arial" w:hAnsi="Arial" w:cs="Arial"/>
          <w:sz w:val="24"/>
          <w:szCs w:val="24"/>
        </w:rPr>
        <w:t xml:space="preserve">. The prospect of losing </w:t>
      </w:r>
      <w:r w:rsidR="003B0E69">
        <w:rPr>
          <w:rFonts w:ascii="Arial" w:hAnsi="Arial" w:cs="Arial"/>
          <w:sz w:val="24"/>
          <w:szCs w:val="24"/>
        </w:rPr>
        <w:t>what was seen as the</w:t>
      </w:r>
      <w:r w:rsidRPr="00D83800">
        <w:rPr>
          <w:rFonts w:ascii="Arial" w:hAnsi="Arial" w:cs="Arial"/>
          <w:sz w:val="24"/>
          <w:szCs w:val="24"/>
        </w:rPr>
        <w:t xml:space="preserve"> </w:t>
      </w:r>
      <w:r w:rsidR="00B85267">
        <w:rPr>
          <w:rFonts w:ascii="Arial" w:hAnsi="Arial" w:cs="Arial"/>
          <w:sz w:val="24"/>
          <w:szCs w:val="24"/>
        </w:rPr>
        <w:t>‘backstop’</w:t>
      </w:r>
      <w:r w:rsidRPr="00D83800">
        <w:rPr>
          <w:rFonts w:ascii="Arial" w:hAnsi="Arial" w:cs="Arial"/>
          <w:sz w:val="24"/>
          <w:szCs w:val="24"/>
        </w:rPr>
        <w:t xml:space="preserve"> of EU environmental protections was </w:t>
      </w:r>
      <w:r w:rsidR="003B0E69">
        <w:rPr>
          <w:rFonts w:ascii="Arial" w:hAnsi="Arial" w:cs="Arial"/>
          <w:sz w:val="24"/>
          <w:szCs w:val="24"/>
        </w:rPr>
        <w:t>viewed</w:t>
      </w:r>
      <w:r w:rsidRPr="00D83800">
        <w:rPr>
          <w:rFonts w:ascii="Arial" w:hAnsi="Arial" w:cs="Arial"/>
          <w:sz w:val="24"/>
          <w:szCs w:val="24"/>
        </w:rPr>
        <w:t xml:space="preserve"> as </w:t>
      </w:r>
      <w:r w:rsidR="00203692">
        <w:rPr>
          <w:rFonts w:ascii="Arial" w:hAnsi="Arial" w:cs="Arial"/>
          <w:sz w:val="24"/>
          <w:szCs w:val="24"/>
        </w:rPr>
        <w:t xml:space="preserve">especially problematic, </w:t>
      </w:r>
      <w:r w:rsidR="009309C1">
        <w:rPr>
          <w:rFonts w:ascii="Arial" w:hAnsi="Arial" w:cs="Arial"/>
          <w:sz w:val="24"/>
          <w:szCs w:val="24"/>
        </w:rPr>
        <w:t xml:space="preserve">given </w:t>
      </w:r>
      <w:r w:rsidR="009334D3">
        <w:rPr>
          <w:rFonts w:ascii="Arial" w:hAnsi="Arial" w:cs="Arial"/>
          <w:sz w:val="24"/>
          <w:szCs w:val="24"/>
        </w:rPr>
        <w:t>the integrated nature of the economy of the island of Ireland</w:t>
      </w:r>
      <w:r w:rsidR="009309C1">
        <w:rPr>
          <w:rFonts w:ascii="Arial" w:hAnsi="Arial" w:cs="Arial"/>
          <w:sz w:val="24"/>
          <w:szCs w:val="24"/>
        </w:rPr>
        <w:t>,</w:t>
      </w:r>
      <w:r w:rsidR="009334D3">
        <w:rPr>
          <w:rFonts w:ascii="Arial" w:hAnsi="Arial" w:cs="Arial"/>
          <w:sz w:val="24"/>
          <w:szCs w:val="24"/>
        </w:rPr>
        <w:t xml:space="preserve"> the need to manage </w:t>
      </w:r>
      <w:r w:rsidR="009309C1">
        <w:rPr>
          <w:rFonts w:ascii="Arial" w:hAnsi="Arial" w:cs="Arial"/>
          <w:sz w:val="24"/>
          <w:szCs w:val="24"/>
        </w:rPr>
        <w:t>trans</w:t>
      </w:r>
      <w:r w:rsidR="00885311">
        <w:rPr>
          <w:rFonts w:ascii="Arial" w:hAnsi="Arial" w:cs="Arial"/>
          <w:sz w:val="24"/>
          <w:szCs w:val="24"/>
        </w:rPr>
        <w:t>-</w:t>
      </w:r>
      <w:r w:rsidR="009309C1">
        <w:rPr>
          <w:rFonts w:ascii="Arial" w:hAnsi="Arial" w:cs="Arial"/>
          <w:sz w:val="24"/>
          <w:szCs w:val="24"/>
        </w:rPr>
        <w:t>boundary</w:t>
      </w:r>
      <w:r w:rsidR="009334D3">
        <w:rPr>
          <w:rFonts w:ascii="Arial" w:hAnsi="Arial" w:cs="Arial"/>
          <w:sz w:val="24"/>
          <w:szCs w:val="24"/>
        </w:rPr>
        <w:t xml:space="preserve"> environmental governance</w:t>
      </w:r>
      <w:r w:rsidR="009309C1">
        <w:rPr>
          <w:rFonts w:ascii="Arial" w:hAnsi="Arial" w:cs="Arial"/>
          <w:sz w:val="24"/>
          <w:szCs w:val="24"/>
        </w:rPr>
        <w:t xml:space="preserve"> but also the strong economic pressures and pro-development culture. </w:t>
      </w:r>
      <w:r w:rsidR="00B85267">
        <w:rPr>
          <w:rFonts w:ascii="Arial" w:hAnsi="Arial" w:cs="Arial"/>
          <w:sz w:val="24"/>
          <w:szCs w:val="24"/>
        </w:rPr>
        <w:t>Respondents feared that if Brexit meant</w:t>
      </w:r>
      <w:r w:rsidR="009309C1">
        <w:rPr>
          <w:rFonts w:ascii="Arial" w:hAnsi="Arial" w:cs="Arial"/>
          <w:sz w:val="24"/>
          <w:szCs w:val="24"/>
        </w:rPr>
        <w:t xml:space="preserve"> Ministers ‘get their hands on the legislation there is a concern it would be watered down, it </w:t>
      </w:r>
      <w:r w:rsidR="00B85267">
        <w:rPr>
          <w:rFonts w:ascii="Arial" w:hAnsi="Arial" w:cs="Arial"/>
          <w:sz w:val="24"/>
          <w:szCs w:val="24"/>
        </w:rPr>
        <w:t>would be a developers’ charter’, with the prospect</w:t>
      </w:r>
      <w:r w:rsidR="00885311">
        <w:rPr>
          <w:rFonts w:ascii="Arial" w:hAnsi="Arial" w:cs="Arial"/>
          <w:sz w:val="24"/>
          <w:szCs w:val="24"/>
        </w:rPr>
        <w:t>ive expansion</w:t>
      </w:r>
      <w:r w:rsidR="00B85267">
        <w:rPr>
          <w:rFonts w:ascii="Arial" w:hAnsi="Arial" w:cs="Arial"/>
          <w:sz w:val="24"/>
          <w:szCs w:val="24"/>
        </w:rPr>
        <w:t xml:space="preserve"> of international extractive industries a particular trigger.</w:t>
      </w:r>
    </w:p>
    <w:p w:rsidR="00D83800" w:rsidRPr="00D83800" w:rsidRDefault="00D83800" w:rsidP="00D83800">
      <w:pPr>
        <w:rPr>
          <w:rFonts w:ascii="Arial" w:hAnsi="Arial" w:cs="Arial"/>
          <w:sz w:val="24"/>
          <w:szCs w:val="24"/>
        </w:rPr>
      </w:pPr>
    </w:p>
    <w:p w:rsidR="00FF171C" w:rsidRDefault="00D83800" w:rsidP="00D83800">
      <w:pPr>
        <w:rPr>
          <w:rFonts w:ascii="Arial" w:hAnsi="Arial" w:cs="Arial"/>
          <w:sz w:val="24"/>
          <w:szCs w:val="24"/>
        </w:rPr>
      </w:pPr>
      <w:r w:rsidRPr="00D83800">
        <w:rPr>
          <w:rFonts w:ascii="Arial" w:hAnsi="Arial" w:cs="Arial"/>
          <w:sz w:val="24"/>
          <w:szCs w:val="24"/>
        </w:rPr>
        <w:t>In Scotland</w:t>
      </w:r>
      <w:r w:rsidR="00203692">
        <w:rPr>
          <w:rFonts w:ascii="Arial" w:hAnsi="Arial" w:cs="Arial"/>
          <w:sz w:val="24"/>
          <w:szCs w:val="24"/>
        </w:rPr>
        <w:t xml:space="preserve"> and Wales</w:t>
      </w:r>
      <w:r w:rsidRPr="00D83800">
        <w:rPr>
          <w:rFonts w:ascii="Arial" w:hAnsi="Arial" w:cs="Arial"/>
          <w:sz w:val="24"/>
          <w:szCs w:val="24"/>
        </w:rPr>
        <w:t xml:space="preserve">, respondents were confident that devolved governments would </w:t>
      </w:r>
      <w:r w:rsidR="00F56AD9">
        <w:rPr>
          <w:rFonts w:ascii="Arial" w:hAnsi="Arial" w:cs="Arial"/>
          <w:sz w:val="24"/>
          <w:szCs w:val="24"/>
        </w:rPr>
        <w:t xml:space="preserve">wish to </w:t>
      </w:r>
      <w:r w:rsidRPr="00D83800">
        <w:rPr>
          <w:rFonts w:ascii="Arial" w:hAnsi="Arial" w:cs="Arial"/>
          <w:sz w:val="24"/>
          <w:szCs w:val="24"/>
        </w:rPr>
        <w:t xml:space="preserve">sustain their commitment to high environmental standards, </w:t>
      </w:r>
      <w:r w:rsidR="009309C1">
        <w:rPr>
          <w:rFonts w:ascii="Arial" w:hAnsi="Arial" w:cs="Arial"/>
          <w:sz w:val="24"/>
          <w:szCs w:val="24"/>
        </w:rPr>
        <w:t>linked</w:t>
      </w:r>
      <w:r w:rsidRPr="00D83800">
        <w:rPr>
          <w:rFonts w:ascii="Arial" w:hAnsi="Arial" w:cs="Arial"/>
          <w:sz w:val="24"/>
          <w:szCs w:val="24"/>
        </w:rPr>
        <w:t xml:space="preserve"> to </w:t>
      </w:r>
      <w:r w:rsidR="00F56AD9">
        <w:rPr>
          <w:rFonts w:ascii="Arial" w:hAnsi="Arial" w:cs="Arial"/>
          <w:sz w:val="24"/>
          <w:szCs w:val="24"/>
        </w:rPr>
        <w:t xml:space="preserve">political desires to </w:t>
      </w:r>
      <w:r w:rsidRPr="00D83800">
        <w:rPr>
          <w:rFonts w:ascii="Arial" w:hAnsi="Arial" w:cs="Arial"/>
          <w:sz w:val="24"/>
          <w:szCs w:val="24"/>
        </w:rPr>
        <w:t xml:space="preserve">continue </w:t>
      </w:r>
      <w:r w:rsidR="009309C1">
        <w:rPr>
          <w:rFonts w:ascii="Arial" w:hAnsi="Arial" w:cs="Arial"/>
          <w:sz w:val="24"/>
          <w:szCs w:val="24"/>
        </w:rPr>
        <w:t xml:space="preserve">aligning </w:t>
      </w:r>
      <w:r w:rsidR="00F56AD9">
        <w:rPr>
          <w:rFonts w:ascii="Arial" w:hAnsi="Arial" w:cs="Arial"/>
          <w:sz w:val="24"/>
          <w:szCs w:val="24"/>
        </w:rPr>
        <w:t>regulatory</w:t>
      </w:r>
      <w:r w:rsidRPr="00D83800">
        <w:rPr>
          <w:rFonts w:ascii="Arial" w:hAnsi="Arial" w:cs="Arial"/>
          <w:sz w:val="24"/>
          <w:szCs w:val="24"/>
        </w:rPr>
        <w:t xml:space="preserve"> standards </w:t>
      </w:r>
      <w:r w:rsidR="009309C1">
        <w:rPr>
          <w:rFonts w:ascii="Arial" w:hAnsi="Arial" w:cs="Arial"/>
          <w:sz w:val="24"/>
          <w:szCs w:val="24"/>
        </w:rPr>
        <w:t>with those of</w:t>
      </w:r>
      <w:r w:rsidRPr="00D83800">
        <w:rPr>
          <w:rFonts w:ascii="Arial" w:hAnsi="Arial" w:cs="Arial"/>
          <w:sz w:val="24"/>
          <w:szCs w:val="24"/>
        </w:rPr>
        <w:t xml:space="preserve"> the EU.</w:t>
      </w:r>
      <w:r w:rsidR="0070444B">
        <w:rPr>
          <w:rFonts w:ascii="Arial" w:hAnsi="Arial" w:cs="Arial"/>
          <w:sz w:val="24"/>
          <w:szCs w:val="24"/>
        </w:rPr>
        <w:t xml:space="preserve"> In both territories, anti-planning</w:t>
      </w:r>
      <w:r w:rsidR="004F2DB1">
        <w:rPr>
          <w:rFonts w:ascii="Arial" w:hAnsi="Arial" w:cs="Arial"/>
          <w:sz w:val="24"/>
          <w:szCs w:val="24"/>
        </w:rPr>
        <w:t>,</w:t>
      </w:r>
      <w:r w:rsidR="0070444B">
        <w:rPr>
          <w:rFonts w:ascii="Arial" w:hAnsi="Arial" w:cs="Arial"/>
          <w:sz w:val="24"/>
          <w:szCs w:val="24"/>
        </w:rPr>
        <w:t xml:space="preserve"> deregulatory agendas were viewed as more of an English problem.</w:t>
      </w:r>
      <w:r w:rsidR="00CE528C">
        <w:rPr>
          <w:rFonts w:ascii="Arial" w:hAnsi="Arial" w:cs="Arial"/>
          <w:sz w:val="24"/>
          <w:szCs w:val="24"/>
        </w:rPr>
        <w:t xml:space="preserve"> </w:t>
      </w:r>
      <w:r w:rsidR="0070444B">
        <w:rPr>
          <w:rFonts w:ascii="Arial" w:hAnsi="Arial" w:cs="Arial"/>
          <w:sz w:val="24"/>
          <w:szCs w:val="24"/>
        </w:rPr>
        <w:t>T</w:t>
      </w:r>
      <w:r w:rsidR="00F56AD9">
        <w:rPr>
          <w:rFonts w:ascii="Arial" w:hAnsi="Arial" w:cs="Arial"/>
          <w:sz w:val="24"/>
          <w:szCs w:val="24"/>
        </w:rPr>
        <w:t>here are nuances, too</w:t>
      </w:r>
      <w:r w:rsidR="00FF171C">
        <w:rPr>
          <w:rFonts w:ascii="Arial" w:hAnsi="Arial" w:cs="Arial"/>
          <w:sz w:val="24"/>
          <w:szCs w:val="24"/>
        </w:rPr>
        <w:t>, in the way that the planning-environment interface was being treated</w:t>
      </w:r>
      <w:r w:rsidR="00F56AD9">
        <w:rPr>
          <w:rFonts w:ascii="Arial" w:hAnsi="Arial" w:cs="Arial"/>
          <w:sz w:val="24"/>
          <w:szCs w:val="24"/>
        </w:rPr>
        <w:t>. Proposals for post-</w:t>
      </w:r>
      <w:r w:rsidR="006967B0">
        <w:rPr>
          <w:rFonts w:ascii="Arial" w:hAnsi="Arial" w:cs="Arial"/>
          <w:sz w:val="24"/>
          <w:szCs w:val="24"/>
        </w:rPr>
        <w:t xml:space="preserve">’Brexit’ </w:t>
      </w:r>
      <w:r w:rsidR="00F56AD9">
        <w:rPr>
          <w:rFonts w:ascii="Arial" w:hAnsi="Arial" w:cs="Arial"/>
          <w:sz w:val="24"/>
          <w:szCs w:val="24"/>
        </w:rPr>
        <w:t xml:space="preserve">environmental governance in Scotland </w:t>
      </w:r>
      <w:r w:rsidR="000972F2">
        <w:rPr>
          <w:rFonts w:ascii="Arial" w:hAnsi="Arial" w:cs="Arial"/>
          <w:sz w:val="24"/>
          <w:szCs w:val="24"/>
        </w:rPr>
        <w:t>(Scottish Government</w:t>
      </w:r>
      <w:r w:rsidR="0000641A">
        <w:rPr>
          <w:rFonts w:ascii="Arial" w:hAnsi="Arial" w:cs="Arial"/>
          <w:sz w:val="24"/>
          <w:szCs w:val="24"/>
        </w:rPr>
        <w:t>,</w:t>
      </w:r>
      <w:r w:rsidR="000972F2">
        <w:rPr>
          <w:rFonts w:ascii="Arial" w:hAnsi="Arial" w:cs="Arial"/>
          <w:sz w:val="24"/>
          <w:szCs w:val="24"/>
        </w:rPr>
        <w:t xml:space="preserve"> 2019)</w:t>
      </w:r>
      <w:r w:rsidR="00885311">
        <w:rPr>
          <w:rFonts w:ascii="Arial" w:hAnsi="Arial" w:cs="Arial"/>
          <w:sz w:val="24"/>
          <w:szCs w:val="24"/>
        </w:rPr>
        <w:t xml:space="preserve"> </w:t>
      </w:r>
      <w:r w:rsidR="00FF171C">
        <w:rPr>
          <w:rFonts w:ascii="Arial" w:hAnsi="Arial" w:cs="Arial"/>
          <w:sz w:val="24"/>
          <w:szCs w:val="24"/>
        </w:rPr>
        <w:t>foreground</w:t>
      </w:r>
      <w:r w:rsidR="00F56AD9">
        <w:rPr>
          <w:rFonts w:ascii="Arial" w:hAnsi="Arial" w:cs="Arial"/>
          <w:sz w:val="24"/>
          <w:szCs w:val="24"/>
        </w:rPr>
        <w:t xml:space="preserve"> the language of rights, linking Scenarios 1 and 2. In Wales, </w:t>
      </w:r>
      <w:r w:rsidR="00FF171C">
        <w:rPr>
          <w:rFonts w:ascii="Arial" w:hAnsi="Arial" w:cs="Arial"/>
          <w:sz w:val="24"/>
          <w:szCs w:val="24"/>
        </w:rPr>
        <w:t xml:space="preserve">the </w:t>
      </w:r>
      <w:r w:rsidR="00FF171C" w:rsidRPr="00334CC9">
        <w:rPr>
          <w:rFonts w:ascii="Arial" w:hAnsi="Arial" w:cs="Arial"/>
          <w:sz w:val="24"/>
          <w:szCs w:val="24"/>
        </w:rPr>
        <w:t xml:space="preserve">Welsh Government has already sought to align </w:t>
      </w:r>
      <w:r w:rsidR="00FF171C">
        <w:rPr>
          <w:rFonts w:ascii="Arial" w:hAnsi="Arial" w:cs="Arial"/>
          <w:sz w:val="24"/>
          <w:szCs w:val="24"/>
        </w:rPr>
        <w:t xml:space="preserve">its </w:t>
      </w:r>
      <w:r w:rsidR="00FF171C" w:rsidRPr="00334CC9">
        <w:rPr>
          <w:rFonts w:ascii="Arial" w:hAnsi="Arial" w:cs="Arial"/>
          <w:sz w:val="24"/>
          <w:szCs w:val="24"/>
        </w:rPr>
        <w:t xml:space="preserve">planning system with </w:t>
      </w:r>
      <w:r w:rsidR="00FF171C">
        <w:rPr>
          <w:rFonts w:ascii="Arial" w:hAnsi="Arial" w:cs="Arial"/>
          <w:sz w:val="24"/>
          <w:szCs w:val="24"/>
        </w:rPr>
        <w:t>the long-term goals of its Wellbeing of Future Generations (Wales) Act 2015: an outcome-oriented approach that echoes Scenario 1.</w:t>
      </w:r>
    </w:p>
    <w:p w:rsidR="00865FE9" w:rsidRDefault="00865FE9">
      <w:pPr>
        <w:rPr>
          <w:rFonts w:ascii="Arial" w:hAnsi="Arial" w:cs="Arial"/>
          <w:sz w:val="24"/>
          <w:szCs w:val="24"/>
        </w:rPr>
      </w:pPr>
    </w:p>
    <w:p w:rsidR="00F56AD9" w:rsidRDefault="00F56AD9">
      <w:pPr>
        <w:rPr>
          <w:rFonts w:ascii="Arial" w:hAnsi="Arial" w:cs="Arial"/>
          <w:sz w:val="24"/>
          <w:szCs w:val="24"/>
        </w:rPr>
      </w:pPr>
    </w:p>
    <w:p w:rsidR="00865FE9" w:rsidRPr="00865FE9" w:rsidRDefault="00865FE9">
      <w:pPr>
        <w:rPr>
          <w:rFonts w:ascii="Arial" w:hAnsi="Arial" w:cs="Arial"/>
          <w:b/>
          <w:sz w:val="24"/>
          <w:szCs w:val="24"/>
        </w:rPr>
      </w:pPr>
      <w:r w:rsidRPr="00865FE9">
        <w:rPr>
          <w:rFonts w:ascii="Arial" w:hAnsi="Arial" w:cs="Arial"/>
          <w:b/>
          <w:sz w:val="24"/>
          <w:szCs w:val="24"/>
        </w:rPr>
        <w:t>Discussion</w:t>
      </w:r>
    </w:p>
    <w:p w:rsidR="00953156" w:rsidRDefault="008F4BBA">
      <w:pPr>
        <w:tabs>
          <w:tab w:val="left" w:pos="1052"/>
        </w:tabs>
        <w:rPr>
          <w:rFonts w:ascii="Arial" w:hAnsi="Arial" w:cs="Arial"/>
          <w:sz w:val="24"/>
          <w:szCs w:val="24"/>
        </w:rPr>
      </w:pPr>
      <w:r>
        <w:rPr>
          <w:rFonts w:ascii="Arial" w:hAnsi="Arial" w:cs="Arial"/>
          <w:sz w:val="24"/>
          <w:szCs w:val="24"/>
        </w:rPr>
        <w:tab/>
      </w:r>
    </w:p>
    <w:p w:rsidR="00F64A8A" w:rsidRDefault="00F64A8A">
      <w:pPr>
        <w:rPr>
          <w:rFonts w:ascii="Arial" w:hAnsi="Arial" w:cs="Arial"/>
          <w:sz w:val="24"/>
          <w:szCs w:val="24"/>
        </w:rPr>
      </w:pPr>
      <w:r>
        <w:rPr>
          <w:rFonts w:ascii="Arial" w:hAnsi="Arial" w:cs="Arial"/>
          <w:sz w:val="24"/>
          <w:szCs w:val="24"/>
        </w:rPr>
        <w:t xml:space="preserve">The data </w:t>
      </w:r>
      <w:r w:rsidR="0070444B">
        <w:rPr>
          <w:rFonts w:ascii="Arial" w:hAnsi="Arial" w:cs="Arial"/>
          <w:sz w:val="24"/>
          <w:szCs w:val="24"/>
        </w:rPr>
        <w:t>show</w:t>
      </w:r>
      <w:r>
        <w:rPr>
          <w:rFonts w:ascii="Arial" w:hAnsi="Arial" w:cs="Arial"/>
          <w:sz w:val="24"/>
          <w:szCs w:val="24"/>
        </w:rPr>
        <w:t xml:space="preserve"> </w:t>
      </w:r>
      <w:r w:rsidR="00A27D74">
        <w:rPr>
          <w:rFonts w:ascii="Arial" w:hAnsi="Arial" w:cs="Arial"/>
          <w:sz w:val="24"/>
          <w:szCs w:val="24"/>
        </w:rPr>
        <w:t>a number of</w:t>
      </w:r>
      <w:r>
        <w:rPr>
          <w:rFonts w:ascii="Arial" w:hAnsi="Arial" w:cs="Arial"/>
          <w:sz w:val="24"/>
          <w:szCs w:val="24"/>
        </w:rPr>
        <w:t xml:space="preserve"> patterns.</w:t>
      </w:r>
    </w:p>
    <w:p w:rsidR="001318A9" w:rsidRDefault="001318A9">
      <w:pPr>
        <w:rPr>
          <w:rFonts w:ascii="Arial" w:hAnsi="Arial" w:cs="Arial"/>
          <w:sz w:val="24"/>
          <w:szCs w:val="24"/>
        </w:rPr>
      </w:pPr>
    </w:p>
    <w:p w:rsidR="00FA1A89" w:rsidRDefault="00F64A8A" w:rsidP="0070444B">
      <w:pPr>
        <w:rPr>
          <w:rFonts w:ascii="Arial" w:hAnsi="Arial" w:cs="Arial"/>
          <w:sz w:val="24"/>
          <w:szCs w:val="24"/>
        </w:rPr>
      </w:pPr>
      <w:r>
        <w:rPr>
          <w:rFonts w:ascii="Arial" w:hAnsi="Arial" w:cs="Arial"/>
          <w:sz w:val="24"/>
          <w:szCs w:val="24"/>
        </w:rPr>
        <w:t>Most imm</w:t>
      </w:r>
      <w:r w:rsidR="00FA1A89">
        <w:rPr>
          <w:rFonts w:ascii="Arial" w:hAnsi="Arial" w:cs="Arial"/>
          <w:sz w:val="24"/>
          <w:szCs w:val="24"/>
        </w:rPr>
        <w:t xml:space="preserve">ediately, </w:t>
      </w:r>
      <w:r>
        <w:rPr>
          <w:rFonts w:ascii="Arial" w:hAnsi="Arial" w:cs="Arial"/>
          <w:sz w:val="24"/>
          <w:szCs w:val="24"/>
        </w:rPr>
        <w:t>the responses reached</w:t>
      </w:r>
      <w:r w:rsidR="00FA1A89">
        <w:rPr>
          <w:rFonts w:ascii="Arial" w:hAnsi="Arial" w:cs="Arial"/>
          <w:sz w:val="24"/>
          <w:szCs w:val="24"/>
        </w:rPr>
        <w:t xml:space="preserve"> a</w:t>
      </w:r>
      <w:r w:rsidR="004628C0">
        <w:rPr>
          <w:rFonts w:ascii="Arial" w:hAnsi="Arial" w:cs="Arial"/>
          <w:sz w:val="24"/>
          <w:szCs w:val="24"/>
        </w:rPr>
        <w:t xml:space="preserve"> clear</w:t>
      </w:r>
      <w:r>
        <w:rPr>
          <w:rFonts w:ascii="Arial" w:hAnsi="Arial" w:cs="Arial"/>
          <w:sz w:val="24"/>
          <w:szCs w:val="24"/>
        </w:rPr>
        <w:t xml:space="preserve"> ‘saturation point’, across and between b</w:t>
      </w:r>
      <w:r w:rsidR="0012067C">
        <w:rPr>
          <w:rFonts w:ascii="Arial" w:hAnsi="Arial" w:cs="Arial"/>
          <w:sz w:val="24"/>
          <w:szCs w:val="24"/>
        </w:rPr>
        <w:t xml:space="preserve">oth interviews and focus groups, suggesting that the research </w:t>
      </w:r>
      <w:r w:rsidR="006D78F3">
        <w:rPr>
          <w:rFonts w:ascii="Arial" w:hAnsi="Arial" w:cs="Arial"/>
          <w:sz w:val="24"/>
          <w:szCs w:val="24"/>
        </w:rPr>
        <w:t>captured</w:t>
      </w:r>
      <w:r w:rsidR="0012067C">
        <w:rPr>
          <w:rFonts w:ascii="Arial" w:hAnsi="Arial" w:cs="Arial"/>
          <w:sz w:val="24"/>
          <w:szCs w:val="24"/>
        </w:rPr>
        <w:t xml:space="preserve"> </w:t>
      </w:r>
      <w:r w:rsidR="0012067C" w:rsidRPr="001E41A8">
        <w:rPr>
          <w:rFonts w:ascii="Arial" w:hAnsi="Arial" w:cs="Arial"/>
          <w:sz w:val="24"/>
          <w:szCs w:val="24"/>
        </w:rPr>
        <w:t>many of the views in circulation</w:t>
      </w:r>
      <w:r w:rsidR="00FA1A89">
        <w:rPr>
          <w:rFonts w:ascii="Arial" w:hAnsi="Arial" w:cs="Arial"/>
          <w:sz w:val="24"/>
          <w:szCs w:val="24"/>
        </w:rPr>
        <w:t>.</w:t>
      </w:r>
      <w:r w:rsidR="004628C0">
        <w:rPr>
          <w:rFonts w:ascii="Arial" w:hAnsi="Arial" w:cs="Arial"/>
          <w:sz w:val="24"/>
          <w:szCs w:val="24"/>
        </w:rPr>
        <w:t xml:space="preserve"> The qualities of the UK and EU regulatory styles derived from the desk research </w:t>
      </w:r>
      <w:r w:rsidR="003C4CC2">
        <w:rPr>
          <w:rFonts w:ascii="Arial" w:hAnsi="Arial" w:cs="Arial"/>
          <w:sz w:val="24"/>
          <w:szCs w:val="24"/>
        </w:rPr>
        <w:t>were evidently recognisa</w:t>
      </w:r>
      <w:r w:rsidR="004628C0">
        <w:rPr>
          <w:rFonts w:ascii="Arial" w:hAnsi="Arial" w:cs="Arial"/>
          <w:sz w:val="24"/>
          <w:szCs w:val="24"/>
        </w:rPr>
        <w:t xml:space="preserve">ble to participants and the Scenarios also resonated, especially 1, 3 </w:t>
      </w:r>
      <w:r w:rsidR="00DD2CE0">
        <w:rPr>
          <w:rFonts w:ascii="Arial" w:hAnsi="Arial" w:cs="Arial"/>
          <w:sz w:val="24"/>
          <w:szCs w:val="24"/>
        </w:rPr>
        <w:t>(</w:t>
      </w:r>
      <w:r w:rsidR="00E57D4C">
        <w:rPr>
          <w:rFonts w:ascii="Arial" w:hAnsi="Arial" w:cs="Arial"/>
          <w:sz w:val="24"/>
          <w:szCs w:val="24"/>
        </w:rPr>
        <w:t xml:space="preserve">both </w:t>
      </w:r>
      <w:r w:rsidR="00DD2CE0">
        <w:rPr>
          <w:rFonts w:ascii="Arial" w:hAnsi="Arial" w:cs="Arial"/>
          <w:sz w:val="24"/>
          <w:szCs w:val="24"/>
        </w:rPr>
        <w:t xml:space="preserve">positively) </w:t>
      </w:r>
      <w:r w:rsidR="004628C0">
        <w:rPr>
          <w:rFonts w:ascii="Arial" w:hAnsi="Arial" w:cs="Arial"/>
          <w:sz w:val="24"/>
          <w:szCs w:val="24"/>
        </w:rPr>
        <w:t>and 4</w:t>
      </w:r>
      <w:r w:rsidR="00DD2CE0">
        <w:rPr>
          <w:rFonts w:ascii="Arial" w:hAnsi="Arial" w:cs="Arial"/>
          <w:sz w:val="24"/>
          <w:szCs w:val="24"/>
        </w:rPr>
        <w:t xml:space="preserve"> (negatively)</w:t>
      </w:r>
      <w:r w:rsidR="004628C0">
        <w:rPr>
          <w:rFonts w:ascii="Arial" w:hAnsi="Arial" w:cs="Arial"/>
          <w:sz w:val="24"/>
          <w:szCs w:val="24"/>
        </w:rPr>
        <w:t>.</w:t>
      </w:r>
      <w:r w:rsidR="00FA1A89">
        <w:rPr>
          <w:rFonts w:ascii="Arial" w:hAnsi="Arial" w:cs="Arial"/>
          <w:sz w:val="24"/>
          <w:szCs w:val="24"/>
        </w:rPr>
        <w:t xml:space="preserve"> </w:t>
      </w:r>
      <w:r w:rsidR="0070444B">
        <w:rPr>
          <w:rFonts w:ascii="Arial" w:hAnsi="Arial" w:cs="Arial"/>
          <w:sz w:val="24"/>
          <w:szCs w:val="24"/>
        </w:rPr>
        <w:t xml:space="preserve">Significantly, </w:t>
      </w:r>
      <w:r w:rsidR="00FA1A89">
        <w:rPr>
          <w:rFonts w:ascii="Arial" w:hAnsi="Arial" w:cs="Arial"/>
          <w:sz w:val="24"/>
          <w:szCs w:val="24"/>
        </w:rPr>
        <w:t>many of the views expressed about the planning-environment interface were shared across the different categories of respondents</w:t>
      </w:r>
      <w:r w:rsidR="0070444B">
        <w:rPr>
          <w:rFonts w:ascii="Arial" w:hAnsi="Arial" w:cs="Arial"/>
          <w:sz w:val="24"/>
          <w:szCs w:val="24"/>
        </w:rPr>
        <w:t xml:space="preserve">, whether the personnel involved were in </w:t>
      </w:r>
      <w:r w:rsidR="00FF171C">
        <w:rPr>
          <w:rFonts w:ascii="Arial" w:hAnsi="Arial" w:cs="Arial"/>
          <w:sz w:val="24"/>
          <w:szCs w:val="24"/>
        </w:rPr>
        <w:t xml:space="preserve">policy-making, </w:t>
      </w:r>
      <w:r w:rsidR="0070444B">
        <w:rPr>
          <w:rFonts w:ascii="Arial" w:hAnsi="Arial" w:cs="Arial"/>
          <w:sz w:val="24"/>
          <w:szCs w:val="24"/>
        </w:rPr>
        <w:t>regulatory or development-promoting roles.</w:t>
      </w:r>
    </w:p>
    <w:p w:rsidR="0012067C" w:rsidRDefault="0012067C">
      <w:pPr>
        <w:rPr>
          <w:rFonts w:ascii="Arial" w:hAnsi="Arial" w:cs="Arial"/>
          <w:sz w:val="24"/>
          <w:szCs w:val="24"/>
        </w:rPr>
      </w:pPr>
    </w:p>
    <w:p w:rsidR="0070444B" w:rsidRDefault="0012067C" w:rsidP="005F109B">
      <w:pPr>
        <w:rPr>
          <w:rFonts w:ascii="Arial" w:hAnsi="Arial" w:cs="Arial"/>
          <w:sz w:val="24"/>
          <w:szCs w:val="24"/>
        </w:rPr>
      </w:pPr>
      <w:r>
        <w:rPr>
          <w:rFonts w:ascii="Arial" w:hAnsi="Arial" w:cs="Arial"/>
          <w:sz w:val="24"/>
          <w:szCs w:val="24"/>
        </w:rPr>
        <w:t>Two other features of the data were also highly important, an</w:t>
      </w:r>
      <w:r w:rsidR="00FA1A89">
        <w:rPr>
          <w:rFonts w:ascii="Arial" w:hAnsi="Arial" w:cs="Arial"/>
          <w:sz w:val="24"/>
          <w:szCs w:val="24"/>
        </w:rPr>
        <w:t>d link practitioners’ attitudes</w:t>
      </w:r>
      <w:r>
        <w:rPr>
          <w:rFonts w:ascii="Arial" w:hAnsi="Arial" w:cs="Arial"/>
          <w:sz w:val="24"/>
          <w:szCs w:val="24"/>
        </w:rPr>
        <w:t xml:space="preserve"> to fundamental issues</w:t>
      </w:r>
      <w:r w:rsidR="00EB26D0">
        <w:rPr>
          <w:rFonts w:ascii="Arial" w:hAnsi="Arial" w:cs="Arial"/>
          <w:sz w:val="24"/>
          <w:szCs w:val="24"/>
        </w:rPr>
        <w:t xml:space="preserve"> around how </w:t>
      </w:r>
      <w:r w:rsidR="00FA1A89">
        <w:rPr>
          <w:rFonts w:ascii="Arial" w:hAnsi="Arial" w:cs="Arial"/>
          <w:sz w:val="24"/>
          <w:szCs w:val="24"/>
        </w:rPr>
        <w:t xml:space="preserve">planning and environmental protection fit together as </w:t>
      </w:r>
      <w:r w:rsidR="004628C0">
        <w:rPr>
          <w:rFonts w:ascii="Arial" w:hAnsi="Arial" w:cs="Arial"/>
          <w:sz w:val="24"/>
          <w:szCs w:val="24"/>
        </w:rPr>
        <w:t xml:space="preserve">regulatory </w:t>
      </w:r>
      <w:r w:rsidR="00FA1A89">
        <w:rPr>
          <w:rFonts w:ascii="Arial" w:hAnsi="Arial" w:cs="Arial"/>
          <w:sz w:val="24"/>
          <w:szCs w:val="24"/>
        </w:rPr>
        <w:t xml:space="preserve">systems. </w:t>
      </w:r>
      <w:r w:rsidR="00193B00">
        <w:rPr>
          <w:rFonts w:ascii="Arial" w:hAnsi="Arial" w:cs="Arial"/>
          <w:sz w:val="24"/>
          <w:szCs w:val="24"/>
        </w:rPr>
        <w:t xml:space="preserve">Firstly, </w:t>
      </w:r>
      <w:r w:rsidR="005F109B">
        <w:rPr>
          <w:rFonts w:ascii="Arial" w:hAnsi="Arial" w:cs="Arial"/>
          <w:sz w:val="24"/>
          <w:szCs w:val="24"/>
        </w:rPr>
        <w:t>many respondents – individually or in the focus group</w:t>
      </w:r>
      <w:r w:rsidR="001748C4">
        <w:rPr>
          <w:rFonts w:ascii="Arial" w:hAnsi="Arial" w:cs="Arial"/>
          <w:sz w:val="24"/>
          <w:szCs w:val="24"/>
        </w:rPr>
        <w:t xml:space="preserve"> discussion</w:t>
      </w:r>
      <w:r w:rsidR="005F109B">
        <w:rPr>
          <w:rFonts w:ascii="Arial" w:hAnsi="Arial" w:cs="Arial"/>
          <w:sz w:val="24"/>
          <w:szCs w:val="24"/>
        </w:rPr>
        <w:t>s –</w:t>
      </w:r>
      <w:r w:rsidR="00E57D4C">
        <w:rPr>
          <w:rFonts w:ascii="Arial" w:hAnsi="Arial" w:cs="Arial"/>
          <w:sz w:val="24"/>
          <w:szCs w:val="24"/>
        </w:rPr>
        <w:t xml:space="preserve"> </w:t>
      </w:r>
      <w:r w:rsidR="005F109B">
        <w:rPr>
          <w:rFonts w:ascii="Arial" w:hAnsi="Arial" w:cs="Arial"/>
          <w:sz w:val="24"/>
          <w:szCs w:val="24"/>
        </w:rPr>
        <w:t>recognise</w:t>
      </w:r>
      <w:r w:rsidR="001416EE">
        <w:rPr>
          <w:rFonts w:ascii="Arial" w:hAnsi="Arial" w:cs="Arial"/>
          <w:sz w:val="24"/>
          <w:szCs w:val="24"/>
        </w:rPr>
        <w:t>d</w:t>
      </w:r>
      <w:r w:rsidR="005F109B">
        <w:rPr>
          <w:rFonts w:ascii="Arial" w:hAnsi="Arial" w:cs="Arial"/>
          <w:sz w:val="24"/>
          <w:szCs w:val="24"/>
        </w:rPr>
        <w:t xml:space="preserve"> that advancing a potential solution (e.g. greater regulatory flexibility) could have costs and risks.</w:t>
      </w:r>
      <w:r w:rsidR="00D079D6">
        <w:rPr>
          <w:rFonts w:ascii="Arial" w:hAnsi="Arial" w:cs="Arial"/>
          <w:sz w:val="24"/>
          <w:szCs w:val="24"/>
        </w:rPr>
        <w:t xml:space="preserve"> </w:t>
      </w:r>
      <w:r w:rsidR="004628C0">
        <w:rPr>
          <w:rFonts w:ascii="Arial" w:hAnsi="Arial" w:cs="Arial"/>
          <w:sz w:val="24"/>
          <w:szCs w:val="24"/>
        </w:rPr>
        <w:t>As we anticipated</w:t>
      </w:r>
      <w:r w:rsidR="000972F2">
        <w:rPr>
          <w:rFonts w:ascii="Arial" w:hAnsi="Arial" w:cs="Arial"/>
          <w:sz w:val="24"/>
          <w:szCs w:val="24"/>
        </w:rPr>
        <w:t>,</w:t>
      </w:r>
      <w:r w:rsidR="005F109B">
        <w:rPr>
          <w:rFonts w:ascii="Arial" w:hAnsi="Arial" w:cs="Arial"/>
          <w:sz w:val="24"/>
          <w:szCs w:val="24"/>
        </w:rPr>
        <w:t xml:space="preserve"> practitioners do not confront conflicts in regulatory styles in the abstract, but in relation to specific </w:t>
      </w:r>
      <w:r w:rsidR="00881684">
        <w:rPr>
          <w:rFonts w:ascii="Arial" w:hAnsi="Arial" w:cs="Arial"/>
          <w:sz w:val="24"/>
          <w:szCs w:val="24"/>
        </w:rPr>
        <w:t xml:space="preserve">practices and </w:t>
      </w:r>
      <w:r w:rsidR="005F109B">
        <w:rPr>
          <w:rFonts w:ascii="Arial" w:hAnsi="Arial" w:cs="Arial"/>
          <w:sz w:val="24"/>
          <w:szCs w:val="24"/>
        </w:rPr>
        <w:t>dilemmas.</w:t>
      </w:r>
      <w:r w:rsidR="000972F2">
        <w:rPr>
          <w:rFonts w:ascii="Arial" w:hAnsi="Arial" w:cs="Arial"/>
          <w:sz w:val="24"/>
          <w:szCs w:val="24"/>
        </w:rPr>
        <w:t xml:space="preserve"> T</w:t>
      </w:r>
      <w:r w:rsidR="001748C4">
        <w:rPr>
          <w:rFonts w:ascii="Arial" w:hAnsi="Arial" w:cs="Arial"/>
          <w:sz w:val="24"/>
          <w:szCs w:val="24"/>
        </w:rPr>
        <w:t>his</w:t>
      </w:r>
      <w:r w:rsidR="00881684">
        <w:rPr>
          <w:rFonts w:ascii="Arial" w:hAnsi="Arial" w:cs="Arial"/>
          <w:sz w:val="24"/>
          <w:szCs w:val="24"/>
        </w:rPr>
        <w:t xml:space="preserve"> suggests</w:t>
      </w:r>
      <w:r w:rsidR="0070444B" w:rsidRPr="00A40BDA">
        <w:rPr>
          <w:rFonts w:ascii="Arial" w:hAnsi="Arial" w:cs="Arial"/>
          <w:sz w:val="24"/>
          <w:szCs w:val="24"/>
        </w:rPr>
        <w:t xml:space="preserve"> that the concepts that comparative planning analysts use to assess difference and change – in our case ‘regulat</w:t>
      </w:r>
      <w:r w:rsidR="001416EE">
        <w:rPr>
          <w:rFonts w:ascii="Arial" w:hAnsi="Arial" w:cs="Arial"/>
          <w:sz w:val="24"/>
          <w:szCs w:val="24"/>
        </w:rPr>
        <w:t>ory styles</w:t>
      </w:r>
      <w:r w:rsidR="0070444B" w:rsidRPr="00A40BDA">
        <w:rPr>
          <w:rFonts w:ascii="Arial" w:hAnsi="Arial" w:cs="Arial"/>
          <w:sz w:val="24"/>
          <w:szCs w:val="24"/>
        </w:rPr>
        <w:t xml:space="preserve"> – should not necessarily be seen as internally coherent</w:t>
      </w:r>
      <w:r w:rsidR="00CE528C">
        <w:rPr>
          <w:rFonts w:ascii="Arial" w:hAnsi="Arial" w:cs="Arial"/>
          <w:sz w:val="24"/>
          <w:szCs w:val="24"/>
        </w:rPr>
        <w:t xml:space="preserve"> </w:t>
      </w:r>
      <w:r w:rsidR="00881684">
        <w:rPr>
          <w:rFonts w:ascii="Arial" w:hAnsi="Arial" w:cs="Arial"/>
          <w:sz w:val="24"/>
          <w:szCs w:val="24"/>
        </w:rPr>
        <w:t xml:space="preserve">institutional </w:t>
      </w:r>
      <w:r w:rsidR="001416EE">
        <w:rPr>
          <w:rFonts w:ascii="Arial" w:hAnsi="Arial" w:cs="Arial"/>
          <w:sz w:val="24"/>
          <w:szCs w:val="24"/>
        </w:rPr>
        <w:t>product</w:t>
      </w:r>
      <w:r w:rsidR="00881684">
        <w:rPr>
          <w:rFonts w:ascii="Arial" w:hAnsi="Arial" w:cs="Arial"/>
          <w:sz w:val="24"/>
          <w:szCs w:val="24"/>
        </w:rPr>
        <w:t>s</w:t>
      </w:r>
      <w:r w:rsidR="001416EE">
        <w:rPr>
          <w:rFonts w:ascii="Arial" w:hAnsi="Arial" w:cs="Arial"/>
          <w:sz w:val="24"/>
          <w:szCs w:val="24"/>
        </w:rPr>
        <w:t xml:space="preserve"> of particular contextual conditions, but also as </w:t>
      </w:r>
      <w:r w:rsidR="0070444B" w:rsidRPr="00A40BDA">
        <w:rPr>
          <w:rFonts w:ascii="Arial" w:hAnsi="Arial" w:cs="Arial"/>
          <w:sz w:val="24"/>
          <w:szCs w:val="24"/>
        </w:rPr>
        <w:t xml:space="preserve">compromises </w:t>
      </w:r>
      <w:r w:rsidR="005627E7">
        <w:rPr>
          <w:rFonts w:ascii="Arial" w:hAnsi="Arial" w:cs="Arial"/>
          <w:sz w:val="24"/>
          <w:szCs w:val="24"/>
        </w:rPr>
        <w:t xml:space="preserve">between divergent values </w:t>
      </w:r>
      <w:r w:rsidR="0070444B" w:rsidRPr="00A40BDA">
        <w:rPr>
          <w:rFonts w:ascii="Arial" w:hAnsi="Arial" w:cs="Arial"/>
          <w:sz w:val="24"/>
          <w:szCs w:val="24"/>
        </w:rPr>
        <w:t xml:space="preserve">in which contestable judgements are fixed </w:t>
      </w:r>
      <w:r w:rsidR="0070444B">
        <w:rPr>
          <w:rFonts w:ascii="Arial" w:hAnsi="Arial" w:cs="Arial"/>
          <w:sz w:val="24"/>
          <w:szCs w:val="24"/>
        </w:rPr>
        <w:t>with varying degrees of durability</w:t>
      </w:r>
      <w:r w:rsidR="00D079D6">
        <w:rPr>
          <w:rFonts w:ascii="Arial" w:hAnsi="Arial" w:cs="Arial"/>
          <w:sz w:val="24"/>
          <w:szCs w:val="24"/>
        </w:rPr>
        <w:t xml:space="preserve"> (Boltanski and Thévenot, 2006)</w:t>
      </w:r>
      <w:r w:rsidR="0070444B" w:rsidRPr="00A40BDA">
        <w:rPr>
          <w:rFonts w:ascii="Arial" w:hAnsi="Arial" w:cs="Arial"/>
          <w:sz w:val="24"/>
          <w:szCs w:val="24"/>
        </w:rPr>
        <w:t>.</w:t>
      </w:r>
      <w:r w:rsidR="00D079D6">
        <w:rPr>
          <w:rFonts w:ascii="Arial" w:hAnsi="Arial" w:cs="Arial"/>
          <w:sz w:val="24"/>
          <w:szCs w:val="24"/>
        </w:rPr>
        <w:t xml:space="preserve"> </w:t>
      </w:r>
      <w:r w:rsidR="0070444B" w:rsidRPr="00A40BDA">
        <w:rPr>
          <w:rFonts w:ascii="Arial" w:hAnsi="Arial" w:cs="Arial"/>
          <w:sz w:val="24"/>
          <w:szCs w:val="24"/>
        </w:rPr>
        <w:t xml:space="preserve">We observed these compromises in a number of areas, such as between formal rules and the space for discretion, </w:t>
      </w:r>
      <w:r w:rsidR="001748C4">
        <w:rPr>
          <w:rFonts w:ascii="Arial" w:hAnsi="Arial" w:cs="Arial"/>
          <w:sz w:val="24"/>
          <w:szCs w:val="24"/>
        </w:rPr>
        <w:t>with m</w:t>
      </w:r>
      <w:r w:rsidR="0070444B" w:rsidRPr="00A40BDA">
        <w:rPr>
          <w:rFonts w:ascii="Arial" w:hAnsi="Arial" w:cs="Arial"/>
          <w:sz w:val="24"/>
          <w:szCs w:val="24"/>
        </w:rPr>
        <w:t>uch discussio</w:t>
      </w:r>
      <w:r w:rsidR="000972F2">
        <w:rPr>
          <w:rFonts w:ascii="Arial" w:hAnsi="Arial" w:cs="Arial"/>
          <w:sz w:val="24"/>
          <w:szCs w:val="24"/>
        </w:rPr>
        <w:t>n being</w:t>
      </w:r>
      <w:r w:rsidR="0070444B" w:rsidRPr="00A40BDA">
        <w:rPr>
          <w:rFonts w:ascii="Arial" w:hAnsi="Arial" w:cs="Arial"/>
          <w:sz w:val="24"/>
          <w:szCs w:val="24"/>
        </w:rPr>
        <w:t xml:space="preserve"> directed towards tensions between cross-territorial standardisation</w:t>
      </w:r>
      <w:r w:rsidR="00D079D6">
        <w:rPr>
          <w:rFonts w:ascii="Arial" w:hAnsi="Arial" w:cs="Arial"/>
          <w:sz w:val="24"/>
          <w:szCs w:val="24"/>
        </w:rPr>
        <w:t>,</w:t>
      </w:r>
      <w:r w:rsidR="0070444B" w:rsidRPr="00A40BDA">
        <w:rPr>
          <w:rFonts w:ascii="Arial" w:hAnsi="Arial" w:cs="Arial"/>
          <w:sz w:val="24"/>
          <w:szCs w:val="24"/>
        </w:rPr>
        <w:t xml:space="preserve"> local tailoring</w:t>
      </w:r>
      <w:r w:rsidR="00D079D6">
        <w:rPr>
          <w:rFonts w:ascii="Arial" w:hAnsi="Arial" w:cs="Arial"/>
          <w:sz w:val="24"/>
          <w:szCs w:val="24"/>
        </w:rPr>
        <w:t xml:space="preserve"> and responsiveness to individual cases</w:t>
      </w:r>
      <w:r w:rsidR="0070444B" w:rsidRPr="00A40BDA">
        <w:rPr>
          <w:rFonts w:ascii="Arial" w:hAnsi="Arial" w:cs="Arial"/>
          <w:sz w:val="24"/>
          <w:szCs w:val="24"/>
        </w:rPr>
        <w:t xml:space="preserve">. </w:t>
      </w:r>
    </w:p>
    <w:p w:rsidR="000C68A0" w:rsidRPr="000C68A0" w:rsidRDefault="000C68A0" w:rsidP="005F109B">
      <w:pPr>
        <w:rPr>
          <w:rFonts w:ascii="Arial" w:hAnsi="Arial" w:cs="Arial"/>
          <w:sz w:val="24"/>
          <w:szCs w:val="24"/>
        </w:rPr>
      </w:pPr>
    </w:p>
    <w:p w:rsidR="005F109B" w:rsidRPr="001748C4" w:rsidRDefault="000C68A0" w:rsidP="005F109B">
      <w:pPr>
        <w:rPr>
          <w:rFonts w:ascii="Arial" w:hAnsi="Arial" w:cs="Arial"/>
          <w:sz w:val="24"/>
          <w:szCs w:val="24"/>
        </w:rPr>
      </w:pPr>
      <w:r w:rsidRPr="001416EE">
        <w:rPr>
          <w:rFonts w:ascii="Arial" w:hAnsi="Arial" w:cs="Arial"/>
          <w:sz w:val="24"/>
          <w:szCs w:val="24"/>
        </w:rPr>
        <w:t xml:space="preserve">This observation links to how one might conceive of the </w:t>
      </w:r>
      <w:r w:rsidR="001416EE">
        <w:rPr>
          <w:rFonts w:ascii="Arial" w:hAnsi="Arial" w:cs="Arial"/>
          <w:sz w:val="24"/>
          <w:szCs w:val="24"/>
        </w:rPr>
        <w:t xml:space="preserve">political and discursive </w:t>
      </w:r>
      <w:r w:rsidRPr="001416EE">
        <w:rPr>
          <w:rFonts w:ascii="Arial" w:hAnsi="Arial" w:cs="Arial"/>
          <w:sz w:val="24"/>
          <w:szCs w:val="24"/>
        </w:rPr>
        <w:t>processes of regulatory change</w:t>
      </w:r>
      <w:r w:rsidR="00881684">
        <w:rPr>
          <w:rFonts w:ascii="Arial" w:hAnsi="Arial" w:cs="Arial"/>
          <w:sz w:val="24"/>
          <w:szCs w:val="24"/>
        </w:rPr>
        <w:t>,</w:t>
      </w:r>
      <w:r w:rsidRPr="001416EE">
        <w:rPr>
          <w:rFonts w:ascii="Arial" w:hAnsi="Arial" w:cs="Arial"/>
          <w:sz w:val="24"/>
          <w:szCs w:val="24"/>
        </w:rPr>
        <w:t xml:space="preserve"> and here a second prominent pattern in the data becomes important. I</w:t>
      </w:r>
      <w:r w:rsidR="005F109B" w:rsidRPr="001416EE">
        <w:rPr>
          <w:rFonts w:ascii="Arial" w:hAnsi="Arial" w:cs="Arial"/>
          <w:sz w:val="24"/>
          <w:szCs w:val="24"/>
        </w:rPr>
        <w:t>n illustrating criticisms of the present situation</w:t>
      </w:r>
      <w:r w:rsidR="001748C4">
        <w:rPr>
          <w:rFonts w:ascii="Arial" w:hAnsi="Arial" w:cs="Arial"/>
          <w:sz w:val="24"/>
          <w:szCs w:val="24"/>
        </w:rPr>
        <w:t xml:space="preserve"> with the planning/environment interface and EU legislation</w:t>
      </w:r>
      <w:r w:rsidR="005F109B" w:rsidRPr="001416EE">
        <w:rPr>
          <w:rFonts w:ascii="Arial" w:hAnsi="Arial" w:cs="Arial"/>
          <w:sz w:val="24"/>
          <w:szCs w:val="24"/>
        </w:rPr>
        <w:t>, there was a strong tendency for respondents to ground their concerns in a very small number of concrete situations. The issue of disproportionately large EIAs is one example</w:t>
      </w:r>
      <w:r w:rsidR="001748C4">
        <w:rPr>
          <w:rFonts w:ascii="Arial" w:hAnsi="Arial" w:cs="Arial"/>
          <w:sz w:val="24"/>
          <w:szCs w:val="24"/>
        </w:rPr>
        <w:t xml:space="preserve">. </w:t>
      </w:r>
      <w:r w:rsidR="000972F2">
        <w:rPr>
          <w:rFonts w:ascii="Arial" w:hAnsi="Arial" w:cs="Arial"/>
          <w:sz w:val="24"/>
          <w:szCs w:val="24"/>
        </w:rPr>
        <w:t xml:space="preserve">Although </w:t>
      </w:r>
      <w:r w:rsidR="001748C4">
        <w:rPr>
          <w:rFonts w:ascii="Arial" w:hAnsi="Arial" w:cs="Arial"/>
          <w:sz w:val="24"/>
          <w:szCs w:val="24"/>
        </w:rPr>
        <w:t xml:space="preserve">widely </w:t>
      </w:r>
      <w:r w:rsidR="005627E7">
        <w:rPr>
          <w:rFonts w:ascii="Arial" w:hAnsi="Arial" w:cs="Arial"/>
          <w:sz w:val="24"/>
          <w:szCs w:val="24"/>
        </w:rPr>
        <w:t>perceiv</w:t>
      </w:r>
      <w:r w:rsidR="001748C4">
        <w:rPr>
          <w:rFonts w:ascii="Arial" w:hAnsi="Arial" w:cs="Arial"/>
          <w:sz w:val="24"/>
          <w:szCs w:val="24"/>
        </w:rPr>
        <w:t>ed as an issue, few respondents attributed this</w:t>
      </w:r>
      <w:r w:rsidR="001748C4" w:rsidRPr="00BE6140">
        <w:rPr>
          <w:rFonts w:ascii="Arial" w:hAnsi="Arial" w:cs="Arial"/>
          <w:sz w:val="24"/>
          <w:szCs w:val="24"/>
        </w:rPr>
        <w:t xml:space="preserve"> problem to EU requirements, with suggestions pointing instead to </w:t>
      </w:r>
      <w:r w:rsidR="001748C4">
        <w:rPr>
          <w:rFonts w:ascii="Arial" w:hAnsi="Arial" w:cs="Arial"/>
          <w:sz w:val="24"/>
          <w:szCs w:val="24"/>
        </w:rPr>
        <w:t xml:space="preserve">causes </w:t>
      </w:r>
      <w:r w:rsidR="00E57D4C">
        <w:rPr>
          <w:rFonts w:ascii="Arial" w:hAnsi="Arial" w:cs="Arial"/>
          <w:sz w:val="24"/>
          <w:szCs w:val="24"/>
        </w:rPr>
        <w:t xml:space="preserve">at </w:t>
      </w:r>
      <w:r w:rsidR="00D079D6">
        <w:rPr>
          <w:rFonts w:ascii="Arial" w:hAnsi="Arial" w:cs="Arial"/>
          <w:sz w:val="24"/>
          <w:szCs w:val="24"/>
        </w:rPr>
        <w:t>other</w:t>
      </w:r>
      <w:r w:rsidR="001748C4">
        <w:rPr>
          <w:rFonts w:ascii="Arial" w:hAnsi="Arial" w:cs="Arial"/>
          <w:sz w:val="24"/>
          <w:szCs w:val="24"/>
        </w:rPr>
        <w:t xml:space="preserve"> level</w:t>
      </w:r>
      <w:r w:rsidR="00D079D6">
        <w:rPr>
          <w:rFonts w:ascii="Arial" w:hAnsi="Arial" w:cs="Arial"/>
          <w:sz w:val="24"/>
          <w:szCs w:val="24"/>
        </w:rPr>
        <w:t>s</w:t>
      </w:r>
      <w:r w:rsidR="001748C4">
        <w:rPr>
          <w:rFonts w:ascii="Arial" w:hAnsi="Arial" w:cs="Arial"/>
          <w:sz w:val="24"/>
          <w:szCs w:val="24"/>
        </w:rPr>
        <w:t xml:space="preserve"> </w:t>
      </w:r>
      <w:r w:rsidR="001748C4" w:rsidRPr="00BE6140">
        <w:rPr>
          <w:rFonts w:ascii="Arial" w:hAnsi="Arial" w:cs="Arial"/>
          <w:sz w:val="24"/>
          <w:szCs w:val="24"/>
        </w:rPr>
        <w:t>(</w:t>
      </w:r>
      <w:r w:rsidR="001748C4">
        <w:rPr>
          <w:rFonts w:ascii="Arial" w:hAnsi="Arial" w:cs="Arial"/>
          <w:sz w:val="24"/>
          <w:szCs w:val="24"/>
        </w:rPr>
        <w:t>Bond et al</w:t>
      </w:r>
      <w:r w:rsidR="0000641A">
        <w:rPr>
          <w:rFonts w:ascii="Arial" w:hAnsi="Arial" w:cs="Arial"/>
          <w:sz w:val="24"/>
          <w:szCs w:val="24"/>
        </w:rPr>
        <w:t>.</w:t>
      </w:r>
      <w:r w:rsidR="001748C4">
        <w:rPr>
          <w:rFonts w:ascii="Arial" w:hAnsi="Arial" w:cs="Arial"/>
          <w:sz w:val="24"/>
          <w:szCs w:val="24"/>
        </w:rPr>
        <w:t>, 2016</w:t>
      </w:r>
      <w:r w:rsidR="00D079D6">
        <w:rPr>
          <w:rFonts w:ascii="Arial" w:hAnsi="Arial" w:cs="Arial"/>
          <w:sz w:val="24"/>
          <w:szCs w:val="24"/>
        </w:rPr>
        <w:t>; see Figure 2, above</w:t>
      </w:r>
      <w:r w:rsidR="001748C4" w:rsidRPr="00BE6140">
        <w:rPr>
          <w:rFonts w:ascii="Arial" w:hAnsi="Arial" w:cs="Arial"/>
          <w:sz w:val="24"/>
          <w:szCs w:val="24"/>
        </w:rPr>
        <w:t>).</w:t>
      </w:r>
      <w:r w:rsidR="001748C4">
        <w:rPr>
          <w:rFonts w:ascii="Arial" w:hAnsi="Arial" w:cs="Arial"/>
          <w:sz w:val="24"/>
          <w:szCs w:val="24"/>
        </w:rPr>
        <w:t xml:space="preserve"> The other major example is </w:t>
      </w:r>
      <w:r w:rsidR="005F109B" w:rsidRPr="001416EE">
        <w:rPr>
          <w:rFonts w:ascii="Arial" w:hAnsi="Arial" w:cs="Arial"/>
          <w:sz w:val="24"/>
          <w:szCs w:val="24"/>
        </w:rPr>
        <w:t>the claim that protective measures for species covered by the Habitats Directive impose excessive costs on developers</w:t>
      </w:r>
      <w:r w:rsidRPr="001416EE">
        <w:rPr>
          <w:rFonts w:ascii="Arial" w:hAnsi="Arial" w:cs="Arial"/>
          <w:sz w:val="24"/>
          <w:szCs w:val="24"/>
        </w:rPr>
        <w:t>. Here, the uncertainties and costs created for developers in dealing with potential impacts on Great-crested newts (</w:t>
      </w:r>
      <w:r w:rsidR="00DA7812" w:rsidRPr="00DA7812">
        <w:rPr>
          <w:rFonts w:ascii="Arial" w:hAnsi="Arial" w:cs="Arial"/>
          <w:i/>
          <w:color w:val="222222"/>
          <w:sz w:val="24"/>
          <w:szCs w:val="24"/>
          <w:shd w:val="clear" w:color="auto" w:fill="FFFFFF"/>
        </w:rPr>
        <w:t>Triturus cristatus</w:t>
      </w:r>
      <w:r w:rsidR="00DA7812" w:rsidRPr="00DA7812">
        <w:rPr>
          <w:rFonts w:ascii="Arial" w:hAnsi="Arial" w:cs="Arial"/>
          <w:color w:val="222222"/>
          <w:sz w:val="24"/>
          <w:szCs w:val="24"/>
          <w:shd w:val="clear" w:color="auto" w:fill="FFFFFF"/>
        </w:rPr>
        <w:t xml:space="preserve">) </w:t>
      </w:r>
      <w:r w:rsidRPr="001748C4">
        <w:rPr>
          <w:rFonts w:ascii="Arial" w:hAnsi="Arial" w:cs="Arial"/>
          <w:sz w:val="24"/>
          <w:szCs w:val="24"/>
          <w:shd w:val="clear" w:color="auto" w:fill="FFFFFF"/>
        </w:rPr>
        <w:t>was a wide</w:t>
      </w:r>
      <w:r w:rsidR="00881684" w:rsidRPr="001748C4">
        <w:rPr>
          <w:rFonts w:ascii="Arial" w:hAnsi="Arial" w:cs="Arial"/>
          <w:sz w:val="24"/>
          <w:szCs w:val="24"/>
          <w:shd w:val="clear" w:color="auto" w:fill="FFFFFF"/>
        </w:rPr>
        <w:t>ly and spontaneously referenced</w:t>
      </w:r>
      <w:r w:rsidRPr="001748C4">
        <w:rPr>
          <w:rFonts w:ascii="Arial" w:hAnsi="Arial" w:cs="Arial"/>
          <w:sz w:val="24"/>
          <w:szCs w:val="24"/>
          <w:shd w:val="clear" w:color="auto" w:fill="FFFFFF"/>
        </w:rPr>
        <w:t xml:space="preserve"> signifier for an excessive inflexibility in the EU regulatory style.</w:t>
      </w:r>
    </w:p>
    <w:p w:rsidR="009B58E4" w:rsidRPr="001416EE" w:rsidRDefault="009B58E4" w:rsidP="005F109B">
      <w:pPr>
        <w:rPr>
          <w:rFonts w:ascii="Arial" w:hAnsi="Arial" w:cs="Arial"/>
          <w:sz w:val="24"/>
          <w:szCs w:val="24"/>
        </w:rPr>
      </w:pPr>
    </w:p>
    <w:p w:rsidR="00F7450F" w:rsidRDefault="001416EE" w:rsidP="00F43A92">
      <w:pPr>
        <w:rPr>
          <w:rFonts w:ascii="Arial" w:hAnsi="Arial" w:cs="Arial"/>
          <w:sz w:val="24"/>
          <w:szCs w:val="24"/>
        </w:rPr>
      </w:pPr>
      <w:r>
        <w:rPr>
          <w:rFonts w:ascii="Arial" w:hAnsi="Arial" w:cs="Arial"/>
          <w:sz w:val="24"/>
          <w:szCs w:val="24"/>
        </w:rPr>
        <w:t xml:space="preserve">This </w:t>
      </w:r>
      <w:r w:rsidR="00947208">
        <w:rPr>
          <w:rFonts w:ascii="Arial" w:hAnsi="Arial" w:cs="Arial"/>
          <w:sz w:val="24"/>
          <w:szCs w:val="24"/>
        </w:rPr>
        <w:t xml:space="preserve">dynamic </w:t>
      </w:r>
      <w:r>
        <w:rPr>
          <w:rFonts w:ascii="Arial" w:hAnsi="Arial" w:cs="Arial"/>
          <w:sz w:val="24"/>
          <w:szCs w:val="24"/>
        </w:rPr>
        <w:t xml:space="preserve">reinforces the need for </w:t>
      </w:r>
      <w:r w:rsidR="00947208">
        <w:rPr>
          <w:rFonts w:ascii="Arial" w:hAnsi="Arial" w:cs="Arial"/>
          <w:sz w:val="24"/>
          <w:szCs w:val="24"/>
        </w:rPr>
        <w:t xml:space="preserve">researchers and </w:t>
      </w:r>
      <w:r>
        <w:rPr>
          <w:rFonts w:ascii="Arial" w:hAnsi="Arial" w:cs="Arial"/>
          <w:sz w:val="24"/>
          <w:szCs w:val="24"/>
        </w:rPr>
        <w:t xml:space="preserve">policy-makers to be sensitive to how arguments about concrete </w:t>
      </w:r>
      <w:r w:rsidR="00E57D4C">
        <w:rPr>
          <w:rFonts w:ascii="Arial" w:hAnsi="Arial" w:cs="Arial"/>
          <w:sz w:val="24"/>
          <w:szCs w:val="24"/>
        </w:rPr>
        <w:t>situation</w:t>
      </w:r>
      <w:r>
        <w:rPr>
          <w:rFonts w:ascii="Arial" w:hAnsi="Arial" w:cs="Arial"/>
          <w:sz w:val="24"/>
          <w:szCs w:val="24"/>
        </w:rPr>
        <w:t xml:space="preserve">s </w:t>
      </w:r>
      <w:r w:rsidR="009B1C55">
        <w:rPr>
          <w:rFonts w:ascii="Arial" w:hAnsi="Arial" w:cs="Arial"/>
          <w:sz w:val="24"/>
          <w:szCs w:val="24"/>
        </w:rPr>
        <w:t>become</w:t>
      </w:r>
      <w:r>
        <w:rPr>
          <w:rFonts w:ascii="Arial" w:hAnsi="Arial" w:cs="Arial"/>
          <w:sz w:val="24"/>
          <w:szCs w:val="24"/>
        </w:rPr>
        <w:t xml:space="preserve"> generalised into wider arguments for </w:t>
      </w:r>
      <w:r w:rsidR="00F829C7">
        <w:rPr>
          <w:rFonts w:ascii="Arial" w:hAnsi="Arial" w:cs="Arial"/>
          <w:sz w:val="24"/>
          <w:szCs w:val="24"/>
        </w:rPr>
        <w:t xml:space="preserve">regulatory </w:t>
      </w:r>
      <w:r>
        <w:rPr>
          <w:rFonts w:ascii="Arial" w:hAnsi="Arial" w:cs="Arial"/>
          <w:sz w:val="24"/>
          <w:szCs w:val="24"/>
        </w:rPr>
        <w:t xml:space="preserve">change. </w:t>
      </w:r>
      <w:r w:rsidR="00F829C7">
        <w:rPr>
          <w:rFonts w:ascii="Arial" w:hAnsi="Arial" w:cs="Arial"/>
          <w:sz w:val="24"/>
          <w:szCs w:val="24"/>
        </w:rPr>
        <w:t>O</w:t>
      </w:r>
      <w:r>
        <w:rPr>
          <w:rFonts w:ascii="Arial" w:hAnsi="Arial" w:cs="Arial"/>
          <w:sz w:val="24"/>
          <w:szCs w:val="24"/>
        </w:rPr>
        <w:t>ur evidence</w:t>
      </w:r>
      <w:r w:rsidR="00947208">
        <w:rPr>
          <w:rFonts w:ascii="Arial" w:hAnsi="Arial" w:cs="Arial"/>
          <w:sz w:val="24"/>
          <w:szCs w:val="24"/>
        </w:rPr>
        <w:t xml:space="preserve"> suggests</w:t>
      </w:r>
      <w:r>
        <w:rPr>
          <w:rFonts w:ascii="Arial" w:hAnsi="Arial" w:cs="Arial"/>
          <w:sz w:val="24"/>
          <w:szCs w:val="24"/>
        </w:rPr>
        <w:t xml:space="preserve"> that practitioner</w:t>
      </w:r>
      <w:r w:rsidR="000972F2">
        <w:rPr>
          <w:rFonts w:ascii="Arial" w:hAnsi="Arial" w:cs="Arial"/>
          <w:sz w:val="24"/>
          <w:szCs w:val="24"/>
        </w:rPr>
        <w:t xml:space="preserve"> narrative</w:t>
      </w:r>
      <w:r>
        <w:rPr>
          <w:rFonts w:ascii="Arial" w:hAnsi="Arial" w:cs="Arial"/>
          <w:sz w:val="24"/>
          <w:szCs w:val="24"/>
        </w:rPr>
        <w:t xml:space="preserve">s share </w:t>
      </w:r>
      <w:r w:rsidR="00947208">
        <w:rPr>
          <w:rFonts w:ascii="Arial" w:hAnsi="Arial" w:cs="Arial"/>
          <w:sz w:val="24"/>
          <w:szCs w:val="24"/>
        </w:rPr>
        <w:t xml:space="preserve">some </w:t>
      </w:r>
      <w:r>
        <w:rPr>
          <w:rFonts w:ascii="Arial" w:hAnsi="Arial" w:cs="Arial"/>
          <w:sz w:val="24"/>
          <w:szCs w:val="24"/>
        </w:rPr>
        <w:t xml:space="preserve">features of the wider narratives around </w:t>
      </w:r>
      <w:r w:rsidR="006967B0">
        <w:rPr>
          <w:rFonts w:ascii="Arial" w:hAnsi="Arial" w:cs="Arial"/>
          <w:sz w:val="24"/>
          <w:szCs w:val="24"/>
        </w:rPr>
        <w:t>Brexit</w:t>
      </w:r>
      <w:r>
        <w:rPr>
          <w:rFonts w:ascii="Arial" w:hAnsi="Arial" w:cs="Arial"/>
          <w:sz w:val="24"/>
          <w:szCs w:val="24"/>
        </w:rPr>
        <w:t xml:space="preserve"> and the potential evolution of environmental policy. Much of the generalised negativ</w:t>
      </w:r>
      <w:r w:rsidR="00772F95">
        <w:rPr>
          <w:rFonts w:ascii="Arial" w:hAnsi="Arial" w:cs="Arial"/>
          <w:sz w:val="24"/>
          <w:szCs w:val="24"/>
        </w:rPr>
        <w:t>e discourse</w:t>
      </w:r>
      <w:r>
        <w:rPr>
          <w:rFonts w:ascii="Arial" w:hAnsi="Arial" w:cs="Arial"/>
          <w:sz w:val="24"/>
          <w:szCs w:val="24"/>
        </w:rPr>
        <w:t xml:space="preserve"> around EU ‘red tape’ in the environmental sphere </w:t>
      </w:r>
      <w:r w:rsidR="00F43A92">
        <w:rPr>
          <w:rFonts w:ascii="Arial" w:hAnsi="Arial" w:cs="Arial"/>
          <w:sz w:val="24"/>
          <w:szCs w:val="24"/>
        </w:rPr>
        <w:t xml:space="preserve">and the </w:t>
      </w:r>
      <w:r w:rsidR="000972F2">
        <w:rPr>
          <w:rFonts w:ascii="Arial" w:hAnsi="Arial" w:cs="Arial"/>
          <w:sz w:val="24"/>
          <w:szCs w:val="24"/>
        </w:rPr>
        <w:t xml:space="preserve">espoused </w:t>
      </w:r>
      <w:r w:rsidR="00F43A92">
        <w:rPr>
          <w:rFonts w:ascii="Arial" w:hAnsi="Arial" w:cs="Arial"/>
          <w:sz w:val="24"/>
          <w:szCs w:val="24"/>
        </w:rPr>
        <w:t xml:space="preserve">‘need’ for deregulation </w:t>
      </w:r>
      <w:r>
        <w:rPr>
          <w:rFonts w:ascii="Arial" w:hAnsi="Arial" w:cs="Arial"/>
          <w:sz w:val="24"/>
          <w:szCs w:val="24"/>
        </w:rPr>
        <w:t>a</w:t>
      </w:r>
      <w:r w:rsidR="000972F2">
        <w:rPr>
          <w:rFonts w:ascii="Arial" w:hAnsi="Arial" w:cs="Arial"/>
          <w:sz w:val="24"/>
          <w:szCs w:val="24"/>
        </w:rPr>
        <w:t>lso</w:t>
      </w:r>
      <w:r>
        <w:rPr>
          <w:rFonts w:ascii="Arial" w:hAnsi="Arial" w:cs="Arial"/>
          <w:sz w:val="24"/>
          <w:szCs w:val="24"/>
        </w:rPr>
        <w:t xml:space="preserve"> emanate from a fairly small number of highly specific issues which endlessly recirculate</w:t>
      </w:r>
      <w:r w:rsidR="00CE528C">
        <w:rPr>
          <w:rFonts w:ascii="Arial" w:hAnsi="Arial" w:cs="Arial"/>
          <w:sz w:val="24"/>
          <w:szCs w:val="24"/>
        </w:rPr>
        <w:t xml:space="preserve"> </w:t>
      </w:r>
      <w:r w:rsidR="00772F95">
        <w:rPr>
          <w:rFonts w:ascii="Arial" w:hAnsi="Arial" w:cs="Arial"/>
          <w:sz w:val="24"/>
          <w:szCs w:val="24"/>
        </w:rPr>
        <w:t xml:space="preserve">in the media and political sphere, </w:t>
      </w:r>
      <w:r w:rsidR="00881684">
        <w:rPr>
          <w:rFonts w:ascii="Arial" w:hAnsi="Arial" w:cs="Arial"/>
          <w:sz w:val="24"/>
          <w:szCs w:val="24"/>
        </w:rPr>
        <w:t>the newt narrative being</w:t>
      </w:r>
      <w:r w:rsidR="00772F95">
        <w:rPr>
          <w:rFonts w:ascii="Arial" w:hAnsi="Arial" w:cs="Arial"/>
          <w:sz w:val="24"/>
          <w:szCs w:val="24"/>
        </w:rPr>
        <w:t xml:space="preserve"> one example</w:t>
      </w:r>
      <w:r w:rsidR="0000641A">
        <w:rPr>
          <w:rFonts w:ascii="Arial" w:hAnsi="Arial" w:cs="Arial"/>
          <w:sz w:val="24"/>
          <w:szCs w:val="24"/>
        </w:rPr>
        <w:t xml:space="preserve"> </w:t>
      </w:r>
      <w:r w:rsidR="00772F95">
        <w:rPr>
          <w:rFonts w:ascii="Arial" w:hAnsi="Arial" w:cs="Arial"/>
          <w:sz w:val="24"/>
          <w:szCs w:val="24"/>
        </w:rPr>
        <w:t>(</w:t>
      </w:r>
      <w:r w:rsidR="006803EC">
        <w:rPr>
          <w:rFonts w:ascii="Arial" w:hAnsi="Arial" w:cs="Arial"/>
          <w:sz w:val="24"/>
          <w:szCs w:val="24"/>
        </w:rPr>
        <w:t xml:space="preserve">Johnson, 2018; </w:t>
      </w:r>
      <w:r w:rsidR="000972F2">
        <w:rPr>
          <w:rFonts w:ascii="Arial" w:hAnsi="Arial" w:cs="Arial"/>
          <w:sz w:val="24"/>
          <w:szCs w:val="24"/>
        </w:rPr>
        <w:t>Longworth</w:t>
      </w:r>
      <w:r w:rsidR="0000641A">
        <w:rPr>
          <w:rFonts w:ascii="Arial" w:hAnsi="Arial" w:cs="Arial"/>
          <w:sz w:val="24"/>
          <w:szCs w:val="24"/>
        </w:rPr>
        <w:t>,</w:t>
      </w:r>
      <w:r w:rsidR="000972F2">
        <w:rPr>
          <w:rFonts w:ascii="Arial" w:hAnsi="Arial" w:cs="Arial"/>
          <w:sz w:val="24"/>
          <w:szCs w:val="24"/>
        </w:rPr>
        <w:t xml:space="preserve"> 2017</w:t>
      </w:r>
      <w:r w:rsidR="00F7450F">
        <w:rPr>
          <w:rFonts w:ascii="Arial" w:hAnsi="Arial" w:cs="Arial"/>
          <w:sz w:val="24"/>
          <w:szCs w:val="24"/>
        </w:rPr>
        <w:t>)</w:t>
      </w:r>
      <w:r>
        <w:rPr>
          <w:rFonts w:ascii="Arial" w:hAnsi="Arial" w:cs="Arial"/>
          <w:sz w:val="24"/>
          <w:szCs w:val="24"/>
        </w:rPr>
        <w:t xml:space="preserve">. A dominant strand of Eurosceptic discourse takes these situations and </w:t>
      </w:r>
      <w:r w:rsidR="00947208">
        <w:rPr>
          <w:rFonts w:ascii="Arial" w:hAnsi="Arial" w:cs="Arial"/>
          <w:sz w:val="24"/>
          <w:szCs w:val="24"/>
        </w:rPr>
        <w:t xml:space="preserve">uses them in constructing </w:t>
      </w:r>
      <w:r w:rsidR="00772F95">
        <w:rPr>
          <w:rFonts w:ascii="Arial" w:hAnsi="Arial" w:cs="Arial"/>
          <w:sz w:val="24"/>
          <w:szCs w:val="24"/>
        </w:rPr>
        <w:t xml:space="preserve">wider </w:t>
      </w:r>
      <w:r>
        <w:rPr>
          <w:rFonts w:ascii="Arial" w:hAnsi="Arial" w:cs="Arial"/>
          <w:sz w:val="24"/>
          <w:szCs w:val="24"/>
        </w:rPr>
        <w:t>anti-EU critique</w:t>
      </w:r>
      <w:r w:rsidR="00947208">
        <w:rPr>
          <w:rFonts w:ascii="Arial" w:hAnsi="Arial" w:cs="Arial"/>
          <w:sz w:val="24"/>
          <w:szCs w:val="24"/>
        </w:rPr>
        <w:t>s</w:t>
      </w:r>
      <w:r w:rsidR="00881684">
        <w:rPr>
          <w:rFonts w:ascii="Arial" w:hAnsi="Arial" w:cs="Arial"/>
          <w:sz w:val="24"/>
          <w:szCs w:val="24"/>
        </w:rPr>
        <w:t>, whether from nationalist or libertarian ideological positions.</w:t>
      </w:r>
    </w:p>
    <w:p w:rsidR="001416EE" w:rsidRDefault="001416EE" w:rsidP="001416EE">
      <w:pPr>
        <w:rPr>
          <w:rFonts w:ascii="Arial" w:hAnsi="Arial" w:cs="Arial"/>
          <w:sz w:val="24"/>
          <w:szCs w:val="24"/>
        </w:rPr>
      </w:pPr>
    </w:p>
    <w:p w:rsidR="00F43A92" w:rsidRDefault="006C3704" w:rsidP="00F43A92">
      <w:pPr>
        <w:rPr>
          <w:rFonts w:ascii="Arial" w:hAnsi="Arial" w:cs="Arial"/>
          <w:sz w:val="24"/>
          <w:szCs w:val="24"/>
        </w:rPr>
      </w:pPr>
      <w:r>
        <w:rPr>
          <w:rFonts w:ascii="Arial" w:hAnsi="Arial" w:cs="Arial"/>
          <w:sz w:val="24"/>
          <w:szCs w:val="24"/>
        </w:rPr>
        <w:t>S</w:t>
      </w:r>
      <w:r w:rsidR="00F43A92">
        <w:rPr>
          <w:rFonts w:ascii="Arial" w:hAnsi="Arial" w:cs="Arial"/>
          <w:sz w:val="24"/>
          <w:szCs w:val="24"/>
        </w:rPr>
        <w:t xml:space="preserve">uch concerns show how </w:t>
      </w:r>
      <w:r w:rsidR="00F829C7">
        <w:rPr>
          <w:rFonts w:ascii="Arial" w:hAnsi="Arial" w:cs="Arial"/>
          <w:sz w:val="24"/>
          <w:szCs w:val="24"/>
        </w:rPr>
        <w:t>practitioner and political deliberation</w:t>
      </w:r>
      <w:r w:rsidR="00772F95">
        <w:rPr>
          <w:rFonts w:ascii="Arial" w:hAnsi="Arial" w:cs="Arial"/>
          <w:sz w:val="24"/>
          <w:szCs w:val="24"/>
        </w:rPr>
        <w:t xml:space="preserve"> about the </w:t>
      </w:r>
      <w:r w:rsidR="00F829C7">
        <w:rPr>
          <w:rFonts w:ascii="Arial" w:hAnsi="Arial" w:cs="Arial"/>
          <w:sz w:val="24"/>
          <w:szCs w:val="24"/>
        </w:rPr>
        <w:t xml:space="preserve">future evolution of the </w:t>
      </w:r>
      <w:r w:rsidR="00772F95">
        <w:rPr>
          <w:rFonts w:ascii="Arial" w:hAnsi="Arial" w:cs="Arial"/>
          <w:sz w:val="24"/>
          <w:szCs w:val="24"/>
        </w:rPr>
        <w:t xml:space="preserve">planning-environment interface needs to strike a careful balance. On the one hand there is merit in contemplating the relative qualities of broad regulatory </w:t>
      </w:r>
      <w:r w:rsidR="00F43A92">
        <w:rPr>
          <w:rFonts w:ascii="Arial" w:hAnsi="Arial" w:cs="Arial"/>
          <w:sz w:val="24"/>
          <w:szCs w:val="24"/>
        </w:rPr>
        <w:t>style</w:t>
      </w:r>
      <w:r w:rsidR="00772F95">
        <w:rPr>
          <w:rFonts w:ascii="Arial" w:hAnsi="Arial" w:cs="Arial"/>
          <w:sz w:val="24"/>
          <w:szCs w:val="24"/>
        </w:rPr>
        <w:t>s</w:t>
      </w:r>
      <w:r w:rsidR="00F829C7">
        <w:rPr>
          <w:rFonts w:ascii="Arial" w:hAnsi="Arial" w:cs="Arial"/>
          <w:sz w:val="24"/>
          <w:szCs w:val="24"/>
        </w:rPr>
        <w:t xml:space="preserve"> and scenarios</w:t>
      </w:r>
      <w:r w:rsidR="00772F95">
        <w:rPr>
          <w:rFonts w:ascii="Arial" w:hAnsi="Arial" w:cs="Arial"/>
          <w:sz w:val="24"/>
          <w:szCs w:val="24"/>
        </w:rPr>
        <w:t>, in helping with sense-making around the myriad governance issues that affect planning and environmental issues</w:t>
      </w:r>
      <w:r w:rsidR="00E57D4C">
        <w:rPr>
          <w:rFonts w:ascii="Arial" w:hAnsi="Arial" w:cs="Arial"/>
          <w:sz w:val="24"/>
          <w:szCs w:val="24"/>
        </w:rPr>
        <w:t>,</w:t>
      </w:r>
      <w:r w:rsidR="00772F95">
        <w:rPr>
          <w:rFonts w:ascii="Arial" w:hAnsi="Arial" w:cs="Arial"/>
          <w:sz w:val="24"/>
          <w:szCs w:val="24"/>
        </w:rPr>
        <w:t xml:space="preserve"> and giving form to broader trajectories for change. But </w:t>
      </w:r>
      <w:r w:rsidR="00F829C7">
        <w:rPr>
          <w:rFonts w:ascii="Arial" w:hAnsi="Arial" w:cs="Arial"/>
          <w:sz w:val="24"/>
          <w:szCs w:val="24"/>
        </w:rPr>
        <w:t xml:space="preserve">it is also important to </w:t>
      </w:r>
      <w:r w:rsidR="00772F95">
        <w:rPr>
          <w:rFonts w:ascii="Arial" w:hAnsi="Arial" w:cs="Arial"/>
          <w:sz w:val="24"/>
          <w:szCs w:val="24"/>
        </w:rPr>
        <w:t xml:space="preserve">give careful attention to how </w:t>
      </w:r>
      <w:r>
        <w:rPr>
          <w:rFonts w:ascii="Arial" w:hAnsi="Arial" w:cs="Arial"/>
          <w:sz w:val="24"/>
          <w:szCs w:val="24"/>
        </w:rPr>
        <w:t>a given</w:t>
      </w:r>
      <w:r w:rsidR="00772F95">
        <w:rPr>
          <w:rFonts w:ascii="Arial" w:hAnsi="Arial" w:cs="Arial"/>
          <w:sz w:val="24"/>
          <w:szCs w:val="24"/>
        </w:rPr>
        <w:t xml:space="preserve"> regulatory style</w:t>
      </w:r>
      <w:r>
        <w:rPr>
          <w:rFonts w:ascii="Arial" w:hAnsi="Arial" w:cs="Arial"/>
          <w:sz w:val="24"/>
          <w:szCs w:val="24"/>
        </w:rPr>
        <w:t xml:space="preserve"> </w:t>
      </w:r>
      <w:r w:rsidR="00F829C7">
        <w:rPr>
          <w:rFonts w:ascii="Arial" w:hAnsi="Arial" w:cs="Arial"/>
          <w:sz w:val="24"/>
          <w:szCs w:val="24"/>
        </w:rPr>
        <w:t>may</w:t>
      </w:r>
      <w:r w:rsidR="00772F95">
        <w:rPr>
          <w:rFonts w:ascii="Arial" w:hAnsi="Arial" w:cs="Arial"/>
          <w:sz w:val="24"/>
          <w:szCs w:val="24"/>
        </w:rPr>
        <w:t xml:space="preserve"> provide effective resolution of particular</w:t>
      </w:r>
      <w:r w:rsidR="00881684">
        <w:rPr>
          <w:rFonts w:ascii="Arial" w:hAnsi="Arial" w:cs="Arial"/>
          <w:sz w:val="24"/>
          <w:szCs w:val="24"/>
        </w:rPr>
        <w:t>, disputatious</w:t>
      </w:r>
      <w:r w:rsidR="00772F95">
        <w:rPr>
          <w:rFonts w:ascii="Arial" w:hAnsi="Arial" w:cs="Arial"/>
          <w:sz w:val="24"/>
          <w:szCs w:val="24"/>
        </w:rPr>
        <w:t xml:space="preserve"> concrete situations.</w:t>
      </w:r>
      <w:r w:rsidR="00881684">
        <w:rPr>
          <w:rFonts w:ascii="Arial" w:hAnsi="Arial" w:cs="Arial"/>
          <w:sz w:val="24"/>
          <w:szCs w:val="24"/>
        </w:rPr>
        <w:t xml:space="preserve"> P</w:t>
      </w:r>
      <w:r w:rsidR="00772F95">
        <w:rPr>
          <w:rFonts w:ascii="Arial" w:hAnsi="Arial" w:cs="Arial"/>
          <w:sz w:val="24"/>
          <w:szCs w:val="24"/>
        </w:rPr>
        <w:t>olicy development around great crested</w:t>
      </w:r>
      <w:r w:rsidR="00881684">
        <w:rPr>
          <w:rFonts w:ascii="Arial" w:hAnsi="Arial" w:cs="Arial"/>
          <w:sz w:val="24"/>
          <w:szCs w:val="24"/>
        </w:rPr>
        <w:t xml:space="preserve"> newts </w:t>
      </w:r>
      <w:r>
        <w:rPr>
          <w:rFonts w:ascii="Arial" w:hAnsi="Arial" w:cs="Arial"/>
          <w:sz w:val="24"/>
          <w:szCs w:val="24"/>
        </w:rPr>
        <w:t xml:space="preserve">illustrates what this </w:t>
      </w:r>
      <w:r w:rsidR="00F829C7">
        <w:rPr>
          <w:rFonts w:ascii="Arial" w:hAnsi="Arial" w:cs="Arial"/>
          <w:sz w:val="24"/>
          <w:szCs w:val="24"/>
        </w:rPr>
        <w:t>deliberation</w:t>
      </w:r>
      <w:r w:rsidR="00772F95">
        <w:rPr>
          <w:rFonts w:ascii="Arial" w:hAnsi="Arial" w:cs="Arial"/>
          <w:sz w:val="24"/>
          <w:szCs w:val="24"/>
        </w:rPr>
        <w:t xml:space="preserve"> </w:t>
      </w:r>
      <w:r w:rsidR="005627E7">
        <w:rPr>
          <w:rFonts w:ascii="Arial" w:hAnsi="Arial" w:cs="Arial"/>
          <w:sz w:val="24"/>
          <w:szCs w:val="24"/>
        </w:rPr>
        <w:t xml:space="preserve">might </w:t>
      </w:r>
      <w:r>
        <w:rPr>
          <w:rFonts w:ascii="Arial" w:hAnsi="Arial" w:cs="Arial"/>
          <w:sz w:val="24"/>
          <w:szCs w:val="24"/>
        </w:rPr>
        <w:t>entail</w:t>
      </w:r>
      <w:r w:rsidR="00772F95">
        <w:rPr>
          <w:rFonts w:ascii="Arial" w:hAnsi="Arial" w:cs="Arial"/>
          <w:sz w:val="24"/>
          <w:szCs w:val="24"/>
        </w:rPr>
        <w:t xml:space="preserve">. </w:t>
      </w:r>
      <w:r w:rsidR="00F43A92">
        <w:rPr>
          <w:rFonts w:ascii="Arial" w:hAnsi="Arial" w:cs="Arial"/>
          <w:sz w:val="24"/>
          <w:szCs w:val="24"/>
        </w:rPr>
        <w:t xml:space="preserve">New measures have been trialled that focus </w:t>
      </w:r>
      <w:r w:rsidR="00772F95">
        <w:rPr>
          <w:rFonts w:ascii="Arial" w:hAnsi="Arial" w:cs="Arial"/>
          <w:sz w:val="24"/>
          <w:szCs w:val="24"/>
        </w:rPr>
        <w:t>less on protecting existing individual</w:t>
      </w:r>
      <w:r w:rsidR="00CE528C">
        <w:rPr>
          <w:rFonts w:ascii="Arial" w:hAnsi="Arial" w:cs="Arial"/>
          <w:sz w:val="24"/>
          <w:szCs w:val="24"/>
        </w:rPr>
        <w:t xml:space="preserve"> </w:t>
      </w:r>
      <w:r w:rsidR="00772F95">
        <w:rPr>
          <w:rFonts w:ascii="Arial" w:hAnsi="Arial" w:cs="Arial"/>
          <w:sz w:val="24"/>
          <w:szCs w:val="24"/>
        </w:rPr>
        <w:t xml:space="preserve">newts and more </w:t>
      </w:r>
      <w:r w:rsidR="00772F95" w:rsidRPr="00EB26D0">
        <w:rPr>
          <w:rFonts w:ascii="Arial" w:hAnsi="Arial" w:cs="Arial"/>
          <w:sz w:val="24"/>
          <w:szCs w:val="24"/>
        </w:rPr>
        <w:t>on maintaining overall newt populations at</w:t>
      </w:r>
      <w:r w:rsidR="00234DBD">
        <w:rPr>
          <w:rFonts w:ascii="Arial" w:hAnsi="Arial" w:cs="Arial"/>
          <w:sz w:val="24"/>
          <w:szCs w:val="24"/>
        </w:rPr>
        <w:t xml:space="preserve"> a wider scale (Pickstone</w:t>
      </w:r>
      <w:r w:rsidR="0000641A">
        <w:rPr>
          <w:rFonts w:ascii="Arial" w:hAnsi="Arial" w:cs="Arial"/>
          <w:sz w:val="24"/>
          <w:szCs w:val="24"/>
        </w:rPr>
        <w:t>,</w:t>
      </w:r>
      <w:r w:rsidR="00234DBD">
        <w:rPr>
          <w:rFonts w:ascii="Arial" w:hAnsi="Arial" w:cs="Arial"/>
          <w:sz w:val="24"/>
          <w:szCs w:val="24"/>
        </w:rPr>
        <w:t xml:space="preserve"> 2018), </w:t>
      </w:r>
      <w:r w:rsidR="00F43A92">
        <w:rPr>
          <w:rFonts w:ascii="Arial" w:hAnsi="Arial" w:cs="Arial"/>
          <w:sz w:val="24"/>
          <w:szCs w:val="24"/>
        </w:rPr>
        <w:t xml:space="preserve">seeking to meet Habitats Directive goals while </w:t>
      </w:r>
      <w:r w:rsidR="00234DBD">
        <w:rPr>
          <w:rFonts w:ascii="Arial" w:hAnsi="Arial" w:cs="Arial"/>
          <w:sz w:val="24"/>
          <w:szCs w:val="24"/>
        </w:rPr>
        <w:t>simplifying procedures for developers</w:t>
      </w:r>
      <w:r w:rsidR="001B1333">
        <w:rPr>
          <w:rFonts w:ascii="Arial" w:hAnsi="Arial" w:cs="Arial"/>
          <w:sz w:val="24"/>
          <w:szCs w:val="24"/>
        </w:rPr>
        <w:t xml:space="preserve"> – a display, perhaps, of Scenario 3</w:t>
      </w:r>
      <w:r w:rsidR="009B1C55">
        <w:rPr>
          <w:rFonts w:ascii="Arial" w:hAnsi="Arial" w:cs="Arial"/>
          <w:sz w:val="24"/>
          <w:szCs w:val="24"/>
        </w:rPr>
        <w:t xml:space="preserve">, </w:t>
      </w:r>
      <w:r w:rsidR="009B1C55" w:rsidRPr="009B1C55">
        <w:rPr>
          <w:rFonts w:ascii="Arial" w:hAnsi="Arial" w:cs="Arial"/>
          <w:i/>
          <w:sz w:val="24"/>
          <w:szCs w:val="24"/>
        </w:rPr>
        <w:t>Flexible Means</w:t>
      </w:r>
      <w:r w:rsidR="00234DBD">
        <w:rPr>
          <w:rFonts w:ascii="Arial" w:hAnsi="Arial" w:cs="Arial"/>
          <w:sz w:val="24"/>
          <w:szCs w:val="24"/>
        </w:rPr>
        <w:t>.</w:t>
      </w:r>
      <w:r w:rsidR="009B1C55">
        <w:rPr>
          <w:rFonts w:ascii="Arial" w:hAnsi="Arial" w:cs="Arial"/>
          <w:sz w:val="24"/>
          <w:szCs w:val="24"/>
        </w:rPr>
        <w:t xml:space="preserve"> </w:t>
      </w:r>
      <w:r w:rsidR="000C4460">
        <w:rPr>
          <w:rFonts w:ascii="Arial" w:hAnsi="Arial" w:cs="Arial"/>
          <w:sz w:val="24"/>
          <w:szCs w:val="24"/>
        </w:rPr>
        <w:t xml:space="preserve">The </w:t>
      </w:r>
      <w:r w:rsidR="005627E7">
        <w:rPr>
          <w:rFonts w:ascii="Arial" w:hAnsi="Arial" w:cs="Arial"/>
          <w:sz w:val="24"/>
          <w:szCs w:val="24"/>
        </w:rPr>
        <w:t xml:space="preserve">Brexit-related </w:t>
      </w:r>
      <w:r w:rsidR="000C4460">
        <w:rPr>
          <w:rFonts w:ascii="Arial" w:hAnsi="Arial" w:cs="Arial"/>
          <w:sz w:val="24"/>
          <w:szCs w:val="24"/>
        </w:rPr>
        <w:t xml:space="preserve">Red Tape Initiative (2018), is </w:t>
      </w:r>
      <w:r w:rsidR="000C4460" w:rsidRPr="00F43A92">
        <w:rPr>
          <w:rFonts w:ascii="Arial" w:hAnsi="Arial" w:cs="Arial"/>
          <w:sz w:val="24"/>
          <w:szCs w:val="24"/>
        </w:rPr>
        <w:t>remarkable for its conclusions that the scope for flexible</w:t>
      </w:r>
      <w:r w:rsidR="00A27D74">
        <w:rPr>
          <w:rFonts w:ascii="Arial" w:hAnsi="Arial" w:cs="Arial"/>
          <w:sz w:val="24"/>
          <w:szCs w:val="24"/>
        </w:rPr>
        <w:t xml:space="preserve"> </w:t>
      </w:r>
      <w:r w:rsidR="00F43A92" w:rsidRPr="00F43A92">
        <w:rPr>
          <w:rFonts w:ascii="Arial" w:hAnsi="Arial" w:cs="Arial"/>
          <w:sz w:val="24"/>
          <w:szCs w:val="24"/>
        </w:rPr>
        <w:t xml:space="preserve">development-environment </w:t>
      </w:r>
      <w:r w:rsidR="000C4460" w:rsidRPr="00F43A92">
        <w:rPr>
          <w:rFonts w:ascii="Arial" w:hAnsi="Arial" w:cs="Arial"/>
          <w:sz w:val="24"/>
          <w:szCs w:val="24"/>
        </w:rPr>
        <w:t xml:space="preserve">solutions varied </w:t>
      </w:r>
      <w:r w:rsidR="00DA7812" w:rsidRPr="00F43A92">
        <w:rPr>
          <w:rFonts w:ascii="Arial" w:hAnsi="Arial" w:cs="Arial"/>
          <w:sz w:val="24"/>
          <w:szCs w:val="24"/>
        </w:rPr>
        <w:t>between</w:t>
      </w:r>
      <w:r w:rsidR="00DA7812" w:rsidRPr="00DA7812">
        <w:rPr>
          <w:rFonts w:ascii="Arial" w:hAnsi="Arial" w:cs="Arial"/>
          <w:sz w:val="24"/>
          <w:szCs w:val="24"/>
        </w:rPr>
        <w:t xml:space="preserve"> species: in the I</w:t>
      </w:r>
      <w:r w:rsidR="005627E7">
        <w:rPr>
          <w:rFonts w:ascii="Arial" w:hAnsi="Arial" w:cs="Arial"/>
          <w:sz w:val="24"/>
          <w:szCs w:val="24"/>
        </w:rPr>
        <w:t>nitiative</w:t>
      </w:r>
      <w:r w:rsidR="00DA7812" w:rsidRPr="00DA7812">
        <w:rPr>
          <w:rFonts w:ascii="Arial" w:hAnsi="Arial" w:cs="Arial"/>
          <w:sz w:val="24"/>
          <w:szCs w:val="24"/>
        </w:rPr>
        <w:t xml:space="preserve">’s words, bats are ‘less flexible than newts’ (2018, </w:t>
      </w:r>
      <w:r w:rsidR="0000641A">
        <w:rPr>
          <w:rFonts w:ascii="Arial" w:hAnsi="Arial" w:cs="Arial"/>
          <w:sz w:val="24"/>
          <w:szCs w:val="24"/>
        </w:rPr>
        <w:t>p.</w:t>
      </w:r>
      <w:r w:rsidR="00DA7812" w:rsidRPr="00DA7812">
        <w:rPr>
          <w:rFonts w:ascii="Arial" w:hAnsi="Arial" w:cs="Arial"/>
          <w:sz w:val="24"/>
          <w:szCs w:val="24"/>
        </w:rPr>
        <w:t xml:space="preserve">15) in the geography of their lives.  </w:t>
      </w:r>
      <w:r w:rsidR="00F43A92">
        <w:rPr>
          <w:rFonts w:ascii="Arial" w:hAnsi="Arial" w:cs="Arial"/>
          <w:sz w:val="24"/>
          <w:szCs w:val="24"/>
        </w:rPr>
        <w:t xml:space="preserve">What makes it noteworthy is precisely the recognition that </w:t>
      </w:r>
      <w:r w:rsidR="00DA7812" w:rsidRPr="00DA7812">
        <w:rPr>
          <w:rFonts w:ascii="Arial" w:hAnsi="Arial" w:cs="Arial"/>
          <w:sz w:val="24"/>
          <w:szCs w:val="24"/>
        </w:rPr>
        <w:t xml:space="preserve">issues with </w:t>
      </w:r>
      <w:r w:rsidR="00F43A92">
        <w:rPr>
          <w:rFonts w:ascii="Arial" w:hAnsi="Arial" w:cs="Arial"/>
          <w:sz w:val="24"/>
          <w:szCs w:val="24"/>
        </w:rPr>
        <w:t xml:space="preserve">the concrete situations around </w:t>
      </w:r>
      <w:r w:rsidR="009D0F57">
        <w:rPr>
          <w:rFonts w:ascii="Arial" w:hAnsi="Arial" w:cs="Arial"/>
          <w:sz w:val="24"/>
          <w:szCs w:val="24"/>
        </w:rPr>
        <w:t xml:space="preserve">a specific species such as </w:t>
      </w:r>
      <w:r w:rsidR="00DA7812" w:rsidRPr="00DA7812">
        <w:rPr>
          <w:rFonts w:ascii="Arial" w:hAnsi="Arial" w:cs="Arial"/>
          <w:sz w:val="24"/>
          <w:szCs w:val="24"/>
        </w:rPr>
        <w:t xml:space="preserve">newts </w:t>
      </w:r>
      <w:r w:rsidR="00E57D4C">
        <w:rPr>
          <w:rFonts w:ascii="Arial" w:hAnsi="Arial" w:cs="Arial"/>
          <w:sz w:val="24"/>
          <w:szCs w:val="24"/>
        </w:rPr>
        <w:t xml:space="preserve">should </w:t>
      </w:r>
      <w:r w:rsidR="00A9629F" w:rsidRPr="00DA7812">
        <w:rPr>
          <w:rFonts w:ascii="Arial" w:hAnsi="Arial" w:cs="Arial"/>
          <w:sz w:val="24"/>
          <w:szCs w:val="24"/>
        </w:rPr>
        <w:t xml:space="preserve">not </w:t>
      </w:r>
      <w:r w:rsidR="00DA7812" w:rsidRPr="00DA7812">
        <w:rPr>
          <w:rFonts w:ascii="Arial" w:hAnsi="Arial" w:cs="Arial"/>
          <w:sz w:val="24"/>
          <w:szCs w:val="24"/>
        </w:rPr>
        <w:t>become a</w:t>
      </w:r>
      <w:r w:rsidR="00F43A92">
        <w:rPr>
          <w:rFonts w:ascii="Arial" w:hAnsi="Arial" w:cs="Arial"/>
          <w:sz w:val="24"/>
          <w:szCs w:val="24"/>
        </w:rPr>
        <w:t xml:space="preserve"> generalised</w:t>
      </w:r>
      <w:r w:rsidR="00DA7812" w:rsidRPr="00DA7812">
        <w:rPr>
          <w:rFonts w:ascii="Arial" w:hAnsi="Arial" w:cs="Arial"/>
          <w:sz w:val="24"/>
          <w:szCs w:val="24"/>
        </w:rPr>
        <w:t xml:space="preserve"> argument for dismantling the robustness of conservation legislation across the board.</w:t>
      </w:r>
    </w:p>
    <w:p w:rsidR="00D12AC5" w:rsidRDefault="00D12AC5">
      <w:pPr>
        <w:rPr>
          <w:rFonts w:ascii="Arial" w:hAnsi="Arial" w:cs="Arial"/>
          <w:sz w:val="24"/>
          <w:szCs w:val="24"/>
        </w:rPr>
      </w:pPr>
    </w:p>
    <w:p w:rsidR="00953156" w:rsidRDefault="008F4BBA">
      <w:pPr>
        <w:tabs>
          <w:tab w:val="left" w:pos="2905"/>
        </w:tabs>
        <w:rPr>
          <w:rFonts w:ascii="Arial" w:hAnsi="Arial" w:cs="Arial"/>
          <w:sz w:val="24"/>
          <w:szCs w:val="24"/>
        </w:rPr>
      </w:pPr>
      <w:r>
        <w:rPr>
          <w:rFonts w:ascii="Arial" w:hAnsi="Arial" w:cs="Arial"/>
          <w:sz w:val="24"/>
          <w:szCs w:val="24"/>
        </w:rPr>
        <w:tab/>
      </w:r>
    </w:p>
    <w:p w:rsidR="00FD6908" w:rsidRPr="00FD6908" w:rsidRDefault="00FD6908">
      <w:pPr>
        <w:rPr>
          <w:rFonts w:ascii="Arial" w:hAnsi="Arial" w:cs="Arial"/>
          <w:b/>
          <w:sz w:val="24"/>
          <w:szCs w:val="24"/>
        </w:rPr>
      </w:pPr>
      <w:r w:rsidRPr="00FD6908">
        <w:rPr>
          <w:rFonts w:ascii="Arial" w:hAnsi="Arial" w:cs="Arial"/>
          <w:b/>
          <w:sz w:val="24"/>
          <w:szCs w:val="24"/>
        </w:rPr>
        <w:t>Conclusions</w:t>
      </w:r>
    </w:p>
    <w:p w:rsidR="001E400D" w:rsidRDefault="001E400D" w:rsidP="00176C6A">
      <w:pPr>
        <w:rPr>
          <w:rFonts w:ascii="Arial" w:hAnsi="Arial" w:cs="Arial"/>
          <w:sz w:val="24"/>
          <w:szCs w:val="24"/>
        </w:rPr>
      </w:pPr>
    </w:p>
    <w:p w:rsidR="00176C6A" w:rsidRDefault="00DA7812" w:rsidP="00246123">
      <w:pPr>
        <w:rPr>
          <w:rFonts w:ascii="Arial" w:hAnsi="Arial" w:cs="Arial"/>
          <w:sz w:val="24"/>
          <w:szCs w:val="24"/>
        </w:rPr>
      </w:pPr>
      <w:r w:rsidRPr="00DA7812">
        <w:rPr>
          <w:rFonts w:ascii="Arial" w:hAnsi="Arial" w:cs="Arial"/>
          <w:sz w:val="24"/>
          <w:szCs w:val="24"/>
        </w:rPr>
        <w:t>In this paper we hav</w:t>
      </w:r>
      <w:r w:rsidR="007225E5">
        <w:rPr>
          <w:rFonts w:ascii="Arial" w:hAnsi="Arial" w:cs="Arial"/>
          <w:sz w:val="24"/>
          <w:szCs w:val="24"/>
        </w:rPr>
        <w:t xml:space="preserve">e </w:t>
      </w:r>
      <w:r w:rsidR="00176C6A">
        <w:rPr>
          <w:rFonts w:ascii="Arial" w:hAnsi="Arial" w:cs="Arial"/>
          <w:sz w:val="24"/>
          <w:szCs w:val="24"/>
        </w:rPr>
        <w:t>respond</w:t>
      </w:r>
      <w:r w:rsidR="007225E5">
        <w:rPr>
          <w:rFonts w:ascii="Arial" w:hAnsi="Arial" w:cs="Arial"/>
          <w:sz w:val="24"/>
          <w:szCs w:val="24"/>
        </w:rPr>
        <w:t>ed</w:t>
      </w:r>
      <w:r w:rsidR="00176C6A">
        <w:rPr>
          <w:rFonts w:ascii="Arial" w:hAnsi="Arial" w:cs="Arial"/>
          <w:sz w:val="24"/>
          <w:szCs w:val="24"/>
        </w:rPr>
        <w:t xml:space="preserve"> to the patchy analytical attention </w:t>
      </w:r>
      <w:r w:rsidR="007225E5">
        <w:rPr>
          <w:rFonts w:ascii="Arial" w:hAnsi="Arial" w:cs="Arial"/>
          <w:sz w:val="24"/>
          <w:szCs w:val="24"/>
        </w:rPr>
        <w:t xml:space="preserve">given </w:t>
      </w:r>
      <w:r w:rsidR="00176C6A">
        <w:rPr>
          <w:rFonts w:ascii="Arial" w:hAnsi="Arial" w:cs="Arial"/>
          <w:sz w:val="24"/>
          <w:szCs w:val="24"/>
        </w:rPr>
        <w:t xml:space="preserve">to the interface between planning and environmental protection by </w:t>
      </w:r>
      <w:r w:rsidR="006570CC">
        <w:rPr>
          <w:rFonts w:ascii="Arial" w:hAnsi="Arial" w:cs="Arial"/>
          <w:sz w:val="24"/>
          <w:szCs w:val="24"/>
        </w:rPr>
        <w:t xml:space="preserve">making two contributions. We have </w:t>
      </w:r>
      <w:r w:rsidR="00176C6A">
        <w:rPr>
          <w:rFonts w:ascii="Arial" w:hAnsi="Arial" w:cs="Arial"/>
          <w:sz w:val="24"/>
          <w:szCs w:val="24"/>
        </w:rPr>
        <w:t>provid</w:t>
      </w:r>
      <w:r w:rsidR="006570CC">
        <w:rPr>
          <w:rFonts w:ascii="Arial" w:hAnsi="Arial" w:cs="Arial"/>
          <w:sz w:val="24"/>
          <w:szCs w:val="24"/>
        </w:rPr>
        <w:t>ed</w:t>
      </w:r>
      <w:r w:rsidR="00176C6A">
        <w:rPr>
          <w:rFonts w:ascii="Arial" w:hAnsi="Arial" w:cs="Arial"/>
          <w:sz w:val="24"/>
          <w:szCs w:val="24"/>
        </w:rPr>
        <w:t xml:space="preserve"> a conceptualisation </w:t>
      </w:r>
      <w:r w:rsidR="001E400D">
        <w:rPr>
          <w:rFonts w:ascii="Arial" w:hAnsi="Arial" w:cs="Arial"/>
          <w:sz w:val="24"/>
          <w:szCs w:val="24"/>
        </w:rPr>
        <w:t>of the regulatory styles that interact in this space</w:t>
      </w:r>
      <w:r w:rsidR="006570CC">
        <w:rPr>
          <w:rFonts w:ascii="Arial" w:hAnsi="Arial" w:cs="Arial"/>
          <w:sz w:val="24"/>
          <w:szCs w:val="24"/>
        </w:rPr>
        <w:t xml:space="preserve"> and a set of scenarios for future change, drawing on </w:t>
      </w:r>
      <w:r w:rsidR="00176C6A">
        <w:rPr>
          <w:rFonts w:ascii="Arial" w:hAnsi="Arial" w:cs="Arial"/>
          <w:sz w:val="24"/>
          <w:szCs w:val="24"/>
        </w:rPr>
        <w:t>distinctions between EU environmental regulation and UK planning</w:t>
      </w:r>
      <w:r w:rsidR="006570CC">
        <w:rPr>
          <w:rFonts w:ascii="Arial" w:hAnsi="Arial" w:cs="Arial"/>
          <w:sz w:val="24"/>
          <w:szCs w:val="24"/>
        </w:rPr>
        <w:t xml:space="preserve">. In the UK context, our scenarios helped generate meaningful discussion about </w:t>
      </w:r>
      <w:r w:rsidR="003C11BB">
        <w:rPr>
          <w:rFonts w:ascii="Arial" w:hAnsi="Arial" w:cs="Arial"/>
          <w:sz w:val="24"/>
          <w:szCs w:val="24"/>
        </w:rPr>
        <w:t>the possible future effects of Brexit</w:t>
      </w:r>
      <w:r w:rsidR="006570CC">
        <w:rPr>
          <w:rFonts w:ascii="Arial" w:hAnsi="Arial" w:cs="Arial"/>
          <w:sz w:val="24"/>
          <w:szCs w:val="24"/>
        </w:rPr>
        <w:t xml:space="preserve"> on the shifting balance between different regulatory styles. Despite the UK grounding, the </w:t>
      </w:r>
      <w:r w:rsidR="00176C6A">
        <w:rPr>
          <w:rFonts w:ascii="Arial" w:hAnsi="Arial" w:cs="Arial"/>
          <w:sz w:val="24"/>
          <w:szCs w:val="24"/>
        </w:rPr>
        <w:t xml:space="preserve"> broad and relatively simple </w:t>
      </w:r>
      <w:r w:rsidR="00A27D74">
        <w:rPr>
          <w:rFonts w:ascii="Arial" w:hAnsi="Arial" w:cs="Arial"/>
          <w:sz w:val="24"/>
          <w:szCs w:val="24"/>
        </w:rPr>
        <w:t>scenarios</w:t>
      </w:r>
      <w:r w:rsidR="00176C6A">
        <w:rPr>
          <w:rFonts w:ascii="Arial" w:hAnsi="Arial" w:cs="Arial"/>
          <w:sz w:val="24"/>
          <w:szCs w:val="24"/>
        </w:rPr>
        <w:t xml:space="preserve"> </w:t>
      </w:r>
      <w:r w:rsidR="006570CC">
        <w:rPr>
          <w:rFonts w:ascii="Arial" w:hAnsi="Arial" w:cs="Arial"/>
          <w:sz w:val="24"/>
          <w:szCs w:val="24"/>
        </w:rPr>
        <w:t xml:space="preserve">we have created </w:t>
      </w:r>
      <w:r w:rsidR="00176C6A">
        <w:rPr>
          <w:rFonts w:ascii="Arial" w:hAnsi="Arial" w:cs="Arial"/>
          <w:sz w:val="24"/>
          <w:szCs w:val="24"/>
        </w:rPr>
        <w:t xml:space="preserve">provide a heuristically useful way of highlighting </w:t>
      </w:r>
      <w:r w:rsidR="006570CC">
        <w:rPr>
          <w:rFonts w:ascii="Arial" w:hAnsi="Arial" w:cs="Arial"/>
          <w:sz w:val="24"/>
          <w:szCs w:val="24"/>
        </w:rPr>
        <w:t>changes and choices</w:t>
      </w:r>
      <w:r w:rsidR="00176C6A">
        <w:rPr>
          <w:rFonts w:ascii="Arial" w:hAnsi="Arial" w:cs="Arial"/>
          <w:sz w:val="24"/>
          <w:szCs w:val="24"/>
        </w:rPr>
        <w:t xml:space="preserve"> that may be apparent in other jurisdictions</w:t>
      </w:r>
      <w:r w:rsidR="00A73B27">
        <w:rPr>
          <w:rFonts w:ascii="Arial" w:hAnsi="Arial" w:cs="Arial"/>
          <w:sz w:val="24"/>
          <w:szCs w:val="24"/>
        </w:rPr>
        <w:t xml:space="preserve"> (</w:t>
      </w:r>
      <w:r w:rsidR="0055709E" w:rsidRPr="0055709E">
        <w:rPr>
          <w:rFonts w:ascii="Arial" w:hAnsi="Arial" w:cs="Arial"/>
          <w:sz w:val="24"/>
          <w:szCs w:val="24"/>
        </w:rPr>
        <w:t xml:space="preserve">van </w:t>
      </w:r>
      <w:r w:rsidR="0055709E" w:rsidRPr="006E30C5">
        <w:rPr>
          <w:rFonts w:ascii="Arial" w:hAnsi="Arial" w:cs="Arial"/>
          <w:sz w:val="24"/>
          <w:szCs w:val="24"/>
        </w:rPr>
        <w:t>Ravesteyn</w:t>
      </w:r>
      <w:r w:rsidR="00A73B27" w:rsidRPr="0055709E">
        <w:rPr>
          <w:rFonts w:ascii="Arial" w:hAnsi="Arial" w:cs="Arial"/>
          <w:sz w:val="24"/>
          <w:szCs w:val="24"/>
        </w:rPr>
        <w:t xml:space="preserve"> and Evers</w:t>
      </w:r>
      <w:r w:rsidR="0000641A">
        <w:rPr>
          <w:rFonts w:ascii="Arial" w:hAnsi="Arial" w:cs="Arial"/>
          <w:sz w:val="24"/>
          <w:szCs w:val="24"/>
        </w:rPr>
        <w:t>,</w:t>
      </w:r>
      <w:r w:rsidR="00A73B27" w:rsidRPr="0055709E">
        <w:rPr>
          <w:rFonts w:ascii="Arial" w:hAnsi="Arial" w:cs="Arial"/>
          <w:sz w:val="24"/>
          <w:szCs w:val="24"/>
        </w:rPr>
        <w:t xml:space="preserve"> </w:t>
      </w:r>
      <w:r w:rsidR="00A73B27">
        <w:rPr>
          <w:rFonts w:ascii="Arial" w:hAnsi="Arial" w:cs="Arial"/>
          <w:sz w:val="24"/>
          <w:szCs w:val="24"/>
        </w:rPr>
        <w:t>2004)</w:t>
      </w:r>
      <w:r w:rsidR="006570CC">
        <w:rPr>
          <w:rFonts w:ascii="Arial" w:hAnsi="Arial" w:cs="Arial"/>
          <w:sz w:val="24"/>
          <w:szCs w:val="24"/>
        </w:rPr>
        <w:t xml:space="preserve">, and </w:t>
      </w:r>
      <w:r w:rsidR="001E400D">
        <w:rPr>
          <w:rFonts w:ascii="Arial" w:hAnsi="Arial" w:cs="Arial"/>
          <w:sz w:val="24"/>
          <w:szCs w:val="24"/>
        </w:rPr>
        <w:t xml:space="preserve">for </w:t>
      </w:r>
      <w:r w:rsidR="00176C6A">
        <w:rPr>
          <w:rFonts w:ascii="Arial" w:hAnsi="Arial" w:cs="Arial"/>
          <w:sz w:val="24"/>
          <w:szCs w:val="24"/>
        </w:rPr>
        <w:t xml:space="preserve">grasping divergent patterns of change </w:t>
      </w:r>
      <w:r w:rsidR="006570CC">
        <w:rPr>
          <w:rFonts w:ascii="Arial" w:hAnsi="Arial" w:cs="Arial"/>
          <w:sz w:val="24"/>
          <w:szCs w:val="24"/>
        </w:rPr>
        <w:t xml:space="preserve">within and </w:t>
      </w:r>
      <w:r w:rsidR="00176C6A">
        <w:rPr>
          <w:rFonts w:ascii="Arial" w:hAnsi="Arial" w:cs="Arial"/>
          <w:sz w:val="24"/>
          <w:szCs w:val="24"/>
        </w:rPr>
        <w:t>between territories</w:t>
      </w:r>
      <w:r w:rsidR="00EE114B">
        <w:rPr>
          <w:rFonts w:ascii="Arial" w:hAnsi="Arial" w:cs="Arial"/>
          <w:sz w:val="24"/>
          <w:szCs w:val="24"/>
        </w:rPr>
        <w:t xml:space="preserve">, as generated by devolution. </w:t>
      </w:r>
      <w:r w:rsidR="00246123">
        <w:rPr>
          <w:rFonts w:ascii="Arial" w:hAnsi="Arial" w:cs="Arial"/>
          <w:sz w:val="24"/>
          <w:szCs w:val="24"/>
        </w:rPr>
        <w:t xml:space="preserve">Although the framework is </w:t>
      </w:r>
      <w:r w:rsidR="00176C6A">
        <w:rPr>
          <w:rFonts w:ascii="Arial" w:hAnsi="Arial" w:cs="Arial"/>
          <w:sz w:val="24"/>
          <w:szCs w:val="24"/>
        </w:rPr>
        <w:t xml:space="preserve">necessarily </w:t>
      </w:r>
      <w:r w:rsidR="00246123">
        <w:rPr>
          <w:rFonts w:ascii="Arial" w:hAnsi="Arial" w:cs="Arial"/>
          <w:sz w:val="24"/>
          <w:szCs w:val="24"/>
        </w:rPr>
        <w:t xml:space="preserve">limited in the dimensions it considers, one can see how moves towards or away from scenarios </w:t>
      </w:r>
      <w:r w:rsidR="00A27D74">
        <w:rPr>
          <w:rFonts w:ascii="Arial" w:hAnsi="Arial" w:cs="Arial"/>
          <w:sz w:val="24"/>
          <w:szCs w:val="24"/>
        </w:rPr>
        <w:t>prioritising</w:t>
      </w:r>
      <w:r w:rsidR="00246123">
        <w:rPr>
          <w:rFonts w:ascii="Arial" w:hAnsi="Arial" w:cs="Arial"/>
          <w:sz w:val="24"/>
          <w:szCs w:val="24"/>
        </w:rPr>
        <w:t xml:space="preserve"> substantive environmental goals would also configure the </w:t>
      </w:r>
      <w:r w:rsidR="001C5D87">
        <w:rPr>
          <w:rFonts w:ascii="Arial" w:hAnsi="Arial" w:cs="Arial"/>
          <w:sz w:val="24"/>
          <w:szCs w:val="24"/>
        </w:rPr>
        <w:t>scope for</w:t>
      </w:r>
      <w:r w:rsidR="00246123">
        <w:rPr>
          <w:rFonts w:ascii="Arial" w:hAnsi="Arial" w:cs="Arial"/>
          <w:sz w:val="24"/>
          <w:szCs w:val="24"/>
        </w:rPr>
        <w:t xml:space="preserve"> other regulatory forms, such </w:t>
      </w:r>
      <w:r w:rsidR="0055709E">
        <w:rPr>
          <w:rFonts w:ascii="Arial" w:hAnsi="Arial" w:cs="Arial"/>
          <w:sz w:val="24"/>
          <w:szCs w:val="24"/>
        </w:rPr>
        <w:t xml:space="preserve">as </w:t>
      </w:r>
      <w:r w:rsidR="00246123">
        <w:rPr>
          <w:rFonts w:ascii="Arial" w:hAnsi="Arial" w:cs="Arial"/>
          <w:sz w:val="24"/>
          <w:szCs w:val="24"/>
        </w:rPr>
        <w:t>more market-style</w:t>
      </w:r>
      <w:r w:rsidR="00814462">
        <w:rPr>
          <w:rFonts w:ascii="Arial" w:hAnsi="Arial" w:cs="Arial"/>
          <w:sz w:val="24"/>
          <w:szCs w:val="24"/>
        </w:rPr>
        <w:t>, incentive-based</w:t>
      </w:r>
      <w:r w:rsidR="00246123">
        <w:rPr>
          <w:rFonts w:ascii="Arial" w:hAnsi="Arial" w:cs="Arial"/>
          <w:sz w:val="24"/>
          <w:szCs w:val="24"/>
        </w:rPr>
        <w:t xml:space="preserve"> environmental planning approaches.</w:t>
      </w:r>
    </w:p>
    <w:p w:rsidR="00A73B27" w:rsidRDefault="00A73B27" w:rsidP="00246123">
      <w:pPr>
        <w:rPr>
          <w:rFonts w:ascii="Arial" w:hAnsi="Arial" w:cs="Arial"/>
          <w:sz w:val="24"/>
          <w:szCs w:val="24"/>
        </w:rPr>
      </w:pPr>
    </w:p>
    <w:p w:rsidR="00F560D7" w:rsidRDefault="006570CC" w:rsidP="00987942">
      <w:pPr>
        <w:rPr>
          <w:rFonts w:ascii="Arial" w:hAnsi="Arial" w:cs="Arial"/>
          <w:sz w:val="24"/>
          <w:szCs w:val="24"/>
        </w:rPr>
      </w:pPr>
      <w:r>
        <w:rPr>
          <w:rFonts w:ascii="Arial" w:hAnsi="Arial" w:cs="Arial"/>
          <w:sz w:val="24"/>
          <w:szCs w:val="24"/>
        </w:rPr>
        <w:t>The second contribution of our analysis has been to add</w:t>
      </w:r>
      <w:r w:rsidR="00C17BE1">
        <w:rPr>
          <w:rFonts w:ascii="Arial" w:hAnsi="Arial" w:cs="Arial"/>
          <w:sz w:val="24"/>
          <w:szCs w:val="24"/>
        </w:rPr>
        <w:t xml:space="preserve"> to our knowledge of </w:t>
      </w:r>
      <w:r w:rsidR="007C0675">
        <w:rPr>
          <w:rFonts w:ascii="Arial" w:hAnsi="Arial" w:cs="Arial"/>
          <w:sz w:val="24"/>
          <w:szCs w:val="24"/>
        </w:rPr>
        <w:t xml:space="preserve">UK </w:t>
      </w:r>
      <w:r w:rsidR="00C17BE1">
        <w:rPr>
          <w:rFonts w:ascii="Arial" w:hAnsi="Arial" w:cs="Arial"/>
          <w:sz w:val="24"/>
          <w:szCs w:val="24"/>
        </w:rPr>
        <w:t>planning practitioners’ perspectives on the planning-environment interface</w:t>
      </w:r>
      <w:r w:rsidR="002B54F3">
        <w:rPr>
          <w:rFonts w:ascii="Arial" w:hAnsi="Arial" w:cs="Arial"/>
          <w:sz w:val="24"/>
          <w:szCs w:val="24"/>
        </w:rPr>
        <w:t>,</w:t>
      </w:r>
      <w:r w:rsidR="00DD2CE0">
        <w:rPr>
          <w:rFonts w:ascii="Arial" w:hAnsi="Arial" w:cs="Arial"/>
          <w:sz w:val="24"/>
          <w:szCs w:val="24"/>
        </w:rPr>
        <w:t xml:space="preserve"> which has delivered a number of important findings</w:t>
      </w:r>
      <w:r w:rsidR="00C17BE1">
        <w:rPr>
          <w:rFonts w:ascii="Arial" w:hAnsi="Arial" w:cs="Arial"/>
          <w:sz w:val="24"/>
          <w:szCs w:val="24"/>
        </w:rPr>
        <w:t>.</w:t>
      </w:r>
      <w:r w:rsidR="00F560D7">
        <w:rPr>
          <w:rFonts w:ascii="Arial" w:hAnsi="Arial" w:cs="Arial"/>
          <w:sz w:val="24"/>
          <w:szCs w:val="24"/>
        </w:rPr>
        <w:t xml:space="preserve"> Our research showed practitioners recognising</w:t>
      </w:r>
      <w:r w:rsidR="00DD2CE0">
        <w:rPr>
          <w:rFonts w:ascii="Arial" w:hAnsi="Arial" w:cs="Arial"/>
          <w:sz w:val="24"/>
          <w:szCs w:val="24"/>
        </w:rPr>
        <w:t xml:space="preserve"> the role of EU membership in driving substantive </w:t>
      </w:r>
      <w:r w:rsidR="00F560D7">
        <w:rPr>
          <w:rFonts w:ascii="Arial" w:hAnsi="Arial" w:cs="Arial"/>
          <w:sz w:val="24"/>
          <w:szCs w:val="24"/>
        </w:rPr>
        <w:t>environmental improvements, and expressing</w:t>
      </w:r>
      <w:r w:rsidR="00DD2CE0">
        <w:rPr>
          <w:rFonts w:ascii="Arial" w:hAnsi="Arial" w:cs="Arial"/>
          <w:sz w:val="24"/>
          <w:szCs w:val="24"/>
        </w:rPr>
        <w:t xml:space="preserve"> broad support for UK environmental policy </w:t>
      </w:r>
      <w:r w:rsidR="00F560D7">
        <w:rPr>
          <w:rFonts w:ascii="Arial" w:hAnsi="Arial" w:cs="Arial"/>
          <w:sz w:val="24"/>
          <w:szCs w:val="24"/>
        </w:rPr>
        <w:t xml:space="preserve">and planning </w:t>
      </w:r>
      <w:r w:rsidR="003C11BB">
        <w:rPr>
          <w:rFonts w:ascii="Arial" w:hAnsi="Arial" w:cs="Arial"/>
          <w:sz w:val="24"/>
          <w:szCs w:val="24"/>
        </w:rPr>
        <w:t>maintaining and cultivating</w:t>
      </w:r>
      <w:r w:rsidR="00DD2CE0">
        <w:rPr>
          <w:rFonts w:ascii="Arial" w:hAnsi="Arial" w:cs="Arial"/>
          <w:sz w:val="24"/>
          <w:szCs w:val="24"/>
        </w:rPr>
        <w:t xml:space="preserve"> a focus on substantive outcomes, post-</w:t>
      </w:r>
      <w:r w:rsidR="00F560D7">
        <w:rPr>
          <w:rFonts w:ascii="Arial" w:hAnsi="Arial" w:cs="Arial"/>
          <w:sz w:val="24"/>
          <w:szCs w:val="24"/>
        </w:rPr>
        <w:t>Brexit</w:t>
      </w:r>
      <w:r w:rsidR="00DD2CE0">
        <w:rPr>
          <w:rFonts w:ascii="Arial" w:hAnsi="Arial" w:cs="Arial"/>
          <w:sz w:val="24"/>
          <w:szCs w:val="24"/>
        </w:rPr>
        <w:t xml:space="preserve">. </w:t>
      </w:r>
      <w:r w:rsidR="00F560D7" w:rsidRPr="00987942">
        <w:rPr>
          <w:rFonts w:ascii="Arial" w:hAnsi="Arial" w:cs="Arial"/>
          <w:sz w:val="24"/>
          <w:szCs w:val="24"/>
        </w:rPr>
        <w:t>There was widespread concern about the prospective weakening of environmental standards</w:t>
      </w:r>
      <w:r w:rsidR="002B54F3">
        <w:rPr>
          <w:rFonts w:ascii="Arial" w:hAnsi="Arial" w:cs="Arial"/>
          <w:sz w:val="24"/>
          <w:szCs w:val="24"/>
        </w:rPr>
        <w:t xml:space="preserve"> on leaving the EU</w:t>
      </w:r>
      <w:r w:rsidR="00F560D7">
        <w:rPr>
          <w:rFonts w:ascii="Arial" w:hAnsi="Arial" w:cs="Arial"/>
          <w:sz w:val="24"/>
          <w:szCs w:val="24"/>
        </w:rPr>
        <w:t>, but also much support for greater flexibility in how goals should be achieved</w:t>
      </w:r>
      <w:r w:rsidR="00DD2CE0">
        <w:rPr>
          <w:rFonts w:ascii="Arial" w:hAnsi="Arial" w:cs="Arial"/>
          <w:sz w:val="24"/>
          <w:szCs w:val="24"/>
        </w:rPr>
        <w:t>.</w:t>
      </w:r>
      <w:r w:rsidR="00F560D7">
        <w:rPr>
          <w:rFonts w:ascii="Arial" w:hAnsi="Arial" w:cs="Arial"/>
          <w:sz w:val="24"/>
          <w:szCs w:val="24"/>
        </w:rPr>
        <w:t xml:space="preserve"> </w:t>
      </w:r>
    </w:p>
    <w:p w:rsidR="002D11D2" w:rsidRDefault="002D11D2" w:rsidP="00987942">
      <w:pPr>
        <w:rPr>
          <w:rFonts w:ascii="Arial" w:hAnsi="Arial" w:cs="Arial"/>
          <w:sz w:val="24"/>
          <w:szCs w:val="24"/>
        </w:rPr>
      </w:pPr>
    </w:p>
    <w:p w:rsidR="002B54F3" w:rsidRDefault="00F560D7" w:rsidP="00987942">
      <w:pPr>
        <w:rPr>
          <w:rFonts w:ascii="Arial" w:hAnsi="Arial" w:cs="Arial"/>
          <w:sz w:val="24"/>
          <w:szCs w:val="24"/>
        </w:rPr>
      </w:pPr>
      <w:r>
        <w:rPr>
          <w:rFonts w:ascii="Arial" w:hAnsi="Arial" w:cs="Arial"/>
          <w:sz w:val="24"/>
          <w:szCs w:val="24"/>
        </w:rPr>
        <w:t xml:space="preserve">Moreover, the way that practitioners constructed their reflections and </w:t>
      </w:r>
      <w:r w:rsidR="0002258E">
        <w:rPr>
          <w:rFonts w:ascii="Arial" w:hAnsi="Arial" w:cs="Arial"/>
          <w:sz w:val="24"/>
          <w:szCs w:val="24"/>
        </w:rPr>
        <w:t>arguments points to</w:t>
      </w:r>
      <w:r>
        <w:rPr>
          <w:rFonts w:ascii="Arial" w:hAnsi="Arial" w:cs="Arial"/>
          <w:sz w:val="24"/>
          <w:szCs w:val="24"/>
        </w:rPr>
        <w:t xml:space="preserve"> more fundamental findings</w:t>
      </w:r>
      <w:r w:rsidR="007E3F83">
        <w:rPr>
          <w:rFonts w:ascii="Arial" w:hAnsi="Arial" w:cs="Arial"/>
          <w:sz w:val="24"/>
          <w:szCs w:val="24"/>
        </w:rPr>
        <w:t>, with relevance beyond the UK’s Brexit predicaments</w:t>
      </w:r>
      <w:r>
        <w:rPr>
          <w:rFonts w:ascii="Arial" w:hAnsi="Arial" w:cs="Arial"/>
          <w:sz w:val="24"/>
          <w:szCs w:val="24"/>
        </w:rPr>
        <w:t>. Exploring practitioners’ views has</w:t>
      </w:r>
      <w:r w:rsidR="002B54F3">
        <w:rPr>
          <w:rFonts w:ascii="Arial" w:hAnsi="Arial" w:cs="Arial"/>
          <w:sz w:val="24"/>
          <w:szCs w:val="24"/>
        </w:rPr>
        <w:t xml:space="preserve"> </w:t>
      </w:r>
      <w:r w:rsidR="002D11D2">
        <w:rPr>
          <w:rFonts w:ascii="Arial" w:hAnsi="Arial" w:cs="Arial"/>
          <w:sz w:val="24"/>
          <w:szCs w:val="24"/>
        </w:rPr>
        <w:t>indicated that</w:t>
      </w:r>
      <w:r w:rsidR="003C11BB">
        <w:rPr>
          <w:rFonts w:ascii="Arial" w:hAnsi="Arial" w:cs="Arial"/>
          <w:sz w:val="24"/>
          <w:szCs w:val="24"/>
        </w:rPr>
        <w:t xml:space="preserve"> regulatory styles might be better conceptualised as</w:t>
      </w:r>
      <w:r>
        <w:rPr>
          <w:rFonts w:ascii="Arial" w:hAnsi="Arial" w:cs="Arial"/>
          <w:sz w:val="24"/>
          <w:szCs w:val="24"/>
        </w:rPr>
        <w:t xml:space="preserve"> constituted by compromises around enduring dilemmas, both in goal conception (between balance-seeking and target/limits-led a</w:t>
      </w:r>
      <w:r w:rsidR="003C11BB">
        <w:rPr>
          <w:rFonts w:ascii="Arial" w:hAnsi="Arial" w:cs="Arial"/>
          <w:sz w:val="24"/>
          <w:szCs w:val="24"/>
        </w:rPr>
        <w:t xml:space="preserve">pproaches) and around </w:t>
      </w:r>
      <w:r w:rsidR="002B54F3">
        <w:rPr>
          <w:rFonts w:ascii="Arial" w:hAnsi="Arial" w:cs="Arial"/>
          <w:sz w:val="24"/>
          <w:szCs w:val="24"/>
        </w:rPr>
        <w:t>governance design (such as between common formal standards and the scope for flexibility</w:t>
      </w:r>
      <w:r w:rsidR="00317109">
        <w:rPr>
          <w:rFonts w:ascii="Arial" w:hAnsi="Arial" w:cs="Arial"/>
          <w:sz w:val="24"/>
          <w:szCs w:val="24"/>
        </w:rPr>
        <w:t>, or between autonomy and consistency at different scales</w:t>
      </w:r>
      <w:r w:rsidR="002B54F3">
        <w:rPr>
          <w:rFonts w:ascii="Arial" w:hAnsi="Arial" w:cs="Arial"/>
          <w:sz w:val="24"/>
          <w:szCs w:val="24"/>
        </w:rPr>
        <w:t xml:space="preserve">). In rationalising their views, our respondents also show how pressure for change may be animated and mobilised from the desire to fix specific </w:t>
      </w:r>
      <w:r w:rsidR="0002258E">
        <w:rPr>
          <w:rFonts w:ascii="Arial" w:hAnsi="Arial" w:cs="Arial"/>
          <w:sz w:val="24"/>
          <w:szCs w:val="24"/>
        </w:rPr>
        <w:t>challenges in reconciling environmental and development pressures</w:t>
      </w:r>
      <w:r w:rsidR="002B54F3">
        <w:rPr>
          <w:rFonts w:ascii="Arial" w:hAnsi="Arial" w:cs="Arial"/>
          <w:sz w:val="24"/>
          <w:szCs w:val="24"/>
        </w:rPr>
        <w:t>. I</w:t>
      </w:r>
      <w:r w:rsidR="003C11BB">
        <w:rPr>
          <w:rFonts w:ascii="Arial" w:hAnsi="Arial" w:cs="Arial"/>
          <w:sz w:val="24"/>
          <w:szCs w:val="24"/>
        </w:rPr>
        <w:t>ronically</w:t>
      </w:r>
      <w:r w:rsidR="002B54F3">
        <w:rPr>
          <w:rFonts w:ascii="Arial" w:hAnsi="Arial" w:cs="Arial"/>
          <w:sz w:val="24"/>
          <w:szCs w:val="24"/>
        </w:rPr>
        <w:t>, for all that certain dominant imaginaries of British planning have conceived it as</w:t>
      </w:r>
      <w:r w:rsidR="003C11BB">
        <w:rPr>
          <w:rFonts w:ascii="Arial" w:hAnsi="Arial" w:cs="Arial"/>
          <w:sz w:val="24"/>
          <w:szCs w:val="24"/>
        </w:rPr>
        <w:t xml:space="preserve"> semi-detached</w:t>
      </w:r>
      <w:r w:rsidR="002B54F3">
        <w:rPr>
          <w:rFonts w:ascii="Arial" w:hAnsi="Arial" w:cs="Arial"/>
          <w:sz w:val="24"/>
          <w:szCs w:val="24"/>
        </w:rPr>
        <w:t xml:space="preserve"> from EU environmental policy, the concrete dilemmas of planning practice will be an important arena through which key elements of the legacy of EU environmental policy will be placed under tangible pressure</w:t>
      </w:r>
      <w:r w:rsidR="003C11BB">
        <w:rPr>
          <w:rFonts w:ascii="Arial" w:hAnsi="Arial" w:cs="Arial"/>
          <w:sz w:val="24"/>
          <w:szCs w:val="24"/>
        </w:rPr>
        <w:t xml:space="preserve">. </w:t>
      </w:r>
      <w:r w:rsidR="007E3F83">
        <w:rPr>
          <w:rFonts w:ascii="Arial" w:hAnsi="Arial" w:cs="Arial"/>
          <w:sz w:val="24"/>
          <w:szCs w:val="24"/>
        </w:rPr>
        <w:t xml:space="preserve">Such pressures may be apparent in other jurisdictions, whether facing environment policy reforms or deregulation drives.  </w:t>
      </w:r>
      <w:r w:rsidR="002B54F3">
        <w:rPr>
          <w:rFonts w:ascii="Arial" w:hAnsi="Arial" w:cs="Arial"/>
          <w:sz w:val="24"/>
          <w:szCs w:val="24"/>
        </w:rPr>
        <w:t xml:space="preserve">Our research shows </w:t>
      </w:r>
      <w:r w:rsidR="007E3F83">
        <w:rPr>
          <w:rFonts w:ascii="Arial" w:hAnsi="Arial" w:cs="Arial"/>
          <w:sz w:val="24"/>
          <w:szCs w:val="24"/>
        </w:rPr>
        <w:t xml:space="preserve">how </w:t>
      </w:r>
      <w:r w:rsidR="0002258E">
        <w:rPr>
          <w:rFonts w:ascii="Arial" w:hAnsi="Arial" w:cs="Arial"/>
          <w:sz w:val="24"/>
          <w:szCs w:val="24"/>
        </w:rPr>
        <w:t>such</w:t>
      </w:r>
      <w:r w:rsidR="002B54F3">
        <w:rPr>
          <w:rFonts w:ascii="Arial" w:hAnsi="Arial" w:cs="Arial"/>
          <w:sz w:val="24"/>
          <w:szCs w:val="24"/>
        </w:rPr>
        <w:t xml:space="preserve"> dilemmas </w:t>
      </w:r>
      <w:r w:rsidR="007E3F83">
        <w:rPr>
          <w:rFonts w:ascii="Arial" w:hAnsi="Arial" w:cs="Arial"/>
          <w:sz w:val="24"/>
          <w:szCs w:val="24"/>
        </w:rPr>
        <w:t xml:space="preserve">link to </w:t>
      </w:r>
      <w:r w:rsidR="002B54F3">
        <w:rPr>
          <w:rFonts w:ascii="Arial" w:hAnsi="Arial" w:cs="Arial"/>
          <w:sz w:val="24"/>
          <w:szCs w:val="24"/>
        </w:rPr>
        <w:t>enduring questions in the environmental planning field: how far and in what way do we recognise that certain environmental qualities warrant special attention and principled priority</w:t>
      </w:r>
      <w:r w:rsidR="007E3F83">
        <w:rPr>
          <w:rFonts w:ascii="Arial" w:hAnsi="Arial" w:cs="Arial"/>
          <w:sz w:val="24"/>
          <w:szCs w:val="24"/>
        </w:rPr>
        <w:t>?</w:t>
      </w:r>
      <w:r w:rsidR="002B54F3">
        <w:rPr>
          <w:rFonts w:ascii="Arial" w:hAnsi="Arial" w:cs="Arial"/>
          <w:sz w:val="24"/>
          <w:szCs w:val="24"/>
        </w:rPr>
        <w:t>, where should the scope for discretion and flexibility lie</w:t>
      </w:r>
      <w:r w:rsidR="007E3F83">
        <w:rPr>
          <w:rFonts w:ascii="Arial" w:hAnsi="Arial" w:cs="Arial"/>
          <w:sz w:val="24"/>
          <w:szCs w:val="24"/>
        </w:rPr>
        <w:t>?</w:t>
      </w:r>
      <w:r w:rsidR="002B54F3">
        <w:rPr>
          <w:rFonts w:ascii="Arial" w:hAnsi="Arial" w:cs="Arial"/>
          <w:sz w:val="24"/>
          <w:szCs w:val="24"/>
        </w:rPr>
        <w:t>, and how do we govern how discretion is exercised?</w:t>
      </w:r>
    </w:p>
    <w:p w:rsidR="00317109" w:rsidRDefault="00317109">
      <w:pPr>
        <w:rPr>
          <w:rFonts w:ascii="Arial" w:hAnsi="Arial" w:cs="Arial"/>
          <w:sz w:val="24"/>
          <w:szCs w:val="24"/>
        </w:rPr>
      </w:pPr>
    </w:p>
    <w:p w:rsidR="003727C7" w:rsidRDefault="001E400D">
      <w:pPr>
        <w:rPr>
          <w:rFonts w:ascii="Arial" w:hAnsi="Arial" w:cs="Arial"/>
          <w:sz w:val="24"/>
          <w:szCs w:val="24"/>
        </w:rPr>
      </w:pPr>
      <w:r>
        <w:rPr>
          <w:rFonts w:ascii="Arial" w:hAnsi="Arial" w:cs="Arial"/>
          <w:sz w:val="24"/>
          <w:szCs w:val="24"/>
        </w:rPr>
        <w:t xml:space="preserve">In presenting this </w:t>
      </w:r>
      <w:r w:rsidR="004373C9">
        <w:rPr>
          <w:rFonts w:ascii="Arial" w:hAnsi="Arial" w:cs="Arial"/>
          <w:sz w:val="24"/>
          <w:szCs w:val="24"/>
        </w:rPr>
        <w:t>analysis,</w:t>
      </w:r>
      <w:r>
        <w:rPr>
          <w:rFonts w:ascii="Arial" w:hAnsi="Arial" w:cs="Arial"/>
          <w:sz w:val="24"/>
          <w:szCs w:val="24"/>
        </w:rPr>
        <w:t xml:space="preserve"> we have not sought to challenge the factual or legal veracity of the views expressed</w:t>
      </w:r>
      <w:r w:rsidR="00A73B27">
        <w:rPr>
          <w:rFonts w:ascii="Arial" w:hAnsi="Arial" w:cs="Arial"/>
          <w:sz w:val="24"/>
          <w:szCs w:val="24"/>
        </w:rPr>
        <w:t>, nor establish</w:t>
      </w:r>
      <w:r w:rsidR="007709BC">
        <w:rPr>
          <w:rFonts w:ascii="Arial" w:hAnsi="Arial" w:cs="Arial"/>
          <w:sz w:val="24"/>
          <w:szCs w:val="24"/>
        </w:rPr>
        <w:t xml:space="preserve"> whether</w:t>
      </w:r>
      <w:r w:rsidR="00A73B27">
        <w:rPr>
          <w:rFonts w:ascii="Arial" w:hAnsi="Arial" w:cs="Arial"/>
          <w:sz w:val="24"/>
          <w:szCs w:val="24"/>
        </w:rPr>
        <w:t xml:space="preserve"> one regulatory style is always preferable to the others (Vogel</w:t>
      </w:r>
      <w:r w:rsidR="0000641A">
        <w:rPr>
          <w:rFonts w:ascii="Arial" w:hAnsi="Arial" w:cs="Arial"/>
          <w:sz w:val="24"/>
          <w:szCs w:val="24"/>
        </w:rPr>
        <w:t>,</w:t>
      </w:r>
      <w:r w:rsidR="00A73B27">
        <w:rPr>
          <w:rFonts w:ascii="Arial" w:hAnsi="Arial" w:cs="Arial"/>
          <w:sz w:val="24"/>
          <w:szCs w:val="24"/>
        </w:rPr>
        <w:t xml:space="preserve"> 1986)</w:t>
      </w:r>
      <w:r w:rsidR="004373C9">
        <w:rPr>
          <w:rFonts w:ascii="Arial" w:hAnsi="Arial" w:cs="Arial"/>
          <w:sz w:val="24"/>
          <w:szCs w:val="24"/>
        </w:rPr>
        <w:t>.</w:t>
      </w:r>
      <w:r w:rsidR="002D11D2">
        <w:rPr>
          <w:rFonts w:ascii="Arial" w:hAnsi="Arial" w:cs="Arial"/>
          <w:sz w:val="24"/>
          <w:szCs w:val="24"/>
        </w:rPr>
        <w:t xml:space="preserve"> </w:t>
      </w:r>
      <w:r w:rsidR="004373C9">
        <w:rPr>
          <w:rFonts w:ascii="Arial" w:hAnsi="Arial" w:cs="Arial"/>
          <w:sz w:val="24"/>
          <w:szCs w:val="24"/>
        </w:rPr>
        <w:t xml:space="preserve">Indeed, </w:t>
      </w:r>
      <w:r w:rsidR="007709BC">
        <w:rPr>
          <w:rFonts w:ascii="Arial" w:hAnsi="Arial" w:cs="Arial"/>
          <w:sz w:val="24"/>
          <w:szCs w:val="24"/>
        </w:rPr>
        <w:t>i</w:t>
      </w:r>
      <w:r w:rsidR="003727C7">
        <w:rPr>
          <w:rFonts w:ascii="Arial" w:hAnsi="Arial" w:cs="Arial"/>
          <w:sz w:val="24"/>
          <w:szCs w:val="24"/>
        </w:rPr>
        <w:t xml:space="preserve">f the risks of </w:t>
      </w:r>
      <w:r w:rsidR="00756A5E">
        <w:rPr>
          <w:rFonts w:ascii="Arial" w:hAnsi="Arial" w:cs="Arial"/>
          <w:sz w:val="24"/>
          <w:szCs w:val="24"/>
        </w:rPr>
        <w:t>wholesale</w:t>
      </w:r>
      <w:r w:rsidR="003727C7">
        <w:rPr>
          <w:rFonts w:ascii="Arial" w:hAnsi="Arial" w:cs="Arial"/>
          <w:sz w:val="24"/>
          <w:szCs w:val="24"/>
        </w:rPr>
        <w:t xml:space="preserve"> deregulation seem obvious, the instigation of tighter environmental goals for planning confronts long-standing criti</w:t>
      </w:r>
      <w:r w:rsidR="00987942">
        <w:rPr>
          <w:rFonts w:ascii="Arial" w:hAnsi="Arial" w:cs="Arial"/>
          <w:sz w:val="24"/>
          <w:szCs w:val="24"/>
        </w:rPr>
        <w:t>cism</w:t>
      </w:r>
      <w:r w:rsidR="003727C7">
        <w:rPr>
          <w:rFonts w:ascii="Arial" w:hAnsi="Arial" w:cs="Arial"/>
          <w:sz w:val="24"/>
          <w:szCs w:val="24"/>
        </w:rPr>
        <w:t xml:space="preserve">s of rationalistic goal-led ‘planning for sustainability’, that it risks returning planning to </w:t>
      </w:r>
      <w:r w:rsidR="003727C7" w:rsidRPr="00CA0686">
        <w:rPr>
          <w:rFonts w:ascii="Arial" w:hAnsi="Arial" w:cs="Arial"/>
          <w:sz w:val="24"/>
          <w:szCs w:val="24"/>
        </w:rPr>
        <w:t xml:space="preserve">an </w:t>
      </w:r>
      <w:r w:rsidR="003727C7">
        <w:rPr>
          <w:rFonts w:ascii="Arial" w:hAnsi="Arial" w:cs="Arial"/>
          <w:sz w:val="24"/>
          <w:szCs w:val="24"/>
        </w:rPr>
        <w:t>‘</w:t>
      </w:r>
      <w:r w:rsidR="003727C7" w:rsidRPr="00CA0686">
        <w:rPr>
          <w:rFonts w:ascii="Arial" w:hAnsi="Arial" w:cs="Arial"/>
          <w:sz w:val="24"/>
          <w:szCs w:val="24"/>
        </w:rPr>
        <w:t>ineffective eng</w:t>
      </w:r>
      <w:r w:rsidR="003727C7">
        <w:rPr>
          <w:rFonts w:ascii="Arial" w:hAnsi="Arial" w:cs="Arial"/>
          <w:sz w:val="24"/>
          <w:szCs w:val="24"/>
        </w:rPr>
        <w:t>ineering ideal ‘ (Van der Straaten and Ugelow</w:t>
      </w:r>
      <w:r w:rsidR="0000641A">
        <w:rPr>
          <w:rFonts w:ascii="Arial" w:hAnsi="Arial" w:cs="Arial"/>
          <w:sz w:val="24"/>
          <w:szCs w:val="24"/>
        </w:rPr>
        <w:t>,</w:t>
      </w:r>
      <w:r w:rsidR="003727C7">
        <w:rPr>
          <w:rFonts w:ascii="Arial" w:hAnsi="Arial" w:cs="Arial"/>
          <w:sz w:val="24"/>
          <w:szCs w:val="24"/>
        </w:rPr>
        <w:t xml:space="preserve"> 1994</w:t>
      </w:r>
      <w:r w:rsidR="00A95513">
        <w:rPr>
          <w:rFonts w:ascii="Arial" w:hAnsi="Arial" w:cs="Arial"/>
          <w:sz w:val="24"/>
          <w:szCs w:val="24"/>
        </w:rPr>
        <w:t xml:space="preserve">, </w:t>
      </w:r>
      <w:r w:rsidR="001C5D87">
        <w:rPr>
          <w:rFonts w:ascii="Arial" w:hAnsi="Arial" w:cs="Arial"/>
          <w:sz w:val="24"/>
          <w:szCs w:val="24"/>
        </w:rPr>
        <w:t>p.</w:t>
      </w:r>
      <w:r w:rsidR="00A95513">
        <w:rPr>
          <w:rFonts w:ascii="Arial" w:hAnsi="Arial" w:cs="Arial"/>
          <w:sz w:val="24"/>
          <w:szCs w:val="24"/>
        </w:rPr>
        <w:t>127</w:t>
      </w:r>
      <w:r w:rsidR="007709BC">
        <w:rPr>
          <w:rFonts w:ascii="Arial" w:hAnsi="Arial" w:cs="Arial"/>
          <w:sz w:val="24"/>
          <w:szCs w:val="24"/>
        </w:rPr>
        <w:t>)</w:t>
      </w:r>
      <w:r w:rsidR="003727C7">
        <w:rPr>
          <w:rFonts w:ascii="Arial" w:hAnsi="Arial" w:cs="Arial"/>
          <w:sz w:val="24"/>
          <w:szCs w:val="24"/>
        </w:rPr>
        <w:t>, and stifles creativity (Adams et al</w:t>
      </w:r>
      <w:r w:rsidR="0000641A">
        <w:rPr>
          <w:rFonts w:ascii="Arial" w:hAnsi="Arial" w:cs="Arial"/>
          <w:sz w:val="24"/>
          <w:szCs w:val="24"/>
        </w:rPr>
        <w:t>.,</w:t>
      </w:r>
      <w:r w:rsidR="003727C7">
        <w:rPr>
          <w:rFonts w:ascii="Arial" w:hAnsi="Arial" w:cs="Arial"/>
          <w:sz w:val="24"/>
          <w:szCs w:val="24"/>
        </w:rPr>
        <w:t xml:space="preserve"> 2013). Yet equally, the need to confront environmental crises raises serious and </w:t>
      </w:r>
      <w:r w:rsidR="007709BC">
        <w:rPr>
          <w:rFonts w:ascii="Arial" w:hAnsi="Arial" w:cs="Arial"/>
          <w:sz w:val="24"/>
          <w:szCs w:val="24"/>
        </w:rPr>
        <w:t>enduring</w:t>
      </w:r>
      <w:r w:rsidR="003727C7">
        <w:rPr>
          <w:rFonts w:ascii="Arial" w:hAnsi="Arial" w:cs="Arial"/>
          <w:sz w:val="24"/>
          <w:szCs w:val="24"/>
        </w:rPr>
        <w:t xml:space="preserve"> questions about how ‘democratic freedoms’ (as exercised by elected representatives, or mobilised by publics) should be melded with the attainment of </w:t>
      </w:r>
      <w:r w:rsidR="001C5D87">
        <w:rPr>
          <w:rFonts w:ascii="Arial" w:hAnsi="Arial" w:cs="Arial"/>
          <w:sz w:val="24"/>
          <w:szCs w:val="24"/>
        </w:rPr>
        <w:t xml:space="preserve">substantive </w:t>
      </w:r>
      <w:r w:rsidR="003727C7">
        <w:rPr>
          <w:rFonts w:ascii="Arial" w:hAnsi="Arial" w:cs="Arial"/>
          <w:sz w:val="24"/>
          <w:szCs w:val="24"/>
        </w:rPr>
        <w:t>ecological improvements</w:t>
      </w:r>
      <w:r w:rsidR="0055709E">
        <w:rPr>
          <w:rFonts w:ascii="Arial" w:hAnsi="Arial" w:cs="Arial"/>
          <w:sz w:val="24"/>
          <w:szCs w:val="24"/>
        </w:rPr>
        <w:t xml:space="preserve"> to deliver politically legitimate </w:t>
      </w:r>
      <w:r w:rsidR="00FE37FB">
        <w:rPr>
          <w:rFonts w:ascii="Arial" w:hAnsi="Arial" w:cs="Arial"/>
          <w:sz w:val="24"/>
          <w:szCs w:val="24"/>
        </w:rPr>
        <w:t>action</w:t>
      </w:r>
      <w:r w:rsidR="007709BC">
        <w:rPr>
          <w:rFonts w:ascii="Arial" w:hAnsi="Arial" w:cs="Arial"/>
          <w:sz w:val="24"/>
          <w:szCs w:val="24"/>
        </w:rPr>
        <w:t>, an issue that unavoidably connects procedural and substantive values.</w:t>
      </w:r>
      <w:r w:rsidR="003727C7">
        <w:rPr>
          <w:rFonts w:ascii="Arial" w:hAnsi="Arial" w:cs="Arial"/>
          <w:sz w:val="24"/>
          <w:szCs w:val="24"/>
        </w:rPr>
        <w:t xml:space="preserve"> </w:t>
      </w:r>
      <w:r w:rsidR="006967B0">
        <w:rPr>
          <w:rFonts w:ascii="Arial" w:hAnsi="Arial" w:cs="Arial"/>
          <w:sz w:val="24"/>
          <w:szCs w:val="24"/>
        </w:rPr>
        <w:t xml:space="preserve">Brexit </w:t>
      </w:r>
      <w:r w:rsidR="007C0675">
        <w:rPr>
          <w:rFonts w:ascii="Arial" w:hAnsi="Arial" w:cs="Arial"/>
          <w:sz w:val="24"/>
          <w:szCs w:val="24"/>
        </w:rPr>
        <w:t>may have</w:t>
      </w:r>
      <w:r w:rsidR="003727C7">
        <w:rPr>
          <w:rFonts w:ascii="Arial" w:hAnsi="Arial" w:cs="Arial"/>
          <w:sz w:val="24"/>
          <w:szCs w:val="24"/>
        </w:rPr>
        <w:t xml:space="preserve"> elevated the salience of these issues in the UK</w:t>
      </w:r>
      <w:r w:rsidR="007C0675">
        <w:rPr>
          <w:rFonts w:ascii="Arial" w:hAnsi="Arial" w:cs="Arial"/>
          <w:sz w:val="24"/>
          <w:szCs w:val="24"/>
        </w:rPr>
        <w:t>, but</w:t>
      </w:r>
      <w:r w:rsidR="003727C7">
        <w:rPr>
          <w:rFonts w:ascii="Arial" w:hAnsi="Arial" w:cs="Arial"/>
          <w:sz w:val="24"/>
          <w:szCs w:val="24"/>
        </w:rPr>
        <w:t xml:space="preserve"> they deserve wider and more consistent attention by planning researchers</w:t>
      </w:r>
      <w:r w:rsidR="007E3F83">
        <w:rPr>
          <w:rFonts w:ascii="Arial" w:hAnsi="Arial" w:cs="Arial"/>
          <w:sz w:val="24"/>
          <w:szCs w:val="24"/>
        </w:rPr>
        <w:t xml:space="preserve"> and professionals</w:t>
      </w:r>
      <w:r w:rsidR="001C5D87">
        <w:rPr>
          <w:rFonts w:ascii="Arial" w:hAnsi="Arial" w:cs="Arial"/>
          <w:sz w:val="24"/>
          <w:szCs w:val="24"/>
        </w:rPr>
        <w:t>.</w:t>
      </w:r>
    </w:p>
    <w:p w:rsidR="0053158E" w:rsidRDefault="0053158E">
      <w:pPr>
        <w:rPr>
          <w:rFonts w:ascii="Arial" w:hAnsi="Arial" w:cs="Arial"/>
          <w:sz w:val="24"/>
          <w:szCs w:val="24"/>
        </w:rPr>
      </w:pPr>
      <w:r>
        <w:rPr>
          <w:rFonts w:ascii="Arial" w:hAnsi="Arial" w:cs="Arial"/>
          <w:sz w:val="24"/>
          <w:szCs w:val="24"/>
        </w:rPr>
        <w:br w:type="page"/>
      </w:r>
    </w:p>
    <w:p w:rsidR="0053158E" w:rsidRPr="003C6EDF" w:rsidRDefault="0053158E" w:rsidP="0053158E">
      <w:pPr>
        <w:rPr>
          <w:rFonts w:ascii="Arial" w:eastAsia="Times New Roman" w:hAnsi="Arial" w:cs="Arial"/>
          <w:bCs/>
          <w:color w:val="000000"/>
          <w:sz w:val="24"/>
          <w:szCs w:val="24"/>
          <w:lang w:eastAsia="en-GB"/>
        </w:rPr>
      </w:pPr>
      <w:r w:rsidRPr="003C6EDF">
        <w:rPr>
          <w:rFonts w:ascii="Arial" w:eastAsia="Times New Roman" w:hAnsi="Arial" w:cs="Arial"/>
          <w:b/>
          <w:bCs/>
          <w:color w:val="000000"/>
          <w:sz w:val="24"/>
          <w:szCs w:val="24"/>
          <w:lang w:eastAsia="en-GB"/>
        </w:rPr>
        <w:t>Acknowledgements</w:t>
      </w:r>
    </w:p>
    <w:p w:rsidR="0053158E" w:rsidRPr="003C6EDF" w:rsidRDefault="0053158E" w:rsidP="0053158E">
      <w:pPr>
        <w:rPr>
          <w:rFonts w:ascii="Arial" w:eastAsia="Times New Roman" w:hAnsi="Arial" w:cs="Arial"/>
          <w:bCs/>
          <w:color w:val="000000"/>
          <w:sz w:val="24"/>
          <w:szCs w:val="24"/>
          <w:lang w:eastAsia="en-GB"/>
        </w:rPr>
      </w:pPr>
    </w:p>
    <w:p w:rsidR="0053158E" w:rsidRPr="003C6EDF" w:rsidRDefault="0053158E" w:rsidP="0053158E">
      <w:pPr>
        <w:rPr>
          <w:rFonts w:ascii="Arial" w:eastAsia="Times New Roman" w:hAnsi="Arial" w:cs="Arial"/>
          <w:bCs/>
          <w:color w:val="000000"/>
          <w:sz w:val="24"/>
          <w:szCs w:val="24"/>
          <w:lang w:eastAsia="en-GB"/>
        </w:rPr>
      </w:pPr>
      <w:r w:rsidRPr="003C6EDF">
        <w:rPr>
          <w:rFonts w:ascii="Arial" w:eastAsia="Times New Roman" w:hAnsi="Arial" w:cs="Arial"/>
          <w:bCs/>
          <w:color w:val="000000"/>
          <w:sz w:val="24"/>
          <w:szCs w:val="24"/>
          <w:lang w:eastAsia="en-GB"/>
        </w:rPr>
        <w:t xml:space="preserve">We are grateful for the support of the Royal Town Planning Institute, who commissioned the research on which this paper is based, and to the reviewers and editors from Planning Theory </w:t>
      </w:r>
      <w:r>
        <w:rPr>
          <w:rFonts w:ascii="Arial" w:eastAsia="Times New Roman" w:hAnsi="Arial" w:cs="Arial"/>
          <w:bCs/>
          <w:color w:val="000000"/>
          <w:sz w:val="24"/>
          <w:szCs w:val="24"/>
          <w:lang w:eastAsia="en-GB"/>
        </w:rPr>
        <w:t xml:space="preserve">and Practice </w:t>
      </w:r>
      <w:r w:rsidRPr="003C6EDF">
        <w:rPr>
          <w:rFonts w:ascii="Arial" w:eastAsia="Times New Roman" w:hAnsi="Arial" w:cs="Arial"/>
          <w:bCs/>
          <w:color w:val="000000"/>
          <w:sz w:val="24"/>
          <w:szCs w:val="24"/>
          <w:lang w:eastAsia="en-GB"/>
        </w:rPr>
        <w:t xml:space="preserve">for their helpful comments on an earlier version of the paper. </w:t>
      </w:r>
    </w:p>
    <w:p w:rsidR="0053158E" w:rsidRDefault="0053158E">
      <w:pPr>
        <w:rPr>
          <w:rFonts w:ascii="Arial" w:hAnsi="Arial" w:cs="Arial"/>
          <w:sz w:val="24"/>
          <w:szCs w:val="24"/>
        </w:rPr>
      </w:pPr>
    </w:p>
    <w:p w:rsidR="00C2563A" w:rsidRDefault="00C2563A">
      <w:pPr>
        <w:rPr>
          <w:rFonts w:ascii="Arial" w:hAnsi="Arial" w:cs="Arial"/>
          <w:sz w:val="24"/>
          <w:szCs w:val="24"/>
        </w:rPr>
      </w:pPr>
    </w:p>
    <w:p w:rsidR="000B404F" w:rsidRDefault="000B404F">
      <w:pPr>
        <w:rPr>
          <w:rFonts w:ascii="Arial" w:hAnsi="Arial" w:cs="Arial"/>
          <w:sz w:val="24"/>
          <w:szCs w:val="24"/>
        </w:rPr>
      </w:pPr>
      <w:r>
        <w:rPr>
          <w:rFonts w:ascii="Arial" w:hAnsi="Arial" w:cs="Arial"/>
          <w:sz w:val="24"/>
          <w:szCs w:val="24"/>
        </w:rPr>
        <w:br w:type="page"/>
      </w:r>
    </w:p>
    <w:p w:rsidR="004D6061" w:rsidRPr="00E32DF7" w:rsidRDefault="00B40E57">
      <w:pPr>
        <w:rPr>
          <w:rFonts w:ascii="Arial" w:hAnsi="Arial" w:cs="Arial"/>
          <w:b/>
          <w:sz w:val="24"/>
          <w:szCs w:val="24"/>
        </w:rPr>
      </w:pPr>
      <w:r w:rsidRPr="00E32DF7">
        <w:rPr>
          <w:rFonts w:ascii="Arial" w:hAnsi="Arial" w:cs="Arial"/>
          <w:b/>
          <w:sz w:val="24"/>
          <w:szCs w:val="24"/>
        </w:rPr>
        <w:t>References</w:t>
      </w:r>
    </w:p>
    <w:p w:rsidR="00B40E57" w:rsidRPr="00834691" w:rsidRDefault="00B40E57">
      <w:pPr>
        <w:rPr>
          <w:rFonts w:ascii="Arial" w:hAnsi="Arial" w:cs="Arial"/>
        </w:rPr>
      </w:pPr>
    </w:p>
    <w:p w:rsidR="00EF061E" w:rsidRPr="003C17D4" w:rsidRDefault="00B40E57" w:rsidP="007B78B0">
      <w:pPr>
        <w:ind w:left="567" w:hanging="567"/>
        <w:rPr>
          <w:sz w:val="24"/>
          <w:szCs w:val="24"/>
        </w:rPr>
      </w:pPr>
      <w:r w:rsidRPr="003C17D4">
        <w:rPr>
          <w:rStyle w:val="Bodytext8NotItalic"/>
          <w:rFonts w:ascii="Arial" w:eastAsiaTheme="minorHAnsi" w:hAnsi="Arial" w:cs="Arial"/>
          <w:i w:val="0"/>
          <w:color w:val="auto"/>
          <w:sz w:val="24"/>
          <w:szCs w:val="24"/>
        </w:rPr>
        <w:t>Adams</w:t>
      </w:r>
      <w:r w:rsidR="00592849" w:rsidRPr="003C17D4">
        <w:rPr>
          <w:rStyle w:val="Bodytext8NotItalic"/>
          <w:rFonts w:ascii="Arial" w:eastAsiaTheme="minorHAnsi" w:hAnsi="Arial" w:cs="Arial"/>
          <w:i w:val="0"/>
          <w:color w:val="auto"/>
          <w:sz w:val="24"/>
          <w:szCs w:val="24"/>
        </w:rPr>
        <w:t>,</w:t>
      </w:r>
      <w:r w:rsidRPr="003C17D4">
        <w:rPr>
          <w:rStyle w:val="Bodytext8NotItalic"/>
          <w:rFonts w:ascii="Arial" w:eastAsiaTheme="minorHAnsi" w:hAnsi="Arial" w:cs="Arial"/>
          <w:i w:val="0"/>
          <w:color w:val="auto"/>
          <w:sz w:val="24"/>
          <w:szCs w:val="24"/>
        </w:rPr>
        <w:t xml:space="preserve"> D</w:t>
      </w:r>
      <w:r w:rsidR="00592849" w:rsidRPr="003C17D4">
        <w:rPr>
          <w:rStyle w:val="Bodytext8NotItalic"/>
          <w:rFonts w:ascii="Arial" w:eastAsiaTheme="minorHAnsi" w:hAnsi="Arial" w:cs="Arial"/>
          <w:i w:val="0"/>
          <w:color w:val="auto"/>
          <w:sz w:val="24"/>
          <w:szCs w:val="24"/>
        </w:rPr>
        <w:t>.</w:t>
      </w:r>
      <w:r w:rsidRPr="003C17D4">
        <w:rPr>
          <w:rStyle w:val="Bodytext8NotItalic"/>
          <w:rFonts w:ascii="Arial" w:eastAsiaTheme="minorHAnsi" w:hAnsi="Arial" w:cs="Arial"/>
          <w:i w:val="0"/>
          <w:color w:val="auto"/>
          <w:sz w:val="24"/>
          <w:szCs w:val="24"/>
        </w:rPr>
        <w:t>, Scott</w:t>
      </w:r>
      <w:r w:rsidR="00592849" w:rsidRPr="003C17D4">
        <w:rPr>
          <w:rStyle w:val="Bodytext8NotItalic"/>
          <w:rFonts w:ascii="Arial" w:eastAsiaTheme="minorHAnsi" w:hAnsi="Arial" w:cs="Arial"/>
          <w:i w:val="0"/>
          <w:color w:val="auto"/>
          <w:sz w:val="24"/>
          <w:szCs w:val="24"/>
        </w:rPr>
        <w:t>,</w:t>
      </w:r>
      <w:r w:rsidRPr="003C17D4">
        <w:rPr>
          <w:rStyle w:val="Bodytext8NotItalic"/>
          <w:rFonts w:ascii="Arial" w:eastAsiaTheme="minorHAnsi" w:hAnsi="Arial" w:cs="Arial"/>
          <w:i w:val="0"/>
          <w:color w:val="auto"/>
          <w:sz w:val="24"/>
          <w:szCs w:val="24"/>
        </w:rPr>
        <w:t xml:space="preserve"> A</w:t>
      </w:r>
      <w:r w:rsidR="00592849" w:rsidRPr="003C17D4">
        <w:rPr>
          <w:rStyle w:val="Bodytext8NotItalic"/>
          <w:rFonts w:ascii="Arial" w:eastAsiaTheme="minorHAnsi" w:hAnsi="Arial" w:cs="Arial"/>
          <w:i w:val="0"/>
          <w:color w:val="auto"/>
          <w:sz w:val="24"/>
          <w:szCs w:val="24"/>
        </w:rPr>
        <w:t>.</w:t>
      </w:r>
      <w:r w:rsidRPr="003C17D4">
        <w:rPr>
          <w:rStyle w:val="Bodytext8NotItalic"/>
          <w:rFonts w:ascii="Arial" w:eastAsiaTheme="minorHAnsi" w:hAnsi="Arial" w:cs="Arial"/>
          <w:i w:val="0"/>
          <w:color w:val="auto"/>
          <w:sz w:val="24"/>
          <w:szCs w:val="24"/>
        </w:rPr>
        <w:t xml:space="preserve"> </w:t>
      </w:r>
      <w:r w:rsidR="00A44010" w:rsidRPr="003C17D4">
        <w:rPr>
          <w:rStyle w:val="Bodytext8NotItalic"/>
          <w:rFonts w:ascii="Arial" w:eastAsiaTheme="minorHAnsi" w:hAnsi="Arial" w:cs="Arial"/>
          <w:i w:val="0"/>
          <w:color w:val="auto"/>
          <w:sz w:val="24"/>
          <w:szCs w:val="24"/>
        </w:rPr>
        <w:t>&amp;</w:t>
      </w:r>
      <w:r w:rsidRPr="003C17D4">
        <w:rPr>
          <w:rStyle w:val="Bodytext8NotItalic"/>
          <w:rFonts w:ascii="Arial" w:eastAsiaTheme="minorHAnsi" w:hAnsi="Arial" w:cs="Arial"/>
          <w:i w:val="0"/>
          <w:color w:val="auto"/>
          <w:sz w:val="24"/>
          <w:szCs w:val="24"/>
        </w:rPr>
        <w:t xml:space="preserve"> Hardman</w:t>
      </w:r>
      <w:r w:rsidR="00592849" w:rsidRPr="003C17D4">
        <w:rPr>
          <w:rStyle w:val="Bodytext8NotItalic"/>
          <w:rFonts w:ascii="Arial" w:eastAsiaTheme="minorHAnsi" w:hAnsi="Arial" w:cs="Arial"/>
          <w:i w:val="0"/>
          <w:color w:val="auto"/>
          <w:sz w:val="24"/>
          <w:szCs w:val="24"/>
        </w:rPr>
        <w:t>.</w:t>
      </w:r>
      <w:r w:rsidRPr="003C17D4">
        <w:rPr>
          <w:rStyle w:val="Bodytext8NotItalic"/>
          <w:rFonts w:ascii="Arial" w:eastAsiaTheme="minorHAnsi" w:hAnsi="Arial" w:cs="Arial"/>
          <w:i w:val="0"/>
          <w:color w:val="auto"/>
          <w:sz w:val="24"/>
          <w:szCs w:val="24"/>
        </w:rPr>
        <w:t xml:space="preserve"> M</w:t>
      </w:r>
      <w:r w:rsidR="00592849" w:rsidRPr="003C17D4">
        <w:rPr>
          <w:rStyle w:val="Bodytext8NotItalic"/>
          <w:rFonts w:ascii="Arial" w:eastAsiaTheme="minorHAnsi" w:hAnsi="Arial" w:cs="Arial"/>
          <w:i w:val="0"/>
          <w:color w:val="auto"/>
          <w:sz w:val="24"/>
          <w:szCs w:val="24"/>
        </w:rPr>
        <w:t>.</w:t>
      </w:r>
      <w:r w:rsidRPr="003C17D4">
        <w:rPr>
          <w:rStyle w:val="Bodytext8NotItalic"/>
          <w:rFonts w:ascii="Arial" w:eastAsiaTheme="minorHAnsi" w:hAnsi="Arial" w:cs="Arial"/>
          <w:i w:val="0"/>
          <w:color w:val="auto"/>
          <w:sz w:val="24"/>
          <w:szCs w:val="24"/>
        </w:rPr>
        <w:t xml:space="preserve"> (2013)</w:t>
      </w:r>
      <w:r w:rsidR="00592849" w:rsidRPr="003C17D4">
        <w:rPr>
          <w:rStyle w:val="Bodytext8NotItalic"/>
          <w:rFonts w:ascii="Arial" w:eastAsiaTheme="minorHAnsi" w:hAnsi="Arial" w:cs="Arial"/>
          <w:i w:val="0"/>
          <w:color w:val="auto"/>
          <w:sz w:val="24"/>
          <w:szCs w:val="24"/>
        </w:rPr>
        <w:t>.</w:t>
      </w:r>
      <w:r w:rsidRPr="003C17D4">
        <w:rPr>
          <w:rStyle w:val="Bodytext8NotItalic"/>
          <w:rFonts w:ascii="Arial" w:eastAsiaTheme="minorHAnsi" w:hAnsi="Arial" w:cs="Arial"/>
          <w:i w:val="0"/>
          <w:color w:val="auto"/>
          <w:sz w:val="24"/>
          <w:szCs w:val="24"/>
        </w:rPr>
        <w:t xml:space="preserve"> Guerrilla warfare in the planning system: revolutionary progress towards sustainability? </w:t>
      </w:r>
      <w:r w:rsidRPr="003C17D4">
        <w:rPr>
          <w:rStyle w:val="Bodytext8NotItalic"/>
          <w:rFonts w:ascii="Arial" w:eastAsiaTheme="minorHAnsi" w:hAnsi="Arial" w:cs="Arial"/>
          <w:color w:val="auto"/>
          <w:sz w:val="24"/>
          <w:szCs w:val="24"/>
        </w:rPr>
        <w:t>Geografiska</w:t>
      </w:r>
      <w:r w:rsidR="00CE528C" w:rsidRPr="003C17D4">
        <w:rPr>
          <w:rStyle w:val="Bodytext8NotItalic"/>
          <w:rFonts w:ascii="Arial" w:eastAsiaTheme="minorHAnsi" w:hAnsi="Arial" w:cs="Arial"/>
          <w:color w:val="auto"/>
          <w:sz w:val="24"/>
          <w:szCs w:val="24"/>
        </w:rPr>
        <w:t xml:space="preserve"> </w:t>
      </w:r>
      <w:r w:rsidRPr="003C17D4">
        <w:rPr>
          <w:rStyle w:val="Bodytext8NotItalic"/>
          <w:rFonts w:ascii="Arial" w:eastAsiaTheme="minorHAnsi" w:hAnsi="Arial" w:cs="Arial"/>
          <w:color w:val="auto"/>
          <w:sz w:val="24"/>
          <w:szCs w:val="24"/>
        </w:rPr>
        <w:t>Annaler: Series B, Human Geography</w:t>
      </w:r>
      <w:r w:rsidRPr="003C17D4">
        <w:rPr>
          <w:rStyle w:val="Bodytext8NotItalic"/>
          <w:rFonts w:ascii="Arial" w:eastAsiaTheme="minorHAnsi" w:hAnsi="Arial" w:cs="Arial"/>
          <w:i w:val="0"/>
          <w:color w:val="auto"/>
          <w:sz w:val="24"/>
          <w:szCs w:val="24"/>
        </w:rPr>
        <w:t xml:space="preserve"> 95(4), 375-387</w:t>
      </w:r>
      <w:r w:rsidR="00A44010" w:rsidRPr="003C17D4">
        <w:rPr>
          <w:rStyle w:val="Bodytext8NotItalic"/>
          <w:rFonts w:ascii="Arial" w:eastAsiaTheme="minorHAnsi" w:hAnsi="Arial" w:cs="Arial"/>
          <w:i w:val="0"/>
          <w:color w:val="auto"/>
          <w:sz w:val="24"/>
          <w:szCs w:val="24"/>
        </w:rPr>
        <w:t>.</w:t>
      </w:r>
      <w:r w:rsidR="00EF061E" w:rsidRPr="003C17D4">
        <w:rPr>
          <w:rStyle w:val="Bodytext8NotItalic"/>
          <w:rFonts w:ascii="Arial" w:eastAsiaTheme="minorHAnsi" w:hAnsi="Arial" w:cs="Arial"/>
          <w:i w:val="0"/>
          <w:color w:val="auto"/>
          <w:sz w:val="24"/>
          <w:szCs w:val="24"/>
        </w:rPr>
        <w:t xml:space="preserve"> </w:t>
      </w:r>
      <w:r w:rsidR="00EF061E" w:rsidRPr="003C17D4">
        <w:rPr>
          <w:rFonts w:ascii="Arial" w:hAnsi="Arial" w:cs="Arial"/>
          <w:sz w:val="24"/>
          <w:szCs w:val="24"/>
          <w:shd w:val="clear" w:color="auto" w:fill="FFFFFF"/>
        </w:rPr>
        <w:t> </w:t>
      </w:r>
      <w:hyperlink r:id="rId15" w:history="1">
        <w:r w:rsidR="00EF061E" w:rsidRPr="003C17D4">
          <w:rPr>
            <w:rStyle w:val="Hyperlink"/>
            <w:rFonts w:ascii="Arial" w:hAnsi="Arial" w:cs="Arial"/>
            <w:bCs/>
            <w:color w:val="auto"/>
            <w:sz w:val="24"/>
            <w:szCs w:val="24"/>
            <w:u w:val="none"/>
          </w:rPr>
          <w:t>https://doi.org/10.1111/geob.12031</w:t>
        </w:r>
      </w:hyperlink>
    </w:p>
    <w:p w:rsidR="00CA29FA" w:rsidRPr="003C17D4" w:rsidRDefault="00CA29FA" w:rsidP="007B78B0">
      <w:pPr>
        <w:ind w:left="567" w:hanging="567"/>
        <w:rPr>
          <w:rFonts w:ascii="Arial" w:hAnsi="Arial" w:cs="Arial"/>
          <w:bCs/>
          <w:sz w:val="24"/>
          <w:szCs w:val="24"/>
        </w:rPr>
      </w:pPr>
      <w:r w:rsidRPr="003C17D4">
        <w:rPr>
          <w:rFonts w:ascii="Arial" w:hAnsi="Arial" w:cs="Arial"/>
          <w:sz w:val="24"/>
          <w:szCs w:val="24"/>
          <w:lang w:val="en-US"/>
        </w:rPr>
        <w:t>Arts, J.</w:t>
      </w:r>
      <w:r w:rsidR="00592849" w:rsidRPr="003C17D4">
        <w:rPr>
          <w:rFonts w:ascii="Arial" w:hAnsi="Arial" w:cs="Arial"/>
          <w:sz w:val="24"/>
          <w:szCs w:val="24"/>
          <w:lang w:val="en-US"/>
        </w:rPr>
        <w:t>.,</w:t>
      </w:r>
      <w:r w:rsidRPr="003C17D4">
        <w:rPr>
          <w:rFonts w:ascii="Arial" w:hAnsi="Arial" w:cs="Arial"/>
          <w:sz w:val="24"/>
          <w:szCs w:val="24"/>
          <w:lang w:val="en-US"/>
        </w:rPr>
        <w:t xml:space="preserve"> Runhaar, H.</w:t>
      </w:r>
      <w:r w:rsidR="00592849" w:rsidRPr="003C17D4">
        <w:rPr>
          <w:rFonts w:ascii="Arial" w:hAnsi="Arial" w:cs="Arial"/>
          <w:sz w:val="24"/>
          <w:szCs w:val="24"/>
          <w:lang w:val="en-US"/>
        </w:rPr>
        <w:t>,</w:t>
      </w:r>
      <w:r w:rsidRPr="003C17D4">
        <w:rPr>
          <w:rFonts w:ascii="Arial" w:hAnsi="Arial" w:cs="Arial"/>
          <w:sz w:val="24"/>
          <w:szCs w:val="24"/>
          <w:lang w:val="en-US"/>
        </w:rPr>
        <w:t xml:space="preserve"> Fischer, T. B.</w:t>
      </w:r>
      <w:r w:rsidR="00592849" w:rsidRPr="003C17D4">
        <w:rPr>
          <w:rFonts w:ascii="Arial" w:hAnsi="Arial" w:cs="Arial"/>
          <w:sz w:val="24"/>
          <w:szCs w:val="24"/>
          <w:lang w:val="en-US"/>
        </w:rPr>
        <w:t>,</w:t>
      </w:r>
      <w:r w:rsidRPr="003C17D4">
        <w:rPr>
          <w:rFonts w:ascii="Arial" w:hAnsi="Arial" w:cs="Arial"/>
          <w:sz w:val="24"/>
          <w:szCs w:val="24"/>
          <w:lang w:val="en-US"/>
        </w:rPr>
        <w:t xml:space="preserve"> Jha-Thakur, U</w:t>
      </w:r>
      <w:r w:rsidR="00592849" w:rsidRPr="003C17D4">
        <w:rPr>
          <w:rFonts w:ascii="Arial" w:hAnsi="Arial" w:cs="Arial"/>
          <w:sz w:val="24"/>
          <w:szCs w:val="24"/>
          <w:lang w:val="en-US"/>
        </w:rPr>
        <w:t>.,</w:t>
      </w:r>
      <w:r w:rsidRPr="003C17D4">
        <w:rPr>
          <w:rFonts w:ascii="Arial" w:hAnsi="Arial" w:cs="Arial"/>
          <w:sz w:val="24"/>
          <w:szCs w:val="24"/>
          <w:lang w:val="en-US"/>
        </w:rPr>
        <w:t xml:space="preserve"> van Laerhoven, F.</w:t>
      </w:r>
      <w:r w:rsidR="00592849" w:rsidRPr="003C17D4">
        <w:rPr>
          <w:rFonts w:ascii="Arial" w:hAnsi="Arial" w:cs="Arial"/>
          <w:sz w:val="24"/>
          <w:szCs w:val="24"/>
          <w:lang w:val="en-US"/>
        </w:rPr>
        <w:t>,</w:t>
      </w:r>
      <w:r w:rsidRPr="003C17D4">
        <w:rPr>
          <w:rFonts w:ascii="Arial" w:hAnsi="Arial" w:cs="Arial"/>
          <w:sz w:val="24"/>
          <w:szCs w:val="24"/>
          <w:lang w:val="en-US"/>
        </w:rPr>
        <w:t xml:space="preserve"> Driessen, P</w:t>
      </w:r>
      <w:r w:rsidR="00592849" w:rsidRPr="003C17D4">
        <w:rPr>
          <w:rFonts w:ascii="Arial" w:hAnsi="Arial" w:cs="Arial"/>
          <w:sz w:val="24"/>
          <w:szCs w:val="24"/>
          <w:lang w:val="en-US"/>
        </w:rPr>
        <w:t>.,</w:t>
      </w:r>
      <w:r w:rsidR="00592849" w:rsidRPr="003C17D4">
        <w:rPr>
          <w:rFonts w:ascii="Arial" w:hAnsi="Arial" w:cs="Arial"/>
          <w:sz w:val="24"/>
          <w:szCs w:val="24"/>
        </w:rPr>
        <w:t>&amp;</w:t>
      </w:r>
      <w:r w:rsidRPr="003C17D4">
        <w:rPr>
          <w:rFonts w:ascii="Arial" w:hAnsi="Arial" w:cs="Arial"/>
          <w:sz w:val="24"/>
          <w:szCs w:val="24"/>
        </w:rPr>
        <w:t xml:space="preserve"> Onyango, V. </w:t>
      </w:r>
      <w:r w:rsidR="00592849" w:rsidRPr="003C17D4">
        <w:rPr>
          <w:rFonts w:ascii="Arial" w:hAnsi="Arial" w:cs="Arial"/>
          <w:sz w:val="24"/>
          <w:szCs w:val="24"/>
        </w:rPr>
        <w:t>(</w:t>
      </w:r>
      <w:r w:rsidRPr="003C17D4">
        <w:rPr>
          <w:rFonts w:ascii="Arial" w:hAnsi="Arial" w:cs="Arial"/>
          <w:sz w:val="24"/>
          <w:szCs w:val="24"/>
        </w:rPr>
        <w:t>2012</w:t>
      </w:r>
      <w:r w:rsidR="00592849" w:rsidRPr="003C17D4">
        <w:rPr>
          <w:rFonts w:ascii="Arial" w:hAnsi="Arial" w:cs="Arial"/>
          <w:sz w:val="24"/>
          <w:szCs w:val="24"/>
        </w:rPr>
        <w:t>)</w:t>
      </w:r>
      <w:r w:rsidRPr="003C17D4">
        <w:rPr>
          <w:rFonts w:ascii="Arial" w:hAnsi="Arial" w:cs="Arial"/>
          <w:sz w:val="24"/>
          <w:szCs w:val="24"/>
        </w:rPr>
        <w:t>. The Effectiveness of EIA as an Instrument for Environmental Governance – A Comparison of the Netherlands and the UK</w:t>
      </w:r>
      <w:r w:rsidR="00B615B3"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bCs/>
          <w:i/>
          <w:sz w:val="24"/>
          <w:szCs w:val="24"/>
        </w:rPr>
        <w:t xml:space="preserve">Journal of Environmental Assessment Policy and Management, </w:t>
      </w:r>
      <w:r w:rsidRPr="003C17D4">
        <w:rPr>
          <w:rFonts w:ascii="Arial" w:hAnsi="Arial" w:cs="Arial"/>
          <w:bCs/>
          <w:sz w:val="24"/>
          <w:szCs w:val="24"/>
        </w:rPr>
        <w:t>14(4)</w:t>
      </w:r>
      <w:r w:rsidR="00592849" w:rsidRPr="003C17D4">
        <w:rPr>
          <w:rFonts w:ascii="Arial" w:hAnsi="Arial" w:cs="Arial"/>
          <w:bCs/>
          <w:sz w:val="24"/>
          <w:szCs w:val="24"/>
        </w:rPr>
        <w:t xml:space="preserve">, </w:t>
      </w:r>
      <w:r w:rsidRPr="003C17D4">
        <w:rPr>
          <w:rFonts w:ascii="Arial" w:hAnsi="Arial" w:cs="Arial"/>
          <w:bCs/>
          <w:sz w:val="24"/>
          <w:szCs w:val="24"/>
        </w:rPr>
        <w:t>1-40.</w:t>
      </w:r>
      <w:r w:rsidR="007B78B0" w:rsidRPr="003C17D4">
        <w:rPr>
          <w:rFonts w:ascii="Arial" w:hAnsi="Arial" w:cs="Arial"/>
          <w:bCs/>
          <w:sz w:val="24"/>
          <w:szCs w:val="24"/>
        </w:rPr>
        <w:t xml:space="preserve"> </w:t>
      </w:r>
      <w:hyperlink r:id="rId16" w:history="1">
        <w:r w:rsidR="007B78B0" w:rsidRPr="003C17D4">
          <w:rPr>
            <w:rStyle w:val="Hyperlink"/>
            <w:rFonts w:ascii="Arial" w:hAnsi="Arial" w:cs="Arial"/>
            <w:color w:val="auto"/>
            <w:sz w:val="24"/>
            <w:szCs w:val="24"/>
            <w:u w:val="none"/>
            <w:shd w:val="clear" w:color="auto" w:fill="FFFFFF"/>
          </w:rPr>
          <w:t>https://doi.org/10.1142/9781783268382_0009</w:t>
        </w:r>
      </w:hyperlink>
    </w:p>
    <w:p w:rsidR="0060106B" w:rsidRPr="003C17D4" w:rsidRDefault="008134A3" w:rsidP="00E32DF7">
      <w:pPr>
        <w:ind w:left="567" w:hanging="567"/>
        <w:rPr>
          <w:rFonts w:ascii="Arial" w:hAnsi="Arial" w:cs="Arial"/>
          <w:bCs/>
          <w:sz w:val="24"/>
          <w:szCs w:val="24"/>
        </w:rPr>
      </w:pPr>
      <w:r w:rsidRPr="003C17D4">
        <w:rPr>
          <w:rFonts w:ascii="Arial" w:hAnsi="Arial" w:cs="Arial"/>
          <w:sz w:val="24"/>
          <w:szCs w:val="24"/>
        </w:rPr>
        <w:t>Balaban, O. (2012) The negative effects of construction boom on urban planning and environment in Turkey: unravelling the role of the public sector</w:t>
      </w:r>
      <w:r w:rsidR="00B615B3"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Habitat International</w:t>
      </w:r>
      <w:r w:rsidRPr="003C17D4">
        <w:rPr>
          <w:rFonts w:ascii="Arial" w:hAnsi="Arial" w:cs="Arial"/>
          <w:sz w:val="24"/>
          <w:szCs w:val="24"/>
        </w:rPr>
        <w:t xml:space="preserve"> 36(1), 26-35.</w:t>
      </w:r>
      <w:r w:rsidR="007B78B0" w:rsidRPr="003C17D4">
        <w:rPr>
          <w:rFonts w:ascii="Arial" w:hAnsi="Arial" w:cs="Arial"/>
          <w:sz w:val="24"/>
          <w:szCs w:val="24"/>
        </w:rPr>
        <w:t xml:space="preserve"> </w:t>
      </w:r>
      <w:hyperlink r:id="rId17" w:tgtFrame="_blank" w:tooltip="Persistent link using digital object identifier" w:history="1">
        <w:r w:rsidR="007B78B0" w:rsidRPr="003C17D4">
          <w:rPr>
            <w:rStyle w:val="Hyperlink"/>
            <w:rFonts w:ascii="Arial" w:hAnsi="Arial" w:cs="Arial"/>
            <w:color w:val="auto"/>
            <w:sz w:val="24"/>
            <w:szCs w:val="24"/>
            <w:u w:val="none"/>
          </w:rPr>
          <w:t>https://doi.org/10.1016/j.habitatint.2011.05.003</w:t>
        </w:r>
      </w:hyperlink>
    </w:p>
    <w:p w:rsidR="005A4FE3" w:rsidRPr="003C17D4" w:rsidRDefault="00CA29FA" w:rsidP="001B033D">
      <w:pPr>
        <w:ind w:left="567" w:hanging="567"/>
        <w:rPr>
          <w:rStyle w:val="Bodytext8NotItalic"/>
          <w:rFonts w:ascii="Arial" w:eastAsiaTheme="minorHAnsi" w:hAnsi="Arial" w:cs="Arial"/>
          <w:i w:val="0"/>
          <w:color w:val="auto"/>
          <w:sz w:val="24"/>
          <w:szCs w:val="24"/>
        </w:rPr>
      </w:pPr>
      <w:r w:rsidRPr="003C17D4">
        <w:rPr>
          <w:rFonts w:ascii="Arial" w:hAnsi="Arial" w:cs="Arial"/>
          <w:bCs/>
          <w:sz w:val="24"/>
          <w:szCs w:val="24"/>
        </w:rPr>
        <w:t>B</w:t>
      </w:r>
      <w:r w:rsidR="00DA7812" w:rsidRPr="003C17D4">
        <w:rPr>
          <w:rFonts w:ascii="Arial" w:hAnsi="Arial" w:cs="Arial"/>
          <w:sz w:val="24"/>
          <w:szCs w:val="24"/>
        </w:rPr>
        <w:t xml:space="preserve">arnes, J.H., Hayes, E.T., Chatterton, T.J. </w:t>
      </w:r>
      <w:r w:rsidR="00A44010" w:rsidRPr="003C17D4">
        <w:rPr>
          <w:rFonts w:ascii="Arial" w:hAnsi="Arial" w:cs="Arial"/>
          <w:sz w:val="24"/>
          <w:szCs w:val="24"/>
        </w:rPr>
        <w:t>&amp;</w:t>
      </w:r>
      <w:r w:rsidR="00DA7812" w:rsidRPr="003C17D4">
        <w:rPr>
          <w:rFonts w:ascii="Arial" w:hAnsi="Arial" w:cs="Arial"/>
          <w:sz w:val="24"/>
          <w:szCs w:val="24"/>
        </w:rPr>
        <w:t xml:space="preserve"> Longhurst, J.W.S</w:t>
      </w:r>
      <w:r w:rsidR="005F26FD" w:rsidRPr="003C17D4">
        <w:rPr>
          <w:rFonts w:ascii="Arial" w:hAnsi="Arial" w:cs="Arial"/>
          <w:sz w:val="24"/>
          <w:szCs w:val="24"/>
        </w:rPr>
        <w:t xml:space="preserve"> (</w:t>
      </w:r>
      <w:r w:rsidR="00DA7812" w:rsidRPr="003C17D4">
        <w:rPr>
          <w:rFonts w:ascii="Arial" w:hAnsi="Arial" w:cs="Arial"/>
          <w:sz w:val="24"/>
          <w:szCs w:val="24"/>
        </w:rPr>
        <w:t>2018</w:t>
      </w:r>
      <w:r w:rsidR="005F26FD" w:rsidRPr="003C17D4">
        <w:rPr>
          <w:rFonts w:ascii="Arial" w:hAnsi="Arial" w:cs="Arial"/>
          <w:sz w:val="24"/>
          <w:szCs w:val="24"/>
        </w:rPr>
        <w:t>)</w:t>
      </w:r>
      <w:r w:rsidR="00592849" w:rsidRPr="003C17D4">
        <w:rPr>
          <w:rFonts w:ascii="Arial" w:hAnsi="Arial" w:cs="Arial"/>
          <w:sz w:val="24"/>
          <w:szCs w:val="24"/>
        </w:rPr>
        <w:t xml:space="preserve">. </w:t>
      </w:r>
      <w:r w:rsidR="00DA7812" w:rsidRPr="003C17D4">
        <w:rPr>
          <w:rFonts w:ascii="Arial" w:hAnsi="Arial" w:cs="Arial"/>
          <w:sz w:val="24"/>
          <w:szCs w:val="24"/>
        </w:rPr>
        <w:t>Policy disconnect: A critical review of UK air quality policy in relation to EU and LAQM responsibilities over the last 20 years</w:t>
      </w:r>
      <w:r w:rsidR="00B615B3" w:rsidRPr="003C17D4">
        <w:rPr>
          <w:rFonts w:ascii="Arial" w:hAnsi="Arial" w:cs="Arial"/>
          <w:sz w:val="24"/>
          <w:szCs w:val="24"/>
        </w:rPr>
        <w:t>.</w:t>
      </w:r>
      <w:r w:rsidR="00CE528C" w:rsidRPr="003C17D4">
        <w:rPr>
          <w:rFonts w:ascii="Arial" w:hAnsi="Arial" w:cs="Arial"/>
          <w:sz w:val="24"/>
          <w:szCs w:val="24"/>
        </w:rPr>
        <w:t xml:space="preserve"> </w:t>
      </w:r>
      <w:r w:rsidR="00DA7812" w:rsidRPr="003C17D4">
        <w:rPr>
          <w:rFonts w:ascii="Arial" w:hAnsi="Arial" w:cs="Arial"/>
          <w:i/>
          <w:sz w:val="24"/>
          <w:szCs w:val="24"/>
        </w:rPr>
        <w:t xml:space="preserve">Environmental </w:t>
      </w:r>
      <w:r w:rsidR="005F26FD" w:rsidRPr="003C17D4">
        <w:rPr>
          <w:rFonts w:ascii="Arial" w:hAnsi="Arial" w:cs="Arial"/>
          <w:i/>
          <w:sz w:val="24"/>
          <w:szCs w:val="24"/>
        </w:rPr>
        <w:t>S</w:t>
      </w:r>
      <w:r w:rsidR="00DA7812" w:rsidRPr="003C17D4">
        <w:rPr>
          <w:rFonts w:ascii="Arial" w:hAnsi="Arial" w:cs="Arial"/>
          <w:i/>
          <w:sz w:val="24"/>
          <w:szCs w:val="24"/>
        </w:rPr>
        <w:t xml:space="preserve">cience </w:t>
      </w:r>
      <w:r w:rsidR="005F26FD" w:rsidRPr="003C17D4">
        <w:rPr>
          <w:rFonts w:ascii="Arial" w:hAnsi="Arial" w:cs="Arial"/>
          <w:i/>
          <w:sz w:val="24"/>
          <w:szCs w:val="24"/>
        </w:rPr>
        <w:t>and</w:t>
      </w:r>
      <w:r w:rsidR="00CE528C" w:rsidRPr="003C17D4">
        <w:rPr>
          <w:rFonts w:ascii="Arial" w:hAnsi="Arial" w:cs="Arial"/>
          <w:i/>
          <w:sz w:val="24"/>
          <w:szCs w:val="24"/>
        </w:rPr>
        <w:t xml:space="preserve"> </w:t>
      </w:r>
      <w:r w:rsidR="005F26FD" w:rsidRPr="003C17D4">
        <w:rPr>
          <w:rFonts w:ascii="Arial" w:hAnsi="Arial" w:cs="Arial"/>
          <w:i/>
          <w:sz w:val="24"/>
          <w:szCs w:val="24"/>
        </w:rPr>
        <w:t>P</w:t>
      </w:r>
      <w:r w:rsidR="00DA7812" w:rsidRPr="003C17D4">
        <w:rPr>
          <w:rFonts w:ascii="Arial" w:hAnsi="Arial" w:cs="Arial"/>
          <w:i/>
          <w:sz w:val="24"/>
          <w:szCs w:val="24"/>
        </w:rPr>
        <w:t>olicy</w:t>
      </w:r>
      <w:r w:rsidR="00DA7812" w:rsidRPr="003C17D4">
        <w:rPr>
          <w:rFonts w:ascii="Arial" w:hAnsi="Arial" w:cs="Arial"/>
          <w:sz w:val="24"/>
          <w:szCs w:val="24"/>
        </w:rPr>
        <w:t>, 85, 28-39.</w:t>
      </w:r>
      <w:r w:rsidR="007B78B0" w:rsidRPr="003C17D4">
        <w:rPr>
          <w:rFonts w:ascii="Arial" w:hAnsi="Arial" w:cs="Arial"/>
          <w:sz w:val="24"/>
          <w:szCs w:val="24"/>
        </w:rPr>
        <w:t xml:space="preserve"> </w:t>
      </w:r>
      <w:hyperlink r:id="rId18" w:tgtFrame="_blank" w:tooltip="Persistent link using digital object identifier" w:history="1">
        <w:r w:rsidR="007B78B0" w:rsidRPr="003C17D4">
          <w:rPr>
            <w:rStyle w:val="Hyperlink"/>
            <w:rFonts w:ascii="Arial" w:hAnsi="Arial" w:cs="Arial"/>
            <w:color w:val="auto"/>
            <w:sz w:val="24"/>
            <w:szCs w:val="24"/>
            <w:u w:val="none"/>
          </w:rPr>
          <w:t>https://doi.org/10.1016/j.envsci.2018.03.024</w:t>
        </w:r>
      </w:hyperlink>
    </w:p>
    <w:p w:rsidR="007B78B0" w:rsidRPr="003C17D4" w:rsidRDefault="00EB2FAA" w:rsidP="001B033D">
      <w:pPr>
        <w:ind w:left="567" w:hanging="567"/>
        <w:rPr>
          <w:rFonts w:ascii="Arial" w:hAnsi="Arial" w:cs="Arial"/>
          <w:sz w:val="24"/>
          <w:szCs w:val="24"/>
        </w:rPr>
      </w:pPr>
      <w:r w:rsidRPr="003C17D4">
        <w:rPr>
          <w:rFonts w:ascii="Arial" w:eastAsia="Calibri" w:hAnsi="Arial" w:cs="Arial"/>
          <w:sz w:val="24"/>
          <w:szCs w:val="24"/>
        </w:rPr>
        <w:t>Bishop</w:t>
      </w:r>
      <w:r w:rsidR="00592849" w:rsidRPr="003C17D4">
        <w:rPr>
          <w:rFonts w:ascii="Arial" w:eastAsia="Calibri" w:hAnsi="Arial" w:cs="Arial"/>
          <w:sz w:val="24"/>
          <w:szCs w:val="24"/>
        </w:rPr>
        <w:t>,</w:t>
      </w:r>
      <w:r w:rsidRPr="003C17D4">
        <w:rPr>
          <w:rFonts w:ascii="Arial" w:eastAsia="Calibri" w:hAnsi="Arial" w:cs="Arial"/>
          <w:sz w:val="24"/>
          <w:szCs w:val="24"/>
        </w:rPr>
        <w:t xml:space="preserve"> K</w:t>
      </w:r>
      <w:r w:rsidR="00592849" w:rsidRPr="003C17D4">
        <w:rPr>
          <w:rFonts w:ascii="Arial" w:eastAsia="Calibri" w:hAnsi="Arial" w:cs="Arial"/>
          <w:sz w:val="24"/>
          <w:szCs w:val="24"/>
        </w:rPr>
        <w:t>.</w:t>
      </w:r>
      <w:r w:rsidRPr="003C17D4">
        <w:rPr>
          <w:rFonts w:ascii="Arial" w:eastAsia="Calibri" w:hAnsi="Arial" w:cs="Arial"/>
          <w:sz w:val="24"/>
          <w:szCs w:val="24"/>
        </w:rPr>
        <w:t>, Tewdwr-Jones</w:t>
      </w:r>
      <w:r w:rsidR="00592849" w:rsidRPr="003C17D4">
        <w:rPr>
          <w:rFonts w:ascii="Arial" w:eastAsia="Calibri" w:hAnsi="Arial" w:cs="Arial"/>
          <w:sz w:val="24"/>
          <w:szCs w:val="24"/>
        </w:rPr>
        <w:t>,</w:t>
      </w:r>
      <w:r w:rsidRPr="003C17D4">
        <w:rPr>
          <w:rFonts w:ascii="Arial" w:eastAsia="Calibri" w:hAnsi="Arial" w:cs="Arial"/>
          <w:sz w:val="24"/>
          <w:szCs w:val="24"/>
        </w:rPr>
        <w:t xml:space="preserve"> M</w:t>
      </w:r>
      <w:r w:rsidR="00592849" w:rsidRPr="003C17D4">
        <w:rPr>
          <w:rFonts w:ascii="Arial" w:eastAsia="Calibri" w:hAnsi="Arial" w:cs="Arial"/>
          <w:sz w:val="24"/>
          <w:szCs w:val="24"/>
        </w:rPr>
        <w:t>.</w:t>
      </w:r>
      <w:r w:rsidRPr="003C17D4">
        <w:rPr>
          <w:rFonts w:ascii="Arial" w:eastAsia="Calibri" w:hAnsi="Arial" w:cs="Arial"/>
          <w:sz w:val="24"/>
          <w:szCs w:val="24"/>
        </w:rPr>
        <w:t xml:space="preserve"> </w:t>
      </w:r>
      <w:r w:rsidR="00A44010" w:rsidRPr="003C17D4">
        <w:rPr>
          <w:rFonts w:ascii="Arial" w:eastAsia="Calibri" w:hAnsi="Arial" w:cs="Arial"/>
          <w:sz w:val="24"/>
          <w:szCs w:val="24"/>
        </w:rPr>
        <w:t>&amp;</w:t>
      </w:r>
      <w:r w:rsidRPr="003C17D4">
        <w:rPr>
          <w:rFonts w:ascii="Arial" w:eastAsia="Calibri" w:hAnsi="Arial" w:cs="Arial"/>
          <w:sz w:val="24"/>
          <w:szCs w:val="24"/>
        </w:rPr>
        <w:t xml:space="preserve"> Wilkinson</w:t>
      </w:r>
      <w:r w:rsidR="00592849" w:rsidRPr="003C17D4">
        <w:rPr>
          <w:rFonts w:ascii="Arial" w:eastAsia="Calibri" w:hAnsi="Arial" w:cs="Arial"/>
          <w:sz w:val="24"/>
          <w:szCs w:val="24"/>
        </w:rPr>
        <w:t>,</w:t>
      </w:r>
      <w:r w:rsidRPr="003C17D4">
        <w:rPr>
          <w:rFonts w:ascii="Arial" w:eastAsia="Calibri" w:hAnsi="Arial" w:cs="Arial"/>
          <w:sz w:val="24"/>
          <w:szCs w:val="24"/>
        </w:rPr>
        <w:t xml:space="preserve"> D</w:t>
      </w:r>
      <w:r w:rsidR="00592849" w:rsidRPr="003C17D4">
        <w:rPr>
          <w:rFonts w:ascii="Arial" w:eastAsia="Calibri" w:hAnsi="Arial" w:cs="Arial"/>
          <w:sz w:val="24"/>
          <w:szCs w:val="24"/>
        </w:rPr>
        <w:t>.</w:t>
      </w:r>
      <w:r w:rsidRPr="003C17D4">
        <w:rPr>
          <w:rFonts w:ascii="Arial" w:eastAsia="Calibri" w:hAnsi="Arial" w:cs="Arial"/>
          <w:sz w:val="24"/>
          <w:szCs w:val="24"/>
        </w:rPr>
        <w:t xml:space="preserve"> (2000)</w:t>
      </w:r>
      <w:r w:rsidR="00592849" w:rsidRPr="003C17D4">
        <w:rPr>
          <w:rFonts w:ascii="Arial" w:eastAsia="Calibri" w:hAnsi="Arial" w:cs="Arial"/>
          <w:sz w:val="24"/>
          <w:szCs w:val="24"/>
        </w:rPr>
        <w:t>.</w:t>
      </w:r>
      <w:r w:rsidRPr="003C17D4">
        <w:rPr>
          <w:rFonts w:ascii="Arial" w:eastAsia="Calibri" w:hAnsi="Arial" w:cs="Arial"/>
          <w:sz w:val="24"/>
          <w:szCs w:val="24"/>
        </w:rPr>
        <w:t xml:space="preserve"> From spatial to local: the impact of the European Union on local planning authority planning in the UK</w:t>
      </w:r>
      <w:r w:rsidR="00B615B3" w:rsidRPr="003C17D4">
        <w:rPr>
          <w:rFonts w:ascii="Arial" w:eastAsia="Calibri" w:hAnsi="Arial" w:cs="Arial"/>
          <w:sz w:val="24"/>
          <w:szCs w:val="24"/>
        </w:rPr>
        <w:t>.</w:t>
      </w:r>
      <w:r w:rsidRPr="003C17D4">
        <w:rPr>
          <w:rFonts w:ascii="Arial" w:eastAsia="Calibri" w:hAnsi="Arial" w:cs="Arial"/>
          <w:sz w:val="24"/>
          <w:szCs w:val="24"/>
        </w:rPr>
        <w:t xml:space="preserve"> </w:t>
      </w:r>
      <w:r w:rsidRPr="003C17D4">
        <w:rPr>
          <w:rFonts w:ascii="Arial" w:eastAsia="Calibri" w:hAnsi="Arial" w:cs="Arial"/>
          <w:i/>
          <w:sz w:val="24"/>
          <w:szCs w:val="24"/>
        </w:rPr>
        <w:t>Journal of Environmental Planning and Management</w:t>
      </w:r>
      <w:r w:rsidRPr="003C17D4">
        <w:rPr>
          <w:rFonts w:ascii="Arial" w:eastAsia="Calibri" w:hAnsi="Arial" w:cs="Arial"/>
          <w:sz w:val="24"/>
          <w:szCs w:val="24"/>
        </w:rPr>
        <w:t xml:space="preserve"> 43(3), 309-334.</w:t>
      </w:r>
      <w:r w:rsidR="007B78B0" w:rsidRPr="003C17D4">
        <w:rPr>
          <w:rFonts w:ascii="Arial" w:eastAsia="Calibri" w:hAnsi="Arial" w:cs="Arial"/>
          <w:sz w:val="24"/>
          <w:szCs w:val="24"/>
        </w:rPr>
        <w:t xml:space="preserve"> </w:t>
      </w:r>
      <w:hyperlink r:id="rId19" w:history="1">
        <w:r w:rsidR="007B78B0" w:rsidRPr="003C17D4">
          <w:rPr>
            <w:rStyle w:val="Hyperlink"/>
            <w:rFonts w:ascii="Arial" w:hAnsi="Arial" w:cs="Arial"/>
            <w:color w:val="auto"/>
            <w:sz w:val="24"/>
            <w:szCs w:val="24"/>
            <w:u w:val="none"/>
          </w:rPr>
          <w:t>https://doi.org/10.1080/09640560050010374</w:t>
        </w:r>
      </w:hyperlink>
    </w:p>
    <w:p w:rsidR="000E3C7A" w:rsidRPr="003C17D4" w:rsidRDefault="000E3C7A" w:rsidP="001B033D">
      <w:pPr>
        <w:ind w:left="567" w:hanging="567"/>
        <w:rPr>
          <w:rFonts w:ascii="Arial" w:eastAsia="Calibri" w:hAnsi="Arial" w:cs="Arial"/>
          <w:sz w:val="24"/>
          <w:szCs w:val="24"/>
        </w:rPr>
      </w:pPr>
      <w:r w:rsidRPr="003C17D4">
        <w:rPr>
          <w:rFonts w:ascii="Arial" w:hAnsi="Arial" w:cs="Arial"/>
          <w:sz w:val="24"/>
          <w:szCs w:val="24"/>
        </w:rPr>
        <w:t xml:space="preserve">Boltanski, L. </w:t>
      </w:r>
      <w:r w:rsidR="00A44010" w:rsidRPr="003C17D4">
        <w:rPr>
          <w:rFonts w:ascii="Arial" w:hAnsi="Arial" w:cs="Arial"/>
          <w:sz w:val="24"/>
          <w:szCs w:val="24"/>
        </w:rPr>
        <w:t>&amp;</w:t>
      </w:r>
      <w:r w:rsidRPr="003C17D4">
        <w:rPr>
          <w:rFonts w:ascii="Arial" w:hAnsi="Arial" w:cs="Arial"/>
          <w:sz w:val="24"/>
          <w:szCs w:val="24"/>
        </w:rPr>
        <w:t xml:space="preserve"> Thévenot, L. (2006)</w:t>
      </w:r>
      <w:r w:rsidRPr="003C17D4">
        <w:rPr>
          <w:rFonts w:ascii="Arial" w:hAnsi="Arial" w:cs="Arial"/>
          <w:i/>
          <w:sz w:val="24"/>
          <w:szCs w:val="24"/>
        </w:rPr>
        <w:t xml:space="preserve"> On Justification: Economies of Worth</w:t>
      </w:r>
      <w:r w:rsidRPr="003C17D4">
        <w:rPr>
          <w:rFonts w:ascii="Arial" w:hAnsi="Arial" w:cs="Arial"/>
          <w:sz w:val="24"/>
          <w:szCs w:val="24"/>
        </w:rPr>
        <w:t>. Princeton University Press.</w:t>
      </w:r>
    </w:p>
    <w:p w:rsidR="007B78B0" w:rsidRPr="003C17D4" w:rsidRDefault="001B492F" w:rsidP="001B033D">
      <w:pPr>
        <w:ind w:left="567" w:hanging="567"/>
        <w:rPr>
          <w:rFonts w:ascii="Arial" w:eastAsia="Times New Roman" w:hAnsi="Arial" w:cs="Arial"/>
          <w:sz w:val="24"/>
          <w:szCs w:val="24"/>
          <w:lang w:eastAsia="en-GB"/>
        </w:rPr>
      </w:pPr>
      <w:r w:rsidRPr="003C17D4">
        <w:rPr>
          <w:rFonts w:ascii="Arial" w:eastAsia="Times New Roman" w:hAnsi="Arial" w:cs="Arial"/>
          <w:bCs/>
          <w:kern w:val="36"/>
          <w:sz w:val="24"/>
          <w:szCs w:val="24"/>
          <w:lang w:eastAsia="en-GB"/>
        </w:rPr>
        <w:t>Bond, A. J.</w:t>
      </w:r>
      <w:r w:rsidR="00F04318" w:rsidRPr="003C17D4">
        <w:rPr>
          <w:rFonts w:ascii="Arial" w:eastAsia="Times New Roman" w:hAnsi="Arial" w:cs="Arial"/>
          <w:bCs/>
          <w:kern w:val="36"/>
          <w:sz w:val="24"/>
          <w:szCs w:val="24"/>
          <w:lang w:eastAsia="en-GB"/>
        </w:rPr>
        <w:t>,</w:t>
      </w:r>
      <w:r w:rsidRPr="003C17D4">
        <w:rPr>
          <w:rFonts w:ascii="Arial" w:eastAsia="Times New Roman" w:hAnsi="Arial" w:cs="Arial"/>
          <w:bCs/>
          <w:kern w:val="36"/>
          <w:sz w:val="24"/>
          <w:szCs w:val="24"/>
          <w:lang w:eastAsia="en-GB"/>
        </w:rPr>
        <w:t xml:space="preserve"> Fundingsland, M</w:t>
      </w:r>
      <w:r w:rsidR="00592849" w:rsidRPr="003C17D4">
        <w:rPr>
          <w:rFonts w:ascii="Arial" w:eastAsia="Times New Roman" w:hAnsi="Arial" w:cs="Arial"/>
          <w:bCs/>
          <w:kern w:val="36"/>
          <w:sz w:val="24"/>
          <w:szCs w:val="24"/>
          <w:lang w:eastAsia="en-GB"/>
        </w:rPr>
        <w:t xml:space="preserve">. </w:t>
      </w:r>
      <w:r w:rsidR="00A44010" w:rsidRPr="003C17D4">
        <w:rPr>
          <w:rFonts w:ascii="Arial" w:eastAsia="Times New Roman" w:hAnsi="Arial" w:cs="Arial"/>
          <w:bCs/>
          <w:kern w:val="36"/>
          <w:sz w:val="24"/>
          <w:szCs w:val="24"/>
          <w:lang w:eastAsia="en-GB"/>
        </w:rPr>
        <w:t>&amp;</w:t>
      </w:r>
      <w:r w:rsidRPr="003C17D4">
        <w:rPr>
          <w:rFonts w:ascii="Arial" w:eastAsia="Times New Roman" w:hAnsi="Arial" w:cs="Arial"/>
          <w:bCs/>
          <w:kern w:val="36"/>
          <w:sz w:val="24"/>
          <w:szCs w:val="24"/>
          <w:lang w:eastAsia="en-GB"/>
        </w:rPr>
        <w:t xml:space="preserve"> Tromans, S. </w:t>
      </w:r>
      <w:r w:rsidR="005F26FD" w:rsidRPr="003C17D4">
        <w:rPr>
          <w:rFonts w:ascii="Arial" w:eastAsia="Times New Roman" w:hAnsi="Arial" w:cs="Arial"/>
          <w:bCs/>
          <w:kern w:val="36"/>
          <w:sz w:val="24"/>
          <w:szCs w:val="24"/>
          <w:lang w:eastAsia="en-GB"/>
        </w:rPr>
        <w:t>(</w:t>
      </w:r>
      <w:r w:rsidRPr="003C17D4">
        <w:rPr>
          <w:rFonts w:ascii="Arial" w:eastAsia="Times New Roman" w:hAnsi="Arial" w:cs="Arial"/>
          <w:bCs/>
          <w:kern w:val="36"/>
          <w:sz w:val="24"/>
          <w:szCs w:val="24"/>
          <w:lang w:eastAsia="en-GB"/>
        </w:rPr>
        <w:t>2016</w:t>
      </w:r>
      <w:r w:rsidR="005F26FD" w:rsidRPr="003C17D4">
        <w:rPr>
          <w:rFonts w:ascii="Arial" w:eastAsia="Times New Roman" w:hAnsi="Arial" w:cs="Arial"/>
          <w:bCs/>
          <w:kern w:val="36"/>
          <w:sz w:val="24"/>
          <w:szCs w:val="24"/>
          <w:lang w:eastAsia="en-GB"/>
        </w:rPr>
        <w:t>)</w:t>
      </w:r>
      <w:r w:rsidR="00592849" w:rsidRPr="003C17D4">
        <w:rPr>
          <w:rFonts w:ascii="Arial" w:eastAsia="Times New Roman" w:hAnsi="Arial" w:cs="Arial"/>
          <w:bCs/>
          <w:kern w:val="36"/>
          <w:sz w:val="24"/>
          <w:szCs w:val="24"/>
          <w:lang w:eastAsia="en-GB"/>
        </w:rPr>
        <w:t xml:space="preserve">. </w:t>
      </w:r>
      <w:r w:rsidRPr="003C17D4">
        <w:rPr>
          <w:rFonts w:ascii="Arial" w:eastAsia="Times New Roman" w:hAnsi="Arial" w:cs="Arial"/>
          <w:bCs/>
          <w:kern w:val="36"/>
          <w:sz w:val="24"/>
          <w:szCs w:val="24"/>
          <w:lang w:eastAsia="en-GB"/>
        </w:rPr>
        <w:t>Environmental impact assessment and strategic environmental assessment in the UK after leaving the European Union</w:t>
      </w:r>
      <w:r w:rsidR="00B615B3" w:rsidRPr="003C17D4">
        <w:rPr>
          <w:rFonts w:ascii="Arial" w:eastAsia="Times New Roman" w:hAnsi="Arial" w:cs="Arial"/>
          <w:bCs/>
          <w:kern w:val="36"/>
          <w:sz w:val="24"/>
          <w:szCs w:val="24"/>
          <w:lang w:eastAsia="en-GB"/>
        </w:rPr>
        <w:t>.</w:t>
      </w:r>
      <w:r w:rsidR="00CE528C" w:rsidRPr="003C17D4">
        <w:rPr>
          <w:rFonts w:ascii="Arial" w:eastAsia="Times New Roman" w:hAnsi="Arial" w:cs="Arial"/>
          <w:bCs/>
          <w:kern w:val="36"/>
          <w:sz w:val="24"/>
          <w:szCs w:val="24"/>
          <w:lang w:eastAsia="en-GB"/>
        </w:rPr>
        <w:t xml:space="preserve"> </w:t>
      </w:r>
      <w:r w:rsidRPr="003C17D4">
        <w:rPr>
          <w:rFonts w:ascii="Arial" w:eastAsia="Times New Roman" w:hAnsi="Arial" w:cs="Arial"/>
          <w:bCs/>
          <w:i/>
          <w:kern w:val="36"/>
          <w:sz w:val="24"/>
          <w:szCs w:val="24"/>
          <w:lang w:eastAsia="en-GB"/>
        </w:rPr>
        <w:t>Impact Assessment and Project Appraisal</w:t>
      </w:r>
      <w:r w:rsidRPr="003C17D4">
        <w:rPr>
          <w:rFonts w:ascii="Arial" w:eastAsia="Times New Roman" w:hAnsi="Arial" w:cs="Arial"/>
          <w:bCs/>
          <w:kern w:val="36"/>
          <w:sz w:val="24"/>
          <w:szCs w:val="24"/>
          <w:lang w:eastAsia="en-GB"/>
        </w:rPr>
        <w:t>, 34(3): 271-274</w:t>
      </w:r>
      <w:r w:rsidR="007B78B0" w:rsidRPr="003C17D4">
        <w:rPr>
          <w:rFonts w:ascii="Arial" w:eastAsia="Times New Roman" w:hAnsi="Arial" w:cs="Arial"/>
          <w:bCs/>
          <w:kern w:val="36"/>
          <w:sz w:val="24"/>
          <w:szCs w:val="24"/>
          <w:lang w:eastAsia="en-GB"/>
        </w:rPr>
        <w:t xml:space="preserve">. </w:t>
      </w:r>
      <w:hyperlink r:id="rId20" w:history="1">
        <w:r w:rsidR="007B78B0" w:rsidRPr="003C17D4">
          <w:rPr>
            <w:rFonts w:ascii="Arial" w:eastAsia="Times New Roman" w:hAnsi="Arial" w:cs="Arial"/>
            <w:sz w:val="24"/>
            <w:szCs w:val="24"/>
            <w:lang w:eastAsia="en-GB"/>
          </w:rPr>
          <w:t>https://doi.org/10.1080/14615517.2016.1211455</w:t>
        </w:r>
      </w:hyperlink>
    </w:p>
    <w:p w:rsidR="0095773B" w:rsidRPr="003C17D4" w:rsidRDefault="00DA7812" w:rsidP="007B78B0">
      <w:pPr>
        <w:ind w:left="567" w:hanging="567"/>
        <w:rPr>
          <w:rStyle w:val="Bodytext8NotItalic"/>
          <w:rFonts w:ascii="Arial" w:eastAsiaTheme="minorHAnsi" w:hAnsi="Arial" w:cs="Arial"/>
          <w:i w:val="0"/>
          <w:color w:val="auto"/>
          <w:sz w:val="24"/>
          <w:szCs w:val="24"/>
        </w:rPr>
      </w:pPr>
      <w:r w:rsidRPr="003C17D4">
        <w:rPr>
          <w:rFonts w:ascii="Arial" w:hAnsi="Arial" w:cs="Arial"/>
          <w:sz w:val="24"/>
          <w:szCs w:val="24"/>
        </w:rPr>
        <w:t>Booth, P.</w:t>
      </w:r>
      <w:r w:rsidR="005F26FD" w:rsidRPr="003C17D4">
        <w:rPr>
          <w:rFonts w:ascii="Arial" w:hAnsi="Arial" w:cs="Arial"/>
          <w:sz w:val="24"/>
          <w:szCs w:val="24"/>
        </w:rPr>
        <w:t xml:space="preserve"> (</w:t>
      </w:r>
      <w:r w:rsidRPr="003C17D4">
        <w:rPr>
          <w:rFonts w:ascii="Arial" w:hAnsi="Arial" w:cs="Arial"/>
          <w:sz w:val="24"/>
          <w:szCs w:val="24"/>
        </w:rPr>
        <w:t>2007</w:t>
      </w:r>
      <w:r w:rsidR="005F26FD" w:rsidRPr="003C17D4">
        <w:rPr>
          <w:rFonts w:ascii="Arial" w:hAnsi="Arial" w:cs="Arial"/>
          <w:sz w:val="24"/>
          <w:szCs w:val="24"/>
        </w:rPr>
        <w:t>)</w:t>
      </w:r>
      <w:r w:rsidR="00592849" w:rsidRPr="003C17D4">
        <w:rPr>
          <w:rFonts w:ascii="Arial" w:hAnsi="Arial" w:cs="Arial"/>
          <w:sz w:val="24"/>
          <w:szCs w:val="24"/>
        </w:rPr>
        <w:t>.</w:t>
      </w:r>
      <w:r w:rsidR="005F26FD" w:rsidRPr="003C17D4">
        <w:rPr>
          <w:rFonts w:ascii="Arial" w:hAnsi="Arial" w:cs="Arial"/>
          <w:sz w:val="24"/>
          <w:szCs w:val="24"/>
        </w:rPr>
        <w:t xml:space="preserve"> </w:t>
      </w:r>
      <w:r w:rsidRPr="003C17D4">
        <w:rPr>
          <w:rFonts w:ascii="Arial" w:hAnsi="Arial" w:cs="Arial"/>
          <w:sz w:val="24"/>
          <w:szCs w:val="24"/>
        </w:rPr>
        <w:t>The control of discretion: planning and the common-law tradition</w:t>
      </w:r>
      <w:r w:rsidR="00B615B3" w:rsidRPr="003C17D4">
        <w:rPr>
          <w:rFonts w:ascii="Arial" w:hAnsi="Arial" w:cs="Arial"/>
          <w:sz w:val="24"/>
          <w:szCs w:val="24"/>
        </w:rPr>
        <w:t>.</w:t>
      </w:r>
      <w:r w:rsidRPr="003C17D4">
        <w:rPr>
          <w:rFonts w:ascii="Arial" w:hAnsi="Arial" w:cs="Arial"/>
          <w:sz w:val="24"/>
          <w:szCs w:val="24"/>
        </w:rPr>
        <w:t xml:space="preserve"> </w:t>
      </w:r>
      <w:r w:rsidR="008134A3" w:rsidRPr="003C17D4">
        <w:rPr>
          <w:rFonts w:ascii="Arial" w:hAnsi="Arial" w:cs="Arial"/>
          <w:i/>
          <w:sz w:val="24"/>
          <w:szCs w:val="24"/>
        </w:rPr>
        <w:t>Planning Theory</w:t>
      </w:r>
      <w:r w:rsidRPr="003C17D4">
        <w:rPr>
          <w:rFonts w:ascii="Arial" w:hAnsi="Arial" w:cs="Arial"/>
          <w:sz w:val="24"/>
          <w:szCs w:val="24"/>
        </w:rPr>
        <w:t>, 6(2), 127-145</w:t>
      </w:r>
      <w:r w:rsidR="00A44010" w:rsidRPr="003C17D4">
        <w:rPr>
          <w:rFonts w:ascii="Arial" w:hAnsi="Arial" w:cs="Arial"/>
          <w:sz w:val="24"/>
          <w:szCs w:val="24"/>
        </w:rPr>
        <w:t>.</w:t>
      </w:r>
      <w:r w:rsidR="001B033D" w:rsidRPr="003C17D4">
        <w:rPr>
          <w:rFonts w:ascii="Arial" w:hAnsi="Arial" w:cs="Arial"/>
          <w:sz w:val="24"/>
          <w:szCs w:val="24"/>
        </w:rPr>
        <w:t xml:space="preserve"> </w:t>
      </w:r>
      <w:hyperlink r:id="rId21" w:history="1">
        <w:r w:rsidR="001B033D" w:rsidRPr="003C17D4">
          <w:rPr>
            <w:rStyle w:val="Hyperlink"/>
            <w:rFonts w:ascii="Arial" w:hAnsi="Arial" w:cs="Arial"/>
            <w:color w:val="auto"/>
            <w:sz w:val="24"/>
            <w:szCs w:val="24"/>
            <w:u w:val="none"/>
            <w:shd w:val="clear" w:color="auto" w:fill="FFFFFF"/>
          </w:rPr>
          <w:t>https://doi.org/10.1177/1473095207077585</w:t>
        </w:r>
      </w:hyperlink>
    </w:p>
    <w:p w:rsidR="00487B7B" w:rsidRPr="003C17D4" w:rsidRDefault="00E32DF7" w:rsidP="007B78B0">
      <w:pPr>
        <w:ind w:left="567" w:hanging="567"/>
        <w:rPr>
          <w:rFonts w:ascii="Arial" w:hAnsi="Arial" w:cs="Arial"/>
          <w:sz w:val="24"/>
          <w:szCs w:val="24"/>
        </w:rPr>
      </w:pPr>
      <w:r w:rsidRPr="003C17D4">
        <w:rPr>
          <w:rFonts w:ascii="Arial" w:hAnsi="Arial" w:cs="Arial"/>
          <w:sz w:val="24"/>
          <w:szCs w:val="24"/>
        </w:rPr>
        <w:t>Burns</w:t>
      </w:r>
      <w:r w:rsidR="00592849" w:rsidRPr="003C17D4">
        <w:rPr>
          <w:rFonts w:ascii="Arial" w:hAnsi="Arial" w:cs="Arial"/>
          <w:sz w:val="24"/>
          <w:szCs w:val="24"/>
        </w:rPr>
        <w:t>,</w:t>
      </w:r>
      <w:r w:rsidRPr="003C17D4">
        <w:rPr>
          <w:rFonts w:ascii="Arial" w:hAnsi="Arial" w:cs="Arial"/>
          <w:sz w:val="24"/>
          <w:szCs w:val="24"/>
        </w:rPr>
        <w:t xml:space="preserve"> C</w:t>
      </w:r>
      <w:r w:rsidR="00592849" w:rsidRPr="003C17D4">
        <w:rPr>
          <w:rFonts w:ascii="Arial" w:hAnsi="Arial" w:cs="Arial"/>
          <w:sz w:val="24"/>
          <w:szCs w:val="24"/>
        </w:rPr>
        <w:t>.</w:t>
      </w:r>
      <w:r w:rsidRPr="003C17D4">
        <w:rPr>
          <w:rFonts w:ascii="Arial" w:hAnsi="Arial" w:cs="Arial"/>
          <w:sz w:val="24"/>
          <w:szCs w:val="24"/>
        </w:rPr>
        <w:t>, Jordan</w:t>
      </w:r>
      <w:r w:rsidR="00592849" w:rsidRPr="003C17D4">
        <w:rPr>
          <w:rFonts w:ascii="Arial" w:hAnsi="Arial" w:cs="Arial"/>
          <w:sz w:val="24"/>
          <w:szCs w:val="24"/>
        </w:rPr>
        <w:t>,</w:t>
      </w:r>
      <w:r w:rsidRPr="003C17D4">
        <w:rPr>
          <w:rFonts w:ascii="Arial" w:hAnsi="Arial" w:cs="Arial"/>
          <w:sz w:val="24"/>
          <w:szCs w:val="24"/>
        </w:rPr>
        <w:t xml:space="preserve"> A</w:t>
      </w:r>
      <w:r w:rsidR="00592849" w:rsidRPr="003C17D4">
        <w:rPr>
          <w:rFonts w:ascii="Arial" w:hAnsi="Arial" w:cs="Arial"/>
          <w:sz w:val="24"/>
          <w:szCs w:val="24"/>
        </w:rPr>
        <w:t>.</w:t>
      </w:r>
      <w:r w:rsidRPr="003C17D4">
        <w:rPr>
          <w:rFonts w:ascii="Arial" w:hAnsi="Arial" w:cs="Arial"/>
          <w:sz w:val="24"/>
          <w:szCs w:val="24"/>
        </w:rPr>
        <w:t>, Gravey</w:t>
      </w:r>
      <w:r w:rsidR="00592849" w:rsidRPr="003C17D4">
        <w:rPr>
          <w:rFonts w:ascii="Arial" w:hAnsi="Arial" w:cs="Arial"/>
          <w:sz w:val="24"/>
          <w:szCs w:val="24"/>
        </w:rPr>
        <w:t>,</w:t>
      </w:r>
      <w:r w:rsidRPr="003C17D4">
        <w:rPr>
          <w:rFonts w:ascii="Arial" w:hAnsi="Arial" w:cs="Arial"/>
          <w:sz w:val="24"/>
          <w:szCs w:val="24"/>
        </w:rPr>
        <w:t xml:space="preserve"> V</w:t>
      </w:r>
      <w:r w:rsidR="00592849" w:rsidRPr="003C17D4">
        <w:rPr>
          <w:rFonts w:ascii="Arial" w:hAnsi="Arial" w:cs="Arial"/>
          <w:sz w:val="24"/>
          <w:szCs w:val="24"/>
        </w:rPr>
        <w:t>.</w:t>
      </w:r>
      <w:r w:rsidRPr="003C17D4">
        <w:rPr>
          <w:rFonts w:ascii="Arial" w:hAnsi="Arial" w:cs="Arial"/>
          <w:sz w:val="24"/>
          <w:szCs w:val="24"/>
        </w:rPr>
        <w:t>, Berny</w:t>
      </w:r>
      <w:r w:rsidR="00592849" w:rsidRPr="003C17D4">
        <w:rPr>
          <w:rFonts w:ascii="Arial" w:hAnsi="Arial" w:cs="Arial"/>
          <w:sz w:val="24"/>
          <w:szCs w:val="24"/>
        </w:rPr>
        <w:t>,</w:t>
      </w:r>
      <w:r w:rsidRPr="003C17D4">
        <w:rPr>
          <w:rFonts w:ascii="Arial" w:hAnsi="Arial" w:cs="Arial"/>
          <w:sz w:val="24"/>
          <w:szCs w:val="24"/>
        </w:rPr>
        <w:t xml:space="preserve"> N</w:t>
      </w:r>
      <w:r w:rsidR="00592849" w:rsidRPr="003C17D4">
        <w:rPr>
          <w:rFonts w:ascii="Arial" w:hAnsi="Arial" w:cs="Arial"/>
          <w:sz w:val="24"/>
          <w:szCs w:val="24"/>
        </w:rPr>
        <w:t>.</w:t>
      </w:r>
      <w:r w:rsidRPr="003C17D4">
        <w:rPr>
          <w:rFonts w:ascii="Arial" w:hAnsi="Arial" w:cs="Arial"/>
          <w:sz w:val="24"/>
          <w:szCs w:val="24"/>
        </w:rPr>
        <w:t>, Bulmer</w:t>
      </w:r>
      <w:r w:rsidR="00592849" w:rsidRPr="003C17D4">
        <w:rPr>
          <w:rFonts w:ascii="Arial" w:hAnsi="Arial" w:cs="Arial"/>
          <w:sz w:val="24"/>
          <w:szCs w:val="24"/>
        </w:rPr>
        <w:t>,</w:t>
      </w:r>
      <w:r w:rsidRPr="003C17D4">
        <w:rPr>
          <w:rFonts w:ascii="Arial" w:hAnsi="Arial" w:cs="Arial"/>
          <w:sz w:val="24"/>
          <w:szCs w:val="24"/>
        </w:rPr>
        <w:t xml:space="preserve"> S</w:t>
      </w:r>
      <w:r w:rsidR="00592849" w:rsidRPr="003C17D4">
        <w:rPr>
          <w:rFonts w:ascii="Arial" w:hAnsi="Arial" w:cs="Arial"/>
          <w:sz w:val="24"/>
          <w:szCs w:val="24"/>
        </w:rPr>
        <w:t>.</w:t>
      </w:r>
      <w:r w:rsidRPr="003C17D4">
        <w:rPr>
          <w:rFonts w:ascii="Arial" w:hAnsi="Arial" w:cs="Arial"/>
          <w:sz w:val="24"/>
          <w:szCs w:val="24"/>
        </w:rPr>
        <w:t>, Carter</w:t>
      </w:r>
      <w:r w:rsidR="00592849" w:rsidRPr="003C17D4">
        <w:rPr>
          <w:rFonts w:ascii="Arial" w:hAnsi="Arial" w:cs="Arial"/>
          <w:sz w:val="24"/>
          <w:szCs w:val="24"/>
        </w:rPr>
        <w:t>,</w:t>
      </w:r>
      <w:r w:rsidRPr="003C17D4">
        <w:rPr>
          <w:rFonts w:ascii="Arial" w:hAnsi="Arial" w:cs="Arial"/>
          <w:sz w:val="24"/>
          <w:szCs w:val="24"/>
        </w:rPr>
        <w:t xml:space="preserve"> N</w:t>
      </w:r>
      <w:r w:rsidR="00592849" w:rsidRPr="003C17D4">
        <w:rPr>
          <w:rFonts w:ascii="Arial" w:hAnsi="Arial" w:cs="Arial"/>
          <w:sz w:val="24"/>
          <w:szCs w:val="24"/>
        </w:rPr>
        <w:t>.</w:t>
      </w:r>
      <w:r w:rsidRPr="003C17D4">
        <w:rPr>
          <w:rFonts w:ascii="Arial" w:hAnsi="Arial" w:cs="Arial"/>
          <w:sz w:val="24"/>
          <w:szCs w:val="24"/>
        </w:rPr>
        <w:t>, Cowell</w:t>
      </w:r>
      <w:r w:rsidR="00592849" w:rsidRPr="003C17D4">
        <w:rPr>
          <w:rFonts w:ascii="Arial" w:hAnsi="Arial" w:cs="Arial"/>
          <w:sz w:val="24"/>
          <w:szCs w:val="24"/>
        </w:rPr>
        <w:t>,</w:t>
      </w:r>
      <w:r w:rsidRPr="003C17D4">
        <w:rPr>
          <w:rFonts w:ascii="Arial" w:hAnsi="Arial" w:cs="Arial"/>
          <w:sz w:val="24"/>
          <w:szCs w:val="24"/>
        </w:rPr>
        <w:t xml:space="preserve"> R</w:t>
      </w:r>
      <w:r w:rsidR="00592849" w:rsidRPr="003C17D4">
        <w:rPr>
          <w:rFonts w:ascii="Arial" w:hAnsi="Arial" w:cs="Arial"/>
          <w:sz w:val="24"/>
          <w:szCs w:val="24"/>
        </w:rPr>
        <w:t>.</w:t>
      </w:r>
      <w:r w:rsidRPr="003C17D4">
        <w:rPr>
          <w:rFonts w:ascii="Arial" w:hAnsi="Arial" w:cs="Arial"/>
          <w:sz w:val="24"/>
          <w:szCs w:val="24"/>
        </w:rPr>
        <w:t>, Dutton</w:t>
      </w:r>
      <w:r w:rsidR="00592849" w:rsidRPr="003C17D4">
        <w:rPr>
          <w:rFonts w:ascii="Arial" w:hAnsi="Arial" w:cs="Arial"/>
          <w:sz w:val="24"/>
          <w:szCs w:val="24"/>
        </w:rPr>
        <w:t>,</w:t>
      </w:r>
      <w:r w:rsidRPr="003C17D4">
        <w:rPr>
          <w:rFonts w:ascii="Arial" w:hAnsi="Arial" w:cs="Arial"/>
          <w:sz w:val="24"/>
          <w:szCs w:val="24"/>
        </w:rPr>
        <w:t xml:space="preserve"> J</w:t>
      </w:r>
      <w:r w:rsidR="00592849" w:rsidRPr="003C17D4">
        <w:rPr>
          <w:rFonts w:ascii="Arial" w:hAnsi="Arial" w:cs="Arial"/>
          <w:sz w:val="24"/>
          <w:szCs w:val="24"/>
        </w:rPr>
        <w:t>.</w:t>
      </w:r>
      <w:r w:rsidRPr="003C17D4">
        <w:rPr>
          <w:rFonts w:ascii="Arial" w:hAnsi="Arial" w:cs="Arial"/>
          <w:sz w:val="24"/>
          <w:szCs w:val="24"/>
        </w:rPr>
        <w:t>, Moore</w:t>
      </w:r>
      <w:r w:rsidR="00592849" w:rsidRPr="003C17D4">
        <w:rPr>
          <w:rFonts w:ascii="Arial" w:hAnsi="Arial" w:cs="Arial"/>
          <w:sz w:val="24"/>
          <w:szCs w:val="24"/>
        </w:rPr>
        <w:t>,</w:t>
      </w:r>
      <w:r w:rsidRPr="003C17D4">
        <w:rPr>
          <w:rFonts w:ascii="Arial" w:hAnsi="Arial" w:cs="Arial"/>
          <w:sz w:val="24"/>
          <w:szCs w:val="24"/>
        </w:rPr>
        <w:t xml:space="preserve"> B</w:t>
      </w:r>
      <w:r w:rsidR="00592849" w:rsidRPr="003C17D4">
        <w:rPr>
          <w:rFonts w:ascii="Arial" w:hAnsi="Arial" w:cs="Arial"/>
          <w:sz w:val="24"/>
          <w:szCs w:val="24"/>
        </w:rPr>
        <w:t>.</w:t>
      </w:r>
      <w:r w:rsidRPr="003C17D4">
        <w:rPr>
          <w:rFonts w:ascii="Arial" w:hAnsi="Arial" w:cs="Arial"/>
          <w:sz w:val="24"/>
          <w:szCs w:val="24"/>
        </w:rPr>
        <w:t>, Oberthür</w:t>
      </w:r>
      <w:r w:rsidR="00592849" w:rsidRPr="003C17D4">
        <w:rPr>
          <w:rFonts w:ascii="Arial" w:hAnsi="Arial" w:cs="Arial"/>
          <w:sz w:val="24"/>
          <w:szCs w:val="24"/>
        </w:rPr>
        <w:t>,</w:t>
      </w:r>
      <w:r w:rsidRPr="003C17D4">
        <w:rPr>
          <w:rFonts w:ascii="Arial" w:hAnsi="Arial" w:cs="Arial"/>
          <w:sz w:val="24"/>
          <w:szCs w:val="24"/>
        </w:rPr>
        <w:t xml:space="preserve"> S</w:t>
      </w:r>
      <w:r w:rsidR="00592849" w:rsidRPr="003C17D4">
        <w:rPr>
          <w:rFonts w:ascii="Arial" w:hAnsi="Arial" w:cs="Arial"/>
          <w:sz w:val="24"/>
          <w:szCs w:val="24"/>
        </w:rPr>
        <w:t>.</w:t>
      </w:r>
      <w:r w:rsidRPr="003C17D4">
        <w:rPr>
          <w:rFonts w:ascii="Arial" w:hAnsi="Arial" w:cs="Arial"/>
          <w:sz w:val="24"/>
          <w:szCs w:val="24"/>
        </w:rPr>
        <w:t>, Owens</w:t>
      </w:r>
      <w:r w:rsidR="00592849" w:rsidRPr="003C17D4">
        <w:rPr>
          <w:rFonts w:ascii="Arial" w:hAnsi="Arial" w:cs="Arial"/>
          <w:sz w:val="24"/>
          <w:szCs w:val="24"/>
        </w:rPr>
        <w:t>,</w:t>
      </w:r>
      <w:r w:rsidRPr="003C17D4">
        <w:rPr>
          <w:rFonts w:ascii="Arial" w:hAnsi="Arial" w:cs="Arial"/>
          <w:sz w:val="24"/>
          <w:szCs w:val="24"/>
        </w:rPr>
        <w:t xml:space="preserve"> S</w:t>
      </w:r>
      <w:r w:rsidR="00592849" w:rsidRPr="003C17D4">
        <w:rPr>
          <w:rFonts w:ascii="Arial" w:hAnsi="Arial" w:cs="Arial"/>
          <w:sz w:val="24"/>
          <w:szCs w:val="24"/>
        </w:rPr>
        <w:t>.</w:t>
      </w:r>
      <w:r w:rsidRPr="003C17D4">
        <w:rPr>
          <w:rFonts w:ascii="Arial" w:hAnsi="Arial" w:cs="Arial"/>
          <w:sz w:val="24"/>
          <w:szCs w:val="24"/>
        </w:rPr>
        <w:t>, Rayner</w:t>
      </w:r>
      <w:r w:rsidR="00592849" w:rsidRPr="003C17D4">
        <w:rPr>
          <w:rFonts w:ascii="Arial" w:hAnsi="Arial" w:cs="Arial"/>
          <w:sz w:val="24"/>
          <w:szCs w:val="24"/>
        </w:rPr>
        <w:t>,</w:t>
      </w:r>
      <w:r w:rsidRPr="003C17D4">
        <w:rPr>
          <w:rFonts w:ascii="Arial" w:hAnsi="Arial" w:cs="Arial"/>
          <w:sz w:val="24"/>
          <w:szCs w:val="24"/>
        </w:rPr>
        <w:t xml:space="preserve"> T</w:t>
      </w:r>
      <w:r w:rsidR="00592849" w:rsidRPr="003C17D4">
        <w:rPr>
          <w:rFonts w:ascii="Arial" w:hAnsi="Arial" w:cs="Arial"/>
          <w:sz w:val="24"/>
          <w:szCs w:val="24"/>
        </w:rPr>
        <w:t>.</w:t>
      </w:r>
      <w:r w:rsidRPr="003C17D4">
        <w:rPr>
          <w:rFonts w:ascii="Arial" w:hAnsi="Arial" w:cs="Arial"/>
          <w:sz w:val="24"/>
          <w:szCs w:val="24"/>
        </w:rPr>
        <w:t>, Scott</w:t>
      </w:r>
      <w:r w:rsidR="00592849" w:rsidRPr="003C17D4">
        <w:rPr>
          <w:rFonts w:ascii="Arial" w:hAnsi="Arial" w:cs="Arial"/>
          <w:sz w:val="24"/>
          <w:szCs w:val="24"/>
        </w:rPr>
        <w:t>,</w:t>
      </w:r>
      <w:r w:rsidRPr="003C17D4">
        <w:rPr>
          <w:rFonts w:ascii="Arial" w:hAnsi="Arial" w:cs="Arial"/>
          <w:sz w:val="24"/>
          <w:szCs w:val="24"/>
        </w:rPr>
        <w:t xml:space="preserve"> J</w:t>
      </w:r>
      <w:r w:rsidR="00592849" w:rsidRPr="003C17D4">
        <w:rPr>
          <w:rFonts w:ascii="Arial" w:hAnsi="Arial" w:cs="Arial"/>
          <w:sz w:val="24"/>
          <w:szCs w:val="24"/>
        </w:rPr>
        <w:t>.</w:t>
      </w:r>
      <w:r w:rsidRPr="003C17D4">
        <w:rPr>
          <w:rFonts w:ascii="Arial" w:hAnsi="Arial" w:cs="Arial"/>
          <w:sz w:val="24"/>
          <w:szCs w:val="24"/>
        </w:rPr>
        <w:t xml:space="preserve"> </w:t>
      </w:r>
      <w:r w:rsidR="00A44010" w:rsidRPr="003C17D4">
        <w:rPr>
          <w:rFonts w:ascii="Arial" w:hAnsi="Arial" w:cs="Arial"/>
          <w:sz w:val="24"/>
          <w:szCs w:val="24"/>
        </w:rPr>
        <w:t>&amp;</w:t>
      </w:r>
      <w:r w:rsidRPr="003C17D4">
        <w:rPr>
          <w:rFonts w:ascii="Arial" w:hAnsi="Arial" w:cs="Arial"/>
          <w:sz w:val="24"/>
          <w:szCs w:val="24"/>
        </w:rPr>
        <w:t xml:space="preserve"> Stewart</w:t>
      </w:r>
      <w:r w:rsidR="00592849" w:rsidRPr="003C17D4">
        <w:rPr>
          <w:rFonts w:ascii="Arial" w:hAnsi="Arial" w:cs="Arial"/>
          <w:sz w:val="24"/>
          <w:szCs w:val="24"/>
        </w:rPr>
        <w:t>,</w:t>
      </w:r>
      <w:r w:rsidRPr="003C17D4">
        <w:rPr>
          <w:rFonts w:ascii="Arial" w:hAnsi="Arial" w:cs="Arial"/>
          <w:sz w:val="24"/>
          <w:szCs w:val="24"/>
        </w:rPr>
        <w:t xml:space="preserve"> B</w:t>
      </w:r>
      <w:r w:rsidR="00592849" w:rsidRPr="003C17D4">
        <w:rPr>
          <w:rFonts w:ascii="Arial" w:hAnsi="Arial" w:cs="Arial"/>
          <w:sz w:val="24"/>
          <w:szCs w:val="24"/>
        </w:rPr>
        <w:t>.</w:t>
      </w:r>
      <w:r w:rsidRPr="003C17D4">
        <w:rPr>
          <w:rFonts w:ascii="Arial" w:hAnsi="Arial" w:cs="Arial"/>
          <w:sz w:val="24"/>
          <w:szCs w:val="24"/>
        </w:rPr>
        <w:t xml:space="preserve"> (2016)</w:t>
      </w:r>
      <w:r w:rsidR="00592849"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The EU Referendum and the UK Environment: An Expert Review</w:t>
      </w:r>
      <w:r w:rsidR="00B615B3" w:rsidRPr="003C17D4">
        <w:rPr>
          <w:rFonts w:ascii="Arial" w:hAnsi="Arial" w:cs="Arial"/>
          <w:sz w:val="24"/>
          <w:szCs w:val="24"/>
        </w:rPr>
        <w:t>.</w:t>
      </w:r>
      <w:r w:rsidRPr="003C17D4">
        <w:rPr>
          <w:rFonts w:ascii="Arial" w:hAnsi="Arial" w:cs="Arial"/>
          <w:sz w:val="24"/>
          <w:szCs w:val="24"/>
        </w:rPr>
        <w:t xml:space="preserve"> </w:t>
      </w:r>
      <w:hyperlink r:id="rId22" w:tgtFrame="_blank" w:history="1">
        <w:r w:rsidR="005F26FD" w:rsidRPr="003C17D4">
          <w:rPr>
            <w:rStyle w:val="Hyperlink"/>
            <w:rFonts w:ascii="Arial" w:hAnsi="Arial" w:cs="Arial"/>
            <w:i/>
            <w:color w:val="auto"/>
            <w:sz w:val="24"/>
            <w:szCs w:val="24"/>
            <w:u w:val="none"/>
          </w:rPr>
          <w:t>http://environmenteuref.blogspot.co.uk/p/about-us.html</w:t>
        </w:r>
      </w:hyperlink>
    </w:p>
    <w:p w:rsidR="00E32DF7" w:rsidRPr="003C17D4" w:rsidRDefault="00DA7812" w:rsidP="00E32DF7">
      <w:pPr>
        <w:ind w:left="567" w:hanging="567"/>
        <w:rPr>
          <w:rFonts w:ascii="Arial" w:hAnsi="Arial" w:cs="Arial"/>
          <w:sz w:val="24"/>
          <w:szCs w:val="24"/>
        </w:rPr>
      </w:pPr>
      <w:r w:rsidRPr="003C17D4">
        <w:rPr>
          <w:rFonts w:ascii="Arial" w:hAnsi="Arial" w:cs="Arial"/>
          <w:sz w:val="24"/>
          <w:szCs w:val="24"/>
        </w:rPr>
        <w:t>Burns, C., G</w:t>
      </w:r>
      <w:r w:rsidR="007C57E4" w:rsidRPr="003C17D4">
        <w:rPr>
          <w:rFonts w:ascii="Arial" w:hAnsi="Arial" w:cs="Arial"/>
          <w:sz w:val="24"/>
          <w:szCs w:val="24"/>
        </w:rPr>
        <w:t xml:space="preserve">ravey, V., </w:t>
      </w:r>
      <w:r w:rsidR="00A44010" w:rsidRPr="003C17D4">
        <w:rPr>
          <w:rFonts w:ascii="Arial" w:hAnsi="Arial" w:cs="Arial"/>
          <w:sz w:val="24"/>
          <w:szCs w:val="24"/>
        </w:rPr>
        <w:t>&amp;</w:t>
      </w:r>
      <w:r w:rsidR="007C57E4" w:rsidRPr="003C17D4">
        <w:rPr>
          <w:rFonts w:ascii="Arial" w:hAnsi="Arial" w:cs="Arial"/>
          <w:sz w:val="24"/>
          <w:szCs w:val="24"/>
        </w:rPr>
        <w:t xml:space="preserve"> Jordan, A., </w:t>
      </w:r>
      <w:r w:rsidR="00592849" w:rsidRPr="003C17D4">
        <w:rPr>
          <w:rFonts w:ascii="Arial" w:hAnsi="Arial" w:cs="Arial"/>
          <w:sz w:val="24"/>
          <w:szCs w:val="24"/>
        </w:rPr>
        <w:t>(</w:t>
      </w:r>
      <w:r w:rsidR="007C57E4" w:rsidRPr="003C17D4">
        <w:rPr>
          <w:rFonts w:ascii="Arial" w:hAnsi="Arial" w:cs="Arial"/>
          <w:sz w:val="24"/>
          <w:szCs w:val="24"/>
        </w:rPr>
        <w:t>2018</w:t>
      </w:r>
      <w:r w:rsidR="00592849" w:rsidRPr="003C17D4">
        <w:rPr>
          <w:rFonts w:ascii="Arial" w:hAnsi="Arial" w:cs="Arial"/>
          <w:sz w:val="24"/>
          <w:szCs w:val="24"/>
        </w:rPr>
        <w:t>)</w:t>
      </w:r>
      <w:r w:rsidRPr="003C17D4">
        <w:rPr>
          <w:rFonts w:ascii="Arial" w:hAnsi="Arial" w:cs="Arial"/>
          <w:sz w:val="24"/>
          <w:szCs w:val="24"/>
        </w:rPr>
        <w:t xml:space="preserve">. </w:t>
      </w:r>
      <w:r w:rsidR="008134A3" w:rsidRPr="003C17D4">
        <w:rPr>
          <w:rFonts w:ascii="Arial" w:hAnsi="Arial" w:cs="Arial"/>
          <w:i/>
          <w:sz w:val="24"/>
          <w:szCs w:val="24"/>
        </w:rPr>
        <w:t>UK Environmental Policy Post-’Brexit’ : A Risk Analysis</w:t>
      </w:r>
      <w:r w:rsidRPr="003C17D4">
        <w:rPr>
          <w:rFonts w:ascii="Arial" w:hAnsi="Arial" w:cs="Arial"/>
          <w:sz w:val="24"/>
          <w:szCs w:val="24"/>
        </w:rPr>
        <w:t xml:space="preserve">, a report for Friends of the Earth, </w:t>
      </w:r>
      <w:r w:rsidR="006967B0" w:rsidRPr="003C17D4">
        <w:rPr>
          <w:rFonts w:ascii="Arial" w:hAnsi="Arial" w:cs="Arial"/>
          <w:sz w:val="24"/>
          <w:szCs w:val="24"/>
        </w:rPr>
        <w:t xml:space="preserve">Brexit </w:t>
      </w:r>
      <w:r w:rsidRPr="003C17D4">
        <w:rPr>
          <w:rFonts w:ascii="Arial" w:hAnsi="Arial" w:cs="Arial"/>
          <w:sz w:val="24"/>
          <w:szCs w:val="24"/>
        </w:rPr>
        <w:t xml:space="preserve"> and Environment, March 2018. </w:t>
      </w:r>
      <w:hyperlink r:id="rId23" w:tgtFrame="_blank" w:history="1">
        <w:r w:rsidR="00E32DF7" w:rsidRPr="003C17D4">
          <w:rPr>
            <w:rStyle w:val="Hyperlink"/>
            <w:rFonts w:ascii="Arial" w:hAnsi="Arial" w:cs="Arial"/>
            <w:i/>
            <w:color w:val="auto"/>
            <w:sz w:val="24"/>
            <w:szCs w:val="24"/>
            <w:u w:val="none"/>
          </w:rPr>
          <w:t>http://environmenteuref.blogspot.co.uk/p/about-us.html</w:t>
        </w:r>
      </w:hyperlink>
    </w:p>
    <w:p w:rsidR="00791569" w:rsidRPr="003C17D4" w:rsidRDefault="00791569" w:rsidP="00E32DF7">
      <w:pPr>
        <w:ind w:left="567" w:hanging="567"/>
        <w:rPr>
          <w:rFonts w:ascii="Arial" w:hAnsi="Arial" w:cs="Arial"/>
          <w:sz w:val="24"/>
          <w:szCs w:val="24"/>
        </w:rPr>
      </w:pPr>
      <w:r w:rsidRPr="003C17D4">
        <w:rPr>
          <w:rFonts w:ascii="Arial" w:hAnsi="Arial" w:cs="Arial"/>
          <w:sz w:val="24"/>
          <w:szCs w:val="24"/>
        </w:rPr>
        <w:t>Campbell</w:t>
      </w:r>
      <w:r w:rsidR="00592849" w:rsidRPr="003C17D4">
        <w:rPr>
          <w:rFonts w:ascii="Arial" w:hAnsi="Arial" w:cs="Arial"/>
          <w:sz w:val="24"/>
          <w:szCs w:val="24"/>
        </w:rPr>
        <w:t>,</w:t>
      </w:r>
      <w:r w:rsidRPr="003C17D4">
        <w:rPr>
          <w:rFonts w:ascii="Arial" w:hAnsi="Arial" w:cs="Arial"/>
          <w:sz w:val="24"/>
          <w:szCs w:val="24"/>
        </w:rPr>
        <w:t xml:space="preserve"> H</w:t>
      </w:r>
      <w:r w:rsidR="00592849" w:rsidRPr="003C17D4">
        <w:rPr>
          <w:rFonts w:ascii="Arial" w:hAnsi="Arial" w:cs="Arial"/>
          <w:sz w:val="24"/>
          <w:szCs w:val="24"/>
        </w:rPr>
        <w:t>.</w:t>
      </w:r>
      <w:r w:rsidRPr="003C17D4">
        <w:rPr>
          <w:rFonts w:ascii="Arial" w:hAnsi="Arial" w:cs="Arial"/>
          <w:sz w:val="24"/>
          <w:szCs w:val="24"/>
        </w:rPr>
        <w:t xml:space="preserve"> </w:t>
      </w:r>
      <w:r w:rsidR="00A44010" w:rsidRPr="003C17D4">
        <w:rPr>
          <w:rFonts w:ascii="Arial" w:hAnsi="Arial" w:cs="Arial"/>
          <w:sz w:val="24"/>
          <w:szCs w:val="24"/>
        </w:rPr>
        <w:t>&amp;</w:t>
      </w:r>
      <w:r w:rsidRPr="003C17D4">
        <w:rPr>
          <w:rFonts w:ascii="Arial" w:hAnsi="Arial" w:cs="Arial"/>
          <w:sz w:val="24"/>
          <w:szCs w:val="24"/>
        </w:rPr>
        <w:t xml:space="preserve"> Marshall</w:t>
      </w:r>
      <w:r w:rsidR="00592849" w:rsidRPr="003C17D4">
        <w:rPr>
          <w:rFonts w:ascii="Arial" w:hAnsi="Arial" w:cs="Arial"/>
          <w:sz w:val="24"/>
          <w:szCs w:val="24"/>
        </w:rPr>
        <w:t>,</w:t>
      </w:r>
      <w:r w:rsidRPr="003C17D4">
        <w:rPr>
          <w:rFonts w:ascii="Arial" w:hAnsi="Arial" w:cs="Arial"/>
          <w:sz w:val="24"/>
          <w:szCs w:val="24"/>
        </w:rPr>
        <w:t xml:space="preserve"> R</w:t>
      </w:r>
      <w:r w:rsidR="00592849" w:rsidRPr="003C17D4">
        <w:rPr>
          <w:rFonts w:ascii="Arial" w:hAnsi="Arial" w:cs="Arial"/>
          <w:sz w:val="24"/>
          <w:szCs w:val="24"/>
        </w:rPr>
        <w:t>.</w:t>
      </w:r>
      <w:r w:rsidRPr="003C17D4">
        <w:rPr>
          <w:rFonts w:ascii="Arial" w:hAnsi="Arial" w:cs="Arial"/>
          <w:sz w:val="24"/>
          <w:szCs w:val="24"/>
        </w:rPr>
        <w:t xml:space="preserve"> (2002)</w:t>
      </w:r>
      <w:r w:rsidR="00592849" w:rsidRPr="003C17D4">
        <w:rPr>
          <w:rFonts w:ascii="Arial" w:hAnsi="Arial" w:cs="Arial"/>
          <w:sz w:val="24"/>
          <w:szCs w:val="24"/>
        </w:rPr>
        <w:t>.</w:t>
      </w:r>
      <w:r w:rsidRPr="003C17D4">
        <w:rPr>
          <w:rFonts w:ascii="Arial" w:hAnsi="Arial" w:cs="Arial"/>
          <w:sz w:val="24"/>
          <w:szCs w:val="24"/>
        </w:rPr>
        <w:t xml:space="preserve"> Values and professional identities in planning practice</w:t>
      </w:r>
      <w:r w:rsidR="00B615B3" w:rsidRPr="003C17D4">
        <w:rPr>
          <w:rFonts w:ascii="Arial" w:hAnsi="Arial" w:cs="Arial"/>
          <w:sz w:val="24"/>
          <w:szCs w:val="24"/>
        </w:rPr>
        <w:t>.</w:t>
      </w:r>
      <w:r w:rsidRPr="003C17D4">
        <w:rPr>
          <w:rFonts w:ascii="Arial" w:hAnsi="Arial" w:cs="Arial"/>
          <w:sz w:val="24"/>
          <w:szCs w:val="24"/>
        </w:rPr>
        <w:t xml:space="preserve"> in Almendinger</w:t>
      </w:r>
      <w:r w:rsidR="00592849" w:rsidRPr="003C17D4">
        <w:rPr>
          <w:rFonts w:ascii="Arial" w:hAnsi="Arial" w:cs="Arial"/>
          <w:sz w:val="24"/>
          <w:szCs w:val="24"/>
        </w:rPr>
        <w:t>,</w:t>
      </w:r>
      <w:r w:rsidRPr="003C17D4">
        <w:rPr>
          <w:rFonts w:ascii="Arial" w:hAnsi="Arial" w:cs="Arial"/>
          <w:sz w:val="24"/>
          <w:szCs w:val="24"/>
        </w:rPr>
        <w:t xml:space="preserve"> P</w:t>
      </w:r>
      <w:r w:rsidR="00592849" w:rsidRPr="003C17D4">
        <w:rPr>
          <w:rFonts w:ascii="Arial" w:hAnsi="Arial" w:cs="Arial"/>
          <w:sz w:val="24"/>
          <w:szCs w:val="24"/>
        </w:rPr>
        <w:t>.</w:t>
      </w:r>
      <w:r w:rsidRPr="003C17D4">
        <w:rPr>
          <w:rFonts w:ascii="Arial" w:hAnsi="Arial" w:cs="Arial"/>
          <w:sz w:val="24"/>
          <w:szCs w:val="24"/>
        </w:rPr>
        <w:t xml:space="preserve"> and Tewdwr-Jones</w:t>
      </w:r>
      <w:r w:rsidR="00592849" w:rsidRPr="003C17D4">
        <w:rPr>
          <w:rFonts w:ascii="Arial" w:hAnsi="Arial" w:cs="Arial"/>
          <w:sz w:val="24"/>
          <w:szCs w:val="24"/>
        </w:rPr>
        <w:t>,</w:t>
      </w:r>
      <w:r w:rsidRPr="003C17D4">
        <w:rPr>
          <w:rFonts w:ascii="Arial" w:hAnsi="Arial" w:cs="Arial"/>
          <w:sz w:val="24"/>
          <w:szCs w:val="24"/>
        </w:rPr>
        <w:t xml:space="preserve"> M</w:t>
      </w:r>
      <w:r w:rsidR="00592849" w:rsidRPr="003C17D4">
        <w:rPr>
          <w:rFonts w:ascii="Arial" w:hAnsi="Arial" w:cs="Arial"/>
          <w:sz w:val="24"/>
          <w:szCs w:val="24"/>
        </w:rPr>
        <w:t>.</w:t>
      </w:r>
      <w:r w:rsidRPr="003C17D4">
        <w:rPr>
          <w:rFonts w:ascii="Arial" w:hAnsi="Arial" w:cs="Arial"/>
          <w:sz w:val="24"/>
          <w:szCs w:val="24"/>
        </w:rPr>
        <w:t xml:space="preserve"> (eds) </w:t>
      </w:r>
      <w:r w:rsidRPr="003C17D4">
        <w:rPr>
          <w:rFonts w:ascii="Arial" w:hAnsi="Arial" w:cs="Arial"/>
          <w:i/>
          <w:sz w:val="24"/>
          <w:szCs w:val="24"/>
        </w:rPr>
        <w:t>Planning Futures: New Directions for Planning Theory</w:t>
      </w:r>
      <w:r w:rsidRPr="003C17D4">
        <w:rPr>
          <w:rFonts w:ascii="Arial" w:hAnsi="Arial" w:cs="Arial"/>
          <w:sz w:val="24"/>
          <w:szCs w:val="24"/>
        </w:rPr>
        <w:t>, Routledge, pp.93-109</w:t>
      </w:r>
      <w:r w:rsidR="00A44010" w:rsidRPr="003C17D4">
        <w:rPr>
          <w:rFonts w:ascii="Arial" w:hAnsi="Arial" w:cs="Arial"/>
          <w:sz w:val="24"/>
          <w:szCs w:val="24"/>
        </w:rPr>
        <w:t>.</w:t>
      </w:r>
    </w:p>
    <w:p w:rsidR="0045445F" w:rsidRPr="003C17D4" w:rsidRDefault="00E32DF7" w:rsidP="0045445F">
      <w:pPr>
        <w:ind w:left="567" w:hanging="567"/>
        <w:rPr>
          <w:rFonts w:ascii="Arial" w:hAnsi="Arial" w:cs="Arial"/>
          <w:sz w:val="24"/>
          <w:szCs w:val="24"/>
        </w:rPr>
      </w:pPr>
      <w:r w:rsidRPr="003C17D4">
        <w:rPr>
          <w:rFonts w:ascii="Arial" w:hAnsi="Arial" w:cs="Arial"/>
          <w:sz w:val="24"/>
          <w:szCs w:val="24"/>
        </w:rPr>
        <w:t>Cowell</w:t>
      </w:r>
      <w:r w:rsidR="00592849" w:rsidRPr="003C17D4">
        <w:rPr>
          <w:rFonts w:ascii="Arial" w:hAnsi="Arial" w:cs="Arial"/>
          <w:sz w:val="24"/>
          <w:szCs w:val="24"/>
        </w:rPr>
        <w:t>,</w:t>
      </w:r>
      <w:r w:rsidRPr="003C17D4">
        <w:rPr>
          <w:rFonts w:ascii="Arial" w:hAnsi="Arial" w:cs="Arial"/>
          <w:sz w:val="24"/>
          <w:szCs w:val="24"/>
        </w:rPr>
        <w:t xml:space="preserve"> R</w:t>
      </w:r>
      <w:r w:rsidR="00592849" w:rsidRPr="003C17D4">
        <w:rPr>
          <w:rFonts w:ascii="Arial" w:hAnsi="Arial" w:cs="Arial"/>
          <w:sz w:val="24"/>
          <w:szCs w:val="24"/>
        </w:rPr>
        <w:t>.</w:t>
      </w:r>
      <w:r w:rsidRPr="003C17D4">
        <w:rPr>
          <w:rFonts w:ascii="Arial" w:hAnsi="Arial" w:cs="Arial"/>
          <w:sz w:val="24"/>
          <w:szCs w:val="24"/>
        </w:rPr>
        <w:t xml:space="preserve"> </w:t>
      </w:r>
      <w:r w:rsidR="00A44010" w:rsidRPr="003C17D4">
        <w:rPr>
          <w:rFonts w:ascii="Arial" w:hAnsi="Arial" w:cs="Arial"/>
          <w:sz w:val="24"/>
          <w:szCs w:val="24"/>
        </w:rPr>
        <w:t>&amp;</w:t>
      </w:r>
      <w:r w:rsidRPr="003C17D4">
        <w:rPr>
          <w:rFonts w:ascii="Arial" w:hAnsi="Arial" w:cs="Arial"/>
          <w:sz w:val="24"/>
          <w:szCs w:val="24"/>
        </w:rPr>
        <w:t xml:space="preserve"> Owens</w:t>
      </w:r>
      <w:r w:rsidR="00592849" w:rsidRPr="003C17D4">
        <w:rPr>
          <w:rFonts w:ascii="Arial" w:hAnsi="Arial" w:cs="Arial"/>
          <w:sz w:val="24"/>
          <w:szCs w:val="24"/>
        </w:rPr>
        <w:t>,</w:t>
      </w:r>
      <w:r w:rsidRPr="003C17D4">
        <w:rPr>
          <w:rFonts w:ascii="Arial" w:hAnsi="Arial" w:cs="Arial"/>
          <w:sz w:val="24"/>
          <w:szCs w:val="24"/>
        </w:rPr>
        <w:t xml:space="preserve"> S</w:t>
      </w:r>
      <w:r w:rsidR="00592849" w:rsidRPr="003C17D4">
        <w:rPr>
          <w:rFonts w:ascii="Arial" w:hAnsi="Arial" w:cs="Arial"/>
          <w:sz w:val="24"/>
          <w:szCs w:val="24"/>
        </w:rPr>
        <w:t>.</w:t>
      </w:r>
      <w:r w:rsidRPr="003C17D4">
        <w:rPr>
          <w:rFonts w:ascii="Arial" w:hAnsi="Arial" w:cs="Arial"/>
          <w:sz w:val="24"/>
          <w:szCs w:val="24"/>
        </w:rPr>
        <w:t xml:space="preserve"> (2016) ‘Land Use Planning’, in</w:t>
      </w:r>
      <w:r w:rsidR="00592849" w:rsidRPr="003C17D4">
        <w:rPr>
          <w:rFonts w:ascii="Arial" w:hAnsi="Arial" w:cs="Arial"/>
          <w:sz w:val="24"/>
          <w:szCs w:val="24"/>
        </w:rPr>
        <w:t xml:space="preserve"> Burns, C.</w:t>
      </w:r>
      <w:r w:rsidR="00797495" w:rsidRPr="003C17D4">
        <w:rPr>
          <w:rFonts w:ascii="Arial" w:hAnsi="Arial" w:cs="Arial"/>
          <w:sz w:val="24"/>
          <w:szCs w:val="24"/>
        </w:rPr>
        <w:t xml:space="preserve"> et al</w:t>
      </w:r>
      <w:r w:rsidRPr="003C17D4">
        <w:rPr>
          <w:rFonts w:ascii="Arial" w:hAnsi="Arial" w:cs="Arial"/>
          <w:sz w:val="24"/>
          <w:szCs w:val="24"/>
        </w:rPr>
        <w:t xml:space="preserve">, </w:t>
      </w:r>
      <w:r w:rsidRPr="003C17D4">
        <w:rPr>
          <w:rFonts w:ascii="Arial" w:hAnsi="Arial" w:cs="Arial"/>
          <w:i/>
          <w:sz w:val="24"/>
          <w:szCs w:val="24"/>
        </w:rPr>
        <w:t>The EU Referendum and the UK Environment: An Expert Review</w:t>
      </w:r>
      <w:r w:rsidRPr="003C17D4">
        <w:rPr>
          <w:rFonts w:ascii="Arial" w:hAnsi="Arial" w:cs="Arial"/>
          <w:sz w:val="24"/>
          <w:szCs w:val="24"/>
        </w:rPr>
        <w:t xml:space="preserve">, </w:t>
      </w:r>
      <w:hyperlink r:id="rId24" w:tgtFrame="_blank" w:history="1">
        <w:r w:rsidRPr="003C17D4">
          <w:rPr>
            <w:rStyle w:val="Hyperlink"/>
            <w:rFonts w:ascii="Arial" w:hAnsi="Arial" w:cs="Arial"/>
            <w:i/>
            <w:color w:val="auto"/>
            <w:sz w:val="24"/>
            <w:szCs w:val="24"/>
            <w:u w:val="none"/>
          </w:rPr>
          <w:t>http://environmenteuref.blogspot.co.uk/p/about-us.html</w:t>
        </w:r>
      </w:hyperlink>
    </w:p>
    <w:p w:rsidR="00611B9C" w:rsidRPr="003C17D4" w:rsidRDefault="008134A3" w:rsidP="0045445F">
      <w:pPr>
        <w:ind w:left="567" w:hanging="567"/>
        <w:rPr>
          <w:rFonts w:ascii="Arial" w:hAnsi="Arial" w:cs="Arial"/>
          <w:sz w:val="24"/>
          <w:szCs w:val="24"/>
        </w:rPr>
      </w:pPr>
      <w:r w:rsidRPr="003C17D4">
        <w:rPr>
          <w:rFonts w:ascii="Arial" w:eastAsia="Calibri" w:hAnsi="Arial" w:cs="Arial"/>
          <w:sz w:val="24"/>
          <w:szCs w:val="24"/>
        </w:rPr>
        <w:t>Cowell</w:t>
      </w:r>
      <w:r w:rsidR="00592849" w:rsidRPr="003C17D4">
        <w:rPr>
          <w:rFonts w:ascii="Arial" w:eastAsia="Calibri" w:hAnsi="Arial" w:cs="Arial"/>
          <w:sz w:val="24"/>
          <w:szCs w:val="24"/>
        </w:rPr>
        <w:t>,</w:t>
      </w:r>
      <w:r w:rsidRPr="003C17D4">
        <w:rPr>
          <w:rFonts w:ascii="Arial" w:eastAsia="Calibri" w:hAnsi="Arial" w:cs="Arial"/>
          <w:sz w:val="24"/>
          <w:szCs w:val="24"/>
        </w:rPr>
        <w:t xml:space="preserve"> </w:t>
      </w:r>
      <w:r w:rsidR="00611B9C" w:rsidRPr="003C17D4">
        <w:rPr>
          <w:rFonts w:ascii="Arial" w:hAnsi="Arial" w:cs="Arial"/>
          <w:sz w:val="24"/>
          <w:szCs w:val="24"/>
        </w:rPr>
        <w:t>R</w:t>
      </w:r>
      <w:r w:rsidR="00592849" w:rsidRPr="003C17D4">
        <w:rPr>
          <w:rFonts w:ascii="Arial" w:hAnsi="Arial" w:cs="Arial"/>
          <w:sz w:val="24"/>
          <w:szCs w:val="24"/>
        </w:rPr>
        <w:t>.</w:t>
      </w:r>
      <w:r w:rsidR="00115178" w:rsidRPr="003C17D4">
        <w:rPr>
          <w:rFonts w:ascii="Arial" w:hAnsi="Arial" w:cs="Arial"/>
          <w:sz w:val="24"/>
          <w:szCs w:val="24"/>
        </w:rPr>
        <w:t>, Ellis</w:t>
      </w:r>
      <w:r w:rsidR="00592849" w:rsidRPr="003C17D4">
        <w:rPr>
          <w:rFonts w:ascii="Arial" w:hAnsi="Arial" w:cs="Arial"/>
          <w:sz w:val="24"/>
          <w:szCs w:val="24"/>
        </w:rPr>
        <w:t>,</w:t>
      </w:r>
      <w:r w:rsidR="00115178" w:rsidRPr="003C17D4">
        <w:rPr>
          <w:rFonts w:ascii="Arial" w:hAnsi="Arial" w:cs="Arial"/>
          <w:sz w:val="24"/>
          <w:szCs w:val="24"/>
        </w:rPr>
        <w:t xml:space="preserve"> G</w:t>
      </w:r>
      <w:r w:rsidR="00592849" w:rsidRPr="003C17D4">
        <w:rPr>
          <w:rFonts w:ascii="Arial" w:hAnsi="Arial" w:cs="Arial"/>
          <w:sz w:val="24"/>
          <w:szCs w:val="24"/>
        </w:rPr>
        <w:t>.</w:t>
      </w:r>
      <w:r w:rsidR="00115178" w:rsidRPr="003C17D4">
        <w:rPr>
          <w:rFonts w:ascii="Arial" w:hAnsi="Arial" w:cs="Arial"/>
          <w:sz w:val="24"/>
          <w:szCs w:val="24"/>
        </w:rPr>
        <w:t>, Fischer</w:t>
      </w:r>
      <w:r w:rsidR="00592849" w:rsidRPr="003C17D4">
        <w:rPr>
          <w:rFonts w:ascii="Arial" w:hAnsi="Arial" w:cs="Arial"/>
          <w:sz w:val="24"/>
          <w:szCs w:val="24"/>
        </w:rPr>
        <w:t>,</w:t>
      </w:r>
      <w:r w:rsidR="00115178" w:rsidRPr="003C17D4">
        <w:rPr>
          <w:rFonts w:ascii="Arial" w:hAnsi="Arial" w:cs="Arial"/>
          <w:sz w:val="24"/>
          <w:szCs w:val="24"/>
        </w:rPr>
        <w:t xml:space="preserve"> T</w:t>
      </w:r>
      <w:r w:rsidR="00592849" w:rsidRPr="003C17D4">
        <w:rPr>
          <w:rFonts w:ascii="Arial" w:hAnsi="Arial" w:cs="Arial"/>
          <w:sz w:val="24"/>
          <w:szCs w:val="24"/>
        </w:rPr>
        <w:t>.</w:t>
      </w:r>
      <w:r w:rsidR="00115178" w:rsidRPr="003C17D4">
        <w:rPr>
          <w:rFonts w:ascii="Arial" w:hAnsi="Arial" w:cs="Arial"/>
          <w:sz w:val="24"/>
          <w:szCs w:val="24"/>
        </w:rPr>
        <w:t>, Jackson</w:t>
      </w:r>
      <w:r w:rsidR="00592849" w:rsidRPr="003C17D4">
        <w:rPr>
          <w:rFonts w:ascii="Arial" w:hAnsi="Arial" w:cs="Arial"/>
          <w:sz w:val="24"/>
          <w:szCs w:val="24"/>
        </w:rPr>
        <w:t>,</w:t>
      </w:r>
      <w:r w:rsidR="00115178" w:rsidRPr="003C17D4">
        <w:rPr>
          <w:rFonts w:ascii="Arial" w:hAnsi="Arial" w:cs="Arial"/>
          <w:sz w:val="24"/>
          <w:szCs w:val="24"/>
        </w:rPr>
        <w:t xml:space="preserve"> T</w:t>
      </w:r>
      <w:r w:rsidR="00592849" w:rsidRPr="003C17D4">
        <w:rPr>
          <w:rFonts w:ascii="Arial" w:hAnsi="Arial" w:cs="Arial"/>
          <w:sz w:val="24"/>
          <w:szCs w:val="24"/>
        </w:rPr>
        <w:t>.</w:t>
      </w:r>
      <w:r w:rsidR="00115178" w:rsidRPr="003C17D4">
        <w:rPr>
          <w:rFonts w:ascii="Arial" w:hAnsi="Arial" w:cs="Arial"/>
          <w:sz w:val="24"/>
          <w:szCs w:val="24"/>
        </w:rPr>
        <w:t>, Muinzer</w:t>
      </w:r>
      <w:r w:rsidR="00592849" w:rsidRPr="003C17D4">
        <w:rPr>
          <w:rFonts w:ascii="Arial" w:hAnsi="Arial" w:cs="Arial"/>
          <w:sz w:val="24"/>
          <w:szCs w:val="24"/>
        </w:rPr>
        <w:t>,</w:t>
      </w:r>
      <w:r w:rsidR="00115178" w:rsidRPr="003C17D4">
        <w:rPr>
          <w:rFonts w:ascii="Arial" w:hAnsi="Arial" w:cs="Arial"/>
          <w:sz w:val="24"/>
          <w:szCs w:val="24"/>
        </w:rPr>
        <w:t xml:space="preserve"> T</w:t>
      </w:r>
      <w:r w:rsidR="00592849" w:rsidRPr="003C17D4">
        <w:rPr>
          <w:rFonts w:ascii="Arial" w:hAnsi="Arial" w:cs="Arial"/>
          <w:sz w:val="24"/>
          <w:szCs w:val="24"/>
        </w:rPr>
        <w:t>. &amp;</w:t>
      </w:r>
      <w:r w:rsidR="00115178" w:rsidRPr="003C17D4">
        <w:rPr>
          <w:rFonts w:ascii="Arial" w:hAnsi="Arial" w:cs="Arial"/>
          <w:sz w:val="24"/>
          <w:szCs w:val="24"/>
        </w:rPr>
        <w:t xml:space="preserve"> Sykes</w:t>
      </w:r>
      <w:r w:rsidR="00592849" w:rsidRPr="003C17D4">
        <w:rPr>
          <w:rFonts w:ascii="Arial" w:hAnsi="Arial" w:cs="Arial"/>
          <w:sz w:val="24"/>
          <w:szCs w:val="24"/>
        </w:rPr>
        <w:t>,</w:t>
      </w:r>
      <w:r w:rsidR="00115178" w:rsidRPr="003C17D4">
        <w:rPr>
          <w:rFonts w:ascii="Arial" w:hAnsi="Arial" w:cs="Arial"/>
          <w:sz w:val="24"/>
          <w:szCs w:val="24"/>
        </w:rPr>
        <w:t xml:space="preserve"> O</w:t>
      </w:r>
      <w:r w:rsidR="00592849" w:rsidRPr="003C17D4">
        <w:rPr>
          <w:rFonts w:ascii="Arial" w:hAnsi="Arial" w:cs="Arial"/>
          <w:sz w:val="24"/>
          <w:szCs w:val="24"/>
        </w:rPr>
        <w:t>.</w:t>
      </w:r>
      <w:r w:rsidR="00115178" w:rsidRPr="003C17D4">
        <w:rPr>
          <w:rFonts w:ascii="Arial" w:hAnsi="Arial" w:cs="Arial"/>
          <w:sz w:val="24"/>
          <w:szCs w:val="24"/>
        </w:rPr>
        <w:t xml:space="preserve"> (2019)</w:t>
      </w:r>
      <w:r w:rsidR="00592849" w:rsidRPr="003C17D4">
        <w:rPr>
          <w:rFonts w:ascii="Arial" w:hAnsi="Arial" w:cs="Arial"/>
          <w:sz w:val="24"/>
          <w:szCs w:val="24"/>
        </w:rPr>
        <w:t>,</w:t>
      </w:r>
      <w:r w:rsidRPr="003C17D4">
        <w:rPr>
          <w:rFonts w:ascii="Arial" w:eastAsia="Calibri" w:hAnsi="Arial" w:cs="Arial"/>
          <w:sz w:val="24"/>
          <w:szCs w:val="24"/>
        </w:rPr>
        <w:t xml:space="preserve"> </w:t>
      </w:r>
      <w:r w:rsidRPr="003C17D4">
        <w:rPr>
          <w:rFonts w:ascii="Arial" w:eastAsia="Calibri" w:hAnsi="Arial" w:cs="Arial"/>
          <w:i/>
          <w:sz w:val="24"/>
          <w:szCs w:val="24"/>
        </w:rPr>
        <w:t>Environmental Planning after Brexit. Working with the Legacy of EU Environmental Directives</w:t>
      </w:r>
      <w:r w:rsidRPr="003C17D4">
        <w:rPr>
          <w:rFonts w:ascii="Arial" w:eastAsia="Calibri" w:hAnsi="Arial" w:cs="Arial"/>
          <w:sz w:val="24"/>
          <w:szCs w:val="24"/>
        </w:rPr>
        <w:t xml:space="preserve">, </w:t>
      </w:r>
      <w:r w:rsidR="00611B9C" w:rsidRPr="003C17D4">
        <w:rPr>
          <w:rFonts w:ascii="Arial" w:hAnsi="Arial" w:cs="Arial"/>
          <w:sz w:val="24"/>
          <w:szCs w:val="24"/>
        </w:rPr>
        <w:t>J</w:t>
      </w:r>
      <w:r w:rsidR="00115178" w:rsidRPr="003C17D4">
        <w:rPr>
          <w:rFonts w:ascii="Arial" w:hAnsi="Arial" w:cs="Arial"/>
          <w:sz w:val="24"/>
          <w:szCs w:val="24"/>
        </w:rPr>
        <w:t xml:space="preserve">anuary, </w:t>
      </w:r>
      <w:r w:rsidRPr="003C17D4">
        <w:rPr>
          <w:rFonts w:ascii="Arial" w:eastAsia="Calibri" w:hAnsi="Arial" w:cs="Arial"/>
          <w:sz w:val="24"/>
          <w:szCs w:val="24"/>
        </w:rPr>
        <w:t>R</w:t>
      </w:r>
      <w:r w:rsidR="00611B9C" w:rsidRPr="003C17D4">
        <w:rPr>
          <w:rFonts w:ascii="Arial" w:hAnsi="Arial" w:cs="Arial"/>
          <w:sz w:val="24"/>
          <w:szCs w:val="24"/>
        </w:rPr>
        <w:t>o</w:t>
      </w:r>
      <w:r w:rsidR="00115178" w:rsidRPr="003C17D4">
        <w:rPr>
          <w:rFonts w:ascii="Arial" w:hAnsi="Arial" w:cs="Arial"/>
          <w:sz w:val="24"/>
          <w:szCs w:val="24"/>
        </w:rPr>
        <w:t>yal</w:t>
      </w:r>
      <w:r w:rsidR="00592849" w:rsidRPr="003C17D4">
        <w:rPr>
          <w:rFonts w:ascii="Arial" w:hAnsi="Arial" w:cs="Arial"/>
          <w:sz w:val="24"/>
          <w:szCs w:val="24"/>
        </w:rPr>
        <w:t xml:space="preserve"> Town Planning Institute</w:t>
      </w:r>
      <w:r w:rsidR="00115178" w:rsidRPr="003C17D4">
        <w:rPr>
          <w:rFonts w:ascii="Arial" w:hAnsi="Arial" w:cs="Arial"/>
          <w:sz w:val="24"/>
          <w:szCs w:val="24"/>
        </w:rPr>
        <w:t xml:space="preserve">, </w:t>
      </w:r>
      <w:hyperlink r:id="rId25" w:history="1">
        <w:r w:rsidRPr="003C17D4">
          <w:rPr>
            <w:rStyle w:val="Hyperlink"/>
            <w:rFonts w:ascii="Arial" w:hAnsi="Arial" w:cs="Arial"/>
            <w:color w:val="auto"/>
            <w:sz w:val="24"/>
            <w:szCs w:val="24"/>
            <w:u w:val="none"/>
          </w:rPr>
          <w:t>https://www.rtpi.org.uk/research/2019/january/environmental-planning-after-brexit/</w:t>
        </w:r>
      </w:hyperlink>
    </w:p>
    <w:p w:rsidR="000E3C7A" w:rsidRPr="003C17D4" w:rsidRDefault="000E3C7A" w:rsidP="0045445F">
      <w:pPr>
        <w:ind w:left="567" w:hanging="567"/>
        <w:rPr>
          <w:rFonts w:ascii="Arial" w:hAnsi="Arial" w:cs="Arial"/>
          <w:sz w:val="24"/>
          <w:szCs w:val="24"/>
        </w:rPr>
      </w:pPr>
      <w:r w:rsidRPr="003C17D4">
        <w:rPr>
          <w:rFonts w:ascii="Arial" w:hAnsi="Arial" w:cs="Arial"/>
          <w:sz w:val="24"/>
          <w:szCs w:val="24"/>
        </w:rPr>
        <w:t>Davoudi</w:t>
      </w:r>
      <w:r w:rsidR="00592849" w:rsidRPr="003C17D4">
        <w:rPr>
          <w:rFonts w:ascii="Arial" w:hAnsi="Arial" w:cs="Arial"/>
          <w:sz w:val="24"/>
          <w:szCs w:val="24"/>
        </w:rPr>
        <w:t>,</w:t>
      </w:r>
      <w:r w:rsidRPr="003C17D4">
        <w:rPr>
          <w:rFonts w:ascii="Arial" w:hAnsi="Arial" w:cs="Arial"/>
          <w:sz w:val="24"/>
          <w:szCs w:val="24"/>
        </w:rPr>
        <w:t xml:space="preserve"> S</w:t>
      </w:r>
      <w:r w:rsidR="00592849" w:rsidRPr="003C17D4">
        <w:rPr>
          <w:rFonts w:ascii="Arial" w:hAnsi="Arial" w:cs="Arial"/>
          <w:sz w:val="24"/>
          <w:szCs w:val="24"/>
        </w:rPr>
        <w:t>.</w:t>
      </w:r>
      <w:r w:rsidRPr="003C17D4">
        <w:rPr>
          <w:rFonts w:ascii="Arial" w:hAnsi="Arial" w:cs="Arial"/>
          <w:sz w:val="24"/>
          <w:szCs w:val="24"/>
        </w:rPr>
        <w:t>, Cowell</w:t>
      </w:r>
      <w:r w:rsidR="00592849" w:rsidRPr="003C17D4">
        <w:rPr>
          <w:rFonts w:ascii="Arial" w:hAnsi="Arial" w:cs="Arial"/>
          <w:sz w:val="24"/>
          <w:szCs w:val="24"/>
        </w:rPr>
        <w:t>,</w:t>
      </w:r>
      <w:r w:rsidRPr="003C17D4">
        <w:rPr>
          <w:rFonts w:ascii="Arial" w:hAnsi="Arial" w:cs="Arial"/>
          <w:sz w:val="24"/>
          <w:szCs w:val="24"/>
        </w:rPr>
        <w:t xml:space="preserve"> R</w:t>
      </w:r>
      <w:r w:rsidR="00592849" w:rsidRPr="003C17D4">
        <w:rPr>
          <w:rFonts w:ascii="Arial" w:hAnsi="Arial" w:cs="Arial"/>
          <w:sz w:val="24"/>
          <w:szCs w:val="24"/>
        </w:rPr>
        <w:t>.</w:t>
      </w:r>
      <w:r w:rsidRPr="003C17D4">
        <w:rPr>
          <w:rFonts w:ascii="Arial" w:hAnsi="Arial" w:cs="Arial"/>
          <w:sz w:val="24"/>
          <w:szCs w:val="24"/>
        </w:rPr>
        <w:t xml:space="preserve">, </w:t>
      </w:r>
      <w:r w:rsidR="00F04318" w:rsidRPr="003C17D4">
        <w:rPr>
          <w:rFonts w:ascii="Arial" w:hAnsi="Arial" w:cs="Arial"/>
          <w:sz w:val="24"/>
          <w:szCs w:val="24"/>
        </w:rPr>
        <w:t>White</w:t>
      </w:r>
      <w:r w:rsidR="00592849" w:rsidRPr="003C17D4">
        <w:rPr>
          <w:rFonts w:ascii="Arial" w:hAnsi="Arial" w:cs="Arial"/>
          <w:sz w:val="24"/>
          <w:szCs w:val="24"/>
        </w:rPr>
        <w:t>,</w:t>
      </w:r>
      <w:r w:rsidR="00F04318" w:rsidRPr="003C17D4">
        <w:rPr>
          <w:rFonts w:ascii="Arial" w:hAnsi="Arial" w:cs="Arial"/>
          <w:sz w:val="24"/>
          <w:szCs w:val="24"/>
        </w:rPr>
        <w:t xml:space="preserve"> I</w:t>
      </w:r>
      <w:r w:rsidR="00592849" w:rsidRPr="003C17D4">
        <w:rPr>
          <w:rFonts w:ascii="Arial" w:hAnsi="Arial" w:cs="Arial"/>
          <w:sz w:val="24"/>
          <w:szCs w:val="24"/>
        </w:rPr>
        <w:t>.</w:t>
      </w:r>
      <w:r w:rsidR="00F04318" w:rsidRPr="003C17D4">
        <w:rPr>
          <w:rFonts w:ascii="Arial" w:hAnsi="Arial" w:cs="Arial"/>
          <w:sz w:val="24"/>
          <w:szCs w:val="24"/>
        </w:rPr>
        <w:t xml:space="preserve"> </w:t>
      </w:r>
      <w:r w:rsidR="00A44010" w:rsidRPr="003C17D4">
        <w:rPr>
          <w:rFonts w:ascii="Arial" w:hAnsi="Arial" w:cs="Arial"/>
          <w:sz w:val="24"/>
          <w:szCs w:val="24"/>
        </w:rPr>
        <w:t>&amp;</w:t>
      </w:r>
      <w:r w:rsidR="00F04318" w:rsidRPr="003C17D4">
        <w:rPr>
          <w:rFonts w:ascii="Arial" w:hAnsi="Arial" w:cs="Arial"/>
          <w:sz w:val="24"/>
          <w:szCs w:val="24"/>
        </w:rPr>
        <w:t xml:space="preserve"> Blanco</w:t>
      </w:r>
      <w:r w:rsidR="00592849" w:rsidRPr="003C17D4">
        <w:rPr>
          <w:rFonts w:ascii="Arial" w:hAnsi="Arial" w:cs="Arial"/>
          <w:sz w:val="24"/>
          <w:szCs w:val="24"/>
        </w:rPr>
        <w:t>,</w:t>
      </w:r>
      <w:r w:rsidR="00F04318" w:rsidRPr="003C17D4">
        <w:rPr>
          <w:rFonts w:ascii="Arial" w:hAnsi="Arial" w:cs="Arial"/>
          <w:sz w:val="24"/>
          <w:szCs w:val="24"/>
        </w:rPr>
        <w:t xml:space="preserve"> H</w:t>
      </w:r>
      <w:r w:rsidR="00592849" w:rsidRPr="003C17D4">
        <w:rPr>
          <w:rFonts w:ascii="Arial" w:hAnsi="Arial" w:cs="Arial"/>
          <w:sz w:val="24"/>
          <w:szCs w:val="24"/>
        </w:rPr>
        <w:t>.</w:t>
      </w:r>
      <w:r w:rsidR="00F04318" w:rsidRPr="003C17D4">
        <w:rPr>
          <w:rFonts w:ascii="Arial" w:hAnsi="Arial" w:cs="Arial"/>
          <w:sz w:val="24"/>
          <w:szCs w:val="24"/>
        </w:rPr>
        <w:t xml:space="preserve"> Eds.</w:t>
      </w:r>
      <w:r w:rsidRPr="003C17D4">
        <w:rPr>
          <w:rFonts w:ascii="Arial" w:hAnsi="Arial" w:cs="Arial"/>
          <w:sz w:val="24"/>
          <w:szCs w:val="24"/>
        </w:rPr>
        <w:t xml:space="preserve"> (2019)</w:t>
      </w:r>
      <w:r w:rsidR="00592849" w:rsidRPr="003C17D4">
        <w:rPr>
          <w:rFonts w:ascii="Arial" w:hAnsi="Arial" w:cs="Arial"/>
          <w:sz w:val="24"/>
          <w:szCs w:val="24"/>
        </w:rPr>
        <w:t xml:space="preserve">. </w:t>
      </w:r>
      <w:r w:rsidR="00F04318" w:rsidRPr="003C17D4">
        <w:rPr>
          <w:rFonts w:ascii="Arial" w:hAnsi="Arial" w:cs="Arial"/>
          <w:i/>
          <w:sz w:val="24"/>
          <w:szCs w:val="24"/>
        </w:rPr>
        <w:t>The Routledge Companion to Environmental Planning</w:t>
      </w:r>
      <w:r w:rsidR="00F04318" w:rsidRPr="003C17D4">
        <w:rPr>
          <w:rFonts w:ascii="Arial" w:hAnsi="Arial" w:cs="Arial"/>
          <w:sz w:val="24"/>
          <w:szCs w:val="24"/>
        </w:rPr>
        <w:t>, Routledge</w:t>
      </w:r>
      <w:r w:rsidR="00A44010" w:rsidRPr="003C17D4">
        <w:rPr>
          <w:rFonts w:ascii="Arial" w:hAnsi="Arial" w:cs="Arial"/>
          <w:sz w:val="24"/>
          <w:szCs w:val="24"/>
        </w:rPr>
        <w:t>.</w:t>
      </w:r>
    </w:p>
    <w:p w:rsidR="003A5B0D" w:rsidRPr="003C17D4" w:rsidRDefault="003A5B0D" w:rsidP="0045445F">
      <w:pPr>
        <w:ind w:left="567" w:hanging="567"/>
        <w:rPr>
          <w:rFonts w:ascii="Arial" w:hAnsi="Arial" w:cs="Arial"/>
          <w:sz w:val="24"/>
          <w:szCs w:val="24"/>
        </w:rPr>
      </w:pPr>
      <w:r w:rsidRPr="003C17D4">
        <w:rPr>
          <w:rFonts w:ascii="Arial" w:hAnsi="Arial" w:cs="Arial"/>
          <w:sz w:val="24"/>
          <w:szCs w:val="24"/>
        </w:rPr>
        <w:t>Dühr</w:t>
      </w:r>
      <w:r w:rsidR="00592849" w:rsidRPr="003C17D4">
        <w:rPr>
          <w:rFonts w:ascii="Arial" w:hAnsi="Arial" w:cs="Arial"/>
          <w:sz w:val="24"/>
          <w:szCs w:val="24"/>
        </w:rPr>
        <w:t>,</w:t>
      </w:r>
      <w:r w:rsidRPr="003C17D4">
        <w:rPr>
          <w:rFonts w:ascii="Arial" w:hAnsi="Arial" w:cs="Arial"/>
          <w:sz w:val="24"/>
          <w:szCs w:val="24"/>
        </w:rPr>
        <w:t xml:space="preserve"> S</w:t>
      </w:r>
      <w:r w:rsidR="00592849" w:rsidRPr="003C17D4">
        <w:rPr>
          <w:rFonts w:ascii="Arial" w:hAnsi="Arial" w:cs="Arial"/>
          <w:sz w:val="24"/>
          <w:szCs w:val="24"/>
        </w:rPr>
        <w:t>.</w:t>
      </w:r>
      <w:r w:rsidRPr="003C17D4">
        <w:rPr>
          <w:rFonts w:ascii="Arial" w:hAnsi="Arial" w:cs="Arial"/>
          <w:sz w:val="24"/>
          <w:szCs w:val="24"/>
        </w:rPr>
        <w:t>, Colomb</w:t>
      </w:r>
      <w:r w:rsidR="00592849" w:rsidRPr="003C17D4">
        <w:rPr>
          <w:rFonts w:ascii="Arial" w:hAnsi="Arial" w:cs="Arial"/>
          <w:sz w:val="24"/>
          <w:szCs w:val="24"/>
        </w:rPr>
        <w:t>,</w:t>
      </w:r>
      <w:r w:rsidRPr="003C17D4">
        <w:rPr>
          <w:rFonts w:ascii="Arial" w:hAnsi="Arial" w:cs="Arial"/>
          <w:sz w:val="24"/>
          <w:szCs w:val="24"/>
        </w:rPr>
        <w:t xml:space="preserve"> C</w:t>
      </w:r>
      <w:r w:rsidR="00592849" w:rsidRPr="003C17D4">
        <w:rPr>
          <w:rFonts w:ascii="Arial" w:hAnsi="Arial" w:cs="Arial"/>
          <w:sz w:val="24"/>
          <w:szCs w:val="24"/>
        </w:rPr>
        <w:t>.</w:t>
      </w:r>
      <w:r w:rsidRPr="003C17D4">
        <w:rPr>
          <w:rFonts w:ascii="Arial" w:hAnsi="Arial" w:cs="Arial"/>
          <w:sz w:val="24"/>
          <w:szCs w:val="24"/>
        </w:rPr>
        <w:t xml:space="preserve"> </w:t>
      </w:r>
      <w:r w:rsidR="00A44010" w:rsidRPr="003C17D4">
        <w:rPr>
          <w:rFonts w:ascii="Arial" w:hAnsi="Arial" w:cs="Arial"/>
          <w:sz w:val="24"/>
          <w:szCs w:val="24"/>
        </w:rPr>
        <w:t>&amp;</w:t>
      </w:r>
      <w:r w:rsidRPr="003C17D4">
        <w:rPr>
          <w:rFonts w:ascii="Arial" w:hAnsi="Arial" w:cs="Arial"/>
          <w:sz w:val="24"/>
          <w:szCs w:val="24"/>
        </w:rPr>
        <w:t xml:space="preserve"> Nadin</w:t>
      </w:r>
      <w:r w:rsidR="00592849" w:rsidRPr="003C17D4">
        <w:rPr>
          <w:rFonts w:ascii="Arial" w:hAnsi="Arial" w:cs="Arial"/>
          <w:sz w:val="24"/>
          <w:szCs w:val="24"/>
        </w:rPr>
        <w:t>,</w:t>
      </w:r>
      <w:r w:rsidRPr="003C17D4">
        <w:rPr>
          <w:rFonts w:ascii="Arial" w:hAnsi="Arial" w:cs="Arial"/>
          <w:sz w:val="24"/>
          <w:szCs w:val="24"/>
        </w:rPr>
        <w:t xml:space="preserve"> V</w:t>
      </w:r>
      <w:r w:rsidR="00592849" w:rsidRPr="003C17D4">
        <w:rPr>
          <w:rFonts w:ascii="Arial" w:hAnsi="Arial" w:cs="Arial"/>
          <w:sz w:val="24"/>
          <w:szCs w:val="24"/>
        </w:rPr>
        <w:t>.</w:t>
      </w:r>
      <w:r w:rsidRPr="003C17D4">
        <w:rPr>
          <w:rFonts w:ascii="Arial" w:hAnsi="Arial" w:cs="Arial"/>
          <w:sz w:val="24"/>
          <w:szCs w:val="24"/>
        </w:rPr>
        <w:t xml:space="preserve"> (2010)</w:t>
      </w:r>
      <w:r w:rsidR="00592849"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European Spatial Planning and Territorial Cooperation</w:t>
      </w:r>
      <w:r w:rsidRPr="003C17D4">
        <w:rPr>
          <w:rFonts w:ascii="Arial" w:hAnsi="Arial" w:cs="Arial"/>
          <w:sz w:val="24"/>
          <w:szCs w:val="24"/>
        </w:rPr>
        <w:t>, Routledge</w:t>
      </w:r>
      <w:r w:rsidR="00A44010" w:rsidRPr="003C17D4">
        <w:rPr>
          <w:rFonts w:ascii="Arial" w:hAnsi="Arial" w:cs="Arial"/>
          <w:sz w:val="24"/>
          <w:szCs w:val="24"/>
        </w:rPr>
        <w:t>.</w:t>
      </w:r>
    </w:p>
    <w:p w:rsidR="00D41F6F" w:rsidRPr="003C17D4" w:rsidRDefault="00D41F6F" w:rsidP="0045445F">
      <w:pPr>
        <w:ind w:left="567" w:hanging="567"/>
        <w:rPr>
          <w:rFonts w:ascii="Arial" w:hAnsi="Arial" w:cs="Arial"/>
          <w:sz w:val="24"/>
          <w:szCs w:val="24"/>
        </w:rPr>
      </w:pPr>
      <w:r w:rsidRPr="003C17D4">
        <w:rPr>
          <w:rFonts w:ascii="Arial" w:hAnsi="Arial" w:cs="Arial"/>
          <w:sz w:val="24"/>
          <w:szCs w:val="24"/>
        </w:rPr>
        <w:t>Enevoldsen</w:t>
      </w:r>
      <w:r w:rsidR="00592849" w:rsidRPr="003C17D4">
        <w:rPr>
          <w:rFonts w:ascii="Arial" w:hAnsi="Arial" w:cs="Arial"/>
          <w:sz w:val="24"/>
          <w:szCs w:val="24"/>
        </w:rPr>
        <w:t>,</w:t>
      </w:r>
      <w:r w:rsidRPr="003C17D4">
        <w:rPr>
          <w:rFonts w:ascii="Arial" w:hAnsi="Arial" w:cs="Arial"/>
          <w:sz w:val="24"/>
          <w:szCs w:val="24"/>
        </w:rPr>
        <w:t xml:space="preserve"> M</w:t>
      </w:r>
      <w:r w:rsidR="00592849" w:rsidRPr="003C17D4">
        <w:rPr>
          <w:rFonts w:ascii="Arial" w:hAnsi="Arial" w:cs="Arial"/>
          <w:sz w:val="24"/>
          <w:szCs w:val="24"/>
        </w:rPr>
        <w:t>.</w:t>
      </w:r>
      <w:r w:rsidRPr="003C17D4">
        <w:rPr>
          <w:rFonts w:ascii="Arial" w:hAnsi="Arial" w:cs="Arial"/>
          <w:sz w:val="24"/>
          <w:szCs w:val="24"/>
        </w:rPr>
        <w:t xml:space="preserve"> (1997)</w:t>
      </w:r>
      <w:r w:rsidR="00592849" w:rsidRPr="003C17D4">
        <w:rPr>
          <w:rFonts w:ascii="Arial" w:hAnsi="Arial" w:cs="Arial"/>
          <w:sz w:val="24"/>
          <w:szCs w:val="24"/>
        </w:rPr>
        <w:t>,</w:t>
      </w:r>
      <w:r w:rsidRPr="003C17D4">
        <w:rPr>
          <w:rFonts w:ascii="Arial" w:hAnsi="Arial" w:cs="Arial"/>
          <w:sz w:val="24"/>
          <w:szCs w:val="24"/>
        </w:rPr>
        <w:t xml:space="preserve"> ‘Policy styles and political subcultures’, paper presented at the Symposium ‘The Innovation of Environmental Policy’, Bologna University, Italy, 21-25 July.</w:t>
      </w:r>
    </w:p>
    <w:p w:rsidR="001B033D" w:rsidRPr="003C17D4" w:rsidRDefault="00DA7812" w:rsidP="001B033D">
      <w:pPr>
        <w:ind w:left="567" w:hanging="567"/>
        <w:rPr>
          <w:rFonts w:ascii="Arial" w:eastAsia="Times New Roman" w:hAnsi="Arial" w:cs="Arial"/>
          <w:sz w:val="24"/>
          <w:szCs w:val="24"/>
          <w:lang w:eastAsia="en-GB"/>
        </w:rPr>
      </w:pPr>
      <w:r w:rsidRPr="003C17D4">
        <w:rPr>
          <w:rFonts w:ascii="Arial" w:hAnsi="Arial" w:cs="Arial"/>
          <w:sz w:val="24"/>
          <w:szCs w:val="24"/>
        </w:rPr>
        <w:t xml:space="preserve">Fischer, T.B. </w:t>
      </w:r>
      <w:r w:rsidR="00FF00A6" w:rsidRPr="003C17D4">
        <w:rPr>
          <w:rFonts w:ascii="Arial" w:hAnsi="Arial" w:cs="Arial"/>
          <w:sz w:val="24"/>
          <w:szCs w:val="24"/>
        </w:rPr>
        <w:t>(</w:t>
      </w:r>
      <w:r w:rsidRPr="003C17D4">
        <w:rPr>
          <w:rFonts w:ascii="Arial" w:hAnsi="Arial" w:cs="Arial"/>
          <w:sz w:val="24"/>
          <w:szCs w:val="24"/>
        </w:rPr>
        <w:t>1999</w:t>
      </w:r>
      <w:r w:rsidR="00FF00A6" w:rsidRPr="003C17D4">
        <w:rPr>
          <w:rFonts w:ascii="Arial" w:hAnsi="Arial" w:cs="Arial"/>
          <w:sz w:val="24"/>
          <w:szCs w:val="24"/>
        </w:rPr>
        <w:t>)</w:t>
      </w:r>
      <w:r w:rsidR="00747B67" w:rsidRPr="003C17D4">
        <w:rPr>
          <w:rFonts w:ascii="Arial" w:hAnsi="Arial" w:cs="Arial"/>
          <w:sz w:val="24"/>
          <w:szCs w:val="24"/>
        </w:rPr>
        <w:t xml:space="preserve"> </w:t>
      </w:r>
      <w:r w:rsidRPr="003C17D4">
        <w:rPr>
          <w:rFonts w:ascii="Arial" w:hAnsi="Arial" w:cs="Arial"/>
          <w:sz w:val="24"/>
          <w:szCs w:val="24"/>
        </w:rPr>
        <w:t>The consideration of sustainability aspects within transport infrastructure related policies, plans and programmes</w:t>
      </w:r>
      <w:r w:rsidR="00B615B3"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 xml:space="preserve">Journal of Environmental Planning and Management, </w:t>
      </w:r>
      <w:r w:rsidRPr="003C17D4">
        <w:rPr>
          <w:rFonts w:ascii="Arial" w:hAnsi="Arial" w:cs="Arial"/>
          <w:sz w:val="24"/>
          <w:szCs w:val="24"/>
        </w:rPr>
        <w:t>42(2): 189-219</w:t>
      </w:r>
      <w:r w:rsidR="00A44010" w:rsidRPr="003C17D4">
        <w:rPr>
          <w:rFonts w:ascii="Arial" w:hAnsi="Arial" w:cs="Arial"/>
          <w:sz w:val="24"/>
          <w:szCs w:val="24"/>
        </w:rPr>
        <w:t>.</w:t>
      </w:r>
      <w:r w:rsidR="001B033D" w:rsidRPr="003C17D4">
        <w:rPr>
          <w:rFonts w:ascii="Arial" w:hAnsi="Arial" w:cs="Arial"/>
          <w:sz w:val="24"/>
          <w:szCs w:val="24"/>
        </w:rPr>
        <w:t xml:space="preserve"> </w:t>
      </w:r>
      <w:hyperlink r:id="rId26" w:history="1">
        <w:r w:rsidR="001B033D" w:rsidRPr="003C17D4">
          <w:rPr>
            <w:rFonts w:ascii="Arial" w:eastAsia="Times New Roman" w:hAnsi="Arial" w:cs="Arial"/>
            <w:sz w:val="24"/>
            <w:szCs w:val="24"/>
            <w:lang w:eastAsia="en-GB"/>
          </w:rPr>
          <w:t>https://doi.org/10.1080/09640569911217</w:t>
        </w:r>
      </w:hyperlink>
    </w:p>
    <w:p w:rsidR="001B033D" w:rsidRPr="003C17D4" w:rsidRDefault="008134A3" w:rsidP="001B033D">
      <w:pPr>
        <w:ind w:left="567" w:hanging="567"/>
        <w:rPr>
          <w:rFonts w:ascii="Arial" w:eastAsia="Times New Roman" w:hAnsi="Arial" w:cs="Arial"/>
          <w:sz w:val="24"/>
          <w:szCs w:val="24"/>
          <w:lang w:eastAsia="en-GB"/>
        </w:rPr>
      </w:pPr>
      <w:r w:rsidRPr="003C17D4">
        <w:rPr>
          <w:rFonts w:ascii="Arial" w:hAnsi="Arial" w:cs="Arial"/>
          <w:sz w:val="24"/>
          <w:szCs w:val="24"/>
        </w:rPr>
        <w:t xml:space="preserve">Gleeson, B. and Low, N. (2000) </w:t>
      </w:r>
      <w:r w:rsidR="001B033D" w:rsidRPr="003C17D4">
        <w:rPr>
          <w:rFonts w:ascii="Arial" w:hAnsi="Arial" w:cs="Arial"/>
          <w:sz w:val="24"/>
          <w:szCs w:val="24"/>
        </w:rPr>
        <w:t>“</w:t>
      </w:r>
      <w:r w:rsidRPr="003C17D4">
        <w:rPr>
          <w:rFonts w:ascii="Arial" w:hAnsi="Arial" w:cs="Arial"/>
          <w:sz w:val="24"/>
          <w:szCs w:val="24"/>
        </w:rPr>
        <w:t>Unfinished business”: neo-liberal planning reform in Australia</w:t>
      </w:r>
      <w:r w:rsidR="00B615B3"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Urban Policy and Research</w:t>
      </w:r>
      <w:r w:rsidRPr="003C17D4">
        <w:rPr>
          <w:rFonts w:ascii="Arial" w:hAnsi="Arial" w:cs="Arial"/>
          <w:sz w:val="24"/>
          <w:szCs w:val="24"/>
        </w:rPr>
        <w:t xml:space="preserve"> 18(1), 7-28</w:t>
      </w:r>
      <w:r w:rsidR="001B033D" w:rsidRPr="003C17D4">
        <w:rPr>
          <w:rFonts w:ascii="Arial" w:hAnsi="Arial" w:cs="Arial"/>
          <w:sz w:val="24"/>
          <w:szCs w:val="24"/>
        </w:rPr>
        <w:t xml:space="preserve">. </w:t>
      </w:r>
      <w:hyperlink r:id="rId27" w:history="1">
        <w:r w:rsidR="001B033D" w:rsidRPr="003C17D4">
          <w:rPr>
            <w:rFonts w:ascii="Arial" w:eastAsia="Times New Roman" w:hAnsi="Arial" w:cs="Arial"/>
            <w:sz w:val="24"/>
            <w:szCs w:val="24"/>
            <w:lang w:eastAsia="en-GB"/>
          </w:rPr>
          <w:t>https://doi.org/10.1080/08111140008727821</w:t>
        </w:r>
      </w:hyperlink>
    </w:p>
    <w:p w:rsidR="000E3C7A" w:rsidRPr="003C17D4" w:rsidRDefault="000E3C7A" w:rsidP="0045445F">
      <w:pPr>
        <w:ind w:left="567" w:hanging="567"/>
        <w:rPr>
          <w:rStyle w:val="Bodytext8NotItalic"/>
          <w:rFonts w:ascii="Arial" w:eastAsiaTheme="minorHAnsi" w:hAnsi="Arial" w:cs="Arial"/>
          <w:i w:val="0"/>
          <w:color w:val="auto"/>
          <w:sz w:val="24"/>
          <w:szCs w:val="24"/>
        </w:rPr>
      </w:pPr>
      <w:r w:rsidRPr="003C17D4">
        <w:rPr>
          <w:rStyle w:val="numberofpages"/>
          <w:rFonts w:ascii="Arial" w:hAnsi="Arial" w:cs="Arial"/>
          <w:sz w:val="24"/>
          <w:szCs w:val="24"/>
          <w:shd w:val="clear" w:color="auto" w:fill="FFFFFF"/>
        </w:rPr>
        <w:t>Haigh</w:t>
      </w:r>
      <w:r w:rsidR="00747B67"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N</w:t>
      </w:r>
      <w:r w:rsidR="00747B67"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(1987)</w:t>
      </w:r>
      <w:r w:rsidR="001B033D"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Environmental Assessment – the EC Directive</w:t>
      </w:r>
      <w:r w:rsidR="00B615B3"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w:t>
      </w:r>
      <w:r w:rsidRPr="003C17D4">
        <w:rPr>
          <w:rStyle w:val="numberofpages"/>
          <w:rFonts w:ascii="Arial" w:hAnsi="Arial" w:cs="Arial"/>
          <w:i/>
          <w:sz w:val="24"/>
          <w:szCs w:val="24"/>
          <w:shd w:val="clear" w:color="auto" w:fill="FFFFFF"/>
        </w:rPr>
        <w:t>Journal of Planning &amp; Environment Law</w:t>
      </w:r>
      <w:r w:rsidR="00747B67" w:rsidRPr="003C17D4">
        <w:rPr>
          <w:rStyle w:val="numberofpages"/>
          <w:rFonts w:ascii="Arial" w:hAnsi="Arial" w:cs="Arial"/>
          <w:i/>
          <w:sz w:val="24"/>
          <w:szCs w:val="24"/>
          <w:shd w:val="clear" w:color="auto" w:fill="FFFFFF"/>
        </w:rPr>
        <w:t xml:space="preserve"> </w:t>
      </w:r>
      <w:r w:rsidRPr="003C17D4">
        <w:rPr>
          <w:rStyle w:val="numberofpages"/>
          <w:rFonts w:ascii="Arial" w:hAnsi="Arial" w:cs="Arial"/>
          <w:sz w:val="24"/>
          <w:szCs w:val="24"/>
          <w:shd w:val="clear" w:color="auto" w:fill="FFFFFF"/>
        </w:rPr>
        <w:t>pp.4-20</w:t>
      </w:r>
      <w:r w:rsidR="00A44010" w:rsidRPr="003C17D4">
        <w:rPr>
          <w:rStyle w:val="numberofpages"/>
          <w:rFonts w:ascii="Arial" w:hAnsi="Arial" w:cs="Arial"/>
          <w:sz w:val="24"/>
          <w:szCs w:val="24"/>
          <w:shd w:val="clear" w:color="auto" w:fill="FFFFFF"/>
        </w:rPr>
        <w:t>.</w:t>
      </w:r>
    </w:p>
    <w:p w:rsidR="000E3C7A" w:rsidRPr="003C17D4" w:rsidRDefault="000E3C7A" w:rsidP="00E32DF7">
      <w:pPr>
        <w:ind w:left="567" w:hanging="567"/>
        <w:rPr>
          <w:rFonts w:ascii="Arial" w:hAnsi="Arial" w:cs="Arial"/>
          <w:sz w:val="24"/>
          <w:szCs w:val="24"/>
        </w:rPr>
      </w:pPr>
      <w:r w:rsidRPr="003C17D4">
        <w:rPr>
          <w:rFonts w:ascii="Arial" w:eastAsia="Calibri" w:hAnsi="Arial" w:cs="Arial"/>
          <w:sz w:val="24"/>
          <w:szCs w:val="24"/>
        </w:rPr>
        <w:t>H</w:t>
      </w:r>
      <w:r w:rsidR="00F04318" w:rsidRPr="003C17D4">
        <w:rPr>
          <w:rFonts w:ascii="Arial" w:hAnsi="Arial" w:cs="Arial"/>
          <w:sz w:val="24"/>
          <w:szCs w:val="24"/>
        </w:rPr>
        <w:t xml:space="preserve">ealey, P. </w:t>
      </w:r>
      <w:r w:rsidR="00A44010" w:rsidRPr="003C17D4">
        <w:rPr>
          <w:rFonts w:ascii="Arial" w:hAnsi="Arial" w:cs="Arial"/>
          <w:sz w:val="24"/>
          <w:szCs w:val="24"/>
        </w:rPr>
        <w:t>&amp;</w:t>
      </w:r>
      <w:r w:rsidR="00F04318" w:rsidRPr="003C17D4">
        <w:rPr>
          <w:rFonts w:ascii="Arial" w:hAnsi="Arial" w:cs="Arial"/>
          <w:sz w:val="24"/>
          <w:szCs w:val="24"/>
        </w:rPr>
        <w:t xml:space="preserve"> Shaw, T. (1994)</w:t>
      </w:r>
      <w:r w:rsidR="00747B67" w:rsidRPr="003C17D4">
        <w:rPr>
          <w:rFonts w:ascii="Arial" w:hAnsi="Arial" w:cs="Arial"/>
          <w:sz w:val="24"/>
          <w:szCs w:val="24"/>
        </w:rPr>
        <w:t>.</w:t>
      </w:r>
      <w:r w:rsidR="00F04318" w:rsidRPr="003C17D4">
        <w:rPr>
          <w:rFonts w:ascii="Arial" w:hAnsi="Arial" w:cs="Arial"/>
          <w:sz w:val="24"/>
          <w:szCs w:val="24"/>
        </w:rPr>
        <w:t xml:space="preserve"> </w:t>
      </w:r>
      <w:r w:rsidRPr="003C17D4">
        <w:rPr>
          <w:rFonts w:ascii="Arial" w:eastAsia="Calibri" w:hAnsi="Arial" w:cs="Arial"/>
          <w:sz w:val="24"/>
          <w:szCs w:val="24"/>
        </w:rPr>
        <w:t>Changing meanings of ‘environment’</w:t>
      </w:r>
      <w:r w:rsidR="00F04318" w:rsidRPr="003C17D4">
        <w:rPr>
          <w:rFonts w:ascii="Arial" w:hAnsi="Arial" w:cs="Arial"/>
          <w:sz w:val="24"/>
          <w:szCs w:val="24"/>
        </w:rPr>
        <w:t xml:space="preserve"> in the British planning system</w:t>
      </w:r>
      <w:r w:rsidR="00B615B3" w:rsidRPr="003C17D4">
        <w:rPr>
          <w:rFonts w:ascii="Arial" w:eastAsia="Calibri" w:hAnsi="Arial" w:cs="Arial"/>
          <w:sz w:val="24"/>
          <w:szCs w:val="24"/>
        </w:rPr>
        <w:t>.</w:t>
      </w:r>
      <w:r w:rsidRPr="003C17D4">
        <w:rPr>
          <w:rFonts w:ascii="Arial" w:eastAsia="Calibri" w:hAnsi="Arial" w:cs="Arial"/>
          <w:sz w:val="24"/>
          <w:szCs w:val="24"/>
        </w:rPr>
        <w:t xml:space="preserve"> </w:t>
      </w:r>
      <w:r w:rsidRPr="003C17D4">
        <w:rPr>
          <w:rFonts w:ascii="Arial" w:eastAsia="Calibri" w:hAnsi="Arial" w:cs="Arial"/>
          <w:i/>
          <w:sz w:val="24"/>
          <w:szCs w:val="24"/>
        </w:rPr>
        <w:t>Transactions of the Institute of British Geographers</w:t>
      </w:r>
      <w:r w:rsidRPr="003C17D4">
        <w:rPr>
          <w:rFonts w:ascii="Arial" w:eastAsia="Calibri" w:hAnsi="Arial" w:cs="Arial"/>
          <w:sz w:val="24"/>
          <w:szCs w:val="24"/>
        </w:rPr>
        <w:t>, 19</w:t>
      </w:r>
      <w:r w:rsidR="00F04318" w:rsidRPr="003C17D4">
        <w:rPr>
          <w:rFonts w:ascii="Arial" w:hAnsi="Arial" w:cs="Arial"/>
          <w:sz w:val="24"/>
          <w:szCs w:val="24"/>
        </w:rPr>
        <w:t>(4) 425-438</w:t>
      </w:r>
      <w:r w:rsidR="00A44010" w:rsidRPr="003C17D4">
        <w:rPr>
          <w:rFonts w:ascii="Arial" w:hAnsi="Arial" w:cs="Arial"/>
          <w:sz w:val="24"/>
          <w:szCs w:val="24"/>
        </w:rPr>
        <w:t>.</w:t>
      </w:r>
      <w:r w:rsidR="001B033D" w:rsidRPr="003C17D4">
        <w:rPr>
          <w:rFonts w:ascii="Arial" w:hAnsi="Arial" w:cs="Arial"/>
          <w:sz w:val="24"/>
          <w:szCs w:val="24"/>
        </w:rPr>
        <w:t xml:space="preserve"> </w:t>
      </w:r>
      <w:r w:rsidR="001B033D" w:rsidRPr="003C17D4">
        <w:rPr>
          <w:rFonts w:ascii="Arial" w:hAnsi="Arial" w:cs="Arial"/>
          <w:sz w:val="24"/>
          <w:szCs w:val="24"/>
          <w:shd w:val="clear" w:color="auto" w:fill="FFFFFF"/>
        </w:rPr>
        <w:t>DOI: 10.2307/622833</w:t>
      </w:r>
    </w:p>
    <w:p w:rsidR="000E3C7A" w:rsidRPr="003C17D4" w:rsidRDefault="00F04318" w:rsidP="00E32DF7">
      <w:pPr>
        <w:ind w:left="567" w:hanging="567"/>
        <w:rPr>
          <w:rFonts w:ascii="Arial" w:hAnsi="Arial" w:cs="Arial"/>
          <w:sz w:val="24"/>
          <w:szCs w:val="24"/>
        </w:rPr>
      </w:pPr>
      <w:r w:rsidRPr="003C17D4">
        <w:rPr>
          <w:rFonts w:ascii="Arial" w:hAnsi="Arial" w:cs="Arial"/>
          <w:sz w:val="24"/>
          <w:szCs w:val="24"/>
        </w:rPr>
        <w:t>HM Government (2018)</w:t>
      </w:r>
      <w:r w:rsidR="00747B67"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 xml:space="preserve">A Green Future. Our 25 Year Plan to </w:t>
      </w:r>
      <w:r w:rsidR="00403B73" w:rsidRPr="003C17D4">
        <w:rPr>
          <w:rFonts w:ascii="Arial" w:hAnsi="Arial" w:cs="Arial"/>
          <w:i/>
          <w:sz w:val="24"/>
          <w:szCs w:val="24"/>
        </w:rPr>
        <w:t>Improve the Environment</w:t>
      </w:r>
      <w:r w:rsidR="00403B73" w:rsidRPr="003C17D4">
        <w:rPr>
          <w:rFonts w:ascii="Arial" w:hAnsi="Arial" w:cs="Arial"/>
          <w:sz w:val="24"/>
          <w:szCs w:val="24"/>
        </w:rPr>
        <w:t>, Crown Copyright.</w:t>
      </w:r>
    </w:p>
    <w:p w:rsidR="00F271E6" w:rsidRPr="003C17D4" w:rsidRDefault="00F271E6" w:rsidP="00E32DF7">
      <w:pPr>
        <w:ind w:left="567" w:hanging="567"/>
        <w:rPr>
          <w:rFonts w:ascii="Arial" w:hAnsi="Arial" w:cs="Arial"/>
          <w:sz w:val="24"/>
          <w:szCs w:val="24"/>
        </w:rPr>
      </w:pPr>
      <w:r w:rsidRPr="003C17D4">
        <w:rPr>
          <w:rFonts w:ascii="Arial" w:hAnsi="Arial" w:cs="Arial"/>
          <w:sz w:val="24"/>
          <w:szCs w:val="24"/>
        </w:rPr>
        <w:t xml:space="preserve">HM Government (2020). </w:t>
      </w:r>
      <w:r w:rsidRPr="003C17D4">
        <w:rPr>
          <w:rFonts w:ascii="Arial" w:hAnsi="Arial" w:cs="Arial"/>
          <w:i/>
          <w:sz w:val="24"/>
          <w:szCs w:val="24"/>
        </w:rPr>
        <w:t>Environment Bill</w:t>
      </w:r>
      <w:r w:rsidRPr="003C17D4">
        <w:rPr>
          <w:rFonts w:ascii="Arial" w:hAnsi="Arial" w:cs="Arial"/>
          <w:sz w:val="24"/>
          <w:szCs w:val="24"/>
        </w:rPr>
        <w:t>, as introduced 30</w:t>
      </w:r>
      <w:r w:rsidRPr="003C17D4">
        <w:rPr>
          <w:rFonts w:ascii="Arial" w:hAnsi="Arial" w:cs="Arial"/>
          <w:sz w:val="24"/>
          <w:szCs w:val="24"/>
          <w:vertAlign w:val="superscript"/>
        </w:rPr>
        <w:t>th</w:t>
      </w:r>
      <w:r w:rsidRPr="003C17D4">
        <w:rPr>
          <w:rFonts w:ascii="Arial" w:hAnsi="Arial" w:cs="Arial"/>
          <w:sz w:val="24"/>
          <w:szCs w:val="24"/>
        </w:rPr>
        <w:t xml:space="preserve"> January, Parliamentary Copyright House of Commons</w:t>
      </w:r>
    </w:p>
    <w:p w:rsidR="00403B73" w:rsidRPr="003C17D4" w:rsidRDefault="00487B7B" w:rsidP="00E32DF7">
      <w:pPr>
        <w:ind w:left="567" w:hanging="567"/>
        <w:rPr>
          <w:rFonts w:ascii="Arial" w:hAnsi="Arial" w:cs="Arial"/>
          <w:sz w:val="24"/>
          <w:szCs w:val="24"/>
        </w:rPr>
      </w:pPr>
      <w:r w:rsidRPr="003C17D4">
        <w:rPr>
          <w:rFonts w:ascii="Arial" w:hAnsi="Arial" w:cs="Arial"/>
          <w:sz w:val="24"/>
          <w:szCs w:val="24"/>
        </w:rPr>
        <w:t>Honache</w:t>
      </w:r>
      <w:r w:rsidR="00403B73" w:rsidRPr="003C17D4">
        <w:rPr>
          <w:rFonts w:ascii="Arial" w:hAnsi="Arial" w:cs="Arial"/>
          <w:sz w:val="24"/>
          <w:szCs w:val="24"/>
        </w:rPr>
        <w:t>f</w:t>
      </w:r>
      <w:r w:rsidRPr="003C17D4">
        <w:rPr>
          <w:rFonts w:ascii="Arial" w:hAnsi="Arial" w:cs="Arial"/>
          <w:sz w:val="24"/>
          <w:szCs w:val="24"/>
        </w:rPr>
        <w:t>sky</w:t>
      </w:r>
      <w:r w:rsidR="00747B67" w:rsidRPr="003C17D4">
        <w:rPr>
          <w:rFonts w:ascii="Arial" w:hAnsi="Arial" w:cs="Arial"/>
          <w:sz w:val="24"/>
          <w:szCs w:val="24"/>
        </w:rPr>
        <w:t>,</w:t>
      </w:r>
      <w:r w:rsidRPr="003C17D4">
        <w:rPr>
          <w:rFonts w:ascii="Arial" w:hAnsi="Arial" w:cs="Arial"/>
          <w:sz w:val="24"/>
          <w:szCs w:val="24"/>
        </w:rPr>
        <w:t xml:space="preserve"> W</w:t>
      </w:r>
      <w:r w:rsidR="00747B67" w:rsidRPr="003C17D4">
        <w:rPr>
          <w:rFonts w:ascii="Arial" w:hAnsi="Arial" w:cs="Arial"/>
          <w:sz w:val="24"/>
          <w:szCs w:val="24"/>
        </w:rPr>
        <w:t>.</w:t>
      </w:r>
      <w:r w:rsidRPr="003C17D4">
        <w:rPr>
          <w:rFonts w:ascii="Arial" w:hAnsi="Arial" w:cs="Arial"/>
          <w:sz w:val="24"/>
          <w:szCs w:val="24"/>
        </w:rPr>
        <w:t xml:space="preserve"> </w:t>
      </w:r>
      <w:r w:rsidR="00403B73" w:rsidRPr="003C17D4">
        <w:rPr>
          <w:rFonts w:ascii="Arial" w:hAnsi="Arial" w:cs="Arial"/>
          <w:sz w:val="24"/>
          <w:szCs w:val="24"/>
        </w:rPr>
        <w:t>(1999)</w:t>
      </w:r>
      <w:r w:rsidR="00747B67" w:rsidRPr="003C17D4">
        <w:rPr>
          <w:rFonts w:ascii="Arial" w:hAnsi="Arial" w:cs="Arial"/>
          <w:sz w:val="24"/>
          <w:szCs w:val="24"/>
        </w:rPr>
        <w:t>.</w:t>
      </w:r>
      <w:r w:rsidR="00403B73" w:rsidRPr="003C17D4">
        <w:rPr>
          <w:rFonts w:ascii="Arial" w:hAnsi="Arial" w:cs="Arial"/>
          <w:sz w:val="24"/>
          <w:szCs w:val="24"/>
        </w:rPr>
        <w:t xml:space="preserve"> </w:t>
      </w:r>
      <w:r w:rsidR="008134A3" w:rsidRPr="003C17D4">
        <w:rPr>
          <w:rFonts w:ascii="Arial" w:hAnsi="Arial" w:cs="Arial"/>
          <w:i/>
          <w:sz w:val="24"/>
          <w:szCs w:val="24"/>
        </w:rPr>
        <w:t>Ecologically Based Municipal Land Use Planning</w:t>
      </w:r>
      <w:r w:rsidR="00403B73" w:rsidRPr="003C17D4">
        <w:rPr>
          <w:rFonts w:ascii="Arial" w:hAnsi="Arial" w:cs="Arial"/>
          <w:sz w:val="24"/>
          <w:szCs w:val="24"/>
        </w:rPr>
        <w:t>, CRC Press</w:t>
      </w:r>
      <w:r w:rsidR="00A44010" w:rsidRPr="003C17D4">
        <w:rPr>
          <w:rFonts w:ascii="Arial" w:hAnsi="Arial" w:cs="Arial"/>
          <w:sz w:val="24"/>
          <w:szCs w:val="24"/>
        </w:rPr>
        <w:t>.</w:t>
      </w:r>
    </w:p>
    <w:p w:rsidR="00736969" w:rsidRPr="003C17D4" w:rsidRDefault="00736969" w:rsidP="00E32DF7">
      <w:pPr>
        <w:ind w:left="567" w:hanging="567"/>
        <w:rPr>
          <w:rStyle w:val="numberofpages"/>
          <w:rFonts w:ascii="Arial" w:hAnsi="Arial" w:cs="Arial"/>
          <w:sz w:val="24"/>
          <w:szCs w:val="24"/>
          <w:shd w:val="clear" w:color="auto" w:fill="FFFFFF"/>
        </w:rPr>
      </w:pPr>
      <w:r w:rsidRPr="003C17D4">
        <w:rPr>
          <w:rStyle w:val="numberofpages"/>
          <w:rFonts w:ascii="Arial" w:hAnsi="Arial" w:cs="Arial"/>
          <w:sz w:val="24"/>
          <w:szCs w:val="24"/>
          <w:shd w:val="clear" w:color="auto" w:fill="FFFFFF"/>
        </w:rPr>
        <w:t>Howarth</w:t>
      </w:r>
      <w:r w:rsidR="00747B67"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W</w:t>
      </w:r>
      <w:r w:rsidR="00747B67"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(2009)</w:t>
      </w:r>
      <w:r w:rsidR="00747B67"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Aspirations and realities under the Water Framework Directive: proceduralisation, participation and practicalities</w:t>
      </w:r>
      <w:r w:rsidR="00B615B3"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w:t>
      </w:r>
      <w:r w:rsidRPr="003C17D4">
        <w:rPr>
          <w:rStyle w:val="numberofpages"/>
          <w:rFonts w:ascii="Arial" w:hAnsi="Arial" w:cs="Arial"/>
          <w:i/>
          <w:sz w:val="24"/>
          <w:szCs w:val="24"/>
          <w:shd w:val="clear" w:color="auto" w:fill="FFFFFF"/>
        </w:rPr>
        <w:t>Journal of Environmental Law</w:t>
      </w:r>
      <w:r w:rsidRPr="003C17D4">
        <w:rPr>
          <w:rStyle w:val="numberofpages"/>
          <w:rFonts w:ascii="Arial" w:hAnsi="Arial" w:cs="Arial"/>
          <w:sz w:val="24"/>
          <w:szCs w:val="24"/>
          <w:shd w:val="clear" w:color="auto" w:fill="FFFFFF"/>
        </w:rPr>
        <w:t xml:space="preserve"> 21(3) 391-417</w:t>
      </w:r>
      <w:r w:rsidR="00A44010" w:rsidRPr="003C17D4">
        <w:rPr>
          <w:rStyle w:val="numberofpages"/>
          <w:rFonts w:ascii="Arial" w:hAnsi="Arial" w:cs="Arial"/>
          <w:sz w:val="24"/>
          <w:szCs w:val="24"/>
          <w:shd w:val="clear" w:color="auto" w:fill="FFFFFF"/>
        </w:rPr>
        <w:t>.</w:t>
      </w:r>
      <w:r w:rsidR="001B033D" w:rsidRPr="003C17D4">
        <w:rPr>
          <w:rStyle w:val="numberofpages"/>
          <w:rFonts w:ascii="Arial" w:hAnsi="Arial" w:cs="Arial"/>
          <w:sz w:val="24"/>
          <w:szCs w:val="24"/>
          <w:shd w:val="clear" w:color="auto" w:fill="FFFFFF"/>
        </w:rPr>
        <w:t xml:space="preserve"> </w:t>
      </w:r>
      <w:hyperlink r:id="rId28" w:history="1">
        <w:r w:rsidR="001B033D" w:rsidRPr="003C17D4">
          <w:rPr>
            <w:rStyle w:val="Hyperlink"/>
            <w:rFonts w:ascii="Arial" w:hAnsi="Arial" w:cs="Arial"/>
            <w:color w:val="auto"/>
            <w:sz w:val="24"/>
            <w:szCs w:val="24"/>
            <w:u w:val="none"/>
            <w:bdr w:val="none" w:sz="0" w:space="0" w:color="auto" w:frame="1"/>
            <w:shd w:val="clear" w:color="auto" w:fill="FFFFFF"/>
          </w:rPr>
          <w:t>https://doi.org/10.1093/jel/eqp019</w:t>
        </w:r>
      </w:hyperlink>
    </w:p>
    <w:p w:rsidR="002E45FC" w:rsidRPr="003C17D4" w:rsidRDefault="002E45FC" w:rsidP="00E32DF7">
      <w:pPr>
        <w:ind w:left="567" w:hanging="567"/>
        <w:rPr>
          <w:rFonts w:ascii="Arial" w:hAnsi="Arial" w:cs="Arial"/>
          <w:sz w:val="24"/>
          <w:szCs w:val="24"/>
        </w:rPr>
      </w:pPr>
      <w:r w:rsidRPr="003C17D4">
        <w:rPr>
          <w:rFonts w:ascii="Arial" w:hAnsi="Arial" w:cs="Arial"/>
          <w:sz w:val="24"/>
          <w:szCs w:val="24"/>
        </w:rPr>
        <w:t>IEEP (Institute for European Environmental Policy) (2013)</w:t>
      </w:r>
      <w:r w:rsidR="00747B67"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Report on the Influence of EU policies on the environment</w:t>
      </w:r>
      <w:r w:rsidRPr="003C17D4">
        <w:rPr>
          <w:rFonts w:ascii="Arial" w:hAnsi="Arial" w:cs="Arial"/>
          <w:sz w:val="24"/>
          <w:szCs w:val="24"/>
        </w:rPr>
        <w:t>, August, IEEP.</w:t>
      </w:r>
    </w:p>
    <w:p w:rsidR="001B033D" w:rsidRPr="003C17D4" w:rsidRDefault="005D2D6D" w:rsidP="001B033D">
      <w:pPr>
        <w:ind w:left="567" w:hanging="567"/>
        <w:rPr>
          <w:rFonts w:ascii="Arial" w:eastAsia="Times New Roman" w:hAnsi="Arial" w:cs="Arial"/>
          <w:sz w:val="24"/>
          <w:szCs w:val="24"/>
          <w:lang w:eastAsia="en-GB"/>
        </w:rPr>
      </w:pPr>
      <w:r w:rsidRPr="003C17D4">
        <w:rPr>
          <w:rStyle w:val="numberofpages"/>
          <w:rFonts w:ascii="Arial" w:hAnsi="Arial" w:cs="Arial"/>
          <w:sz w:val="24"/>
          <w:szCs w:val="24"/>
          <w:shd w:val="clear" w:color="auto" w:fill="FFFFFF"/>
        </w:rPr>
        <w:t>Inch</w:t>
      </w:r>
      <w:r w:rsidR="00747B67"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A</w:t>
      </w:r>
      <w:r w:rsidR="00747B67"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(2009)</w:t>
      </w:r>
      <w:r w:rsidR="00747B67"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Planning at the crossroads again: re-evaluating street-level regulation of the contradictions in New Labour’s planning reforms</w:t>
      </w:r>
      <w:r w:rsidR="00B615B3"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w:t>
      </w:r>
      <w:r w:rsidRPr="003C17D4">
        <w:rPr>
          <w:rStyle w:val="numberofpages"/>
          <w:rFonts w:ascii="Arial" w:hAnsi="Arial" w:cs="Arial"/>
          <w:i/>
          <w:sz w:val="24"/>
          <w:szCs w:val="24"/>
          <w:shd w:val="clear" w:color="auto" w:fill="FFFFFF"/>
        </w:rPr>
        <w:t>Planning, Practice and Research</w:t>
      </w:r>
      <w:r w:rsidRPr="003C17D4">
        <w:rPr>
          <w:rStyle w:val="numberofpages"/>
          <w:rFonts w:ascii="Arial" w:hAnsi="Arial" w:cs="Arial"/>
          <w:sz w:val="24"/>
          <w:szCs w:val="24"/>
          <w:shd w:val="clear" w:color="auto" w:fill="FFFFFF"/>
        </w:rPr>
        <w:t xml:space="preserve"> 24(1), 83-101</w:t>
      </w:r>
      <w:r w:rsidR="001B033D" w:rsidRPr="003C17D4">
        <w:rPr>
          <w:rStyle w:val="numberofpages"/>
          <w:rFonts w:ascii="Arial" w:hAnsi="Arial" w:cs="Arial"/>
          <w:sz w:val="24"/>
          <w:szCs w:val="24"/>
          <w:shd w:val="clear" w:color="auto" w:fill="FFFFFF"/>
        </w:rPr>
        <w:t xml:space="preserve">. </w:t>
      </w:r>
      <w:hyperlink r:id="rId29" w:history="1">
        <w:r w:rsidR="001B033D" w:rsidRPr="003C17D4">
          <w:rPr>
            <w:rFonts w:ascii="Arial" w:eastAsia="Times New Roman" w:hAnsi="Arial" w:cs="Arial"/>
            <w:sz w:val="24"/>
            <w:szCs w:val="24"/>
            <w:lang w:eastAsia="en-GB"/>
          </w:rPr>
          <w:t>https://doi.org/10.1080/02697450902742189</w:t>
        </w:r>
      </w:hyperlink>
    </w:p>
    <w:p w:rsidR="00DE41F5" w:rsidRPr="003C17D4" w:rsidRDefault="00F66D71" w:rsidP="00DE41F5">
      <w:pPr>
        <w:ind w:left="567" w:hanging="567"/>
        <w:rPr>
          <w:rFonts w:ascii="Arial" w:eastAsia="Times New Roman" w:hAnsi="Arial" w:cs="Arial"/>
          <w:sz w:val="24"/>
          <w:szCs w:val="24"/>
          <w:lang w:eastAsia="en-GB"/>
        </w:rPr>
      </w:pPr>
      <w:r w:rsidRPr="003C17D4">
        <w:rPr>
          <w:rStyle w:val="numberofpages"/>
          <w:rFonts w:ascii="Arial" w:hAnsi="Arial" w:cs="Arial"/>
          <w:sz w:val="24"/>
          <w:szCs w:val="24"/>
          <w:shd w:val="clear" w:color="auto" w:fill="FFFFFF"/>
        </w:rPr>
        <w:t>Jackson</w:t>
      </w:r>
      <w:r w:rsidR="00747B67"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T</w:t>
      </w:r>
      <w:r w:rsidR="00747B67"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w:t>
      </w:r>
      <w:r w:rsidR="00A44010" w:rsidRPr="003C17D4">
        <w:rPr>
          <w:rStyle w:val="numberofpages"/>
          <w:rFonts w:ascii="Arial" w:hAnsi="Arial" w:cs="Arial"/>
          <w:sz w:val="24"/>
          <w:szCs w:val="24"/>
          <w:shd w:val="clear" w:color="auto" w:fill="FFFFFF"/>
        </w:rPr>
        <w:t>&amp;</w:t>
      </w:r>
      <w:r w:rsidRPr="003C17D4">
        <w:rPr>
          <w:rStyle w:val="numberofpages"/>
          <w:rFonts w:ascii="Arial" w:hAnsi="Arial" w:cs="Arial"/>
          <w:sz w:val="24"/>
          <w:szCs w:val="24"/>
          <w:shd w:val="clear" w:color="auto" w:fill="FFFFFF"/>
        </w:rPr>
        <w:t xml:space="preserve"> Illsley</w:t>
      </w:r>
      <w:r w:rsidR="00747B67"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B</w:t>
      </w:r>
      <w:r w:rsidR="00747B67"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(2006)</w:t>
      </w:r>
      <w:r w:rsidR="00747B67"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Strategic Environmental Assessment as a tool of environmental governance: Scotland’s extension of the European Union SEA Directive</w:t>
      </w:r>
      <w:r w:rsidR="00B615B3" w:rsidRPr="003C17D4">
        <w:rPr>
          <w:rStyle w:val="numberofpages"/>
          <w:rFonts w:ascii="Arial" w:hAnsi="Arial" w:cs="Arial"/>
          <w:sz w:val="24"/>
          <w:szCs w:val="24"/>
          <w:shd w:val="clear" w:color="auto" w:fill="FFFFFF"/>
        </w:rPr>
        <w:t>.</w:t>
      </w:r>
      <w:r w:rsidRPr="003C17D4">
        <w:rPr>
          <w:rStyle w:val="numberofpages"/>
          <w:rFonts w:ascii="Arial" w:hAnsi="Arial" w:cs="Arial"/>
          <w:sz w:val="24"/>
          <w:szCs w:val="24"/>
          <w:shd w:val="clear" w:color="auto" w:fill="FFFFFF"/>
        </w:rPr>
        <w:t xml:space="preserve"> </w:t>
      </w:r>
      <w:r w:rsidRPr="003C17D4">
        <w:rPr>
          <w:rStyle w:val="numberofpages"/>
          <w:rFonts w:ascii="Arial" w:hAnsi="Arial" w:cs="Arial"/>
          <w:i/>
          <w:sz w:val="24"/>
          <w:szCs w:val="24"/>
          <w:shd w:val="clear" w:color="auto" w:fill="FFFFFF"/>
        </w:rPr>
        <w:t>Journal of Environmental Planning and Management</w:t>
      </w:r>
      <w:r w:rsidRPr="003C17D4">
        <w:rPr>
          <w:rStyle w:val="numberofpages"/>
          <w:rFonts w:ascii="Arial" w:hAnsi="Arial" w:cs="Arial"/>
          <w:sz w:val="24"/>
          <w:szCs w:val="24"/>
          <w:shd w:val="clear" w:color="auto" w:fill="FFFFFF"/>
        </w:rPr>
        <w:t xml:space="preserve"> 49(3) 361-383</w:t>
      </w:r>
      <w:r w:rsidR="00A44010" w:rsidRPr="003C17D4">
        <w:rPr>
          <w:rStyle w:val="numberofpages"/>
          <w:rFonts w:ascii="Arial" w:hAnsi="Arial" w:cs="Arial"/>
          <w:sz w:val="24"/>
          <w:szCs w:val="24"/>
          <w:shd w:val="clear" w:color="auto" w:fill="FFFFFF"/>
        </w:rPr>
        <w:t>.</w:t>
      </w:r>
      <w:r w:rsidR="00DE41F5" w:rsidRPr="003C17D4">
        <w:rPr>
          <w:rStyle w:val="numberofpages"/>
          <w:rFonts w:ascii="Arial" w:hAnsi="Arial" w:cs="Arial"/>
          <w:sz w:val="24"/>
          <w:szCs w:val="24"/>
          <w:shd w:val="clear" w:color="auto" w:fill="FFFFFF"/>
        </w:rPr>
        <w:t xml:space="preserve"> </w:t>
      </w:r>
      <w:hyperlink r:id="rId30" w:history="1">
        <w:r w:rsidR="00DE41F5" w:rsidRPr="003C17D4">
          <w:rPr>
            <w:rFonts w:ascii="Arial" w:eastAsia="Times New Roman" w:hAnsi="Arial" w:cs="Arial"/>
            <w:sz w:val="24"/>
            <w:szCs w:val="24"/>
            <w:lang w:eastAsia="en-GB"/>
          </w:rPr>
          <w:t>https://doi.org/10.1080/09640560600598429</w:t>
        </w:r>
      </w:hyperlink>
    </w:p>
    <w:p w:rsidR="00561D82" w:rsidRPr="003C17D4" w:rsidRDefault="00DA7812" w:rsidP="00E32DF7">
      <w:pPr>
        <w:ind w:left="567" w:hanging="567"/>
        <w:rPr>
          <w:rFonts w:ascii="Arial" w:hAnsi="Arial" w:cs="Arial"/>
          <w:sz w:val="24"/>
          <w:szCs w:val="24"/>
        </w:rPr>
      </w:pPr>
      <w:r w:rsidRPr="003C17D4">
        <w:rPr>
          <w:rFonts w:ascii="Arial" w:hAnsi="Arial" w:cs="Arial"/>
          <w:sz w:val="24"/>
          <w:szCs w:val="24"/>
        </w:rPr>
        <w:t>Jackson</w:t>
      </w:r>
      <w:r w:rsidR="00747B67" w:rsidRPr="003C17D4">
        <w:rPr>
          <w:rFonts w:ascii="Arial" w:hAnsi="Arial" w:cs="Arial"/>
          <w:sz w:val="24"/>
          <w:szCs w:val="24"/>
        </w:rPr>
        <w:t>,</w:t>
      </w:r>
      <w:r w:rsidRPr="003C17D4">
        <w:rPr>
          <w:rFonts w:ascii="Arial" w:hAnsi="Arial" w:cs="Arial"/>
          <w:sz w:val="24"/>
          <w:szCs w:val="24"/>
        </w:rPr>
        <w:t xml:space="preserve"> T</w:t>
      </w:r>
      <w:r w:rsidR="00747B67" w:rsidRPr="003C17D4">
        <w:rPr>
          <w:rFonts w:ascii="Arial" w:hAnsi="Arial" w:cs="Arial"/>
          <w:sz w:val="24"/>
          <w:szCs w:val="24"/>
        </w:rPr>
        <w:t>.</w:t>
      </w:r>
      <w:r w:rsidRPr="003C17D4">
        <w:rPr>
          <w:rFonts w:ascii="Arial" w:hAnsi="Arial" w:cs="Arial"/>
          <w:sz w:val="24"/>
          <w:szCs w:val="24"/>
        </w:rPr>
        <w:t xml:space="preserve"> </w:t>
      </w:r>
      <w:r w:rsidR="00A44010" w:rsidRPr="003C17D4">
        <w:rPr>
          <w:rFonts w:ascii="Arial" w:hAnsi="Arial" w:cs="Arial"/>
          <w:sz w:val="24"/>
          <w:szCs w:val="24"/>
        </w:rPr>
        <w:t>&amp;</w:t>
      </w:r>
      <w:r w:rsidRPr="003C17D4">
        <w:rPr>
          <w:rFonts w:ascii="Arial" w:hAnsi="Arial" w:cs="Arial"/>
          <w:sz w:val="24"/>
          <w:szCs w:val="24"/>
        </w:rPr>
        <w:t xml:space="preserve"> Dixon</w:t>
      </w:r>
      <w:r w:rsidR="00747B67" w:rsidRPr="003C17D4">
        <w:rPr>
          <w:rFonts w:ascii="Arial" w:hAnsi="Arial" w:cs="Arial"/>
          <w:sz w:val="24"/>
          <w:szCs w:val="24"/>
        </w:rPr>
        <w:t>,</w:t>
      </w:r>
      <w:r w:rsidRPr="003C17D4">
        <w:rPr>
          <w:rFonts w:ascii="Arial" w:hAnsi="Arial" w:cs="Arial"/>
          <w:sz w:val="24"/>
          <w:szCs w:val="24"/>
        </w:rPr>
        <w:t xml:space="preserve"> J</w:t>
      </w:r>
      <w:r w:rsidR="00747B67" w:rsidRPr="003C17D4">
        <w:rPr>
          <w:rFonts w:ascii="Arial" w:hAnsi="Arial" w:cs="Arial"/>
          <w:sz w:val="24"/>
          <w:szCs w:val="24"/>
        </w:rPr>
        <w:t>.</w:t>
      </w:r>
      <w:r w:rsidRPr="003C17D4">
        <w:rPr>
          <w:rFonts w:ascii="Arial" w:hAnsi="Arial" w:cs="Arial"/>
          <w:sz w:val="24"/>
          <w:szCs w:val="24"/>
        </w:rPr>
        <w:t xml:space="preserve"> (2007)</w:t>
      </w:r>
      <w:r w:rsidR="00747B67" w:rsidRPr="003C17D4">
        <w:rPr>
          <w:rFonts w:ascii="Arial" w:hAnsi="Arial" w:cs="Arial"/>
          <w:sz w:val="24"/>
          <w:szCs w:val="24"/>
        </w:rPr>
        <w:t>.</w:t>
      </w:r>
      <w:r w:rsidRPr="003C17D4">
        <w:rPr>
          <w:rFonts w:ascii="Arial" w:hAnsi="Arial" w:cs="Arial"/>
          <w:sz w:val="24"/>
          <w:szCs w:val="24"/>
        </w:rPr>
        <w:t xml:space="preserve"> The New Zealand Resource Management Act: an exercise in delivering sustainable development through an ecological modernisation agenda</w:t>
      </w:r>
      <w:r w:rsidR="00B615B3"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Environment and Planning B: Planning and Design</w:t>
      </w:r>
      <w:r w:rsidRPr="003C17D4">
        <w:rPr>
          <w:rFonts w:ascii="Arial" w:hAnsi="Arial" w:cs="Arial"/>
          <w:sz w:val="24"/>
          <w:szCs w:val="24"/>
        </w:rPr>
        <w:t>, 34(1), 107-120</w:t>
      </w:r>
      <w:r w:rsidR="00A44010" w:rsidRPr="003C17D4">
        <w:rPr>
          <w:rFonts w:ascii="Arial" w:hAnsi="Arial" w:cs="Arial"/>
          <w:sz w:val="24"/>
          <w:szCs w:val="24"/>
        </w:rPr>
        <w:t>.</w:t>
      </w:r>
      <w:r w:rsidR="00DE41F5" w:rsidRPr="003C17D4">
        <w:rPr>
          <w:rFonts w:ascii="Arial" w:hAnsi="Arial" w:cs="Arial"/>
          <w:sz w:val="24"/>
          <w:szCs w:val="24"/>
        </w:rPr>
        <w:t xml:space="preserve"> h</w:t>
      </w:r>
      <w:hyperlink r:id="rId31" w:history="1">
        <w:r w:rsidR="00DE41F5" w:rsidRPr="003C17D4">
          <w:rPr>
            <w:rStyle w:val="Hyperlink"/>
            <w:rFonts w:ascii="Arial" w:hAnsi="Arial" w:cs="Arial"/>
            <w:color w:val="auto"/>
            <w:sz w:val="24"/>
            <w:szCs w:val="24"/>
            <w:u w:val="none"/>
            <w:shd w:val="clear" w:color="auto" w:fill="FFFFFF"/>
          </w:rPr>
          <w:t>ttps://doi.org/10.1068/b32089</w:t>
        </w:r>
      </w:hyperlink>
    </w:p>
    <w:p w:rsidR="00791569" w:rsidRPr="003C17D4" w:rsidRDefault="00791569" w:rsidP="00E32DF7">
      <w:pPr>
        <w:ind w:left="567" w:hanging="567"/>
        <w:rPr>
          <w:rFonts w:ascii="Arial" w:hAnsi="Arial" w:cs="Arial"/>
          <w:sz w:val="24"/>
          <w:szCs w:val="24"/>
        </w:rPr>
      </w:pPr>
      <w:r w:rsidRPr="003C17D4">
        <w:rPr>
          <w:rFonts w:ascii="Arial" w:hAnsi="Arial" w:cs="Arial"/>
          <w:sz w:val="24"/>
          <w:szCs w:val="24"/>
        </w:rPr>
        <w:t>Jepson</w:t>
      </w:r>
      <w:r w:rsidR="00747B67" w:rsidRPr="003C17D4">
        <w:rPr>
          <w:rFonts w:ascii="Arial" w:hAnsi="Arial" w:cs="Arial"/>
          <w:sz w:val="24"/>
          <w:szCs w:val="24"/>
        </w:rPr>
        <w:t>,</w:t>
      </w:r>
      <w:r w:rsidRPr="003C17D4">
        <w:rPr>
          <w:rFonts w:ascii="Arial" w:hAnsi="Arial" w:cs="Arial"/>
          <w:sz w:val="24"/>
          <w:szCs w:val="24"/>
        </w:rPr>
        <w:t xml:space="preserve"> E</w:t>
      </w:r>
      <w:r w:rsidR="00747B67" w:rsidRPr="003C17D4">
        <w:rPr>
          <w:rFonts w:ascii="Arial" w:hAnsi="Arial" w:cs="Arial"/>
          <w:sz w:val="24"/>
          <w:szCs w:val="24"/>
        </w:rPr>
        <w:t>.</w:t>
      </w:r>
      <w:r w:rsidRPr="003C17D4">
        <w:rPr>
          <w:rFonts w:ascii="Arial" w:hAnsi="Arial" w:cs="Arial"/>
          <w:sz w:val="24"/>
          <w:szCs w:val="24"/>
        </w:rPr>
        <w:t>J</w:t>
      </w:r>
      <w:r w:rsidR="00747B67" w:rsidRPr="003C17D4">
        <w:rPr>
          <w:rFonts w:ascii="Arial" w:hAnsi="Arial" w:cs="Arial"/>
          <w:sz w:val="24"/>
          <w:szCs w:val="24"/>
        </w:rPr>
        <w:t>.</w:t>
      </w:r>
      <w:r w:rsidRPr="003C17D4">
        <w:rPr>
          <w:rFonts w:ascii="Arial" w:hAnsi="Arial" w:cs="Arial"/>
          <w:sz w:val="24"/>
          <w:szCs w:val="24"/>
        </w:rPr>
        <w:t xml:space="preserve"> (2003)</w:t>
      </w:r>
      <w:r w:rsidR="00B615B3" w:rsidRPr="003C17D4">
        <w:rPr>
          <w:rFonts w:ascii="Arial" w:hAnsi="Arial" w:cs="Arial"/>
          <w:sz w:val="24"/>
          <w:szCs w:val="24"/>
        </w:rPr>
        <w:t>.</w:t>
      </w:r>
      <w:r w:rsidRPr="003C17D4">
        <w:rPr>
          <w:rFonts w:ascii="Arial" w:hAnsi="Arial" w:cs="Arial"/>
          <w:sz w:val="24"/>
          <w:szCs w:val="24"/>
        </w:rPr>
        <w:t xml:space="preserve"> </w:t>
      </w:r>
      <w:r w:rsidR="00A52ACD" w:rsidRPr="003C17D4">
        <w:rPr>
          <w:rFonts w:ascii="Arial" w:hAnsi="Arial" w:cs="Arial"/>
          <w:sz w:val="24"/>
          <w:szCs w:val="24"/>
        </w:rPr>
        <w:t>The conceptual integration of planning and sustainability: an investigation of planners in the United States</w:t>
      </w:r>
      <w:r w:rsidR="00B615B3" w:rsidRPr="003C17D4">
        <w:rPr>
          <w:rFonts w:ascii="Arial" w:hAnsi="Arial" w:cs="Arial"/>
          <w:sz w:val="24"/>
          <w:szCs w:val="24"/>
        </w:rPr>
        <w:t>.</w:t>
      </w:r>
      <w:r w:rsidR="00A52ACD" w:rsidRPr="003C17D4">
        <w:rPr>
          <w:rFonts w:ascii="Arial" w:hAnsi="Arial" w:cs="Arial"/>
          <w:sz w:val="24"/>
          <w:szCs w:val="24"/>
        </w:rPr>
        <w:t xml:space="preserve"> </w:t>
      </w:r>
      <w:r w:rsidR="00A52ACD" w:rsidRPr="003C17D4">
        <w:rPr>
          <w:rFonts w:ascii="Arial" w:hAnsi="Arial" w:cs="Arial"/>
          <w:i/>
          <w:sz w:val="24"/>
          <w:szCs w:val="24"/>
        </w:rPr>
        <w:t>Environment and Planning C: Government and Policy</w:t>
      </w:r>
      <w:r w:rsidR="00A52ACD" w:rsidRPr="003C17D4">
        <w:rPr>
          <w:rFonts w:ascii="Arial" w:hAnsi="Arial" w:cs="Arial"/>
          <w:sz w:val="24"/>
          <w:szCs w:val="24"/>
        </w:rPr>
        <w:t xml:space="preserve"> 21, 389-410.</w:t>
      </w:r>
      <w:r w:rsidR="00DE41F5" w:rsidRPr="003C17D4">
        <w:rPr>
          <w:rFonts w:ascii="Arial" w:hAnsi="Arial" w:cs="Arial"/>
          <w:sz w:val="24"/>
          <w:szCs w:val="24"/>
        </w:rPr>
        <w:t xml:space="preserve"> </w:t>
      </w:r>
      <w:hyperlink r:id="rId32" w:history="1">
        <w:r w:rsidR="00DE41F5" w:rsidRPr="003C17D4">
          <w:rPr>
            <w:rStyle w:val="Hyperlink"/>
            <w:rFonts w:ascii="Arial" w:hAnsi="Arial" w:cs="Arial"/>
            <w:color w:val="auto"/>
            <w:sz w:val="24"/>
            <w:szCs w:val="24"/>
            <w:u w:val="none"/>
            <w:shd w:val="clear" w:color="auto" w:fill="FFFFFF"/>
          </w:rPr>
          <w:t>https://doi.org/10.1068/c0035j</w:t>
        </w:r>
      </w:hyperlink>
    </w:p>
    <w:p w:rsidR="0059239C" w:rsidRPr="003C17D4" w:rsidRDefault="0059239C" w:rsidP="00E32DF7">
      <w:pPr>
        <w:ind w:left="567" w:hanging="567"/>
        <w:rPr>
          <w:rFonts w:ascii="Arial" w:hAnsi="Arial" w:cs="Arial"/>
          <w:sz w:val="24"/>
          <w:szCs w:val="24"/>
        </w:rPr>
      </w:pPr>
      <w:r w:rsidRPr="003C17D4">
        <w:rPr>
          <w:rFonts w:ascii="Arial" w:hAnsi="Arial" w:cs="Arial"/>
          <w:sz w:val="24"/>
          <w:szCs w:val="24"/>
        </w:rPr>
        <w:t>Johnson</w:t>
      </w:r>
      <w:r w:rsidR="00747B67" w:rsidRPr="003C17D4">
        <w:rPr>
          <w:rFonts w:ascii="Arial" w:hAnsi="Arial" w:cs="Arial"/>
          <w:sz w:val="24"/>
          <w:szCs w:val="24"/>
        </w:rPr>
        <w:t>,</w:t>
      </w:r>
      <w:r w:rsidRPr="003C17D4">
        <w:rPr>
          <w:rFonts w:ascii="Arial" w:hAnsi="Arial" w:cs="Arial"/>
          <w:sz w:val="24"/>
          <w:szCs w:val="24"/>
        </w:rPr>
        <w:t xml:space="preserve"> B</w:t>
      </w:r>
      <w:r w:rsidR="00747B67" w:rsidRPr="003C17D4">
        <w:rPr>
          <w:rFonts w:ascii="Arial" w:hAnsi="Arial" w:cs="Arial"/>
          <w:sz w:val="24"/>
          <w:szCs w:val="24"/>
        </w:rPr>
        <w:t>.</w:t>
      </w:r>
      <w:r w:rsidRPr="003C17D4">
        <w:rPr>
          <w:rFonts w:ascii="Arial" w:hAnsi="Arial" w:cs="Arial"/>
          <w:sz w:val="24"/>
          <w:szCs w:val="24"/>
        </w:rPr>
        <w:t xml:space="preserve"> (2018) ‘Uniting for a great </w:t>
      </w:r>
      <w:r w:rsidR="006967B0" w:rsidRPr="003C17D4">
        <w:rPr>
          <w:rFonts w:ascii="Arial" w:hAnsi="Arial" w:cs="Arial"/>
          <w:sz w:val="24"/>
          <w:szCs w:val="24"/>
        </w:rPr>
        <w:t>Brexit</w:t>
      </w:r>
      <w:r w:rsidRPr="003C17D4">
        <w:rPr>
          <w:rFonts w:ascii="Arial" w:hAnsi="Arial" w:cs="Arial"/>
          <w:sz w:val="24"/>
          <w:szCs w:val="24"/>
        </w:rPr>
        <w:t>’, speech 14</w:t>
      </w:r>
      <w:r w:rsidRPr="003C17D4">
        <w:rPr>
          <w:rFonts w:ascii="Arial" w:hAnsi="Arial" w:cs="Arial"/>
          <w:sz w:val="24"/>
          <w:szCs w:val="24"/>
          <w:vertAlign w:val="superscript"/>
        </w:rPr>
        <w:t>th</w:t>
      </w:r>
      <w:r w:rsidRPr="003C17D4">
        <w:rPr>
          <w:rFonts w:ascii="Arial" w:hAnsi="Arial" w:cs="Arial"/>
          <w:sz w:val="24"/>
          <w:szCs w:val="24"/>
        </w:rPr>
        <w:t xml:space="preserve"> February </w:t>
      </w:r>
      <w:r w:rsidR="00987942" w:rsidRPr="003C17D4">
        <w:rPr>
          <w:rStyle w:val="Hyperlink"/>
          <w:rFonts w:ascii="Arial" w:hAnsi="Arial" w:cs="Arial"/>
          <w:color w:val="auto"/>
          <w:sz w:val="24"/>
          <w:szCs w:val="24"/>
          <w:u w:val="none"/>
        </w:rPr>
        <w:t>https://www.gov.uk/government/speeches/foreign-secretary-speech-uniting-for-a-great-Brexit</w:t>
      </w:r>
    </w:p>
    <w:p w:rsidR="00527AAC" w:rsidRPr="003C17D4" w:rsidRDefault="00527AAC" w:rsidP="00E32DF7">
      <w:pPr>
        <w:ind w:left="567" w:hanging="567"/>
        <w:rPr>
          <w:rFonts w:ascii="Arial" w:hAnsi="Arial" w:cs="Arial"/>
          <w:sz w:val="24"/>
          <w:szCs w:val="24"/>
        </w:rPr>
      </w:pPr>
      <w:r w:rsidRPr="003C17D4">
        <w:rPr>
          <w:rFonts w:ascii="Arial" w:hAnsi="Arial" w:cs="Arial"/>
          <w:sz w:val="24"/>
          <w:szCs w:val="24"/>
        </w:rPr>
        <w:t>Jones</w:t>
      </w:r>
      <w:r w:rsidR="00747B67" w:rsidRPr="003C17D4">
        <w:rPr>
          <w:rFonts w:ascii="Arial" w:hAnsi="Arial" w:cs="Arial"/>
          <w:sz w:val="24"/>
          <w:szCs w:val="24"/>
        </w:rPr>
        <w:t>,</w:t>
      </w:r>
      <w:r w:rsidRPr="003C17D4">
        <w:rPr>
          <w:rFonts w:ascii="Arial" w:hAnsi="Arial" w:cs="Arial"/>
          <w:sz w:val="24"/>
          <w:szCs w:val="24"/>
        </w:rPr>
        <w:t xml:space="preserve"> G</w:t>
      </w:r>
      <w:r w:rsidR="00747B67" w:rsidRPr="003C17D4">
        <w:rPr>
          <w:rFonts w:ascii="Arial" w:hAnsi="Arial" w:cs="Arial"/>
          <w:sz w:val="24"/>
          <w:szCs w:val="24"/>
        </w:rPr>
        <w:t>.</w:t>
      </w:r>
      <w:r w:rsidRPr="003C17D4">
        <w:rPr>
          <w:rFonts w:ascii="Arial" w:hAnsi="Arial" w:cs="Arial"/>
          <w:sz w:val="24"/>
          <w:szCs w:val="24"/>
        </w:rPr>
        <w:t xml:space="preserve"> (2012) The impact of environmental law on planning decision-making</w:t>
      </w:r>
      <w:r w:rsidR="00B615B3"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Journal of Planning and Environment Law</w:t>
      </w:r>
      <w:r w:rsidRPr="003C17D4">
        <w:rPr>
          <w:rFonts w:ascii="Arial" w:hAnsi="Arial" w:cs="Arial"/>
          <w:sz w:val="24"/>
          <w:szCs w:val="24"/>
        </w:rPr>
        <w:t xml:space="preserve"> 13</w:t>
      </w:r>
    </w:p>
    <w:p w:rsidR="001872DA" w:rsidRPr="003C17D4" w:rsidRDefault="00DA7812" w:rsidP="00E32DF7">
      <w:pPr>
        <w:ind w:left="567" w:hanging="567"/>
        <w:rPr>
          <w:rFonts w:ascii="Arial" w:hAnsi="Arial" w:cs="Arial"/>
          <w:sz w:val="24"/>
          <w:szCs w:val="24"/>
        </w:rPr>
      </w:pPr>
      <w:r w:rsidRPr="003C17D4">
        <w:rPr>
          <w:rFonts w:ascii="Arial" w:hAnsi="Arial" w:cs="Arial"/>
          <w:sz w:val="24"/>
          <w:szCs w:val="24"/>
        </w:rPr>
        <w:t>Jordan</w:t>
      </w:r>
      <w:r w:rsidR="00747B67" w:rsidRPr="003C17D4">
        <w:rPr>
          <w:rFonts w:ascii="Arial" w:hAnsi="Arial" w:cs="Arial"/>
          <w:sz w:val="24"/>
          <w:szCs w:val="24"/>
        </w:rPr>
        <w:t>,</w:t>
      </w:r>
      <w:r w:rsidRPr="003C17D4">
        <w:rPr>
          <w:rFonts w:ascii="Arial" w:hAnsi="Arial" w:cs="Arial"/>
          <w:sz w:val="24"/>
          <w:szCs w:val="24"/>
        </w:rPr>
        <w:t xml:space="preserve"> A</w:t>
      </w:r>
      <w:r w:rsidR="00747B67" w:rsidRPr="003C17D4">
        <w:rPr>
          <w:rFonts w:ascii="Arial" w:hAnsi="Arial" w:cs="Arial"/>
          <w:sz w:val="24"/>
          <w:szCs w:val="24"/>
        </w:rPr>
        <w:t>.</w:t>
      </w:r>
      <w:r w:rsidRPr="003C17D4">
        <w:rPr>
          <w:rFonts w:ascii="Arial" w:hAnsi="Arial" w:cs="Arial"/>
          <w:sz w:val="24"/>
          <w:szCs w:val="24"/>
        </w:rPr>
        <w:t xml:space="preserve"> (2002)</w:t>
      </w:r>
      <w:r w:rsidR="00747B67"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The Europeanization of British Environmental Policy. A Departmental Perspective</w:t>
      </w:r>
      <w:r w:rsidRPr="003C17D4">
        <w:rPr>
          <w:rFonts w:ascii="Arial" w:hAnsi="Arial" w:cs="Arial"/>
          <w:sz w:val="24"/>
          <w:szCs w:val="24"/>
        </w:rPr>
        <w:t>, Palgrave Macmillan.</w:t>
      </w:r>
    </w:p>
    <w:p w:rsidR="002E45FC" w:rsidRPr="003C17D4" w:rsidRDefault="002E45FC" w:rsidP="00E32DF7">
      <w:pPr>
        <w:ind w:left="567" w:hanging="567"/>
        <w:rPr>
          <w:rFonts w:ascii="Arial" w:hAnsi="Arial" w:cs="Arial"/>
          <w:sz w:val="24"/>
          <w:szCs w:val="24"/>
        </w:rPr>
      </w:pPr>
      <w:r w:rsidRPr="003C17D4">
        <w:rPr>
          <w:rFonts w:ascii="Arial" w:hAnsi="Arial" w:cs="Arial"/>
          <w:sz w:val="24"/>
          <w:szCs w:val="24"/>
        </w:rPr>
        <w:t>Lipsky</w:t>
      </w:r>
      <w:r w:rsidR="00747B67" w:rsidRPr="003C17D4">
        <w:rPr>
          <w:rFonts w:ascii="Arial" w:hAnsi="Arial" w:cs="Arial"/>
          <w:sz w:val="24"/>
          <w:szCs w:val="24"/>
        </w:rPr>
        <w:t>,</w:t>
      </w:r>
      <w:r w:rsidRPr="003C17D4">
        <w:rPr>
          <w:rFonts w:ascii="Arial" w:hAnsi="Arial" w:cs="Arial"/>
          <w:sz w:val="24"/>
          <w:szCs w:val="24"/>
        </w:rPr>
        <w:t xml:space="preserve"> R</w:t>
      </w:r>
      <w:r w:rsidR="00747B67" w:rsidRPr="003C17D4">
        <w:rPr>
          <w:rFonts w:ascii="Arial" w:hAnsi="Arial" w:cs="Arial"/>
          <w:sz w:val="24"/>
          <w:szCs w:val="24"/>
        </w:rPr>
        <w:t>.</w:t>
      </w:r>
      <w:r w:rsidRPr="003C17D4">
        <w:rPr>
          <w:rFonts w:ascii="Arial" w:hAnsi="Arial" w:cs="Arial"/>
          <w:sz w:val="24"/>
          <w:szCs w:val="24"/>
        </w:rPr>
        <w:t xml:space="preserve"> (1980)</w:t>
      </w:r>
      <w:r w:rsidR="00747B67"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Street-Level Bureaucracy</w:t>
      </w:r>
      <w:r w:rsidR="00403B73" w:rsidRPr="003C17D4">
        <w:rPr>
          <w:rFonts w:ascii="Arial" w:hAnsi="Arial" w:cs="Arial"/>
          <w:sz w:val="24"/>
          <w:szCs w:val="24"/>
        </w:rPr>
        <w:t>, Russel Sage Foundation</w:t>
      </w:r>
      <w:r w:rsidR="00A44010" w:rsidRPr="003C17D4">
        <w:rPr>
          <w:rFonts w:ascii="Arial" w:hAnsi="Arial" w:cs="Arial"/>
          <w:sz w:val="24"/>
          <w:szCs w:val="24"/>
        </w:rPr>
        <w:t>.</w:t>
      </w:r>
    </w:p>
    <w:p w:rsidR="000972F2" w:rsidRPr="003C17D4" w:rsidRDefault="000972F2" w:rsidP="00E32DF7">
      <w:pPr>
        <w:ind w:left="567" w:hanging="567"/>
        <w:rPr>
          <w:rFonts w:ascii="Arial" w:hAnsi="Arial" w:cs="Arial"/>
          <w:sz w:val="24"/>
          <w:szCs w:val="24"/>
        </w:rPr>
      </w:pPr>
      <w:r w:rsidRPr="003C17D4">
        <w:rPr>
          <w:rFonts w:ascii="Arial" w:hAnsi="Arial" w:cs="Arial"/>
          <w:sz w:val="24"/>
          <w:szCs w:val="24"/>
        </w:rPr>
        <w:t>Longworth, J. (2017)</w:t>
      </w:r>
      <w:r w:rsidR="00747B67" w:rsidRPr="003C17D4">
        <w:rPr>
          <w:rFonts w:ascii="Arial" w:hAnsi="Arial" w:cs="Arial"/>
          <w:sz w:val="24"/>
          <w:szCs w:val="24"/>
        </w:rPr>
        <w:t>.</w:t>
      </w:r>
      <w:r w:rsidRPr="003C17D4">
        <w:rPr>
          <w:rFonts w:ascii="Arial" w:hAnsi="Arial" w:cs="Arial"/>
          <w:sz w:val="24"/>
          <w:szCs w:val="24"/>
        </w:rPr>
        <w:t xml:space="preserve"> As Britain breaks free from EU red tape, here are 10 areas that should be first for the chop</w:t>
      </w:r>
      <w:r w:rsidR="00B615B3"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Daily Telegraph</w:t>
      </w:r>
      <w:r w:rsidRPr="003C17D4">
        <w:rPr>
          <w:rFonts w:ascii="Arial" w:hAnsi="Arial" w:cs="Arial"/>
          <w:sz w:val="24"/>
          <w:szCs w:val="24"/>
        </w:rPr>
        <w:t xml:space="preserve"> 13</w:t>
      </w:r>
      <w:r w:rsidRPr="003C17D4">
        <w:rPr>
          <w:rFonts w:ascii="Arial" w:hAnsi="Arial" w:cs="Arial"/>
          <w:sz w:val="24"/>
          <w:szCs w:val="24"/>
          <w:vertAlign w:val="superscript"/>
        </w:rPr>
        <w:t>th</w:t>
      </w:r>
      <w:r w:rsidRPr="003C17D4">
        <w:rPr>
          <w:rFonts w:ascii="Arial" w:hAnsi="Arial" w:cs="Arial"/>
          <w:sz w:val="24"/>
          <w:szCs w:val="24"/>
        </w:rPr>
        <w:t xml:space="preserve"> July</w:t>
      </w:r>
      <w:r w:rsidR="00747B67" w:rsidRPr="003C17D4">
        <w:rPr>
          <w:rFonts w:ascii="Arial" w:hAnsi="Arial" w:cs="Arial"/>
          <w:sz w:val="24"/>
          <w:szCs w:val="24"/>
        </w:rPr>
        <w:t>.</w:t>
      </w:r>
    </w:p>
    <w:p w:rsidR="00543BDF" w:rsidRPr="003C17D4" w:rsidRDefault="00543BDF" w:rsidP="00E32DF7">
      <w:pPr>
        <w:ind w:left="567" w:hanging="567"/>
        <w:rPr>
          <w:rFonts w:ascii="Arial" w:eastAsia="Calibri" w:hAnsi="Arial" w:cs="Arial"/>
          <w:sz w:val="24"/>
          <w:szCs w:val="24"/>
        </w:rPr>
      </w:pPr>
      <w:r w:rsidRPr="003C17D4">
        <w:rPr>
          <w:rFonts w:ascii="Arial" w:eastAsia="Calibri" w:hAnsi="Arial" w:cs="Arial"/>
          <w:sz w:val="24"/>
          <w:szCs w:val="24"/>
        </w:rPr>
        <w:t>Maurici</w:t>
      </w:r>
      <w:r w:rsidR="00747B67" w:rsidRPr="003C17D4">
        <w:rPr>
          <w:rFonts w:ascii="Arial" w:eastAsia="Calibri" w:hAnsi="Arial" w:cs="Arial"/>
          <w:sz w:val="24"/>
          <w:szCs w:val="24"/>
        </w:rPr>
        <w:t>,</w:t>
      </w:r>
      <w:r w:rsidRPr="003C17D4">
        <w:rPr>
          <w:rFonts w:ascii="Arial" w:eastAsia="Calibri" w:hAnsi="Arial" w:cs="Arial"/>
          <w:sz w:val="24"/>
          <w:szCs w:val="24"/>
        </w:rPr>
        <w:t xml:space="preserve"> J</w:t>
      </w:r>
      <w:r w:rsidR="00747B67" w:rsidRPr="003C17D4">
        <w:rPr>
          <w:rFonts w:ascii="Arial" w:eastAsia="Calibri" w:hAnsi="Arial" w:cs="Arial"/>
          <w:sz w:val="24"/>
          <w:szCs w:val="24"/>
        </w:rPr>
        <w:t>.</w:t>
      </w:r>
      <w:r w:rsidRPr="003C17D4">
        <w:rPr>
          <w:rFonts w:ascii="Arial" w:eastAsia="Calibri" w:hAnsi="Arial" w:cs="Arial"/>
          <w:sz w:val="24"/>
          <w:szCs w:val="24"/>
        </w:rPr>
        <w:t xml:space="preserve"> </w:t>
      </w:r>
      <w:r w:rsidR="00A44010" w:rsidRPr="003C17D4">
        <w:rPr>
          <w:rFonts w:ascii="Arial" w:eastAsia="Calibri" w:hAnsi="Arial" w:cs="Arial"/>
          <w:sz w:val="24"/>
          <w:szCs w:val="24"/>
        </w:rPr>
        <w:t>&amp;</w:t>
      </w:r>
      <w:r w:rsidRPr="003C17D4">
        <w:rPr>
          <w:rFonts w:ascii="Arial" w:eastAsia="Calibri" w:hAnsi="Arial" w:cs="Arial"/>
          <w:sz w:val="24"/>
          <w:szCs w:val="24"/>
        </w:rPr>
        <w:t xml:space="preserve"> Moules</w:t>
      </w:r>
      <w:r w:rsidR="00747B67" w:rsidRPr="003C17D4">
        <w:rPr>
          <w:rFonts w:ascii="Arial" w:eastAsia="Calibri" w:hAnsi="Arial" w:cs="Arial"/>
          <w:sz w:val="24"/>
          <w:szCs w:val="24"/>
        </w:rPr>
        <w:t>,</w:t>
      </w:r>
      <w:r w:rsidRPr="003C17D4">
        <w:rPr>
          <w:rFonts w:ascii="Arial" w:eastAsia="Calibri" w:hAnsi="Arial" w:cs="Arial"/>
          <w:sz w:val="24"/>
          <w:szCs w:val="24"/>
        </w:rPr>
        <w:t xml:space="preserve"> R</w:t>
      </w:r>
      <w:r w:rsidR="00747B67" w:rsidRPr="003C17D4">
        <w:rPr>
          <w:rFonts w:ascii="Arial" w:eastAsia="Calibri" w:hAnsi="Arial" w:cs="Arial"/>
          <w:sz w:val="24"/>
          <w:szCs w:val="24"/>
        </w:rPr>
        <w:t>.</w:t>
      </w:r>
      <w:r w:rsidRPr="003C17D4">
        <w:rPr>
          <w:rFonts w:ascii="Arial" w:eastAsia="Calibri" w:hAnsi="Arial" w:cs="Arial"/>
          <w:sz w:val="24"/>
          <w:szCs w:val="24"/>
        </w:rPr>
        <w:t xml:space="preserve"> (2014)</w:t>
      </w:r>
      <w:r w:rsidR="00747B67" w:rsidRPr="003C17D4">
        <w:rPr>
          <w:rFonts w:ascii="Arial" w:eastAsia="Calibri" w:hAnsi="Arial" w:cs="Arial"/>
          <w:sz w:val="24"/>
          <w:szCs w:val="24"/>
        </w:rPr>
        <w:t>.</w:t>
      </w:r>
      <w:r w:rsidRPr="003C17D4">
        <w:rPr>
          <w:rFonts w:ascii="Arial" w:eastAsia="Calibri" w:hAnsi="Arial" w:cs="Arial"/>
          <w:sz w:val="24"/>
          <w:szCs w:val="24"/>
        </w:rPr>
        <w:t xml:space="preserve"> The influence of the Aarhus Convention on EU Environmental Law: Part 2</w:t>
      </w:r>
      <w:r w:rsidR="00B615B3" w:rsidRPr="003C17D4">
        <w:rPr>
          <w:rFonts w:ascii="Arial" w:eastAsia="Calibri" w:hAnsi="Arial" w:cs="Arial"/>
          <w:sz w:val="24"/>
          <w:szCs w:val="24"/>
        </w:rPr>
        <w:t>.</w:t>
      </w:r>
      <w:r w:rsidRPr="003C17D4">
        <w:rPr>
          <w:rFonts w:ascii="Arial" w:eastAsia="Calibri" w:hAnsi="Arial" w:cs="Arial"/>
          <w:sz w:val="24"/>
          <w:szCs w:val="24"/>
        </w:rPr>
        <w:t xml:space="preserve"> </w:t>
      </w:r>
      <w:r w:rsidRPr="003C17D4">
        <w:rPr>
          <w:rFonts w:ascii="Arial" w:eastAsia="Calibri" w:hAnsi="Arial" w:cs="Arial"/>
          <w:i/>
          <w:sz w:val="24"/>
          <w:szCs w:val="24"/>
        </w:rPr>
        <w:t>Journal of Planning and Environment Law</w:t>
      </w:r>
      <w:r w:rsidRPr="003C17D4">
        <w:rPr>
          <w:rFonts w:ascii="Arial" w:eastAsia="Calibri" w:hAnsi="Arial" w:cs="Arial"/>
          <w:sz w:val="24"/>
          <w:szCs w:val="24"/>
        </w:rPr>
        <w:t xml:space="preserve"> 2, 181-202.</w:t>
      </w:r>
    </w:p>
    <w:p w:rsidR="00487B7B" w:rsidRPr="003C17D4" w:rsidRDefault="00487B7B" w:rsidP="00E32DF7">
      <w:pPr>
        <w:ind w:left="567" w:hanging="567"/>
        <w:rPr>
          <w:rFonts w:ascii="Arial" w:hAnsi="Arial" w:cs="Arial"/>
          <w:sz w:val="24"/>
          <w:szCs w:val="24"/>
        </w:rPr>
      </w:pPr>
      <w:r w:rsidRPr="003C17D4">
        <w:rPr>
          <w:rFonts w:ascii="Arial" w:eastAsia="Calibri" w:hAnsi="Arial" w:cs="Arial"/>
          <w:sz w:val="24"/>
          <w:szCs w:val="24"/>
        </w:rPr>
        <w:t>Millichap</w:t>
      </w:r>
      <w:r w:rsidR="00747B67" w:rsidRPr="003C17D4">
        <w:rPr>
          <w:rFonts w:ascii="Arial" w:eastAsia="Calibri" w:hAnsi="Arial" w:cs="Arial"/>
          <w:sz w:val="24"/>
          <w:szCs w:val="24"/>
        </w:rPr>
        <w:t>,</w:t>
      </w:r>
      <w:r w:rsidRPr="003C17D4">
        <w:rPr>
          <w:rFonts w:ascii="Arial" w:eastAsia="Calibri" w:hAnsi="Arial" w:cs="Arial"/>
          <w:sz w:val="24"/>
          <w:szCs w:val="24"/>
        </w:rPr>
        <w:t xml:space="preserve"> D</w:t>
      </w:r>
      <w:r w:rsidR="00747B67" w:rsidRPr="003C17D4">
        <w:rPr>
          <w:rFonts w:ascii="Arial" w:eastAsia="Calibri" w:hAnsi="Arial" w:cs="Arial"/>
          <w:sz w:val="24"/>
          <w:szCs w:val="24"/>
        </w:rPr>
        <w:t>.</w:t>
      </w:r>
      <w:r w:rsidRPr="003C17D4">
        <w:rPr>
          <w:rFonts w:ascii="Arial" w:eastAsia="Calibri" w:hAnsi="Arial" w:cs="Arial"/>
          <w:sz w:val="24"/>
          <w:szCs w:val="24"/>
        </w:rPr>
        <w:t xml:space="preserve"> </w:t>
      </w:r>
      <w:r w:rsidR="00403B73" w:rsidRPr="003C17D4">
        <w:rPr>
          <w:rFonts w:ascii="Arial" w:eastAsia="Calibri" w:hAnsi="Arial" w:cs="Arial"/>
          <w:sz w:val="24"/>
          <w:szCs w:val="24"/>
        </w:rPr>
        <w:t>(1993)</w:t>
      </w:r>
      <w:r w:rsidR="00B615B3" w:rsidRPr="003C17D4">
        <w:rPr>
          <w:rFonts w:ascii="Arial" w:eastAsia="Calibri" w:hAnsi="Arial" w:cs="Arial"/>
          <w:sz w:val="24"/>
          <w:szCs w:val="24"/>
        </w:rPr>
        <w:t>.</w:t>
      </w:r>
      <w:r w:rsidR="00403B73" w:rsidRPr="003C17D4">
        <w:rPr>
          <w:rFonts w:ascii="Arial" w:eastAsia="Calibri" w:hAnsi="Arial" w:cs="Arial"/>
          <w:sz w:val="24"/>
          <w:szCs w:val="24"/>
        </w:rPr>
        <w:t xml:space="preserve"> </w:t>
      </w:r>
      <w:r w:rsidR="00403B73" w:rsidRPr="003C17D4">
        <w:rPr>
          <w:rFonts w:ascii="Arial" w:hAnsi="Arial" w:cs="Arial"/>
          <w:sz w:val="24"/>
          <w:szCs w:val="24"/>
        </w:rPr>
        <w:t>Sustainability: A long-established concern of planning</w:t>
      </w:r>
      <w:r w:rsidR="00B615B3" w:rsidRPr="003C17D4">
        <w:rPr>
          <w:rFonts w:ascii="Arial" w:hAnsi="Arial" w:cs="Arial"/>
          <w:sz w:val="24"/>
          <w:szCs w:val="24"/>
        </w:rPr>
        <w:t>.</w:t>
      </w:r>
      <w:r w:rsidR="00403B73" w:rsidRPr="003C17D4">
        <w:rPr>
          <w:rFonts w:ascii="Arial" w:hAnsi="Arial" w:cs="Arial"/>
          <w:sz w:val="24"/>
          <w:szCs w:val="24"/>
        </w:rPr>
        <w:t xml:space="preserve"> </w:t>
      </w:r>
      <w:r w:rsidR="00403B73" w:rsidRPr="003C17D4">
        <w:rPr>
          <w:rFonts w:ascii="Arial" w:hAnsi="Arial" w:cs="Arial"/>
          <w:i/>
          <w:sz w:val="24"/>
          <w:szCs w:val="24"/>
        </w:rPr>
        <w:t>Journal of Planning and Environment Law</w:t>
      </w:r>
      <w:r w:rsidR="00403B73" w:rsidRPr="003C17D4">
        <w:rPr>
          <w:rFonts w:ascii="Arial" w:hAnsi="Arial" w:cs="Arial"/>
          <w:sz w:val="24"/>
          <w:szCs w:val="24"/>
        </w:rPr>
        <w:t>, 1111–1119.</w:t>
      </w:r>
    </w:p>
    <w:p w:rsidR="00DE41F5" w:rsidRPr="003C17D4" w:rsidRDefault="008134A3" w:rsidP="00DE41F5">
      <w:pPr>
        <w:ind w:left="567" w:hanging="567"/>
        <w:rPr>
          <w:rFonts w:ascii="Arial" w:eastAsia="Times New Roman" w:hAnsi="Arial" w:cs="Arial"/>
          <w:sz w:val="24"/>
          <w:szCs w:val="24"/>
          <w:lang w:eastAsia="en-GB"/>
        </w:rPr>
      </w:pPr>
      <w:r w:rsidRPr="003C17D4">
        <w:rPr>
          <w:rFonts w:ascii="Arial" w:hAnsi="Arial" w:cs="Arial"/>
          <w:sz w:val="24"/>
          <w:szCs w:val="24"/>
        </w:rPr>
        <w:t>Mol, A. (2016)</w:t>
      </w:r>
      <w:r w:rsidR="00B615B3" w:rsidRPr="003C17D4">
        <w:rPr>
          <w:rFonts w:ascii="Arial" w:hAnsi="Arial" w:cs="Arial"/>
          <w:sz w:val="24"/>
          <w:szCs w:val="24"/>
        </w:rPr>
        <w:t>.</w:t>
      </w:r>
      <w:r w:rsidRPr="003C17D4">
        <w:rPr>
          <w:rFonts w:ascii="Arial" w:hAnsi="Arial" w:cs="Arial"/>
          <w:sz w:val="24"/>
          <w:szCs w:val="24"/>
        </w:rPr>
        <w:t xml:space="preserve"> The environmental nation state in decline</w:t>
      </w:r>
      <w:r w:rsidR="00B615B3"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Environmental Politics</w:t>
      </w:r>
      <w:r w:rsidRPr="003C17D4">
        <w:rPr>
          <w:rFonts w:ascii="Arial" w:hAnsi="Arial" w:cs="Arial"/>
          <w:sz w:val="24"/>
          <w:szCs w:val="24"/>
        </w:rPr>
        <w:t xml:space="preserve"> 25(1), 48-68</w:t>
      </w:r>
      <w:r w:rsidR="00DE41F5" w:rsidRPr="003C17D4">
        <w:rPr>
          <w:rFonts w:ascii="Arial" w:hAnsi="Arial" w:cs="Arial"/>
          <w:sz w:val="24"/>
          <w:szCs w:val="24"/>
        </w:rPr>
        <w:t xml:space="preserve">. </w:t>
      </w:r>
      <w:hyperlink r:id="rId33" w:history="1">
        <w:r w:rsidR="00DE41F5" w:rsidRPr="003C17D4">
          <w:rPr>
            <w:rFonts w:ascii="Arial" w:eastAsia="Times New Roman" w:hAnsi="Arial" w:cs="Arial"/>
            <w:sz w:val="24"/>
            <w:szCs w:val="24"/>
            <w:lang w:eastAsia="en-GB"/>
          </w:rPr>
          <w:t>https://doi.org/10.1080/09644016.2015.1074385</w:t>
        </w:r>
      </w:hyperlink>
    </w:p>
    <w:p w:rsidR="00B3392A" w:rsidRPr="003C17D4" w:rsidRDefault="00B3392A" w:rsidP="00E32DF7">
      <w:pPr>
        <w:ind w:left="567" w:hanging="567"/>
        <w:rPr>
          <w:rFonts w:ascii="Arial" w:eastAsia="Calibri" w:hAnsi="Arial" w:cs="Arial"/>
          <w:sz w:val="24"/>
          <w:szCs w:val="24"/>
        </w:rPr>
      </w:pPr>
      <w:r w:rsidRPr="003C17D4">
        <w:rPr>
          <w:rFonts w:ascii="Arial" w:hAnsi="Arial" w:cs="Arial"/>
          <w:sz w:val="24"/>
          <w:szCs w:val="24"/>
        </w:rPr>
        <w:t>Morphet</w:t>
      </w:r>
      <w:r w:rsidR="00747B67" w:rsidRPr="003C17D4">
        <w:rPr>
          <w:rFonts w:ascii="Arial" w:hAnsi="Arial" w:cs="Arial"/>
          <w:sz w:val="24"/>
          <w:szCs w:val="24"/>
        </w:rPr>
        <w:t>,</w:t>
      </w:r>
      <w:r w:rsidRPr="003C17D4">
        <w:rPr>
          <w:rFonts w:ascii="Arial" w:hAnsi="Arial" w:cs="Arial"/>
          <w:sz w:val="24"/>
          <w:szCs w:val="24"/>
        </w:rPr>
        <w:t xml:space="preserve"> J</w:t>
      </w:r>
      <w:r w:rsidR="00747B67" w:rsidRPr="003C17D4">
        <w:rPr>
          <w:rFonts w:ascii="Arial" w:hAnsi="Arial" w:cs="Arial"/>
          <w:sz w:val="24"/>
          <w:szCs w:val="24"/>
        </w:rPr>
        <w:t>.</w:t>
      </w:r>
      <w:r w:rsidRPr="003C17D4">
        <w:rPr>
          <w:rFonts w:ascii="Arial" w:hAnsi="Arial" w:cs="Arial"/>
          <w:sz w:val="24"/>
          <w:szCs w:val="24"/>
        </w:rPr>
        <w:t xml:space="preserve"> (2017)</w:t>
      </w:r>
      <w:r w:rsidR="00747B67"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 xml:space="preserve">Beyond </w:t>
      </w:r>
      <w:r w:rsidR="006967B0" w:rsidRPr="003C17D4">
        <w:rPr>
          <w:rFonts w:ascii="Arial" w:hAnsi="Arial" w:cs="Arial"/>
          <w:i/>
          <w:sz w:val="24"/>
          <w:szCs w:val="24"/>
        </w:rPr>
        <w:t>‘Brexit’</w:t>
      </w:r>
      <w:r w:rsidRPr="003C17D4">
        <w:rPr>
          <w:rFonts w:ascii="Arial" w:hAnsi="Arial" w:cs="Arial"/>
          <w:i/>
          <w:sz w:val="24"/>
          <w:szCs w:val="24"/>
        </w:rPr>
        <w:t>?</w:t>
      </w:r>
      <w:r w:rsidRPr="003C17D4">
        <w:rPr>
          <w:rFonts w:ascii="Arial" w:hAnsi="Arial" w:cs="Arial"/>
          <w:sz w:val="24"/>
          <w:szCs w:val="24"/>
        </w:rPr>
        <w:t xml:space="preserve"> Policy Press.</w:t>
      </w:r>
    </w:p>
    <w:p w:rsidR="00FF00A6" w:rsidRPr="003C17D4" w:rsidRDefault="00DA7812" w:rsidP="00FE7D03">
      <w:pPr>
        <w:ind w:left="567" w:hanging="567"/>
        <w:rPr>
          <w:rFonts w:ascii="Arial" w:hAnsi="Arial" w:cs="Arial"/>
          <w:sz w:val="24"/>
          <w:szCs w:val="24"/>
        </w:rPr>
      </w:pPr>
      <w:r w:rsidRPr="003C17D4">
        <w:rPr>
          <w:rFonts w:ascii="Arial" w:eastAsia="Times" w:hAnsi="Arial" w:cs="Arial"/>
          <w:sz w:val="24"/>
          <w:szCs w:val="24"/>
          <w:lang w:eastAsia="en-GB"/>
        </w:rPr>
        <w:t>Muinzer</w:t>
      </w:r>
      <w:r w:rsidR="00747B67" w:rsidRPr="003C17D4">
        <w:rPr>
          <w:rFonts w:ascii="Arial" w:eastAsia="Times" w:hAnsi="Arial" w:cs="Arial"/>
          <w:sz w:val="24"/>
          <w:szCs w:val="24"/>
          <w:lang w:eastAsia="en-GB"/>
        </w:rPr>
        <w:t>,</w:t>
      </w:r>
      <w:r w:rsidRPr="003C17D4">
        <w:rPr>
          <w:rFonts w:ascii="Arial" w:eastAsia="Times" w:hAnsi="Arial" w:cs="Arial"/>
          <w:sz w:val="24"/>
          <w:szCs w:val="24"/>
          <w:lang w:eastAsia="en-GB"/>
        </w:rPr>
        <w:t xml:space="preserve"> T</w:t>
      </w:r>
      <w:r w:rsidR="00747B67" w:rsidRPr="003C17D4">
        <w:rPr>
          <w:rFonts w:ascii="Arial" w:eastAsia="Times" w:hAnsi="Arial" w:cs="Arial"/>
          <w:sz w:val="24"/>
          <w:szCs w:val="24"/>
          <w:lang w:eastAsia="en-GB"/>
        </w:rPr>
        <w:t>.</w:t>
      </w:r>
      <w:r w:rsidRPr="003C17D4">
        <w:rPr>
          <w:rFonts w:ascii="Arial" w:eastAsia="Times" w:hAnsi="Arial" w:cs="Arial"/>
          <w:sz w:val="24"/>
          <w:szCs w:val="24"/>
          <w:lang w:eastAsia="en-GB"/>
        </w:rPr>
        <w:t xml:space="preserve"> (2018)</w:t>
      </w:r>
      <w:r w:rsidR="00747B67" w:rsidRPr="003C17D4">
        <w:rPr>
          <w:rFonts w:ascii="Arial" w:eastAsia="Times" w:hAnsi="Arial" w:cs="Arial"/>
          <w:sz w:val="24"/>
          <w:szCs w:val="24"/>
          <w:lang w:eastAsia="en-GB"/>
        </w:rPr>
        <w:t>.</w:t>
      </w:r>
      <w:r w:rsidRPr="003C17D4">
        <w:rPr>
          <w:rFonts w:ascii="Arial" w:eastAsia="Times" w:hAnsi="Arial" w:cs="Arial"/>
          <w:sz w:val="24"/>
          <w:szCs w:val="24"/>
          <w:lang w:eastAsia="en-GB"/>
        </w:rPr>
        <w:t xml:space="preserve"> </w:t>
      </w:r>
      <w:r w:rsidRPr="003C17D4">
        <w:rPr>
          <w:rFonts w:ascii="Arial" w:hAnsi="Arial" w:cs="Arial"/>
          <w:i/>
          <w:sz w:val="24"/>
          <w:szCs w:val="24"/>
        </w:rPr>
        <w:t xml:space="preserve">Climate and Energy Governance for the UK Low Carbon Transition: The Climate Change Act 2008, </w:t>
      </w:r>
      <w:r w:rsidRPr="003C17D4">
        <w:rPr>
          <w:rFonts w:ascii="Arial" w:hAnsi="Arial" w:cs="Arial"/>
          <w:sz w:val="24"/>
          <w:szCs w:val="24"/>
        </w:rPr>
        <w:t>Palgrave MacMillan</w:t>
      </w:r>
    </w:p>
    <w:p w:rsidR="00A675D3" w:rsidRPr="003C17D4" w:rsidRDefault="008134A3" w:rsidP="00FE7D03">
      <w:pPr>
        <w:ind w:left="567" w:hanging="567"/>
        <w:rPr>
          <w:rFonts w:ascii="Arial" w:hAnsi="Arial" w:cs="Arial"/>
          <w:sz w:val="24"/>
          <w:szCs w:val="24"/>
        </w:rPr>
      </w:pPr>
      <w:r w:rsidRPr="003C17D4">
        <w:rPr>
          <w:rFonts w:ascii="Arial" w:hAnsi="Arial" w:cs="Arial"/>
          <w:sz w:val="24"/>
          <w:szCs w:val="24"/>
          <w:shd w:val="clear" w:color="auto" w:fill="FFFFFF"/>
        </w:rPr>
        <w:t xml:space="preserve">Olesen, K. and Carter, H., </w:t>
      </w:r>
      <w:r w:rsidR="00B615B3" w:rsidRPr="003C17D4">
        <w:rPr>
          <w:rFonts w:ascii="Arial" w:hAnsi="Arial" w:cs="Arial"/>
          <w:sz w:val="24"/>
          <w:szCs w:val="24"/>
          <w:shd w:val="clear" w:color="auto" w:fill="FFFFFF"/>
        </w:rPr>
        <w:t>(</w:t>
      </w:r>
      <w:r w:rsidRPr="003C17D4">
        <w:rPr>
          <w:rFonts w:ascii="Arial" w:hAnsi="Arial" w:cs="Arial"/>
          <w:sz w:val="24"/>
          <w:szCs w:val="24"/>
          <w:shd w:val="clear" w:color="auto" w:fill="FFFFFF"/>
        </w:rPr>
        <w:t>2018</w:t>
      </w:r>
      <w:r w:rsidR="00B615B3" w:rsidRPr="003C17D4">
        <w:rPr>
          <w:rFonts w:ascii="Arial" w:hAnsi="Arial" w:cs="Arial"/>
          <w:sz w:val="24"/>
          <w:szCs w:val="24"/>
          <w:shd w:val="clear" w:color="auto" w:fill="FFFFFF"/>
        </w:rPr>
        <w:t>)</w:t>
      </w:r>
      <w:r w:rsidRPr="003C17D4">
        <w:rPr>
          <w:rFonts w:ascii="Arial" w:hAnsi="Arial" w:cs="Arial"/>
          <w:sz w:val="24"/>
          <w:szCs w:val="24"/>
          <w:shd w:val="clear" w:color="auto" w:fill="FFFFFF"/>
        </w:rPr>
        <w:t>. Planning as a barrier for growth: Analysing storylines on the reform of the Danish Planning Act. </w:t>
      </w:r>
      <w:r w:rsidRPr="003C17D4">
        <w:rPr>
          <w:rFonts w:ascii="Arial" w:hAnsi="Arial" w:cs="Arial"/>
          <w:i/>
          <w:iCs/>
          <w:sz w:val="24"/>
          <w:szCs w:val="24"/>
          <w:shd w:val="clear" w:color="auto" w:fill="FFFFFF"/>
        </w:rPr>
        <w:t>Environment and Planning C: Politics and Space</w:t>
      </w:r>
      <w:r w:rsidRPr="003C17D4">
        <w:rPr>
          <w:rFonts w:ascii="Arial" w:hAnsi="Arial" w:cs="Arial"/>
          <w:sz w:val="24"/>
          <w:szCs w:val="24"/>
          <w:shd w:val="clear" w:color="auto" w:fill="FFFFFF"/>
        </w:rPr>
        <w:t>, 36(4), pp.689-707</w:t>
      </w:r>
      <w:r w:rsidR="00DE41F5" w:rsidRPr="003C17D4">
        <w:rPr>
          <w:rFonts w:ascii="Arial" w:hAnsi="Arial" w:cs="Arial"/>
          <w:sz w:val="24"/>
          <w:szCs w:val="24"/>
          <w:shd w:val="clear" w:color="auto" w:fill="FFFFFF"/>
        </w:rPr>
        <w:t xml:space="preserve">. </w:t>
      </w:r>
      <w:hyperlink r:id="rId34" w:history="1">
        <w:r w:rsidR="00DE41F5" w:rsidRPr="003C17D4">
          <w:rPr>
            <w:rStyle w:val="Hyperlink"/>
            <w:rFonts w:ascii="Arial" w:hAnsi="Arial" w:cs="Arial"/>
            <w:color w:val="auto"/>
            <w:sz w:val="24"/>
            <w:szCs w:val="24"/>
            <w:u w:val="none"/>
            <w:shd w:val="clear" w:color="auto" w:fill="FFFFFF"/>
          </w:rPr>
          <w:t>https://doi.org/10.1177/2399654417719285</w:t>
        </w:r>
      </w:hyperlink>
    </w:p>
    <w:p w:rsidR="002E45FC" w:rsidRPr="003C17D4" w:rsidRDefault="002E45FC" w:rsidP="00FE7D03">
      <w:pPr>
        <w:ind w:left="567" w:hanging="567"/>
        <w:rPr>
          <w:rFonts w:ascii="Arial" w:hAnsi="Arial" w:cs="Arial"/>
          <w:sz w:val="24"/>
          <w:szCs w:val="24"/>
        </w:rPr>
      </w:pPr>
      <w:r w:rsidRPr="003C17D4">
        <w:rPr>
          <w:rFonts w:ascii="Arial" w:eastAsia="Calibri" w:hAnsi="Arial" w:cs="Arial"/>
          <w:sz w:val="24"/>
          <w:szCs w:val="24"/>
        </w:rPr>
        <w:t>Owens</w:t>
      </w:r>
      <w:r w:rsidR="00747B67" w:rsidRPr="003C17D4">
        <w:rPr>
          <w:rFonts w:ascii="Arial" w:eastAsia="Calibri" w:hAnsi="Arial" w:cs="Arial"/>
          <w:sz w:val="24"/>
          <w:szCs w:val="24"/>
        </w:rPr>
        <w:t>,</w:t>
      </w:r>
      <w:r w:rsidRPr="003C17D4">
        <w:rPr>
          <w:rFonts w:ascii="Arial" w:eastAsia="Calibri" w:hAnsi="Arial" w:cs="Arial"/>
          <w:sz w:val="24"/>
          <w:szCs w:val="24"/>
        </w:rPr>
        <w:t xml:space="preserve"> S</w:t>
      </w:r>
      <w:r w:rsidR="00747B67" w:rsidRPr="003C17D4">
        <w:rPr>
          <w:rFonts w:ascii="Arial" w:eastAsia="Calibri" w:hAnsi="Arial" w:cs="Arial"/>
          <w:sz w:val="24"/>
          <w:szCs w:val="24"/>
        </w:rPr>
        <w:t>.</w:t>
      </w:r>
      <w:r w:rsidRPr="003C17D4">
        <w:rPr>
          <w:rFonts w:ascii="Arial" w:eastAsia="Calibri" w:hAnsi="Arial" w:cs="Arial"/>
          <w:sz w:val="24"/>
          <w:szCs w:val="24"/>
        </w:rPr>
        <w:t xml:space="preserve"> </w:t>
      </w:r>
      <w:r w:rsidR="00A44010" w:rsidRPr="003C17D4">
        <w:rPr>
          <w:rFonts w:ascii="Arial" w:eastAsia="Calibri" w:hAnsi="Arial" w:cs="Arial"/>
          <w:sz w:val="24"/>
          <w:szCs w:val="24"/>
        </w:rPr>
        <w:t>&amp;</w:t>
      </w:r>
      <w:r w:rsidRPr="003C17D4">
        <w:rPr>
          <w:rFonts w:ascii="Arial" w:eastAsia="Calibri" w:hAnsi="Arial" w:cs="Arial"/>
          <w:sz w:val="24"/>
          <w:szCs w:val="24"/>
        </w:rPr>
        <w:t xml:space="preserve"> Cowell</w:t>
      </w:r>
      <w:r w:rsidR="00747B67" w:rsidRPr="003C17D4">
        <w:rPr>
          <w:rFonts w:ascii="Arial" w:eastAsia="Calibri" w:hAnsi="Arial" w:cs="Arial"/>
          <w:sz w:val="24"/>
          <w:szCs w:val="24"/>
        </w:rPr>
        <w:t>,</w:t>
      </w:r>
      <w:r w:rsidRPr="003C17D4">
        <w:rPr>
          <w:rFonts w:ascii="Arial" w:eastAsia="Calibri" w:hAnsi="Arial" w:cs="Arial"/>
          <w:sz w:val="24"/>
          <w:szCs w:val="24"/>
        </w:rPr>
        <w:t xml:space="preserve"> R</w:t>
      </w:r>
      <w:r w:rsidR="00747B67" w:rsidRPr="003C17D4">
        <w:rPr>
          <w:rFonts w:ascii="Arial" w:eastAsia="Calibri" w:hAnsi="Arial" w:cs="Arial"/>
          <w:sz w:val="24"/>
          <w:szCs w:val="24"/>
        </w:rPr>
        <w:t>.</w:t>
      </w:r>
      <w:r w:rsidRPr="003C17D4">
        <w:rPr>
          <w:rFonts w:ascii="Arial" w:eastAsia="Calibri" w:hAnsi="Arial" w:cs="Arial"/>
          <w:sz w:val="24"/>
          <w:szCs w:val="24"/>
        </w:rPr>
        <w:t xml:space="preserve"> </w:t>
      </w:r>
      <w:r w:rsidRPr="003C17D4">
        <w:rPr>
          <w:rFonts w:ascii="Arial" w:hAnsi="Arial" w:cs="Arial"/>
          <w:sz w:val="24"/>
          <w:szCs w:val="24"/>
        </w:rPr>
        <w:t>(</w:t>
      </w:r>
      <w:r w:rsidRPr="003C17D4">
        <w:rPr>
          <w:rFonts w:ascii="Arial" w:eastAsia="Calibri" w:hAnsi="Arial" w:cs="Arial"/>
          <w:sz w:val="24"/>
          <w:szCs w:val="24"/>
        </w:rPr>
        <w:t>2010</w:t>
      </w:r>
      <w:r w:rsidRPr="003C17D4">
        <w:rPr>
          <w:rFonts w:ascii="Arial" w:hAnsi="Arial" w:cs="Arial"/>
          <w:sz w:val="24"/>
          <w:szCs w:val="24"/>
        </w:rPr>
        <w:t>)</w:t>
      </w:r>
      <w:r w:rsidR="00747B67" w:rsidRPr="003C17D4">
        <w:rPr>
          <w:rFonts w:ascii="Arial" w:hAnsi="Arial" w:cs="Arial"/>
          <w:sz w:val="24"/>
          <w:szCs w:val="24"/>
        </w:rPr>
        <w:t xml:space="preserve"> </w:t>
      </w:r>
      <w:r w:rsidRPr="003C17D4">
        <w:rPr>
          <w:rFonts w:ascii="Arial" w:eastAsia="Calibri" w:hAnsi="Arial" w:cs="Arial"/>
          <w:i/>
          <w:sz w:val="24"/>
          <w:szCs w:val="24"/>
        </w:rPr>
        <w:t>Land and Limits: Interpreting Sustainability in the Planning Process</w:t>
      </w:r>
      <w:r w:rsidRPr="003C17D4">
        <w:rPr>
          <w:rFonts w:ascii="Arial" w:eastAsia="Calibri" w:hAnsi="Arial" w:cs="Arial"/>
          <w:sz w:val="24"/>
          <w:szCs w:val="24"/>
        </w:rPr>
        <w:t>, 2</w:t>
      </w:r>
      <w:r w:rsidRPr="003C17D4">
        <w:rPr>
          <w:rFonts w:ascii="Arial" w:eastAsia="Calibri" w:hAnsi="Arial" w:cs="Arial"/>
          <w:sz w:val="24"/>
          <w:szCs w:val="24"/>
          <w:vertAlign w:val="superscript"/>
        </w:rPr>
        <w:t>nd</w:t>
      </w:r>
      <w:r w:rsidRPr="003C17D4">
        <w:rPr>
          <w:rFonts w:ascii="Arial" w:eastAsia="Calibri" w:hAnsi="Arial" w:cs="Arial"/>
          <w:sz w:val="24"/>
          <w:szCs w:val="24"/>
        </w:rPr>
        <w:t xml:space="preserve"> Edition, Routledge</w:t>
      </w:r>
      <w:r w:rsidR="00A44010" w:rsidRPr="003C17D4">
        <w:rPr>
          <w:rFonts w:ascii="Arial" w:eastAsia="Calibri" w:hAnsi="Arial" w:cs="Arial"/>
          <w:sz w:val="24"/>
          <w:szCs w:val="24"/>
        </w:rPr>
        <w:t>.</w:t>
      </w:r>
    </w:p>
    <w:p w:rsidR="005A4FE3" w:rsidRPr="003C17D4" w:rsidRDefault="005A4FE3" w:rsidP="00E32DF7">
      <w:pPr>
        <w:ind w:left="567" w:hanging="567"/>
        <w:rPr>
          <w:rFonts w:ascii="Arial" w:hAnsi="Arial" w:cs="Arial"/>
          <w:sz w:val="24"/>
          <w:szCs w:val="24"/>
        </w:rPr>
      </w:pPr>
      <w:r w:rsidRPr="003C17D4">
        <w:rPr>
          <w:rFonts w:ascii="Arial" w:hAnsi="Arial" w:cs="Arial"/>
          <w:sz w:val="24"/>
          <w:szCs w:val="24"/>
        </w:rPr>
        <w:t>Pickles</w:t>
      </w:r>
      <w:r w:rsidR="00747B67" w:rsidRPr="003C17D4">
        <w:rPr>
          <w:rFonts w:ascii="Arial" w:hAnsi="Arial" w:cs="Arial"/>
          <w:sz w:val="24"/>
          <w:szCs w:val="24"/>
        </w:rPr>
        <w:t>,</w:t>
      </w:r>
      <w:r w:rsidRPr="003C17D4">
        <w:rPr>
          <w:rFonts w:ascii="Arial" w:hAnsi="Arial" w:cs="Arial"/>
          <w:sz w:val="24"/>
          <w:szCs w:val="24"/>
        </w:rPr>
        <w:t xml:space="preserve"> </w:t>
      </w:r>
      <w:r w:rsidR="00FF00A6" w:rsidRPr="003C17D4">
        <w:rPr>
          <w:rFonts w:ascii="Arial" w:hAnsi="Arial" w:cs="Arial"/>
          <w:sz w:val="24"/>
          <w:szCs w:val="24"/>
        </w:rPr>
        <w:t>E</w:t>
      </w:r>
      <w:r w:rsidR="00747B67" w:rsidRPr="003C17D4">
        <w:rPr>
          <w:rFonts w:ascii="Arial" w:hAnsi="Arial" w:cs="Arial"/>
          <w:sz w:val="24"/>
          <w:szCs w:val="24"/>
        </w:rPr>
        <w:t>.</w:t>
      </w:r>
      <w:r w:rsidR="00FF00A6" w:rsidRPr="003C17D4">
        <w:rPr>
          <w:rFonts w:ascii="Arial" w:hAnsi="Arial" w:cs="Arial"/>
          <w:sz w:val="24"/>
          <w:szCs w:val="24"/>
        </w:rPr>
        <w:t xml:space="preserve"> (2012)</w:t>
      </w:r>
      <w:r w:rsidR="00747B67" w:rsidRPr="003C17D4">
        <w:rPr>
          <w:rFonts w:ascii="Arial" w:hAnsi="Arial" w:cs="Arial"/>
          <w:sz w:val="24"/>
          <w:szCs w:val="24"/>
        </w:rPr>
        <w:t>.</w:t>
      </w:r>
      <w:r w:rsidRPr="003C17D4">
        <w:rPr>
          <w:rFonts w:ascii="Arial" w:hAnsi="Arial" w:cs="Arial"/>
          <w:sz w:val="24"/>
          <w:szCs w:val="24"/>
        </w:rPr>
        <w:t xml:space="preserve"> Written Ministerial Statements, Communities and Local Government, Planning Administration, column 71-72WS</w:t>
      </w:r>
      <w:r w:rsidR="00FF00A6" w:rsidRPr="003C17D4">
        <w:rPr>
          <w:rFonts w:ascii="Arial" w:hAnsi="Arial" w:cs="Arial"/>
          <w:sz w:val="24"/>
          <w:szCs w:val="24"/>
        </w:rPr>
        <w:t xml:space="preserve">, </w:t>
      </w:r>
      <w:r w:rsidR="00FF00A6" w:rsidRPr="003C17D4">
        <w:rPr>
          <w:rFonts w:ascii="Arial" w:hAnsi="Arial" w:cs="Arial"/>
          <w:i/>
          <w:sz w:val="24"/>
          <w:szCs w:val="24"/>
        </w:rPr>
        <w:t>Hansard</w:t>
      </w:r>
      <w:r w:rsidR="00747B67" w:rsidRPr="003C17D4">
        <w:rPr>
          <w:rFonts w:ascii="Arial" w:hAnsi="Arial" w:cs="Arial"/>
          <w:i/>
          <w:sz w:val="24"/>
          <w:szCs w:val="24"/>
        </w:rPr>
        <w:t xml:space="preserve"> </w:t>
      </w:r>
      <w:r w:rsidR="00FF00A6" w:rsidRPr="003C17D4">
        <w:rPr>
          <w:rFonts w:ascii="Arial" w:hAnsi="Arial" w:cs="Arial"/>
          <w:sz w:val="24"/>
          <w:szCs w:val="24"/>
        </w:rPr>
        <w:t xml:space="preserve"> 6 Decembe</w:t>
      </w:r>
      <w:r w:rsidR="00747B67" w:rsidRPr="003C17D4">
        <w:rPr>
          <w:rFonts w:ascii="Arial" w:hAnsi="Arial" w:cs="Arial"/>
          <w:sz w:val="24"/>
          <w:szCs w:val="24"/>
        </w:rPr>
        <w:t>r</w:t>
      </w:r>
      <w:r w:rsidR="00A44010" w:rsidRPr="003C17D4">
        <w:rPr>
          <w:rFonts w:ascii="Arial" w:hAnsi="Arial" w:cs="Arial"/>
          <w:sz w:val="24"/>
          <w:szCs w:val="24"/>
        </w:rPr>
        <w:t>.</w:t>
      </w:r>
    </w:p>
    <w:p w:rsidR="002E45FC" w:rsidRPr="003C17D4" w:rsidRDefault="002E45FC" w:rsidP="00E32DF7">
      <w:pPr>
        <w:ind w:left="567" w:hanging="567"/>
        <w:rPr>
          <w:rFonts w:ascii="Arial" w:hAnsi="Arial" w:cs="Arial"/>
          <w:sz w:val="24"/>
          <w:szCs w:val="24"/>
        </w:rPr>
      </w:pPr>
      <w:r w:rsidRPr="003C17D4">
        <w:rPr>
          <w:rFonts w:ascii="Arial" w:hAnsi="Arial" w:cs="Arial"/>
          <w:sz w:val="24"/>
          <w:szCs w:val="24"/>
        </w:rPr>
        <w:t>Pickstone</w:t>
      </w:r>
      <w:r w:rsidR="00747B67" w:rsidRPr="003C17D4">
        <w:rPr>
          <w:rFonts w:ascii="Arial" w:hAnsi="Arial" w:cs="Arial"/>
          <w:sz w:val="24"/>
          <w:szCs w:val="24"/>
        </w:rPr>
        <w:t>,</w:t>
      </w:r>
      <w:r w:rsidRPr="003C17D4">
        <w:rPr>
          <w:rFonts w:ascii="Arial" w:hAnsi="Arial" w:cs="Arial"/>
          <w:sz w:val="24"/>
          <w:szCs w:val="24"/>
        </w:rPr>
        <w:t xml:space="preserve"> S</w:t>
      </w:r>
      <w:r w:rsidR="00747B67" w:rsidRPr="003C17D4">
        <w:rPr>
          <w:rFonts w:ascii="Arial" w:hAnsi="Arial" w:cs="Arial"/>
          <w:sz w:val="24"/>
          <w:szCs w:val="24"/>
        </w:rPr>
        <w:t>.</w:t>
      </w:r>
      <w:r w:rsidRPr="003C17D4">
        <w:rPr>
          <w:rFonts w:ascii="Arial" w:hAnsi="Arial" w:cs="Arial"/>
          <w:sz w:val="24"/>
          <w:szCs w:val="24"/>
        </w:rPr>
        <w:t xml:space="preserve"> (2018)</w:t>
      </w:r>
      <w:r w:rsidR="00747B67" w:rsidRPr="003C17D4">
        <w:rPr>
          <w:rFonts w:ascii="Arial" w:hAnsi="Arial" w:cs="Arial"/>
          <w:sz w:val="24"/>
          <w:szCs w:val="24"/>
        </w:rPr>
        <w:t>.</w:t>
      </w:r>
      <w:r w:rsidRPr="003C17D4">
        <w:rPr>
          <w:rFonts w:ascii="Arial" w:hAnsi="Arial" w:cs="Arial"/>
          <w:sz w:val="24"/>
          <w:szCs w:val="24"/>
        </w:rPr>
        <w:t xml:space="preserve"> Central Bedfordshire home to UK’s first newt officer</w:t>
      </w:r>
      <w:r w:rsidR="00B615B3"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ENDS Report</w:t>
      </w:r>
      <w:r w:rsidRPr="003C17D4">
        <w:rPr>
          <w:rFonts w:ascii="Arial" w:hAnsi="Arial" w:cs="Arial"/>
          <w:sz w:val="24"/>
          <w:szCs w:val="24"/>
        </w:rPr>
        <w:t xml:space="preserve"> 5</w:t>
      </w:r>
      <w:r w:rsidRPr="003C17D4">
        <w:rPr>
          <w:rFonts w:ascii="Arial" w:hAnsi="Arial" w:cs="Arial"/>
          <w:sz w:val="24"/>
          <w:szCs w:val="24"/>
          <w:vertAlign w:val="superscript"/>
        </w:rPr>
        <w:t>th</w:t>
      </w:r>
      <w:r w:rsidRPr="003C17D4">
        <w:rPr>
          <w:rFonts w:ascii="Arial" w:hAnsi="Arial" w:cs="Arial"/>
          <w:sz w:val="24"/>
          <w:szCs w:val="24"/>
        </w:rPr>
        <w:t xml:space="preserve"> July.</w:t>
      </w:r>
    </w:p>
    <w:p w:rsidR="002650B7" w:rsidRPr="003C17D4" w:rsidRDefault="008134A3" w:rsidP="002650B7">
      <w:pPr>
        <w:pStyle w:val="EndNoteBibliography"/>
        <w:spacing w:after="0"/>
        <w:ind w:left="720" w:hanging="720"/>
        <w:rPr>
          <w:rFonts w:ascii="Arial" w:hAnsi="Arial" w:cs="Arial"/>
          <w:sz w:val="24"/>
          <w:szCs w:val="24"/>
        </w:rPr>
      </w:pPr>
      <w:r w:rsidRPr="003C17D4">
        <w:rPr>
          <w:rFonts w:ascii="Arial" w:hAnsi="Arial" w:cs="Arial"/>
          <w:sz w:val="24"/>
          <w:szCs w:val="24"/>
        </w:rPr>
        <w:t>Pickstone</w:t>
      </w:r>
      <w:r w:rsidR="00DE41F5" w:rsidRPr="003C17D4">
        <w:rPr>
          <w:rFonts w:ascii="Arial" w:hAnsi="Arial" w:cs="Arial"/>
          <w:sz w:val="24"/>
          <w:szCs w:val="24"/>
        </w:rPr>
        <w:t>,</w:t>
      </w:r>
      <w:r w:rsidRPr="003C17D4">
        <w:rPr>
          <w:rFonts w:ascii="Arial" w:hAnsi="Arial" w:cs="Arial"/>
          <w:sz w:val="24"/>
          <w:szCs w:val="24"/>
        </w:rPr>
        <w:t xml:space="preserve"> S</w:t>
      </w:r>
      <w:r w:rsidR="00DE41F5" w:rsidRPr="003C17D4">
        <w:rPr>
          <w:rFonts w:ascii="Arial" w:hAnsi="Arial" w:cs="Arial"/>
          <w:sz w:val="24"/>
          <w:szCs w:val="24"/>
        </w:rPr>
        <w:t>.</w:t>
      </w:r>
      <w:r w:rsidRPr="003C17D4">
        <w:rPr>
          <w:rFonts w:ascii="Arial" w:hAnsi="Arial" w:cs="Arial"/>
          <w:sz w:val="24"/>
          <w:szCs w:val="24"/>
        </w:rPr>
        <w:t xml:space="preserve"> (2020) Eustice: “sensible” deal with EU possible without green alignment</w:t>
      </w:r>
      <w:r w:rsidR="00B615B3"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iCs/>
          <w:sz w:val="24"/>
          <w:szCs w:val="24"/>
        </w:rPr>
        <w:t>ENDS Report</w:t>
      </w:r>
      <w:r w:rsidRPr="003C17D4">
        <w:rPr>
          <w:rFonts w:ascii="Arial" w:hAnsi="Arial" w:cs="Arial"/>
          <w:sz w:val="24"/>
          <w:szCs w:val="24"/>
        </w:rPr>
        <w:t xml:space="preserve"> 17</w:t>
      </w:r>
      <w:r w:rsidRPr="003C17D4">
        <w:rPr>
          <w:rFonts w:ascii="Arial" w:hAnsi="Arial" w:cs="Arial"/>
          <w:sz w:val="24"/>
          <w:szCs w:val="24"/>
          <w:vertAlign w:val="superscript"/>
        </w:rPr>
        <w:t>th</w:t>
      </w:r>
      <w:r w:rsidRPr="003C17D4">
        <w:rPr>
          <w:rFonts w:ascii="Arial" w:hAnsi="Arial" w:cs="Arial"/>
          <w:sz w:val="24"/>
          <w:szCs w:val="24"/>
        </w:rPr>
        <w:t xml:space="preserve"> February</w:t>
      </w:r>
    </w:p>
    <w:p w:rsidR="000F0791" w:rsidRPr="003C17D4" w:rsidRDefault="000F0791" w:rsidP="00E32DF7">
      <w:pPr>
        <w:ind w:left="567" w:hanging="567"/>
        <w:rPr>
          <w:rFonts w:ascii="Arial" w:hAnsi="Arial" w:cs="Arial"/>
          <w:sz w:val="24"/>
          <w:szCs w:val="24"/>
        </w:rPr>
      </w:pPr>
      <w:r w:rsidRPr="003C17D4">
        <w:rPr>
          <w:rFonts w:ascii="Arial" w:hAnsi="Arial" w:cs="Arial"/>
          <w:sz w:val="24"/>
          <w:szCs w:val="24"/>
        </w:rPr>
        <w:t>RCEP (Royal Commission on Environmental Pollution) (2002)</w:t>
      </w:r>
      <w:r w:rsidR="00747B67" w:rsidRPr="003C17D4">
        <w:rPr>
          <w:rFonts w:ascii="Arial" w:hAnsi="Arial" w:cs="Arial"/>
          <w:sz w:val="24"/>
          <w:szCs w:val="24"/>
        </w:rPr>
        <w:t xml:space="preserve">. </w:t>
      </w:r>
      <w:r w:rsidRPr="003C17D4">
        <w:rPr>
          <w:rFonts w:ascii="Arial" w:hAnsi="Arial" w:cs="Arial"/>
          <w:i/>
          <w:sz w:val="24"/>
          <w:szCs w:val="24"/>
        </w:rPr>
        <w:t>Environmental Planning</w:t>
      </w:r>
      <w:r w:rsidRPr="003C17D4">
        <w:rPr>
          <w:rFonts w:ascii="Arial" w:hAnsi="Arial" w:cs="Arial"/>
          <w:sz w:val="24"/>
          <w:szCs w:val="24"/>
        </w:rPr>
        <w:t>, 23</w:t>
      </w:r>
      <w:r w:rsidRPr="003C17D4">
        <w:rPr>
          <w:rFonts w:ascii="Arial" w:hAnsi="Arial" w:cs="Arial"/>
          <w:sz w:val="24"/>
          <w:szCs w:val="24"/>
          <w:vertAlign w:val="superscript"/>
        </w:rPr>
        <w:t>rd</w:t>
      </w:r>
      <w:r w:rsidRPr="003C17D4">
        <w:rPr>
          <w:rFonts w:ascii="Arial" w:hAnsi="Arial" w:cs="Arial"/>
          <w:sz w:val="24"/>
          <w:szCs w:val="24"/>
        </w:rPr>
        <w:t xml:space="preserve"> Report, HMSO.</w:t>
      </w:r>
    </w:p>
    <w:p w:rsidR="00ED0E6F" w:rsidRPr="003C17D4" w:rsidRDefault="00ED0E6F" w:rsidP="00E32DF7">
      <w:pPr>
        <w:ind w:left="567" w:hanging="567"/>
        <w:rPr>
          <w:rFonts w:ascii="Arial" w:hAnsi="Arial" w:cs="Arial"/>
          <w:sz w:val="24"/>
          <w:szCs w:val="24"/>
        </w:rPr>
      </w:pPr>
      <w:r w:rsidRPr="003C17D4">
        <w:rPr>
          <w:rFonts w:ascii="Arial" w:hAnsi="Arial" w:cs="Arial"/>
          <w:sz w:val="24"/>
          <w:szCs w:val="24"/>
        </w:rPr>
        <w:t>Red Tape Initiative (2018)</w:t>
      </w:r>
      <w:r w:rsidR="00747B67"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Better Regulation for a Post-</w:t>
      </w:r>
      <w:r w:rsidR="006967B0" w:rsidRPr="003C17D4">
        <w:rPr>
          <w:rFonts w:ascii="Arial" w:hAnsi="Arial" w:cs="Arial"/>
          <w:i/>
          <w:sz w:val="24"/>
          <w:szCs w:val="24"/>
        </w:rPr>
        <w:t xml:space="preserve">Brexit </w:t>
      </w:r>
      <w:r w:rsidRPr="003C17D4">
        <w:rPr>
          <w:rFonts w:ascii="Arial" w:hAnsi="Arial" w:cs="Arial"/>
          <w:i/>
          <w:sz w:val="24"/>
          <w:szCs w:val="24"/>
        </w:rPr>
        <w:t>Britain</w:t>
      </w:r>
      <w:r w:rsidRPr="003C17D4">
        <w:rPr>
          <w:rFonts w:ascii="Arial" w:hAnsi="Arial" w:cs="Arial"/>
          <w:sz w:val="24"/>
          <w:szCs w:val="24"/>
        </w:rPr>
        <w:t>, November, RTI.</w:t>
      </w:r>
    </w:p>
    <w:p w:rsidR="0059239C" w:rsidRPr="003C17D4" w:rsidRDefault="0059239C" w:rsidP="00E32DF7">
      <w:pPr>
        <w:ind w:left="567" w:hanging="567"/>
        <w:rPr>
          <w:rFonts w:ascii="Arial" w:hAnsi="Arial" w:cs="Arial"/>
          <w:sz w:val="24"/>
          <w:szCs w:val="24"/>
        </w:rPr>
      </w:pPr>
      <w:r w:rsidRPr="003C17D4">
        <w:rPr>
          <w:rFonts w:ascii="Arial" w:hAnsi="Arial" w:cs="Arial"/>
          <w:sz w:val="24"/>
          <w:szCs w:val="24"/>
        </w:rPr>
        <w:t>Rees-Mogg</w:t>
      </w:r>
      <w:r w:rsidR="00747B67" w:rsidRPr="003C17D4">
        <w:rPr>
          <w:rFonts w:ascii="Arial" w:hAnsi="Arial" w:cs="Arial"/>
          <w:sz w:val="24"/>
          <w:szCs w:val="24"/>
        </w:rPr>
        <w:t>,</w:t>
      </w:r>
      <w:r w:rsidRPr="003C17D4">
        <w:rPr>
          <w:rFonts w:ascii="Arial" w:hAnsi="Arial" w:cs="Arial"/>
          <w:sz w:val="24"/>
          <w:szCs w:val="24"/>
        </w:rPr>
        <w:t xml:space="preserve"> J</w:t>
      </w:r>
      <w:r w:rsidR="00747B67" w:rsidRPr="003C17D4">
        <w:rPr>
          <w:rFonts w:ascii="Arial" w:hAnsi="Arial" w:cs="Arial"/>
          <w:sz w:val="24"/>
          <w:szCs w:val="24"/>
        </w:rPr>
        <w:t>.</w:t>
      </w:r>
      <w:r w:rsidRPr="003C17D4">
        <w:rPr>
          <w:rFonts w:ascii="Arial" w:hAnsi="Arial" w:cs="Arial"/>
          <w:sz w:val="24"/>
          <w:szCs w:val="24"/>
        </w:rPr>
        <w:t xml:space="preserve"> (2018)</w:t>
      </w:r>
      <w:r w:rsidR="00747B67" w:rsidRPr="003C17D4">
        <w:rPr>
          <w:rFonts w:ascii="Arial" w:hAnsi="Arial" w:cs="Arial"/>
          <w:sz w:val="24"/>
          <w:szCs w:val="24"/>
        </w:rPr>
        <w:t>.</w:t>
      </w:r>
      <w:r w:rsidRPr="003C17D4">
        <w:rPr>
          <w:rFonts w:ascii="Arial" w:hAnsi="Arial" w:cs="Arial"/>
          <w:sz w:val="24"/>
          <w:szCs w:val="24"/>
        </w:rPr>
        <w:t xml:space="preserve"> Speech, Churcher’s College, Petersfield, 25</w:t>
      </w:r>
      <w:r w:rsidRPr="003C17D4">
        <w:rPr>
          <w:rFonts w:ascii="Arial" w:hAnsi="Arial" w:cs="Arial"/>
          <w:sz w:val="24"/>
          <w:szCs w:val="24"/>
          <w:vertAlign w:val="superscript"/>
        </w:rPr>
        <w:t>th</w:t>
      </w:r>
      <w:r w:rsidRPr="003C17D4">
        <w:rPr>
          <w:rFonts w:ascii="Arial" w:hAnsi="Arial" w:cs="Arial"/>
          <w:sz w:val="24"/>
          <w:szCs w:val="24"/>
        </w:rPr>
        <w:t xml:space="preserve"> January, https://</w:t>
      </w:r>
      <w:r w:rsidR="006967B0" w:rsidRPr="003C17D4">
        <w:rPr>
          <w:rFonts w:ascii="Arial" w:hAnsi="Arial" w:cs="Arial"/>
          <w:sz w:val="24"/>
          <w:szCs w:val="24"/>
        </w:rPr>
        <w:t xml:space="preserve">’Brexit’ </w:t>
      </w:r>
      <w:r w:rsidRPr="003C17D4">
        <w:rPr>
          <w:rFonts w:ascii="Arial" w:hAnsi="Arial" w:cs="Arial"/>
          <w:sz w:val="24"/>
          <w:szCs w:val="24"/>
        </w:rPr>
        <w:t>central.com/read-full-text-jacob-rees-mogg-</w:t>
      </w:r>
      <w:r w:rsidR="006967B0" w:rsidRPr="003C17D4">
        <w:rPr>
          <w:rFonts w:ascii="Arial" w:hAnsi="Arial" w:cs="Arial"/>
          <w:sz w:val="24"/>
          <w:szCs w:val="24"/>
        </w:rPr>
        <w:t xml:space="preserve">’Brexit’ </w:t>
      </w:r>
      <w:r w:rsidRPr="003C17D4">
        <w:rPr>
          <w:rFonts w:ascii="Arial" w:hAnsi="Arial" w:cs="Arial"/>
          <w:sz w:val="24"/>
          <w:szCs w:val="24"/>
        </w:rPr>
        <w:t>-speech/</w:t>
      </w:r>
    </w:p>
    <w:p w:rsidR="007C338B" w:rsidRPr="003C17D4" w:rsidRDefault="007C338B" w:rsidP="007C338B">
      <w:pPr>
        <w:ind w:left="567" w:hanging="567"/>
        <w:rPr>
          <w:rFonts w:ascii="Arial" w:hAnsi="Arial" w:cs="Arial"/>
          <w:sz w:val="24"/>
          <w:szCs w:val="24"/>
        </w:rPr>
      </w:pPr>
      <w:r w:rsidRPr="003C17D4">
        <w:rPr>
          <w:rFonts w:ascii="Arial" w:hAnsi="Arial" w:cs="Arial"/>
          <w:sz w:val="24"/>
          <w:szCs w:val="24"/>
        </w:rPr>
        <w:t>Reid</w:t>
      </w:r>
      <w:r w:rsidR="00747B67" w:rsidRPr="003C17D4">
        <w:rPr>
          <w:rFonts w:ascii="Arial" w:hAnsi="Arial" w:cs="Arial"/>
          <w:sz w:val="24"/>
          <w:szCs w:val="24"/>
        </w:rPr>
        <w:t>,</w:t>
      </w:r>
      <w:r w:rsidRPr="003C17D4">
        <w:rPr>
          <w:rFonts w:ascii="Arial" w:hAnsi="Arial" w:cs="Arial"/>
          <w:sz w:val="24"/>
          <w:szCs w:val="24"/>
        </w:rPr>
        <w:t xml:space="preserve"> C</w:t>
      </w:r>
      <w:r w:rsidR="00747B67" w:rsidRPr="003C17D4">
        <w:rPr>
          <w:rFonts w:ascii="Arial" w:hAnsi="Arial" w:cs="Arial"/>
          <w:sz w:val="24"/>
          <w:szCs w:val="24"/>
        </w:rPr>
        <w:t>.</w:t>
      </w:r>
      <w:r w:rsidRPr="003C17D4">
        <w:rPr>
          <w:rFonts w:ascii="Arial" w:hAnsi="Arial" w:cs="Arial"/>
          <w:sz w:val="24"/>
          <w:szCs w:val="24"/>
        </w:rPr>
        <w:t xml:space="preserve"> (2012)</w:t>
      </w:r>
      <w:r w:rsidR="00747B67" w:rsidRPr="003C17D4">
        <w:rPr>
          <w:rFonts w:ascii="Arial" w:hAnsi="Arial" w:cs="Arial"/>
          <w:sz w:val="24"/>
          <w:szCs w:val="24"/>
        </w:rPr>
        <w:t>.</w:t>
      </w:r>
      <w:r w:rsidRPr="003C17D4">
        <w:rPr>
          <w:rFonts w:ascii="Arial" w:hAnsi="Arial" w:cs="Arial"/>
          <w:sz w:val="24"/>
          <w:szCs w:val="24"/>
        </w:rPr>
        <w:t xml:space="preserve"> </w:t>
      </w:r>
      <w:r w:rsidRPr="003C17D4">
        <w:rPr>
          <w:rStyle w:val="harvardtitle"/>
          <w:rFonts w:ascii="Arial" w:hAnsi="Arial" w:cs="Arial"/>
          <w:sz w:val="24"/>
          <w:szCs w:val="24"/>
        </w:rPr>
        <w:t>A new sort of duty? The significance of “outcome” duties in the climate change and child poverty acts</w:t>
      </w:r>
      <w:r w:rsidR="00B615B3" w:rsidRPr="003C17D4">
        <w:rPr>
          <w:rStyle w:val="harvardtitle"/>
          <w:rFonts w:ascii="Arial" w:hAnsi="Arial" w:cs="Arial"/>
          <w:sz w:val="24"/>
          <w:szCs w:val="24"/>
        </w:rPr>
        <w:t>.</w:t>
      </w:r>
      <w:r w:rsidRPr="003C17D4">
        <w:rPr>
          <w:rStyle w:val="harvardtitle"/>
          <w:rFonts w:ascii="Arial" w:hAnsi="Arial" w:cs="Arial"/>
          <w:sz w:val="24"/>
          <w:szCs w:val="24"/>
        </w:rPr>
        <w:t xml:space="preserve"> </w:t>
      </w:r>
      <w:r w:rsidRPr="003C17D4">
        <w:rPr>
          <w:rStyle w:val="Emphasis"/>
          <w:rFonts w:ascii="Arial" w:hAnsi="Arial" w:cs="Arial"/>
          <w:sz w:val="24"/>
          <w:szCs w:val="24"/>
        </w:rPr>
        <w:t>Public Law</w:t>
      </w:r>
      <w:r w:rsidRPr="003C17D4">
        <w:rPr>
          <w:rFonts w:ascii="Arial" w:hAnsi="Arial" w:cs="Arial"/>
          <w:sz w:val="24"/>
          <w:szCs w:val="24"/>
        </w:rPr>
        <w:t>, vol. 2012, no. 4, pp. 749-767.</w:t>
      </w:r>
    </w:p>
    <w:p w:rsidR="00AF5CDD" w:rsidRPr="003C17D4" w:rsidRDefault="00AF5CDD" w:rsidP="00AF5CDD">
      <w:pPr>
        <w:ind w:left="567" w:hanging="567"/>
        <w:rPr>
          <w:rFonts w:ascii="Arial" w:hAnsi="Arial" w:cs="Arial"/>
          <w:sz w:val="24"/>
          <w:szCs w:val="24"/>
        </w:rPr>
      </w:pPr>
      <w:r w:rsidRPr="003C17D4">
        <w:rPr>
          <w:rFonts w:ascii="Arial" w:hAnsi="Arial" w:cs="Arial"/>
          <w:sz w:val="24"/>
          <w:szCs w:val="24"/>
        </w:rPr>
        <w:t>Reid</w:t>
      </w:r>
      <w:r w:rsidR="00747B67" w:rsidRPr="003C17D4">
        <w:rPr>
          <w:rFonts w:ascii="Arial" w:hAnsi="Arial" w:cs="Arial"/>
          <w:sz w:val="24"/>
          <w:szCs w:val="24"/>
        </w:rPr>
        <w:t>,</w:t>
      </w:r>
      <w:r w:rsidRPr="003C17D4">
        <w:rPr>
          <w:rFonts w:ascii="Arial" w:hAnsi="Arial" w:cs="Arial"/>
          <w:sz w:val="24"/>
          <w:szCs w:val="24"/>
        </w:rPr>
        <w:t xml:space="preserve"> C</w:t>
      </w:r>
      <w:r w:rsidR="00747B67" w:rsidRPr="003C17D4">
        <w:rPr>
          <w:rFonts w:ascii="Arial" w:hAnsi="Arial" w:cs="Arial"/>
          <w:sz w:val="24"/>
          <w:szCs w:val="24"/>
        </w:rPr>
        <w:t>.</w:t>
      </w:r>
      <w:r w:rsidRPr="003C17D4">
        <w:rPr>
          <w:rFonts w:ascii="Arial" w:hAnsi="Arial" w:cs="Arial"/>
          <w:sz w:val="24"/>
          <w:szCs w:val="24"/>
        </w:rPr>
        <w:t xml:space="preserve"> (2016)</w:t>
      </w:r>
      <w:r w:rsidR="00747B67" w:rsidRPr="003C17D4">
        <w:rPr>
          <w:rFonts w:ascii="Arial" w:hAnsi="Arial" w:cs="Arial"/>
          <w:sz w:val="24"/>
          <w:szCs w:val="24"/>
        </w:rPr>
        <w:t>.</w:t>
      </w:r>
      <w:r w:rsidRPr="003C17D4">
        <w:rPr>
          <w:rFonts w:ascii="Arial" w:hAnsi="Arial" w:cs="Arial"/>
          <w:sz w:val="24"/>
          <w:szCs w:val="24"/>
        </w:rPr>
        <w:t xml:space="preserve"> </w:t>
      </w:r>
      <w:r w:rsidR="006967B0" w:rsidRPr="003C17D4">
        <w:rPr>
          <w:rFonts w:ascii="Arial" w:hAnsi="Arial" w:cs="Arial"/>
          <w:sz w:val="24"/>
          <w:szCs w:val="24"/>
        </w:rPr>
        <w:t xml:space="preserve">Brexit </w:t>
      </w:r>
      <w:r w:rsidRPr="003C17D4">
        <w:rPr>
          <w:rFonts w:ascii="Arial" w:hAnsi="Arial" w:cs="Arial"/>
          <w:sz w:val="24"/>
          <w:szCs w:val="24"/>
        </w:rPr>
        <w:t>: challenges for environmental law</w:t>
      </w:r>
      <w:r w:rsidR="00B615B3" w:rsidRPr="003C17D4">
        <w:rPr>
          <w:rFonts w:ascii="Arial" w:hAnsi="Arial" w:cs="Arial"/>
          <w:sz w:val="24"/>
          <w:szCs w:val="24"/>
        </w:rPr>
        <w:t>.</w:t>
      </w:r>
      <w:r w:rsidRPr="003C17D4">
        <w:rPr>
          <w:rFonts w:ascii="Arial" w:hAnsi="Arial" w:cs="Arial"/>
          <w:sz w:val="24"/>
          <w:szCs w:val="24"/>
        </w:rPr>
        <w:t xml:space="preserve"> </w:t>
      </w:r>
      <w:r w:rsidRPr="003C17D4">
        <w:rPr>
          <w:rStyle w:val="Emphasis"/>
          <w:rFonts w:ascii="Arial" w:hAnsi="Arial" w:cs="Arial"/>
          <w:sz w:val="24"/>
          <w:szCs w:val="24"/>
        </w:rPr>
        <w:t>Scots Law Times</w:t>
      </w:r>
      <w:r w:rsidRPr="003C17D4">
        <w:rPr>
          <w:rFonts w:ascii="Arial" w:hAnsi="Arial" w:cs="Arial"/>
          <w:sz w:val="24"/>
          <w:szCs w:val="24"/>
        </w:rPr>
        <w:t>, vol.27, pp. 143-147.</w:t>
      </w:r>
    </w:p>
    <w:p w:rsidR="00E34805" w:rsidRPr="003C17D4" w:rsidRDefault="00E34805" w:rsidP="00E34805">
      <w:pPr>
        <w:ind w:left="567" w:hanging="567"/>
        <w:rPr>
          <w:rFonts w:ascii="Arial" w:hAnsi="Arial" w:cs="Arial"/>
          <w:sz w:val="24"/>
          <w:szCs w:val="24"/>
        </w:rPr>
      </w:pPr>
      <w:r w:rsidRPr="003C17D4">
        <w:rPr>
          <w:rFonts w:ascii="Arial" w:hAnsi="Arial" w:cs="Arial"/>
          <w:sz w:val="24"/>
          <w:szCs w:val="24"/>
        </w:rPr>
        <w:t>Rice</w:t>
      </w:r>
      <w:r w:rsidR="00747B67" w:rsidRPr="003C17D4">
        <w:rPr>
          <w:rFonts w:ascii="Arial" w:hAnsi="Arial" w:cs="Arial"/>
          <w:sz w:val="24"/>
          <w:szCs w:val="24"/>
        </w:rPr>
        <w:t>,</w:t>
      </w:r>
      <w:r w:rsidRPr="003C17D4">
        <w:rPr>
          <w:rFonts w:ascii="Arial" w:hAnsi="Arial" w:cs="Arial"/>
          <w:sz w:val="24"/>
          <w:szCs w:val="24"/>
        </w:rPr>
        <w:t xml:space="preserve"> L</w:t>
      </w:r>
      <w:r w:rsidR="00747B67" w:rsidRPr="003C17D4">
        <w:rPr>
          <w:rFonts w:ascii="Arial" w:hAnsi="Arial" w:cs="Arial"/>
          <w:sz w:val="24"/>
          <w:szCs w:val="24"/>
        </w:rPr>
        <w:t>.</w:t>
      </w:r>
      <w:r w:rsidRPr="003C17D4">
        <w:rPr>
          <w:rFonts w:ascii="Arial" w:hAnsi="Arial" w:cs="Arial"/>
          <w:sz w:val="24"/>
          <w:szCs w:val="24"/>
        </w:rPr>
        <w:t xml:space="preserve"> (2016)</w:t>
      </w:r>
      <w:r w:rsidR="00747B67" w:rsidRPr="003C17D4">
        <w:rPr>
          <w:rFonts w:ascii="Arial" w:hAnsi="Arial" w:cs="Arial"/>
          <w:sz w:val="24"/>
          <w:szCs w:val="24"/>
        </w:rPr>
        <w:t>.</w:t>
      </w:r>
      <w:r w:rsidRPr="003C17D4">
        <w:rPr>
          <w:rFonts w:ascii="Arial" w:hAnsi="Arial" w:cs="Arial"/>
          <w:sz w:val="24"/>
          <w:szCs w:val="24"/>
        </w:rPr>
        <w:t xml:space="preserve"> Judicial review reform and the erosion of public value</w:t>
      </w:r>
      <w:r w:rsidR="00B615B3"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Town and Country Planning</w:t>
      </w:r>
      <w:r w:rsidR="00ED0E6F" w:rsidRPr="003C17D4">
        <w:rPr>
          <w:rFonts w:ascii="Arial" w:hAnsi="Arial" w:cs="Arial"/>
          <w:i/>
          <w:sz w:val="24"/>
          <w:szCs w:val="24"/>
        </w:rPr>
        <w:t>,</w:t>
      </w:r>
      <w:r w:rsidR="00747B67" w:rsidRPr="003C17D4">
        <w:rPr>
          <w:rFonts w:ascii="Arial" w:hAnsi="Arial" w:cs="Arial"/>
          <w:i/>
          <w:sz w:val="24"/>
          <w:szCs w:val="24"/>
        </w:rPr>
        <w:t xml:space="preserve"> </w:t>
      </w:r>
      <w:r w:rsidRPr="003C17D4">
        <w:rPr>
          <w:rFonts w:ascii="Arial" w:hAnsi="Arial" w:cs="Arial"/>
          <w:sz w:val="24"/>
          <w:szCs w:val="24"/>
        </w:rPr>
        <w:t>August, 337-340</w:t>
      </w:r>
      <w:r w:rsidR="00A44010" w:rsidRPr="003C17D4">
        <w:rPr>
          <w:rFonts w:ascii="Arial" w:hAnsi="Arial" w:cs="Arial"/>
          <w:sz w:val="24"/>
          <w:szCs w:val="24"/>
        </w:rPr>
        <w:t>.</w:t>
      </w:r>
    </w:p>
    <w:p w:rsidR="00E34805" w:rsidRPr="003C17D4" w:rsidRDefault="00E34805" w:rsidP="00FF00A6">
      <w:pPr>
        <w:ind w:left="567" w:hanging="567"/>
        <w:rPr>
          <w:rFonts w:ascii="Arial" w:hAnsi="Arial" w:cs="Arial"/>
          <w:sz w:val="24"/>
          <w:szCs w:val="24"/>
        </w:rPr>
      </w:pPr>
      <w:r w:rsidRPr="003C17D4">
        <w:rPr>
          <w:rFonts w:ascii="Arial" w:hAnsi="Arial" w:cs="Arial"/>
          <w:sz w:val="24"/>
          <w:szCs w:val="24"/>
        </w:rPr>
        <w:t>Richardson</w:t>
      </w:r>
      <w:r w:rsidR="00747B67" w:rsidRPr="003C17D4">
        <w:rPr>
          <w:rFonts w:ascii="Arial" w:hAnsi="Arial" w:cs="Arial"/>
          <w:sz w:val="24"/>
          <w:szCs w:val="24"/>
        </w:rPr>
        <w:t>,</w:t>
      </w:r>
      <w:r w:rsidRPr="003C17D4">
        <w:rPr>
          <w:rFonts w:ascii="Arial" w:hAnsi="Arial" w:cs="Arial"/>
          <w:sz w:val="24"/>
          <w:szCs w:val="24"/>
        </w:rPr>
        <w:t xml:space="preserve"> J</w:t>
      </w:r>
      <w:r w:rsidR="00747B67" w:rsidRPr="003C17D4">
        <w:rPr>
          <w:rFonts w:ascii="Arial" w:hAnsi="Arial" w:cs="Arial"/>
          <w:sz w:val="24"/>
          <w:szCs w:val="24"/>
        </w:rPr>
        <w:t>.</w:t>
      </w:r>
      <w:r w:rsidRPr="003C17D4">
        <w:rPr>
          <w:rFonts w:ascii="Arial" w:hAnsi="Arial" w:cs="Arial"/>
          <w:sz w:val="24"/>
          <w:szCs w:val="24"/>
        </w:rPr>
        <w:t xml:space="preserve"> ed. (1982)</w:t>
      </w:r>
      <w:r w:rsidR="00747B67" w:rsidRPr="003C17D4">
        <w:rPr>
          <w:rFonts w:ascii="Arial" w:hAnsi="Arial" w:cs="Arial"/>
          <w:sz w:val="24"/>
          <w:szCs w:val="24"/>
        </w:rPr>
        <w:t>.</w:t>
      </w:r>
      <w:r w:rsidRPr="003C17D4">
        <w:rPr>
          <w:rFonts w:ascii="Arial" w:hAnsi="Arial" w:cs="Arial"/>
          <w:sz w:val="24"/>
          <w:szCs w:val="24"/>
        </w:rPr>
        <w:t xml:space="preserve"> </w:t>
      </w:r>
      <w:r w:rsidR="000D0DA3" w:rsidRPr="003C17D4">
        <w:rPr>
          <w:rFonts w:ascii="Arial" w:hAnsi="Arial" w:cs="Arial"/>
          <w:i/>
          <w:sz w:val="24"/>
          <w:szCs w:val="24"/>
        </w:rPr>
        <w:t>Policy Styles in Western Europe</w:t>
      </w:r>
      <w:r w:rsidRPr="003C17D4">
        <w:rPr>
          <w:rFonts w:ascii="Arial" w:hAnsi="Arial" w:cs="Arial"/>
          <w:sz w:val="24"/>
          <w:szCs w:val="24"/>
        </w:rPr>
        <w:t>, London: George Allen and Unwin.</w:t>
      </w:r>
    </w:p>
    <w:p w:rsidR="00ED0E6F" w:rsidRPr="003C17D4" w:rsidRDefault="00ED0E6F" w:rsidP="00FF00A6">
      <w:pPr>
        <w:ind w:left="567" w:hanging="567"/>
        <w:rPr>
          <w:rFonts w:ascii="Arial" w:hAnsi="Arial" w:cs="Arial"/>
          <w:sz w:val="24"/>
          <w:szCs w:val="24"/>
        </w:rPr>
      </w:pPr>
      <w:r w:rsidRPr="003C17D4">
        <w:rPr>
          <w:rFonts w:ascii="Arial" w:hAnsi="Arial" w:cs="Arial"/>
          <w:sz w:val="24"/>
          <w:szCs w:val="24"/>
        </w:rPr>
        <w:t>Ricketts</w:t>
      </w:r>
      <w:r w:rsidR="00747B67" w:rsidRPr="003C17D4">
        <w:rPr>
          <w:rFonts w:ascii="Arial" w:hAnsi="Arial" w:cs="Arial"/>
          <w:sz w:val="24"/>
          <w:szCs w:val="24"/>
        </w:rPr>
        <w:t>,</w:t>
      </w:r>
      <w:r w:rsidRPr="003C17D4">
        <w:rPr>
          <w:rFonts w:ascii="Arial" w:hAnsi="Arial" w:cs="Arial"/>
          <w:sz w:val="24"/>
          <w:szCs w:val="24"/>
        </w:rPr>
        <w:t xml:space="preserve"> S</w:t>
      </w:r>
      <w:r w:rsidR="00747B67" w:rsidRPr="003C17D4">
        <w:rPr>
          <w:rFonts w:ascii="Arial" w:hAnsi="Arial" w:cs="Arial"/>
          <w:sz w:val="24"/>
          <w:szCs w:val="24"/>
        </w:rPr>
        <w:t>.</w:t>
      </w:r>
      <w:r w:rsidRPr="003C17D4">
        <w:rPr>
          <w:rFonts w:ascii="Arial" w:hAnsi="Arial" w:cs="Arial"/>
          <w:sz w:val="24"/>
          <w:szCs w:val="24"/>
        </w:rPr>
        <w:t xml:space="preserve"> (2018)</w:t>
      </w:r>
      <w:r w:rsidR="00747B67" w:rsidRPr="003C17D4">
        <w:rPr>
          <w:rFonts w:ascii="Arial" w:hAnsi="Arial" w:cs="Arial"/>
          <w:sz w:val="24"/>
          <w:szCs w:val="24"/>
        </w:rPr>
        <w:t>.</w:t>
      </w:r>
      <w:r w:rsidRPr="003C17D4">
        <w:rPr>
          <w:rFonts w:ascii="Arial" w:hAnsi="Arial" w:cs="Arial"/>
          <w:sz w:val="24"/>
          <w:szCs w:val="24"/>
        </w:rPr>
        <w:t xml:space="preserve"> ‘</w:t>
      </w:r>
      <w:r w:rsidR="006967B0" w:rsidRPr="003C17D4">
        <w:rPr>
          <w:rFonts w:ascii="Arial" w:hAnsi="Arial" w:cs="Arial"/>
          <w:sz w:val="24"/>
          <w:szCs w:val="24"/>
        </w:rPr>
        <w:t>Brexit</w:t>
      </w:r>
      <w:r w:rsidRPr="003C17D4">
        <w:rPr>
          <w:rFonts w:ascii="Arial" w:hAnsi="Arial" w:cs="Arial"/>
          <w:sz w:val="24"/>
          <w:szCs w:val="24"/>
        </w:rPr>
        <w:t xml:space="preserve">, planning and the environment: key questions’, </w:t>
      </w:r>
      <w:r w:rsidRPr="003C17D4">
        <w:rPr>
          <w:rFonts w:ascii="Arial" w:hAnsi="Arial" w:cs="Arial"/>
          <w:i/>
          <w:sz w:val="24"/>
          <w:szCs w:val="24"/>
        </w:rPr>
        <w:t>EG</w:t>
      </w:r>
      <w:r w:rsidRPr="003C17D4">
        <w:rPr>
          <w:rFonts w:ascii="Arial" w:hAnsi="Arial" w:cs="Arial"/>
          <w:sz w:val="24"/>
          <w:szCs w:val="24"/>
        </w:rPr>
        <w:t xml:space="preserve"> 13 October,   78-79</w:t>
      </w:r>
      <w:r w:rsidR="00A44010" w:rsidRPr="003C17D4">
        <w:rPr>
          <w:rFonts w:ascii="Arial" w:hAnsi="Arial" w:cs="Arial"/>
          <w:sz w:val="24"/>
          <w:szCs w:val="24"/>
        </w:rPr>
        <w:t>.</w:t>
      </w:r>
    </w:p>
    <w:p w:rsidR="00EB34A2" w:rsidRPr="003C17D4" w:rsidRDefault="00EB34A2" w:rsidP="00FF00A6">
      <w:pPr>
        <w:ind w:left="567" w:hanging="567"/>
        <w:rPr>
          <w:rFonts w:ascii="Arial" w:hAnsi="Arial" w:cs="Arial"/>
          <w:sz w:val="24"/>
          <w:szCs w:val="24"/>
        </w:rPr>
      </w:pPr>
      <w:bookmarkStart w:id="4" w:name="_ftnref1"/>
      <w:bookmarkEnd w:id="4"/>
      <w:r w:rsidRPr="003C17D4">
        <w:rPr>
          <w:rFonts w:ascii="Arial" w:hAnsi="Arial" w:cs="Arial"/>
          <w:sz w:val="24"/>
          <w:szCs w:val="24"/>
        </w:rPr>
        <w:t>Sanyal</w:t>
      </w:r>
      <w:r w:rsidR="00747B67" w:rsidRPr="003C17D4">
        <w:rPr>
          <w:rFonts w:ascii="Arial" w:hAnsi="Arial" w:cs="Arial"/>
          <w:sz w:val="24"/>
          <w:szCs w:val="24"/>
        </w:rPr>
        <w:t>,</w:t>
      </w:r>
      <w:r w:rsidRPr="003C17D4">
        <w:rPr>
          <w:rFonts w:ascii="Arial" w:hAnsi="Arial" w:cs="Arial"/>
          <w:sz w:val="24"/>
          <w:szCs w:val="24"/>
        </w:rPr>
        <w:t xml:space="preserve"> B</w:t>
      </w:r>
      <w:r w:rsidR="00747B67" w:rsidRPr="003C17D4">
        <w:rPr>
          <w:rFonts w:ascii="Arial" w:hAnsi="Arial" w:cs="Arial"/>
          <w:sz w:val="24"/>
          <w:szCs w:val="24"/>
        </w:rPr>
        <w:t>.</w:t>
      </w:r>
      <w:r w:rsidRPr="003C17D4">
        <w:rPr>
          <w:rFonts w:ascii="Arial" w:hAnsi="Arial" w:cs="Arial"/>
          <w:sz w:val="24"/>
          <w:szCs w:val="24"/>
        </w:rPr>
        <w:t xml:space="preserve"> ed. (2005)</w:t>
      </w:r>
      <w:r w:rsidR="00747B67" w:rsidRPr="003C17D4">
        <w:rPr>
          <w:rFonts w:ascii="Arial" w:hAnsi="Arial" w:cs="Arial"/>
          <w:sz w:val="24"/>
          <w:szCs w:val="24"/>
        </w:rPr>
        <w:t>.</w:t>
      </w:r>
      <w:r w:rsidRPr="003C17D4">
        <w:rPr>
          <w:rFonts w:ascii="Arial" w:hAnsi="Arial" w:cs="Arial"/>
          <w:sz w:val="24"/>
          <w:szCs w:val="24"/>
        </w:rPr>
        <w:t xml:space="preserve"> </w:t>
      </w:r>
      <w:r w:rsidR="000D0DA3" w:rsidRPr="003C17D4">
        <w:rPr>
          <w:rFonts w:ascii="Arial" w:hAnsi="Arial" w:cs="Arial"/>
          <w:i/>
          <w:sz w:val="24"/>
          <w:szCs w:val="24"/>
        </w:rPr>
        <w:t>Comparative Planning Cultures</w:t>
      </w:r>
      <w:r w:rsidRPr="003C17D4">
        <w:rPr>
          <w:rFonts w:ascii="Arial" w:hAnsi="Arial" w:cs="Arial"/>
          <w:sz w:val="24"/>
          <w:szCs w:val="24"/>
        </w:rPr>
        <w:t>, Routledge.</w:t>
      </w:r>
    </w:p>
    <w:p w:rsidR="000972F2" w:rsidRPr="003C17D4" w:rsidRDefault="000972F2" w:rsidP="00FF00A6">
      <w:pPr>
        <w:ind w:left="567" w:hanging="567"/>
        <w:rPr>
          <w:rFonts w:ascii="Arial" w:hAnsi="Arial" w:cs="Arial"/>
          <w:sz w:val="24"/>
          <w:szCs w:val="24"/>
        </w:rPr>
      </w:pPr>
      <w:r w:rsidRPr="003C17D4">
        <w:rPr>
          <w:rFonts w:ascii="Arial" w:hAnsi="Arial" w:cs="Arial"/>
          <w:sz w:val="24"/>
          <w:szCs w:val="24"/>
        </w:rPr>
        <w:t>Scottish Government (2019)</w:t>
      </w:r>
      <w:r w:rsidR="00747B67"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Consultation on Environmental Principles and Governance in Scotland</w:t>
      </w:r>
      <w:r w:rsidRPr="003C17D4">
        <w:rPr>
          <w:rFonts w:ascii="Arial" w:hAnsi="Arial" w:cs="Arial"/>
          <w:sz w:val="24"/>
          <w:szCs w:val="24"/>
        </w:rPr>
        <w:t>, February, Scottish Government: Edinburgh.</w:t>
      </w:r>
    </w:p>
    <w:p w:rsidR="00ED0E6F" w:rsidRPr="003C17D4" w:rsidRDefault="00ED0E6F" w:rsidP="00ED0E6F">
      <w:pPr>
        <w:ind w:left="567" w:hanging="567"/>
        <w:rPr>
          <w:rFonts w:ascii="Arial" w:eastAsia="Calibri" w:hAnsi="Arial" w:cs="Arial"/>
          <w:sz w:val="24"/>
          <w:szCs w:val="24"/>
        </w:rPr>
      </w:pPr>
      <w:r w:rsidRPr="003C17D4">
        <w:rPr>
          <w:rFonts w:ascii="Arial" w:eastAsia="Calibri" w:hAnsi="Arial" w:cs="Arial"/>
          <w:sz w:val="24"/>
          <w:szCs w:val="24"/>
        </w:rPr>
        <w:t>Sheate</w:t>
      </w:r>
      <w:r w:rsidR="00747B67" w:rsidRPr="003C17D4">
        <w:rPr>
          <w:rFonts w:ascii="Arial" w:eastAsia="Calibri" w:hAnsi="Arial" w:cs="Arial"/>
          <w:sz w:val="24"/>
          <w:szCs w:val="24"/>
        </w:rPr>
        <w:t>,</w:t>
      </w:r>
      <w:r w:rsidRPr="003C17D4">
        <w:rPr>
          <w:rFonts w:ascii="Arial" w:eastAsia="Calibri" w:hAnsi="Arial" w:cs="Arial"/>
          <w:sz w:val="24"/>
          <w:szCs w:val="24"/>
        </w:rPr>
        <w:t xml:space="preserve"> W</w:t>
      </w:r>
      <w:r w:rsidR="00747B67" w:rsidRPr="003C17D4">
        <w:rPr>
          <w:rFonts w:ascii="Arial" w:eastAsia="Calibri" w:hAnsi="Arial" w:cs="Arial"/>
          <w:sz w:val="24"/>
          <w:szCs w:val="24"/>
        </w:rPr>
        <w:t>.</w:t>
      </w:r>
      <w:r w:rsidRPr="003C17D4">
        <w:rPr>
          <w:rFonts w:ascii="Arial" w:eastAsia="Calibri" w:hAnsi="Arial" w:cs="Arial"/>
          <w:sz w:val="24"/>
          <w:szCs w:val="24"/>
        </w:rPr>
        <w:t xml:space="preserve"> (2012)</w:t>
      </w:r>
      <w:r w:rsidR="00400D09" w:rsidRPr="003C17D4">
        <w:rPr>
          <w:rFonts w:ascii="Arial" w:eastAsia="Calibri" w:hAnsi="Arial" w:cs="Arial"/>
          <w:sz w:val="24"/>
          <w:szCs w:val="24"/>
        </w:rPr>
        <w:t>.</w:t>
      </w:r>
      <w:r w:rsidRPr="003C17D4">
        <w:rPr>
          <w:rFonts w:ascii="Arial" w:eastAsia="Calibri" w:hAnsi="Arial" w:cs="Arial"/>
          <w:sz w:val="24"/>
          <w:szCs w:val="24"/>
        </w:rPr>
        <w:t xml:space="preserve"> Purposes, paradigms and pressure groups: accountability and sustainability in EU environmental assessment, 1985-2010</w:t>
      </w:r>
      <w:r w:rsidR="00B615B3" w:rsidRPr="003C17D4">
        <w:rPr>
          <w:rFonts w:ascii="Arial" w:eastAsia="Calibri" w:hAnsi="Arial" w:cs="Arial"/>
          <w:sz w:val="24"/>
          <w:szCs w:val="24"/>
        </w:rPr>
        <w:t xml:space="preserve">. </w:t>
      </w:r>
      <w:r w:rsidRPr="003C17D4">
        <w:rPr>
          <w:rFonts w:ascii="Arial" w:eastAsia="Calibri" w:hAnsi="Arial" w:cs="Arial"/>
          <w:i/>
          <w:sz w:val="24"/>
          <w:szCs w:val="24"/>
        </w:rPr>
        <w:t>Environmental Impact Assessment Review</w:t>
      </w:r>
      <w:r w:rsidRPr="003C17D4">
        <w:rPr>
          <w:rFonts w:ascii="Arial" w:eastAsia="Calibri" w:hAnsi="Arial" w:cs="Arial"/>
          <w:sz w:val="24"/>
          <w:szCs w:val="24"/>
        </w:rPr>
        <w:t xml:space="preserve"> 33, 91-102.</w:t>
      </w:r>
      <w:r w:rsidR="003C17D4" w:rsidRPr="003C17D4">
        <w:rPr>
          <w:rFonts w:ascii="Arial" w:eastAsia="Calibri" w:hAnsi="Arial" w:cs="Arial"/>
          <w:sz w:val="24"/>
          <w:szCs w:val="24"/>
        </w:rPr>
        <w:t xml:space="preserve"> </w:t>
      </w:r>
      <w:hyperlink r:id="rId35" w:tgtFrame="_blank" w:tooltip="Persistent link using digital object identifier" w:history="1">
        <w:r w:rsidR="003C17D4" w:rsidRPr="003C17D4">
          <w:rPr>
            <w:rStyle w:val="Hyperlink"/>
            <w:rFonts w:ascii="Arial" w:hAnsi="Arial" w:cs="Arial"/>
            <w:color w:val="auto"/>
            <w:sz w:val="24"/>
            <w:szCs w:val="24"/>
            <w:u w:val="none"/>
          </w:rPr>
          <w:t>https://doi.org/10.1016/j.eiar.2011.11.001</w:t>
        </w:r>
      </w:hyperlink>
    </w:p>
    <w:p w:rsidR="00EB2FAA" w:rsidRPr="003C17D4" w:rsidRDefault="00EB2FAA" w:rsidP="00E32DF7">
      <w:pPr>
        <w:ind w:left="567" w:hanging="567"/>
        <w:rPr>
          <w:rFonts w:ascii="Arial" w:eastAsia="Calibri" w:hAnsi="Arial" w:cs="Arial"/>
          <w:sz w:val="24"/>
          <w:szCs w:val="24"/>
        </w:rPr>
      </w:pPr>
      <w:r w:rsidRPr="003C17D4">
        <w:rPr>
          <w:rFonts w:ascii="Arial" w:eastAsia="Calibri" w:hAnsi="Arial" w:cs="Arial"/>
          <w:sz w:val="24"/>
          <w:szCs w:val="24"/>
        </w:rPr>
        <w:t>Tewdwr-Jones</w:t>
      </w:r>
      <w:r w:rsidR="00400D09" w:rsidRPr="003C17D4">
        <w:rPr>
          <w:rFonts w:ascii="Arial" w:eastAsia="Calibri" w:hAnsi="Arial" w:cs="Arial"/>
          <w:sz w:val="24"/>
          <w:szCs w:val="24"/>
        </w:rPr>
        <w:t>,</w:t>
      </w:r>
      <w:r w:rsidRPr="003C17D4">
        <w:rPr>
          <w:rFonts w:ascii="Arial" w:eastAsia="Calibri" w:hAnsi="Arial" w:cs="Arial"/>
          <w:sz w:val="24"/>
          <w:szCs w:val="24"/>
        </w:rPr>
        <w:t xml:space="preserve"> M</w:t>
      </w:r>
      <w:r w:rsidR="00400D09" w:rsidRPr="003C17D4">
        <w:rPr>
          <w:rFonts w:ascii="Arial" w:eastAsia="Calibri" w:hAnsi="Arial" w:cs="Arial"/>
          <w:sz w:val="24"/>
          <w:szCs w:val="24"/>
        </w:rPr>
        <w:t>.</w:t>
      </w:r>
      <w:r w:rsidRPr="003C17D4">
        <w:rPr>
          <w:rFonts w:ascii="Arial" w:eastAsia="Calibri" w:hAnsi="Arial" w:cs="Arial"/>
          <w:sz w:val="24"/>
          <w:szCs w:val="24"/>
        </w:rPr>
        <w:t xml:space="preserve"> </w:t>
      </w:r>
      <w:r w:rsidR="00A44010" w:rsidRPr="003C17D4">
        <w:rPr>
          <w:rFonts w:ascii="Arial" w:eastAsia="Calibri" w:hAnsi="Arial" w:cs="Arial"/>
          <w:sz w:val="24"/>
          <w:szCs w:val="24"/>
        </w:rPr>
        <w:t>&amp;</w:t>
      </w:r>
      <w:r w:rsidRPr="003C17D4">
        <w:rPr>
          <w:rFonts w:ascii="Arial" w:eastAsia="Calibri" w:hAnsi="Arial" w:cs="Arial"/>
          <w:sz w:val="24"/>
          <w:szCs w:val="24"/>
        </w:rPr>
        <w:t xml:space="preserve"> Williams</w:t>
      </w:r>
      <w:r w:rsidR="00400D09" w:rsidRPr="003C17D4">
        <w:rPr>
          <w:rFonts w:ascii="Arial" w:eastAsia="Calibri" w:hAnsi="Arial" w:cs="Arial"/>
          <w:sz w:val="24"/>
          <w:szCs w:val="24"/>
        </w:rPr>
        <w:t>,</w:t>
      </w:r>
      <w:r w:rsidRPr="003C17D4">
        <w:rPr>
          <w:rFonts w:ascii="Arial" w:eastAsia="Calibri" w:hAnsi="Arial" w:cs="Arial"/>
          <w:sz w:val="24"/>
          <w:szCs w:val="24"/>
        </w:rPr>
        <w:t xml:space="preserve"> R</w:t>
      </w:r>
      <w:r w:rsidR="00400D09" w:rsidRPr="003C17D4">
        <w:rPr>
          <w:rFonts w:ascii="Arial" w:eastAsia="Calibri" w:hAnsi="Arial" w:cs="Arial"/>
          <w:sz w:val="24"/>
          <w:szCs w:val="24"/>
        </w:rPr>
        <w:t>.</w:t>
      </w:r>
      <w:r w:rsidRPr="003C17D4">
        <w:rPr>
          <w:rFonts w:ascii="Arial" w:eastAsia="Calibri" w:hAnsi="Arial" w:cs="Arial"/>
          <w:sz w:val="24"/>
          <w:szCs w:val="24"/>
        </w:rPr>
        <w:t>H</w:t>
      </w:r>
      <w:r w:rsidR="00400D09" w:rsidRPr="003C17D4">
        <w:rPr>
          <w:rFonts w:ascii="Arial" w:eastAsia="Calibri" w:hAnsi="Arial" w:cs="Arial"/>
          <w:sz w:val="24"/>
          <w:szCs w:val="24"/>
        </w:rPr>
        <w:t>.</w:t>
      </w:r>
      <w:r w:rsidRPr="003C17D4">
        <w:rPr>
          <w:rFonts w:ascii="Arial" w:eastAsia="Calibri" w:hAnsi="Arial" w:cs="Arial"/>
          <w:sz w:val="24"/>
          <w:szCs w:val="24"/>
        </w:rPr>
        <w:t xml:space="preserve"> (2001)</w:t>
      </w:r>
      <w:r w:rsidR="00400D09" w:rsidRPr="003C17D4">
        <w:rPr>
          <w:rFonts w:ascii="Arial" w:eastAsia="Calibri" w:hAnsi="Arial" w:cs="Arial"/>
          <w:sz w:val="24"/>
          <w:szCs w:val="24"/>
        </w:rPr>
        <w:t>.</w:t>
      </w:r>
      <w:r w:rsidRPr="003C17D4">
        <w:rPr>
          <w:rFonts w:ascii="Arial" w:eastAsia="Calibri" w:hAnsi="Arial" w:cs="Arial"/>
          <w:sz w:val="24"/>
          <w:szCs w:val="24"/>
        </w:rPr>
        <w:t xml:space="preserve"> </w:t>
      </w:r>
      <w:r w:rsidRPr="003C17D4">
        <w:rPr>
          <w:rFonts w:ascii="Arial" w:eastAsia="Calibri" w:hAnsi="Arial" w:cs="Arial"/>
          <w:i/>
          <w:sz w:val="24"/>
          <w:szCs w:val="24"/>
        </w:rPr>
        <w:t>The European Dimension of British Planning</w:t>
      </w:r>
      <w:r w:rsidRPr="003C17D4">
        <w:rPr>
          <w:rFonts w:ascii="Arial" w:eastAsia="Calibri" w:hAnsi="Arial" w:cs="Arial"/>
          <w:sz w:val="24"/>
          <w:szCs w:val="24"/>
        </w:rPr>
        <w:t>, Spon Press.</w:t>
      </w:r>
    </w:p>
    <w:p w:rsidR="00487B7B" w:rsidRPr="003C17D4" w:rsidRDefault="00487B7B" w:rsidP="00E32DF7">
      <w:pPr>
        <w:ind w:left="567" w:hanging="567"/>
        <w:rPr>
          <w:rFonts w:ascii="Arial" w:eastAsia="Calibri" w:hAnsi="Arial" w:cs="Arial"/>
          <w:sz w:val="24"/>
          <w:szCs w:val="24"/>
        </w:rPr>
      </w:pPr>
      <w:r w:rsidRPr="003C17D4">
        <w:rPr>
          <w:rFonts w:ascii="Arial" w:eastAsia="Calibri" w:hAnsi="Arial" w:cs="Arial"/>
          <w:sz w:val="24"/>
          <w:szCs w:val="24"/>
        </w:rPr>
        <w:t xml:space="preserve">UNCED </w:t>
      </w:r>
      <w:r w:rsidR="00403B73" w:rsidRPr="003C17D4">
        <w:rPr>
          <w:rFonts w:ascii="Arial" w:eastAsia="Calibri" w:hAnsi="Arial" w:cs="Arial"/>
          <w:sz w:val="24"/>
          <w:szCs w:val="24"/>
        </w:rPr>
        <w:t>(</w:t>
      </w:r>
      <w:r w:rsidR="00403B73" w:rsidRPr="003C17D4">
        <w:rPr>
          <w:rFonts w:ascii="Arial" w:hAnsi="Arial" w:cs="Arial"/>
          <w:sz w:val="24"/>
          <w:szCs w:val="24"/>
        </w:rPr>
        <w:t xml:space="preserve">United National Conference on Environment and Development) (1992) </w:t>
      </w:r>
      <w:r w:rsidR="00403B73" w:rsidRPr="003C17D4">
        <w:rPr>
          <w:rStyle w:val="Bodytext6Italic"/>
          <w:rFonts w:ascii="Arial" w:eastAsiaTheme="minorHAnsi" w:hAnsi="Arial" w:cs="Arial"/>
          <w:color w:val="auto"/>
          <w:sz w:val="24"/>
          <w:szCs w:val="24"/>
        </w:rPr>
        <w:t>Agenda 21: The United Nations Programme of Action from Rio</w:t>
      </w:r>
      <w:r w:rsidR="00403B73" w:rsidRPr="003C17D4">
        <w:rPr>
          <w:rFonts w:ascii="Arial" w:hAnsi="Arial" w:cs="Arial"/>
          <w:sz w:val="24"/>
          <w:szCs w:val="24"/>
        </w:rPr>
        <w:t>; United Nations Department of Public Information</w:t>
      </w:r>
      <w:r w:rsidR="00A44010" w:rsidRPr="003C17D4">
        <w:rPr>
          <w:rFonts w:ascii="Arial" w:hAnsi="Arial" w:cs="Arial"/>
          <w:sz w:val="24"/>
          <w:szCs w:val="24"/>
        </w:rPr>
        <w:t>.</w:t>
      </w:r>
    </w:p>
    <w:p w:rsidR="00487B7B" w:rsidRPr="003C17D4" w:rsidRDefault="00487B7B" w:rsidP="00E32DF7">
      <w:pPr>
        <w:ind w:left="567" w:hanging="567"/>
        <w:rPr>
          <w:rFonts w:ascii="Arial" w:eastAsia="Calibri" w:hAnsi="Arial" w:cs="Arial"/>
          <w:sz w:val="24"/>
          <w:szCs w:val="24"/>
        </w:rPr>
      </w:pPr>
      <w:r w:rsidRPr="003C17D4">
        <w:rPr>
          <w:rFonts w:ascii="Arial" w:eastAsia="Calibri" w:hAnsi="Arial" w:cs="Arial"/>
          <w:sz w:val="24"/>
          <w:szCs w:val="24"/>
        </w:rPr>
        <w:t>Van der Heijden</w:t>
      </w:r>
      <w:r w:rsidR="00400D09" w:rsidRPr="003C17D4">
        <w:rPr>
          <w:rFonts w:ascii="Arial" w:eastAsia="Calibri" w:hAnsi="Arial" w:cs="Arial"/>
          <w:sz w:val="24"/>
          <w:szCs w:val="24"/>
        </w:rPr>
        <w:t>,</w:t>
      </w:r>
      <w:r w:rsidR="007D2992" w:rsidRPr="003C17D4">
        <w:rPr>
          <w:rFonts w:ascii="Arial" w:eastAsia="Calibri" w:hAnsi="Arial" w:cs="Arial"/>
          <w:sz w:val="24"/>
          <w:szCs w:val="24"/>
        </w:rPr>
        <w:t xml:space="preserve"> J.</w:t>
      </w:r>
      <w:r w:rsidR="00400D09" w:rsidRPr="003C17D4">
        <w:rPr>
          <w:rFonts w:ascii="Arial" w:eastAsia="Calibri" w:hAnsi="Arial" w:cs="Arial"/>
          <w:sz w:val="24"/>
          <w:szCs w:val="24"/>
        </w:rPr>
        <w:t xml:space="preserve"> </w:t>
      </w:r>
      <w:r w:rsidR="007D2992" w:rsidRPr="003C17D4">
        <w:rPr>
          <w:rFonts w:ascii="Arial" w:eastAsia="Calibri" w:hAnsi="Arial" w:cs="Arial"/>
          <w:sz w:val="24"/>
          <w:szCs w:val="24"/>
        </w:rPr>
        <w:t>(</w:t>
      </w:r>
      <w:r w:rsidRPr="003C17D4">
        <w:rPr>
          <w:rFonts w:ascii="Arial" w:eastAsia="Calibri" w:hAnsi="Arial" w:cs="Arial"/>
          <w:sz w:val="24"/>
          <w:szCs w:val="24"/>
        </w:rPr>
        <w:t>2011</w:t>
      </w:r>
      <w:r w:rsidR="007D2992" w:rsidRPr="003C17D4">
        <w:rPr>
          <w:rFonts w:ascii="Arial" w:eastAsia="Calibri" w:hAnsi="Arial" w:cs="Arial"/>
          <w:sz w:val="24"/>
          <w:szCs w:val="24"/>
        </w:rPr>
        <w:t>)</w:t>
      </w:r>
      <w:r w:rsidR="00400D09" w:rsidRPr="003C17D4">
        <w:rPr>
          <w:rFonts w:ascii="Arial" w:eastAsia="Calibri" w:hAnsi="Arial" w:cs="Arial"/>
          <w:sz w:val="24"/>
          <w:szCs w:val="24"/>
        </w:rPr>
        <w:t>.</w:t>
      </w:r>
      <w:r w:rsidR="007D2992" w:rsidRPr="003C17D4">
        <w:rPr>
          <w:rFonts w:ascii="Arial" w:eastAsia="Calibri" w:hAnsi="Arial" w:cs="Arial"/>
          <w:sz w:val="24"/>
          <w:szCs w:val="24"/>
        </w:rPr>
        <w:t xml:space="preserve"> Institutional layering: a review of the use of the concept</w:t>
      </w:r>
      <w:r w:rsidR="00B615B3" w:rsidRPr="003C17D4">
        <w:rPr>
          <w:rFonts w:ascii="Arial" w:eastAsia="Calibri" w:hAnsi="Arial" w:cs="Arial"/>
          <w:sz w:val="24"/>
          <w:szCs w:val="24"/>
        </w:rPr>
        <w:t>.</w:t>
      </w:r>
      <w:r w:rsidR="007D2992" w:rsidRPr="003C17D4">
        <w:rPr>
          <w:rFonts w:ascii="Arial" w:eastAsia="Calibri" w:hAnsi="Arial" w:cs="Arial"/>
          <w:sz w:val="24"/>
          <w:szCs w:val="24"/>
        </w:rPr>
        <w:t xml:space="preserve"> </w:t>
      </w:r>
      <w:r w:rsidR="007D2992" w:rsidRPr="003C17D4">
        <w:rPr>
          <w:rFonts w:ascii="Arial" w:eastAsia="Calibri" w:hAnsi="Arial" w:cs="Arial"/>
          <w:i/>
          <w:sz w:val="24"/>
          <w:szCs w:val="24"/>
        </w:rPr>
        <w:t>Politics</w:t>
      </w:r>
      <w:r w:rsidR="007D2992" w:rsidRPr="003C17D4">
        <w:rPr>
          <w:rFonts w:ascii="Arial" w:eastAsia="Calibri" w:hAnsi="Arial" w:cs="Arial"/>
          <w:sz w:val="24"/>
          <w:szCs w:val="24"/>
        </w:rPr>
        <w:t xml:space="preserve"> 31(1), 9-18</w:t>
      </w:r>
      <w:r w:rsidR="00400D09" w:rsidRPr="003C17D4">
        <w:rPr>
          <w:rFonts w:ascii="Arial" w:eastAsia="Calibri" w:hAnsi="Arial" w:cs="Arial"/>
          <w:sz w:val="24"/>
          <w:szCs w:val="24"/>
        </w:rPr>
        <w:t>.</w:t>
      </w:r>
      <w:r w:rsidR="003C17D4" w:rsidRPr="003C17D4">
        <w:rPr>
          <w:rFonts w:ascii="Arial" w:eastAsia="Calibri" w:hAnsi="Arial" w:cs="Arial"/>
          <w:sz w:val="24"/>
          <w:szCs w:val="24"/>
        </w:rPr>
        <w:t xml:space="preserve"> h</w:t>
      </w:r>
      <w:hyperlink r:id="rId36" w:history="1">
        <w:r w:rsidR="003C17D4" w:rsidRPr="003C17D4">
          <w:rPr>
            <w:rStyle w:val="Hyperlink"/>
            <w:rFonts w:ascii="Arial" w:hAnsi="Arial" w:cs="Arial"/>
            <w:color w:val="auto"/>
            <w:sz w:val="24"/>
            <w:szCs w:val="24"/>
            <w:u w:val="none"/>
            <w:shd w:val="clear" w:color="auto" w:fill="FFFFFF"/>
          </w:rPr>
          <w:t>ttps://doi.org/10.1111/j.1467-9256.2010.01397.x</w:t>
        </w:r>
      </w:hyperlink>
    </w:p>
    <w:p w:rsidR="00A95513" w:rsidRPr="003C17D4" w:rsidRDefault="00A95513" w:rsidP="00A95513">
      <w:pPr>
        <w:ind w:left="567" w:hanging="567"/>
        <w:rPr>
          <w:rFonts w:ascii="Arial" w:eastAsia="Calibri" w:hAnsi="Arial" w:cs="Arial"/>
          <w:sz w:val="24"/>
          <w:szCs w:val="24"/>
        </w:rPr>
      </w:pPr>
      <w:r w:rsidRPr="003C17D4">
        <w:rPr>
          <w:rFonts w:ascii="Arial" w:hAnsi="Arial" w:cs="Arial"/>
          <w:sz w:val="24"/>
          <w:szCs w:val="24"/>
        </w:rPr>
        <w:t xml:space="preserve">Van </w:t>
      </w:r>
      <w:r w:rsidRPr="003C17D4">
        <w:rPr>
          <w:rFonts w:ascii="Arial" w:hAnsi="Arial" w:cs="Arial"/>
          <w:sz w:val="24"/>
          <w:szCs w:val="24"/>
          <w:lang w:eastAsia="de-DE" w:bidi="de-DE"/>
        </w:rPr>
        <w:t xml:space="preserve">der </w:t>
      </w:r>
      <w:r w:rsidRPr="003C17D4">
        <w:rPr>
          <w:rFonts w:ascii="Arial" w:hAnsi="Arial" w:cs="Arial"/>
          <w:sz w:val="24"/>
          <w:szCs w:val="24"/>
        </w:rPr>
        <w:t>Straaten, J</w:t>
      </w:r>
      <w:r w:rsidR="00400D09" w:rsidRPr="003C17D4">
        <w:rPr>
          <w:rFonts w:ascii="Arial" w:hAnsi="Arial" w:cs="Arial"/>
          <w:sz w:val="24"/>
          <w:szCs w:val="24"/>
        </w:rPr>
        <w:t>.</w:t>
      </w:r>
      <w:r w:rsidRPr="003C17D4">
        <w:rPr>
          <w:rFonts w:ascii="Arial" w:hAnsi="Arial" w:cs="Arial"/>
          <w:sz w:val="24"/>
          <w:szCs w:val="24"/>
        </w:rPr>
        <w:t>.</w:t>
      </w:r>
      <w:r w:rsidR="00A44010" w:rsidRPr="003C17D4">
        <w:rPr>
          <w:rFonts w:ascii="Arial" w:hAnsi="Arial" w:cs="Arial"/>
          <w:sz w:val="24"/>
          <w:szCs w:val="24"/>
        </w:rPr>
        <w:t>&amp;</w:t>
      </w:r>
      <w:r w:rsidRPr="003C17D4">
        <w:rPr>
          <w:rFonts w:ascii="Arial" w:hAnsi="Arial" w:cs="Arial"/>
          <w:sz w:val="24"/>
          <w:szCs w:val="24"/>
        </w:rPr>
        <w:t xml:space="preserve"> Ugelow, J. (1994)</w:t>
      </w:r>
      <w:r w:rsidR="00400D09" w:rsidRPr="003C17D4">
        <w:rPr>
          <w:rFonts w:ascii="Arial" w:hAnsi="Arial" w:cs="Arial"/>
          <w:sz w:val="24"/>
          <w:szCs w:val="24"/>
        </w:rPr>
        <w:t>.</w:t>
      </w:r>
      <w:r w:rsidRPr="003C17D4">
        <w:rPr>
          <w:rFonts w:ascii="Arial" w:hAnsi="Arial" w:cs="Arial"/>
          <w:sz w:val="24"/>
          <w:szCs w:val="24"/>
        </w:rPr>
        <w:t xml:space="preserve"> ‘Environmental policy in the Netherlands: change and effectiveness’,</w:t>
      </w:r>
      <w:r w:rsidR="00CE528C" w:rsidRPr="003C17D4">
        <w:rPr>
          <w:rFonts w:ascii="Arial" w:hAnsi="Arial" w:cs="Arial"/>
          <w:sz w:val="24"/>
          <w:szCs w:val="24"/>
        </w:rPr>
        <w:t xml:space="preserve"> </w:t>
      </w:r>
      <w:r w:rsidRPr="003C17D4">
        <w:rPr>
          <w:rFonts w:ascii="Arial" w:hAnsi="Arial" w:cs="Arial"/>
          <w:sz w:val="24"/>
          <w:szCs w:val="24"/>
        </w:rPr>
        <w:t>in</w:t>
      </w:r>
      <w:r w:rsidR="00CE528C" w:rsidRPr="003C17D4">
        <w:rPr>
          <w:rFonts w:ascii="Arial" w:hAnsi="Arial" w:cs="Arial"/>
          <w:sz w:val="24"/>
          <w:szCs w:val="24"/>
        </w:rPr>
        <w:t xml:space="preserve"> </w:t>
      </w:r>
      <w:r w:rsidRPr="003C17D4">
        <w:rPr>
          <w:rFonts w:ascii="Arial" w:hAnsi="Arial" w:cs="Arial"/>
          <w:sz w:val="24"/>
          <w:szCs w:val="24"/>
        </w:rPr>
        <w:t xml:space="preserve">Wintle, M. and Reeve, R., Eds </w:t>
      </w:r>
      <w:r w:rsidRPr="003C17D4">
        <w:rPr>
          <w:rFonts w:ascii="Arial" w:hAnsi="Arial" w:cs="Arial"/>
          <w:i/>
          <w:sz w:val="24"/>
          <w:szCs w:val="24"/>
        </w:rPr>
        <w:t>Rhetoric and Reality in Environmental Policy. The Case of the Netherlands</w:t>
      </w:r>
      <w:r w:rsidR="00CE528C" w:rsidRPr="003C17D4">
        <w:rPr>
          <w:rFonts w:ascii="Arial" w:hAnsi="Arial" w:cs="Arial"/>
          <w:i/>
          <w:sz w:val="24"/>
          <w:szCs w:val="24"/>
        </w:rPr>
        <w:t xml:space="preserve"> </w:t>
      </w:r>
      <w:r w:rsidRPr="003C17D4">
        <w:rPr>
          <w:rFonts w:ascii="Arial" w:hAnsi="Arial" w:cs="Arial"/>
          <w:i/>
          <w:sz w:val="24"/>
          <w:szCs w:val="24"/>
        </w:rPr>
        <w:t>in Comparison with Britain</w:t>
      </w:r>
      <w:r w:rsidRPr="003C17D4">
        <w:rPr>
          <w:rFonts w:ascii="Arial" w:hAnsi="Arial" w:cs="Arial"/>
          <w:sz w:val="24"/>
          <w:szCs w:val="24"/>
        </w:rPr>
        <w:t>, Ashgate: Aldershot, UK.</w:t>
      </w:r>
    </w:p>
    <w:p w:rsidR="00A95513" w:rsidRPr="003C17D4" w:rsidRDefault="00A95513" w:rsidP="00A95513">
      <w:pPr>
        <w:ind w:left="567" w:hanging="567"/>
        <w:rPr>
          <w:rFonts w:ascii="Arial" w:eastAsia="Calibri" w:hAnsi="Arial" w:cs="Arial"/>
          <w:sz w:val="24"/>
          <w:szCs w:val="24"/>
        </w:rPr>
      </w:pPr>
      <w:r w:rsidRPr="003C17D4">
        <w:rPr>
          <w:rFonts w:ascii="Arial" w:hAnsi="Arial" w:cs="Arial"/>
          <w:sz w:val="24"/>
          <w:szCs w:val="24"/>
        </w:rPr>
        <w:t>Van Ravesteyn</w:t>
      </w:r>
      <w:r w:rsidR="00400D09" w:rsidRPr="003C17D4">
        <w:rPr>
          <w:rFonts w:ascii="Arial" w:hAnsi="Arial" w:cs="Arial"/>
          <w:sz w:val="24"/>
          <w:szCs w:val="24"/>
        </w:rPr>
        <w:t>,</w:t>
      </w:r>
      <w:r w:rsidRPr="003C17D4">
        <w:rPr>
          <w:rFonts w:ascii="Arial" w:hAnsi="Arial" w:cs="Arial"/>
          <w:sz w:val="24"/>
          <w:szCs w:val="24"/>
        </w:rPr>
        <w:t xml:space="preserve"> N</w:t>
      </w:r>
      <w:r w:rsidR="00400D09" w:rsidRPr="003C17D4">
        <w:rPr>
          <w:rFonts w:ascii="Arial" w:hAnsi="Arial" w:cs="Arial"/>
          <w:sz w:val="24"/>
          <w:szCs w:val="24"/>
        </w:rPr>
        <w:t>.</w:t>
      </w:r>
      <w:r w:rsidRPr="003C17D4">
        <w:rPr>
          <w:rFonts w:ascii="Arial" w:hAnsi="Arial" w:cs="Arial"/>
          <w:sz w:val="24"/>
          <w:szCs w:val="24"/>
        </w:rPr>
        <w:t xml:space="preserve"> </w:t>
      </w:r>
      <w:r w:rsidR="00A44010" w:rsidRPr="003C17D4">
        <w:rPr>
          <w:rFonts w:ascii="Arial" w:hAnsi="Arial" w:cs="Arial"/>
          <w:sz w:val="24"/>
          <w:szCs w:val="24"/>
        </w:rPr>
        <w:t>&amp;</w:t>
      </w:r>
      <w:r w:rsidRPr="003C17D4">
        <w:rPr>
          <w:rFonts w:ascii="Arial" w:hAnsi="Arial" w:cs="Arial"/>
          <w:sz w:val="24"/>
          <w:szCs w:val="24"/>
        </w:rPr>
        <w:t xml:space="preserve"> Evers</w:t>
      </w:r>
      <w:r w:rsidR="00400D09" w:rsidRPr="003C17D4">
        <w:rPr>
          <w:rFonts w:ascii="Arial" w:hAnsi="Arial" w:cs="Arial"/>
          <w:sz w:val="24"/>
          <w:szCs w:val="24"/>
        </w:rPr>
        <w:t>,</w:t>
      </w:r>
      <w:r w:rsidRPr="003C17D4">
        <w:rPr>
          <w:rFonts w:ascii="Arial" w:hAnsi="Arial" w:cs="Arial"/>
          <w:sz w:val="24"/>
          <w:szCs w:val="24"/>
        </w:rPr>
        <w:t xml:space="preserve"> D</w:t>
      </w:r>
      <w:r w:rsidR="00400D09" w:rsidRPr="003C17D4">
        <w:rPr>
          <w:rFonts w:ascii="Arial" w:hAnsi="Arial" w:cs="Arial"/>
          <w:sz w:val="24"/>
          <w:szCs w:val="24"/>
        </w:rPr>
        <w:t>.</w:t>
      </w:r>
      <w:r w:rsidRPr="003C17D4">
        <w:rPr>
          <w:rFonts w:ascii="Arial" w:hAnsi="Arial" w:cs="Arial"/>
          <w:sz w:val="24"/>
          <w:szCs w:val="24"/>
        </w:rPr>
        <w:t xml:space="preserve"> (2004)</w:t>
      </w:r>
      <w:r w:rsidR="00400D09"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Unseen Europe:</w:t>
      </w:r>
      <w:r w:rsidRPr="003C17D4">
        <w:rPr>
          <w:rFonts w:ascii="Arial" w:hAnsi="Arial" w:cs="Arial"/>
          <w:sz w:val="24"/>
          <w:szCs w:val="24"/>
        </w:rPr>
        <w:t xml:space="preserve"> </w:t>
      </w:r>
      <w:r w:rsidRPr="003C17D4">
        <w:rPr>
          <w:rFonts w:ascii="Arial" w:hAnsi="Arial" w:cs="Arial"/>
          <w:i/>
          <w:sz w:val="24"/>
          <w:szCs w:val="24"/>
        </w:rPr>
        <w:t>A Survey of EU Politics and its Impact on Spatial Development in the Netherlands</w:t>
      </w:r>
      <w:r w:rsidRPr="003C17D4">
        <w:rPr>
          <w:rFonts w:ascii="Arial" w:hAnsi="Arial" w:cs="Arial"/>
          <w:sz w:val="24"/>
          <w:szCs w:val="24"/>
        </w:rPr>
        <w:t>, Netherlands Institute for Spatial Research: The Hague</w:t>
      </w:r>
      <w:r w:rsidR="00A44010" w:rsidRPr="003C17D4">
        <w:rPr>
          <w:rFonts w:ascii="Arial" w:hAnsi="Arial" w:cs="Arial"/>
          <w:sz w:val="24"/>
          <w:szCs w:val="24"/>
        </w:rPr>
        <w:t>.</w:t>
      </w:r>
    </w:p>
    <w:p w:rsidR="001527BE" w:rsidRPr="003C17D4" w:rsidRDefault="001527BE" w:rsidP="00E32DF7">
      <w:pPr>
        <w:ind w:left="567" w:hanging="567"/>
        <w:rPr>
          <w:rFonts w:ascii="Arial" w:eastAsia="Calibri" w:hAnsi="Arial" w:cs="Arial"/>
          <w:sz w:val="24"/>
          <w:szCs w:val="24"/>
        </w:rPr>
      </w:pPr>
      <w:r w:rsidRPr="003C17D4">
        <w:rPr>
          <w:rFonts w:ascii="Arial" w:eastAsia="Calibri" w:hAnsi="Arial" w:cs="Arial"/>
          <w:sz w:val="24"/>
          <w:szCs w:val="24"/>
        </w:rPr>
        <w:t>Vogel</w:t>
      </w:r>
      <w:r w:rsidR="00400D09" w:rsidRPr="003C17D4">
        <w:rPr>
          <w:rFonts w:ascii="Arial" w:eastAsia="Calibri" w:hAnsi="Arial" w:cs="Arial"/>
          <w:sz w:val="24"/>
          <w:szCs w:val="24"/>
        </w:rPr>
        <w:t>,</w:t>
      </w:r>
      <w:r w:rsidRPr="003C17D4">
        <w:rPr>
          <w:rFonts w:ascii="Arial" w:eastAsia="Calibri" w:hAnsi="Arial" w:cs="Arial"/>
          <w:sz w:val="24"/>
          <w:szCs w:val="24"/>
        </w:rPr>
        <w:t xml:space="preserve"> D</w:t>
      </w:r>
      <w:r w:rsidR="00400D09" w:rsidRPr="003C17D4">
        <w:rPr>
          <w:rFonts w:ascii="Arial" w:eastAsia="Calibri" w:hAnsi="Arial" w:cs="Arial"/>
          <w:sz w:val="24"/>
          <w:szCs w:val="24"/>
        </w:rPr>
        <w:t>.</w:t>
      </w:r>
      <w:r w:rsidRPr="003C17D4">
        <w:rPr>
          <w:rFonts w:ascii="Arial" w:eastAsia="Calibri" w:hAnsi="Arial" w:cs="Arial"/>
          <w:sz w:val="24"/>
          <w:szCs w:val="24"/>
        </w:rPr>
        <w:t xml:space="preserve"> (1986)</w:t>
      </w:r>
      <w:r w:rsidR="00400D09" w:rsidRPr="003C17D4">
        <w:rPr>
          <w:rFonts w:ascii="Arial" w:eastAsia="Calibri" w:hAnsi="Arial" w:cs="Arial"/>
          <w:sz w:val="24"/>
          <w:szCs w:val="24"/>
        </w:rPr>
        <w:t>.</w:t>
      </w:r>
      <w:r w:rsidRPr="003C17D4">
        <w:rPr>
          <w:rFonts w:ascii="Arial" w:eastAsia="Calibri" w:hAnsi="Arial" w:cs="Arial"/>
          <w:sz w:val="24"/>
          <w:szCs w:val="24"/>
        </w:rPr>
        <w:t xml:space="preserve"> </w:t>
      </w:r>
      <w:r w:rsidR="000D0DA3" w:rsidRPr="003C17D4">
        <w:rPr>
          <w:rFonts w:ascii="Arial" w:eastAsia="Calibri" w:hAnsi="Arial" w:cs="Arial"/>
          <w:i/>
          <w:sz w:val="24"/>
          <w:szCs w:val="24"/>
        </w:rPr>
        <w:t>National Styles of Regulation. Environmental Policy in Great Britain and the United States</w:t>
      </w:r>
      <w:r w:rsidRPr="003C17D4">
        <w:rPr>
          <w:rFonts w:ascii="Arial" w:eastAsia="Calibri" w:hAnsi="Arial" w:cs="Arial"/>
          <w:sz w:val="24"/>
          <w:szCs w:val="24"/>
        </w:rPr>
        <w:t>, Cornell University Press: Ithaca.</w:t>
      </w:r>
    </w:p>
    <w:p w:rsidR="003D3269" w:rsidRPr="003C17D4" w:rsidRDefault="003D3269" w:rsidP="00E32DF7">
      <w:pPr>
        <w:ind w:left="567" w:hanging="567"/>
        <w:rPr>
          <w:rFonts w:ascii="Arial" w:eastAsia="Calibri" w:hAnsi="Arial" w:cs="Arial"/>
          <w:sz w:val="24"/>
          <w:szCs w:val="24"/>
        </w:rPr>
      </w:pPr>
      <w:r w:rsidRPr="003C17D4">
        <w:rPr>
          <w:rFonts w:ascii="Arial" w:eastAsia="Calibri" w:hAnsi="Arial" w:cs="Arial"/>
          <w:sz w:val="24"/>
          <w:szCs w:val="24"/>
        </w:rPr>
        <w:t>Wackernagel, M. and Rees, W. (1996)</w:t>
      </w:r>
      <w:r w:rsidR="00B615B3" w:rsidRPr="003C17D4">
        <w:rPr>
          <w:rFonts w:ascii="Arial" w:eastAsia="Calibri" w:hAnsi="Arial" w:cs="Arial"/>
          <w:sz w:val="24"/>
          <w:szCs w:val="24"/>
        </w:rPr>
        <w:t>.</w:t>
      </w:r>
      <w:r w:rsidR="008134A3" w:rsidRPr="003C17D4">
        <w:rPr>
          <w:rFonts w:ascii="Arial" w:eastAsia="Calibri" w:hAnsi="Arial" w:cs="Arial"/>
          <w:sz w:val="24"/>
          <w:szCs w:val="24"/>
        </w:rPr>
        <w:t xml:space="preserve"> </w:t>
      </w:r>
      <w:r w:rsidR="008134A3" w:rsidRPr="003C17D4">
        <w:rPr>
          <w:rFonts w:ascii="Arial" w:hAnsi="Arial" w:cs="Arial"/>
          <w:sz w:val="24"/>
          <w:szCs w:val="24"/>
          <w:shd w:val="clear" w:color="auto" w:fill="FFFFFF"/>
        </w:rPr>
        <w:t>Urban Ecological Footprints: Why cities cannot be sustainable and why they are key to sustainability</w:t>
      </w:r>
      <w:r w:rsidR="00B615B3" w:rsidRPr="003C17D4">
        <w:rPr>
          <w:rFonts w:ascii="Segoe UI" w:hAnsi="Segoe UI" w:cs="Segoe UI"/>
          <w:shd w:val="clear" w:color="auto" w:fill="FFFFFF"/>
        </w:rPr>
        <w:t>.</w:t>
      </w:r>
      <w:r w:rsidRPr="003C17D4">
        <w:rPr>
          <w:rFonts w:ascii="Arial" w:eastAsia="Calibri" w:hAnsi="Arial" w:cs="Arial"/>
          <w:sz w:val="24"/>
          <w:szCs w:val="24"/>
        </w:rPr>
        <w:t xml:space="preserve"> </w:t>
      </w:r>
      <w:r w:rsidR="008134A3" w:rsidRPr="003C17D4">
        <w:rPr>
          <w:rFonts w:ascii="Arial" w:eastAsia="Calibri" w:hAnsi="Arial" w:cs="Arial"/>
          <w:i/>
          <w:sz w:val="24"/>
          <w:szCs w:val="24"/>
        </w:rPr>
        <w:t>Environmental Impact Assessment Review</w:t>
      </w:r>
      <w:r w:rsidRPr="003C17D4">
        <w:rPr>
          <w:rFonts w:ascii="Arial" w:eastAsia="Calibri" w:hAnsi="Arial" w:cs="Arial"/>
          <w:sz w:val="24"/>
          <w:szCs w:val="24"/>
        </w:rPr>
        <w:t xml:space="preserve"> 16, 223-248.</w:t>
      </w:r>
    </w:p>
    <w:p w:rsidR="00ED0E6F" w:rsidRPr="003C17D4" w:rsidRDefault="00ED0E6F" w:rsidP="00E32DF7">
      <w:pPr>
        <w:ind w:left="567" w:hanging="567"/>
        <w:rPr>
          <w:rFonts w:ascii="Arial" w:eastAsia="Calibri" w:hAnsi="Arial" w:cs="Arial"/>
          <w:sz w:val="24"/>
          <w:szCs w:val="24"/>
        </w:rPr>
      </w:pPr>
      <w:r w:rsidRPr="003C17D4">
        <w:rPr>
          <w:rFonts w:ascii="Arial" w:eastAsia="Calibri" w:hAnsi="Arial" w:cs="Arial"/>
          <w:sz w:val="24"/>
          <w:szCs w:val="24"/>
        </w:rPr>
        <w:t xml:space="preserve">Ward, S.V. </w:t>
      </w:r>
      <w:r w:rsidR="00400D09" w:rsidRPr="003C17D4">
        <w:rPr>
          <w:rFonts w:ascii="Arial" w:eastAsia="Calibri" w:hAnsi="Arial" w:cs="Arial"/>
          <w:sz w:val="24"/>
          <w:szCs w:val="24"/>
        </w:rPr>
        <w:t>(</w:t>
      </w:r>
      <w:r w:rsidRPr="003C17D4">
        <w:rPr>
          <w:rFonts w:ascii="Arial" w:eastAsia="Calibri" w:hAnsi="Arial" w:cs="Arial"/>
          <w:sz w:val="24"/>
          <w:szCs w:val="24"/>
        </w:rPr>
        <w:t>2004</w:t>
      </w:r>
      <w:r w:rsidR="00400D09" w:rsidRPr="003C17D4">
        <w:rPr>
          <w:rFonts w:ascii="Arial" w:eastAsia="Calibri" w:hAnsi="Arial" w:cs="Arial"/>
          <w:sz w:val="24"/>
          <w:szCs w:val="24"/>
        </w:rPr>
        <w:t>)</w:t>
      </w:r>
      <w:r w:rsidRPr="003C17D4">
        <w:rPr>
          <w:rFonts w:ascii="Arial" w:eastAsia="Calibri" w:hAnsi="Arial" w:cs="Arial"/>
          <w:sz w:val="24"/>
          <w:szCs w:val="24"/>
        </w:rPr>
        <w:t xml:space="preserve">. </w:t>
      </w:r>
      <w:r w:rsidRPr="003C17D4">
        <w:rPr>
          <w:rFonts w:ascii="Arial" w:eastAsia="Calibri" w:hAnsi="Arial" w:cs="Arial"/>
          <w:i/>
          <w:sz w:val="24"/>
          <w:szCs w:val="24"/>
        </w:rPr>
        <w:t>Planning and Urban Change</w:t>
      </w:r>
      <w:r w:rsidRPr="003C17D4">
        <w:rPr>
          <w:rFonts w:ascii="Arial" w:eastAsia="Calibri" w:hAnsi="Arial" w:cs="Arial"/>
          <w:sz w:val="24"/>
          <w:szCs w:val="24"/>
        </w:rPr>
        <w:t>. London: PCP.</w:t>
      </w:r>
    </w:p>
    <w:p w:rsidR="00960BC5" w:rsidRPr="003C17D4" w:rsidRDefault="00960BC5" w:rsidP="00E32DF7">
      <w:pPr>
        <w:ind w:left="567" w:hanging="567"/>
        <w:rPr>
          <w:rFonts w:ascii="Arial" w:eastAsia="Calibri" w:hAnsi="Arial" w:cs="Arial"/>
          <w:sz w:val="24"/>
          <w:szCs w:val="24"/>
        </w:rPr>
      </w:pPr>
      <w:r w:rsidRPr="003C17D4">
        <w:rPr>
          <w:rFonts w:ascii="Arial" w:eastAsia="Calibri" w:hAnsi="Arial" w:cs="Arial"/>
          <w:sz w:val="24"/>
          <w:szCs w:val="24"/>
        </w:rPr>
        <w:t>Wicks</w:t>
      </w:r>
      <w:r w:rsidR="00317109" w:rsidRPr="003C17D4">
        <w:rPr>
          <w:rFonts w:ascii="Arial" w:eastAsia="Calibri" w:hAnsi="Arial" w:cs="Arial"/>
          <w:sz w:val="24"/>
          <w:szCs w:val="24"/>
        </w:rPr>
        <w:t>,</w:t>
      </w:r>
      <w:r w:rsidRPr="003C17D4">
        <w:rPr>
          <w:rFonts w:ascii="Arial" w:eastAsia="Calibri" w:hAnsi="Arial" w:cs="Arial"/>
          <w:sz w:val="24"/>
          <w:szCs w:val="24"/>
        </w:rPr>
        <w:t xml:space="preserve"> S</w:t>
      </w:r>
      <w:r w:rsidR="00317109" w:rsidRPr="003C17D4">
        <w:rPr>
          <w:rFonts w:ascii="Arial" w:eastAsia="Calibri" w:hAnsi="Arial" w:cs="Arial"/>
          <w:sz w:val="24"/>
          <w:szCs w:val="24"/>
        </w:rPr>
        <w:t>.</w:t>
      </w:r>
      <w:r w:rsidRPr="003C17D4">
        <w:rPr>
          <w:rFonts w:ascii="Arial" w:eastAsia="Calibri" w:hAnsi="Arial" w:cs="Arial"/>
          <w:sz w:val="24"/>
          <w:szCs w:val="24"/>
        </w:rPr>
        <w:t xml:space="preserve"> (2017) ‘Insight: the RTPI Members Survey 2017’, </w:t>
      </w:r>
      <w:r w:rsidR="008134A3" w:rsidRPr="003C17D4">
        <w:rPr>
          <w:rFonts w:ascii="Arial" w:eastAsia="Calibri" w:hAnsi="Arial" w:cs="Arial"/>
          <w:i/>
          <w:sz w:val="24"/>
          <w:szCs w:val="24"/>
        </w:rPr>
        <w:t>The Planner</w:t>
      </w:r>
      <w:r w:rsidRPr="003C17D4">
        <w:rPr>
          <w:rFonts w:ascii="Arial" w:eastAsia="Calibri" w:hAnsi="Arial" w:cs="Arial"/>
          <w:sz w:val="24"/>
          <w:szCs w:val="24"/>
        </w:rPr>
        <w:t>, 14</w:t>
      </w:r>
      <w:r w:rsidR="008134A3" w:rsidRPr="003C17D4">
        <w:rPr>
          <w:rFonts w:ascii="Arial" w:eastAsia="Calibri" w:hAnsi="Arial" w:cs="Arial"/>
          <w:sz w:val="24"/>
          <w:szCs w:val="24"/>
          <w:vertAlign w:val="superscript"/>
        </w:rPr>
        <w:t>th</w:t>
      </w:r>
      <w:r w:rsidRPr="003C17D4">
        <w:rPr>
          <w:rFonts w:ascii="Arial" w:eastAsia="Calibri" w:hAnsi="Arial" w:cs="Arial"/>
          <w:sz w:val="24"/>
          <w:szCs w:val="24"/>
        </w:rPr>
        <w:t xml:space="preserve"> December</w:t>
      </w:r>
    </w:p>
    <w:p w:rsidR="001665D4" w:rsidRPr="003C17D4" w:rsidRDefault="001665D4" w:rsidP="00E32DF7">
      <w:pPr>
        <w:ind w:left="567" w:hanging="567"/>
        <w:rPr>
          <w:rFonts w:ascii="Arial" w:hAnsi="Arial" w:cs="Arial"/>
          <w:sz w:val="24"/>
          <w:szCs w:val="24"/>
        </w:rPr>
      </w:pPr>
      <w:r w:rsidRPr="003C17D4">
        <w:rPr>
          <w:rFonts w:ascii="Arial" w:hAnsi="Arial" w:cs="Arial"/>
          <w:sz w:val="24"/>
          <w:szCs w:val="24"/>
        </w:rPr>
        <w:t>Wilkinson</w:t>
      </w:r>
      <w:r w:rsidR="00400D09" w:rsidRPr="003C17D4">
        <w:rPr>
          <w:rFonts w:ascii="Arial" w:hAnsi="Arial" w:cs="Arial"/>
          <w:sz w:val="24"/>
          <w:szCs w:val="24"/>
        </w:rPr>
        <w:t>,</w:t>
      </w:r>
      <w:r w:rsidRPr="003C17D4">
        <w:rPr>
          <w:rFonts w:ascii="Arial" w:hAnsi="Arial" w:cs="Arial"/>
          <w:sz w:val="24"/>
          <w:szCs w:val="24"/>
        </w:rPr>
        <w:t xml:space="preserve"> D</w:t>
      </w:r>
      <w:r w:rsidR="00400D09" w:rsidRPr="003C17D4">
        <w:rPr>
          <w:rFonts w:ascii="Arial" w:hAnsi="Arial" w:cs="Arial"/>
          <w:sz w:val="24"/>
          <w:szCs w:val="24"/>
        </w:rPr>
        <w:t>.</w:t>
      </w:r>
      <w:r w:rsidRPr="003C17D4">
        <w:rPr>
          <w:rFonts w:ascii="Arial" w:hAnsi="Arial" w:cs="Arial"/>
          <w:sz w:val="24"/>
          <w:szCs w:val="24"/>
        </w:rPr>
        <w:t>, Bishop</w:t>
      </w:r>
      <w:r w:rsidR="00400D09" w:rsidRPr="003C17D4">
        <w:rPr>
          <w:rFonts w:ascii="Arial" w:hAnsi="Arial" w:cs="Arial"/>
          <w:sz w:val="24"/>
          <w:szCs w:val="24"/>
        </w:rPr>
        <w:t>,</w:t>
      </w:r>
      <w:r w:rsidRPr="003C17D4">
        <w:rPr>
          <w:rFonts w:ascii="Arial" w:hAnsi="Arial" w:cs="Arial"/>
          <w:sz w:val="24"/>
          <w:szCs w:val="24"/>
        </w:rPr>
        <w:t xml:space="preserve"> K</w:t>
      </w:r>
      <w:r w:rsidR="00400D09" w:rsidRPr="003C17D4">
        <w:rPr>
          <w:rFonts w:ascii="Arial" w:hAnsi="Arial" w:cs="Arial"/>
          <w:sz w:val="24"/>
          <w:szCs w:val="24"/>
        </w:rPr>
        <w:t>.</w:t>
      </w:r>
      <w:r w:rsidRPr="003C17D4">
        <w:rPr>
          <w:rFonts w:ascii="Arial" w:hAnsi="Arial" w:cs="Arial"/>
          <w:sz w:val="24"/>
          <w:szCs w:val="24"/>
        </w:rPr>
        <w:t xml:space="preserve"> </w:t>
      </w:r>
      <w:r w:rsidR="00A44010" w:rsidRPr="003C17D4">
        <w:rPr>
          <w:rFonts w:ascii="Arial" w:hAnsi="Arial" w:cs="Arial"/>
          <w:sz w:val="24"/>
          <w:szCs w:val="24"/>
        </w:rPr>
        <w:t>&amp;</w:t>
      </w:r>
      <w:r w:rsidRPr="003C17D4">
        <w:rPr>
          <w:rFonts w:ascii="Arial" w:hAnsi="Arial" w:cs="Arial"/>
          <w:sz w:val="24"/>
          <w:szCs w:val="24"/>
        </w:rPr>
        <w:t xml:space="preserve"> Tewdwr-Jones</w:t>
      </w:r>
      <w:r w:rsidR="00400D09" w:rsidRPr="003C17D4">
        <w:rPr>
          <w:rFonts w:ascii="Arial" w:hAnsi="Arial" w:cs="Arial"/>
          <w:sz w:val="24"/>
          <w:szCs w:val="24"/>
        </w:rPr>
        <w:t>,</w:t>
      </w:r>
      <w:r w:rsidRPr="003C17D4">
        <w:rPr>
          <w:rFonts w:ascii="Arial" w:hAnsi="Arial" w:cs="Arial"/>
          <w:sz w:val="24"/>
          <w:szCs w:val="24"/>
        </w:rPr>
        <w:t xml:space="preserve"> M</w:t>
      </w:r>
      <w:r w:rsidR="00400D09" w:rsidRPr="003C17D4">
        <w:rPr>
          <w:rFonts w:ascii="Arial" w:hAnsi="Arial" w:cs="Arial"/>
          <w:sz w:val="24"/>
          <w:szCs w:val="24"/>
        </w:rPr>
        <w:t>.</w:t>
      </w:r>
      <w:r w:rsidRPr="003C17D4">
        <w:rPr>
          <w:rFonts w:ascii="Arial" w:hAnsi="Arial" w:cs="Arial"/>
          <w:sz w:val="24"/>
          <w:szCs w:val="24"/>
        </w:rPr>
        <w:t xml:space="preserve"> (1998)</w:t>
      </w:r>
      <w:r w:rsidR="00400D09" w:rsidRPr="003C17D4">
        <w:rPr>
          <w:rFonts w:ascii="Arial" w:hAnsi="Arial" w:cs="Arial"/>
          <w:sz w:val="24"/>
          <w:szCs w:val="24"/>
        </w:rPr>
        <w:t>.</w:t>
      </w:r>
      <w:r w:rsidRPr="003C17D4">
        <w:rPr>
          <w:rFonts w:ascii="Arial" w:hAnsi="Arial" w:cs="Arial"/>
          <w:sz w:val="24"/>
          <w:szCs w:val="24"/>
        </w:rPr>
        <w:t xml:space="preserve"> </w:t>
      </w:r>
      <w:r w:rsidRPr="003C17D4">
        <w:rPr>
          <w:rFonts w:ascii="Arial" w:hAnsi="Arial" w:cs="Arial"/>
          <w:i/>
          <w:sz w:val="24"/>
          <w:szCs w:val="24"/>
        </w:rPr>
        <w:t>The Impact of the EU on the UK Planning System</w:t>
      </w:r>
      <w:r w:rsidRPr="003C17D4">
        <w:rPr>
          <w:rFonts w:ascii="Arial" w:hAnsi="Arial" w:cs="Arial"/>
          <w:sz w:val="24"/>
          <w:szCs w:val="24"/>
        </w:rPr>
        <w:t>, a report for DETR,</w:t>
      </w:r>
      <w:r w:rsidR="00400D09" w:rsidRPr="003C17D4">
        <w:rPr>
          <w:rFonts w:ascii="Arial" w:hAnsi="Arial" w:cs="Arial"/>
          <w:sz w:val="24"/>
          <w:szCs w:val="24"/>
        </w:rPr>
        <w:t xml:space="preserve"> </w:t>
      </w:r>
      <w:r w:rsidRPr="003C17D4">
        <w:rPr>
          <w:rFonts w:ascii="Arial" w:hAnsi="Arial" w:cs="Arial"/>
          <w:sz w:val="24"/>
          <w:szCs w:val="24"/>
        </w:rPr>
        <w:t>DET</w:t>
      </w:r>
      <w:r w:rsidR="00400D09" w:rsidRPr="003C17D4">
        <w:rPr>
          <w:rFonts w:ascii="Arial" w:hAnsi="Arial" w:cs="Arial"/>
          <w:sz w:val="24"/>
          <w:szCs w:val="24"/>
        </w:rPr>
        <w:t>R</w:t>
      </w:r>
      <w:r w:rsidR="00A44010" w:rsidRPr="003C17D4">
        <w:rPr>
          <w:rFonts w:ascii="Arial" w:hAnsi="Arial" w:cs="Arial"/>
          <w:sz w:val="24"/>
          <w:szCs w:val="24"/>
        </w:rPr>
        <w:t>.</w:t>
      </w:r>
    </w:p>
    <w:p w:rsidR="003C17D4" w:rsidRDefault="00A95513" w:rsidP="003C17D4">
      <w:pPr>
        <w:ind w:left="567" w:hanging="567"/>
      </w:pPr>
      <w:r w:rsidRPr="003C17D4">
        <w:rPr>
          <w:rFonts w:ascii="Arial" w:eastAsia="Calibri" w:hAnsi="Arial" w:cs="Arial"/>
          <w:sz w:val="24"/>
          <w:szCs w:val="24"/>
        </w:rPr>
        <w:t>Woltjer</w:t>
      </w:r>
      <w:r w:rsidR="00400D09" w:rsidRPr="003C17D4">
        <w:rPr>
          <w:rFonts w:ascii="Arial" w:eastAsia="Calibri" w:hAnsi="Arial" w:cs="Arial"/>
          <w:sz w:val="24"/>
          <w:szCs w:val="24"/>
        </w:rPr>
        <w:t>,</w:t>
      </w:r>
      <w:r w:rsidRPr="003C17D4">
        <w:rPr>
          <w:rFonts w:ascii="Arial" w:eastAsia="Calibri" w:hAnsi="Arial" w:cs="Arial"/>
          <w:sz w:val="24"/>
          <w:szCs w:val="24"/>
        </w:rPr>
        <w:t xml:space="preserve"> J</w:t>
      </w:r>
      <w:r w:rsidR="00400D09" w:rsidRPr="003C17D4">
        <w:rPr>
          <w:rFonts w:ascii="Arial" w:eastAsia="Calibri" w:hAnsi="Arial" w:cs="Arial"/>
          <w:sz w:val="24"/>
          <w:szCs w:val="24"/>
        </w:rPr>
        <w:t>.</w:t>
      </w:r>
      <w:r w:rsidRPr="003C17D4">
        <w:rPr>
          <w:rFonts w:ascii="Arial" w:eastAsia="Calibri" w:hAnsi="Arial" w:cs="Arial"/>
          <w:sz w:val="24"/>
          <w:szCs w:val="24"/>
        </w:rPr>
        <w:t xml:space="preserve"> (2002)</w:t>
      </w:r>
      <w:r w:rsidR="00400D09" w:rsidRPr="003C17D4">
        <w:rPr>
          <w:rFonts w:ascii="Arial" w:eastAsia="Calibri" w:hAnsi="Arial" w:cs="Arial"/>
          <w:sz w:val="24"/>
          <w:szCs w:val="24"/>
        </w:rPr>
        <w:t>.</w:t>
      </w:r>
      <w:r w:rsidRPr="003C17D4">
        <w:rPr>
          <w:rFonts w:ascii="Arial" w:eastAsia="Calibri" w:hAnsi="Arial" w:cs="Arial"/>
          <w:sz w:val="24"/>
          <w:szCs w:val="24"/>
        </w:rPr>
        <w:t xml:space="preserve"> The “public support machine”: notions of the function of participatory planning by Dutch infrastructure planners</w:t>
      </w:r>
      <w:r w:rsidR="00B615B3" w:rsidRPr="003C17D4">
        <w:rPr>
          <w:rFonts w:ascii="Arial" w:eastAsia="Calibri" w:hAnsi="Arial" w:cs="Arial"/>
          <w:sz w:val="24"/>
          <w:szCs w:val="24"/>
        </w:rPr>
        <w:t>.</w:t>
      </w:r>
      <w:r w:rsidRPr="003C17D4">
        <w:rPr>
          <w:rFonts w:ascii="Arial" w:eastAsia="Calibri" w:hAnsi="Arial" w:cs="Arial"/>
          <w:sz w:val="24"/>
          <w:szCs w:val="24"/>
        </w:rPr>
        <w:t xml:space="preserve"> </w:t>
      </w:r>
      <w:r w:rsidRPr="003C17D4">
        <w:rPr>
          <w:rFonts w:ascii="Arial" w:eastAsia="Calibri" w:hAnsi="Arial" w:cs="Arial"/>
          <w:i/>
          <w:sz w:val="24"/>
          <w:szCs w:val="24"/>
        </w:rPr>
        <w:t>Planning Practice and Research</w:t>
      </w:r>
      <w:r w:rsidRPr="003C17D4">
        <w:rPr>
          <w:rFonts w:ascii="Arial" w:eastAsia="Calibri" w:hAnsi="Arial" w:cs="Arial"/>
          <w:sz w:val="24"/>
          <w:szCs w:val="24"/>
        </w:rPr>
        <w:t xml:space="preserve"> 17(4), 437-453</w:t>
      </w:r>
      <w:r w:rsidR="00A44010" w:rsidRPr="003C17D4">
        <w:rPr>
          <w:rFonts w:ascii="Arial" w:eastAsia="Calibri" w:hAnsi="Arial" w:cs="Arial"/>
          <w:sz w:val="24"/>
          <w:szCs w:val="24"/>
        </w:rPr>
        <w:t>.</w:t>
      </w:r>
      <w:r w:rsidR="003C17D4" w:rsidRPr="003C17D4">
        <w:rPr>
          <w:rFonts w:ascii="Arial" w:eastAsia="Calibri" w:hAnsi="Arial" w:cs="Arial"/>
          <w:sz w:val="24"/>
          <w:szCs w:val="24"/>
        </w:rPr>
        <w:t xml:space="preserve"> </w:t>
      </w:r>
      <w:r w:rsidR="003C17D4" w:rsidRPr="003C17D4">
        <w:rPr>
          <w:rFonts w:ascii="Arial" w:eastAsia="Times New Roman" w:hAnsi="Arial" w:cs="Arial"/>
          <w:sz w:val="24"/>
          <w:szCs w:val="24"/>
          <w:lang w:eastAsia="en-GB"/>
        </w:rPr>
        <w:t>h</w:t>
      </w:r>
      <w:hyperlink r:id="rId37" w:history="1">
        <w:r w:rsidR="003C17D4" w:rsidRPr="003C17D4">
          <w:rPr>
            <w:rFonts w:ascii="Arial" w:eastAsia="Times New Roman" w:hAnsi="Arial" w:cs="Arial"/>
            <w:sz w:val="24"/>
            <w:szCs w:val="24"/>
            <w:lang w:eastAsia="en-GB"/>
          </w:rPr>
          <w:t>ttps://doi.org/10.1080/02697450216358</w:t>
        </w:r>
      </w:hyperlink>
    </w:p>
    <w:p w:rsidR="0053158E" w:rsidRDefault="0053158E">
      <w:r>
        <w:br w:type="page"/>
      </w:r>
    </w:p>
    <w:p w:rsidR="0053158E" w:rsidRPr="00AF5CDD" w:rsidRDefault="0053158E" w:rsidP="0053158E">
      <w:pPr>
        <w:ind w:left="567" w:hanging="567"/>
        <w:rPr>
          <w:rFonts w:ascii="Arial" w:hAnsi="Arial" w:cs="Arial"/>
          <w:b/>
        </w:rPr>
      </w:pPr>
      <w:r w:rsidRPr="00AF5CDD">
        <w:rPr>
          <w:rFonts w:ascii="Arial" w:hAnsi="Arial" w:cs="Arial"/>
          <w:b/>
        </w:rPr>
        <w:t xml:space="preserve">Table </w:t>
      </w:r>
      <w:r>
        <w:rPr>
          <w:rFonts w:ascii="Arial" w:hAnsi="Arial" w:cs="Arial"/>
          <w:b/>
        </w:rPr>
        <w:t>1</w:t>
      </w:r>
      <w:r w:rsidRPr="00AF5CDD">
        <w:rPr>
          <w:rFonts w:ascii="Arial" w:hAnsi="Arial" w:cs="Arial"/>
          <w:b/>
        </w:rPr>
        <w:tab/>
        <w:t>EU environmental legislation and (UK) planning</w:t>
      </w:r>
    </w:p>
    <w:p w:rsidR="0053158E" w:rsidRPr="00887853" w:rsidRDefault="0053158E" w:rsidP="0053158E">
      <w:pPr>
        <w:rPr>
          <w:rFonts w:ascii="Arial" w:hAnsi="Arial" w:cs="Arial"/>
        </w:rPr>
      </w:pPr>
    </w:p>
    <w:tbl>
      <w:tblPr>
        <w:tblStyle w:val="TableGrid"/>
        <w:tblW w:w="9322" w:type="dxa"/>
        <w:tblLook w:val="04A0" w:firstRow="1" w:lastRow="0" w:firstColumn="1" w:lastColumn="0" w:noHBand="0" w:noVBand="1"/>
      </w:tblPr>
      <w:tblGrid>
        <w:gridCol w:w="2184"/>
        <w:gridCol w:w="3438"/>
        <w:gridCol w:w="3700"/>
      </w:tblGrid>
      <w:tr w:rsidR="0053158E" w:rsidRPr="00887853" w:rsidTr="00FF488F">
        <w:tc>
          <w:tcPr>
            <w:tcW w:w="9322" w:type="dxa"/>
            <w:gridSpan w:val="3"/>
          </w:tcPr>
          <w:p w:rsidR="0053158E" w:rsidRPr="00887853" w:rsidRDefault="0053158E" w:rsidP="00FF488F">
            <w:pPr>
              <w:rPr>
                <w:rFonts w:ascii="Arial" w:hAnsi="Arial" w:cs="Arial"/>
                <w:b/>
              </w:rPr>
            </w:pPr>
            <w:r>
              <w:rPr>
                <w:rFonts w:ascii="Arial" w:hAnsi="Arial" w:cs="Arial"/>
                <w:b/>
              </w:rPr>
              <w:t>EU directives with mainly substantive environmental requirements</w:t>
            </w:r>
          </w:p>
        </w:tc>
      </w:tr>
      <w:tr w:rsidR="0053158E" w:rsidRPr="00887853" w:rsidTr="00FF488F">
        <w:tc>
          <w:tcPr>
            <w:tcW w:w="1951" w:type="dxa"/>
          </w:tcPr>
          <w:p w:rsidR="0053158E" w:rsidRPr="00887853" w:rsidRDefault="0053158E" w:rsidP="00FF488F">
            <w:pPr>
              <w:rPr>
                <w:rFonts w:ascii="Arial" w:hAnsi="Arial" w:cs="Arial"/>
                <w:b/>
              </w:rPr>
            </w:pPr>
            <w:r w:rsidRPr="00887853">
              <w:rPr>
                <w:rFonts w:ascii="Arial" w:hAnsi="Arial" w:cs="Arial"/>
                <w:b/>
              </w:rPr>
              <w:t>Directive</w:t>
            </w:r>
          </w:p>
        </w:tc>
        <w:tc>
          <w:tcPr>
            <w:tcW w:w="3544" w:type="dxa"/>
          </w:tcPr>
          <w:p w:rsidR="0053158E" w:rsidRDefault="0053158E" w:rsidP="00FF488F">
            <w:pPr>
              <w:rPr>
                <w:rFonts w:ascii="Arial" w:hAnsi="Arial" w:cs="Arial"/>
                <w:b/>
              </w:rPr>
            </w:pPr>
            <w:r>
              <w:rPr>
                <w:rFonts w:ascii="Arial" w:hAnsi="Arial" w:cs="Arial"/>
                <w:b/>
              </w:rPr>
              <w:t>Specified g</w:t>
            </w:r>
            <w:r w:rsidRPr="00887853">
              <w:rPr>
                <w:rFonts w:ascii="Arial" w:hAnsi="Arial" w:cs="Arial"/>
                <w:b/>
              </w:rPr>
              <w:t>oals</w:t>
            </w:r>
          </w:p>
          <w:p w:rsidR="0053158E" w:rsidRPr="007A468D" w:rsidRDefault="0053158E" w:rsidP="00FF488F">
            <w:pPr>
              <w:rPr>
                <w:rFonts w:ascii="Arial" w:hAnsi="Arial" w:cs="Arial"/>
                <w:i/>
              </w:rPr>
            </w:pPr>
            <w:r w:rsidRPr="007A468D">
              <w:rPr>
                <w:rFonts w:ascii="Arial" w:hAnsi="Arial" w:cs="Arial"/>
                <w:i/>
              </w:rPr>
              <w:t>(and procedural elements)</w:t>
            </w:r>
          </w:p>
        </w:tc>
        <w:tc>
          <w:tcPr>
            <w:tcW w:w="3827" w:type="dxa"/>
          </w:tcPr>
          <w:p w:rsidR="0053158E" w:rsidRPr="00887853" w:rsidRDefault="0053158E" w:rsidP="00FF488F">
            <w:pPr>
              <w:rPr>
                <w:rFonts w:ascii="Arial" w:hAnsi="Arial" w:cs="Arial"/>
                <w:b/>
              </w:rPr>
            </w:pPr>
            <w:r>
              <w:rPr>
                <w:rFonts w:ascii="Arial" w:hAnsi="Arial" w:cs="Arial"/>
                <w:b/>
              </w:rPr>
              <w:t>Main issues for planning</w:t>
            </w:r>
          </w:p>
        </w:tc>
      </w:tr>
      <w:tr w:rsidR="0053158E" w:rsidRPr="00532837" w:rsidTr="00FF488F">
        <w:tc>
          <w:tcPr>
            <w:tcW w:w="1951" w:type="dxa"/>
          </w:tcPr>
          <w:p w:rsidR="0053158E" w:rsidRPr="00532837" w:rsidRDefault="0053158E" w:rsidP="00FF488F">
            <w:pPr>
              <w:rPr>
                <w:rFonts w:ascii="Arial" w:hAnsi="Arial" w:cs="Arial"/>
                <w:sz w:val="20"/>
                <w:szCs w:val="20"/>
                <w:lang w:val="fr-FR"/>
              </w:rPr>
            </w:pPr>
            <w:r w:rsidRPr="00DA7812">
              <w:rPr>
                <w:rFonts w:ascii="Arial" w:hAnsi="Arial" w:cs="Arial"/>
                <w:sz w:val="20"/>
                <w:szCs w:val="20"/>
                <w:lang w:val="fr-FR"/>
              </w:rPr>
              <w:t>Ambient Air Quality</w:t>
            </w:r>
            <w:r>
              <w:rPr>
                <w:rFonts w:ascii="Arial" w:hAnsi="Arial" w:cs="Arial"/>
                <w:sz w:val="20"/>
                <w:szCs w:val="20"/>
                <w:lang w:val="fr-FR"/>
              </w:rPr>
              <w:t xml:space="preserve">  </w:t>
            </w:r>
            <w:r w:rsidRPr="00DA7812">
              <w:rPr>
                <w:rFonts w:ascii="Arial" w:hAnsi="Arial" w:cs="Arial"/>
                <w:sz w:val="20"/>
                <w:szCs w:val="20"/>
                <w:lang w:val="fr-FR"/>
              </w:rPr>
              <w:t>Directive(2008/50/EC)</w:t>
            </w:r>
          </w:p>
        </w:tc>
        <w:tc>
          <w:tcPr>
            <w:tcW w:w="3544" w:type="dxa"/>
          </w:tcPr>
          <w:p w:rsidR="0053158E" w:rsidRPr="00532837" w:rsidRDefault="0053158E" w:rsidP="00FF488F">
            <w:pPr>
              <w:rPr>
                <w:rFonts w:ascii="Arial" w:hAnsi="Arial" w:cs="Arial"/>
                <w:sz w:val="20"/>
                <w:szCs w:val="20"/>
              </w:rPr>
            </w:pPr>
            <w:r w:rsidRPr="00532837">
              <w:rPr>
                <w:rFonts w:ascii="Arial" w:hAnsi="Arial" w:cs="Arial"/>
                <w:sz w:val="20"/>
                <w:szCs w:val="20"/>
              </w:rPr>
              <w:t>sets legally binding limits for concentrations in outdoor air of major air pollutants that impact public health</w:t>
            </w:r>
          </w:p>
          <w:p w:rsidR="0053158E" w:rsidRPr="00532837" w:rsidRDefault="0053158E" w:rsidP="00FF488F">
            <w:pPr>
              <w:rPr>
                <w:rFonts w:ascii="Arial" w:hAnsi="Arial" w:cs="Arial"/>
                <w:sz w:val="20"/>
                <w:szCs w:val="20"/>
              </w:rPr>
            </w:pPr>
          </w:p>
          <w:p w:rsidR="0053158E" w:rsidRPr="00532837" w:rsidRDefault="0053158E" w:rsidP="00FF488F">
            <w:pPr>
              <w:rPr>
                <w:rFonts w:ascii="Arial" w:hAnsi="Arial" w:cs="Arial"/>
                <w:sz w:val="20"/>
                <w:szCs w:val="20"/>
              </w:rPr>
            </w:pPr>
            <w:r w:rsidRPr="00532837">
              <w:rPr>
                <w:rFonts w:ascii="Arial" w:hAnsi="Arial" w:cs="Arial"/>
                <w:sz w:val="20"/>
                <w:szCs w:val="20"/>
              </w:rPr>
              <w:t>(</w:t>
            </w:r>
            <w:r w:rsidRPr="00532837">
              <w:rPr>
                <w:rFonts w:ascii="Arial" w:hAnsi="Arial" w:cs="Arial"/>
                <w:i/>
                <w:sz w:val="20"/>
                <w:szCs w:val="20"/>
              </w:rPr>
              <w:t>Air Quality Management Areas</w:t>
            </w:r>
            <w:r w:rsidRPr="00532837">
              <w:rPr>
                <w:rFonts w:ascii="Arial" w:hAnsi="Arial" w:cs="Arial"/>
                <w:sz w:val="20"/>
                <w:szCs w:val="20"/>
              </w:rPr>
              <w:t>)</w:t>
            </w:r>
          </w:p>
        </w:tc>
        <w:tc>
          <w:tcPr>
            <w:tcW w:w="3827" w:type="dxa"/>
          </w:tcPr>
          <w:p w:rsidR="0053158E" w:rsidRPr="00532837" w:rsidRDefault="0053158E" w:rsidP="00FF488F">
            <w:pPr>
              <w:rPr>
                <w:rFonts w:ascii="Arial" w:hAnsi="Arial" w:cs="Arial"/>
                <w:sz w:val="20"/>
                <w:szCs w:val="20"/>
              </w:rPr>
            </w:pPr>
            <w:r w:rsidRPr="00532837">
              <w:rPr>
                <w:rFonts w:ascii="Arial" w:hAnsi="Arial" w:cs="Arial"/>
                <w:sz w:val="20"/>
                <w:szCs w:val="20"/>
              </w:rPr>
              <w:t>Making air quality implications of development material to plan-making and development control. AQMA contributed to/taken into account.</w:t>
            </w:r>
          </w:p>
        </w:tc>
      </w:tr>
      <w:tr w:rsidR="0053158E" w:rsidRPr="00532837" w:rsidTr="00FF488F">
        <w:tc>
          <w:tcPr>
            <w:tcW w:w="1951" w:type="dxa"/>
          </w:tcPr>
          <w:p w:rsidR="0053158E" w:rsidRPr="00532837" w:rsidRDefault="0053158E" w:rsidP="00FF488F">
            <w:pPr>
              <w:rPr>
                <w:rFonts w:ascii="Arial" w:hAnsi="Arial" w:cs="Arial"/>
                <w:sz w:val="20"/>
                <w:szCs w:val="20"/>
              </w:rPr>
            </w:pPr>
            <w:r w:rsidRPr="00DA7812">
              <w:rPr>
                <w:rFonts w:ascii="Arial" w:hAnsi="Arial" w:cs="Arial"/>
                <w:sz w:val="20"/>
                <w:szCs w:val="20"/>
              </w:rPr>
              <w:t>Birds Directives (2009/147/EC)</w:t>
            </w:r>
          </w:p>
        </w:tc>
        <w:tc>
          <w:tcPr>
            <w:tcW w:w="3544" w:type="dxa"/>
          </w:tcPr>
          <w:p w:rsidR="0053158E" w:rsidRPr="00532837" w:rsidRDefault="0053158E" w:rsidP="00FF488F">
            <w:pPr>
              <w:rPr>
                <w:rFonts w:ascii="Arial" w:hAnsi="Arial" w:cs="Arial"/>
                <w:sz w:val="20"/>
                <w:szCs w:val="20"/>
              </w:rPr>
            </w:pPr>
            <w:r w:rsidRPr="00532837">
              <w:rPr>
                <w:rFonts w:ascii="Arial" w:hAnsi="Arial" w:cs="Arial"/>
                <w:sz w:val="20"/>
                <w:szCs w:val="20"/>
              </w:rPr>
              <w:t xml:space="preserve">the protection of specified bird species at a favourable conservation status </w:t>
            </w:r>
          </w:p>
        </w:tc>
        <w:tc>
          <w:tcPr>
            <w:tcW w:w="3827" w:type="dxa"/>
          </w:tcPr>
          <w:p w:rsidR="0053158E" w:rsidRPr="00532837" w:rsidRDefault="0053158E" w:rsidP="00FF488F">
            <w:pPr>
              <w:rPr>
                <w:rFonts w:ascii="Arial" w:hAnsi="Arial" w:cs="Arial"/>
                <w:sz w:val="20"/>
                <w:szCs w:val="20"/>
              </w:rPr>
            </w:pPr>
            <w:r w:rsidRPr="00532837">
              <w:rPr>
                <w:rFonts w:ascii="Arial" w:hAnsi="Arial" w:cs="Arial"/>
                <w:sz w:val="20"/>
                <w:szCs w:val="20"/>
              </w:rPr>
              <w:t xml:space="preserve">Incorporating Special Protection Areas in development plans and instituting protective policies </w:t>
            </w:r>
          </w:p>
        </w:tc>
      </w:tr>
      <w:tr w:rsidR="0053158E" w:rsidRPr="00532837" w:rsidTr="00FF488F">
        <w:tc>
          <w:tcPr>
            <w:tcW w:w="1951" w:type="dxa"/>
          </w:tcPr>
          <w:p w:rsidR="0053158E" w:rsidRPr="00532837" w:rsidRDefault="0053158E" w:rsidP="00FF488F">
            <w:pPr>
              <w:rPr>
                <w:rFonts w:ascii="Arial" w:hAnsi="Arial" w:cs="Arial"/>
                <w:sz w:val="20"/>
                <w:szCs w:val="20"/>
              </w:rPr>
            </w:pPr>
            <w:r w:rsidRPr="00DA7812">
              <w:rPr>
                <w:rFonts w:ascii="Arial" w:hAnsi="Arial" w:cs="Arial"/>
                <w:sz w:val="20"/>
                <w:szCs w:val="20"/>
              </w:rPr>
              <w:t>Habitats</w:t>
            </w:r>
            <w:r>
              <w:rPr>
                <w:rFonts w:ascii="Arial" w:hAnsi="Arial" w:cs="Arial"/>
                <w:sz w:val="20"/>
                <w:szCs w:val="20"/>
              </w:rPr>
              <w:t xml:space="preserve"> </w:t>
            </w:r>
            <w:r w:rsidRPr="00DA7812">
              <w:rPr>
                <w:rFonts w:ascii="Arial" w:hAnsi="Arial" w:cs="Arial"/>
                <w:sz w:val="20"/>
                <w:szCs w:val="20"/>
              </w:rPr>
              <w:t>Directive(92/43/EEC)</w:t>
            </w:r>
          </w:p>
        </w:tc>
        <w:tc>
          <w:tcPr>
            <w:tcW w:w="3544" w:type="dxa"/>
          </w:tcPr>
          <w:p w:rsidR="0053158E" w:rsidRPr="00532837" w:rsidRDefault="0053158E" w:rsidP="00FF488F">
            <w:pPr>
              <w:rPr>
                <w:rFonts w:ascii="Arial" w:hAnsi="Arial" w:cs="Arial"/>
                <w:sz w:val="20"/>
                <w:szCs w:val="20"/>
              </w:rPr>
            </w:pPr>
            <w:r w:rsidRPr="00532837">
              <w:rPr>
                <w:rFonts w:ascii="Arial" w:hAnsi="Arial" w:cs="Arial"/>
                <w:sz w:val="20"/>
                <w:szCs w:val="20"/>
              </w:rPr>
              <w:t xml:space="preserve">to enable the protection of specified animals and habitats at a favourable conservation status </w:t>
            </w:r>
          </w:p>
        </w:tc>
        <w:tc>
          <w:tcPr>
            <w:tcW w:w="3827" w:type="dxa"/>
          </w:tcPr>
          <w:p w:rsidR="0053158E" w:rsidRPr="00532837" w:rsidRDefault="0053158E" w:rsidP="00FF488F">
            <w:pPr>
              <w:rPr>
                <w:rFonts w:ascii="Arial" w:hAnsi="Arial" w:cs="Arial"/>
                <w:sz w:val="20"/>
                <w:szCs w:val="20"/>
              </w:rPr>
            </w:pPr>
            <w:r w:rsidRPr="00532837">
              <w:rPr>
                <w:rFonts w:ascii="Arial" w:hAnsi="Arial" w:cs="Arial"/>
                <w:sz w:val="20"/>
                <w:szCs w:val="20"/>
              </w:rPr>
              <w:t xml:space="preserve">Incorporating Special Areas of Conservation in development plans and instituting protective policies </w:t>
            </w:r>
          </w:p>
        </w:tc>
      </w:tr>
      <w:tr w:rsidR="0053158E" w:rsidRPr="00532837" w:rsidTr="00FF488F">
        <w:tc>
          <w:tcPr>
            <w:tcW w:w="1951" w:type="dxa"/>
          </w:tcPr>
          <w:p w:rsidR="0053158E" w:rsidRPr="00532837" w:rsidRDefault="0053158E" w:rsidP="00FF488F">
            <w:pPr>
              <w:rPr>
                <w:rFonts w:ascii="Arial" w:hAnsi="Arial" w:cs="Arial"/>
                <w:sz w:val="20"/>
                <w:szCs w:val="20"/>
              </w:rPr>
            </w:pPr>
            <w:r w:rsidRPr="00DA7812">
              <w:rPr>
                <w:rFonts w:ascii="Arial" w:hAnsi="Arial" w:cs="Arial"/>
                <w:sz w:val="20"/>
                <w:szCs w:val="20"/>
              </w:rPr>
              <w:t>Renewable Energy Directive (2009/28/EC)</w:t>
            </w:r>
          </w:p>
        </w:tc>
        <w:tc>
          <w:tcPr>
            <w:tcW w:w="3544" w:type="dxa"/>
          </w:tcPr>
          <w:p w:rsidR="0053158E" w:rsidRPr="00532837" w:rsidRDefault="0053158E" w:rsidP="00FF488F">
            <w:pPr>
              <w:rPr>
                <w:rFonts w:ascii="Arial" w:hAnsi="Arial" w:cs="Arial"/>
                <w:sz w:val="20"/>
                <w:szCs w:val="20"/>
              </w:rPr>
            </w:pPr>
            <w:r w:rsidRPr="00532837">
              <w:rPr>
                <w:rFonts w:ascii="Arial" w:hAnsi="Arial" w:cs="Arial"/>
                <w:sz w:val="20"/>
                <w:szCs w:val="20"/>
              </w:rPr>
              <w:t>sets national targets for renewable energy production in each Member State by 2020</w:t>
            </w:r>
          </w:p>
          <w:p w:rsidR="0053158E" w:rsidRPr="00532837" w:rsidRDefault="0053158E" w:rsidP="00FF488F">
            <w:pPr>
              <w:rPr>
                <w:rFonts w:ascii="Arial" w:hAnsi="Arial" w:cs="Arial"/>
                <w:sz w:val="20"/>
                <w:szCs w:val="20"/>
              </w:rPr>
            </w:pPr>
          </w:p>
          <w:p w:rsidR="0053158E" w:rsidRPr="00532837" w:rsidRDefault="0053158E" w:rsidP="00FF488F">
            <w:pPr>
              <w:rPr>
                <w:rFonts w:ascii="Arial" w:hAnsi="Arial" w:cs="Arial"/>
                <w:sz w:val="20"/>
                <w:szCs w:val="20"/>
              </w:rPr>
            </w:pPr>
            <w:r w:rsidRPr="00532837">
              <w:rPr>
                <w:rFonts w:ascii="Arial" w:hAnsi="Arial" w:cs="Arial"/>
                <w:sz w:val="20"/>
                <w:szCs w:val="20"/>
              </w:rPr>
              <w:t>(</w:t>
            </w:r>
            <w:r w:rsidRPr="00532837">
              <w:rPr>
                <w:rFonts w:ascii="Arial" w:hAnsi="Arial" w:cs="Arial"/>
                <w:i/>
                <w:sz w:val="20"/>
                <w:szCs w:val="20"/>
              </w:rPr>
              <w:t>National Renewable Energy Action Plans</w:t>
            </w:r>
            <w:r w:rsidRPr="00532837">
              <w:rPr>
                <w:rFonts w:ascii="Arial" w:hAnsi="Arial" w:cs="Arial"/>
                <w:sz w:val="20"/>
                <w:szCs w:val="20"/>
              </w:rPr>
              <w:t>)</w:t>
            </w:r>
          </w:p>
        </w:tc>
        <w:tc>
          <w:tcPr>
            <w:tcW w:w="3827" w:type="dxa"/>
          </w:tcPr>
          <w:p w:rsidR="0053158E" w:rsidRPr="00532837" w:rsidRDefault="0053158E" w:rsidP="00FF488F">
            <w:pPr>
              <w:rPr>
                <w:rFonts w:ascii="Arial" w:hAnsi="Arial" w:cs="Arial"/>
                <w:sz w:val="20"/>
                <w:szCs w:val="20"/>
              </w:rPr>
            </w:pPr>
            <w:r w:rsidRPr="00532837">
              <w:rPr>
                <w:rFonts w:ascii="Arial" w:hAnsi="Arial" w:cs="Arial"/>
                <w:sz w:val="20"/>
                <w:szCs w:val="20"/>
              </w:rPr>
              <w:t>Dealing with applications for renewable energy facilities; incorporating appropriate policies in national planning guidance and local development plans</w:t>
            </w:r>
          </w:p>
        </w:tc>
      </w:tr>
      <w:tr w:rsidR="0053158E" w:rsidRPr="00532837" w:rsidTr="00FF488F">
        <w:tc>
          <w:tcPr>
            <w:tcW w:w="1951" w:type="dxa"/>
          </w:tcPr>
          <w:p w:rsidR="0053158E" w:rsidRPr="00532837" w:rsidRDefault="0053158E" w:rsidP="00FF488F">
            <w:pPr>
              <w:rPr>
                <w:rFonts w:ascii="Arial" w:hAnsi="Arial" w:cs="Arial"/>
                <w:sz w:val="20"/>
                <w:szCs w:val="20"/>
              </w:rPr>
            </w:pPr>
            <w:r w:rsidRPr="00DA7812">
              <w:rPr>
                <w:rFonts w:ascii="Arial" w:hAnsi="Arial" w:cs="Arial"/>
                <w:sz w:val="20"/>
                <w:szCs w:val="20"/>
              </w:rPr>
              <w:t>Urban Waste Water Treatment Directive (91/271/EEC)</w:t>
            </w:r>
          </w:p>
        </w:tc>
        <w:tc>
          <w:tcPr>
            <w:tcW w:w="3544" w:type="dxa"/>
          </w:tcPr>
          <w:p w:rsidR="0053158E" w:rsidRPr="00532837" w:rsidRDefault="0053158E" w:rsidP="00FF488F">
            <w:pPr>
              <w:rPr>
                <w:rFonts w:ascii="Arial" w:hAnsi="Arial" w:cs="Arial"/>
                <w:sz w:val="20"/>
                <w:szCs w:val="20"/>
              </w:rPr>
            </w:pPr>
            <w:r w:rsidRPr="00532837">
              <w:rPr>
                <w:rFonts w:ascii="Arial" w:hAnsi="Arial" w:cs="Arial"/>
                <w:sz w:val="20"/>
                <w:szCs w:val="20"/>
              </w:rPr>
              <w:t>ensuring waste water from urban settlements is treated before being discharged</w:t>
            </w:r>
          </w:p>
        </w:tc>
        <w:tc>
          <w:tcPr>
            <w:tcW w:w="3827" w:type="dxa"/>
          </w:tcPr>
          <w:p w:rsidR="0053158E" w:rsidRPr="00532837" w:rsidRDefault="0053158E" w:rsidP="00FF488F">
            <w:pPr>
              <w:rPr>
                <w:rFonts w:ascii="Arial" w:hAnsi="Arial" w:cs="Arial"/>
                <w:sz w:val="20"/>
                <w:szCs w:val="20"/>
              </w:rPr>
            </w:pPr>
            <w:r w:rsidRPr="00532837">
              <w:rPr>
                <w:rFonts w:ascii="Arial" w:hAnsi="Arial" w:cs="Arial"/>
                <w:sz w:val="20"/>
                <w:szCs w:val="20"/>
              </w:rPr>
              <w:t>Dealing with applications or allocating sites for water management facilities</w:t>
            </w:r>
          </w:p>
        </w:tc>
      </w:tr>
      <w:tr w:rsidR="0053158E" w:rsidRPr="00532837" w:rsidTr="00FF488F">
        <w:tc>
          <w:tcPr>
            <w:tcW w:w="1951" w:type="dxa"/>
          </w:tcPr>
          <w:p w:rsidR="0053158E" w:rsidRPr="00532837" w:rsidRDefault="0053158E" w:rsidP="00FF488F">
            <w:pPr>
              <w:rPr>
                <w:rFonts w:ascii="Arial" w:hAnsi="Arial" w:cs="Arial"/>
                <w:sz w:val="20"/>
                <w:szCs w:val="20"/>
              </w:rPr>
            </w:pPr>
            <w:r w:rsidRPr="00DA7812">
              <w:rPr>
                <w:rFonts w:ascii="Arial" w:hAnsi="Arial" w:cs="Arial"/>
                <w:sz w:val="20"/>
                <w:szCs w:val="20"/>
              </w:rPr>
              <w:t>Waste Framework Directive(2008/98/EC)</w:t>
            </w:r>
          </w:p>
        </w:tc>
        <w:tc>
          <w:tcPr>
            <w:tcW w:w="3544" w:type="dxa"/>
          </w:tcPr>
          <w:p w:rsidR="0053158E" w:rsidRPr="00532837" w:rsidRDefault="0053158E" w:rsidP="00FF488F">
            <w:pPr>
              <w:rPr>
                <w:rFonts w:ascii="Arial" w:hAnsi="Arial" w:cs="Arial"/>
                <w:sz w:val="20"/>
                <w:szCs w:val="20"/>
              </w:rPr>
            </w:pPr>
            <w:r w:rsidRPr="00532837">
              <w:rPr>
                <w:rFonts w:ascii="Arial" w:hAnsi="Arial" w:cs="Arial"/>
                <w:sz w:val="20"/>
                <w:szCs w:val="20"/>
              </w:rPr>
              <w:t>pushing waste management towards the priorities at the top of the waste hierarchy and away from landfill, with % targets for particular disposal routes</w:t>
            </w:r>
          </w:p>
          <w:p w:rsidR="0053158E" w:rsidRPr="00532837" w:rsidRDefault="0053158E" w:rsidP="00FF488F">
            <w:pPr>
              <w:rPr>
                <w:rFonts w:ascii="Arial" w:hAnsi="Arial" w:cs="Arial"/>
                <w:sz w:val="20"/>
                <w:szCs w:val="20"/>
              </w:rPr>
            </w:pPr>
          </w:p>
          <w:p w:rsidR="0053158E" w:rsidRPr="00532837" w:rsidRDefault="0053158E" w:rsidP="00FF488F">
            <w:pPr>
              <w:rPr>
                <w:rFonts w:ascii="Arial" w:hAnsi="Arial" w:cs="Arial"/>
                <w:sz w:val="20"/>
                <w:szCs w:val="20"/>
              </w:rPr>
            </w:pPr>
            <w:r w:rsidRPr="00532837">
              <w:rPr>
                <w:rFonts w:ascii="Arial" w:hAnsi="Arial" w:cs="Arial"/>
                <w:sz w:val="20"/>
                <w:szCs w:val="20"/>
              </w:rPr>
              <w:t xml:space="preserve">([National] </w:t>
            </w:r>
            <w:r w:rsidRPr="00532837">
              <w:rPr>
                <w:rFonts w:ascii="Arial" w:hAnsi="Arial" w:cs="Arial"/>
                <w:i/>
                <w:sz w:val="20"/>
                <w:szCs w:val="20"/>
              </w:rPr>
              <w:t>Waste Management Plans</w:t>
            </w:r>
            <w:r w:rsidRPr="00532837">
              <w:rPr>
                <w:rFonts w:ascii="Arial" w:hAnsi="Arial" w:cs="Arial"/>
                <w:sz w:val="20"/>
                <w:szCs w:val="20"/>
              </w:rPr>
              <w:t>)</w:t>
            </w:r>
          </w:p>
        </w:tc>
        <w:tc>
          <w:tcPr>
            <w:tcW w:w="3827" w:type="dxa"/>
          </w:tcPr>
          <w:p w:rsidR="0053158E" w:rsidRPr="00532837" w:rsidRDefault="0053158E" w:rsidP="00FF488F">
            <w:pPr>
              <w:rPr>
                <w:rFonts w:ascii="Arial" w:hAnsi="Arial" w:cs="Arial"/>
                <w:sz w:val="20"/>
                <w:szCs w:val="20"/>
              </w:rPr>
            </w:pPr>
            <w:r w:rsidRPr="00532837">
              <w:rPr>
                <w:rFonts w:ascii="Arial" w:hAnsi="Arial" w:cs="Arial"/>
                <w:sz w:val="20"/>
                <w:szCs w:val="20"/>
              </w:rPr>
              <w:t>Dealing with applications for waste management facilities, or allocating sites in development plans; promoting re-use of construction waste; Waste Management Plans contributed to/taken into account.</w:t>
            </w:r>
          </w:p>
        </w:tc>
      </w:tr>
      <w:tr w:rsidR="0053158E" w:rsidRPr="00532837" w:rsidTr="00FF488F">
        <w:tc>
          <w:tcPr>
            <w:tcW w:w="1951" w:type="dxa"/>
          </w:tcPr>
          <w:p w:rsidR="0053158E" w:rsidRPr="00532837" w:rsidRDefault="0053158E" w:rsidP="00FF488F">
            <w:pPr>
              <w:rPr>
                <w:rFonts w:ascii="Arial" w:hAnsi="Arial" w:cs="Arial"/>
                <w:sz w:val="20"/>
                <w:szCs w:val="20"/>
              </w:rPr>
            </w:pPr>
            <w:r w:rsidRPr="00DA7812">
              <w:rPr>
                <w:rFonts w:ascii="Arial" w:hAnsi="Arial" w:cs="Arial"/>
                <w:sz w:val="20"/>
                <w:szCs w:val="20"/>
              </w:rPr>
              <w:t>Water Framework Directive(2000/60/EC)</w:t>
            </w:r>
          </w:p>
        </w:tc>
        <w:tc>
          <w:tcPr>
            <w:tcW w:w="3544" w:type="dxa"/>
          </w:tcPr>
          <w:p w:rsidR="0053158E" w:rsidRPr="00532837" w:rsidRDefault="0053158E" w:rsidP="00FF488F">
            <w:pPr>
              <w:rPr>
                <w:rFonts w:ascii="Arial" w:hAnsi="Arial" w:cs="Arial"/>
                <w:sz w:val="20"/>
                <w:szCs w:val="20"/>
              </w:rPr>
            </w:pPr>
            <w:r w:rsidRPr="00532837">
              <w:rPr>
                <w:rFonts w:ascii="Arial" w:hAnsi="Arial" w:cs="Arial"/>
                <w:sz w:val="20"/>
                <w:szCs w:val="20"/>
              </w:rPr>
              <w:t>ensuring water bodies attain ‘good water status’</w:t>
            </w:r>
          </w:p>
          <w:p w:rsidR="0053158E" w:rsidRPr="00532837" w:rsidRDefault="0053158E" w:rsidP="00FF488F">
            <w:pPr>
              <w:rPr>
                <w:rFonts w:ascii="Arial" w:hAnsi="Arial" w:cs="Arial"/>
                <w:sz w:val="20"/>
                <w:szCs w:val="20"/>
              </w:rPr>
            </w:pPr>
          </w:p>
          <w:p w:rsidR="0053158E" w:rsidRDefault="0053158E" w:rsidP="00FF488F">
            <w:pPr>
              <w:rPr>
                <w:rFonts w:ascii="Arial" w:hAnsi="Arial" w:cs="Arial"/>
                <w:sz w:val="20"/>
                <w:szCs w:val="20"/>
              </w:rPr>
            </w:pPr>
            <w:r w:rsidRPr="00532837">
              <w:rPr>
                <w:rFonts w:ascii="Arial" w:hAnsi="Arial" w:cs="Arial"/>
                <w:sz w:val="20"/>
                <w:szCs w:val="20"/>
              </w:rPr>
              <w:t>(</w:t>
            </w:r>
            <w:r w:rsidRPr="00532837">
              <w:rPr>
                <w:rFonts w:ascii="Arial" w:hAnsi="Arial" w:cs="Arial"/>
                <w:i/>
                <w:sz w:val="20"/>
                <w:szCs w:val="20"/>
              </w:rPr>
              <w:t>River Basin Management Plans</w:t>
            </w:r>
            <w:r w:rsidRPr="00532837">
              <w:rPr>
                <w:rFonts w:ascii="Arial" w:hAnsi="Arial" w:cs="Arial"/>
                <w:sz w:val="20"/>
                <w:szCs w:val="20"/>
              </w:rPr>
              <w:t>)</w:t>
            </w:r>
          </w:p>
          <w:p w:rsidR="0053158E" w:rsidRDefault="0053158E" w:rsidP="00FF488F">
            <w:pPr>
              <w:rPr>
                <w:rFonts w:ascii="Arial" w:hAnsi="Arial" w:cs="Arial"/>
                <w:sz w:val="20"/>
                <w:szCs w:val="20"/>
              </w:rPr>
            </w:pPr>
          </w:p>
          <w:p w:rsidR="0053158E" w:rsidRPr="003F0CB2" w:rsidRDefault="0053158E" w:rsidP="00FF488F">
            <w:pPr>
              <w:rPr>
                <w:rFonts w:ascii="Arial" w:hAnsi="Arial" w:cs="Arial"/>
                <w:strike/>
                <w:sz w:val="20"/>
                <w:szCs w:val="20"/>
              </w:rPr>
            </w:pPr>
          </w:p>
        </w:tc>
        <w:tc>
          <w:tcPr>
            <w:tcW w:w="3827" w:type="dxa"/>
          </w:tcPr>
          <w:p w:rsidR="0053158E" w:rsidRPr="00532837" w:rsidRDefault="0053158E" w:rsidP="00FF488F">
            <w:pPr>
              <w:rPr>
                <w:rFonts w:ascii="Arial" w:hAnsi="Arial" w:cs="Arial"/>
                <w:sz w:val="20"/>
                <w:szCs w:val="20"/>
              </w:rPr>
            </w:pPr>
            <w:r w:rsidRPr="00532837">
              <w:rPr>
                <w:rFonts w:ascii="Arial" w:hAnsi="Arial" w:cs="Arial"/>
                <w:sz w:val="20"/>
                <w:szCs w:val="20"/>
              </w:rPr>
              <w:t>Dealing with applications for waste management facilities (or flood water storage), or allocating sites in development plans. Influencing the form and location of development to manage run off, flood risk and water quality. RBMP contributed to/taken into account.</w:t>
            </w:r>
          </w:p>
        </w:tc>
      </w:tr>
      <w:tr w:rsidR="0053158E" w:rsidRPr="00532837" w:rsidTr="00FF488F">
        <w:tc>
          <w:tcPr>
            <w:tcW w:w="9322" w:type="dxa"/>
            <w:gridSpan w:val="3"/>
          </w:tcPr>
          <w:p w:rsidR="0053158E" w:rsidRPr="00532837" w:rsidRDefault="0053158E" w:rsidP="00FF488F">
            <w:pPr>
              <w:rPr>
                <w:rFonts w:ascii="Arial" w:hAnsi="Arial" w:cs="Arial"/>
                <w:b/>
                <w:sz w:val="20"/>
                <w:szCs w:val="20"/>
              </w:rPr>
            </w:pPr>
            <w:r w:rsidRPr="00DA7812">
              <w:rPr>
                <w:rFonts w:ascii="Arial" w:hAnsi="Arial" w:cs="Arial"/>
                <w:b/>
                <w:sz w:val="20"/>
                <w:szCs w:val="20"/>
              </w:rPr>
              <w:t>EU Directives with mainly procedural requirements</w:t>
            </w:r>
          </w:p>
        </w:tc>
      </w:tr>
      <w:tr w:rsidR="0053158E" w:rsidRPr="00532837" w:rsidTr="00FF488F">
        <w:tc>
          <w:tcPr>
            <w:tcW w:w="1951" w:type="dxa"/>
          </w:tcPr>
          <w:p w:rsidR="0053158E" w:rsidRPr="00532837" w:rsidRDefault="0053158E" w:rsidP="00FF488F">
            <w:pPr>
              <w:rPr>
                <w:rFonts w:ascii="Arial" w:hAnsi="Arial" w:cs="Arial"/>
                <w:sz w:val="20"/>
                <w:szCs w:val="20"/>
              </w:rPr>
            </w:pPr>
            <w:r w:rsidRPr="00DA7812">
              <w:rPr>
                <w:rFonts w:ascii="Arial" w:hAnsi="Arial" w:cs="Arial"/>
                <w:sz w:val="20"/>
                <w:szCs w:val="20"/>
              </w:rPr>
              <w:t>Environmental Impact Assessment Directive (2011/92/EU, as amended)</w:t>
            </w:r>
          </w:p>
        </w:tc>
        <w:tc>
          <w:tcPr>
            <w:tcW w:w="3544" w:type="dxa"/>
          </w:tcPr>
          <w:p w:rsidR="0053158E" w:rsidRPr="00532837" w:rsidRDefault="0053158E" w:rsidP="00FF488F">
            <w:pPr>
              <w:rPr>
                <w:rFonts w:ascii="Arial" w:hAnsi="Arial" w:cs="Arial"/>
                <w:sz w:val="20"/>
                <w:szCs w:val="20"/>
              </w:rPr>
            </w:pPr>
            <w:r w:rsidRPr="00532837">
              <w:rPr>
                <w:rFonts w:ascii="Arial" w:hAnsi="Arial" w:cs="Arial"/>
                <w:sz w:val="20"/>
                <w:szCs w:val="20"/>
              </w:rPr>
              <w:t>Directing the environmental information to be provided with an application, to ensure that its environmental effects can be properly judged, and demonstrably taking it into account in decisions</w:t>
            </w:r>
          </w:p>
        </w:tc>
        <w:tc>
          <w:tcPr>
            <w:tcW w:w="3827" w:type="dxa"/>
          </w:tcPr>
          <w:p w:rsidR="0053158E" w:rsidRPr="00532837" w:rsidRDefault="0053158E" w:rsidP="00FF488F">
            <w:pPr>
              <w:rPr>
                <w:rFonts w:ascii="Arial" w:hAnsi="Arial" w:cs="Arial"/>
                <w:sz w:val="20"/>
                <w:szCs w:val="20"/>
              </w:rPr>
            </w:pPr>
            <w:r w:rsidRPr="00532837">
              <w:rPr>
                <w:rFonts w:ascii="Arial" w:hAnsi="Arial" w:cs="Arial"/>
                <w:sz w:val="20"/>
                <w:szCs w:val="20"/>
              </w:rPr>
              <w:t>Incorporating EIA requirements into the application and decision-making process for all eligible projects.</w:t>
            </w:r>
          </w:p>
        </w:tc>
      </w:tr>
      <w:tr w:rsidR="0053158E" w:rsidRPr="00532837" w:rsidTr="00FF488F">
        <w:tc>
          <w:tcPr>
            <w:tcW w:w="1951" w:type="dxa"/>
          </w:tcPr>
          <w:p w:rsidR="0053158E" w:rsidRPr="00532837" w:rsidDel="00532837" w:rsidRDefault="0053158E" w:rsidP="00FF488F">
            <w:pPr>
              <w:rPr>
                <w:rFonts w:ascii="Arial" w:hAnsi="Arial" w:cs="Arial"/>
                <w:sz w:val="20"/>
                <w:szCs w:val="20"/>
              </w:rPr>
            </w:pPr>
            <w:r w:rsidRPr="00532837">
              <w:rPr>
                <w:rFonts w:ascii="Arial" w:hAnsi="Arial" w:cs="Arial"/>
                <w:sz w:val="20"/>
                <w:szCs w:val="20"/>
              </w:rPr>
              <w:t>Seveso III Directive (2012/18/EU)</w:t>
            </w:r>
          </w:p>
        </w:tc>
        <w:tc>
          <w:tcPr>
            <w:tcW w:w="3544" w:type="dxa"/>
          </w:tcPr>
          <w:p w:rsidR="0053158E" w:rsidRPr="00532837" w:rsidRDefault="0053158E" w:rsidP="00FF488F">
            <w:pPr>
              <w:rPr>
                <w:rFonts w:ascii="Arial" w:hAnsi="Arial" w:cs="Arial"/>
                <w:sz w:val="20"/>
                <w:szCs w:val="20"/>
              </w:rPr>
            </w:pPr>
            <w:r w:rsidRPr="00532837">
              <w:rPr>
                <w:rFonts w:ascii="Arial" w:hAnsi="Arial" w:cs="Arial"/>
                <w:sz w:val="20"/>
                <w:szCs w:val="20"/>
              </w:rPr>
              <w:t>Controlling major accident hazards involving dangerous substances</w:t>
            </w:r>
            <w:r>
              <w:rPr>
                <w:rFonts w:ascii="Arial" w:hAnsi="Arial" w:cs="Arial"/>
                <w:sz w:val="20"/>
                <w:szCs w:val="20"/>
              </w:rPr>
              <w:t xml:space="preserve"> through prevention, preparedness and response; includes public rights to information</w:t>
            </w:r>
          </w:p>
        </w:tc>
        <w:tc>
          <w:tcPr>
            <w:tcW w:w="3827" w:type="dxa"/>
          </w:tcPr>
          <w:p w:rsidR="0053158E" w:rsidRPr="00532837" w:rsidRDefault="0053158E" w:rsidP="00FF488F">
            <w:pPr>
              <w:rPr>
                <w:rFonts w:ascii="Arial" w:hAnsi="Arial" w:cs="Arial"/>
                <w:sz w:val="20"/>
                <w:szCs w:val="20"/>
              </w:rPr>
            </w:pPr>
            <w:r w:rsidRPr="00532837">
              <w:rPr>
                <w:rFonts w:ascii="Arial" w:hAnsi="Arial" w:cs="Arial"/>
                <w:sz w:val="20"/>
                <w:szCs w:val="20"/>
              </w:rPr>
              <w:t xml:space="preserve">Can affect the siting of </w:t>
            </w:r>
            <w:r>
              <w:rPr>
                <w:rFonts w:ascii="Arial" w:hAnsi="Arial" w:cs="Arial"/>
                <w:sz w:val="20"/>
                <w:szCs w:val="20"/>
              </w:rPr>
              <w:t xml:space="preserve">hazardous facilities and proximity of sensitive </w:t>
            </w:r>
            <w:r w:rsidRPr="00532837">
              <w:rPr>
                <w:rFonts w:ascii="Arial" w:hAnsi="Arial" w:cs="Arial"/>
                <w:sz w:val="20"/>
                <w:szCs w:val="20"/>
              </w:rPr>
              <w:t>development</w:t>
            </w:r>
          </w:p>
        </w:tc>
      </w:tr>
      <w:tr w:rsidR="0053158E" w:rsidRPr="00532837" w:rsidTr="00FF488F">
        <w:tc>
          <w:tcPr>
            <w:tcW w:w="1951" w:type="dxa"/>
          </w:tcPr>
          <w:p w:rsidR="0053158E" w:rsidRPr="00532837" w:rsidRDefault="0053158E" w:rsidP="00FF488F">
            <w:pPr>
              <w:rPr>
                <w:rFonts w:ascii="Arial" w:hAnsi="Arial" w:cs="Arial"/>
                <w:sz w:val="20"/>
                <w:szCs w:val="20"/>
              </w:rPr>
            </w:pPr>
            <w:r w:rsidRPr="00532837">
              <w:rPr>
                <w:rFonts w:ascii="Arial" w:hAnsi="Arial" w:cs="Arial"/>
                <w:sz w:val="20"/>
                <w:szCs w:val="20"/>
              </w:rPr>
              <w:t>Strategic Environmental Assessment Directive (2001/42/EC)</w:t>
            </w:r>
          </w:p>
        </w:tc>
        <w:tc>
          <w:tcPr>
            <w:tcW w:w="3544" w:type="dxa"/>
          </w:tcPr>
          <w:p w:rsidR="0053158E" w:rsidRPr="00532837" w:rsidRDefault="0053158E" w:rsidP="00FF488F">
            <w:pPr>
              <w:rPr>
                <w:rFonts w:ascii="Arial" w:hAnsi="Arial" w:cs="Arial"/>
                <w:sz w:val="20"/>
                <w:szCs w:val="20"/>
              </w:rPr>
            </w:pPr>
            <w:r w:rsidRPr="00532837">
              <w:rPr>
                <w:rFonts w:ascii="Arial" w:hAnsi="Arial" w:cs="Arial"/>
                <w:sz w:val="20"/>
                <w:szCs w:val="20"/>
              </w:rPr>
              <w:t xml:space="preserve">Directing the information </w:t>
            </w:r>
            <w:r>
              <w:rPr>
                <w:rFonts w:ascii="Arial" w:hAnsi="Arial" w:cs="Arial"/>
                <w:sz w:val="20"/>
                <w:szCs w:val="20"/>
              </w:rPr>
              <w:t xml:space="preserve">on significant environmental effects </w:t>
            </w:r>
            <w:r w:rsidRPr="00532837">
              <w:rPr>
                <w:rFonts w:ascii="Arial" w:hAnsi="Arial" w:cs="Arial"/>
                <w:sz w:val="20"/>
                <w:szCs w:val="20"/>
              </w:rPr>
              <w:t xml:space="preserve">to be provided alongside </w:t>
            </w:r>
            <w:r>
              <w:rPr>
                <w:rFonts w:ascii="Arial" w:hAnsi="Arial" w:cs="Arial"/>
                <w:sz w:val="20"/>
                <w:szCs w:val="20"/>
              </w:rPr>
              <w:t>relevant plans and programmes</w:t>
            </w:r>
            <w:r w:rsidRPr="00532837">
              <w:rPr>
                <w:rFonts w:ascii="Arial" w:hAnsi="Arial" w:cs="Arial"/>
                <w:sz w:val="20"/>
                <w:szCs w:val="20"/>
              </w:rPr>
              <w:t xml:space="preserve">, to ensure that </w:t>
            </w:r>
            <w:r>
              <w:rPr>
                <w:rFonts w:ascii="Arial" w:hAnsi="Arial" w:cs="Arial"/>
                <w:sz w:val="20"/>
                <w:szCs w:val="20"/>
              </w:rPr>
              <w:t>their</w:t>
            </w:r>
            <w:r w:rsidRPr="00532837">
              <w:rPr>
                <w:rFonts w:ascii="Arial" w:hAnsi="Arial" w:cs="Arial"/>
                <w:sz w:val="20"/>
                <w:szCs w:val="20"/>
              </w:rPr>
              <w:t xml:space="preserve"> environmental effects can be properly </w:t>
            </w:r>
            <w:r>
              <w:rPr>
                <w:rFonts w:ascii="Arial" w:hAnsi="Arial" w:cs="Arial"/>
                <w:sz w:val="20"/>
                <w:szCs w:val="20"/>
              </w:rPr>
              <w:t>assessed</w:t>
            </w:r>
            <w:r w:rsidRPr="00532837">
              <w:rPr>
                <w:rFonts w:ascii="Arial" w:hAnsi="Arial" w:cs="Arial"/>
                <w:sz w:val="20"/>
                <w:szCs w:val="20"/>
              </w:rPr>
              <w:t>, and demonstrably taking it into account in decisions</w:t>
            </w:r>
          </w:p>
        </w:tc>
        <w:tc>
          <w:tcPr>
            <w:tcW w:w="3827" w:type="dxa"/>
          </w:tcPr>
          <w:p w:rsidR="0053158E" w:rsidRPr="00532837" w:rsidRDefault="0053158E" w:rsidP="00FF488F">
            <w:pPr>
              <w:rPr>
                <w:rFonts w:ascii="Arial" w:hAnsi="Arial" w:cs="Arial"/>
                <w:sz w:val="20"/>
                <w:szCs w:val="20"/>
              </w:rPr>
            </w:pPr>
            <w:r w:rsidRPr="00532837">
              <w:rPr>
                <w:rFonts w:ascii="Arial" w:hAnsi="Arial" w:cs="Arial"/>
                <w:sz w:val="20"/>
                <w:szCs w:val="20"/>
              </w:rPr>
              <w:t xml:space="preserve">Incorporating </w:t>
            </w:r>
            <w:r>
              <w:rPr>
                <w:rFonts w:ascii="Arial" w:hAnsi="Arial" w:cs="Arial"/>
                <w:sz w:val="20"/>
                <w:szCs w:val="20"/>
              </w:rPr>
              <w:t>SEA requirements into the preparation</w:t>
            </w:r>
            <w:r w:rsidRPr="00532837">
              <w:rPr>
                <w:rFonts w:ascii="Arial" w:hAnsi="Arial" w:cs="Arial"/>
                <w:sz w:val="20"/>
                <w:szCs w:val="20"/>
              </w:rPr>
              <w:t xml:space="preserve"> and approval of local development plans</w:t>
            </w:r>
            <w:r>
              <w:rPr>
                <w:rFonts w:ascii="Arial" w:hAnsi="Arial" w:cs="Arial"/>
                <w:sz w:val="20"/>
                <w:szCs w:val="20"/>
              </w:rPr>
              <w:t>, and sectoral plans and programmes that set the context for project consents</w:t>
            </w:r>
          </w:p>
        </w:tc>
      </w:tr>
    </w:tbl>
    <w:p w:rsidR="0053158E" w:rsidRDefault="0053158E" w:rsidP="0053158E">
      <w:pPr>
        <w:rPr>
          <w:rFonts w:ascii="Arial" w:hAnsi="Arial" w:cs="Arial"/>
        </w:rPr>
      </w:pPr>
    </w:p>
    <w:p w:rsidR="0053158E" w:rsidRPr="003F0CB2" w:rsidRDefault="0053158E" w:rsidP="0053158E">
      <w:pPr>
        <w:rPr>
          <w:rFonts w:ascii="Arial" w:hAnsi="Arial" w:cs="Arial"/>
          <w:sz w:val="24"/>
          <w:szCs w:val="24"/>
        </w:rPr>
      </w:pPr>
      <w:r w:rsidRPr="003F0CB2">
        <w:rPr>
          <w:rFonts w:ascii="Arial" w:hAnsi="Arial" w:cs="Arial"/>
          <w:sz w:val="24"/>
          <w:szCs w:val="24"/>
        </w:rPr>
        <w:t xml:space="preserve">Source: authors; see also Wilkinson et al 1998. Note, </w:t>
      </w:r>
      <w:r>
        <w:rPr>
          <w:rFonts w:ascii="Arial" w:hAnsi="Arial" w:cs="Arial"/>
          <w:sz w:val="24"/>
          <w:szCs w:val="24"/>
        </w:rPr>
        <w:t>w</w:t>
      </w:r>
      <w:r w:rsidRPr="009051EF">
        <w:rPr>
          <w:rFonts w:ascii="Arial" w:hAnsi="Arial" w:cs="Arial"/>
          <w:sz w:val="24"/>
          <w:szCs w:val="24"/>
        </w:rPr>
        <w:t>e do not report on marine planning directives in this paper (i.e. Marine Strategy Framework Directive (2008/56/EC), The Maritime Spatial Planning Directive (2014/89/EU)) and acknowledge that there are other directives with some, albeit more limited, bearing on planning e.g. Energy Performance of Buildings Directive (2010/31/EU) and the Energy Efficiency Directive (2012/27/EU); and the Environmental Noise Directive (2002/49/EC)</w:t>
      </w:r>
      <w:r>
        <w:rPr>
          <w:rFonts w:ascii="Arial" w:hAnsi="Arial" w:cs="Arial"/>
          <w:sz w:val="24"/>
          <w:szCs w:val="24"/>
        </w:rPr>
        <w:t>.</w:t>
      </w:r>
    </w:p>
    <w:p w:rsidR="0053158E" w:rsidRDefault="0053158E" w:rsidP="003C17D4">
      <w:pPr>
        <w:ind w:left="567" w:hanging="567"/>
        <w:rPr>
          <w:rFonts w:ascii="Arial" w:eastAsia="Times New Roman" w:hAnsi="Arial" w:cs="Arial"/>
          <w:sz w:val="24"/>
          <w:szCs w:val="24"/>
          <w:lang w:eastAsia="en-GB"/>
        </w:rPr>
      </w:pPr>
    </w:p>
    <w:p w:rsidR="0053158E" w:rsidRDefault="0053158E">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53158E" w:rsidRDefault="0053158E" w:rsidP="0053158E">
      <w:pPr>
        <w:rPr>
          <w:rFonts w:ascii="Arial" w:hAnsi="Arial" w:cs="Arial"/>
          <w:b/>
        </w:rPr>
      </w:pPr>
      <w:r>
        <w:rPr>
          <w:rFonts w:ascii="Arial" w:hAnsi="Arial" w:cs="Arial"/>
          <w:b/>
        </w:rPr>
        <w:t>Table 2: Regulatory styles with EU environmental protection and UK planning</w:t>
      </w:r>
    </w:p>
    <w:p w:rsidR="0053158E" w:rsidRDefault="0053158E" w:rsidP="0053158E">
      <w:pPr>
        <w:rPr>
          <w:rFonts w:ascii="Arial" w:hAnsi="Arial" w:cs="Arial"/>
          <w:b/>
        </w:rPr>
      </w:pPr>
    </w:p>
    <w:tbl>
      <w:tblPr>
        <w:tblStyle w:val="TableGrid"/>
        <w:tblW w:w="0" w:type="auto"/>
        <w:tblLook w:val="04A0" w:firstRow="1" w:lastRow="0" w:firstColumn="1" w:lastColumn="0" w:noHBand="0" w:noVBand="1"/>
      </w:tblPr>
      <w:tblGrid>
        <w:gridCol w:w="2405"/>
        <w:gridCol w:w="4820"/>
      </w:tblGrid>
      <w:tr w:rsidR="0053158E" w:rsidTr="00FF488F">
        <w:tc>
          <w:tcPr>
            <w:tcW w:w="2405" w:type="dxa"/>
          </w:tcPr>
          <w:p w:rsidR="0053158E" w:rsidRDefault="0053158E" w:rsidP="00FF488F">
            <w:pPr>
              <w:rPr>
                <w:rFonts w:ascii="Arial" w:hAnsi="Arial" w:cs="Arial"/>
                <w:b/>
              </w:rPr>
            </w:pPr>
            <w:r>
              <w:rPr>
                <w:rFonts w:ascii="Arial" w:hAnsi="Arial" w:cs="Arial"/>
                <w:b/>
              </w:rPr>
              <w:t>Regulatory style</w:t>
            </w:r>
          </w:p>
        </w:tc>
        <w:tc>
          <w:tcPr>
            <w:tcW w:w="4820" w:type="dxa"/>
          </w:tcPr>
          <w:p w:rsidR="0053158E" w:rsidRDefault="0053158E" w:rsidP="00FF488F">
            <w:pPr>
              <w:rPr>
                <w:rFonts w:ascii="Arial" w:hAnsi="Arial" w:cs="Arial"/>
                <w:b/>
              </w:rPr>
            </w:pPr>
            <w:r>
              <w:rPr>
                <w:rFonts w:ascii="Arial" w:hAnsi="Arial" w:cs="Arial"/>
                <w:b/>
              </w:rPr>
              <w:t>Key features</w:t>
            </w:r>
          </w:p>
        </w:tc>
      </w:tr>
      <w:tr w:rsidR="0053158E" w:rsidTr="00FF488F">
        <w:tc>
          <w:tcPr>
            <w:tcW w:w="2405" w:type="dxa"/>
          </w:tcPr>
          <w:p w:rsidR="0053158E" w:rsidRPr="009C17C7" w:rsidRDefault="0053158E" w:rsidP="00FF488F">
            <w:pPr>
              <w:rPr>
                <w:rFonts w:ascii="Arial" w:hAnsi="Arial" w:cs="Arial"/>
                <w:b/>
                <w:i/>
              </w:rPr>
            </w:pPr>
            <w:r w:rsidRPr="009C17C7">
              <w:rPr>
                <w:rFonts w:ascii="Arial" w:hAnsi="Arial" w:cs="Arial"/>
                <w:b/>
                <w:i/>
              </w:rPr>
              <w:t>EU environmental protection</w:t>
            </w:r>
          </w:p>
        </w:tc>
        <w:tc>
          <w:tcPr>
            <w:tcW w:w="4820" w:type="dxa"/>
          </w:tcPr>
          <w:p w:rsidR="0053158E" w:rsidRPr="009C17C7" w:rsidRDefault="0053158E" w:rsidP="0053158E">
            <w:pPr>
              <w:pStyle w:val="ListParagraph"/>
              <w:numPr>
                <w:ilvl w:val="0"/>
                <w:numId w:val="27"/>
              </w:numPr>
              <w:ind w:left="601" w:right="176"/>
              <w:rPr>
                <w:rFonts w:ascii="Arial" w:hAnsi="Arial" w:cs="Arial"/>
              </w:rPr>
            </w:pPr>
            <w:r w:rsidRPr="009C17C7">
              <w:rPr>
                <w:rFonts w:ascii="Arial" w:hAnsi="Arial" w:cs="Arial"/>
              </w:rPr>
              <w:t>Firm substantive environmental standards and targets</w:t>
            </w:r>
          </w:p>
          <w:p w:rsidR="0053158E" w:rsidRPr="009C17C7" w:rsidRDefault="0053158E" w:rsidP="0053158E">
            <w:pPr>
              <w:pStyle w:val="ListParagraph"/>
              <w:numPr>
                <w:ilvl w:val="0"/>
                <w:numId w:val="27"/>
              </w:numPr>
              <w:ind w:left="601" w:right="176"/>
              <w:rPr>
                <w:rFonts w:ascii="Arial" w:hAnsi="Arial" w:cs="Arial"/>
              </w:rPr>
            </w:pPr>
            <w:r w:rsidRPr="009C17C7">
              <w:rPr>
                <w:rFonts w:ascii="Arial" w:hAnsi="Arial" w:cs="Arial"/>
              </w:rPr>
              <w:t>Specific time frames for implementation</w:t>
            </w:r>
          </w:p>
          <w:p w:rsidR="0053158E" w:rsidRPr="009C17C7" w:rsidRDefault="0053158E" w:rsidP="0053158E">
            <w:pPr>
              <w:pStyle w:val="ListParagraph"/>
              <w:numPr>
                <w:ilvl w:val="0"/>
                <w:numId w:val="27"/>
              </w:numPr>
              <w:ind w:left="601" w:right="176"/>
              <w:rPr>
                <w:rFonts w:ascii="Arial" w:hAnsi="Arial" w:cs="Arial"/>
              </w:rPr>
            </w:pPr>
            <w:r w:rsidRPr="009C17C7">
              <w:rPr>
                <w:rFonts w:ascii="Arial" w:hAnsi="Arial" w:cs="Arial"/>
              </w:rPr>
              <w:t>Durable over time</w:t>
            </w:r>
          </w:p>
          <w:p w:rsidR="0053158E" w:rsidRPr="009C17C7" w:rsidRDefault="0053158E" w:rsidP="0053158E">
            <w:pPr>
              <w:pStyle w:val="ListParagraph"/>
              <w:numPr>
                <w:ilvl w:val="0"/>
                <w:numId w:val="27"/>
              </w:numPr>
              <w:ind w:left="601" w:right="176"/>
              <w:rPr>
                <w:rFonts w:ascii="Arial" w:hAnsi="Arial" w:cs="Arial"/>
              </w:rPr>
            </w:pPr>
            <w:r w:rsidRPr="009C17C7">
              <w:rPr>
                <w:rFonts w:ascii="Arial" w:hAnsi="Arial" w:cs="Arial"/>
              </w:rPr>
              <w:t>Informed by environmental principles</w:t>
            </w:r>
          </w:p>
          <w:p w:rsidR="0053158E" w:rsidRPr="009C17C7" w:rsidRDefault="0053158E" w:rsidP="0053158E">
            <w:pPr>
              <w:pStyle w:val="ListParagraph"/>
              <w:numPr>
                <w:ilvl w:val="0"/>
                <w:numId w:val="27"/>
              </w:numPr>
              <w:ind w:left="601" w:right="176"/>
              <w:rPr>
                <w:rFonts w:ascii="Arial" w:hAnsi="Arial" w:cs="Arial"/>
              </w:rPr>
            </w:pPr>
            <w:r w:rsidRPr="009C17C7">
              <w:rPr>
                <w:rFonts w:ascii="Arial" w:hAnsi="Arial" w:cs="Arial"/>
              </w:rPr>
              <w:t>Robust machinery for monitoring and enforcement</w:t>
            </w:r>
          </w:p>
          <w:p w:rsidR="0053158E" w:rsidRPr="009C17C7" w:rsidRDefault="0053158E" w:rsidP="0053158E">
            <w:pPr>
              <w:pStyle w:val="ListParagraph"/>
              <w:numPr>
                <w:ilvl w:val="0"/>
                <w:numId w:val="27"/>
              </w:numPr>
              <w:ind w:left="601" w:right="176"/>
              <w:rPr>
                <w:rFonts w:ascii="Arial" w:hAnsi="Arial" w:cs="Arial"/>
              </w:rPr>
            </w:pPr>
            <w:r w:rsidRPr="009C17C7">
              <w:rPr>
                <w:rFonts w:ascii="Arial" w:hAnsi="Arial" w:cs="Arial"/>
              </w:rPr>
              <w:t>Open scope for complaints</w:t>
            </w:r>
          </w:p>
        </w:tc>
      </w:tr>
      <w:tr w:rsidR="0053158E" w:rsidTr="00FF488F">
        <w:tc>
          <w:tcPr>
            <w:tcW w:w="2405" w:type="dxa"/>
          </w:tcPr>
          <w:p w:rsidR="0053158E" w:rsidRPr="009C17C7" w:rsidRDefault="0053158E" w:rsidP="00FF488F">
            <w:pPr>
              <w:rPr>
                <w:rFonts w:ascii="Arial" w:hAnsi="Arial" w:cs="Arial"/>
                <w:b/>
                <w:i/>
              </w:rPr>
            </w:pPr>
            <w:r w:rsidRPr="009C17C7">
              <w:rPr>
                <w:rFonts w:ascii="Arial" w:hAnsi="Arial" w:cs="Arial"/>
                <w:b/>
                <w:i/>
              </w:rPr>
              <w:t>UK planning</w:t>
            </w:r>
          </w:p>
        </w:tc>
        <w:tc>
          <w:tcPr>
            <w:tcW w:w="4820" w:type="dxa"/>
          </w:tcPr>
          <w:p w:rsidR="0053158E" w:rsidRPr="009C17C7" w:rsidRDefault="0053158E" w:rsidP="0053158E">
            <w:pPr>
              <w:pStyle w:val="ListParagraph"/>
              <w:numPr>
                <w:ilvl w:val="0"/>
                <w:numId w:val="27"/>
              </w:numPr>
              <w:ind w:left="601" w:right="176"/>
              <w:rPr>
                <w:rFonts w:ascii="Arial" w:hAnsi="Arial" w:cs="Arial"/>
              </w:rPr>
            </w:pPr>
            <w:r w:rsidRPr="009C17C7">
              <w:rPr>
                <w:rFonts w:ascii="Arial" w:hAnsi="Arial" w:cs="Arial"/>
              </w:rPr>
              <w:t>Discretion and flexibility</w:t>
            </w:r>
          </w:p>
          <w:p w:rsidR="0053158E" w:rsidRPr="009C17C7" w:rsidRDefault="0053158E" w:rsidP="0053158E">
            <w:pPr>
              <w:pStyle w:val="ListParagraph"/>
              <w:numPr>
                <w:ilvl w:val="0"/>
                <w:numId w:val="27"/>
              </w:numPr>
              <w:ind w:left="601" w:right="176"/>
              <w:rPr>
                <w:rFonts w:ascii="Arial" w:hAnsi="Arial" w:cs="Arial"/>
              </w:rPr>
            </w:pPr>
            <w:r w:rsidRPr="009C17C7">
              <w:rPr>
                <w:rFonts w:ascii="Arial" w:hAnsi="Arial" w:cs="Arial"/>
              </w:rPr>
              <w:t>Balances environment against other factors</w:t>
            </w:r>
          </w:p>
          <w:p w:rsidR="0053158E" w:rsidRPr="009C17C7" w:rsidRDefault="0053158E" w:rsidP="0053158E">
            <w:pPr>
              <w:pStyle w:val="ListParagraph"/>
              <w:numPr>
                <w:ilvl w:val="0"/>
                <w:numId w:val="27"/>
              </w:numPr>
              <w:ind w:left="601" w:right="176"/>
              <w:rPr>
                <w:rFonts w:ascii="Arial" w:hAnsi="Arial" w:cs="Arial"/>
              </w:rPr>
            </w:pPr>
            <w:r w:rsidRPr="009C17C7">
              <w:rPr>
                <w:rFonts w:ascii="Arial" w:hAnsi="Arial" w:cs="Arial"/>
              </w:rPr>
              <w:t>Great scope for national governments to shift policy relatively swiftly</w:t>
            </w:r>
          </w:p>
          <w:p w:rsidR="0053158E" w:rsidRPr="009C17C7" w:rsidRDefault="0053158E" w:rsidP="0053158E">
            <w:pPr>
              <w:pStyle w:val="ListParagraph"/>
              <w:numPr>
                <w:ilvl w:val="0"/>
                <w:numId w:val="27"/>
              </w:numPr>
              <w:ind w:left="601" w:right="176"/>
              <w:rPr>
                <w:rFonts w:ascii="Arial" w:hAnsi="Arial" w:cs="Arial"/>
              </w:rPr>
            </w:pPr>
            <w:r w:rsidRPr="009C17C7">
              <w:rPr>
                <w:rFonts w:ascii="Arial" w:hAnsi="Arial" w:cs="Arial"/>
              </w:rPr>
              <w:t>Limited sense of substantive (environmental) purpose</w:t>
            </w:r>
          </w:p>
          <w:p w:rsidR="0053158E" w:rsidRPr="009C17C7" w:rsidRDefault="0053158E" w:rsidP="0053158E">
            <w:pPr>
              <w:pStyle w:val="ListParagraph"/>
              <w:numPr>
                <w:ilvl w:val="0"/>
                <w:numId w:val="27"/>
              </w:numPr>
              <w:ind w:left="601" w:right="176"/>
              <w:rPr>
                <w:rFonts w:ascii="Arial" w:hAnsi="Arial" w:cs="Arial"/>
              </w:rPr>
            </w:pPr>
            <w:r w:rsidRPr="009C17C7">
              <w:rPr>
                <w:rFonts w:ascii="Arial" w:hAnsi="Arial" w:cs="Arial"/>
              </w:rPr>
              <w:t>Limited scope for complaints, mostly on procedural grounds</w:t>
            </w:r>
          </w:p>
          <w:p w:rsidR="0053158E" w:rsidRPr="009C17C7" w:rsidRDefault="0053158E" w:rsidP="00FF488F">
            <w:pPr>
              <w:pStyle w:val="ListParagraph"/>
              <w:ind w:left="601" w:right="176"/>
              <w:rPr>
                <w:rFonts w:ascii="Arial" w:hAnsi="Arial" w:cs="Arial"/>
              </w:rPr>
            </w:pPr>
          </w:p>
        </w:tc>
      </w:tr>
    </w:tbl>
    <w:p w:rsidR="0053158E" w:rsidRDefault="0053158E" w:rsidP="0053158E">
      <w:pPr>
        <w:rPr>
          <w:rFonts w:ascii="Arial" w:hAnsi="Arial" w:cs="Arial"/>
          <w:b/>
        </w:rPr>
      </w:pPr>
    </w:p>
    <w:p w:rsidR="0053158E" w:rsidRDefault="0053158E">
      <w:pPr>
        <w:rPr>
          <w:rFonts w:ascii="Arial" w:hAnsi="Arial" w:cs="Arial"/>
          <w:b/>
        </w:rPr>
      </w:pPr>
      <w:r>
        <w:rPr>
          <w:rFonts w:ascii="Arial" w:hAnsi="Arial" w:cs="Arial"/>
          <w:b/>
        </w:rPr>
        <w:br w:type="page"/>
      </w:r>
    </w:p>
    <w:p w:rsidR="0053158E" w:rsidRPr="00400E60" w:rsidRDefault="0053158E" w:rsidP="0053158E">
      <w:pPr>
        <w:rPr>
          <w:rFonts w:ascii="Arial" w:hAnsi="Arial" w:cs="Arial"/>
          <w:b/>
          <w:sz w:val="24"/>
          <w:szCs w:val="24"/>
        </w:rPr>
      </w:pPr>
      <w:r w:rsidRPr="00400E60">
        <w:rPr>
          <w:rFonts w:ascii="Arial" w:hAnsi="Arial" w:cs="Arial"/>
          <w:b/>
          <w:sz w:val="24"/>
          <w:szCs w:val="24"/>
        </w:rPr>
        <w:t>Figure 1: Scenarios for the planning-environment interface</w:t>
      </w:r>
    </w:p>
    <w:p w:rsidR="0053158E" w:rsidRDefault="0053158E" w:rsidP="0053158E">
      <w:pPr>
        <w:rPr>
          <w:b/>
        </w:rPr>
      </w:pPr>
    </w:p>
    <w:p w:rsidR="0053158E" w:rsidRDefault="0053158E" w:rsidP="0053158E">
      <w:pPr>
        <w:rPr>
          <w:b/>
        </w:rPr>
      </w:pPr>
      <w:r>
        <w:rPr>
          <w:b/>
          <w:noProof/>
          <w:lang w:eastAsia="en-GB"/>
        </w:rPr>
        <w:drawing>
          <wp:inline distT="0" distB="0" distL="0" distR="0">
            <wp:extent cx="5511393" cy="4133850"/>
            <wp:effectExtent l="19050" t="0" r="0" b="0"/>
            <wp:docPr id="2" name="Picture 1" descr="Scenarios diagram_ ge May 2020 revis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s diagram_ ge May 2020 revised .jpg"/>
                    <pic:cNvPicPr/>
                  </pic:nvPicPr>
                  <pic:blipFill>
                    <a:blip r:embed="rId38"/>
                    <a:stretch>
                      <a:fillRect/>
                    </a:stretch>
                  </pic:blipFill>
                  <pic:spPr>
                    <a:xfrm>
                      <a:off x="0" y="0"/>
                      <a:ext cx="5515466" cy="4136905"/>
                    </a:xfrm>
                    <a:prstGeom prst="rect">
                      <a:avLst/>
                    </a:prstGeom>
                  </pic:spPr>
                </pic:pic>
              </a:graphicData>
            </a:graphic>
          </wp:inline>
        </w:drawing>
      </w:r>
    </w:p>
    <w:p w:rsidR="0053158E" w:rsidRDefault="0053158E" w:rsidP="0053158E">
      <w:pPr>
        <w:rPr>
          <w:b/>
        </w:rPr>
      </w:pPr>
    </w:p>
    <w:p w:rsidR="0053158E" w:rsidRDefault="0053158E">
      <w:pPr>
        <w:rPr>
          <w:rFonts w:ascii="Arial" w:hAnsi="Arial" w:cs="Arial"/>
          <w:b/>
        </w:rPr>
      </w:pPr>
      <w:r>
        <w:rPr>
          <w:rFonts w:ascii="Arial" w:hAnsi="Arial" w:cs="Arial"/>
          <w:b/>
        </w:rPr>
        <w:br w:type="page"/>
      </w:r>
    </w:p>
    <w:p w:rsidR="0053158E" w:rsidRDefault="0053158E" w:rsidP="0053158E"/>
    <w:p w:rsidR="0053158E" w:rsidRDefault="0053158E" w:rsidP="0053158E">
      <w:pPr>
        <w:rPr>
          <w:rFonts w:ascii="Arial" w:hAnsi="Arial" w:cs="Arial"/>
          <w:b/>
        </w:rPr>
      </w:pPr>
      <w:r w:rsidRPr="0053158E">
        <w:rPr>
          <w:rFonts w:ascii="Arial" w:hAnsi="Arial" w:cs="Arial"/>
          <w:b/>
          <w:noProof/>
        </w:rPr>
        <w:drawing>
          <wp:inline distT="0" distB="0" distL="0" distR="0">
            <wp:extent cx="5731510" cy="4298633"/>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4298633"/>
                    </a:xfrm>
                    <a:prstGeom prst="rect">
                      <a:avLst/>
                    </a:prstGeom>
                  </pic:spPr>
                </pic:pic>
              </a:graphicData>
            </a:graphic>
          </wp:inline>
        </w:drawing>
      </w:r>
    </w:p>
    <w:p w:rsidR="0053158E" w:rsidRPr="003C17D4" w:rsidRDefault="0053158E" w:rsidP="003C17D4">
      <w:pPr>
        <w:ind w:left="567" w:hanging="567"/>
        <w:rPr>
          <w:rFonts w:ascii="Arial" w:eastAsia="Times New Roman" w:hAnsi="Arial" w:cs="Arial"/>
          <w:sz w:val="24"/>
          <w:szCs w:val="24"/>
          <w:lang w:eastAsia="en-GB"/>
        </w:rPr>
      </w:pPr>
    </w:p>
    <w:p w:rsidR="00A95513" w:rsidRPr="009051EF" w:rsidRDefault="00A95513" w:rsidP="00E32DF7">
      <w:pPr>
        <w:ind w:left="567" w:hanging="567"/>
        <w:rPr>
          <w:rFonts w:ascii="Arial" w:hAnsi="Arial" w:cs="Arial"/>
          <w:sz w:val="24"/>
          <w:szCs w:val="24"/>
        </w:rPr>
      </w:pPr>
    </w:p>
    <w:p w:rsidR="00BB46C1" w:rsidRPr="0090618D" w:rsidRDefault="00BB46C1" w:rsidP="00CE7074">
      <w:pPr>
        <w:rPr>
          <w:rFonts w:ascii="Arial" w:hAnsi="Arial" w:cs="Arial"/>
          <w:sz w:val="24"/>
          <w:szCs w:val="24"/>
        </w:rPr>
      </w:pPr>
    </w:p>
    <w:sectPr w:rsidR="00BB46C1" w:rsidRPr="0090618D" w:rsidSect="00BF271E">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89C" w:rsidRDefault="0072289C" w:rsidP="00ED49FF">
      <w:pPr>
        <w:spacing w:line="240" w:lineRule="auto"/>
      </w:pPr>
      <w:r>
        <w:separator/>
      </w:r>
    </w:p>
  </w:endnote>
  <w:endnote w:type="continuationSeparator" w:id="0">
    <w:p w:rsidR="0072289C" w:rsidRDefault="0072289C" w:rsidP="00ED4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45013"/>
      <w:docPartObj>
        <w:docPartGallery w:val="Page Numbers (Bottom of Page)"/>
        <w:docPartUnique/>
      </w:docPartObj>
    </w:sdtPr>
    <w:sdtEndPr>
      <w:rPr>
        <w:noProof/>
      </w:rPr>
    </w:sdtEndPr>
    <w:sdtContent>
      <w:p w:rsidR="00317109" w:rsidRDefault="0099708C" w:rsidP="004C19BE">
        <w:pPr>
          <w:pStyle w:val="Footer"/>
          <w:jc w:val="right"/>
        </w:pPr>
        <w:r>
          <w:rPr>
            <w:noProof/>
          </w:rPr>
          <w:fldChar w:fldCharType="begin"/>
        </w:r>
        <w:r w:rsidR="00317109">
          <w:rPr>
            <w:noProof/>
          </w:rPr>
          <w:instrText xml:space="preserve"> PAGE   \* MERGEFORMAT </w:instrText>
        </w:r>
        <w:r>
          <w:rPr>
            <w:noProof/>
          </w:rPr>
          <w:fldChar w:fldCharType="separate"/>
        </w:r>
        <w:r w:rsidR="0053158E">
          <w:rPr>
            <w:noProof/>
          </w:rPr>
          <w:t>31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89C" w:rsidRDefault="0072289C" w:rsidP="00ED49FF">
      <w:pPr>
        <w:spacing w:line="240" w:lineRule="auto"/>
      </w:pPr>
      <w:r>
        <w:separator/>
      </w:r>
    </w:p>
  </w:footnote>
  <w:footnote w:type="continuationSeparator" w:id="0">
    <w:p w:rsidR="0072289C" w:rsidRDefault="0072289C" w:rsidP="00ED49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20E"/>
    <w:multiLevelType w:val="hybridMultilevel"/>
    <w:tmpl w:val="BDC2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F4D8E"/>
    <w:multiLevelType w:val="hybridMultilevel"/>
    <w:tmpl w:val="E7E2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16CB1"/>
    <w:multiLevelType w:val="hybridMultilevel"/>
    <w:tmpl w:val="3846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22C6"/>
    <w:multiLevelType w:val="hybridMultilevel"/>
    <w:tmpl w:val="5E1E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6601D"/>
    <w:multiLevelType w:val="hybridMultilevel"/>
    <w:tmpl w:val="ED60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B6F10"/>
    <w:multiLevelType w:val="hybridMultilevel"/>
    <w:tmpl w:val="2DC4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41A4B"/>
    <w:multiLevelType w:val="hybridMultilevel"/>
    <w:tmpl w:val="6F36EFCC"/>
    <w:lvl w:ilvl="0" w:tplc="11C28C52">
      <w:start w:val="1"/>
      <w:numFmt w:val="decimal"/>
      <w:lvlText w:val="%1."/>
      <w:lvlJc w:val="left"/>
      <w:pPr>
        <w:ind w:left="502" w:hanging="360"/>
      </w:pPr>
      <w:rPr>
        <w:i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FF4EC4"/>
    <w:multiLevelType w:val="hybridMultilevel"/>
    <w:tmpl w:val="F528979A"/>
    <w:lvl w:ilvl="0" w:tplc="5854DF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537A0"/>
    <w:multiLevelType w:val="hybridMultilevel"/>
    <w:tmpl w:val="5C60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B0256"/>
    <w:multiLevelType w:val="hybridMultilevel"/>
    <w:tmpl w:val="B9C8E26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A4F633E"/>
    <w:multiLevelType w:val="hybridMultilevel"/>
    <w:tmpl w:val="0FD8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92C1C"/>
    <w:multiLevelType w:val="hybridMultilevel"/>
    <w:tmpl w:val="B4E43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43455"/>
    <w:multiLevelType w:val="hybridMultilevel"/>
    <w:tmpl w:val="AB66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43C09"/>
    <w:multiLevelType w:val="multilevel"/>
    <w:tmpl w:val="C44A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C4BE7"/>
    <w:multiLevelType w:val="hybridMultilevel"/>
    <w:tmpl w:val="603E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44320"/>
    <w:multiLevelType w:val="hybridMultilevel"/>
    <w:tmpl w:val="C1BC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D098B"/>
    <w:multiLevelType w:val="hybridMultilevel"/>
    <w:tmpl w:val="B896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022DC"/>
    <w:multiLevelType w:val="hybridMultilevel"/>
    <w:tmpl w:val="15A6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1503A"/>
    <w:multiLevelType w:val="hybridMultilevel"/>
    <w:tmpl w:val="119C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62A7A"/>
    <w:multiLevelType w:val="hybridMultilevel"/>
    <w:tmpl w:val="AEFA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B1E27"/>
    <w:multiLevelType w:val="hybridMultilevel"/>
    <w:tmpl w:val="E3E0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F1B1F"/>
    <w:multiLevelType w:val="hybridMultilevel"/>
    <w:tmpl w:val="305E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D101B"/>
    <w:multiLevelType w:val="hybridMultilevel"/>
    <w:tmpl w:val="11B0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46ABC"/>
    <w:multiLevelType w:val="hybridMultilevel"/>
    <w:tmpl w:val="D886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F2F3A"/>
    <w:multiLevelType w:val="hybridMultilevel"/>
    <w:tmpl w:val="116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640EC"/>
    <w:multiLevelType w:val="hybridMultilevel"/>
    <w:tmpl w:val="B18CE12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750F111F"/>
    <w:multiLevelType w:val="hybridMultilevel"/>
    <w:tmpl w:val="2A6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43594D"/>
    <w:multiLevelType w:val="hybridMultilevel"/>
    <w:tmpl w:val="3A66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4"/>
  </w:num>
  <w:num w:numId="5">
    <w:abstractNumId w:val="19"/>
  </w:num>
  <w:num w:numId="6">
    <w:abstractNumId w:val="22"/>
  </w:num>
  <w:num w:numId="7">
    <w:abstractNumId w:val="17"/>
  </w:num>
  <w:num w:numId="8">
    <w:abstractNumId w:val="27"/>
  </w:num>
  <w:num w:numId="9">
    <w:abstractNumId w:val="10"/>
  </w:num>
  <w:num w:numId="10">
    <w:abstractNumId w:val="25"/>
  </w:num>
  <w:num w:numId="11">
    <w:abstractNumId w:val="3"/>
  </w:num>
  <w:num w:numId="12">
    <w:abstractNumId w:val="24"/>
  </w:num>
  <w:num w:numId="13">
    <w:abstractNumId w:val="23"/>
  </w:num>
  <w:num w:numId="14">
    <w:abstractNumId w:val="12"/>
  </w:num>
  <w:num w:numId="15">
    <w:abstractNumId w:val="21"/>
  </w:num>
  <w:num w:numId="16">
    <w:abstractNumId w:val="5"/>
  </w:num>
  <w:num w:numId="17">
    <w:abstractNumId w:val="15"/>
  </w:num>
  <w:num w:numId="18">
    <w:abstractNumId w:val="26"/>
  </w:num>
  <w:num w:numId="19">
    <w:abstractNumId w:val="11"/>
  </w:num>
  <w:num w:numId="20">
    <w:abstractNumId w:val="14"/>
  </w:num>
  <w:num w:numId="21">
    <w:abstractNumId w:val="20"/>
  </w:num>
  <w:num w:numId="22">
    <w:abstractNumId w:val="16"/>
  </w:num>
  <w:num w:numId="23">
    <w:abstractNumId w:val="6"/>
  </w:num>
  <w:num w:numId="24">
    <w:abstractNumId w:val="7"/>
  </w:num>
  <w:num w:numId="25">
    <w:abstractNumId w:val="9"/>
  </w:num>
  <w:num w:numId="26">
    <w:abstractNumId w:val="8"/>
  </w:num>
  <w:num w:numId="27">
    <w:abstractNumId w:val="0"/>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kes, Olivier">
    <w15:presenceInfo w15:providerId="AD" w15:userId="S-1-5-21-137024685-2204166116-4157399963-88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80"/>
    <w:rsid w:val="000010AB"/>
    <w:rsid w:val="00004C07"/>
    <w:rsid w:val="00005AC6"/>
    <w:rsid w:val="0000641A"/>
    <w:rsid w:val="00006EAB"/>
    <w:rsid w:val="00013822"/>
    <w:rsid w:val="00013DC0"/>
    <w:rsid w:val="0002090E"/>
    <w:rsid w:val="00021930"/>
    <w:rsid w:val="00021D3B"/>
    <w:rsid w:val="00022398"/>
    <w:rsid w:val="0002258E"/>
    <w:rsid w:val="00023C9E"/>
    <w:rsid w:val="000246DB"/>
    <w:rsid w:val="0002548B"/>
    <w:rsid w:val="00025EB8"/>
    <w:rsid w:val="00030E66"/>
    <w:rsid w:val="00030F59"/>
    <w:rsid w:val="000314CB"/>
    <w:rsid w:val="000447D8"/>
    <w:rsid w:val="00046960"/>
    <w:rsid w:val="00046BED"/>
    <w:rsid w:val="00047226"/>
    <w:rsid w:val="00050DF2"/>
    <w:rsid w:val="00053F79"/>
    <w:rsid w:val="00053FFE"/>
    <w:rsid w:val="00055E09"/>
    <w:rsid w:val="000629B6"/>
    <w:rsid w:val="00067FF7"/>
    <w:rsid w:val="00072346"/>
    <w:rsid w:val="000747A0"/>
    <w:rsid w:val="000762C0"/>
    <w:rsid w:val="00077974"/>
    <w:rsid w:val="00080DE8"/>
    <w:rsid w:val="00090A5C"/>
    <w:rsid w:val="000919C1"/>
    <w:rsid w:val="0009203C"/>
    <w:rsid w:val="00096CC4"/>
    <w:rsid w:val="000972F2"/>
    <w:rsid w:val="00097B71"/>
    <w:rsid w:val="000A112F"/>
    <w:rsid w:val="000A2CA1"/>
    <w:rsid w:val="000A4D8F"/>
    <w:rsid w:val="000A6F7A"/>
    <w:rsid w:val="000B404F"/>
    <w:rsid w:val="000C14B2"/>
    <w:rsid w:val="000C4460"/>
    <w:rsid w:val="000C68A0"/>
    <w:rsid w:val="000C6F72"/>
    <w:rsid w:val="000C705E"/>
    <w:rsid w:val="000D0D92"/>
    <w:rsid w:val="000D0DA3"/>
    <w:rsid w:val="000D268F"/>
    <w:rsid w:val="000E0C37"/>
    <w:rsid w:val="000E3C7A"/>
    <w:rsid w:val="000F0791"/>
    <w:rsid w:val="000F19A9"/>
    <w:rsid w:val="000F2605"/>
    <w:rsid w:val="000F6485"/>
    <w:rsid w:val="001047A4"/>
    <w:rsid w:val="00106440"/>
    <w:rsid w:val="00115178"/>
    <w:rsid w:val="0012067C"/>
    <w:rsid w:val="00121979"/>
    <w:rsid w:val="001229B3"/>
    <w:rsid w:val="00130288"/>
    <w:rsid w:val="001311FE"/>
    <w:rsid w:val="00131672"/>
    <w:rsid w:val="001318A9"/>
    <w:rsid w:val="00134FA3"/>
    <w:rsid w:val="001416EE"/>
    <w:rsid w:val="00141F23"/>
    <w:rsid w:val="00142340"/>
    <w:rsid w:val="0015173E"/>
    <w:rsid w:val="001527BE"/>
    <w:rsid w:val="00156103"/>
    <w:rsid w:val="0016009F"/>
    <w:rsid w:val="00162098"/>
    <w:rsid w:val="001630E7"/>
    <w:rsid w:val="00164E3E"/>
    <w:rsid w:val="001665D4"/>
    <w:rsid w:val="001668D1"/>
    <w:rsid w:val="001748C4"/>
    <w:rsid w:val="00175311"/>
    <w:rsid w:val="00175B7A"/>
    <w:rsid w:val="00175DDB"/>
    <w:rsid w:val="00176C6A"/>
    <w:rsid w:val="00183EAD"/>
    <w:rsid w:val="00186142"/>
    <w:rsid w:val="00186673"/>
    <w:rsid w:val="001872DA"/>
    <w:rsid w:val="00187DEF"/>
    <w:rsid w:val="001908DA"/>
    <w:rsid w:val="00193B00"/>
    <w:rsid w:val="001A56E6"/>
    <w:rsid w:val="001A5E07"/>
    <w:rsid w:val="001A7792"/>
    <w:rsid w:val="001A7830"/>
    <w:rsid w:val="001B033D"/>
    <w:rsid w:val="001B1333"/>
    <w:rsid w:val="001B492F"/>
    <w:rsid w:val="001B7442"/>
    <w:rsid w:val="001B758E"/>
    <w:rsid w:val="001C05D7"/>
    <w:rsid w:val="001C37D0"/>
    <w:rsid w:val="001C5392"/>
    <w:rsid w:val="001C57CB"/>
    <w:rsid w:val="001C5D87"/>
    <w:rsid w:val="001D3C1F"/>
    <w:rsid w:val="001D524D"/>
    <w:rsid w:val="001E3157"/>
    <w:rsid w:val="001E400D"/>
    <w:rsid w:val="001E41A8"/>
    <w:rsid w:val="001E4A09"/>
    <w:rsid w:val="001E5D46"/>
    <w:rsid w:val="001E7BE9"/>
    <w:rsid w:val="001E7C75"/>
    <w:rsid w:val="001F64BC"/>
    <w:rsid w:val="00201AB0"/>
    <w:rsid w:val="00203692"/>
    <w:rsid w:val="002057E0"/>
    <w:rsid w:val="002068E7"/>
    <w:rsid w:val="00206AFA"/>
    <w:rsid w:val="002108DE"/>
    <w:rsid w:val="00220D33"/>
    <w:rsid w:val="0022149D"/>
    <w:rsid w:val="002215ED"/>
    <w:rsid w:val="00223FDC"/>
    <w:rsid w:val="002245D1"/>
    <w:rsid w:val="00226F30"/>
    <w:rsid w:val="00230380"/>
    <w:rsid w:val="00233C9A"/>
    <w:rsid w:val="00233E47"/>
    <w:rsid w:val="00234DBD"/>
    <w:rsid w:val="00240AE8"/>
    <w:rsid w:val="00241F3D"/>
    <w:rsid w:val="00243826"/>
    <w:rsid w:val="00246123"/>
    <w:rsid w:val="0024703B"/>
    <w:rsid w:val="00247F55"/>
    <w:rsid w:val="00256EE9"/>
    <w:rsid w:val="0026046D"/>
    <w:rsid w:val="00260B74"/>
    <w:rsid w:val="00263FF1"/>
    <w:rsid w:val="002650B7"/>
    <w:rsid w:val="0026534B"/>
    <w:rsid w:val="00266003"/>
    <w:rsid w:val="00266A11"/>
    <w:rsid w:val="0027465E"/>
    <w:rsid w:val="00276332"/>
    <w:rsid w:val="00280974"/>
    <w:rsid w:val="00284A58"/>
    <w:rsid w:val="00284FDF"/>
    <w:rsid w:val="002859DA"/>
    <w:rsid w:val="00287DFF"/>
    <w:rsid w:val="00292D21"/>
    <w:rsid w:val="002964F7"/>
    <w:rsid w:val="002A38A7"/>
    <w:rsid w:val="002A5771"/>
    <w:rsid w:val="002A6B66"/>
    <w:rsid w:val="002A7976"/>
    <w:rsid w:val="002B1198"/>
    <w:rsid w:val="002B382E"/>
    <w:rsid w:val="002B497C"/>
    <w:rsid w:val="002B54F3"/>
    <w:rsid w:val="002C073D"/>
    <w:rsid w:val="002C29DE"/>
    <w:rsid w:val="002C4444"/>
    <w:rsid w:val="002D119E"/>
    <w:rsid w:val="002D11D2"/>
    <w:rsid w:val="002D4981"/>
    <w:rsid w:val="002D7A7B"/>
    <w:rsid w:val="002E0955"/>
    <w:rsid w:val="002E0C5B"/>
    <w:rsid w:val="002E0F62"/>
    <w:rsid w:val="002E3F8F"/>
    <w:rsid w:val="002E45FC"/>
    <w:rsid w:val="002F4132"/>
    <w:rsid w:val="002F5BF7"/>
    <w:rsid w:val="002F60C7"/>
    <w:rsid w:val="003012F5"/>
    <w:rsid w:val="0030497D"/>
    <w:rsid w:val="003055C5"/>
    <w:rsid w:val="003107BD"/>
    <w:rsid w:val="0031144E"/>
    <w:rsid w:val="00312391"/>
    <w:rsid w:val="00317109"/>
    <w:rsid w:val="00324464"/>
    <w:rsid w:val="00324A7C"/>
    <w:rsid w:val="003279DD"/>
    <w:rsid w:val="003305A0"/>
    <w:rsid w:val="003315FD"/>
    <w:rsid w:val="00334CC9"/>
    <w:rsid w:val="00342774"/>
    <w:rsid w:val="00342A9A"/>
    <w:rsid w:val="00352F3F"/>
    <w:rsid w:val="003553E6"/>
    <w:rsid w:val="00361EDE"/>
    <w:rsid w:val="0036360D"/>
    <w:rsid w:val="00364311"/>
    <w:rsid w:val="003726CE"/>
    <w:rsid w:val="003727C7"/>
    <w:rsid w:val="00373DAC"/>
    <w:rsid w:val="003767E1"/>
    <w:rsid w:val="00376BA8"/>
    <w:rsid w:val="00377E44"/>
    <w:rsid w:val="00380108"/>
    <w:rsid w:val="003823D8"/>
    <w:rsid w:val="00383255"/>
    <w:rsid w:val="0038408C"/>
    <w:rsid w:val="003840A1"/>
    <w:rsid w:val="0038625F"/>
    <w:rsid w:val="00386C69"/>
    <w:rsid w:val="00390C30"/>
    <w:rsid w:val="003977BE"/>
    <w:rsid w:val="003A3038"/>
    <w:rsid w:val="003A5B0D"/>
    <w:rsid w:val="003A67B7"/>
    <w:rsid w:val="003A6E65"/>
    <w:rsid w:val="003B0B47"/>
    <w:rsid w:val="003B0E69"/>
    <w:rsid w:val="003B35F0"/>
    <w:rsid w:val="003B3937"/>
    <w:rsid w:val="003C11BB"/>
    <w:rsid w:val="003C17D4"/>
    <w:rsid w:val="003C2C48"/>
    <w:rsid w:val="003C4CC2"/>
    <w:rsid w:val="003C52D0"/>
    <w:rsid w:val="003D0F7B"/>
    <w:rsid w:val="003D193D"/>
    <w:rsid w:val="003D2749"/>
    <w:rsid w:val="003D3269"/>
    <w:rsid w:val="003E0684"/>
    <w:rsid w:val="003E087C"/>
    <w:rsid w:val="003E0E60"/>
    <w:rsid w:val="003E1A20"/>
    <w:rsid w:val="003E6E06"/>
    <w:rsid w:val="003F3071"/>
    <w:rsid w:val="00400D09"/>
    <w:rsid w:val="00403B73"/>
    <w:rsid w:val="00405E5A"/>
    <w:rsid w:val="00410323"/>
    <w:rsid w:val="00411097"/>
    <w:rsid w:val="00412E0E"/>
    <w:rsid w:val="004220BB"/>
    <w:rsid w:val="00431203"/>
    <w:rsid w:val="004346FF"/>
    <w:rsid w:val="004373C9"/>
    <w:rsid w:val="004376C0"/>
    <w:rsid w:val="00440256"/>
    <w:rsid w:val="004407FE"/>
    <w:rsid w:val="00441631"/>
    <w:rsid w:val="00443B83"/>
    <w:rsid w:val="00443F16"/>
    <w:rsid w:val="00444248"/>
    <w:rsid w:val="00445977"/>
    <w:rsid w:val="004475F0"/>
    <w:rsid w:val="00452EE1"/>
    <w:rsid w:val="00453F28"/>
    <w:rsid w:val="004542B3"/>
    <w:rsid w:val="0045445F"/>
    <w:rsid w:val="004628C0"/>
    <w:rsid w:val="00464C88"/>
    <w:rsid w:val="00465D2F"/>
    <w:rsid w:val="004718A7"/>
    <w:rsid w:val="00473F49"/>
    <w:rsid w:val="00475350"/>
    <w:rsid w:val="00475D79"/>
    <w:rsid w:val="00477503"/>
    <w:rsid w:val="004808DF"/>
    <w:rsid w:val="004824A1"/>
    <w:rsid w:val="0048464B"/>
    <w:rsid w:val="004858A9"/>
    <w:rsid w:val="00485BA2"/>
    <w:rsid w:val="00487B7B"/>
    <w:rsid w:val="00492CF7"/>
    <w:rsid w:val="00493407"/>
    <w:rsid w:val="00495F25"/>
    <w:rsid w:val="00496E92"/>
    <w:rsid w:val="00496FA1"/>
    <w:rsid w:val="004974F6"/>
    <w:rsid w:val="004B0B93"/>
    <w:rsid w:val="004B0F52"/>
    <w:rsid w:val="004B1160"/>
    <w:rsid w:val="004B42D1"/>
    <w:rsid w:val="004B679C"/>
    <w:rsid w:val="004B7AAA"/>
    <w:rsid w:val="004C13E9"/>
    <w:rsid w:val="004C19BE"/>
    <w:rsid w:val="004C638D"/>
    <w:rsid w:val="004C6798"/>
    <w:rsid w:val="004D220B"/>
    <w:rsid w:val="004D38BD"/>
    <w:rsid w:val="004D3AE5"/>
    <w:rsid w:val="004D46C6"/>
    <w:rsid w:val="004D6061"/>
    <w:rsid w:val="004D6149"/>
    <w:rsid w:val="004D790B"/>
    <w:rsid w:val="004E4728"/>
    <w:rsid w:val="004E79CD"/>
    <w:rsid w:val="004F076E"/>
    <w:rsid w:val="004F0BD6"/>
    <w:rsid w:val="004F2DB1"/>
    <w:rsid w:val="004F5790"/>
    <w:rsid w:val="004F77EE"/>
    <w:rsid w:val="00502AE9"/>
    <w:rsid w:val="00513434"/>
    <w:rsid w:val="00516A6E"/>
    <w:rsid w:val="00523FD0"/>
    <w:rsid w:val="00526059"/>
    <w:rsid w:val="00527AAC"/>
    <w:rsid w:val="0053158E"/>
    <w:rsid w:val="00532837"/>
    <w:rsid w:val="00532D48"/>
    <w:rsid w:val="00535448"/>
    <w:rsid w:val="00541B41"/>
    <w:rsid w:val="0054316F"/>
    <w:rsid w:val="00543236"/>
    <w:rsid w:val="00543BDF"/>
    <w:rsid w:val="00545C11"/>
    <w:rsid w:val="00545E9D"/>
    <w:rsid w:val="0055464E"/>
    <w:rsid w:val="0055709E"/>
    <w:rsid w:val="00557CDF"/>
    <w:rsid w:val="00561D82"/>
    <w:rsid w:val="00562702"/>
    <w:rsid w:val="005627E7"/>
    <w:rsid w:val="00571C25"/>
    <w:rsid w:val="005722BF"/>
    <w:rsid w:val="00581F4E"/>
    <w:rsid w:val="005847AE"/>
    <w:rsid w:val="00591E16"/>
    <w:rsid w:val="0059239C"/>
    <w:rsid w:val="00592849"/>
    <w:rsid w:val="005A0F0C"/>
    <w:rsid w:val="005A27F9"/>
    <w:rsid w:val="005A4FE3"/>
    <w:rsid w:val="005B2610"/>
    <w:rsid w:val="005B5C74"/>
    <w:rsid w:val="005B7184"/>
    <w:rsid w:val="005C411A"/>
    <w:rsid w:val="005C5D04"/>
    <w:rsid w:val="005D11B5"/>
    <w:rsid w:val="005D22F9"/>
    <w:rsid w:val="005D2875"/>
    <w:rsid w:val="005D2D6D"/>
    <w:rsid w:val="005D51BD"/>
    <w:rsid w:val="005D5BDB"/>
    <w:rsid w:val="005D6F62"/>
    <w:rsid w:val="005E1ED8"/>
    <w:rsid w:val="005E34A0"/>
    <w:rsid w:val="005E3979"/>
    <w:rsid w:val="005E4EFC"/>
    <w:rsid w:val="005F0F64"/>
    <w:rsid w:val="005F109B"/>
    <w:rsid w:val="005F26FD"/>
    <w:rsid w:val="005F57A7"/>
    <w:rsid w:val="006006A2"/>
    <w:rsid w:val="0060106B"/>
    <w:rsid w:val="00606C0A"/>
    <w:rsid w:val="00607BD1"/>
    <w:rsid w:val="00607FD8"/>
    <w:rsid w:val="00610CEB"/>
    <w:rsid w:val="00611B9C"/>
    <w:rsid w:val="00612CAF"/>
    <w:rsid w:val="00620553"/>
    <w:rsid w:val="0062061D"/>
    <w:rsid w:val="00622268"/>
    <w:rsid w:val="0062238C"/>
    <w:rsid w:val="00625055"/>
    <w:rsid w:val="00626F05"/>
    <w:rsid w:val="00631C04"/>
    <w:rsid w:val="006404E2"/>
    <w:rsid w:val="006406BB"/>
    <w:rsid w:val="00652FA1"/>
    <w:rsid w:val="00655F71"/>
    <w:rsid w:val="00656A44"/>
    <w:rsid w:val="006570CC"/>
    <w:rsid w:val="00660A91"/>
    <w:rsid w:val="00662DB0"/>
    <w:rsid w:val="0066614E"/>
    <w:rsid w:val="00672FD6"/>
    <w:rsid w:val="006754E2"/>
    <w:rsid w:val="006803EC"/>
    <w:rsid w:val="00682BEC"/>
    <w:rsid w:val="00683A42"/>
    <w:rsid w:val="00683BF5"/>
    <w:rsid w:val="00684B2B"/>
    <w:rsid w:val="00690B8F"/>
    <w:rsid w:val="00692329"/>
    <w:rsid w:val="00693818"/>
    <w:rsid w:val="00693862"/>
    <w:rsid w:val="006949F4"/>
    <w:rsid w:val="00694E3F"/>
    <w:rsid w:val="006967B0"/>
    <w:rsid w:val="00697424"/>
    <w:rsid w:val="006A13E5"/>
    <w:rsid w:val="006A21EE"/>
    <w:rsid w:val="006A6B9D"/>
    <w:rsid w:val="006A78D4"/>
    <w:rsid w:val="006B1BAA"/>
    <w:rsid w:val="006B4998"/>
    <w:rsid w:val="006B549D"/>
    <w:rsid w:val="006B6F80"/>
    <w:rsid w:val="006C3704"/>
    <w:rsid w:val="006C67B6"/>
    <w:rsid w:val="006C70A5"/>
    <w:rsid w:val="006D2912"/>
    <w:rsid w:val="006D3B40"/>
    <w:rsid w:val="006D78F3"/>
    <w:rsid w:val="006E06AB"/>
    <w:rsid w:val="006E30C5"/>
    <w:rsid w:val="006E5D1F"/>
    <w:rsid w:val="006E7A7D"/>
    <w:rsid w:val="006F2A98"/>
    <w:rsid w:val="006F5665"/>
    <w:rsid w:val="007006D2"/>
    <w:rsid w:val="00702B6F"/>
    <w:rsid w:val="0070345C"/>
    <w:rsid w:val="0070444B"/>
    <w:rsid w:val="0070643F"/>
    <w:rsid w:val="007102F1"/>
    <w:rsid w:val="007109B7"/>
    <w:rsid w:val="007136DD"/>
    <w:rsid w:val="0071404B"/>
    <w:rsid w:val="00714E12"/>
    <w:rsid w:val="00721E22"/>
    <w:rsid w:val="007225E5"/>
    <w:rsid w:val="0072289C"/>
    <w:rsid w:val="00723029"/>
    <w:rsid w:val="00730331"/>
    <w:rsid w:val="00731E81"/>
    <w:rsid w:val="00735480"/>
    <w:rsid w:val="00736259"/>
    <w:rsid w:val="00736969"/>
    <w:rsid w:val="00737A20"/>
    <w:rsid w:val="007401EE"/>
    <w:rsid w:val="007417CB"/>
    <w:rsid w:val="00741BE9"/>
    <w:rsid w:val="007422A4"/>
    <w:rsid w:val="0074695A"/>
    <w:rsid w:val="00747B67"/>
    <w:rsid w:val="00756507"/>
    <w:rsid w:val="00756A5E"/>
    <w:rsid w:val="00760B4D"/>
    <w:rsid w:val="007658A4"/>
    <w:rsid w:val="00766F89"/>
    <w:rsid w:val="007679C5"/>
    <w:rsid w:val="007709BC"/>
    <w:rsid w:val="00772AD9"/>
    <w:rsid w:val="00772F95"/>
    <w:rsid w:val="007744A7"/>
    <w:rsid w:val="00777403"/>
    <w:rsid w:val="00780870"/>
    <w:rsid w:val="0078163E"/>
    <w:rsid w:val="00791569"/>
    <w:rsid w:val="00792690"/>
    <w:rsid w:val="0079359C"/>
    <w:rsid w:val="0079708D"/>
    <w:rsid w:val="00797495"/>
    <w:rsid w:val="007A04A6"/>
    <w:rsid w:val="007A468D"/>
    <w:rsid w:val="007B4618"/>
    <w:rsid w:val="007B66B5"/>
    <w:rsid w:val="007B78B0"/>
    <w:rsid w:val="007C0675"/>
    <w:rsid w:val="007C0D68"/>
    <w:rsid w:val="007C14F1"/>
    <w:rsid w:val="007C338B"/>
    <w:rsid w:val="007C355C"/>
    <w:rsid w:val="007C417F"/>
    <w:rsid w:val="007C57E4"/>
    <w:rsid w:val="007C654E"/>
    <w:rsid w:val="007D013B"/>
    <w:rsid w:val="007D1C0B"/>
    <w:rsid w:val="007D2992"/>
    <w:rsid w:val="007D41EE"/>
    <w:rsid w:val="007D43B5"/>
    <w:rsid w:val="007D4FE1"/>
    <w:rsid w:val="007D732F"/>
    <w:rsid w:val="007D781B"/>
    <w:rsid w:val="007D7E44"/>
    <w:rsid w:val="007E3F83"/>
    <w:rsid w:val="007E6922"/>
    <w:rsid w:val="007E7D61"/>
    <w:rsid w:val="007E7D7E"/>
    <w:rsid w:val="007E7F9B"/>
    <w:rsid w:val="007F3014"/>
    <w:rsid w:val="007F3ABF"/>
    <w:rsid w:val="007F7224"/>
    <w:rsid w:val="00800FA1"/>
    <w:rsid w:val="008021EF"/>
    <w:rsid w:val="008123FF"/>
    <w:rsid w:val="00813169"/>
    <w:rsid w:val="008134A3"/>
    <w:rsid w:val="00814462"/>
    <w:rsid w:val="0081713B"/>
    <w:rsid w:val="00817CA5"/>
    <w:rsid w:val="00820801"/>
    <w:rsid w:val="00822CF2"/>
    <w:rsid w:val="00825392"/>
    <w:rsid w:val="00826422"/>
    <w:rsid w:val="00827E9C"/>
    <w:rsid w:val="00830DA5"/>
    <w:rsid w:val="008323B4"/>
    <w:rsid w:val="00834691"/>
    <w:rsid w:val="00844358"/>
    <w:rsid w:val="00845D80"/>
    <w:rsid w:val="0084658F"/>
    <w:rsid w:val="00851C49"/>
    <w:rsid w:val="00855961"/>
    <w:rsid w:val="008621C2"/>
    <w:rsid w:val="008657F4"/>
    <w:rsid w:val="00865FE9"/>
    <w:rsid w:val="0087045B"/>
    <w:rsid w:val="00881684"/>
    <w:rsid w:val="00884602"/>
    <w:rsid w:val="00885311"/>
    <w:rsid w:val="00885C84"/>
    <w:rsid w:val="00891CB3"/>
    <w:rsid w:val="008934E7"/>
    <w:rsid w:val="00893A5A"/>
    <w:rsid w:val="008A286B"/>
    <w:rsid w:val="008A3AEE"/>
    <w:rsid w:val="008A3F06"/>
    <w:rsid w:val="008A6F0E"/>
    <w:rsid w:val="008B1768"/>
    <w:rsid w:val="008B51C2"/>
    <w:rsid w:val="008B6F20"/>
    <w:rsid w:val="008C138C"/>
    <w:rsid w:val="008C680B"/>
    <w:rsid w:val="008D36EC"/>
    <w:rsid w:val="008D6054"/>
    <w:rsid w:val="008E1C95"/>
    <w:rsid w:val="008E4AD0"/>
    <w:rsid w:val="008E7149"/>
    <w:rsid w:val="008F0ED1"/>
    <w:rsid w:val="008F4320"/>
    <w:rsid w:val="008F4BBA"/>
    <w:rsid w:val="008F738C"/>
    <w:rsid w:val="009044C3"/>
    <w:rsid w:val="009051EF"/>
    <w:rsid w:val="0090618D"/>
    <w:rsid w:val="00906457"/>
    <w:rsid w:val="00906EA3"/>
    <w:rsid w:val="00912298"/>
    <w:rsid w:val="009309C1"/>
    <w:rsid w:val="00931FD3"/>
    <w:rsid w:val="009325EA"/>
    <w:rsid w:val="009334D3"/>
    <w:rsid w:val="0093467A"/>
    <w:rsid w:val="00935D43"/>
    <w:rsid w:val="0093688F"/>
    <w:rsid w:val="00936F32"/>
    <w:rsid w:val="00941028"/>
    <w:rsid w:val="009431AF"/>
    <w:rsid w:val="00947208"/>
    <w:rsid w:val="00950FB0"/>
    <w:rsid w:val="009512D6"/>
    <w:rsid w:val="00953156"/>
    <w:rsid w:val="009561B8"/>
    <w:rsid w:val="009566C8"/>
    <w:rsid w:val="00956EFC"/>
    <w:rsid w:val="0095773B"/>
    <w:rsid w:val="00960BC5"/>
    <w:rsid w:val="00960CE8"/>
    <w:rsid w:val="00960CFE"/>
    <w:rsid w:val="00962392"/>
    <w:rsid w:val="0096410F"/>
    <w:rsid w:val="00964D6F"/>
    <w:rsid w:val="00966875"/>
    <w:rsid w:val="00970030"/>
    <w:rsid w:val="009702D1"/>
    <w:rsid w:val="00974234"/>
    <w:rsid w:val="00975B79"/>
    <w:rsid w:val="00981693"/>
    <w:rsid w:val="0098593D"/>
    <w:rsid w:val="00986207"/>
    <w:rsid w:val="00987942"/>
    <w:rsid w:val="00993F20"/>
    <w:rsid w:val="00994AE8"/>
    <w:rsid w:val="00994BD2"/>
    <w:rsid w:val="0099555B"/>
    <w:rsid w:val="0099708C"/>
    <w:rsid w:val="009A751D"/>
    <w:rsid w:val="009B03AE"/>
    <w:rsid w:val="009B1C55"/>
    <w:rsid w:val="009B2265"/>
    <w:rsid w:val="009B54FB"/>
    <w:rsid w:val="009B58E4"/>
    <w:rsid w:val="009B6F78"/>
    <w:rsid w:val="009C17C7"/>
    <w:rsid w:val="009C1DE4"/>
    <w:rsid w:val="009C3009"/>
    <w:rsid w:val="009C30D8"/>
    <w:rsid w:val="009C528C"/>
    <w:rsid w:val="009C6756"/>
    <w:rsid w:val="009D09E9"/>
    <w:rsid w:val="009D0B94"/>
    <w:rsid w:val="009D0F57"/>
    <w:rsid w:val="009D1E3A"/>
    <w:rsid w:val="009D3DFE"/>
    <w:rsid w:val="009D53EA"/>
    <w:rsid w:val="009D7EC9"/>
    <w:rsid w:val="009E0409"/>
    <w:rsid w:val="009E1DF9"/>
    <w:rsid w:val="009E39ED"/>
    <w:rsid w:val="009E5472"/>
    <w:rsid w:val="00A001D8"/>
    <w:rsid w:val="00A03DB5"/>
    <w:rsid w:val="00A056BD"/>
    <w:rsid w:val="00A064A6"/>
    <w:rsid w:val="00A16139"/>
    <w:rsid w:val="00A16A23"/>
    <w:rsid w:val="00A24499"/>
    <w:rsid w:val="00A2475A"/>
    <w:rsid w:val="00A24A6C"/>
    <w:rsid w:val="00A24FB4"/>
    <w:rsid w:val="00A25244"/>
    <w:rsid w:val="00A25907"/>
    <w:rsid w:val="00A278D1"/>
    <w:rsid w:val="00A27CD0"/>
    <w:rsid w:val="00A27D74"/>
    <w:rsid w:val="00A31A15"/>
    <w:rsid w:val="00A33FFF"/>
    <w:rsid w:val="00A3601E"/>
    <w:rsid w:val="00A361D0"/>
    <w:rsid w:val="00A366EF"/>
    <w:rsid w:val="00A367C9"/>
    <w:rsid w:val="00A36DA0"/>
    <w:rsid w:val="00A37CE7"/>
    <w:rsid w:val="00A4297A"/>
    <w:rsid w:val="00A43D70"/>
    <w:rsid w:val="00A43E93"/>
    <w:rsid w:val="00A44010"/>
    <w:rsid w:val="00A453F3"/>
    <w:rsid w:val="00A4729D"/>
    <w:rsid w:val="00A5122E"/>
    <w:rsid w:val="00A51A1C"/>
    <w:rsid w:val="00A52ACD"/>
    <w:rsid w:val="00A52B7B"/>
    <w:rsid w:val="00A53FA1"/>
    <w:rsid w:val="00A54AB6"/>
    <w:rsid w:val="00A6038F"/>
    <w:rsid w:val="00A60B1A"/>
    <w:rsid w:val="00A67542"/>
    <w:rsid w:val="00A675D3"/>
    <w:rsid w:val="00A677D6"/>
    <w:rsid w:val="00A67CC9"/>
    <w:rsid w:val="00A7274C"/>
    <w:rsid w:val="00A73B27"/>
    <w:rsid w:val="00A77E15"/>
    <w:rsid w:val="00A84585"/>
    <w:rsid w:val="00A93101"/>
    <w:rsid w:val="00A9433B"/>
    <w:rsid w:val="00A95513"/>
    <w:rsid w:val="00A9629F"/>
    <w:rsid w:val="00A96F3B"/>
    <w:rsid w:val="00AA65A0"/>
    <w:rsid w:val="00AA735D"/>
    <w:rsid w:val="00AB545A"/>
    <w:rsid w:val="00AB5769"/>
    <w:rsid w:val="00AB6F32"/>
    <w:rsid w:val="00AB7DB3"/>
    <w:rsid w:val="00AC2201"/>
    <w:rsid w:val="00AC23B7"/>
    <w:rsid w:val="00AC263D"/>
    <w:rsid w:val="00AC2B8B"/>
    <w:rsid w:val="00AC6D94"/>
    <w:rsid w:val="00AC7032"/>
    <w:rsid w:val="00AD09FC"/>
    <w:rsid w:val="00AD0C60"/>
    <w:rsid w:val="00AD13B8"/>
    <w:rsid w:val="00AD13C2"/>
    <w:rsid w:val="00AD36EF"/>
    <w:rsid w:val="00AD3FC8"/>
    <w:rsid w:val="00AD6186"/>
    <w:rsid w:val="00AD7750"/>
    <w:rsid w:val="00AE0735"/>
    <w:rsid w:val="00AE2041"/>
    <w:rsid w:val="00AE2EA0"/>
    <w:rsid w:val="00AE4948"/>
    <w:rsid w:val="00AE4F9B"/>
    <w:rsid w:val="00AE6A30"/>
    <w:rsid w:val="00AE7387"/>
    <w:rsid w:val="00AF1F73"/>
    <w:rsid w:val="00AF4210"/>
    <w:rsid w:val="00AF5CDD"/>
    <w:rsid w:val="00AF62AC"/>
    <w:rsid w:val="00AF6678"/>
    <w:rsid w:val="00AF7C7F"/>
    <w:rsid w:val="00B0040D"/>
    <w:rsid w:val="00B00AE6"/>
    <w:rsid w:val="00B00C46"/>
    <w:rsid w:val="00B02AB3"/>
    <w:rsid w:val="00B04BB3"/>
    <w:rsid w:val="00B05168"/>
    <w:rsid w:val="00B07469"/>
    <w:rsid w:val="00B12F73"/>
    <w:rsid w:val="00B13D16"/>
    <w:rsid w:val="00B16322"/>
    <w:rsid w:val="00B22E69"/>
    <w:rsid w:val="00B2657E"/>
    <w:rsid w:val="00B27F31"/>
    <w:rsid w:val="00B3392A"/>
    <w:rsid w:val="00B40E57"/>
    <w:rsid w:val="00B418FB"/>
    <w:rsid w:val="00B46219"/>
    <w:rsid w:val="00B463C3"/>
    <w:rsid w:val="00B51B28"/>
    <w:rsid w:val="00B52952"/>
    <w:rsid w:val="00B56F1E"/>
    <w:rsid w:val="00B60B66"/>
    <w:rsid w:val="00B60D4E"/>
    <w:rsid w:val="00B615B3"/>
    <w:rsid w:val="00B65C04"/>
    <w:rsid w:val="00B675C6"/>
    <w:rsid w:val="00B768BA"/>
    <w:rsid w:val="00B83DE9"/>
    <w:rsid w:val="00B84D9C"/>
    <w:rsid w:val="00B85267"/>
    <w:rsid w:val="00B854E7"/>
    <w:rsid w:val="00B93A99"/>
    <w:rsid w:val="00B94FF0"/>
    <w:rsid w:val="00B950E0"/>
    <w:rsid w:val="00B95A6D"/>
    <w:rsid w:val="00B96D43"/>
    <w:rsid w:val="00BA2202"/>
    <w:rsid w:val="00BA47E6"/>
    <w:rsid w:val="00BA4F2F"/>
    <w:rsid w:val="00BB46C1"/>
    <w:rsid w:val="00BB5298"/>
    <w:rsid w:val="00BB683F"/>
    <w:rsid w:val="00BB7D6E"/>
    <w:rsid w:val="00BC0476"/>
    <w:rsid w:val="00BC424B"/>
    <w:rsid w:val="00BC6FA7"/>
    <w:rsid w:val="00BC7FF1"/>
    <w:rsid w:val="00BD23F9"/>
    <w:rsid w:val="00BD2B29"/>
    <w:rsid w:val="00BD36AC"/>
    <w:rsid w:val="00BD6543"/>
    <w:rsid w:val="00BD6837"/>
    <w:rsid w:val="00BE0D10"/>
    <w:rsid w:val="00BE24C3"/>
    <w:rsid w:val="00BE3768"/>
    <w:rsid w:val="00BE6140"/>
    <w:rsid w:val="00BE6DA5"/>
    <w:rsid w:val="00BE6E0A"/>
    <w:rsid w:val="00BE7BFE"/>
    <w:rsid w:val="00BF2174"/>
    <w:rsid w:val="00BF2396"/>
    <w:rsid w:val="00BF271E"/>
    <w:rsid w:val="00C03EB6"/>
    <w:rsid w:val="00C079B4"/>
    <w:rsid w:val="00C111CC"/>
    <w:rsid w:val="00C14D59"/>
    <w:rsid w:val="00C17BE1"/>
    <w:rsid w:val="00C2105B"/>
    <w:rsid w:val="00C219CF"/>
    <w:rsid w:val="00C230E9"/>
    <w:rsid w:val="00C23E48"/>
    <w:rsid w:val="00C24686"/>
    <w:rsid w:val="00C2487A"/>
    <w:rsid w:val="00C2563A"/>
    <w:rsid w:val="00C27385"/>
    <w:rsid w:val="00C27E04"/>
    <w:rsid w:val="00C3199A"/>
    <w:rsid w:val="00C33807"/>
    <w:rsid w:val="00C3552D"/>
    <w:rsid w:val="00C3689C"/>
    <w:rsid w:val="00C458C1"/>
    <w:rsid w:val="00C47B31"/>
    <w:rsid w:val="00C55991"/>
    <w:rsid w:val="00C56AA8"/>
    <w:rsid w:val="00C60B28"/>
    <w:rsid w:val="00C6298A"/>
    <w:rsid w:val="00C65FB3"/>
    <w:rsid w:val="00C75D77"/>
    <w:rsid w:val="00C805FA"/>
    <w:rsid w:val="00C82FF7"/>
    <w:rsid w:val="00C83E03"/>
    <w:rsid w:val="00C84384"/>
    <w:rsid w:val="00C8528D"/>
    <w:rsid w:val="00C947B7"/>
    <w:rsid w:val="00CA0686"/>
    <w:rsid w:val="00CA29FA"/>
    <w:rsid w:val="00CA3107"/>
    <w:rsid w:val="00CA3804"/>
    <w:rsid w:val="00CA78F1"/>
    <w:rsid w:val="00CB48E7"/>
    <w:rsid w:val="00CB71A9"/>
    <w:rsid w:val="00CC5A59"/>
    <w:rsid w:val="00CC72CB"/>
    <w:rsid w:val="00CD01E6"/>
    <w:rsid w:val="00CD0BDB"/>
    <w:rsid w:val="00CD0F05"/>
    <w:rsid w:val="00CD144F"/>
    <w:rsid w:val="00CE18E4"/>
    <w:rsid w:val="00CE1C57"/>
    <w:rsid w:val="00CE3AC7"/>
    <w:rsid w:val="00CE4D76"/>
    <w:rsid w:val="00CE4F81"/>
    <w:rsid w:val="00CE518E"/>
    <w:rsid w:val="00CE528C"/>
    <w:rsid w:val="00CE7074"/>
    <w:rsid w:val="00D06252"/>
    <w:rsid w:val="00D06F55"/>
    <w:rsid w:val="00D079D6"/>
    <w:rsid w:val="00D11318"/>
    <w:rsid w:val="00D12AC5"/>
    <w:rsid w:val="00D14DCC"/>
    <w:rsid w:val="00D15100"/>
    <w:rsid w:val="00D16553"/>
    <w:rsid w:val="00D3318E"/>
    <w:rsid w:val="00D37F0B"/>
    <w:rsid w:val="00D41F6F"/>
    <w:rsid w:val="00D45E82"/>
    <w:rsid w:val="00D45F43"/>
    <w:rsid w:val="00D543AA"/>
    <w:rsid w:val="00D555CD"/>
    <w:rsid w:val="00D608C5"/>
    <w:rsid w:val="00D65CDC"/>
    <w:rsid w:val="00D705B9"/>
    <w:rsid w:val="00D70648"/>
    <w:rsid w:val="00D717E5"/>
    <w:rsid w:val="00D720A4"/>
    <w:rsid w:val="00D72E46"/>
    <w:rsid w:val="00D75751"/>
    <w:rsid w:val="00D83800"/>
    <w:rsid w:val="00D848AB"/>
    <w:rsid w:val="00D84F8E"/>
    <w:rsid w:val="00D875A3"/>
    <w:rsid w:val="00D9190F"/>
    <w:rsid w:val="00D94028"/>
    <w:rsid w:val="00D96796"/>
    <w:rsid w:val="00D97AD9"/>
    <w:rsid w:val="00DA43F9"/>
    <w:rsid w:val="00DA7812"/>
    <w:rsid w:val="00DB1A82"/>
    <w:rsid w:val="00DB27FB"/>
    <w:rsid w:val="00DB45B1"/>
    <w:rsid w:val="00DB5E6D"/>
    <w:rsid w:val="00DB616D"/>
    <w:rsid w:val="00DB6586"/>
    <w:rsid w:val="00DC2501"/>
    <w:rsid w:val="00DC2E92"/>
    <w:rsid w:val="00DC58FF"/>
    <w:rsid w:val="00DD148B"/>
    <w:rsid w:val="00DD2BC1"/>
    <w:rsid w:val="00DD2CE0"/>
    <w:rsid w:val="00DD3E44"/>
    <w:rsid w:val="00DD4999"/>
    <w:rsid w:val="00DE14B8"/>
    <w:rsid w:val="00DE2659"/>
    <w:rsid w:val="00DE41F5"/>
    <w:rsid w:val="00DE6FC3"/>
    <w:rsid w:val="00DF1FAE"/>
    <w:rsid w:val="00DF3A29"/>
    <w:rsid w:val="00DF6DC4"/>
    <w:rsid w:val="00E01321"/>
    <w:rsid w:val="00E03681"/>
    <w:rsid w:val="00E12A7E"/>
    <w:rsid w:val="00E150CD"/>
    <w:rsid w:val="00E156D9"/>
    <w:rsid w:val="00E163E0"/>
    <w:rsid w:val="00E20FA3"/>
    <w:rsid w:val="00E24448"/>
    <w:rsid w:val="00E261E7"/>
    <w:rsid w:val="00E2624F"/>
    <w:rsid w:val="00E3063B"/>
    <w:rsid w:val="00E30A0B"/>
    <w:rsid w:val="00E32D47"/>
    <w:rsid w:val="00E32DF7"/>
    <w:rsid w:val="00E33631"/>
    <w:rsid w:val="00E34805"/>
    <w:rsid w:val="00E3517B"/>
    <w:rsid w:val="00E3567F"/>
    <w:rsid w:val="00E35B2B"/>
    <w:rsid w:val="00E36738"/>
    <w:rsid w:val="00E41E17"/>
    <w:rsid w:val="00E42F6A"/>
    <w:rsid w:val="00E42FC9"/>
    <w:rsid w:val="00E44343"/>
    <w:rsid w:val="00E46A49"/>
    <w:rsid w:val="00E47C26"/>
    <w:rsid w:val="00E51A19"/>
    <w:rsid w:val="00E542C7"/>
    <w:rsid w:val="00E56386"/>
    <w:rsid w:val="00E570D4"/>
    <w:rsid w:val="00E57D4C"/>
    <w:rsid w:val="00E64F11"/>
    <w:rsid w:val="00E66AFC"/>
    <w:rsid w:val="00E67673"/>
    <w:rsid w:val="00E7351F"/>
    <w:rsid w:val="00E73C22"/>
    <w:rsid w:val="00E7509B"/>
    <w:rsid w:val="00E75B29"/>
    <w:rsid w:val="00E75F17"/>
    <w:rsid w:val="00E76600"/>
    <w:rsid w:val="00E76A8C"/>
    <w:rsid w:val="00E82636"/>
    <w:rsid w:val="00E83237"/>
    <w:rsid w:val="00E8628D"/>
    <w:rsid w:val="00E877FB"/>
    <w:rsid w:val="00E907C8"/>
    <w:rsid w:val="00E90F0F"/>
    <w:rsid w:val="00E92EE1"/>
    <w:rsid w:val="00E96170"/>
    <w:rsid w:val="00E9713C"/>
    <w:rsid w:val="00EA4529"/>
    <w:rsid w:val="00EB0904"/>
    <w:rsid w:val="00EB26D0"/>
    <w:rsid w:val="00EB2E95"/>
    <w:rsid w:val="00EB2FAA"/>
    <w:rsid w:val="00EB34A2"/>
    <w:rsid w:val="00EB3DE4"/>
    <w:rsid w:val="00EB49F0"/>
    <w:rsid w:val="00EB50DE"/>
    <w:rsid w:val="00EC0947"/>
    <w:rsid w:val="00EC20D7"/>
    <w:rsid w:val="00EC24EF"/>
    <w:rsid w:val="00EC2973"/>
    <w:rsid w:val="00EC46A2"/>
    <w:rsid w:val="00EC6E12"/>
    <w:rsid w:val="00ED0802"/>
    <w:rsid w:val="00ED0E6F"/>
    <w:rsid w:val="00ED2C74"/>
    <w:rsid w:val="00ED3326"/>
    <w:rsid w:val="00ED3AAA"/>
    <w:rsid w:val="00ED49FF"/>
    <w:rsid w:val="00ED5462"/>
    <w:rsid w:val="00ED71AF"/>
    <w:rsid w:val="00EE07C4"/>
    <w:rsid w:val="00EE114B"/>
    <w:rsid w:val="00EE3084"/>
    <w:rsid w:val="00EE4093"/>
    <w:rsid w:val="00EE504D"/>
    <w:rsid w:val="00EE560E"/>
    <w:rsid w:val="00EE5955"/>
    <w:rsid w:val="00EF061E"/>
    <w:rsid w:val="00EF1B22"/>
    <w:rsid w:val="00EF1CFC"/>
    <w:rsid w:val="00EF3302"/>
    <w:rsid w:val="00F00D75"/>
    <w:rsid w:val="00F04318"/>
    <w:rsid w:val="00F07319"/>
    <w:rsid w:val="00F07EA0"/>
    <w:rsid w:val="00F11592"/>
    <w:rsid w:val="00F1269A"/>
    <w:rsid w:val="00F16103"/>
    <w:rsid w:val="00F17C89"/>
    <w:rsid w:val="00F25EDF"/>
    <w:rsid w:val="00F271E6"/>
    <w:rsid w:val="00F312CD"/>
    <w:rsid w:val="00F31D05"/>
    <w:rsid w:val="00F31E3E"/>
    <w:rsid w:val="00F338DE"/>
    <w:rsid w:val="00F340BC"/>
    <w:rsid w:val="00F402D9"/>
    <w:rsid w:val="00F4199F"/>
    <w:rsid w:val="00F4292F"/>
    <w:rsid w:val="00F43A92"/>
    <w:rsid w:val="00F44F8B"/>
    <w:rsid w:val="00F45206"/>
    <w:rsid w:val="00F46FCB"/>
    <w:rsid w:val="00F50473"/>
    <w:rsid w:val="00F505B9"/>
    <w:rsid w:val="00F52E72"/>
    <w:rsid w:val="00F560D7"/>
    <w:rsid w:val="00F56551"/>
    <w:rsid w:val="00F56AD9"/>
    <w:rsid w:val="00F56CDE"/>
    <w:rsid w:val="00F61703"/>
    <w:rsid w:val="00F64A8A"/>
    <w:rsid w:val="00F65E94"/>
    <w:rsid w:val="00F66319"/>
    <w:rsid w:val="00F66D71"/>
    <w:rsid w:val="00F70987"/>
    <w:rsid w:val="00F70C84"/>
    <w:rsid w:val="00F71B68"/>
    <w:rsid w:val="00F7450F"/>
    <w:rsid w:val="00F7476E"/>
    <w:rsid w:val="00F7697D"/>
    <w:rsid w:val="00F7768A"/>
    <w:rsid w:val="00F81825"/>
    <w:rsid w:val="00F829C7"/>
    <w:rsid w:val="00F83227"/>
    <w:rsid w:val="00F85EA2"/>
    <w:rsid w:val="00FA0E19"/>
    <w:rsid w:val="00FA1A89"/>
    <w:rsid w:val="00FA4347"/>
    <w:rsid w:val="00FA655A"/>
    <w:rsid w:val="00FA666E"/>
    <w:rsid w:val="00FA743E"/>
    <w:rsid w:val="00FB25B3"/>
    <w:rsid w:val="00FC0C16"/>
    <w:rsid w:val="00FC1229"/>
    <w:rsid w:val="00FC15FA"/>
    <w:rsid w:val="00FC1753"/>
    <w:rsid w:val="00FC18BC"/>
    <w:rsid w:val="00FC5F8D"/>
    <w:rsid w:val="00FC7129"/>
    <w:rsid w:val="00FD3192"/>
    <w:rsid w:val="00FD5F0F"/>
    <w:rsid w:val="00FD6908"/>
    <w:rsid w:val="00FE37FB"/>
    <w:rsid w:val="00FE3E65"/>
    <w:rsid w:val="00FE43FD"/>
    <w:rsid w:val="00FE6427"/>
    <w:rsid w:val="00FE6529"/>
    <w:rsid w:val="00FE7D03"/>
    <w:rsid w:val="00FF00A6"/>
    <w:rsid w:val="00FF171C"/>
    <w:rsid w:val="00FF366F"/>
    <w:rsid w:val="00FF53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166CDE-3A3A-4410-8F18-EB6DBC0A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71E"/>
  </w:style>
  <w:style w:type="paragraph" w:styleId="Heading1">
    <w:name w:val="heading 1"/>
    <w:basedOn w:val="Normal"/>
    <w:next w:val="Normal"/>
    <w:link w:val="Heading1Char"/>
    <w:uiPriority w:val="9"/>
    <w:qFormat/>
    <w:rsid w:val="00EF1B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C20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08"/>
    <w:pPr>
      <w:ind w:left="720"/>
      <w:contextualSpacing/>
    </w:pPr>
  </w:style>
  <w:style w:type="character" w:styleId="CommentReference">
    <w:name w:val="annotation reference"/>
    <w:basedOn w:val="DefaultParagraphFont"/>
    <w:uiPriority w:val="99"/>
    <w:semiHidden/>
    <w:unhideWhenUsed/>
    <w:rsid w:val="00694E3F"/>
    <w:rPr>
      <w:sz w:val="16"/>
      <w:szCs w:val="16"/>
    </w:rPr>
  </w:style>
  <w:style w:type="paragraph" w:styleId="CommentText">
    <w:name w:val="annotation text"/>
    <w:basedOn w:val="Normal"/>
    <w:link w:val="CommentTextChar"/>
    <w:uiPriority w:val="99"/>
    <w:unhideWhenUsed/>
    <w:rsid w:val="00694E3F"/>
    <w:pPr>
      <w:spacing w:line="240" w:lineRule="auto"/>
    </w:pPr>
    <w:rPr>
      <w:sz w:val="20"/>
      <w:szCs w:val="20"/>
    </w:rPr>
  </w:style>
  <w:style w:type="character" w:customStyle="1" w:styleId="CommentTextChar">
    <w:name w:val="Comment Text Char"/>
    <w:basedOn w:val="DefaultParagraphFont"/>
    <w:link w:val="CommentText"/>
    <w:uiPriority w:val="99"/>
    <w:rsid w:val="00694E3F"/>
    <w:rPr>
      <w:sz w:val="20"/>
      <w:szCs w:val="20"/>
    </w:rPr>
  </w:style>
  <w:style w:type="paragraph" w:styleId="CommentSubject">
    <w:name w:val="annotation subject"/>
    <w:basedOn w:val="CommentText"/>
    <w:next w:val="CommentText"/>
    <w:link w:val="CommentSubjectChar"/>
    <w:uiPriority w:val="99"/>
    <w:semiHidden/>
    <w:unhideWhenUsed/>
    <w:rsid w:val="00694E3F"/>
    <w:rPr>
      <w:b/>
      <w:bCs/>
    </w:rPr>
  </w:style>
  <w:style w:type="character" w:customStyle="1" w:styleId="CommentSubjectChar">
    <w:name w:val="Comment Subject Char"/>
    <w:basedOn w:val="CommentTextChar"/>
    <w:link w:val="CommentSubject"/>
    <w:uiPriority w:val="99"/>
    <w:semiHidden/>
    <w:rsid w:val="00694E3F"/>
    <w:rPr>
      <w:b/>
      <w:bCs/>
      <w:sz w:val="20"/>
      <w:szCs w:val="20"/>
    </w:rPr>
  </w:style>
  <w:style w:type="paragraph" w:styleId="BalloonText">
    <w:name w:val="Balloon Text"/>
    <w:basedOn w:val="Normal"/>
    <w:link w:val="BalloonTextChar"/>
    <w:uiPriority w:val="99"/>
    <w:semiHidden/>
    <w:unhideWhenUsed/>
    <w:rsid w:val="00694E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E3F"/>
    <w:rPr>
      <w:rFonts w:ascii="Tahoma" w:hAnsi="Tahoma" w:cs="Tahoma"/>
      <w:sz w:val="16"/>
      <w:szCs w:val="16"/>
    </w:rPr>
  </w:style>
  <w:style w:type="paragraph" w:styleId="Revision">
    <w:name w:val="Revision"/>
    <w:hidden/>
    <w:uiPriority w:val="99"/>
    <w:semiHidden/>
    <w:rsid w:val="00F85EA2"/>
    <w:pPr>
      <w:spacing w:line="240" w:lineRule="auto"/>
    </w:pPr>
  </w:style>
  <w:style w:type="paragraph" w:styleId="FootnoteText">
    <w:name w:val="footnote text"/>
    <w:basedOn w:val="Normal"/>
    <w:link w:val="FootnoteTextChar"/>
    <w:uiPriority w:val="99"/>
    <w:semiHidden/>
    <w:unhideWhenUsed/>
    <w:rsid w:val="00ED49FF"/>
    <w:pPr>
      <w:spacing w:line="240" w:lineRule="auto"/>
    </w:pPr>
    <w:rPr>
      <w:sz w:val="20"/>
      <w:szCs w:val="20"/>
    </w:rPr>
  </w:style>
  <w:style w:type="character" w:customStyle="1" w:styleId="FootnoteTextChar">
    <w:name w:val="Footnote Text Char"/>
    <w:basedOn w:val="DefaultParagraphFont"/>
    <w:link w:val="FootnoteText"/>
    <w:uiPriority w:val="99"/>
    <w:semiHidden/>
    <w:rsid w:val="00ED49FF"/>
    <w:rPr>
      <w:sz w:val="20"/>
      <w:szCs w:val="20"/>
    </w:rPr>
  </w:style>
  <w:style w:type="character" w:styleId="FootnoteReference">
    <w:name w:val="footnote reference"/>
    <w:basedOn w:val="DefaultParagraphFont"/>
    <w:uiPriority w:val="99"/>
    <w:unhideWhenUsed/>
    <w:rsid w:val="00ED49FF"/>
    <w:rPr>
      <w:vertAlign w:val="superscript"/>
    </w:rPr>
  </w:style>
  <w:style w:type="paragraph" w:styleId="Header">
    <w:name w:val="header"/>
    <w:basedOn w:val="Normal"/>
    <w:link w:val="HeaderChar"/>
    <w:uiPriority w:val="99"/>
    <w:unhideWhenUsed/>
    <w:rsid w:val="00ED49FF"/>
    <w:pPr>
      <w:tabs>
        <w:tab w:val="center" w:pos="4513"/>
        <w:tab w:val="right" w:pos="9026"/>
      </w:tabs>
      <w:spacing w:line="240" w:lineRule="auto"/>
    </w:pPr>
  </w:style>
  <w:style w:type="character" w:customStyle="1" w:styleId="HeaderChar">
    <w:name w:val="Header Char"/>
    <w:basedOn w:val="DefaultParagraphFont"/>
    <w:link w:val="Header"/>
    <w:uiPriority w:val="99"/>
    <w:rsid w:val="00ED49FF"/>
  </w:style>
  <w:style w:type="paragraph" w:styleId="Footer">
    <w:name w:val="footer"/>
    <w:basedOn w:val="Normal"/>
    <w:link w:val="FooterChar"/>
    <w:uiPriority w:val="99"/>
    <w:unhideWhenUsed/>
    <w:rsid w:val="00ED49FF"/>
    <w:pPr>
      <w:tabs>
        <w:tab w:val="center" w:pos="4513"/>
        <w:tab w:val="right" w:pos="9026"/>
      </w:tabs>
      <w:spacing w:line="240" w:lineRule="auto"/>
    </w:pPr>
  </w:style>
  <w:style w:type="character" w:customStyle="1" w:styleId="FooterChar">
    <w:name w:val="Footer Char"/>
    <w:basedOn w:val="DefaultParagraphFont"/>
    <w:link w:val="Footer"/>
    <w:uiPriority w:val="99"/>
    <w:rsid w:val="00ED49FF"/>
  </w:style>
  <w:style w:type="table" w:styleId="TableGrid">
    <w:name w:val="Table Grid"/>
    <w:basedOn w:val="TableNormal"/>
    <w:uiPriority w:val="59"/>
    <w:rsid w:val="001E41A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8NotItalic">
    <w:name w:val="Body text (8) + Not Italic"/>
    <w:basedOn w:val="DefaultParagraphFont"/>
    <w:rsid w:val="00B40E57"/>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styleId="Hyperlink">
    <w:name w:val="Hyperlink"/>
    <w:basedOn w:val="DefaultParagraphFont"/>
    <w:unhideWhenUsed/>
    <w:rsid w:val="00C82FF7"/>
    <w:rPr>
      <w:color w:val="0000FF"/>
      <w:u w:val="single"/>
    </w:rPr>
  </w:style>
  <w:style w:type="character" w:styleId="Emphasis">
    <w:name w:val="Emphasis"/>
    <w:basedOn w:val="DefaultParagraphFont"/>
    <w:uiPriority w:val="20"/>
    <w:qFormat/>
    <w:rsid w:val="00AF5CDD"/>
    <w:rPr>
      <w:i/>
      <w:iCs/>
    </w:rPr>
  </w:style>
  <w:style w:type="character" w:customStyle="1" w:styleId="Heading3Char">
    <w:name w:val="Heading 3 Char"/>
    <w:basedOn w:val="DefaultParagraphFont"/>
    <w:link w:val="Heading3"/>
    <w:uiPriority w:val="9"/>
    <w:rsid w:val="00EC20D7"/>
    <w:rPr>
      <w:rFonts w:ascii="Times New Roman" w:eastAsia="Times New Roman" w:hAnsi="Times New Roman" w:cs="Times New Roman"/>
      <w:b/>
      <w:bCs/>
      <w:sz w:val="27"/>
      <w:szCs w:val="27"/>
      <w:lang w:eastAsia="en-GB"/>
    </w:rPr>
  </w:style>
  <w:style w:type="character" w:customStyle="1" w:styleId="harvardtitle">
    <w:name w:val="harvard_title"/>
    <w:basedOn w:val="DefaultParagraphFont"/>
    <w:rsid w:val="007C338B"/>
  </w:style>
  <w:style w:type="character" w:customStyle="1" w:styleId="Date1">
    <w:name w:val="Date1"/>
    <w:basedOn w:val="DefaultParagraphFont"/>
    <w:rsid w:val="00B46219"/>
  </w:style>
  <w:style w:type="character" w:customStyle="1" w:styleId="journal">
    <w:name w:val="journal"/>
    <w:basedOn w:val="DefaultParagraphFont"/>
    <w:rsid w:val="00B46219"/>
  </w:style>
  <w:style w:type="character" w:customStyle="1" w:styleId="volume">
    <w:name w:val="volume"/>
    <w:basedOn w:val="DefaultParagraphFont"/>
    <w:rsid w:val="00B46219"/>
  </w:style>
  <w:style w:type="character" w:customStyle="1" w:styleId="journalnumber">
    <w:name w:val="journalnumber"/>
    <w:basedOn w:val="DefaultParagraphFont"/>
    <w:rsid w:val="00B46219"/>
  </w:style>
  <w:style w:type="character" w:customStyle="1" w:styleId="pages">
    <w:name w:val="pages"/>
    <w:basedOn w:val="DefaultParagraphFont"/>
    <w:rsid w:val="00B46219"/>
  </w:style>
  <w:style w:type="character" w:customStyle="1" w:styleId="numberofpages">
    <w:name w:val="numberofpages"/>
    <w:basedOn w:val="DefaultParagraphFont"/>
    <w:rsid w:val="00736969"/>
  </w:style>
  <w:style w:type="character" w:customStyle="1" w:styleId="Bodytext8">
    <w:name w:val="Body text (8)_"/>
    <w:basedOn w:val="DefaultParagraphFont"/>
    <w:link w:val="Bodytext80"/>
    <w:rsid w:val="0045445F"/>
    <w:rPr>
      <w:rFonts w:ascii="Times New Roman" w:eastAsia="Times New Roman" w:hAnsi="Times New Roman" w:cs="Times New Roman"/>
      <w:i/>
      <w:iCs/>
      <w:sz w:val="18"/>
      <w:szCs w:val="18"/>
      <w:shd w:val="clear" w:color="auto" w:fill="FFFFFF"/>
    </w:rPr>
  </w:style>
  <w:style w:type="paragraph" w:customStyle="1" w:styleId="Bodytext80">
    <w:name w:val="Body text (8)"/>
    <w:basedOn w:val="Normal"/>
    <w:link w:val="Bodytext8"/>
    <w:rsid w:val="0045445F"/>
    <w:pPr>
      <w:widowControl w:val="0"/>
      <w:shd w:val="clear" w:color="auto" w:fill="FFFFFF"/>
      <w:spacing w:line="216" w:lineRule="exact"/>
      <w:ind w:hanging="500"/>
      <w:jc w:val="both"/>
    </w:pPr>
    <w:rPr>
      <w:rFonts w:ascii="Times New Roman" w:eastAsia="Times New Roman" w:hAnsi="Times New Roman" w:cs="Times New Roman"/>
      <w:i/>
      <w:iCs/>
      <w:sz w:val="18"/>
      <w:szCs w:val="18"/>
    </w:rPr>
  </w:style>
  <w:style w:type="paragraph" w:customStyle="1" w:styleId="msonospacing0">
    <w:name w:val="msonospacing"/>
    <w:basedOn w:val="Normal"/>
    <w:rsid w:val="00186673"/>
    <w:pPr>
      <w:spacing w:line="240" w:lineRule="auto"/>
    </w:pPr>
    <w:rPr>
      <w:rFonts w:ascii="Calibri" w:eastAsia="Calibri" w:hAnsi="Calibri" w:cs="Times New Roman"/>
      <w:lang w:eastAsia="en-GB"/>
    </w:rPr>
  </w:style>
  <w:style w:type="character" w:customStyle="1" w:styleId="Heading1Char">
    <w:name w:val="Heading 1 Char"/>
    <w:basedOn w:val="DefaultParagraphFont"/>
    <w:link w:val="Heading1"/>
    <w:uiPriority w:val="9"/>
    <w:rsid w:val="00EF1B2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A453F3"/>
    <w:pPr>
      <w:spacing w:before="100" w:beforeAutospacing="1" w:after="100" w:afterAutospacing="1" w:line="240" w:lineRule="auto"/>
    </w:pPr>
    <w:rPr>
      <w:rFonts w:ascii="Times" w:hAnsi="Times" w:cs="Times New Roman"/>
      <w:sz w:val="20"/>
      <w:szCs w:val="20"/>
    </w:rPr>
  </w:style>
  <w:style w:type="paragraph" w:styleId="EndnoteText">
    <w:name w:val="endnote text"/>
    <w:basedOn w:val="Normal"/>
    <w:link w:val="EndnoteTextChar"/>
    <w:uiPriority w:val="99"/>
    <w:semiHidden/>
    <w:unhideWhenUsed/>
    <w:rsid w:val="00352F3F"/>
    <w:pPr>
      <w:spacing w:line="240" w:lineRule="auto"/>
    </w:pPr>
    <w:rPr>
      <w:sz w:val="20"/>
      <w:szCs w:val="20"/>
    </w:rPr>
  </w:style>
  <w:style w:type="character" w:customStyle="1" w:styleId="EndnoteTextChar">
    <w:name w:val="Endnote Text Char"/>
    <w:basedOn w:val="DefaultParagraphFont"/>
    <w:link w:val="EndnoteText"/>
    <w:uiPriority w:val="99"/>
    <w:semiHidden/>
    <w:rsid w:val="00352F3F"/>
    <w:rPr>
      <w:sz w:val="20"/>
      <w:szCs w:val="20"/>
    </w:rPr>
  </w:style>
  <w:style w:type="character" w:styleId="EndnoteReference">
    <w:name w:val="endnote reference"/>
    <w:basedOn w:val="DefaultParagraphFont"/>
    <w:uiPriority w:val="99"/>
    <w:semiHidden/>
    <w:unhideWhenUsed/>
    <w:rsid w:val="00352F3F"/>
    <w:rPr>
      <w:vertAlign w:val="superscript"/>
    </w:rPr>
  </w:style>
  <w:style w:type="character" w:customStyle="1" w:styleId="Bodytext6Italic">
    <w:name w:val="Body text (6) + Italic"/>
    <w:basedOn w:val="DefaultParagraphFont"/>
    <w:rsid w:val="00403B73"/>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6Bold">
    <w:name w:val="Body text (6) + Bold"/>
    <w:basedOn w:val="DefaultParagraphFont"/>
    <w:rsid w:val="00403B73"/>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paragraph" w:customStyle="1" w:styleId="xxxmsonormal">
    <w:name w:val="x_x_xmsonormal"/>
    <w:basedOn w:val="Normal"/>
    <w:rsid w:val="00936F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msonormal">
    <w:name w:val="x_x_xxmsonormal"/>
    <w:basedOn w:val="Normal"/>
    <w:rsid w:val="00936F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8E1C95"/>
    <w:pPr>
      <w:spacing w:after="160" w:line="240" w:lineRule="auto"/>
    </w:pPr>
    <w:rPr>
      <w:rFonts w:ascii="Times New Roman" w:hAnsi="Times New Roman" w:cs="Times New Roman"/>
      <w:noProof/>
      <w:sz w:val="36"/>
      <w:lang w:val="en-US"/>
    </w:rPr>
  </w:style>
  <w:style w:type="character" w:customStyle="1" w:styleId="EndNoteBibliographyChar">
    <w:name w:val="EndNote Bibliography Char"/>
    <w:basedOn w:val="DefaultParagraphFont"/>
    <w:link w:val="EndNoteBibliography"/>
    <w:rsid w:val="008E1C95"/>
    <w:rPr>
      <w:rFonts w:ascii="Times New Roman" w:hAnsi="Times New Roman" w:cs="Times New Roman"/>
      <w:noProof/>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64101">
      <w:bodyDiv w:val="1"/>
      <w:marLeft w:val="0"/>
      <w:marRight w:val="0"/>
      <w:marTop w:val="0"/>
      <w:marBottom w:val="0"/>
      <w:divBdr>
        <w:top w:val="none" w:sz="0" w:space="0" w:color="auto"/>
        <w:left w:val="none" w:sz="0" w:space="0" w:color="auto"/>
        <w:bottom w:val="none" w:sz="0" w:space="0" w:color="auto"/>
        <w:right w:val="none" w:sz="0" w:space="0" w:color="auto"/>
      </w:divBdr>
    </w:div>
    <w:div w:id="674184230">
      <w:bodyDiv w:val="1"/>
      <w:marLeft w:val="0"/>
      <w:marRight w:val="0"/>
      <w:marTop w:val="0"/>
      <w:marBottom w:val="0"/>
      <w:divBdr>
        <w:top w:val="none" w:sz="0" w:space="0" w:color="auto"/>
        <w:left w:val="none" w:sz="0" w:space="0" w:color="auto"/>
        <w:bottom w:val="none" w:sz="0" w:space="0" w:color="auto"/>
        <w:right w:val="none" w:sz="0" w:space="0" w:color="auto"/>
      </w:divBdr>
    </w:div>
    <w:div w:id="964314589">
      <w:bodyDiv w:val="1"/>
      <w:marLeft w:val="0"/>
      <w:marRight w:val="0"/>
      <w:marTop w:val="0"/>
      <w:marBottom w:val="0"/>
      <w:divBdr>
        <w:top w:val="none" w:sz="0" w:space="0" w:color="auto"/>
        <w:left w:val="none" w:sz="0" w:space="0" w:color="auto"/>
        <w:bottom w:val="none" w:sz="0" w:space="0" w:color="auto"/>
        <w:right w:val="none" w:sz="0" w:space="0" w:color="auto"/>
      </w:divBdr>
      <w:divsChild>
        <w:div w:id="1933314937">
          <w:marLeft w:val="0"/>
          <w:marRight w:val="0"/>
          <w:marTop w:val="0"/>
          <w:marBottom w:val="0"/>
          <w:divBdr>
            <w:top w:val="none" w:sz="0" w:space="0" w:color="auto"/>
            <w:left w:val="none" w:sz="0" w:space="0" w:color="auto"/>
            <w:bottom w:val="none" w:sz="0" w:space="0" w:color="auto"/>
            <w:right w:val="none" w:sz="0" w:space="0" w:color="auto"/>
          </w:divBdr>
        </w:div>
      </w:divsChild>
    </w:div>
    <w:div w:id="976179805">
      <w:bodyDiv w:val="1"/>
      <w:marLeft w:val="0"/>
      <w:marRight w:val="0"/>
      <w:marTop w:val="0"/>
      <w:marBottom w:val="0"/>
      <w:divBdr>
        <w:top w:val="none" w:sz="0" w:space="0" w:color="auto"/>
        <w:left w:val="none" w:sz="0" w:space="0" w:color="auto"/>
        <w:bottom w:val="none" w:sz="0" w:space="0" w:color="auto"/>
        <w:right w:val="none" w:sz="0" w:space="0" w:color="auto"/>
      </w:divBdr>
    </w:div>
    <w:div w:id="980765892">
      <w:bodyDiv w:val="1"/>
      <w:marLeft w:val="0"/>
      <w:marRight w:val="0"/>
      <w:marTop w:val="0"/>
      <w:marBottom w:val="0"/>
      <w:divBdr>
        <w:top w:val="none" w:sz="0" w:space="0" w:color="auto"/>
        <w:left w:val="none" w:sz="0" w:space="0" w:color="auto"/>
        <w:bottom w:val="none" w:sz="0" w:space="0" w:color="auto"/>
        <w:right w:val="none" w:sz="0" w:space="0" w:color="auto"/>
      </w:divBdr>
      <w:divsChild>
        <w:div w:id="672297073">
          <w:marLeft w:val="0"/>
          <w:marRight w:val="0"/>
          <w:marTop w:val="0"/>
          <w:marBottom w:val="0"/>
          <w:divBdr>
            <w:top w:val="none" w:sz="0" w:space="0" w:color="auto"/>
            <w:left w:val="none" w:sz="0" w:space="0" w:color="auto"/>
            <w:bottom w:val="none" w:sz="0" w:space="0" w:color="auto"/>
            <w:right w:val="none" w:sz="0" w:space="0" w:color="auto"/>
          </w:divBdr>
        </w:div>
      </w:divsChild>
    </w:div>
    <w:div w:id="997151936">
      <w:bodyDiv w:val="1"/>
      <w:marLeft w:val="0"/>
      <w:marRight w:val="0"/>
      <w:marTop w:val="0"/>
      <w:marBottom w:val="0"/>
      <w:divBdr>
        <w:top w:val="none" w:sz="0" w:space="0" w:color="auto"/>
        <w:left w:val="none" w:sz="0" w:space="0" w:color="auto"/>
        <w:bottom w:val="none" w:sz="0" w:space="0" w:color="auto"/>
        <w:right w:val="none" w:sz="0" w:space="0" w:color="auto"/>
      </w:divBdr>
    </w:div>
    <w:div w:id="1142111825">
      <w:bodyDiv w:val="1"/>
      <w:marLeft w:val="0"/>
      <w:marRight w:val="0"/>
      <w:marTop w:val="0"/>
      <w:marBottom w:val="0"/>
      <w:divBdr>
        <w:top w:val="none" w:sz="0" w:space="0" w:color="auto"/>
        <w:left w:val="none" w:sz="0" w:space="0" w:color="auto"/>
        <w:bottom w:val="none" w:sz="0" w:space="0" w:color="auto"/>
        <w:right w:val="none" w:sz="0" w:space="0" w:color="auto"/>
      </w:divBdr>
    </w:div>
    <w:div w:id="1147358141">
      <w:bodyDiv w:val="1"/>
      <w:marLeft w:val="0"/>
      <w:marRight w:val="0"/>
      <w:marTop w:val="0"/>
      <w:marBottom w:val="0"/>
      <w:divBdr>
        <w:top w:val="none" w:sz="0" w:space="0" w:color="auto"/>
        <w:left w:val="none" w:sz="0" w:space="0" w:color="auto"/>
        <w:bottom w:val="none" w:sz="0" w:space="0" w:color="auto"/>
        <w:right w:val="none" w:sz="0" w:space="0" w:color="auto"/>
      </w:divBdr>
    </w:div>
    <w:div w:id="1198199783">
      <w:bodyDiv w:val="1"/>
      <w:marLeft w:val="0"/>
      <w:marRight w:val="0"/>
      <w:marTop w:val="0"/>
      <w:marBottom w:val="0"/>
      <w:divBdr>
        <w:top w:val="none" w:sz="0" w:space="0" w:color="auto"/>
        <w:left w:val="none" w:sz="0" w:space="0" w:color="auto"/>
        <w:bottom w:val="none" w:sz="0" w:space="0" w:color="auto"/>
        <w:right w:val="none" w:sz="0" w:space="0" w:color="auto"/>
      </w:divBdr>
    </w:div>
    <w:div w:id="1238124800">
      <w:bodyDiv w:val="1"/>
      <w:marLeft w:val="0"/>
      <w:marRight w:val="0"/>
      <w:marTop w:val="0"/>
      <w:marBottom w:val="0"/>
      <w:divBdr>
        <w:top w:val="none" w:sz="0" w:space="0" w:color="auto"/>
        <w:left w:val="none" w:sz="0" w:space="0" w:color="auto"/>
        <w:bottom w:val="none" w:sz="0" w:space="0" w:color="auto"/>
        <w:right w:val="none" w:sz="0" w:space="0" w:color="auto"/>
      </w:divBdr>
    </w:div>
    <w:div w:id="1466582264">
      <w:bodyDiv w:val="1"/>
      <w:marLeft w:val="0"/>
      <w:marRight w:val="0"/>
      <w:marTop w:val="0"/>
      <w:marBottom w:val="0"/>
      <w:divBdr>
        <w:top w:val="none" w:sz="0" w:space="0" w:color="auto"/>
        <w:left w:val="none" w:sz="0" w:space="0" w:color="auto"/>
        <w:bottom w:val="none" w:sz="0" w:space="0" w:color="auto"/>
        <w:right w:val="none" w:sz="0" w:space="0" w:color="auto"/>
      </w:divBdr>
    </w:div>
    <w:div w:id="1477839594">
      <w:bodyDiv w:val="1"/>
      <w:marLeft w:val="0"/>
      <w:marRight w:val="0"/>
      <w:marTop w:val="0"/>
      <w:marBottom w:val="0"/>
      <w:divBdr>
        <w:top w:val="none" w:sz="0" w:space="0" w:color="auto"/>
        <w:left w:val="none" w:sz="0" w:space="0" w:color="auto"/>
        <w:bottom w:val="none" w:sz="0" w:space="0" w:color="auto"/>
        <w:right w:val="none" w:sz="0" w:space="0" w:color="auto"/>
      </w:divBdr>
    </w:div>
    <w:div w:id="1821731090">
      <w:bodyDiv w:val="1"/>
      <w:marLeft w:val="0"/>
      <w:marRight w:val="0"/>
      <w:marTop w:val="0"/>
      <w:marBottom w:val="0"/>
      <w:divBdr>
        <w:top w:val="none" w:sz="0" w:space="0" w:color="auto"/>
        <w:left w:val="none" w:sz="0" w:space="0" w:color="auto"/>
        <w:bottom w:val="none" w:sz="0" w:space="0" w:color="auto"/>
        <w:right w:val="none" w:sz="0" w:space="0" w:color="auto"/>
      </w:divBdr>
    </w:div>
    <w:div w:id="1887718127">
      <w:bodyDiv w:val="1"/>
      <w:marLeft w:val="0"/>
      <w:marRight w:val="0"/>
      <w:marTop w:val="0"/>
      <w:marBottom w:val="0"/>
      <w:divBdr>
        <w:top w:val="none" w:sz="0" w:space="0" w:color="auto"/>
        <w:left w:val="none" w:sz="0" w:space="0" w:color="auto"/>
        <w:bottom w:val="none" w:sz="0" w:space="0" w:color="auto"/>
        <w:right w:val="none" w:sz="0" w:space="0" w:color="auto"/>
      </w:divBdr>
    </w:div>
    <w:div w:id="2140224500">
      <w:bodyDiv w:val="1"/>
      <w:marLeft w:val="0"/>
      <w:marRight w:val="0"/>
      <w:marTop w:val="0"/>
      <w:marBottom w:val="0"/>
      <w:divBdr>
        <w:top w:val="none" w:sz="0" w:space="0" w:color="auto"/>
        <w:left w:val="none" w:sz="0" w:space="0" w:color="auto"/>
        <w:bottom w:val="none" w:sz="0" w:space="0" w:color="auto"/>
        <w:right w:val="none" w:sz="0" w:space="0" w:color="auto"/>
      </w:divBdr>
      <w:divsChild>
        <w:div w:id="1111433809">
          <w:marLeft w:val="0"/>
          <w:marRight w:val="0"/>
          <w:marTop w:val="100"/>
          <w:marBottom w:val="100"/>
          <w:divBdr>
            <w:top w:val="none" w:sz="0" w:space="0" w:color="auto"/>
            <w:left w:val="none" w:sz="0" w:space="0" w:color="auto"/>
            <w:bottom w:val="none" w:sz="0" w:space="0" w:color="auto"/>
            <w:right w:val="none" w:sz="0" w:space="0" w:color="auto"/>
          </w:divBdr>
          <w:divsChild>
            <w:div w:id="1654480517">
              <w:marLeft w:val="0"/>
              <w:marRight w:val="0"/>
              <w:marTop w:val="0"/>
              <w:marBottom w:val="0"/>
              <w:divBdr>
                <w:top w:val="none" w:sz="0" w:space="0" w:color="auto"/>
                <w:left w:val="none" w:sz="0" w:space="0" w:color="auto"/>
                <w:bottom w:val="none" w:sz="0" w:space="0" w:color="auto"/>
                <w:right w:val="none" w:sz="0" w:space="0" w:color="auto"/>
              </w:divBdr>
              <w:divsChild>
                <w:div w:id="1839031466">
                  <w:marLeft w:val="105"/>
                  <w:marRight w:val="105"/>
                  <w:marTop w:val="105"/>
                  <w:marBottom w:val="105"/>
                  <w:divBdr>
                    <w:top w:val="none" w:sz="0" w:space="0" w:color="auto"/>
                    <w:left w:val="none" w:sz="0" w:space="0" w:color="auto"/>
                    <w:bottom w:val="none" w:sz="0" w:space="0" w:color="auto"/>
                    <w:right w:val="none" w:sz="0" w:space="0" w:color="auto"/>
                  </w:divBdr>
                  <w:divsChild>
                    <w:div w:id="2067758432">
                      <w:marLeft w:val="0"/>
                      <w:marRight w:val="0"/>
                      <w:marTop w:val="0"/>
                      <w:marBottom w:val="0"/>
                      <w:divBdr>
                        <w:top w:val="none" w:sz="0" w:space="0" w:color="auto"/>
                        <w:left w:val="none" w:sz="0" w:space="0" w:color="auto"/>
                        <w:bottom w:val="none" w:sz="0" w:space="0" w:color="auto"/>
                        <w:right w:val="none" w:sz="0" w:space="0" w:color="auto"/>
                      </w:divBdr>
                      <w:divsChild>
                        <w:div w:id="478766831">
                          <w:marLeft w:val="0"/>
                          <w:marRight w:val="0"/>
                          <w:marTop w:val="0"/>
                          <w:marBottom w:val="0"/>
                          <w:divBdr>
                            <w:top w:val="none" w:sz="0" w:space="0" w:color="auto"/>
                            <w:left w:val="none" w:sz="0" w:space="0" w:color="auto"/>
                            <w:bottom w:val="none" w:sz="0" w:space="0" w:color="auto"/>
                            <w:right w:val="none" w:sz="0" w:space="0" w:color="auto"/>
                          </w:divBdr>
                          <w:divsChild>
                            <w:div w:id="1422604346">
                              <w:marLeft w:val="0"/>
                              <w:marRight w:val="0"/>
                              <w:marTop w:val="0"/>
                              <w:marBottom w:val="0"/>
                              <w:divBdr>
                                <w:top w:val="none" w:sz="0" w:space="0" w:color="auto"/>
                                <w:left w:val="none" w:sz="0" w:space="0" w:color="auto"/>
                                <w:bottom w:val="none" w:sz="0" w:space="0" w:color="auto"/>
                                <w:right w:val="none" w:sz="0" w:space="0" w:color="auto"/>
                              </w:divBdr>
                              <w:divsChild>
                                <w:div w:id="937980147">
                                  <w:marLeft w:val="0"/>
                                  <w:marRight w:val="0"/>
                                  <w:marTop w:val="0"/>
                                  <w:marBottom w:val="0"/>
                                  <w:divBdr>
                                    <w:top w:val="none" w:sz="0" w:space="0" w:color="auto"/>
                                    <w:left w:val="none" w:sz="0" w:space="0" w:color="auto"/>
                                    <w:bottom w:val="none" w:sz="0" w:space="0" w:color="auto"/>
                                    <w:right w:val="none" w:sz="0" w:space="0" w:color="auto"/>
                                  </w:divBdr>
                                  <w:divsChild>
                                    <w:div w:id="375861696">
                                      <w:marLeft w:val="105"/>
                                      <w:marRight w:val="105"/>
                                      <w:marTop w:val="105"/>
                                      <w:marBottom w:val="105"/>
                                      <w:divBdr>
                                        <w:top w:val="none" w:sz="0" w:space="0" w:color="auto"/>
                                        <w:left w:val="none" w:sz="0" w:space="0" w:color="auto"/>
                                        <w:bottom w:val="none" w:sz="0" w:space="0" w:color="auto"/>
                                        <w:right w:val="none" w:sz="0" w:space="0" w:color="auto"/>
                                      </w:divBdr>
                                      <w:divsChild>
                                        <w:div w:id="1246111397">
                                          <w:marLeft w:val="0"/>
                                          <w:marRight w:val="0"/>
                                          <w:marTop w:val="0"/>
                                          <w:marBottom w:val="0"/>
                                          <w:divBdr>
                                            <w:top w:val="none" w:sz="0" w:space="0" w:color="auto"/>
                                            <w:left w:val="none" w:sz="0" w:space="0" w:color="auto"/>
                                            <w:bottom w:val="none" w:sz="0" w:space="0" w:color="auto"/>
                                            <w:right w:val="none" w:sz="0" w:space="0" w:color="auto"/>
                                          </w:divBdr>
                                          <w:divsChild>
                                            <w:div w:id="399015126">
                                              <w:marLeft w:val="0"/>
                                              <w:marRight w:val="0"/>
                                              <w:marTop w:val="0"/>
                                              <w:marBottom w:val="0"/>
                                              <w:divBdr>
                                                <w:top w:val="none" w:sz="0" w:space="0" w:color="auto"/>
                                                <w:left w:val="none" w:sz="0" w:space="0" w:color="auto"/>
                                                <w:bottom w:val="none" w:sz="0" w:space="0" w:color="auto"/>
                                                <w:right w:val="none" w:sz="0" w:space="0" w:color="auto"/>
                                              </w:divBdr>
                                              <w:divsChild>
                                                <w:div w:id="1476143918">
                                                  <w:marLeft w:val="0"/>
                                                  <w:marRight w:val="0"/>
                                                  <w:marTop w:val="0"/>
                                                  <w:marBottom w:val="0"/>
                                                  <w:divBdr>
                                                    <w:top w:val="none" w:sz="0" w:space="0" w:color="auto"/>
                                                    <w:left w:val="none" w:sz="0" w:space="0" w:color="auto"/>
                                                    <w:bottom w:val="none" w:sz="0" w:space="0" w:color="auto"/>
                                                    <w:right w:val="none" w:sz="0" w:space="0" w:color="auto"/>
                                                  </w:divBdr>
                                                  <w:divsChild>
                                                    <w:div w:id="1111700943">
                                                      <w:marLeft w:val="0"/>
                                                      <w:marRight w:val="0"/>
                                                      <w:marTop w:val="0"/>
                                                      <w:marBottom w:val="0"/>
                                                      <w:divBdr>
                                                        <w:top w:val="none" w:sz="0" w:space="0" w:color="auto"/>
                                                        <w:left w:val="none" w:sz="0" w:space="0" w:color="auto"/>
                                                        <w:bottom w:val="none" w:sz="0" w:space="0" w:color="auto"/>
                                                        <w:right w:val="none" w:sz="0" w:space="0" w:color="auto"/>
                                                      </w:divBdr>
                                                      <w:divsChild>
                                                        <w:div w:id="1675524893">
                                                          <w:marLeft w:val="0"/>
                                                          <w:marRight w:val="0"/>
                                                          <w:marTop w:val="0"/>
                                                          <w:marBottom w:val="0"/>
                                                          <w:divBdr>
                                                            <w:top w:val="none" w:sz="0" w:space="0" w:color="auto"/>
                                                            <w:left w:val="none" w:sz="0" w:space="0" w:color="auto"/>
                                                            <w:bottom w:val="none" w:sz="0" w:space="0" w:color="auto"/>
                                                            <w:right w:val="none" w:sz="0" w:space="0" w:color="auto"/>
                                                          </w:divBdr>
                                                          <w:divsChild>
                                                            <w:div w:id="2096317721">
                                                              <w:marLeft w:val="0"/>
                                                              <w:marRight w:val="0"/>
                                                              <w:marTop w:val="0"/>
                                                              <w:marBottom w:val="0"/>
                                                              <w:divBdr>
                                                                <w:top w:val="none" w:sz="0" w:space="0" w:color="auto"/>
                                                                <w:left w:val="none" w:sz="0" w:space="0" w:color="auto"/>
                                                                <w:bottom w:val="none" w:sz="0" w:space="0" w:color="auto"/>
                                                                <w:right w:val="none" w:sz="0" w:space="0" w:color="auto"/>
                                                              </w:divBdr>
                                                              <w:divsChild>
                                                                <w:div w:id="1923368541">
                                                                  <w:marLeft w:val="105"/>
                                                                  <w:marRight w:val="105"/>
                                                                  <w:marTop w:val="105"/>
                                                                  <w:marBottom w:val="105"/>
                                                                  <w:divBdr>
                                                                    <w:top w:val="none" w:sz="0" w:space="0" w:color="auto"/>
                                                                    <w:left w:val="none" w:sz="0" w:space="0" w:color="auto"/>
                                                                    <w:bottom w:val="none" w:sz="0" w:space="0" w:color="auto"/>
                                                                    <w:right w:val="none" w:sz="0" w:space="0" w:color="auto"/>
                                                                  </w:divBdr>
                                                                  <w:divsChild>
                                                                    <w:div w:id="1814374205">
                                                                      <w:marLeft w:val="0"/>
                                                                      <w:marRight w:val="0"/>
                                                                      <w:marTop w:val="0"/>
                                                                      <w:marBottom w:val="0"/>
                                                                      <w:divBdr>
                                                                        <w:top w:val="none" w:sz="0" w:space="0" w:color="auto"/>
                                                                        <w:left w:val="none" w:sz="0" w:space="0" w:color="auto"/>
                                                                        <w:bottom w:val="none" w:sz="0" w:space="0" w:color="auto"/>
                                                                        <w:right w:val="none" w:sz="0" w:space="0" w:color="auto"/>
                                                                      </w:divBdr>
                                                                      <w:divsChild>
                                                                        <w:div w:id="3827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ischer@liverpool.ac.uk" TargetMode="External"/><Relationship Id="rId18" Type="http://schemas.openxmlformats.org/officeDocument/2006/relationships/hyperlink" Target="https://doi.org/10.1016/j.envsci.2018.03.024" TargetMode="External"/><Relationship Id="rId26" Type="http://schemas.openxmlformats.org/officeDocument/2006/relationships/hyperlink" Target="https://doi.org/10.1080/09640569911217" TargetMode="External"/><Relationship Id="rId39" Type="http://schemas.openxmlformats.org/officeDocument/2006/relationships/image" Target="media/image2.png"/><Relationship Id="rId21" Type="http://schemas.openxmlformats.org/officeDocument/2006/relationships/hyperlink" Target="https://doi.org/10.1177%2F1473095207077585" TargetMode="External"/><Relationship Id="rId34" Type="http://schemas.openxmlformats.org/officeDocument/2006/relationships/hyperlink" Target="https://doi.org/10.1177%2F2399654417719285"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142/9781783268382_0009" TargetMode="External"/><Relationship Id="rId20" Type="http://schemas.openxmlformats.org/officeDocument/2006/relationships/hyperlink" Target="https://doi.org/10.1080/14615517.2016.1211455" TargetMode="External"/><Relationship Id="rId29" Type="http://schemas.openxmlformats.org/officeDocument/2006/relationships/hyperlink" Target="https://doi.org/10.1080/0269745090274218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wellrj@cardiff.ac.uk" TargetMode="External"/><Relationship Id="rId24" Type="http://schemas.openxmlformats.org/officeDocument/2006/relationships/hyperlink" Target="http://environmenteuref.blogspot.co.uk/p/about-us.html" TargetMode="External"/><Relationship Id="rId32" Type="http://schemas.openxmlformats.org/officeDocument/2006/relationships/hyperlink" Target="https://doi.org/10.1068%2Fc0035j" TargetMode="External"/><Relationship Id="rId37" Type="http://schemas.openxmlformats.org/officeDocument/2006/relationships/hyperlink" Target="https://doi.org/10.1080/02697450216358"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i.org/10.1111/geob.12031" TargetMode="External"/><Relationship Id="rId23" Type="http://schemas.openxmlformats.org/officeDocument/2006/relationships/hyperlink" Target="http://environmenteuref.blogspot.co.uk/p/about-us.html" TargetMode="External"/><Relationship Id="rId28" Type="http://schemas.openxmlformats.org/officeDocument/2006/relationships/hyperlink" Target="https://doi.org/10.1093/jel/eqp019" TargetMode="External"/><Relationship Id="rId36" Type="http://schemas.openxmlformats.org/officeDocument/2006/relationships/hyperlink" Target="https://doi.org/10.1111%2Fj.1467-9256.2010.01397.x" TargetMode="External"/><Relationship Id="rId10" Type="http://schemas.openxmlformats.org/officeDocument/2006/relationships/endnotes" Target="endnotes.xml"/><Relationship Id="rId19" Type="http://schemas.openxmlformats.org/officeDocument/2006/relationships/hyperlink" Target="https://doi.org/10.1080/09640560050010374" TargetMode="External"/><Relationship Id="rId31" Type="http://schemas.openxmlformats.org/officeDocument/2006/relationships/hyperlink" Target="https://doi.org/10.1068%2Fb3208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jackson@dundee.ac.uk" TargetMode="External"/><Relationship Id="rId22" Type="http://schemas.openxmlformats.org/officeDocument/2006/relationships/hyperlink" Target="http://environmenteuref.blogspot.co.uk/p/about-us.html" TargetMode="External"/><Relationship Id="rId27" Type="http://schemas.openxmlformats.org/officeDocument/2006/relationships/hyperlink" Target="https://doi.org/10.1080/08111140008727821" TargetMode="External"/><Relationship Id="rId30" Type="http://schemas.openxmlformats.org/officeDocument/2006/relationships/hyperlink" Target="https://doi.org/10.1080/09640560600598429" TargetMode="External"/><Relationship Id="rId35" Type="http://schemas.openxmlformats.org/officeDocument/2006/relationships/hyperlink" Target="https://doi.org/10.1016/j.eiar.2011.11.001"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g.ellis@qub.ac.uk" TargetMode="External"/><Relationship Id="rId17" Type="http://schemas.openxmlformats.org/officeDocument/2006/relationships/hyperlink" Target="https://doi.org/10.1016/j.habitatint.2011.05.003" TargetMode="External"/><Relationship Id="rId25" Type="http://schemas.openxmlformats.org/officeDocument/2006/relationships/hyperlink" Target="https://www.rtpi.org.uk/research/2019/january/environmental-planning-after-brexit/" TargetMode="External"/><Relationship Id="rId33" Type="http://schemas.openxmlformats.org/officeDocument/2006/relationships/hyperlink" Target="https://doi.org/10.1080/09644016.2015.1074385" TargetMode="External"/><Relationship Id="rId3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1" ma:contentTypeDescription="Create a new document." ma:contentTypeScope="" ma:versionID="1cc0c695674b9747ec50b54758647362">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82326f3894f7d9d36aaa3c3a9f0cdd84"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3B92-5525-4224-8592-37CC893BF3FA}">
  <ds:schemaRefs>
    <ds:schemaRef ds:uri="http://schemas.microsoft.com/sharepoint/v3/contenttype/forms"/>
  </ds:schemaRefs>
</ds:datastoreItem>
</file>

<file path=customXml/itemProps2.xml><?xml version="1.0" encoding="utf-8"?>
<ds:datastoreItem xmlns:ds="http://schemas.openxmlformats.org/officeDocument/2006/customXml" ds:itemID="{9830AD21-74DD-4E3E-BF27-57514A2B8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A5071-0C8B-46F6-A34F-947026483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0F606-0657-469E-BE47-57D40846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11016</Words>
  <Characters>62684</Characters>
  <Application>Microsoft Office Word</Application>
  <DocSecurity>0</DocSecurity>
  <Lines>935</Lines>
  <Paragraphs>169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Sykes, Olivier</cp:lastModifiedBy>
  <cp:revision>2</cp:revision>
  <cp:lastPrinted>2019-10-22T08:09:00Z</cp:lastPrinted>
  <dcterms:created xsi:type="dcterms:W3CDTF">2020-07-20T11:23:00Z</dcterms:created>
  <dcterms:modified xsi:type="dcterms:W3CDTF">2020-07-20T11:23:00Z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