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16AD" w14:textId="1EE45EFA" w:rsidR="00C47D01" w:rsidRPr="00441D50" w:rsidRDefault="00C47D01" w:rsidP="00963411">
      <w:pPr>
        <w:spacing w:line="480" w:lineRule="auto"/>
        <w:rPr>
          <w:b/>
        </w:rPr>
      </w:pPr>
      <w:r w:rsidRPr="00441D50">
        <w:rPr>
          <w:b/>
        </w:rPr>
        <w:t xml:space="preserve">Bacterial translocation in </w:t>
      </w:r>
      <w:r w:rsidR="00CA7E08" w:rsidRPr="00441D50">
        <w:rPr>
          <w:b/>
        </w:rPr>
        <w:t>horses with colic</w:t>
      </w:r>
      <w:r w:rsidRPr="00441D50">
        <w:rPr>
          <w:b/>
        </w:rPr>
        <w:t xml:space="preserve"> and </w:t>
      </w:r>
      <w:r w:rsidR="00802BF3" w:rsidRPr="00441D50">
        <w:rPr>
          <w:b/>
        </w:rPr>
        <w:t xml:space="preserve">the </w:t>
      </w:r>
      <w:r w:rsidR="00DC1FDF" w:rsidRPr="00441D50">
        <w:rPr>
          <w:b/>
        </w:rPr>
        <w:t xml:space="preserve">potential association with </w:t>
      </w:r>
      <w:r w:rsidRPr="00441D50">
        <w:rPr>
          <w:b/>
        </w:rPr>
        <w:t>surgical site infection</w:t>
      </w:r>
      <w:r w:rsidR="00DC1FDF" w:rsidRPr="00441D50">
        <w:rPr>
          <w:b/>
        </w:rPr>
        <w:t xml:space="preserve">: a pilot study. </w:t>
      </w:r>
    </w:p>
    <w:p w14:paraId="51FFC09E" w14:textId="77777777" w:rsidR="00C47D01" w:rsidRPr="00441D50" w:rsidRDefault="00C47D01" w:rsidP="00963411">
      <w:pPr>
        <w:spacing w:line="480" w:lineRule="auto"/>
        <w:rPr>
          <w:b/>
        </w:rPr>
      </w:pPr>
    </w:p>
    <w:p w14:paraId="74398E65" w14:textId="27DB555C" w:rsidR="00C47D01" w:rsidRPr="00441D50" w:rsidRDefault="00C47D01" w:rsidP="00963411">
      <w:pPr>
        <w:spacing w:line="480" w:lineRule="auto"/>
        <w:jc w:val="both"/>
        <w:rPr>
          <w:bCs/>
        </w:rPr>
      </w:pPr>
      <w:r w:rsidRPr="00441D50">
        <w:t>Michelle J. Hann</w:t>
      </w:r>
      <w:r w:rsidRPr="00441D50">
        <w:rPr>
          <w:vertAlign w:val="superscript"/>
        </w:rPr>
        <w:t>1</w:t>
      </w:r>
      <w:r w:rsidRPr="00441D50">
        <w:t xml:space="preserve">, </w:t>
      </w:r>
      <w:proofErr w:type="spellStart"/>
      <w:r w:rsidRPr="00441D50">
        <w:t>Dorina</w:t>
      </w:r>
      <w:proofErr w:type="spellEnd"/>
      <w:r w:rsidRPr="00441D50">
        <w:t xml:space="preserve"> Timofte</w:t>
      </w:r>
      <w:r w:rsidRPr="00441D50">
        <w:rPr>
          <w:vertAlign w:val="superscript"/>
        </w:rPr>
        <w:t>2</w:t>
      </w:r>
      <w:r w:rsidRPr="00441D50">
        <w:t xml:space="preserve">, </w:t>
      </w:r>
      <w:proofErr w:type="spellStart"/>
      <w:r w:rsidRPr="00441D50">
        <w:t>Casja</w:t>
      </w:r>
      <w:proofErr w:type="spellEnd"/>
      <w:r w:rsidRPr="00441D50">
        <w:t xml:space="preserve"> Isgren</w:t>
      </w:r>
      <w:r w:rsidRPr="00441D50">
        <w:rPr>
          <w:vertAlign w:val="superscript"/>
        </w:rPr>
        <w:t>1</w:t>
      </w:r>
      <w:r w:rsidRPr="00441D50">
        <w:t xml:space="preserve"> and Debra Archer</w:t>
      </w:r>
      <w:r w:rsidRPr="00441D50">
        <w:rPr>
          <w:vertAlign w:val="superscript"/>
        </w:rPr>
        <w:t>1</w:t>
      </w:r>
      <w:r w:rsidRPr="00441D50">
        <w:t xml:space="preserve"> </w:t>
      </w:r>
    </w:p>
    <w:p w14:paraId="5F18AD81" w14:textId="15D3CECB" w:rsidR="00C47D01" w:rsidRPr="00441D50" w:rsidRDefault="00C47D01" w:rsidP="00963411">
      <w:pPr>
        <w:spacing w:line="480" w:lineRule="auto"/>
        <w:jc w:val="both"/>
        <w:rPr>
          <w:bCs/>
        </w:rPr>
      </w:pPr>
      <w:r w:rsidRPr="00441D50">
        <w:rPr>
          <w:bCs/>
        </w:rPr>
        <w:t xml:space="preserve">1. Department of Equine Clinical Science, Institute of Veterinary Science, University of Liverpool, </w:t>
      </w:r>
      <w:proofErr w:type="spellStart"/>
      <w:r w:rsidRPr="00441D50">
        <w:rPr>
          <w:bCs/>
        </w:rPr>
        <w:t>Leahurst</w:t>
      </w:r>
      <w:proofErr w:type="spellEnd"/>
      <w:r w:rsidRPr="00441D50">
        <w:rPr>
          <w:bCs/>
        </w:rPr>
        <w:t>, Neston, U.K.</w:t>
      </w:r>
    </w:p>
    <w:p w14:paraId="578D2398" w14:textId="0173CE1A" w:rsidR="00963411" w:rsidRPr="00441D50" w:rsidRDefault="00C47D01" w:rsidP="00963411">
      <w:pPr>
        <w:spacing w:line="480" w:lineRule="auto"/>
        <w:rPr>
          <w:iCs/>
        </w:rPr>
      </w:pPr>
      <w:r w:rsidRPr="00441D50">
        <w:t xml:space="preserve">2. </w:t>
      </w:r>
      <w:r w:rsidRPr="00441D50">
        <w:rPr>
          <w:iCs/>
        </w:rPr>
        <w:t xml:space="preserve">Department of Veterinary </w:t>
      </w:r>
      <w:r w:rsidR="00CA7E08" w:rsidRPr="00441D50">
        <w:rPr>
          <w:iCs/>
        </w:rPr>
        <w:t>Pathology and Public Health</w:t>
      </w:r>
      <w:r w:rsidRPr="00441D50">
        <w:rPr>
          <w:iCs/>
        </w:rPr>
        <w:t xml:space="preserve">, </w:t>
      </w:r>
      <w:r w:rsidR="00963411" w:rsidRPr="00441D50">
        <w:rPr>
          <w:iCs/>
        </w:rPr>
        <w:t>Institute</w:t>
      </w:r>
      <w:r w:rsidRPr="00441D50">
        <w:rPr>
          <w:iCs/>
        </w:rPr>
        <w:t xml:space="preserve"> of Veterinary Science, University of Liverpool, </w:t>
      </w:r>
      <w:proofErr w:type="spellStart"/>
      <w:r w:rsidRPr="00441D50">
        <w:rPr>
          <w:iCs/>
        </w:rPr>
        <w:t>Leahurst</w:t>
      </w:r>
      <w:proofErr w:type="spellEnd"/>
      <w:r w:rsidRPr="00441D50">
        <w:rPr>
          <w:iCs/>
        </w:rPr>
        <w:t xml:space="preserve">, Neston, U.K. </w:t>
      </w:r>
    </w:p>
    <w:p w14:paraId="52B667E1" w14:textId="77777777" w:rsidR="00982A2E" w:rsidRPr="00441D50" w:rsidRDefault="00982A2E" w:rsidP="00963411">
      <w:pPr>
        <w:spacing w:line="480" w:lineRule="auto"/>
        <w:rPr>
          <w:iCs/>
        </w:rPr>
      </w:pPr>
    </w:p>
    <w:p w14:paraId="04DBDB2C" w14:textId="77777777" w:rsidR="00982A2E" w:rsidRPr="00441D50" w:rsidRDefault="00982A2E" w:rsidP="00963411">
      <w:pPr>
        <w:spacing w:line="480" w:lineRule="auto"/>
        <w:rPr>
          <w:iCs/>
        </w:rPr>
      </w:pPr>
      <w:r w:rsidRPr="00441D50">
        <w:rPr>
          <w:iCs/>
        </w:rPr>
        <w:t xml:space="preserve">Corresponding author: Michelle J Hann. </w:t>
      </w:r>
    </w:p>
    <w:p w14:paraId="683ED7B5" w14:textId="2CE9151E" w:rsidR="00982A2E" w:rsidRPr="00441D50" w:rsidRDefault="00982A2E" w:rsidP="00963411">
      <w:pPr>
        <w:spacing w:line="480" w:lineRule="auto"/>
        <w:rPr>
          <w:iCs/>
        </w:rPr>
      </w:pPr>
      <w:r w:rsidRPr="00441D50">
        <w:rPr>
          <w:iCs/>
        </w:rPr>
        <w:t>Email: shann@liv.ac.uk</w:t>
      </w:r>
    </w:p>
    <w:p w14:paraId="5145A9D3" w14:textId="77777777" w:rsidR="00963411" w:rsidRPr="00441D50" w:rsidRDefault="00963411" w:rsidP="00963411">
      <w:pPr>
        <w:spacing w:line="480" w:lineRule="auto"/>
      </w:pPr>
    </w:p>
    <w:p w14:paraId="39685AD6" w14:textId="77777777" w:rsidR="00CC7A9C" w:rsidRPr="00441D50" w:rsidRDefault="00CC7A9C" w:rsidP="00963411">
      <w:pPr>
        <w:spacing w:line="480" w:lineRule="auto"/>
        <w:rPr>
          <w:b/>
        </w:rPr>
      </w:pPr>
      <w:r w:rsidRPr="00441D50">
        <w:rPr>
          <w:b/>
        </w:rPr>
        <w:t>SUMMARY</w:t>
      </w:r>
    </w:p>
    <w:p w14:paraId="79734CB6" w14:textId="443AFBCD" w:rsidR="00982A2E" w:rsidRPr="00441D50" w:rsidRDefault="00982A2E" w:rsidP="00963411">
      <w:pPr>
        <w:spacing w:line="480" w:lineRule="auto"/>
        <w:jc w:val="both"/>
      </w:pPr>
      <w:r w:rsidRPr="00441D50">
        <w:rPr>
          <w:b/>
        </w:rPr>
        <w:t xml:space="preserve">Background: </w:t>
      </w:r>
      <w:r w:rsidR="00CC7A9C" w:rsidRPr="00441D50">
        <w:t xml:space="preserve">Surgical site infection (SSI) </w:t>
      </w:r>
      <w:r w:rsidR="005030F8" w:rsidRPr="00441D50">
        <w:t>is</w:t>
      </w:r>
      <w:r w:rsidR="00CC7A9C" w:rsidRPr="00441D50">
        <w:t xml:space="preserve"> a leading cause of morbidity in </w:t>
      </w:r>
      <w:r w:rsidR="00DD0EAD" w:rsidRPr="00441D50">
        <w:t xml:space="preserve">horses </w:t>
      </w:r>
      <w:r w:rsidR="00CC7A9C" w:rsidRPr="00441D50">
        <w:t>undergoing emergency exploratory laparotomy for the treatment of acute colic. The exact mechanism</w:t>
      </w:r>
      <w:r w:rsidR="00C711C1" w:rsidRPr="00441D50">
        <w:t xml:space="preserve"> by which </w:t>
      </w:r>
      <w:r w:rsidR="00CC7A9C" w:rsidRPr="00441D50">
        <w:t xml:space="preserve">SSI </w:t>
      </w:r>
      <w:r w:rsidR="00C711C1" w:rsidRPr="00441D50">
        <w:t xml:space="preserve">develops </w:t>
      </w:r>
      <w:r w:rsidR="00CC7A9C" w:rsidRPr="00441D50">
        <w:t xml:space="preserve">in </w:t>
      </w:r>
      <w:r w:rsidR="00DD0EAD" w:rsidRPr="00441D50">
        <w:t>these cases</w:t>
      </w:r>
      <w:r w:rsidR="00CC7A9C" w:rsidRPr="00441D50">
        <w:t xml:space="preserve"> is unclear. This prospective </w:t>
      </w:r>
      <w:r w:rsidR="00B85A8C" w:rsidRPr="00441D50">
        <w:t xml:space="preserve">observational </w:t>
      </w:r>
      <w:r w:rsidR="00CC7A9C" w:rsidRPr="00441D50">
        <w:t xml:space="preserve">study investigated </w:t>
      </w:r>
      <w:r w:rsidR="00C711C1" w:rsidRPr="00441D50">
        <w:t>whether</w:t>
      </w:r>
      <w:r w:rsidR="00CC7A9C" w:rsidRPr="00441D50">
        <w:t xml:space="preserve"> bacterial translocation </w:t>
      </w:r>
      <w:r w:rsidR="00C711C1" w:rsidRPr="00441D50">
        <w:t xml:space="preserve">occurs </w:t>
      </w:r>
      <w:r w:rsidR="00CC7A9C" w:rsidRPr="00441D50">
        <w:t xml:space="preserve">in </w:t>
      </w:r>
      <w:r w:rsidR="00DD0EAD" w:rsidRPr="00441D50">
        <w:t>horses</w:t>
      </w:r>
      <w:r w:rsidR="00CC7A9C" w:rsidRPr="00441D50">
        <w:t xml:space="preserve"> with acute colic and </w:t>
      </w:r>
      <w:r w:rsidR="00C711C1" w:rsidRPr="00441D50">
        <w:t>if there is a</w:t>
      </w:r>
      <w:r w:rsidR="0081465F" w:rsidRPr="00441D50">
        <w:t>n</w:t>
      </w:r>
      <w:r w:rsidR="00C711C1" w:rsidRPr="00441D50">
        <w:t xml:space="preserve"> </w:t>
      </w:r>
      <w:r w:rsidR="00CC7A9C" w:rsidRPr="00441D50">
        <w:t xml:space="preserve">association between bacterial translocation and development of SSI. </w:t>
      </w:r>
    </w:p>
    <w:p w14:paraId="4395F830" w14:textId="4EA95BDB" w:rsidR="00982A2E" w:rsidRPr="00441D50" w:rsidRDefault="00982A2E" w:rsidP="00963411">
      <w:pPr>
        <w:spacing w:line="480" w:lineRule="auto"/>
        <w:jc w:val="both"/>
      </w:pPr>
      <w:r w:rsidRPr="00441D50">
        <w:rPr>
          <w:b/>
        </w:rPr>
        <w:t xml:space="preserve">Methods: </w:t>
      </w:r>
      <w:r w:rsidR="00CC7A9C" w:rsidRPr="00441D50">
        <w:t xml:space="preserve">Peripheral venous blood </w:t>
      </w:r>
      <w:r w:rsidR="002748F5" w:rsidRPr="00441D50">
        <w:t xml:space="preserve">(PVB) </w:t>
      </w:r>
      <w:r w:rsidR="00CC7A9C" w:rsidRPr="00441D50">
        <w:t xml:space="preserve">and peritoneal fluid </w:t>
      </w:r>
      <w:r w:rsidR="002748F5" w:rsidRPr="00441D50">
        <w:t xml:space="preserve">(PF) </w:t>
      </w:r>
      <w:r w:rsidR="00CC7A9C" w:rsidRPr="00441D50">
        <w:t xml:space="preserve">samples were collected </w:t>
      </w:r>
      <w:r w:rsidR="00C711C1" w:rsidRPr="00441D50">
        <w:t xml:space="preserve">on </w:t>
      </w:r>
      <w:r w:rsidR="0081465F" w:rsidRPr="00441D50">
        <w:t xml:space="preserve">admission </w:t>
      </w:r>
      <w:r w:rsidR="002748F5" w:rsidRPr="00441D50">
        <w:t xml:space="preserve">and PF samples were collected at the end of surgery from horses presenting </w:t>
      </w:r>
      <w:r w:rsidR="00CC7A9C" w:rsidRPr="00441D50">
        <w:t xml:space="preserve">for investigation of acute colic. </w:t>
      </w:r>
      <w:r w:rsidR="002748F5" w:rsidRPr="00441D50">
        <w:t>A</w:t>
      </w:r>
      <w:r w:rsidR="002F5B82" w:rsidRPr="00441D50">
        <w:t>ny discharge from the laparot</w:t>
      </w:r>
      <w:r w:rsidR="00C711C1" w:rsidRPr="00441D50">
        <w:t xml:space="preserve">omy incision in horses that developed SSI </w:t>
      </w:r>
      <w:r w:rsidR="002748F5" w:rsidRPr="00441D50">
        <w:t>was also</w:t>
      </w:r>
      <w:r w:rsidR="00C711C1" w:rsidRPr="00441D50">
        <w:t xml:space="preserve"> </w:t>
      </w:r>
      <w:r w:rsidR="002748F5" w:rsidRPr="00441D50">
        <w:t xml:space="preserve">collected. All samples were submitted for bacterial culture. </w:t>
      </w:r>
    </w:p>
    <w:p w14:paraId="737194E3" w14:textId="008542AA" w:rsidR="00CC7A9C" w:rsidRPr="00441D50" w:rsidRDefault="00982A2E" w:rsidP="00963411">
      <w:pPr>
        <w:spacing w:line="480" w:lineRule="auto"/>
        <w:jc w:val="both"/>
      </w:pPr>
      <w:r w:rsidRPr="00441D50">
        <w:rPr>
          <w:b/>
        </w:rPr>
        <w:lastRenderedPageBreak/>
        <w:t xml:space="preserve">Results: </w:t>
      </w:r>
      <w:r w:rsidR="002748F5" w:rsidRPr="00441D50">
        <w:t>In</w:t>
      </w:r>
      <w:r w:rsidR="00005BEA" w:rsidRPr="00441D50">
        <w:t xml:space="preserve"> total, 7.7</w:t>
      </w:r>
      <w:r w:rsidR="0061140F" w:rsidRPr="00441D50">
        <w:t xml:space="preserve">% of </w:t>
      </w:r>
      <w:r w:rsidR="002748F5" w:rsidRPr="00441D50">
        <w:t>PVB</w:t>
      </w:r>
      <w:r w:rsidR="0061140F" w:rsidRPr="00441D50">
        <w:t xml:space="preserve"> sample</w:t>
      </w:r>
      <w:r w:rsidR="00A55602" w:rsidRPr="00441D50">
        <w:t>s</w:t>
      </w:r>
      <w:r w:rsidR="0061140F" w:rsidRPr="00441D50">
        <w:t xml:space="preserve"> (3/3</w:t>
      </w:r>
      <w:r w:rsidR="0081465F" w:rsidRPr="00441D50">
        <w:t>9</w:t>
      </w:r>
      <w:r w:rsidR="0061140F" w:rsidRPr="00441D50">
        <w:t>)</w:t>
      </w:r>
      <w:r w:rsidR="002748F5" w:rsidRPr="00441D50">
        <w:t xml:space="preserve">, </w:t>
      </w:r>
      <w:r w:rsidR="008F49D4" w:rsidRPr="00441D50">
        <w:t>1</w:t>
      </w:r>
      <w:r w:rsidR="00005BEA" w:rsidRPr="00441D50">
        <w:t>1.8</w:t>
      </w:r>
      <w:r w:rsidR="008F49D4" w:rsidRPr="00441D50">
        <w:t xml:space="preserve">% </w:t>
      </w:r>
      <w:r w:rsidR="00A9572D" w:rsidRPr="00441D50">
        <w:t>(4/</w:t>
      </w:r>
      <w:r w:rsidR="0081465F" w:rsidRPr="00441D50">
        <w:t>34</w:t>
      </w:r>
      <w:r w:rsidR="00A9572D" w:rsidRPr="00441D50">
        <w:t xml:space="preserve">) </w:t>
      </w:r>
      <w:r w:rsidR="008F49D4" w:rsidRPr="00441D50">
        <w:t>of</w:t>
      </w:r>
      <w:r w:rsidR="002748F5" w:rsidRPr="00441D50">
        <w:t xml:space="preserve"> admission</w:t>
      </w:r>
      <w:r w:rsidR="008F49D4" w:rsidRPr="00441D50">
        <w:t xml:space="preserve"> </w:t>
      </w:r>
      <w:r w:rsidR="002748F5" w:rsidRPr="00441D50">
        <w:t>PF</w:t>
      </w:r>
      <w:r w:rsidR="00CC7A9C" w:rsidRPr="00441D50">
        <w:t xml:space="preserve"> samples and </w:t>
      </w:r>
      <w:r w:rsidR="00005BEA" w:rsidRPr="00441D50">
        <w:t>8.7</w:t>
      </w:r>
      <w:r w:rsidR="0081465F" w:rsidRPr="00441D50">
        <w:t>% (2/23</w:t>
      </w:r>
      <w:r w:rsidR="00A9572D" w:rsidRPr="00441D50">
        <w:t xml:space="preserve">) of the </w:t>
      </w:r>
      <w:r w:rsidR="002748F5" w:rsidRPr="00441D50">
        <w:t>PF</w:t>
      </w:r>
      <w:r w:rsidR="00CC7A9C" w:rsidRPr="00441D50">
        <w:t xml:space="preserve"> samples</w:t>
      </w:r>
      <w:r w:rsidR="00A55602" w:rsidRPr="00441D50">
        <w:t xml:space="preserve"> </w:t>
      </w:r>
      <w:r w:rsidR="002748F5" w:rsidRPr="00441D50">
        <w:t>at</w:t>
      </w:r>
      <w:r w:rsidR="00C711C1" w:rsidRPr="00441D50">
        <w:t xml:space="preserve"> surgery</w:t>
      </w:r>
      <w:r w:rsidR="00CC7A9C" w:rsidRPr="00441D50">
        <w:t xml:space="preserve"> were culture positive.</w:t>
      </w:r>
      <w:r w:rsidR="00504C9E" w:rsidRPr="00441D50">
        <w:t xml:space="preserve"> The </w:t>
      </w:r>
      <w:r w:rsidR="00FD1D6E" w:rsidRPr="00441D50">
        <w:t xml:space="preserve">prevalence of </w:t>
      </w:r>
      <w:r w:rsidR="00504C9E" w:rsidRPr="00441D50">
        <w:t xml:space="preserve">SSI was 10%. </w:t>
      </w:r>
      <w:r w:rsidR="00CC7A9C" w:rsidRPr="00441D50">
        <w:t xml:space="preserve">No association was </w:t>
      </w:r>
      <w:r w:rsidR="005873F0" w:rsidRPr="00441D50">
        <w:t xml:space="preserve">identified </w:t>
      </w:r>
      <w:r w:rsidR="00CC7A9C" w:rsidRPr="00441D50">
        <w:t xml:space="preserve">between a positive </w:t>
      </w:r>
      <w:r w:rsidR="002748F5" w:rsidRPr="00441D50">
        <w:t>PVB</w:t>
      </w:r>
      <w:r w:rsidR="00A55602" w:rsidRPr="00441D50">
        <w:t xml:space="preserve"> or </w:t>
      </w:r>
      <w:r w:rsidR="002748F5" w:rsidRPr="00441D50">
        <w:t>PF</w:t>
      </w:r>
      <w:r w:rsidR="00A55602" w:rsidRPr="00441D50">
        <w:t xml:space="preserve"> </w:t>
      </w:r>
      <w:r w:rsidR="00CC7A9C" w:rsidRPr="00441D50">
        <w:t>culture</w:t>
      </w:r>
      <w:r w:rsidR="00486B82" w:rsidRPr="00441D50">
        <w:t xml:space="preserve"> and</w:t>
      </w:r>
      <w:r w:rsidR="00CC7A9C" w:rsidRPr="00441D50">
        <w:t xml:space="preserve"> development of </w:t>
      </w:r>
      <w:proofErr w:type="gramStart"/>
      <w:r w:rsidR="00CC7A9C" w:rsidRPr="00441D50">
        <w:t>a</w:t>
      </w:r>
      <w:proofErr w:type="gramEnd"/>
      <w:r w:rsidR="00CC7A9C" w:rsidRPr="00441D50">
        <w:t xml:space="preserve"> SSI or survival to hospital discharge. </w:t>
      </w:r>
      <w:r w:rsidR="00C711C1" w:rsidRPr="00441D50">
        <w:t xml:space="preserve"> </w:t>
      </w:r>
      <w:r w:rsidRPr="00441D50">
        <w:rPr>
          <w:b/>
        </w:rPr>
        <w:t xml:space="preserve">Conclusion: </w:t>
      </w:r>
      <w:r w:rsidR="00486B82" w:rsidRPr="00441D50">
        <w:t>B</w:t>
      </w:r>
      <w:r w:rsidR="00CC7A9C" w:rsidRPr="00441D50">
        <w:t xml:space="preserve">acterial translocation </w:t>
      </w:r>
      <w:r w:rsidR="004255C9" w:rsidRPr="00441D50">
        <w:t>can occur</w:t>
      </w:r>
      <w:r w:rsidR="00CC7A9C" w:rsidRPr="00441D50">
        <w:t xml:space="preserve"> in</w:t>
      </w:r>
      <w:r w:rsidR="004255C9" w:rsidRPr="00441D50">
        <w:t xml:space="preserve"> some</w:t>
      </w:r>
      <w:r w:rsidR="00CC7A9C" w:rsidRPr="00441D50">
        <w:t xml:space="preserve"> </w:t>
      </w:r>
      <w:r w:rsidR="00DD0EAD" w:rsidRPr="00441D50">
        <w:t>horses with acute colic</w:t>
      </w:r>
      <w:r w:rsidR="000D2A9A" w:rsidRPr="00441D50">
        <w:t>.</w:t>
      </w:r>
      <w:r w:rsidR="00CC7A9C" w:rsidRPr="00441D50">
        <w:t xml:space="preserve"> </w:t>
      </w:r>
      <w:r w:rsidR="004255C9" w:rsidRPr="00441D50">
        <w:t>However, we were unable to identify any association between bacterial translocation and the development of SSIs following emergency exploratory laparotomy.</w:t>
      </w:r>
      <w:r w:rsidR="006456A1" w:rsidRPr="00441D50">
        <w:t xml:space="preserve"> </w:t>
      </w:r>
    </w:p>
    <w:p w14:paraId="6769BDCD" w14:textId="77777777" w:rsidR="00CC7A9C" w:rsidRPr="00441D50" w:rsidRDefault="00CC7A9C" w:rsidP="00963411">
      <w:pPr>
        <w:spacing w:line="480" w:lineRule="auto"/>
        <w:jc w:val="both"/>
      </w:pPr>
    </w:p>
    <w:p w14:paraId="5EA34CB2" w14:textId="77777777" w:rsidR="00CC7A9C" w:rsidRPr="00441D50" w:rsidRDefault="00CC7A9C" w:rsidP="00963411">
      <w:pPr>
        <w:spacing w:line="480" w:lineRule="auto"/>
        <w:jc w:val="both"/>
        <w:rPr>
          <w:b/>
        </w:rPr>
      </w:pPr>
      <w:r w:rsidRPr="00441D50">
        <w:rPr>
          <w:b/>
        </w:rPr>
        <w:t>INTRODUCTION</w:t>
      </w:r>
    </w:p>
    <w:p w14:paraId="39C21FBB" w14:textId="2F478E9C" w:rsidR="00CC7A9C" w:rsidRPr="00441D50" w:rsidRDefault="008C6DF6" w:rsidP="00963411">
      <w:pPr>
        <w:spacing w:line="480" w:lineRule="auto"/>
        <w:jc w:val="both"/>
      </w:pPr>
      <w:r w:rsidRPr="00441D50">
        <w:t>Surgical site infection (</w:t>
      </w:r>
      <w:r w:rsidR="00CC7A9C" w:rsidRPr="00441D50">
        <w:t>SSI</w:t>
      </w:r>
      <w:r w:rsidRPr="00441D50">
        <w:t>)</w:t>
      </w:r>
      <w:r w:rsidR="00CC7A9C" w:rsidRPr="00441D50">
        <w:t xml:space="preserve"> is one of the </w:t>
      </w:r>
      <w:r w:rsidR="00BB18F9" w:rsidRPr="00441D50">
        <w:t>most frequent</w:t>
      </w:r>
      <w:r w:rsidR="00C711C1" w:rsidRPr="00441D50">
        <w:t xml:space="preserve"> </w:t>
      </w:r>
      <w:r w:rsidR="005873F0" w:rsidRPr="00441D50">
        <w:t xml:space="preserve">morbidities </w:t>
      </w:r>
      <w:r w:rsidR="00CC7A9C" w:rsidRPr="00441D50">
        <w:t>that</w:t>
      </w:r>
      <w:r w:rsidR="00BB18F9" w:rsidRPr="00441D50">
        <w:t xml:space="preserve"> can</w:t>
      </w:r>
      <w:r w:rsidR="00CC7A9C" w:rsidRPr="00441D50">
        <w:t xml:space="preserve"> develop following </w:t>
      </w:r>
      <w:r w:rsidR="00442054" w:rsidRPr="00441D50">
        <w:t xml:space="preserve">emergency </w:t>
      </w:r>
      <w:r w:rsidR="00CC7A9C" w:rsidRPr="00441D50">
        <w:t>exploratory laparotomy for the treatment of equine colic</w:t>
      </w:r>
      <w:r w:rsidR="00CC7A9C" w:rsidRPr="00441D50">
        <w:fldChar w:fldCharType="begin" w:fldLock="1"/>
      </w:r>
      <w:r w:rsidR="00CC7A9C" w:rsidRPr="00441D50">
        <w:instrText>ADDIN CSL_CITATION {"citationItems":[{"id":"ITEM-1","itemData":{"author":[{"dropping-particle":"","family":"French","given":"N P","non-dropping-particle":"","parse-names":false,"suffix":""},{"dropping-particle":"","family":"Smith","given":"J","non-dropping-particle":"","parse-names":false,"suffix":""},{"dropping-particle":"","family":"Edwards","given":"G B","non-dropping-particle":"","parse-names":false,"suffix":""},{"dropping-particle":"","family":"Proudman","given":"C J","non-dropping-particle":"","parse-names":false,"suffix":""}],"container-title":"Equine Veterinary Journal","id":"ITEM-1","issue":"November 2000","issued":{"date-parts":[["2002"]]},"page":"444-449","title":"Equine surgical colic : risk factors for postoperative complications","type":"article-journal","volume":"34"},"uris":["http://www.mendeley.com/documents/?uuid=497d9ff2-1a0c-480e-8892-8462ad7b95f7"]}],"mendeley":{"formattedCitation":"(1)","plainTextFormattedCitation":"(1)","previouslyFormattedCitation":"(1)"},"properties":{"noteIndex":0},"schema":"https://github.com/citation-style-language/schema/raw/master/csl-citation.json"}</w:instrText>
      </w:r>
      <w:r w:rsidR="00CC7A9C" w:rsidRPr="00441D50">
        <w:fldChar w:fldCharType="separate"/>
      </w:r>
      <w:r w:rsidR="00CC7A9C" w:rsidRPr="00441D50">
        <w:rPr>
          <w:noProof/>
        </w:rPr>
        <w:t>(1)</w:t>
      </w:r>
      <w:r w:rsidR="00CC7A9C" w:rsidRPr="00441D50">
        <w:fldChar w:fldCharType="end"/>
      </w:r>
      <w:r w:rsidR="00CC7A9C" w:rsidRPr="00441D50">
        <w:t xml:space="preserve">. </w:t>
      </w:r>
      <w:r w:rsidR="00C711C1" w:rsidRPr="00441D50">
        <w:t>SSI</w:t>
      </w:r>
      <w:r w:rsidR="005030F8" w:rsidRPr="00441D50">
        <w:t>s</w:t>
      </w:r>
      <w:r w:rsidR="00CC7A9C" w:rsidRPr="00441D50">
        <w:t xml:space="preserve"> result in increased hospitalisation and </w:t>
      </w:r>
      <w:r w:rsidR="00BB18F9" w:rsidRPr="00441D50">
        <w:t xml:space="preserve">economic </w:t>
      </w:r>
      <w:r w:rsidR="00CC7A9C" w:rsidRPr="00441D50">
        <w:t xml:space="preserve">costs and are a major risk factor for </w:t>
      </w:r>
      <w:r w:rsidR="00C711C1" w:rsidRPr="00441D50">
        <w:t xml:space="preserve">subsequent </w:t>
      </w:r>
      <w:r w:rsidR="00CC7A9C" w:rsidRPr="00441D50">
        <w:t>incisional hernia formation</w:t>
      </w:r>
      <w:r w:rsidR="00BB18F9" w:rsidRPr="00441D50">
        <w:t>, which may limit future athletic function</w:t>
      </w:r>
      <w:r w:rsidR="00CC7A9C" w:rsidRPr="00441D50">
        <w:fldChar w:fldCharType="begin" w:fldLock="1"/>
      </w:r>
      <w:r w:rsidR="00CC7A9C" w:rsidRPr="00441D50">
        <w:instrText>ADDIN CSL_CITATION {"citationItems":[{"id":"ITEM-1","itemData":{"author":[{"dropping-particle":"","family":"Gibson","given":"Katherine T","non-dropping-particle":"","parse-names":false,"suffix":""},{"dropping-particle":"","family":"Curtis","given":"Charles R","non-dropping-particle":"","parse-names":false,"suffix":""},{"dropping-particle":"","family":"Turner","given":"A Simon","non-dropping-particle":"","parse-names":false,"suffix":""},{"dropping-particle":"","family":"Mcllwraith","given":"C Wayne","non-dropping-particle":"","parse-names":false,"suffix":""},{"dropping-particle":"","family":"Aanes","given":"Wilbur A","non-dropping-particle":"","parse-names":false,"suffix":""},{"dropping-particle":"","family":"Stashak","given":"T E D","non-dropping-particle":"","parse-names":false,"suffix":""}],"container-title":"Veterinary Surgery","id":"ITEM-1","issue":"5","issued":{"date-parts":[["1989"]]},"page":"360-366","title":"Incisional hernias in the horse: Incidence and Predisposing Factors","type":"article-journal","volume":"18"},"uris":["http://www.mendeley.com/documents/?uuid=22bb8991-ec7c-42a4-aa37-c4862aad3649"]},{"id":"ITEM-2","itemData":{"author":[{"dropping-particle":"","family":"French","given":"N P","non-dropping-particle":"","parse-names":false,"suffix":""},{"dropping-particle":"","family":"Smith","given":"J","non-dropping-particle":"","parse-names":false,"suffix":""},{"dropping-particle":"","family":"Edwards","given":"G B","non-dropping-particle":"","parse-names":false,"suffix":""},{"dropping-particle":"","family":"Proudman","given":"C J","non-dropping-particle":"","parse-names":false,"suffix":""}],"container-title":"Equine Veterinary Journal","id":"ITEM-2","issue":"November 2000","issued":{"date-parts":[["2002"]]},"page":"444-449","title":"Equine surgical colic : risk factors for postoperative complications","type":"article-journal","volume":"34"},"uris":["http://www.mendeley.com/documents/?uuid=497d9ff2-1a0c-480e-8892-8462ad7b95f7"]}],"mendeley":{"formattedCitation":"(1,2)","plainTextFormattedCitation":"(1,2)","previouslyFormattedCitation":"(1,2)"},"properties":{"noteIndex":0},"schema":"https://github.com/citation-style-language/schema/raw/master/csl-citation.json"}</w:instrText>
      </w:r>
      <w:r w:rsidR="00CC7A9C" w:rsidRPr="00441D50">
        <w:fldChar w:fldCharType="separate"/>
      </w:r>
      <w:r w:rsidR="00CC7A9C" w:rsidRPr="00441D50">
        <w:rPr>
          <w:noProof/>
        </w:rPr>
        <w:t>(1,2)</w:t>
      </w:r>
      <w:r w:rsidR="00CC7A9C" w:rsidRPr="00441D50">
        <w:fldChar w:fldCharType="end"/>
      </w:r>
      <w:r w:rsidR="00CC7A9C" w:rsidRPr="00441D50">
        <w:t xml:space="preserve">. The </w:t>
      </w:r>
      <w:r w:rsidR="00FD1D6E" w:rsidRPr="00441D50">
        <w:t xml:space="preserve">prevalence of </w:t>
      </w:r>
      <w:r w:rsidR="00CC7A9C" w:rsidRPr="00441D50">
        <w:t xml:space="preserve">SSI </w:t>
      </w:r>
      <w:r w:rsidR="00C711C1" w:rsidRPr="00441D50">
        <w:t>following</w:t>
      </w:r>
      <w:r w:rsidR="00CC7A9C" w:rsidRPr="00441D50">
        <w:t xml:space="preserve"> emergency exploratory laparotomy varies from 7.4 to 40%</w:t>
      </w:r>
      <w:r w:rsidR="00CC7A9C" w:rsidRPr="00441D50">
        <w:fldChar w:fldCharType="begin" w:fldLock="1"/>
      </w:r>
      <w:r w:rsidR="00CC7A9C" w:rsidRPr="00441D50">
        <w:instrText>ADDIN CSL_CITATION {"citationItems":[{"id":"ITEM-1","itemData":{"DOI":"10.1111/evj.12564","ISBN":"0425-1644","ISSN":"20423306","PMID":"26713622","abstract":"REASONS FOR PERFORMING STUDY: Surgical site infection (SSI) is an important cause of postoperative morbidity following laparotomy. OBJECTIVES: To investigate risk factors for SSI, including effect of season and surgery performed outside normal working hours, and to report bacterial isolates and antimicrobial resistance patterns. STUDY DESIGN: Retrospective cohort study. METHODS: Data was obtained from horses that had undergone exploratory laparotomy over a 3-year period (2010-2013) in a UK hospital population. SSI was defined as any purulent or serous discharge from the laparotomy incision of &gt;24 hours duration that developed during hospitalisation. Multivariable logistic regression was used to identify associations between pre-, intra- and postoperative variables and altered likelihood of SSI. RESULTS: Surgical site infection developed in 73/287 (25.4%) horses during hospitalisation. Horses of greater body weight (OR 1.002, 95% CI 1.0002-1.005, P = 0.03), increased PCV (&gt;/=48%) on admission (OR 3.03, 95% CI 1.32-6.94,P = 0.01), small intestinal resection (OR 2.27, 95% CI 1.15-4.46, P = 0.02) and postoperative colic (OR 2.86, 95% CI 1.41-5.79, P = 0.003) were significantly associated with increased likelihood of SSI in a multivariable model. SSI was also significantly more likely to occur during winter (OR 3.84, 95% CI 1.38-10.70, P = 0.01) and summer (OR 5.63, 95% CI 2.07-15.3, P = 0.001) months in the model. Three-layer closure of the incision was protective (OR 0.31, 95% CI 0.16-0.58, P&lt;0.001) compared to two-layer closure. There was no effect of surgery being performed outside normal working hours (P = 0.5). The most common bacterial isolates were Escherichia Coli (59.5%), Enterococcus spp (42.4%) and Staphylococcus spp (25.4%). Penicillin resistant isolates accounted for 92% (96/104) of isolates while 18% (21/119) of isolates were gentamicin resistant. CONCLUSIONS: Laparotomy during winter and summer months was associated with increased likelihood of SSI but there was no effect of surgery performed outside normal working hours. This information assists in identifying horses at high risk of SSI and informing development of preventive strategies. This article is protected by copyright. All rights reserved.","author":[{"dropping-particle":"","family":"Isgren","given":"C. M.","non-dropping-particle":"","parse-names":false,"suffix":""},{"dropping-particle":"","family":"Salem","given":"S. E.","non-dropping-particle":"","parse-names":false,"suffix":""},{"dropping-particle":"","family":"Archer","given":"D. C.","non-dropping-particle":"","parse-names":false,"suffix":""},{"dropping-particle":"","family":"Worsman","given":"F. C.F.","non-dropping-particle":"","parse-names":false,"suffix":""},{"dropping-particle":"","family":"Townsend","given":"N. B.","non-dropping-particle":"","parse-names":false,"suffix":""}],"container-title":"Equine Veterinary Journal","id":"ITEM-1","issue":"1","issued":{"date-parts":[["2017"]]},"page":"39-44","title":"Risk factors for surgical site infection following laparotomy: Effect of season and perioperative variables and reporting of bacterial isolates in 287 horses","type":"article-journal","volume":"49"},"uris":["http://www.mendeley.com/documents/?uuid=02152b54-63ff-47f6-8c97-ece0305196e3"]},{"id":"ITEM-2","itemData":{"ISSN":"0003-1488","author":[{"dropping-particle":"","family":"Kobluk","given":"C N","non-dropping-particle":"","parse-names":false,"suffix":""},{"dropping-particle":"","family":"Ducharme","given":"N G","non-dropping-particle":"","parse-names":false,"suffix":""},{"dropping-particle":"","family":"Lumsden","given":"J H","non-dropping-particle":"","parse-names":false,"suffix":""},{"dropping-particle":"","family":"Pascoe","given":"P J","non-dropping-particle":"","parse-names":false,"suffix":""},{"dropping-particle":"","family":"Livesey","given":"M A","non-dropping-particle":"","parse-names":false,"suffix":""},{"dropping-particle":"","family":"Hurtig","given":"M","non-dropping-particle":"","parse-names":false,"suffix":""},{"dropping-particle":"","family":"Horney","given":"F D","non-dropping-particle":"","parse-names":false,"suffix":""},{"dropping-particle":"","family":"Arighi","given":"M","non-dropping-particle":"","parse-names":false,"suffix":""}],"container-title":"Journal of the American Veterinary Medical Association","id":"ITEM-2","issue":"5","issued":{"date-parts":[["1989"]]},"page":"639-642","title":"Factors affecting incisional complication rates associated with colic surgery in horses: 78 cases (1983-1985).","type":"article-journal","volume":"195"},"uris":["http://www.mendeley.com/documents/?uuid=5dc06dd5-f3f1-4912-8062-56c4eeee8fe5"]},{"id":"ITEM-3","itemData":{"ISSN":"0161-3499","author":[{"dropping-particle":"","family":"Wilson","given":"D.A.","non-dropping-particle":"","parse-names":false,"suffix":""},{"dropping-particle":"","family":"Baker","given":"G.J.","non-dropping-particle":"","parse-names":false,"suffix":""},{"dropping-particle":"","family":"Boero","given":"M.J","non-dropping-particle":"","parse-names":false,"suffix":""}],"container-title":"Veterinary Surgery","id":"ITEM-3","issue":"6","issued":{"date-parts":[["1995"]]},"page":"506-514","publisher":"Wiley Online Library","title":"Complications of celiotomy incisions in horses","type":"article-journal","volume":"24"},"uris":["http://www.mendeley.com/documents/?uuid=c5d6bc24-f048-4bfa-be6e-8ddf930d24a5"]},{"id":"ITEM-4","itemData":{"ISSN":"0003-1488","author":[{"dropping-particle":"","family":"Honnas","given":"C M","non-dropping-particle":"","parse-names":false,"suffix":""},{"dropping-particle":"","family":"Cohen","given":"N D","non-dropping-particle":"","parse-names":false,"suffix":""}],"container-title":"Journal of the American Veterinary Medical Association","id":"ITEM-4","issue":"1","issued":{"date-parts":[["1997"]]},"page":"78-81","title":"Risk factors for wound infection following celiotomy in horses.","type":"article-journal","volume":"210"},"uris":["http://www.mendeley.com/documents/?uuid=d2369fd2-ea64-4c19-a0dd-cb8e9a9db28e"]},{"id":"ITEM-5","itemData":{"ISSN":"0161-3499","author":[{"dropping-particle":"","family":"Torfs","given":"Sara","non-dropping-particle":"","parse-names":false,"suffix":""},{"dropping-particle":"","family":"Levet","given":"Tamara","non-dropping-particle":"","parse-names":false,"suffix":""},{"dropping-particle":"","family":"Delesalle","given":"Catherine","non-dropping-particle":"","parse-names":false,"suffix":""},{"dropping-particle":"","family":"Dewulf","given":"Jeroen","non-dropping-particle":"","parse-names":false,"suffix":""},{"dropping-particle":"","family":"Vlaminck","given":"Lieven","non-dropping-particle":"","parse-names":false,"suffix":""},{"dropping-particle":"","family":"Pille","given":"Frederik","non-dropping-particle":"","parse-names":false,"suffix":""},{"dropping-particle":"","family":"Lefere","given":"Laurence","non-dropping-particle":"","parse-names":false,"suffix":""},{"dropping-particle":"","family":"Martens","given":"Ann","non-dropping-particle":"","parse-names":false,"suffix":""}],"container-title":"Veterinary surgery","id":"ITEM-5","issue":"5","issued":{"date-parts":[["2010"]]},"page":"616-620","publisher":"Wiley Online Library","title":"Risk factors for incisional complications after exploratory celiotomy in horses: do skin staples increase the risk?","type":"article-journal","volume":"39"},"uris":["http://www.mendeley.com/documents/?uuid=a158de9e-03f8-4644-84d1-fb7680e91edb"]},{"id":"ITEM-6","itemData":{"ISSN":"0425-1644","author":[{"dropping-particle":"","family":"Tnibar","given":"Aziz","non-dropping-particle":"","parse-names":false,"suffix":""},{"dropping-particle":"","family":"Grubbe Lin","given":"K","non-dropping-particle":"","parse-names":false,"suffix":""},{"dropping-particle":"","family":"Thurøe Nielsen","given":"K","non-dropping-particle":"","parse-names":false,"suffix":""},{"dropping-particle":"","family":"Christophersen","given":"Mogens Teken","non-dropping-particle":"","parse-names":false,"suffix":""},{"dropping-particle":"","family":"Lindegaard","given":"Casper","non-dropping-particle":"","parse-names":false,"suffix":""},{"dropping-particle":"","family":"Martinussen","given":"Torben","non-dropping-particle":"","parse-names":false,"suffix":""},{"dropping-particle":"","family":"Ekstrøm","given":"Claus Thorn","non-dropping-particle":"","parse-names":false,"suffix":""}],"container-title":"Equine veterinary journal","id":"ITEM-6","issue":"5","issued":{"date-parts":[["2013"]]},"page":"564-569","publisher":"Wiley Online Library","title":"Effect of a stent bandage on the likelihood of incisional infection following exploratory coeliotomy for colic in horses: a comparative retrospective study","type":"article-journal","volume":"45"},"uris":["http://www.mendeley.com/documents/?uuid=a52a9940-f23a-4888-9621-92559cc14474"]},{"id":"ITEM-7","itemData":{"ISSN":"1090-0233","author":[{"dropping-particle":"","family":"Darnaud","given":"S J M","non-dropping-particle":"","parse-names":false,"suffix":""},{"dropping-particle":"","family":"Southwood","given":"L L","non-dropping-particle":"","parse-names":false,"suffix":""},{"dropping-particle":"","family":"Aceto","given":"H W","non-dropping-particle":"","parse-names":false,"suffix":""},{"dropping-particle":"","family":"Stefanovski","given":"D","non-dropping-particle":"","parse-names":false,"suffix":""},{"dropping-particle":"","family":"Tomassone","given":"Laura","non-dropping-particle":"","parse-names":false,"suffix":""},{"dropping-particle":"","family":"Zarucco","given":"Laura","non-dropping-particle":"","parse-names":false,"suffix":""}],"container-title":"The Veterinary Journal","id":"ITEM-7","issued":{"date-parts":[["2016"]]},"page":"3-7","publisher":"Elsevier","title":"Are horse age and incision length associated with surgical site infection following equine colic surgery?","type":"article-journal","volume":"217"},"uris":["http://www.mendeley.com/documents/?uuid=42331393-dc1d-4164-9a94-e6f623caacd2"]}],"mendeley":{"formattedCitation":"(3–9)","plainTextFormattedCitation":"(3–9)","previouslyFormattedCitation":"(3–9)"},"properties":{"noteIndex":0},"schema":"https://github.com/citation-style-language/schema/raw/master/csl-citation.json"}</w:instrText>
      </w:r>
      <w:r w:rsidR="00CC7A9C" w:rsidRPr="00441D50">
        <w:fldChar w:fldCharType="separate"/>
      </w:r>
      <w:r w:rsidR="00CC7A9C" w:rsidRPr="00441D50">
        <w:rPr>
          <w:noProof/>
        </w:rPr>
        <w:t>(3–9)</w:t>
      </w:r>
      <w:r w:rsidR="00CC7A9C" w:rsidRPr="00441D50">
        <w:fldChar w:fldCharType="end"/>
      </w:r>
      <w:r w:rsidR="000D2A9A" w:rsidRPr="00441D50">
        <w:t>,</w:t>
      </w:r>
      <w:r w:rsidR="00CC7A9C" w:rsidRPr="00441D50">
        <w:t xml:space="preserve"> </w:t>
      </w:r>
      <w:r w:rsidR="00FD1D6E" w:rsidRPr="00441D50">
        <w:t xml:space="preserve">while </w:t>
      </w:r>
      <w:r w:rsidR="002A4B11" w:rsidRPr="00441D50">
        <w:t xml:space="preserve">the prevalence of </w:t>
      </w:r>
      <w:r w:rsidR="00C711C1" w:rsidRPr="00441D50">
        <w:t xml:space="preserve">SSI </w:t>
      </w:r>
      <w:r w:rsidR="002A4B11" w:rsidRPr="00441D50">
        <w:t>following equine fracture repair is</w:t>
      </w:r>
      <w:r w:rsidR="00BB18F9" w:rsidRPr="00441D50">
        <w:t xml:space="preserve"> around</w:t>
      </w:r>
      <w:r w:rsidR="00CC7A9C" w:rsidRPr="00441D50">
        <w:t xml:space="preserve"> 27.6%</w:t>
      </w:r>
      <w:r w:rsidR="00F142E0" w:rsidRPr="00441D50">
        <w:fldChar w:fldCharType="begin" w:fldLock="1"/>
      </w:r>
      <w:r w:rsidR="00F142E0" w:rsidRPr="00441D50">
        <w:instrText>ADDIN CSL_CITATION {"citationItems":[{"id":"ITEM-1","itemData":{"ISSN":"0161-3499","author":[{"dropping-particle":"","family":"Ahern","given":"Benjamin J","non-dropping-particle":"","parse-names":false,"suffix":""},{"dropping-particle":"","family":"Richardson","given":"Dean W","non-dropping-particle":"","parse-names":false,"suffix":""},{"dropping-particle":"","family":"Boston","given":"Raymond C","non-dropping-particle":"","parse-names":false,"suffix":""},{"dropping-particle":"","family":"Schaer","given":"Thomas P","non-dropping-particle":"","parse-names":false,"suffix":""}],"container-title":"Veterinary surgery","id":"ITEM-1","issue":"5","issued":{"date-parts":[["2010"]]},"page":"588-593","publisher":"Wiley Online Library","title":"Orthopedic infections in equine long bone fractures and arthrodeses treated by internal fixation: 192 cases (1990–2006)","type":"article-journal","volume":"39"},"uris":["http://www.mendeley.com/documents/?uuid=13e64653-96bf-4c30-bd98-3ae1fa406894"]}],"mendeley":{"formattedCitation":"(10)","plainTextFormattedCitation":"(10)","previouslyFormattedCitation":"(10)"},"properties":{"noteIndex":0},"schema":"https://github.com/citation-style-language/schema/raw/master/csl-citation.json"}</w:instrText>
      </w:r>
      <w:r w:rsidR="00F142E0" w:rsidRPr="00441D50">
        <w:fldChar w:fldCharType="separate"/>
      </w:r>
      <w:r w:rsidR="00F142E0" w:rsidRPr="00441D50">
        <w:rPr>
          <w:noProof/>
        </w:rPr>
        <w:t>(10)</w:t>
      </w:r>
      <w:r w:rsidR="00F142E0" w:rsidRPr="00441D50">
        <w:fldChar w:fldCharType="end"/>
      </w:r>
      <w:r w:rsidR="00F142E0" w:rsidRPr="00441D50">
        <w:t xml:space="preserve"> </w:t>
      </w:r>
      <w:r w:rsidR="002A4B11" w:rsidRPr="00441D50">
        <w:t xml:space="preserve">and </w:t>
      </w:r>
      <w:r w:rsidR="00BB18F9" w:rsidRPr="00441D50">
        <w:t>is</w:t>
      </w:r>
      <w:r w:rsidR="00152BDB" w:rsidRPr="00441D50">
        <w:t xml:space="preserve"> as low as 0-1.5% </w:t>
      </w:r>
      <w:r w:rsidR="00C711C1" w:rsidRPr="00441D50">
        <w:t xml:space="preserve">following </w:t>
      </w:r>
      <w:r w:rsidR="00621D4F" w:rsidRPr="00441D50">
        <w:t>minimally invasive surgery such as laparoscopy and arthroscopy</w:t>
      </w:r>
      <w:r w:rsidR="00F142E0" w:rsidRPr="00441D50">
        <w:fldChar w:fldCharType="begin" w:fldLock="1"/>
      </w:r>
      <w:r w:rsidR="00F142E0" w:rsidRPr="00441D50">
        <w:instrText>ADDIN CSL_CITATION {"citationItems":[{"id":"ITEM-1","itemData":{"ISSN":"0749-0739","author":[{"dropping-particle":"","family":"Hendrickson","given":"Dean A","non-dropping-particle":"","parse-names":false,"suffix":""}],"container-title":"Veterinary Clinics of North America: Equine Practice","id":"ITEM-1","issue":"3","issued":{"date-parts":[["2008"]]},"page":"557-571","publisher":"Elsevier","title":"Complications of laparoscopic surgery","type":"article-journal","volume":"24"},"uris":["http://www.mendeley.com/documents/?uuid=61f47f88-509f-479c-84c4-f0fc3504c419"]},{"id":"ITEM-2","itemData":{"ISSN":"0003-1488","author":[{"dropping-particle":"","family":"Olds","given":"Ashleigh M","non-dropping-particle":"","parse-names":false,"suffix":""},{"dropping-particle":"","family":"Stewart","given":"Allison A","non-dropping-particle":"","parse-names":false,"suffix":""},{"dropping-particle":"","family":"Freeman","given":"David E","non-dropping-particle":"","parse-names":false,"suffix":""},{"dropping-particle":"","family":"Schaeffer","given":"David J","non-dropping-particle":"","parse-names":false,"suffix":""}],"container-title":"Journal of the American Veterinary Medical Association","id":"ITEM-2","issue":"12","issued":{"date-parts":[["2006"]]},"page":"1949-1954","publisher":"Am Vet Med Assoc","title":"Evaluation of the rate of development of septic arthritis after elective arthroscopy in horses: 7 cases (1994–2003)","type":"article-journal","volume":"229"},"uris":["http://www.mendeley.com/documents/?uuid=2d657506-d209-49c9-97bd-07aec394c256"]}],"mendeley":{"formattedCitation":"(11,12)","plainTextFormattedCitation":"(11,12)","previouslyFormattedCitation":"(11,12)"},"properties":{"noteIndex":0},"schema":"https://github.com/citation-style-language/schema/raw/master/csl-citation.json"}</w:instrText>
      </w:r>
      <w:r w:rsidR="00F142E0" w:rsidRPr="00441D50">
        <w:fldChar w:fldCharType="separate"/>
      </w:r>
      <w:r w:rsidR="00F142E0" w:rsidRPr="00441D50">
        <w:rPr>
          <w:noProof/>
        </w:rPr>
        <w:t>(11,12)</w:t>
      </w:r>
      <w:r w:rsidR="00F142E0" w:rsidRPr="00441D50">
        <w:fldChar w:fldCharType="end"/>
      </w:r>
      <w:r w:rsidR="00621D4F" w:rsidRPr="00441D50">
        <w:t>.</w:t>
      </w:r>
      <w:r w:rsidR="00F142E0" w:rsidRPr="00441D50">
        <w:t xml:space="preserve"> </w:t>
      </w:r>
      <w:r w:rsidR="00CC7A9C" w:rsidRPr="00441D50">
        <w:t xml:space="preserve">Similar to equine surgery, gastrointestinal surgery in </w:t>
      </w:r>
      <w:r w:rsidR="00267DAA" w:rsidRPr="00441D50">
        <w:t>people</w:t>
      </w:r>
      <w:r w:rsidR="00CC7A9C" w:rsidRPr="00441D50">
        <w:t xml:space="preserve"> also </w:t>
      </w:r>
      <w:r w:rsidR="009A4D06" w:rsidRPr="00441D50">
        <w:t>has</w:t>
      </w:r>
      <w:r w:rsidR="00CC7A9C" w:rsidRPr="00441D50">
        <w:t xml:space="preserve"> </w:t>
      </w:r>
      <w:r w:rsidR="00621D4F" w:rsidRPr="00441D50">
        <w:t>a</w:t>
      </w:r>
      <w:r w:rsidR="000D2A9A" w:rsidRPr="00441D50">
        <w:t xml:space="preserve"> </w:t>
      </w:r>
      <w:r w:rsidR="00CC7A9C" w:rsidRPr="00441D50">
        <w:t>highe</w:t>
      </w:r>
      <w:r w:rsidR="00621D4F" w:rsidRPr="00441D50">
        <w:t>r</w:t>
      </w:r>
      <w:r w:rsidR="00CC7A9C" w:rsidRPr="00441D50">
        <w:t xml:space="preserve"> </w:t>
      </w:r>
      <w:r w:rsidR="009A4D06" w:rsidRPr="00441D50">
        <w:t>rate</w:t>
      </w:r>
      <w:r w:rsidR="00CC7A9C" w:rsidRPr="00441D50">
        <w:t xml:space="preserve"> of SSI</w:t>
      </w:r>
      <w:r w:rsidR="00CC7A9C" w:rsidRPr="00441D50">
        <w:fldChar w:fldCharType="begin" w:fldLock="1"/>
      </w:r>
      <w:r w:rsidR="009A4D06" w:rsidRPr="00441D50">
        <w:instrText>ADDIN CSL_CITATION {"citationItems":[{"id":"ITEM-1","itemData":{"ISSN":"0003-4932","author":[{"dropping-particle":"","family":"Hennessey","given":"Derek B","non-dropping-particle":"","parse-names":false,"suffix":""},{"dropping-particle":"","family":"Burke","given":"John P","non-dropping-particle":"","parse-names":false,"suffix":""},{"dropping-particle":"","family":"Ni-Dhonochu","given":"Tara","non-dropping-particle":"","parse-names":false,"suffix":""},{"dropping-particle":"","family":"Shields","given":"Conor","non-dropping-particle":"","parse-names":false,"suffix":""},{"dropping-particle":"","family":"Winter","given":"Desmond C","non-dropping-particle":"","parse-names":false,"suffix":""},{"dropping-particle":"","family":"Mealy","given":"Kenneth","non-dropping-particle":"","parse-names":false,"suffix":""}],"container-title":"Annals of surgery","id":"ITEM-1","issue":"2","issued":{"date-parts":[["2010"]]},"page":"325-329","publisher":"LWW","title":"Preoperative hypoalbuminemia is an independent risk factor for the development of surgical site infection following gastrointestinal surgery: a multi-institutional study","type":"article-journal","volume":"252"},"uris":["http://www.mendeley.com/documents/?uuid=1e434b6b-bc59-4eda-9a88-95ae6bff00f3"]}],"mendeley":{"formattedCitation":"(13)","plainTextFormattedCitation":"(13)","previouslyFormattedCitation":"(13)"},"properties":{"noteIndex":0},"schema":"https://github.com/citation-style-language/schema/raw/master/csl-citation.json"}</w:instrText>
      </w:r>
      <w:r w:rsidR="00CC7A9C" w:rsidRPr="00441D50">
        <w:fldChar w:fldCharType="separate"/>
      </w:r>
      <w:r w:rsidR="00F142E0" w:rsidRPr="00441D50">
        <w:rPr>
          <w:noProof/>
        </w:rPr>
        <w:t>(13)</w:t>
      </w:r>
      <w:r w:rsidR="00CC7A9C" w:rsidRPr="00441D50">
        <w:fldChar w:fldCharType="end"/>
      </w:r>
      <w:r w:rsidR="00621D4F" w:rsidRPr="00441D50">
        <w:t xml:space="preserve"> compared to minimally invasive procedures</w:t>
      </w:r>
      <w:r w:rsidR="00F142E0" w:rsidRPr="00441D50">
        <w:fldChar w:fldCharType="begin" w:fldLock="1"/>
      </w:r>
      <w:r w:rsidR="009C26FB" w:rsidRPr="00441D50">
        <w:instrText>ADDIN CSL_CITATION {"citationItems":[{"id":"ITEM-1","itemData":{"ISSN":"1537-6591","author":[{"dropping-particle":"","family":"Babcock","given":"Hilary M","non-dropping-particle":"","parse-names":false,"suffix":""},{"dropping-particle":"","family":"Matava","given":"Matthew J","non-dropping-particle":"","parse-names":false,"suffix":""},{"dropping-particle":"","family":"Fraser","given":"Victoria","non-dropping-particle":"","parse-names":false,"suffix":""}],"container-title":"Clinical Infectious Diseases","id":"ITEM-1","issue":"1","issued":{"date-parts":[["2002"]]},"page":"65-71","publisher":"The University of Chicago Press","title":"Postarthroscopy surgical site infections: review of the literature","type":"article-journal","volume":"34"},"uris":["http://www.mendeley.com/documents/?uuid=4aae2e87-8d85-4d29-a9c6-e531a4ed8d3f","http://www.mendeley.com/documents/?uuid=ab551586-7e5d-4e28-9e30-bad0103e109c"]}],"mendeley":{"formattedCitation":"(14)","plainTextFormattedCitation":"(14)","previouslyFormattedCitation":"(14)"},"properties":{"noteIndex":0},"schema":"https://github.com/citation-style-language/schema/raw/master/csl-citation.json"}</w:instrText>
      </w:r>
      <w:r w:rsidR="00F142E0" w:rsidRPr="00441D50">
        <w:fldChar w:fldCharType="separate"/>
      </w:r>
      <w:r w:rsidR="00F142E0" w:rsidRPr="00441D50">
        <w:rPr>
          <w:noProof/>
        </w:rPr>
        <w:t>(14)</w:t>
      </w:r>
      <w:r w:rsidR="00F142E0" w:rsidRPr="00441D50">
        <w:fldChar w:fldCharType="end"/>
      </w:r>
      <w:r w:rsidR="00267DAA" w:rsidRPr="00441D50">
        <w:t xml:space="preserve"> and orthopaedic surgery</w:t>
      </w:r>
      <w:r w:rsidR="00267DAA" w:rsidRPr="00441D50">
        <w:fldChar w:fldCharType="begin" w:fldLock="1"/>
      </w:r>
      <w:r w:rsidR="009A4D06" w:rsidRPr="00441D50">
        <w:instrText>ADDIN CSL_CITATION {"citationItems":[{"id":"ITEM-1","itemData":{"ISSN":"0195-6701","author":[{"dropping-particle":"","family":"Uçkay","given":"Ilker","non-dropping-particle":"","parse-names":false,"suffix":""},{"dropping-particle":"","family":"Hoffmeyer","given":"Pierre","non-dropping-particle":"","parse-names":false,"suffix":""},{"dropping-particle":"","family":"Lew","given":"D","non-dropping-particle":"","parse-names":false,"suffix":""},{"dropping-particle":"","family":"Pittet","given":"Didier","non-dropping-particle":"","parse-names":false,"suffix":""}],"container-title":"Journal of Hospital Infection","id":"ITEM-1","issue":"1","issued":{"date-parts":[["2013"]]},"page":"5-12","publisher":"Elsevier","title":"Prevention of surgical site infections in orthopaedic surgery and bone trauma: state-of-the-art update","type":"article-journal","volume":"84"},"uris":["http://www.mendeley.com/documents/?uuid=4c15c0b6-e81a-408c-b416-d75cdde5ac5b","http://www.mendeley.com/documents/?uuid=e2d59aa5-e676-49d4-b8cc-06b35dc42f21"]}],"mendeley":{"formattedCitation":"(15)","plainTextFormattedCitation":"(15)","previouslyFormattedCitation":"(15)"},"properties":{"noteIndex":0},"schema":"https://github.com/citation-style-language/schema/raw/master/csl-citation.json"}</w:instrText>
      </w:r>
      <w:r w:rsidR="00267DAA" w:rsidRPr="00441D50">
        <w:fldChar w:fldCharType="separate"/>
      </w:r>
      <w:r w:rsidR="00267DAA" w:rsidRPr="00441D50">
        <w:rPr>
          <w:noProof/>
        </w:rPr>
        <w:t>(15)</w:t>
      </w:r>
      <w:r w:rsidR="00267DAA" w:rsidRPr="00441D50">
        <w:fldChar w:fldCharType="end"/>
      </w:r>
      <w:r w:rsidR="00F142E0" w:rsidRPr="00441D50">
        <w:t xml:space="preserve">. </w:t>
      </w:r>
      <w:r w:rsidR="00267DAA" w:rsidRPr="00441D50">
        <w:t>In people, the risk of SSI after colon surgery can be up to 20%</w:t>
      </w:r>
      <w:r w:rsidR="009A4D06" w:rsidRPr="00441D50">
        <w:fldChar w:fldCharType="begin" w:fldLock="1"/>
      </w:r>
      <w:r w:rsidR="00802BF3" w:rsidRPr="00441D50">
        <w:instrText>ADDIN CSL_CITATION {"citationItems":[{"id":"ITEM-1","itemData":{"ISSN":"0003-4932","author":[{"dropping-particle":"","family":"Hennessey","given":"Derek B","non-dropping-particle":"","parse-names":false,"suffix":""},{"dropping-particle":"","family":"Burke","given":"John P","non-dropping-particle":"","parse-names":false,"suffix":""},{"dropping-particle":"","family":"Ni-Dhonochu","given":"Tara","non-dropping-particle":"","parse-names":false,"suffix":""},{"dropping-particle":"","family":"Shields","given":"Conor","non-dropping-particle":"","parse-names":false,"suffix":""},{"dropping-particle":"","family":"Winter","given":"Desmond C","non-dropping-particle":"","parse-names":false,"suffix":""},{"dropping-particle":"","family":"Mealy","given":"Kenneth","non-dropping-particle":"","parse-names":false,"suffix":""}],"container-title":"Annals of surgery","id":"ITEM-1","issue":"2","issued":{"date-parts":[["2010"]]},"page":"325-329","publisher":"LWW","title":"Preoperative hypoalbuminemia is an independent risk factor for the development of surgical site infection following gastrointestinal surgery: a multi-institutional study","type":"article-journal","volume":"252"},"uris":["http://www.mendeley.com/documents/?uuid=1e434b6b-bc59-4eda-9a88-95ae6bff00f3"]}],"mendeley":{"formattedCitation":"(13)","plainTextFormattedCitation":"(13)","previouslyFormattedCitation":"(13)"},"properties":{"noteIndex":0},"schema":"https://github.com/citation-style-language/schema/raw/master/csl-citation.json"}</w:instrText>
      </w:r>
      <w:r w:rsidR="009A4D06" w:rsidRPr="00441D50">
        <w:fldChar w:fldCharType="separate"/>
      </w:r>
      <w:r w:rsidR="009A4D06" w:rsidRPr="00441D50">
        <w:rPr>
          <w:noProof/>
        </w:rPr>
        <w:t>(13)</w:t>
      </w:r>
      <w:r w:rsidR="009A4D06" w:rsidRPr="00441D50">
        <w:fldChar w:fldCharType="end"/>
      </w:r>
      <w:r w:rsidR="00267DAA" w:rsidRPr="00441D50">
        <w:t xml:space="preserve"> whereas for fracture fixation it is around 2-5%</w:t>
      </w:r>
      <w:r w:rsidR="00267DAA" w:rsidRPr="00441D50">
        <w:fldChar w:fldCharType="begin" w:fldLock="1"/>
      </w:r>
      <w:r w:rsidR="009A4D06" w:rsidRPr="00441D50">
        <w:instrText>ADDIN CSL_CITATION {"citationItems":[{"id":"ITEM-1","itemData":{"ISSN":"0195-6701","author":[{"dropping-particle":"","family":"Uçkay","given":"Ilker","non-dropping-particle":"","parse-names":false,"suffix":""},{"dropping-particle":"","family":"Hoffmeyer","given":"Pierre","non-dropping-particle":"","parse-names":false,"suffix":""},{"dropping-particle":"","family":"Lew","given":"D","non-dropping-particle":"","parse-names":false,"suffix":""},{"dropping-particle":"","family":"Pittet","given":"Didier","non-dropping-particle":"","parse-names":false,"suffix":""}],"container-title":"Journal of Hospital Infection","id":"ITEM-1","issue":"1","issued":{"date-parts":[["2013"]]},"page":"5-12","publisher":"Elsevier","title":"Prevention of surgical site infections in orthopaedic surgery and bone trauma: state-of-the-art update","type":"article-journal","volume":"84"},"uris":["http://www.mendeley.com/documents/?uuid=e2d59aa5-e676-49d4-b8cc-06b35dc42f21","http://www.mendeley.com/documents/?uuid=4c15c0b6-e81a-408c-b416-d75cdde5ac5b"]}],"mendeley":{"formattedCitation":"(15)","plainTextFormattedCitation":"(15)","previouslyFormattedCitation":"(15)"},"properties":{"noteIndex":0},"schema":"https://github.com/citation-style-language/schema/raw/master/csl-citation.json"}</w:instrText>
      </w:r>
      <w:r w:rsidR="00267DAA" w:rsidRPr="00441D50">
        <w:fldChar w:fldCharType="separate"/>
      </w:r>
      <w:r w:rsidR="00267DAA" w:rsidRPr="00441D50">
        <w:rPr>
          <w:noProof/>
        </w:rPr>
        <w:t>(15)</w:t>
      </w:r>
      <w:r w:rsidR="00267DAA" w:rsidRPr="00441D50">
        <w:fldChar w:fldCharType="end"/>
      </w:r>
      <w:r w:rsidR="00267DAA" w:rsidRPr="00441D50">
        <w:t xml:space="preserve">. </w:t>
      </w:r>
    </w:p>
    <w:p w14:paraId="67482551" w14:textId="77777777" w:rsidR="00054BD6" w:rsidRPr="00441D50" w:rsidRDefault="00054BD6" w:rsidP="00963411">
      <w:pPr>
        <w:spacing w:line="480" w:lineRule="auto"/>
        <w:jc w:val="both"/>
      </w:pPr>
    </w:p>
    <w:p w14:paraId="55CC9334" w14:textId="52DE381A" w:rsidR="00054BD6" w:rsidRPr="00441D50" w:rsidRDefault="00CC7A9C" w:rsidP="00963411">
      <w:pPr>
        <w:spacing w:line="480" w:lineRule="auto"/>
        <w:jc w:val="both"/>
      </w:pPr>
      <w:r w:rsidRPr="00441D50">
        <w:t xml:space="preserve">A multitude of risk factors have been </w:t>
      </w:r>
      <w:r w:rsidR="00BB18F9" w:rsidRPr="00441D50">
        <w:t>identified to increase the likelihood of</w:t>
      </w:r>
      <w:r w:rsidRPr="00441D50">
        <w:t xml:space="preserve"> SSI in </w:t>
      </w:r>
      <w:r w:rsidR="00DD0EAD" w:rsidRPr="00441D50">
        <w:t xml:space="preserve">horses </w:t>
      </w:r>
      <w:r w:rsidR="00BB18F9" w:rsidRPr="00441D50">
        <w:t xml:space="preserve">following laparotomy </w:t>
      </w:r>
      <w:r w:rsidR="00DD0EAD" w:rsidRPr="00441D50">
        <w:t xml:space="preserve">for </w:t>
      </w:r>
      <w:r w:rsidR="00BB18F9" w:rsidRPr="00441D50">
        <w:t xml:space="preserve">treatment of </w:t>
      </w:r>
      <w:r w:rsidR="00DD0EAD" w:rsidRPr="00441D50">
        <w:t>colic</w:t>
      </w:r>
      <w:r w:rsidR="00442054" w:rsidRPr="00441D50">
        <w:t>, and these have also differed between studies. Risk factors identified include</w:t>
      </w:r>
      <w:r w:rsidRPr="00441D50">
        <w:t xml:space="preserve"> </w:t>
      </w:r>
      <w:r w:rsidR="00442054" w:rsidRPr="00441D50">
        <w:t>r</w:t>
      </w:r>
      <w:r w:rsidRPr="00441D50">
        <w:t>epeat laparotomy</w:t>
      </w:r>
      <w:r w:rsidR="00442054" w:rsidRPr="00441D50">
        <w:t>,</w:t>
      </w:r>
      <w:r w:rsidR="002A4B11" w:rsidRPr="00441D50">
        <w:t xml:space="preserve"> </w:t>
      </w:r>
      <w:r w:rsidR="00442054" w:rsidRPr="00441D50">
        <w:t xml:space="preserve">greater </w:t>
      </w:r>
      <w:r w:rsidRPr="00441D50">
        <w:t>bodyweight, increased packed cell volume on admission, small intestinal resection</w:t>
      </w:r>
      <w:r w:rsidR="00FD0625" w:rsidRPr="00441D50">
        <w:t xml:space="preserve">, </w:t>
      </w:r>
      <w:r w:rsidRPr="00441D50">
        <w:t>post-operative colic</w:t>
      </w:r>
      <w:r w:rsidR="00FD0625" w:rsidRPr="00441D50">
        <w:t>, application of a stent bandage, performing an enterotomy, administration of intraperitoneal heparin and antimicrobials</w:t>
      </w:r>
      <w:r w:rsidR="00A40B42" w:rsidRPr="00441D50">
        <w:t xml:space="preserve">, development of </w:t>
      </w:r>
      <w:proofErr w:type="spellStart"/>
      <w:r w:rsidR="00A40B42" w:rsidRPr="00441D50">
        <w:t>endotoxaemia</w:t>
      </w:r>
      <w:proofErr w:type="spellEnd"/>
      <w:r w:rsidR="00A40B42" w:rsidRPr="00441D50">
        <w:t>, incision</w:t>
      </w:r>
      <w:r w:rsidR="00032861" w:rsidRPr="00441D50">
        <w:t>al</w:t>
      </w:r>
      <w:r w:rsidR="00A40B42" w:rsidRPr="00441D50">
        <w:t xml:space="preserve"> closure</w:t>
      </w:r>
      <w:r w:rsidR="00032861" w:rsidRPr="00441D50">
        <w:t xml:space="preserve"> method</w:t>
      </w:r>
      <w:r w:rsidR="00A40B42" w:rsidRPr="00441D50">
        <w:t>, intra-operative arterial oxygenation, duration of general anaesthesia</w:t>
      </w:r>
      <w:r w:rsidRPr="00441D50">
        <w:t xml:space="preserve"> </w:t>
      </w:r>
      <w:r w:rsidR="00BB18F9" w:rsidRPr="00441D50">
        <w:t xml:space="preserve">and </w:t>
      </w:r>
      <w:r w:rsidR="00BB18F9" w:rsidRPr="00441D50">
        <w:lastRenderedPageBreak/>
        <w:t>season in which surgery was performed</w:t>
      </w:r>
      <w:r w:rsidR="00A40B42" w:rsidRPr="00441D50">
        <w:fldChar w:fldCharType="begin" w:fldLock="1"/>
      </w:r>
      <w:r w:rsidR="00267DAA" w:rsidRPr="00441D50">
        <w:instrText>ADDIN CSL_CITATION {"citationItems":[{"id":"ITEM-1","itemData":{"DOI":"10.1111/evj.12564","ISBN":"0425-1644","ISSN":"20423306","PMID":"26713622","abstract":"REASONS FOR PERFORMING STUDY: Surgical site infection (SSI) is an important cause of postoperative morbidity following laparotomy. OBJECTIVES: To investigate risk factors for SSI, including effect of season and surgery performed outside normal working hours, and to report bacterial isolates and antimicrobial resistance patterns. STUDY DESIGN: Retrospective cohort study. METHODS: Data was obtained from horses that had undergone exploratory laparotomy over a 3-year period (2010-2013) in a UK hospital population. SSI was defined as any purulent or serous discharge from the laparotomy incision of &gt;24 hours duration that developed during hospitalisation. Multivariable logistic regression was used to identify associations between pre-, intra- and postoperative variables and altered likelihood of SSI. RESULTS: Surgical site infection developed in 73/287 (25.4%) horses during hospitalisation. Horses of greater body weight (OR 1.002, 95% CI 1.0002-1.005, P = 0.03), increased PCV (&gt;/=48%) on admission (OR 3.03, 95% CI 1.32-6.94,P = 0.01), small intestinal resection (OR 2.27, 95% CI 1.15-4.46, P = 0.02) and postoperative colic (OR 2.86, 95% CI 1.41-5.79, P = 0.003) were significantly associated with increased likelihood of SSI in a multivariable model. SSI was also significantly more likely to occur during winter (OR 3.84, 95% CI 1.38-10.70, P = 0.01) and summer (OR 5.63, 95% CI 2.07-15.3, P = 0.001) months in the model. Three-layer closure of the incision was protective (OR 0.31, 95% CI 0.16-0.58, P&lt;0.001) compared to two-layer closure. There was no effect of surgery being performed outside normal working hours (P = 0.5). The most common bacterial isolates were Escherichia Coli (59.5%), Enterococcus spp (42.4%) and Staphylococcus spp (25.4%). Penicillin resistant isolates accounted for 92% (96/104) of isolates while 18% (21/119) of isolates were gentamicin resistant. CONCLUSIONS: Laparotomy during winter and summer months was associated with increased likelihood of SSI but there was no effect of surgery performed outside normal working hours. This information assists in identifying horses at high risk of SSI and informing development of preventive strategies. This article is protected by copyright. All rights reserved.","author":[{"dropping-particle":"","family":"Isgren","given":"C. M.","non-dropping-particle":"","parse-names":false,"suffix":""},{"dropping-particle":"","family":"Salem","given":"S. E.","non-dropping-particle":"","parse-names":false,"suffix":""},{"dropping-particle":"","family":"Archer","given":"D. C.","non-dropping-particle":"","parse-names":false,"suffix":""},{"dropping-particle":"","family":"Worsman","given":"F. C.F.","non-dropping-particle":"","parse-names":false,"suffix":""},{"dropping-particle":"","family":"Townsend","given":"N. B.","non-dropping-particle":"","parse-names":false,"suffix":""}],"container-title":"Equine Veterinary Journal","id":"ITEM-1","issue":"1","issued":{"date-parts":[["2017"]]},"page":"39-44","title":"Risk factors for surgical site infection following laparotomy: Effect of season and perioperative variables and reporting of bacterial isolates in 287 horses","type":"article-journal","volume":"49"},"uris":["http://www.mendeley.com/documents/?uuid=02152b54-63ff-47f6-8c97-ece0305196e3"]},{"id":"ITEM-2","itemData":{"author":[{"dropping-particle":"","family":"French","given":"N P","non-dropping-particle":"","parse-names":false,"suffix":""},{"dropping-particle":"","family":"Smith","given":"J","non-dropping-particle":"","parse-names":false,"suffix":""},{"dropping-particle":"","family":"Edwards","given":"G B","non-dropping-particle":"","parse-names":false,"suffix":""},{"dropping-particle":"","family":"Proudman","given":"C J","non-dropping-particle":"","parse-names":false,"suffix":""}],"container-title":"Equine Veterinary Journal","id":"ITEM-2","issue":"November 2000","issued":{"date-parts":[["2002"]]},"page":"444-449","title":"Equine surgical colic : risk factors for postoperative complications","type":"article-journal","volume":"34"},"uris":["http://www.mendeley.com/documents/?uuid=497d9ff2-1a0c-480e-8892-8462ad7b95f7"]},{"id":"ITEM-3","itemData":{"ISSN":"0425-1644","author":[{"dropping-particle":"","family":"Mair","given":"T S","non-dropping-particle":"","parse-names":false,"suffix":""},{"dropping-particle":"","family":"Smith","given":"L J","non-dropping-particle":"","parse-names":false,"suffix":""}],"container-title":"Equine veterinary journal","id":"ITEM-3","issue":"4","issued":{"date-parts":[["2005"]]},"page":"303-309","publisher":"Wiley Online Library","title":"Survival and complication rates in 300 horses undergoing surgical treatment of colic. Part 2: short‐term complications","type":"article-journal","volume":"37"},"uris":["http://www.mendeley.com/documents/?uuid=f6494066-984c-4e40-96a9-561a0b5e3b42"]},{"id":"ITEM-4","itemData":{"ISSN":"1090-0233","author":[{"dropping-particle":"","family":"Costa-Farré","given":"Cristina","non-dropping-particle":"","parse-names":false,"suffix":""},{"dropping-particle":"","family":"Prades","given":"Marta","non-dropping-particle":"","parse-names":false,"suffix":""},{"dropping-particle":"","family":"Ribera","given":"Thaïs","non-dropping-particle":"","parse-names":false,"suffix":""},{"dropping-particle":"","family":"Valero","given":"Oliver","non-dropping-particle":"","parse-names":false,"suffix":""},{"dropping-particle":"","family":"Taurà","given":"Pilar","non-dropping-particle":"","parse-names":false,"suffix":""}],"container-title":"The Veterinary Journal","id":"ITEM-4","issue":"1","issued":{"date-parts":[["2014"]]},"page":"175-180","publisher":"Elsevier","title":"Does intraoperative low arterial partial pressure of oxygen increase the risk of surgical site infection following emergency exploratory laparotomy in horses?","type":"article-journal","volume":"200"},"uris":["http://www.mendeley.com/documents/?uuid=e996a154-ec48-4fb2-ab7c-6590b4898cc8","http://www.mendeley.com/documents/?uuid=4d0fe831-c276-4340-b0e3-0aa6ed874ec8"]},{"id":"ITEM-5","itemData":{"DOI":"10.1016/j.tvjl.2015.10.058","ISSN":"15322971","PMID":"26975449","abstract":"The aim of this retrospective study was to determine if there was an association between the lowest arterial blood oxygen tensions (PaO2) measured during anaesthesia and post-operative incisional complications in horses. Clinical records of 278 horses undergoing ventral midline coeliotomy from 1 January 2010 to 31 December 2013 were examined.The frequency of incisional complications was 32.0% (n = 89). In a multivariable model, intra-operative arterial blood oxygen tensions (PaO2) were not significantly associated with development of an incisional complication (P = 0.351). Using hypertonic (7.2%) saline (P = 0.028, OR 3.167, 95% CI 1.132-8.861), increasing total plasma protein concentration (TP) (P = 0.002, OR 1.061 per g/L, 95% CI 1.021-1.102), an intestinal resection (P &lt; 0.001, OR 4.056, 95% CI 2.231-9.323), increasing body mass (P = 0.004, OR 1.004 per kg, 95% CI 1.001-1.006) and the use of penicillin alone compared with penicillin and gentamicin pre-operatively (P = 0.009, OR 4.145, 95% CI 1.568-10.958) increased the risk of incisional complications. The study was unable to demonstrate a link between low intra-operative PaO2and increased risk of post-operative incisional complications.","author":[{"dropping-particle":"","family":"Robson","given":"Katherine","non-dropping-particle":"","parse-names":false,"suffix":""},{"dropping-particle":"","family":"Cripps","given":"Peter","non-dropping-particle":"","parse-names":false,"suffix":""},{"dropping-particle":"","family":"Bardell","given":"David","non-dropping-particle":"","parse-names":false,"suffix":""}],"container-title":"Veterinary Journal","id":"ITEM-5","issued":{"date-parts":[["2016"]]},"page":"24-29","publisher":"Elsevier Ltd","title":"Lack of association between arterial oxygen tensions in horses during exploratory coeliotomy and post-operative incisional complications: A retrospective study","type":"article-journal","volume":"210"},"uris":["http://www.mendeley.com/documents/?uuid=7f007344-3b80-4077-b565-77cf3b758b26"]},{"id":"ITEM-6","itemData":{"ISSN":"0003-1488","author":[{"dropping-particle":"","family":"Kobluk","given":"C N","non-dropping-particle":"","parse-names":false,"suffix":""},{"dropping-particle":"","family":"Ducharme","given":"N G","non-dropping-particle":"","parse-names":false,"suffix":""},{"dropping-particle":"","family":"Lumsden","given":"J H","non-dropping-particle":"","parse-names":false,"suffix":""},{"dropping-particle":"","family":"Pascoe","given":"P J","non-dropping-particle":"","parse-names":false,"suffix":""},{"dropping-particle":"","family":"Livesey","given":"M A","non-dropping-particle":"","parse-names":false,"suffix":""},{"dropping-particle":"","family":"Hurtig","given":"M","non-dropping-particle":"","parse-names":false,"suffix":""},{"dropping-particle":"","family":"Horney","given":"F D","non-dropping-particle":"","parse-names":false,"suffix":""},{"dropping-particle":"","family":"Arighi","given":"M","non-dropping-particle":"","parse-names":false,"suffix":""}],"container-title":"Journal of the American Veterinary Medical Association","id":"ITEM-6","issue":"5","issued":{"date-parts":[["1989"]]},"page":"639-642","title":"Factors affecting incisional complication rates associated with colic surgery in horses: 78 cases (1983-1985).","type":"article-journal","volume":"195"},"uris":["http://www.mendeley.com/documents/?uuid=5dc06dd5-f3f1-4912-8062-56c4eeee8fe5"]}],"mendeley":{"formattedCitation":"(1,3,4,16–18)","plainTextFormattedCitation":"(1,3,4,16–18)","previouslyFormattedCitation":"(1,3,4,16–18)"},"properties":{"noteIndex":0},"schema":"https://github.com/citation-style-language/schema/raw/master/csl-citation.json"}</w:instrText>
      </w:r>
      <w:r w:rsidR="00A40B42" w:rsidRPr="00441D50">
        <w:fldChar w:fldCharType="separate"/>
      </w:r>
      <w:r w:rsidR="00267DAA" w:rsidRPr="00441D50">
        <w:rPr>
          <w:noProof/>
        </w:rPr>
        <w:t>(1,3,4,16–18)</w:t>
      </w:r>
      <w:r w:rsidR="00A40B42" w:rsidRPr="00441D50">
        <w:fldChar w:fldCharType="end"/>
      </w:r>
      <w:r w:rsidR="00626CF0" w:rsidRPr="00441D50">
        <w:t>. There is significant variation between studies as to the risk factors identified. Furthermore, factors such as use of a stent bandage and closure of the subcutaneous tissues have be</w:t>
      </w:r>
      <w:r w:rsidR="00A25695" w:rsidRPr="00441D50">
        <w:t>en</w:t>
      </w:r>
      <w:r w:rsidR="00626CF0" w:rsidRPr="00441D50">
        <w:t xml:space="preserve"> shown to increase risk of SSI in some studies</w:t>
      </w:r>
      <w:r w:rsidR="00626CF0" w:rsidRPr="00441D50">
        <w:fldChar w:fldCharType="begin" w:fldLock="1"/>
      </w:r>
      <w:r w:rsidR="00267DAA" w:rsidRPr="00441D50">
        <w:instrText>ADDIN CSL_CITATION {"citationItems":[{"id":"ITEM-1","itemData":{"ISSN":"0425-1644","author":[{"dropping-particle":"","family":"Smith","given":"L J","non-dropping-particle":"","parse-names":false,"suffix":""},{"dropping-particle":"","family":"Mellor","given":"D J","non-dropping-particle":"","parse-names":false,"suffix":""},{"dropping-particle":"","family":"Marr","given":"C M","non-dropping-particle":"","parse-names":false,"suffix":""},{"dropping-particle":"","family":"Reid","given":"S W J","non-dropping-particle":"","parse-names":false,"suffix":""},{"dropping-particle":"","family":"Mair","given":"T S","non-dropping-particle":"","parse-names":false,"suffix":""}],"container-title":"Equine veterinary journal","id":"ITEM-1","issue":"3","issued":{"date-parts":[["2007"]]},"page":"277-283","publisher":"Wiley Online Library","title":"Incisional complications following exploratory celiotomy: does an abdominal bandage reduce the risk?","type":"article-journal","volume":"39"},"uris":["http://www.mendeley.com/documents/?uuid=a00b7563-fb8c-4023-a8ab-00fc5e7552af"]},{"id":"ITEM-2","itemData":{"ISSN":"0425-1644","author":[{"dropping-particle":"","family":"Mair","given":"T S","non-dropping-particle":"","parse-names":false,"suffix":""},{"dropping-particle":"","family":"Smith","given":"L J","non-dropping-particle":"","parse-names":false,"suffix":""}],"container-title":"Equine veterinary journal","id":"ITEM-2","issue":"4","issued":{"date-parts":[["2005"]]},"page":"303-309","publisher":"Wiley Online Library","title":"Survival and complication rates in 300 horses undergoing surgical treatment of colic. Part 2: short‐term complications","type":"article-journal","volume":"37"},"uris":["http://www.mendeley.com/documents/?uuid=f6494066-984c-4e40-96a9-561a0b5e3b42"]}],"mendeley":{"formattedCitation":"(16,19)","plainTextFormattedCitation":"(16,19)","previouslyFormattedCitation":"(16,19)"},"properties":{"noteIndex":0},"schema":"https://github.com/citation-style-language/schema/raw/master/csl-citation.json"}</w:instrText>
      </w:r>
      <w:r w:rsidR="00626CF0" w:rsidRPr="00441D50">
        <w:fldChar w:fldCharType="separate"/>
      </w:r>
      <w:r w:rsidR="00267DAA" w:rsidRPr="00441D50">
        <w:rPr>
          <w:noProof/>
        </w:rPr>
        <w:t>(16,19)</w:t>
      </w:r>
      <w:r w:rsidR="00626CF0" w:rsidRPr="00441D50">
        <w:fldChar w:fldCharType="end"/>
      </w:r>
      <w:r w:rsidR="00626CF0" w:rsidRPr="00441D50">
        <w:t xml:space="preserve"> but to be protective in others</w:t>
      </w:r>
      <w:r w:rsidR="00626CF0" w:rsidRPr="00441D50">
        <w:fldChar w:fldCharType="begin" w:fldLock="1"/>
      </w:r>
      <w:r w:rsidR="00267DAA" w:rsidRPr="00441D50">
        <w:instrText>ADDIN CSL_CITATION {"citationItems":[{"id":"ITEM-1","itemData":{"DOI":"10.1111/evj.12564","author":[{"dropping-particle":"","family":"Isgren","given":"C M","non-dropping-particle":"","parse-names":false,"suffix":""},{"dropping-particle":"","family":"Salem","given":"S E","non-dropping-particle":"","parse-names":false,"suffix":""},{"dropping-particle":"","family":"Archer","given":"D C","non-dropping-particle":"","parse-names":false,"suffix":""},{"dropping-particle":"","family":"Worsman","given":"F C F","non-dropping-particle":"","parse-names":false,"suffix":""},{"dropping-particle":"","family":"Townsend","given":"N B","non-dropping-particle":"","parse-names":false,"suffix":""}],"container-title":"Equine veterinary journal","id":"ITEM-1","issued":{"date-parts":[["2017"]]},"page":"39-44","title":"Risk factors for surgical site infection following laparotomy : Effect of season and perioperative variables and reporting of bacterial isolates in 287 horses","type":"article-journal"},"uris":["http://www.mendeley.com/documents/?uuid=45448944-0f90-4b2e-ac8d-aab6342fe372"]},{"id":"ITEM-2","itemData":{"ISSN":"0425-1644","author":[{"dropping-particle":"","family":"Colbath","given":"A C","non-dropping-particle":"","parse-names":false,"suffix":""},{"dropping-particle":"","family":"Patipa","given":"L","non-dropping-particle":"","parse-names":false,"suffix":""},{"dropping-particle":"","family":"Berghaus","given":"R D","non-dropping-particle":"","parse-names":false,"suffix":""},{"dropping-particle":"","family":"Parks","given":"A H","non-dropping-particle":"","parse-names":false,"suffix":""}],"container-title":"Equine veterinary journal","id":"ITEM-2","issue":"2","issued":{"date-parts":[["2014"]]},"page":"156-160","publisher":"Wiley Online Library","title":"The influence of suture pattern on the incidence of incisional drainage following exploratory laparotomy","type":"article-journal","volume":"46"},"uris":["http://www.mendeley.com/documents/?uuid=5dc83bb8-fb5e-44c7-b627-edcd1d6518d0"]},{"id":"ITEM-3","itemData":{"ISSN":"0425-1644","author":[{"dropping-particle":"","family":"Tnibar","given":"Aziz","non-dropping-particle":"","parse-names":false,"suffix":""},{"dropping-particle":"","family":"Grubbe Lin","given":"K","non-dropping-particle":"","parse-names":false,"suffix":""},{"dropping-particle":"","family":"Thurøe Nielsen","given":"K","non-dropping-particle":"","parse-names":false,"suffix":""},{"dropping-particle":"","family":"Christophersen","given":"Mogens Teken","non-dropping-particle":"","parse-names":false,"suffix":""},{"dropping-particle":"","family":"Lindegaard","given":"Casper","non-dropping-particle":"","parse-names":false,"suffix":""},{"dropping-particle":"","family":"Martinussen","given":"Torben","non-dropping-particle":"","parse-names":false,"suffix":""},{"dropping-particle":"","family":"Ekstrøm","given":"Claus Thorn","non-dropping-particle":"","parse-names":false,"suffix":""}],"container-title":"Equine veterinary journal","id":"ITEM-3","issue":"5","issued":{"date-parts":[["2013"]]},"page":"564-569","publisher":"Wiley Online Library","title":"Effect of a stent bandage on the likelihood of incisional infection following exploratory coeliotomy for colic in horses: a comparative retrospective study","type":"article-journal","volume":"45"},"uris":["http://www.mendeley.com/documents/?uuid=a52a9940-f23a-4888-9621-92559cc14474"]}],"mendeley":{"formattedCitation":"(8,20,21)","plainTextFormattedCitation":"(8,20,21)","previouslyFormattedCitation":"(8,20,21)"},"properties":{"noteIndex":0},"schema":"https://github.com/citation-style-language/schema/raw/master/csl-citation.json"}</w:instrText>
      </w:r>
      <w:r w:rsidR="00626CF0" w:rsidRPr="00441D50">
        <w:fldChar w:fldCharType="separate"/>
      </w:r>
      <w:r w:rsidR="00267DAA" w:rsidRPr="00441D50">
        <w:rPr>
          <w:noProof/>
        </w:rPr>
        <w:t>(8,20,21)</w:t>
      </w:r>
      <w:r w:rsidR="00626CF0" w:rsidRPr="00441D50">
        <w:fldChar w:fldCharType="end"/>
      </w:r>
      <w:r w:rsidR="00626CF0" w:rsidRPr="00441D50">
        <w:t xml:space="preserve">.  </w:t>
      </w:r>
      <w:r w:rsidR="00054BD6" w:rsidRPr="00441D50">
        <w:t>The wide range of risk factors identified</w:t>
      </w:r>
      <w:r w:rsidR="00032861" w:rsidRPr="00441D50">
        <w:t xml:space="preserve"> and differences between studies</w:t>
      </w:r>
      <w:r w:rsidR="00054BD6" w:rsidRPr="00441D50">
        <w:t xml:space="preserve"> would suggest that SSI is multifactorial in nature and the exact route by which bacteria colonise the incision is unclear.  </w:t>
      </w:r>
    </w:p>
    <w:p w14:paraId="2438189F" w14:textId="77777777" w:rsidR="00D60EFC" w:rsidRPr="00441D50" w:rsidRDefault="00D60EFC" w:rsidP="00963411">
      <w:pPr>
        <w:spacing w:line="480" w:lineRule="auto"/>
        <w:jc w:val="both"/>
      </w:pPr>
    </w:p>
    <w:p w14:paraId="1715405D" w14:textId="532B458E" w:rsidR="00CC7A9C" w:rsidRPr="00441D50" w:rsidRDefault="00054BD6" w:rsidP="00963411">
      <w:pPr>
        <w:spacing w:line="480" w:lineRule="auto"/>
        <w:jc w:val="both"/>
      </w:pPr>
      <w:r w:rsidRPr="00441D50">
        <w:t xml:space="preserve">One theory is that SSI develops following direct </w:t>
      </w:r>
      <w:r w:rsidR="00BB18F9" w:rsidRPr="00441D50">
        <w:t xml:space="preserve">bacterial contamination of the </w:t>
      </w:r>
      <w:r w:rsidR="00442054" w:rsidRPr="00441D50">
        <w:t xml:space="preserve">laparotomy </w:t>
      </w:r>
      <w:r w:rsidR="00BB18F9" w:rsidRPr="00441D50">
        <w:t>incision</w:t>
      </w:r>
      <w:r w:rsidRPr="00441D50">
        <w:t xml:space="preserve"> at the time of surgery. However, positive intra-operative midline culture has not been associated with subsequent development of SSI</w:t>
      </w:r>
      <w:r w:rsidRPr="00441D50">
        <w:fldChar w:fldCharType="begin" w:fldLock="1"/>
      </w:r>
      <w:r w:rsidR="00267DAA" w:rsidRPr="00441D50">
        <w:instrText>ADDIN CSL_CITATION {"citationItems":[{"id":"ITEM-1","itemData":{"DOI":"10.1111/evj.12958","ISSN":"20423306","PMID":"29679416","abstract":"BACKGROUND: There is limited information about bacterial isolates that are present on the equine midline incision during and following exploratory laparotomy. OBJECTIVES: To investigate the bacterial species cultured from the ventral midline pre-, intra- and post laparotomy, whether particular bacterial isolates are associated with the development of surgical site infections (SSIs) and to report the antimicrobial resistance phenotypes of these isolates. STUDY DESIGN: Prospective cohort study. METHODS: The ventral midline of 31 horses undergoing exploratory laparotomy were sampled for bacterial culture at set time-points pre, intra and post-operatively. Inclusion criteria were that horses must have undergone exploratory laparotomy within 90 min of the initial colic examination upon hospital admission and must not have been placed in a stable prior to surgery. SSI was defined as any purulent or serous discharge from the laparotomy incision of &gt;24 hour duration. RESULTS: Seven horses (22.6%) developed a SSI. None of the variables tested were associated with altered risk of SSI. The prevalence of a positive bacterial culture from the incision increased progressively over time and a variety of bacteria were isolated. A positive intra-operative culture was not a predictor of SSI; and when a SSI did occur, it was due to a different bacterial isolate. MRSA and ESBL-producers were identified in the post-operative period in one and four different horses respectively, but none of these developed a SSI. MAIN LIMITATIONS: Sampling was limited to hospitalisation and no culture results were available for horses developing SSI following hospital discharge. CONCLUSIONS: A variety of bacterial species may be isolated from equine laparotomy incisions peri-operatively without development of SSI. SSI does not appear to be solely related to bacterial contamination of the incision peri-operatively and other mechanisms such as bacteraemia merit further investigation. This article is protected by copyright. All rights reserved.","author":[{"dropping-particle":"","family":"Isgren","given":"C. M.","non-dropping-particle":"","parse-names":false,"suffix":""},{"dropping-particle":"","family":"Salem","given":"S. E.","non-dropping-particle":"","parse-names":false,"suffix":""},{"dropping-particle":"","family":"Townsend","given":"N. B.","non-dropping-particle":"","parse-names":false,"suffix":""},{"dropping-particle":"","family":"Timofte","given":"D.","non-dropping-particle":"","parse-names":false,"suffix":""},{"dropping-particle":"","family":"Maddox","given":"T. W.","non-dropping-particle":"","parse-names":false,"suffix":""},{"dropping-particle":"","family":"Archer","given":"D. C.","non-dropping-particle":"","parse-names":false,"suffix":""}],"container-title":"Equine Veterinary Journal","id":"ITEM-1","issued":{"date-parts":[["2018"]]},"page":"1-7","title":"Sequential bacterial sampling of the midline incision in horses undergoing exploratory laparotomy","type":"article-journal","volume":"0"},"uris":["http://www.mendeley.com/documents/?uuid=670b28ad-9c86-4465-bc2e-94437f56e387"]}],"mendeley":{"formattedCitation":"(22)","plainTextFormattedCitation":"(22)","previouslyFormattedCitation":"(22)"},"properties":{"noteIndex":0},"schema":"https://github.com/citation-style-language/schema/raw/master/csl-citation.json"}</w:instrText>
      </w:r>
      <w:r w:rsidRPr="00441D50">
        <w:fldChar w:fldCharType="separate"/>
      </w:r>
      <w:r w:rsidR="00267DAA" w:rsidRPr="00441D50">
        <w:rPr>
          <w:noProof/>
        </w:rPr>
        <w:t>(22)</w:t>
      </w:r>
      <w:r w:rsidRPr="00441D50">
        <w:fldChar w:fldCharType="end"/>
      </w:r>
      <w:r w:rsidRPr="00441D50">
        <w:t xml:space="preserve"> </w:t>
      </w:r>
      <w:r w:rsidR="00442054" w:rsidRPr="00441D50">
        <w:t>and where bacteria are cultured at the time of surgery, different isolates have been cultured when subsequent SSI has developed</w:t>
      </w:r>
      <w:r w:rsidR="00286B33" w:rsidRPr="00441D50">
        <w:fldChar w:fldCharType="begin" w:fldLock="1"/>
      </w:r>
      <w:r w:rsidR="00802BF3" w:rsidRPr="00441D50">
        <w:instrText>ADDIN CSL_CITATION {"citationItems":[{"id":"ITEM-1","itemData":{"ISBN":"0161349919","author":[{"dropping-particle":"","family":"Ingle-Fehr","given":"J.E.","non-dropping-particle":"","parse-names":false,"suffix":""}],"container-title":"Veterinary Surgery","id":"ITEM-1","issue":"1","issued":{"date-parts":[["1997"]]},"page":"7-13","title":"Bacterial Culturing of Ventral Median Celiotomies for Prediction of Postoperative Incisional Complications in Horses","type":"article-journal","volume":"26"},"uris":["http://www.mendeley.com/documents/?uuid=13f5dd42-50a1-4e69-bf61-5c5c55d40316"]}],"mendeley":{"formattedCitation":"(23)","plainTextFormattedCitation":"(23)","previouslyFormattedCitation":"(23)"},"properties":{"noteIndex":0},"schema":"https://github.com/citation-style-language/schema/raw/master/csl-citation.json"}</w:instrText>
      </w:r>
      <w:r w:rsidR="00286B33" w:rsidRPr="00441D50">
        <w:fldChar w:fldCharType="separate"/>
      </w:r>
      <w:r w:rsidR="00267DAA" w:rsidRPr="00441D50">
        <w:rPr>
          <w:noProof/>
        </w:rPr>
        <w:t>(23)</w:t>
      </w:r>
      <w:r w:rsidR="00286B33" w:rsidRPr="00441D50">
        <w:fldChar w:fldCharType="end"/>
      </w:r>
      <w:r w:rsidR="009C26FB" w:rsidRPr="00441D50">
        <w:t>.</w:t>
      </w:r>
      <w:r w:rsidR="00286B33" w:rsidRPr="00441D50">
        <w:t xml:space="preserve">  </w:t>
      </w:r>
      <w:r w:rsidR="008F5ADE" w:rsidRPr="00441D50">
        <w:t>Studies</w:t>
      </w:r>
      <w:r w:rsidR="00CC7A9C" w:rsidRPr="00441D50">
        <w:t xml:space="preserve"> in people and dogs </w:t>
      </w:r>
      <w:r w:rsidR="008F5ADE" w:rsidRPr="00441D50">
        <w:t>have also identified</w:t>
      </w:r>
      <w:r w:rsidR="00032861" w:rsidRPr="00441D50">
        <w:t xml:space="preserve"> that a</w:t>
      </w:r>
      <w:r w:rsidR="008F5ADE" w:rsidRPr="00441D50">
        <w:t xml:space="preserve"> </w:t>
      </w:r>
      <w:r w:rsidR="00032861" w:rsidRPr="00441D50">
        <w:t xml:space="preserve">positive </w:t>
      </w:r>
      <w:r w:rsidR="00CC7A9C" w:rsidRPr="00441D50">
        <w:t xml:space="preserve">intra-operative </w:t>
      </w:r>
      <w:r w:rsidR="00032861" w:rsidRPr="00441D50">
        <w:t xml:space="preserve">bacterial </w:t>
      </w:r>
      <w:r w:rsidR="00CC7A9C" w:rsidRPr="00441D50">
        <w:t xml:space="preserve">culture </w:t>
      </w:r>
      <w:r w:rsidR="00032861" w:rsidRPr="00441D50">
        <w:t>is not</w:t>
      </w:r>
      <w:r w:rsidR="00621D4F" w:rsidRPr="00441D50">
        <w:t xml:space="preserve"> a</w:t>
      </w:r>
      <w:r w:rsidR="00CC7A9C" w:rsidRPr="00441D50">
        <w:t xml:space="preserve"> predictor of SSI</w:t>
      </w:r>
      <w:r w:rsidR="00CC7A9C" w:rsidRPr="00441D50">
        <w:fldChar w:fldCharType="begin" w:fldLock="1"/>
      </w:r>
      <w:r w:rsidR="00267DAA" w:rsidRPr="00441D50">
        <w:instrText>ADDIN CSL_CITATION {"citationItems":[{"id":"ITEM-1","itemData":{"ISSN":"0161-3499","author":[{"dropping-particle":"","family":"Ireifej","given":"Shadi","non-dropping-particle":"","parse-names":false,"suffix":""},{"dropping-particle":"","family":"Marino","given":"Dominic J","non-dropping-particle":"","parse-names":false,"suffix":""},{"dropping-particle":"","family":"Loughin","given":"Catherine A","non-dropping-particle":"","parse-names":false,"suffix":""},{"dropping-particle":"","family":"Lesser","given":"Martin L","non-dropping-particle":"","parse-names":false,"suffix":""},{"dropping-particle":"","family":"Akerman","given":"Meredith","non-dropping-particle":"","parse-names":false,"suffix":""}],"container-title":"Veterinary surgery","id":"ITEM-1","issue":"1","issued":{"date-parts":[["2012"]]},"page":"63-68","publisher":"Wiley Online Library","title":"Risk factors and clinical relevance of positive intraoperative bacterial cultures in dogs with total hip replacement","type":"article-journal","volume":"41"},"uris":["http://www.mendeley.com/documents/?uuid=dbaca8f0-3f01-4948-9f9c-d2c74070a5aa","http://www.mendeley.com/documents/?uuid=0591943f-0e3b-4a6e-8efc-1715122ce689"]},{"id":"ITEM-2","itemData":{"DOI":"10.3109/17453674.2014.899848","ISSN":"1745-3682","PMID":"24650025","abstract":"BACKGROUND AND PURPOSE: Previous work has shown that despite preventive measures, intraoperative contamination of joint replacements is still common, although most of these patients seem to do well in follow-up of up to 5 years. We analyzed the prevalence and bacteriology of intraoperative contamination of primary joint replacement and assessed whether its presence is related to periprosthetic joint infection (PJI) on long-term follow-up.\\n\\nPATIENTS AND METHODS: 49 primary total hip replacements (THRs) and 41 total knee replacements (TKRs) performed between 1990 and 1991 were included in the study. 4 bacterial swabs were collected intraoperatively during each procedure. Patients were followed up for joint-related complications until March 2011.\\n\\nRESULTS: 19 of 49 THRs and 22 of 41 TKRs had at least 1 positive culture. Coagulase-negative staphylococci and Staphylococcus aureus were the most common organisms, contaminating 28 and 9 operations respectively. Where information was available, bacteria from 27 of 29 contaminated operations were susceptible to the prophylactic antibiotic administered. 13% of samples gathered before 130 min of surgery were contaminated, as compared to 35% collected after that time. 2 infections were diagnosed, both in TKRs. 1 of them may have been related to intraoperative contamination.\\n\\nINTERPRETATION: Intraoperative contamination was common but few infections occurred, possibly due to the effect of prophylactic antibiotics. The rate of contamination was higher with longer duration of surgery. It appears that positive results from intraoperative swabs do not predict the occurrence of PJI.","author":[{"dropping-particle":"","family":"Jonsson","given":"Eythor Örn","non-dropping-particle":"","parse-names":false,"suffix":""},{"dropping-particle":"","family":"Johannesdottir","given":"Hera","non-dropping-particle":"","parse-names":false,"suffix":""},{"dropping-particle":"","family":"Robertsson","given":"Otto","non-dropping-particle":"","parse-names":false,"suffix":""},{"dropping-particle":"","family":"Mogensen","given":"Brynjolfur","non-dropping-particle":"","parse-names":false,"suffix":""}],"container-title":"Acta Orthopaedica","id":"ITEM-2","issue":"2","issued":{"date-parts":[["2014"]]},"page":"159-164","publisher":"Taylor &amp; Francis","title":"Bacterial contamination of the wound during primary total hip and knee replacement. Median 13 years of follow-up of 90 replacements.","type":"article-journal","volume":"85"},"uris":["http://www.mendeley.com/documents/?uuid=170f8b46-7520-482a-95ee-a18562849811"]},{"id":"ITEM-3","itemData":{"ISSN":"0587-2871","author":[{"dropping-particle":"","family":"Lee","given":"Karla C L","non-dropping-particle":"","parse-names":false,"suffix":""},{"dropping-particle":"","family":"Kapatkin","given":"Amy S","non-dropping-particle":"","parse-names":false,"suffix":""}],"container-title":"Journal of the American Animal Hospital Association","id":"ITEM-3","issue":"3","issued":{"date-parts":[["2002"]]},"page":"271-278","publisher":"Am Animal Hosp Assoc","title":"Positive intraoperative cultures and canine total hip replacement: risk factors, periprosthetic infection, and surgical success","type":"article-journal","volume":"38"},"uris":["http://www.mendeley.com/documents/?uuid=f225cd08-26a0-4108-b59a-0760b434024e","http://www.mendeley.com/documents/?uuid=421c44db-a9e7-4b1c-934e-977b34ccf7c7"]},{"id":"ITEM-4","itemData":{"ISSN":"0161-3499","author":[{"dropping-particle":"","family":"Andrade","given":"NataliaW","non-dropping-particle":"","parse-names":false,"suffix":""},{"dropping-particle":"","family":"Schmiedt","given":"Chad W","non-dropping-particle":"","parse-names":false,"suffix":""},{"dropping-particle":"","family":"Cornell","given":"Karen","non-dropping-particle":"","parse-names":false,"suffix":""},{"dropping-particle":"","family":"Radlinsky","given":"MaryAnn G","non-dropping-particle":"","parse-names":false,"suffix":""},{"dropping-particle":"","family":"Heidingsfelder","given":"Lauren","non-dropping-particle":"","parse-names":false,"suffix":""},{"dropping-particle":"","family":"Clarke","given":"Kevin","non-dropping-particle":"","parse-names":false,"suffix":""},{"dropping-particle":"","family":"Hurley","given":"David J","non-dropping-particle":"","parse-names":false,"suffix":""},{"dropping-particle":"","family":"Hinson","given":"Whitney D","non-dropping-particle":"","parse-names":false,"suffix":""}],"container-title":"Veterinary Surgery","id":"ITEM-4","issue":"2","issued":{"date-parts":[["2016"]]},"page":"214-222","publisher":"Wiley Online Library","title":"Survey of intraoperative bacterial contamination in dogs undergoing elective orthopedic surgery","type":"article-journal","volume":"45"},"uris":["http://www.mendeley.com/documents/?uuid=af48660f-ccbb-4d28-8cba-9708a81de70a","http://www.mendeley.com/documents/?uuid=55f779bf-7399-4e5c-83bd-1e4680f05800"]}],"mendeley":{"formattedCitation":"(24–27)","plainTextFormattedCitation":"(24–27)","previouslyFormattedCitation":"(24–27)"},"properties":{"noteIndex":0},"schema":"https://github.com/citation-style-language/schema/raw/master/csl-citation.json"}</w:instrText>
      </w:r>
      <w:r w:rsidR="00CC7A9C" w:rsidRPr="00441D50">
        <w:fldChar w:fldCharType="separate"/>
      </w:r>
      <w:r w:rsidR="00267DAA" w:rsidRPr="00441D50">
        <w:rPr>
          <w:noProof/>
        </w:rPr>
        <w:t>(24–27)</w:t>
      </w:r>
      <w:r w:rsidR="00CC7A9C" w:rsidRPr="00441D50">
        <w:fldChar w:fldCharType="end"/>
      </w:r>
      <w:r w:rsidR="00CC7A9C" w:rsidRPr="00441D50">
        <w:t xml:space="preserve">. </w:t>
      </w:r>
      <w:r w:rsidRPr="00441D50">
        <w:t>An alternative theory is that bacterial translocation occurs,</w:t>
      </w:r>
      <w:r w:rsidR="0039679F" w:rsidRPr="00441D50">
        <w:t xml:space="preserve"> </w:t>
      </w:r>
      <w:r w:rsidR="00032861" w:rsidRPr="00441D50">
        <w:t xml:space="preserve">where </w:t>
      </w:r>
      <w:r w:rsidR="00CC7A9C" w:rsidRPr="00441D50">
        <w:t xml:space="preserve">bacteria </w:t>
      </w:r>
      <w:r w:rsidR="00032861" w:rsidRPr="00441D50">
        <w:t xml:space="preserve">move </w:t>
      </w:r>
      <w:r w:rsidR="00CC7A9C" w:rsidRPr="00441D50">
        <w:t xml:space="preserve">across the intestinal wall to </w:t>
      </w:r>
      <w:proofErr w:type="spellStart"/>
      <w:r w:rsidR="00CC7A9C" w:rsidRPr="00441D50">
        <w:t>extraintestinal</w:t>
      </w:r>
      <w:proofErr w:type="spellEnd"/>
      <w:r w:rsidR="00CC7A9C" w:rsidRPr="00441D50">
        <w:t xml:space="preserve"> sites including the bloodstream</w:t>
      </w:r>
      <w:r w:rsidR="00CC7A9C" w:rsidRPr="00441D50">
        <w:fldChar w:fldCharType="begin" w:fldLock="1"/>
      </w:r>
      <w:r w:rsidR="00267DAA" w:rsidRPr="00441D50">
        <w:instrText>ADDIN CSL_CITATION {"citationItems":[{"id":"ITEM-1","itemData":{"ISSN":"0025-7850","PMID":"1479301","abstract":"Bacterial translocation is defined as the passage of viable bacteria from the gastrointestinal tract to extraintestinal sites, such as the mesenteric lymph node complex, liver, spleen, kidney, and blood. The major mechanisms promoting bacterial translocation in animal models are: (a) disruption of the ecologic equilibrium to allow intestinal bacterial overgrowth, (b) deficiencies in host immune defenses, and (c) increased permeability of the intestinal mucosal barrier. These mechanisms can act in concert to promote synergistically the systemic spread of indigenous translocating bacteria to cause lethal sepsis. Studies are presented of attempts to delineate the mechanisms promoting bacterial translocation utilizing animal models of intestinal bacterial overgrowth, immunosuppression, T-cell deficiencies, solid tumors, leukemia, diabetes, endotoxemia, hemorrhagic shock, thermal injury, bowel obstruction, bile duct ligation, protein malnutrition and parenteral nutrition. Also described are the use of selective antibiotic decontamination or nonspecific macrophage immunomodulators in attempts to reduce bacterial translocation from the gastrointestinal tract.","author":[{"dropping-particle":"","family":"Berg","given":"Rodney D","non-dropping-particle":"","parse-names":false,"suffix":""}],"container-title":"Trends in Microbiology","id":"ITEM-1","issue":"3-4","issued":{"date-parts":[["1992"]]},"page":"217-244","title":"Bacterial translocation from the gastrointestinal tract.","type":"article-journal","volume":"23"},"uris":["http://www.mendeley.com/documents/?uuid=69e931b3-5c24-4ed5-bf0e-f88a4190ebdc"]}],"mendeley":{"formattedCitation":"(28)","plainTextFormattedCitation":"(28)","previouslyFormattedCitation":"(28)"},"properties":{"noteIndex":0},"schema":"https://github.com/citation-style-language/schema/raw/master/csl-citation.json"}</w:instrText>
      </w:r>
      <w:r w:rsidR="00CC7A9C" w:rsidRPr="00441D50">
        <w:fldChar w:fldCharType="separate"/>
      </w:r>
      <w:r w:rsidR="00267DAA" w:rsidRPr="00441D50">
        <w:rPr>
          <w:noProof/>
        </w:rPr>
        <w:t>(28)</w:t>
      </w:r>
      <w:r w:rsidR="00CC7A9C" w:rsidRPr="00441D50">
        <w:fldChar w:fldCharType="end"/>
      </w:r>
      <w:r w:rsidR="00CC7A9C" w:rsidRPr="00441D50">
        <w:t xml:space="preserve">. In </w:t>
      </w:r>
      <w:r w:rsidR="007A156E" w:rsidRPr="00441D50">
        <w:t>people</w:t>
      </w:r>
      <w:r w:rsidR="00CC7A9C" w:rsidRPr="00441D50">
        <w:t xml:space="preserve">, bacterial translocation </w:t>
      </w:r>
      <w:r w:rsidR="007A156E" w:rsidRPr="00441D50">
        <w:t>has been demonstrated</w:t>
      </w:r>
      <w:r w:rsidR="00CC7A9C" w:rsidRPr="00441D50">
        <w:t xml:space="preserve"> following intestinal manipulation, intestinal obstruction, open fractures and burns</w:t>
      </w:r>
      <w:r w:rsidR="00CC7A9C" w:rsidRPr="00441D50">
        <w:fldChar w:fldCharType="begin" w:fldLock="1"/>
      </w:r>
      <w:r w:rsidR="00267DAA" w:rsidRPr="00441D50">
        <w:instrText>ADDIN CSL_CITATION {"citationItems":[{"id":"ITEM-1","itemData":{"author":[{"dropping-particle":"","family":"Hanna","given":"Niveen","non-dropping-particle":"","parse-names":false,"suffix":""},{"dropping-particle":"","family":"Bialowas","given":"Christie","non-dropping-particle":"","parse-names":false,"suffix":""}],"container-title":"Southern Medical Journal","id":"ITEM-1","issue":"5","issued":{"date-parts":[["2010"]]},"page":"461-463","title":"Septicemia Secondary to Ileus in Trauma Patients : A Human Model for Bacterial Translocation","type":"article-journal","volume":"103"},"uris":["http://www.mendeley.com/documents/?uuid=4377fd62-f87a-40f2-836e-e00af54bb141"]}],"mendeley":{"formattedCitation":"(29)","plainTextFormattedCitation":"(29)","previouslyFormattedCitation":"(29)"},"properties":{"noteIndex":0},"schema":"https://github.com/citation-style-language/schema/raw/master/csl-citation.json"}</w:instrText>
      </w:r>
      <w:r w:rsidR="00CC7A9C" w:rsidRPr="00441D50">
        <w:fldChar w:fldCharType="separate"/>
      </w:r>
      <w:r w:rsidR="00267DAA" w:rsidRPr="00441D50">
        <w:rPr>
          <w:noProof/>
        </w:rPr>
        <w:t>(29)</w:t>
      </w:r>
      <w:r w:rsidR="00CC7A9C" w:rsidRPr="00441D50">
        <w:fldChar w:fldCharType="end"/>
      </w:r>
      <w:r w:rsidR="00C711C1" w:rsidRPr="00441D50">
        <w:t xml:space="preserve"> and </w:t>
      </w:r>
      <w:r w:rsidR="00CC7A9C" w:rsidRPr="00441D50">
        <w:t>has been reported</w:t>
      </w:r>
      <w:r w:rsidR="00C711C1" w:rsidRPr="00441D50">
        <w:t xml:space="preserve"> to occur</w:t>
      </w:r>
      <w:r w:rsidR="00CC7A9C" w:rsidRPr="00441D50">
        <w:t xml:space="preserve"> in 14% of human patients undergoing laparotomy</w:t>
      </w:r>
      <w:r w:rsidR="00CC7A9C" w:rsidRPr="00441D50">
        <w:fldChar w:fldCharType="begin" w:fldLock="1"/>
      </w:r>
      <w:r w:rsidR="00267DAA" w:rsidRPr="00441D50">
        <w:instrText>ADDIN CSL_CITATION {"citationItems":[{"id":"ITEM-1","itemData":{"DOI":"10.1002/bjs.5184","ISBN":"0007-1323 (Print)\\r0007-1323 (Linking)","ISSN":"00071323","PMID":"16288452","abstract":"BACKGROUND: Bacterial translocation (BT) describes the passage of bacteria from the gastrointestinal tract to normally sterile tissues such as the mesenteric lymph nodes (MLNs) and other internal organs. The clinical and pathophysiological significance of BT remains controversial. This report describes results obtained over a 13-year period of study. METHODS: MLNs were obtained from 927 patients undergoing laparotomy. Nasogastric aspirates were obtained from 458 (49.4 per cent) of 927 patients for culture; pH was measured in 172 (37.6 per cent) of 458. Preoperative clinical variables were evaluated and factors that influenced BT were included in a multivariate logistic regression analysis. RESULTS: BT was identified in 130 (14.0 per cent) of 927 patients. Postoperative sepsis was more common in patients with BT (42.3 versus 19.9 per cent; P &lt; 0.001). Independent preoperative variables associated with BT were emergency surgery (P = 0.001) and total parenteral nutrition (TPN) (P = 0.015). Gastric colonization was confirmed in 248 (54.1 per cent) of 458 patients, and was associated with both BT (P = 0.015) and postoperative sepsis (P = 0.029). A gastric pH of less than 4 was associated with a significant reduction in gastric colonization (53 versus 80 per cent; P &lt; 0.001) and postoperative sepsis (46 versus 70.3 per cent; P = 0.018) but not BT. CONCLUSION: BT is associated with postoperative sepsis. Emergency surgery and TPN are independently associated with an increased prevalence of BT.","author":[{"dropping-particle":"","family":"MacFie","given":"J.","non-dropping-particle":"","parse-names":false,"suffix":""},{"dropping-particle":"","family":"Reddy","given":"B. S.","non-dropping-particle":"","parse-names":false,"suffix":""},{"dropping-particle":"","family":"Gatt","given":"M.","non-dropping-particle":"","parse-names":false,"suffix":""},{"dropping-particle":"","family":"Jain","given":"P. K.","non-dropping-particle":"","parse-names":false,"suffix":""},{"dropping-particle":"","family":"Sowdi","given":"R.","non-dropping-particle":"","parse-names":false,"suffix":""},{"dropping-particle":"","family":"Mitchell","given":"C. J.","non-dropping-particle":"","parse-names":false,"suffix":""}],"container-title":"British Journal of Surgery","id":"ITEM-1","issue":"1","issued":{"date-parts":[["2006"]]},"page":"87-93","title":"Bacterial translocation studied in 927 patients over 13 years","type":"article-journal","volume":"93"},"uris":["http://www.mendeley.com/documents/?uuid=7e9d71c6-1da6-4737-8990-3fefdeffc421","http://www.mendeley.com/documents/?uuid=8a7fbfc3-0f06-46ae-a773-c28679a6f184"]}],"mendeley":{"formattedCitation":"(30)","plainTextFormattedCitation":"(30)","previouslyFormattedCitation":"(30)"},"properties":{"noteIndex":0},"schema":"https://github.com/citation-style-language/schema/raw/master/csl-citation.json"}</w:instrText>
      </w:r>
      <w:r w:rsidR="00CC7A9C" w:rsidRPr="00441D50">
        <w:fldChar w:fldCharType="separate"/>
      </w:r>
      <w:r w:rsidR="00267DAA" w:rsidRPr="00441D50">
        <w:rPr>
          <w:noProof/>
        </w:rPr>
        <w:t>(30)</w:t>
      </w:r>
      <w:r w:rsidR="00CC7A9C" w:rsidRPr="00441D50">
        <w:fldChar w:fldCharType="end"/>
      </w:r>
      <w:r w:rsidR="00CC7A9C" w:rsidRPr="00441D50">
        <w:t xml:space="preserve">. </w:t>
      </w:r>
      <w:r w:rsidR="009F2AED" w:rsidRPr="00441D50">
        <w:t xml:space="preserve">To our knowledge, no human studies have investigated bacteraemia and subsequent surgical site infection </w:t>
      </w:r>
      <w:r w:rsidR="004743C4" w:rsidRPr="00441D50">
        <w:t>as</w:t>
      </w:r>
      <w:r w:rsidR="009F2AED" w:rsidRPr="00441D50">
        <w:t xml:space="preserve"> most studies focus on </w:t>
      </w:r>
      <w:r w:rsidR="004743C4" w:rsidRPr="00441D50">
        <w:t>bacteraemia</w:t>
      </w:r>
      <w:r w:rsidR="009F2AED" w:rsidRPr="00441D50">
        <w:t xml:space="preserve"> as a result of SSI</w:t>
      </w:r>
      <w:r w:rsidR="009F6F6E" w:rsidRPr="00441D50">
        <w:fldChar w:fldCharType="begin" w:fldLock="1"/>
      </w:r>
      <w:r w:rsidR="009A4D06" w:rsidRPr="00441D50">
        <w:instrText>ADDIN CSL_CITATION {"citationItems":[{"id":"ITEM-1","itemData":{"ISSN":"0195-6701","author":[{"dropping-particle":"","family":"Jerassy","given":"Z","non-dropping-particle":"","parse-names":false,"suffix":""},{"dropping-particle":"","family":"Yinnon","given":"A M","non-dropping-particle":"","parse-names":false,"suffix":""},{"dropping-particle":"","family":"Mazouz-Cohen","given":"S","non-dropping-particle":"","parse-names":false,"suffix":""},{"dropping-particle":"","family":"Benenson","given":"S","non-dropping-particle":"","parse-names":false,"suffix":""},{"dropping-particle":"","family":"Schlesinger","given":"Y","non-dropping-particle":"","parse-names":false,"suffix":""},{"dropping-particle":"","family":"Rudensky","given":"B","non-dropping-particle":"","parse-names":false,"suffix":""},{"dropping-particle":"","family":"Raveh","given":"D","non-dropping-particle":"","parse-names":false,"suffix":""}],"container-title":"Journal of Hospital Infection","id":"ITEM-1","issue":"2","issued":{"date-parts":[["2006"]]},"page":"230-236","publisher":"Elsevier","title":"Prospective hospital-wide studies of 505 patients with nosocomial bacteraemia in 1997 and 2002","type":"article-journal","volume":"62"},"uris":["http://www.mendeley.com/documents/?uuid=a9796a8a-fb2d-46b7-a936-907ae5f5f6ff","http://www.mendeley.com/documents/?uuid=630a5517-bdcc-4007-af2a-8de3b2dbd1f3"]},{"id":"ITEM-2","itemData":{"ISSN":"1469-4409","author":[{"dropping-particle":"","family":"Carnicer-Pont","given":"D","non-dropping-particle":"","parse-names":false,"suffix":""},{"dropping-particle":"","family":"Bailey","given":"Kerry A","non-dropping-particle":"","parse-names":false,"suffix":""},{"dropping-particle":"","family":"Mason","given":"B W","non-dropping-particle":"","parse-names":false,"suffix":""},{"dropping-particle":"","family":"Walker","given":"A M","non-dropping-particle":"","parse-names":false,"suffix":""},{"dropping-particle":"","family":"Evans","given":"Matthew R","non-dropping-particle":"","parse-names":false,"suffix":""},{"dropping-particle":"","family":"Salmon","given":"R L","non-dropping-particle":"","parse-names":false,"suffix":""}],"container-title":"Epidemiology &amp; Infection","id":"ITEM-2","issue":"6","issued":{"date-parts":[["2006"]]},"page":"1167-1173","publisher":"Cambridge University Press","title":"Risk factors for hospital-acquired methicillin-resistant Staphylococcus aureus bacteraemia: a case-control study","type":"article-journal","volume":"134"},"uris":["http://www.mendeley.com/documents/?uuid=78387048-90f4-4936-a0db-08c0ef6b0619","http://www.mendeley.com/documents/?uuid=4013bbef-cb8a-4f1c-8047-4921fecc1159"]}],"mendeley":{"formattedCitation":"(31,32)","plainTextFormattedCitation":"(31,32)","previouslyFormattedCitation":"(31,32)"},"properties":{"noteIndex":0},"schema":"https://github.com/citation-style-language/schema/raw/master/csl-citation.json"}</w:instrText>
      </w:r>
      <w:r w:rsidR="009F6F6E" w:rsidRPr="00441D50">
        <w:fldChar w:fldCharType="separate"/>
      </w:r>
      <w:r w:rsidR="00267DAA" w:rsidRPr="00441D50">
        <w:rPr>
          <w:noProof/>
        </w:rPr>
        <w:t>(31,32)</w:t>
      </w:r>
      <w:r w:rsidR="009F6F6E" w:rsidRPr="00441D50">
        <w:fldChar w:fldCharType="end"/>
      </w:r>
      <w:r w:rsidR="009F2AED" w:rsidRPr="00441D50">
        <w:t>.</w:t>
      </w:r>
      <w:r w:rsidR="009F6F6E" w:rsidRPr="00441D50">
        <w:t xml:space="preserve"> </w:t>
      </w:r>
      <w:r w:rsidR="00CC7A9C" w:rsidRPr="00441D50">
        <w:t>Bacteraemia has also been reported in cats and dog</w:t>
      </w:r>
      <w:r w:rsidR="009C26FB" w:rsidRPr="00441D50">
        <w:t>s</w:t>
      </w:r>
      <w:r w:rsidR="001775A1" w:rsidRPr="00441D50">
        <w:t xml:space="preserve"> </w:t>
      </w:r>
      <w:r w:rsidR="00032861" w:rsidRPr="00441D50">
        <w:t xml:space="preserve">and </w:t>
      </w:r>
      <w:r w:rsidR="009C26FB" w:rsidRPr="00441D50">
        <w:t xml:space="preserve">positive blood cultures </w:t>
      </w:r>
      <w:r w:rsidR="00032861" w:rsidRPr="00441D50">
        <w:t xml:space="preserve">have been </w:t>
      </w:r>
      <w:r w:rsidR="009C26FB" w:rsidRPr="00441D50">
        <w:t xml:space="preserve">reported in </w:t>
      </w:r>
      <w:r w:rsidR="00CC7A9C" w:rsidRPr="00441D50">
        <w:t>49% of critically ill cats and dogs</w:t>
      </w:r>
      <w:r w:rsidR="00286B33" w:rsidRPr="00441D50">
        <w:fldChar w:fldCharType="begin" w:fldLock="1"/>
      </w:r>
      <w:r w:rsidR="00267DAA" w:rsidRPr="00441D50">
        <w:instrText>ADDIN CSL_CITATION {"citationItems":[{"id":"ITEM-1","itemData":{"ISSN":"0003-1488","author":[{"dropping-particle":"","family":"Dow","given":"S W","non-dropping-particle":"","parse-names":false,"suffix":""},{"dropping-particle":"","family":"Curtis","given":"C R","non-dropping-particle":"","parse-names":false,"suffix":""},{"dropping-particle":"","family":"Jones","given":"R L","non-dropping-particle":"","parse-names":false,"suffix":""},{"dropping-particle":"","family":"Wingfield","given":"W E","non-dropping-particle":"","parse-names":false,"suffix":""}],"container-title":"Journal of the American Veterinary Medical Association","id":"ITEM-1","issue":"1","issued":{"date-parts":[["1989"]]},"page":"113-117","title":"Bacterial culture of blood from critically ill dogs and cats: 100 cases (1985-1987).","type":"article-journal","volume":"195"},"uris":["http://www.mendeley.com/documents/?uuid=89404d9a-a46e-4256-a44d-9aa81037a4fb"]}],"mendeley":{"formattedCitation":"(33)","plainTextFormattedCitation":"(33)","previouslyFormattedCitation":"(33)"},"properties":{"noteIndex":0},"schema":"https://github.com/citation-style-language/schema/raw/master/csl-citation.json"}</w:instrText>
      </w:r>
      <w:r w:rsidR="00286B33" w:rsidRPr="00441D50">
        <w:fldChar w:fldCharType="separate"/>
      </w:r>
      <w:r w:rsidR="00267DAA" w:rsidRPr="00441D50">
        <w:rPr>
          <w:noProof/>
        </w:rPr>
        <w:t>(33)</w:t>
      </w:r>
      <w:r w:rsidR="00286B33" w:rsidRPr="00441D50">
        <w:fldChar w:fldCharType="end"/>
      </w:r>
      <w:r w:rsidR="00CC7A9C" w:rsidRPr="00441D50">
        <w:t>. Bacterial translocation</w:t>
      </w:r>
      <w:r w:rsidR="009141C2" w:rsidRPr="00441D50">
        <w:t xml:space="preserve"> </w:t>
      </w:r>
      <w:r w:rsidR="00CC7A9C" w:rsidRPr="00441D50">
        <w:t xml:space="preserve">has been documented </w:t>
      </w:r>
      <w:r w:rsidR="00C711C1" w:rsidRPr="00441D50">
        <w:t>to occur</w:t>
      </w:r>
      <w:r w:rsidR="00CC7A9C" w:rsidRPr="00441D50">
        <w:t xml:space="preserve"> </w:t>
      </w:r>
      <w:r w:rsidR="00C16982" w:rsidRPr="00441D50">
        <w:t>in horses</w:t>
      </w:r>
      <w:r w:rsidR="00CC7A9C" w:rsidRPr="00441D50">
        <w:t xml:space="preserve"> undergoing laparotomy</w:t>
      </w:r>
      <w:r w:rsidR="008E018F" w:rsidRPr="00441D50">
        <w:t xml:space="preserve"> </w:t>
      </w:r>
      <w:r w:rsidR="00C711C1" w:rsidRPr="00441D50">
        <w:t xml:space="preserve">with </w:t>
      </w:r>
      <w:r w:rsidR="000D2A9A" w:rsidRPr="00441D50">
        <w:t xml:space="preserve">a reported </w:t>
      </w:r>
      <w:r w:rsidR="00C16982" w:rsidRPr="00441D50">
        <w:t xml:space="preserve">prevalence of </w:t>
      </w:r>
      <w:r w:rsidR="00CC7A9C" w:rsidRPr="00441D50">
        <w:t>13.8</w:t>
      </w:r>
      <w:r w:rsidR="004743C4" w:rsidRPr="00441D50">
        <w:t>%</w:t>
      </w:r>
      <w:r w:rsidR="004743C4" w:rsidRPr="00441D50">
        <w:fldChar w:fldCharType="begin" w:fldLock="1"/>
      </w:r>
      <w:r w:rsidR="004743C4" w:rsidRPr="00441D50">
        <w:instrText>ADDIN CSL_CITATION {"citationItems":[{"id":"ITEM-1","itemData":{"DOI":"10.1111/j.1476-4431.2012.00803.x","ISBN":"1479-3261","ISSN":"14793261","PMID":"23148744","abstract":"Objective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Care","id":"ITEM-1","issue":"6","issued":{"date-parts":[["2012"]]},"page":"653-660","title":"Presumptive bacterial translocation in horses with strangulating small intestinal lesions requiring resection and anastomosis","type":"article-journal","volume":"22"},"uris":["http://www.mendeley.com/documents/?uuid=7b8197aa-d322-4b64-b8e1-7a1ffa92939c"]}],"mendeley":{"formattedCitation":"(34)","plainTextFormattedCitation":"(34)","previouslyFormattedCitation":"(34)"},"properties":{"noteIndex":0},"schema":"https://github.com/citation-style-language/schema/raw/master/csl-citation.json"}</w:instrText>
      </w:r>
      <w:r w:rsidR="004743C4" w:rsidRPr="00441D50">
        <w:fldChar w:fldCharType="separate"/>
      </w:r>
      <w:r w:rsidR="004743C4" w:rsidRPr="00441D50">
        <w:rPr>
          <w:noProof/>
        </w:rPr>
        <w:t>(34)</w:t>
      </w:r>
      <w:r w:rsidR="004743C4" w:rsidRPr="00441D50">
        <w:fldChar w:fldCharType="end"/>
      </w:r>
      <w:r w:rsidR="009141C2" w:rsidRPr="00441D50">
        <w:t xml:space="preserve">. </w:t>
      </w:r>
      <w:r w:rsidR="00780435" w:rsidRPr="00441D50">
        <w:t xml:space="preserve">However, </w:t>
      </w:r>
      <w:r w:rsidR="00032861" w:rsidRPr="00441D50">
        <w:t>this study</w:t>
      </w:r>
      <w:r w:rsidR="00780435" w:rsidRPr="00441D50">
        <w:t xml:space="preserve"> did not sample all horses prior to administration of antimicrobial agents and concurrent sampling of blood and peritoneal fluid was not performed. </w:t>
      </w:r>
    </w:p>
    <w:p w14:paraId="2552F6E5" w14:textId="77777777" w:rsidR="00D60EFC" w:rsidRPr="00441D50" w:rsidRDefault="00D60EFC" w:rsidP="00963411">
      <w:pPr>
        <w:spacing w:line="480" w:lineRule="auto"/>
        <w:jc w:val="both"/>
      </w:pPr>
    </w:p>
    <w:p w14:paraId="47CCA9DD" w14:textId="77777777" w:rsidR="00E41E54" w:rsidRPr="00441D50" w:rsidRDefault="00CC7A9C" w:rsidP="00963411">
      <w:pPr>
        <w:spacing w:line="480" w:lineRule="auto"/>
        <w:jc w:val="both"/>
      </w:pPr>
      <w:r w:rsidRPr="00441D50">
        <w:lastRenderedPageBreak/>
        <w:t xml:space="preserve">The objectives of this </w:t>
      </w:r>
      <w:r w:rsidR="00C711C1" w:rsidRPr="00441D50">
        <w:t xml:space="preserve">prospective </w:t>
      </w:r>
      <w:r w:rsidR="000F1F26" w:rsidRPr="00441D50">
        <w:t xml:space="preserve">pilot </w:t>
      </w:r>
      <w:r w:rsidRPr="00441D50">
        <w:t xml:space="preserve">study were </w:t>
      </w:r>
      <w:r w:rsidR="00D60EFC" w:rsidRPr="00441D50">
        <w:t xml:space="preserve">therefore </w:t>
      </w:r>
      <w:r w:rsidRPr="00441D50">
        <w:t xml:space="preserve">to </w:t>
      </w:r>
      <w:r w:rsidR="00C22BFA" w:rsidRPr="00441D50">
        <w:t>investigate whether bacterial translocation occur</w:t>
      </w:r>
      <w:r w:rsidR="00032861" w:rsidRPr="00441D50">
        <w:t>s</w:t>
      </w:r>
      <w:r w:rsidR="00C22BFA" w:rsidRPr="00441D50">
        <w:t xml:space="preserve"> in horses with acute colic by determining the</w:t>
      </w:r>
      <w:r w:rsidR="00C711C1" w:rsidRPr="00441D50">
        <w:t xml:space="preserve"> </w:t>
      </w:r>
      <w:r w:rsidR="000F1F26" w:rsidRPr="00441D50">
        <w:t>prevalence</w:t>
      </w:r>
      <w:r w:rsidR="00C711C1" w:rsidRPr="00441D50">
        <w:t xml:space="preserve"> of positive bacterial culture</w:t>
      </w:r>
      <w:r w:rsidR="000F1F26" w:rsidRPr="00441D50">
        <w:t>s</w:t>
      </w:r>
      <w:r w:rsidR="00C711C1" w:rsidRPr="00441D50">
        <w:t xml:space="preserve"> </w:t>
      </w:r>
      <w:r w:rsidR="000F1F26" w:rsidRPr="00441D50">
        <w:t xml:space="preserve">from </w:t>
      </w:r>
      <w:r w:rsidR="00C711C1" w:rsidRPr="00441D50">
        <w:t>blood and peritoneal fluid in a UK hospital population</w:t>
      </w:r>
      <w:r w:rsidR="00A75C7A" w:rsidRPr="00441D50">
        <w:t xml:space="preserve"> and to determine if there was an association with subsequent SSI</w:t>
      </w:r>
      <w:r w:rsidR="00C711C1" w:rsidRPr="00441D50">
        <w:t>. Our hypothesis was that</w:t>
      </w:r>
      <w:r w:rsidR="00A75C7A" w:rsidRPr="00441D50">
        <w:t xml:space="preserve"> bacterial translocation would occur and </w:t>
      </w:r>
      <w:r w:rsidR="00E41E54" w:rsidRPr="00441D50">
        <w:t xml:space="preserve">that in individual horses the same bacterial species would be isolated from either blood and/or peritoneal fluid and any SSI. </w:t>
      </w:r>
    </w:p>
    <w:p w14:paraId="0FBED2D6" w14:textId="77777777" w:rsidR="00CC7A9C" w:rsidRPr="00441D50" w:rsidRDefault="00CC7A9C" w:rsidP="00963411">
      <w:pPr>
        <w:spacing w:line="480" w:lineRule="auto"/>
        <w:jc w:val="both"/>
      </w:pPr>
    </w:p>
    <w:p w14:paraId="26AB191C" w14:textId="77777777" w:rsidR="00CC7A9C" w:rsidRPr="00441D50" w:rsidRDefault="00CC7A9C" w:rsidP="00963411">
      <w:pPr>
        <w:spacing w:line="480" w:lineRule="auto"/>
        <w:jc w:val="both"/>
        <w:rPr>
          <w:b/>
        </w:rPr>
      </w:pPr>
      <w:r w:rsidRPr="00441D50">
        <w:rPr>
          <w:b/>
        </w:rPr>
        <w:t xml:space="preserve">MATERIALS AND METHODS </w:t>
      </w:r>
    </w:p>
    <w:p w14:paraId="0CEF17F3" w14:textId="77777777" w:rsidR="00CC7A9C" w:rsidRPr="00441D50" w:rsidRDefault="00CC7A9C" w:rsidP="00963411">
      <w:pPr>
        <w:spacing w:line="480" w:lineRule="auto"/>
        <w:jc w:val="both"/>
        <w:rPr>
          <w:b/>
        </w:rPr>
      </w:pPr>
      <w:r w:rsidRPr="00441D50">
        <w:rPr>
          <w:b/>
        </w:rPr>
        <w:t>Study design and case selection</w:t>
      </w:r>
    </w:p>
    <w:p w14:paraId="4B767169" w14:textId="7BF46902" w:rsidR="00CC7A9C" w:rsidRPr="00441D50" w:rsidRDefault="00CC7A9C" w:rsidP="00963411">
      <w:pPr>
        <w:spacing w:line="480" w:lineRule="auto"/>
        <w:jc w:val="both"/>
      </w:pPr>
      <w:r w:rsidRPr="00441D50">
        <w:t>This</w:t>
      </w:r>
      <w:r w:rsidR="00B85A8C" w:rsidRPr="00441D50">
        <w:t xml:space="preserve"> observational</w:t>
      </w:r>
      <w:r w:rsidRPr="00441D50">
        <w:t xml:space="preserve"> study was </w:t>
      </w:r>
      <w:r w:rsidR="00B44705" w:rsidRPr="00441D50">
        <w:t>performed at</w:t>
      </w:r>
      <w:r w:rsidR="00C711C1" w:rsidRPr="00441D50">
        <w:t xml:space="preserve"> the</w:t>
      </w:r>
      <w:r w:rsidR="000D2A9A" w:rsidRPr="00441D50">
        <w:t xml:space="preserve"> U</w:t>
      </w:r>
      <w:r w:rsidRPr="00441D50">
        <w:t>niversity of Liverpool</w:t>
      </w:r>
      <w:r w:rsidR="000F1F26" w:rsidRPr="00441D50">
        <w:t xml:space="preserve"> Equine Hospital. </w:t>
      </w:r>
      <w:r w:rsidRPr="00441D50">
        <w:t xml:space="preserve"> Adult horses (</w:t>
      </w:r>
      <w:r w:rsidR="005F3A6A" w:rsidRPr="00441D50">
        <w:t>&gt;</w:t>
      </w:r>
      <w:r w:rsidRPr="00441D50">
        <w:t xml:space="preserve">1 year of age) admitted to the hospital for the investigation of acute colic over a </w:t>
      </w:r>
      <w:r w:rsidR="00B44705" w:rsidRPr="00441D50">
        <w:t>12-month</w:t>
      </w:r>
      <w:r w:rsidRPr="00441D50">
        <w:t xml:space="preserve"> period (January 2018 - February 201</w:t>
      </w:r>
      <w:r w:rsidR="009141C2" w:rsidRPr="00441D50">
        <w:t>9</w:t>
      </w:r>
      <w:r w:rsidRPr="00441D50">
        <w:t>) were included in the study</w:t>
      </w:r>
      <w:r w:rsidR="00C711C1" w:rsidRPr="00441D50">
        <w:t xml:space="preserve"> following </w:t>
      </w:r>
      <w:r w:rsidR="00032861" w:rsidRPr="00441D50">
        <w:t xml:space="preserve">informed </w:t>
      </w:r>
      <w:r w:rsidR="00C711C1" w:rsidRPr="00441D50">
        <w:t>owner consent</w:t>
      </w:r>
      <w:r w:rsidRPr="00441D50">
        <w:t xml:space="preserve">. Peripheral blood samples (10ml) were collected from the jugular vein </w:t>
      </w:r>
      <w:r w:rsidR="00E41E54" w:rsidRPr="00441D50">
        <w:t xml:space="preserve">using a </w:t>
      </w:r>
      <w:proofErr w:type="gramStart"/>
      <w:r w:rsidR="00E41E54" w:rsidRPr="00441D50">
        <w:t>19 gauge</w:t>
      </w:r>
      <w:proofErr w:type="gramEnd"/>
      <w:r w:rsidR="00E41E54" w:rsidRPr="00441D50">
        <w:t xml:space="preserve"> needle and 10ml syringe </w:t>
      </w:r>
      <w:r w:rsidR="00BF582F" w:rsidRPr="00441D50">
        <w:t>on</w:t>
      </w:r>
      <w:r w:rsidRPr="00441D50">
        <w:t xml:space="preserve"> admission as part of routine haematological investigations</w:t>
      </w:r>
      <w:r w:rsidR="00C711C1" w:rsidRPr="00441D50">
        <w:t xml:space="preserve"> using </w:t>
      </w:r>
      <w:r w:rsidR="00BF582F" w:rsidRPr="00441D50">
        <w:t>strict</w:t>
      </w:r>
      <w:r w:rsidR="000D2A9A" w:rsidRPr="00441D50">
        <w:t xml:space="preserve"> </w:t>
      </w:r>
      <w:r w:rsidR="00C711C1" w:rsidRPr="00441D50">
        <w:t>aseptic technique</w:t>
      </w:r>
      <w:r w:rsidR="00032861" w:rsidRPr="00441D50">
        <w:t>, and prior to administration of any antimicrobials</w:t>
      </w:r>
      <w:r w:rsidRPr="00441D50">
        <w:t xml:space="preserve">. Peritoneal fluid samples (0.5ml) were </w:t>
      </w:r>
      <w:r w:rsidR="00032861" w:rsidRPr="00441D50">
        <w:t xml:space="preserve">also </w:t>
      </w:r>
      <w:r w:rsidRPr="00441D50">
        <w:t xml:space="preserve">collected </w:t>
      </w:r>
      <w:r w:rsidR="00BF582F" w:rsidRPr="00441D50">
        <w:t>on</w:t>
      </w:r>
      <w:r w:rsidRPr="00441D50">
        <w:t xml:space="preserve"> admission via transcutaneous </w:t>
      </w:r>
      <w:proofErr w:type="spellStart"/>
      <w:r w:rsidRPr="00441D50">
        <w:t>centesis</w:t>
      </w:r>
      <w:proofErr w:type="spellEnd"/>
      <w:r w:rsidR="00E41E54" w:rsidRPr="00441D50">
        <w:t xml:space="preserve"> through the ventral midline using a 21 gauge 2 inch needle directly into a </w:t>
      </w:r>
      <w:r w:rsidR="00E41E54" w:rsidRPr="00441D50">
        <w:rPr>
          <w:lang w:val="en-US"/>
        </w:rPr>
        <w:t xml:space="preserve">plain uncoated tube (BD Vacutainer, plain tube with silica) </w:t>
      </w:r>
      <w:r w:rsidRPr="00441D50">
        <w:t xml:space="preserve">as part of routine investigations and (for cases undergoing exploratory laparotomy) </w:t>
      </w:r>
      <w:r w:rsidR="00D60EFC" w:rsidRPr="00441D50">
        <w:t xml:space="preserve">peritoneal fluid samples were also taken </w:t>
      </w:r>
      <w:r w:rsidRPr="00441D50">
        <w:t xml:space="preserve">following surgical manipulation of the abdomen, just prior to closure of the </w:t>
      </w:r>
      <w:r w:rsidRPr="00441D50">
        <w:rPr>
          <w:i/>
        </w:rPr>
        <w:t>linea alba</w:t>
      </w:r>
      <w:r w:rsidR="00E41E54" w:rsidRPr="00441D50">
        <w:t xml:space="preserve"> </w:t>
      </w:r>
      <w:r w:rsidR="00DC1FDF" w:rsidRPr="00441D50">
        <w:t>using a steril</w:t>
      </w:r>
      <w:r w:rsidR="00570BB1" w:rsidRPr="00441D50">
        <w:t>e</w:t>
      </w:r>
      <w:r w:rsidR="00DC1FDF" w:rsidRPr="00441D50">
        <w:t xml:space="preserve"> syringe to aspirate peritoneal fluid</w:t>
      </w:r>
      <w:r w:rsidR="006A2D42" w:rsidRPr="00441D50">
        <w:t xml:space="preserve"> that could be </w:t>
      </w:r>
      <w:r w:rsidR="00570BB1" w:rsidRPr="00441D50">
        <w:t>l</w:t>
      </w:r>
      <w:r w:rsidR="006A2D42" w:rsidRPr="00441D50">
        <w:t>ocated and immediately transferred using aseptic technique</w:t>
      </w:r>
      <w:r w:rsidR="00570BB1" w:rsidRPr="00441D50">
        <w:t xml:space="preserve"> into </w:t>
      </w:r>
      <w:r w:rsidR="00E41E54" w:rsidRPr="00441D50">
        <w:t xml:space="preserve">a </w:t>
      </w:r>
      <w:r w:rsidR="00E41E54" w:rsidRPr="00441D50">
        <w:rPr>
          <w:lang w:val="en-US"/>
        </w:rPr>
        <w:t>plain uncoated tube (BD Vacutainer, plain tube with silica)</w:t>
      </w:r>
      <w:r w:rsidRPr="00441D50">
        <w:t xml:space="preserve">. Prior to collection of peripheral blood and peritoneal fluid </w:t>
      </w:r>
      <w:r w:rsidR="00BF582F" w:rsidRPr="00441D50">
        <w:t>on</w:t>
      </w:r>
      <w:r w:rsidRPr="00441D50">
        <w:t xml:space="preserve"> admission, a strict protocol for </w:t>
      </w:r>
      <w:r w:rsidR="00C9610D" w:rsidRPr="00441D50">
        <w:t xml:space="preserve">sterile </w:t>
      </w:r>
      <w:r w:rsidRPr="00441D50">
        <w:t xml:space="preserve">preparation of the skin was followed </w:t>
      </w:r>
      <w:r w:rsidR="00C9610D" w:rsidRPr="00441D50">
        <w:t>using</w:t>
      </w:r>
      <w:r w:rsidRPr="00441D50">
        <w:t xml:space="preserve"> 4% chlorhexidine gluconate scrub for </w:t>
      </w:r>
      <w:r w:rsidR="009141C2" w:rsidRPr="00441D50">
        <w:t>3</w:t>
      </w:r>
      <w:r w:rsidRPr="00441D50">
        <w:t xml:space="preserve"> minutes followed by </w:t>
      </w:r>
      <w:r w:rsidR="00C711C1" w:rsidRPr="00441D50">
        <w:t xml:space="preserve">cleaning of the site with </w:t>
      </w:r>
      <w:r w:rsidRPr="00441D50">
        <w:t>2% chlorhexidine gluconate and 70% isopropyl alcohol mixture solution</w:t>
      </w:r>
      <w:r w:rsidR="00C01AAB" w:rsidRPr="00441D50">
        <w:t xml:space="preserve"> (20:80)</w:t>
      </w:r>
      <w:r w:rsidRPr="00441D50">
        <w:t xml:space="preserve">. Blood samples were collected into </w:t>
      </w:r>
      <w:proofErr w:type="spellStart"/>
      <w:r w:rsidRPr="00441D50">
        <w:t>Oxoid</w:t>
      </w:r>
      <w:proofErr w:type="spellEnd"/>
      <w:r w:rsidRPr="00441D50">
        <w:t xml:space="preserve"> </w:t>
      </w:r>
      <w:proofErr w:type="spellStart"/>
      <w:r w:rsidRPr="00441D50">
        <w:t>signal</w:t>
      </w:r>
      <w:r w:rsidRPr="00441D50">
        <w:rPr>
          <w:vertAlign w:val="superscript"/>
        </w:rPr>
        <w:t>a</w:t>
      </w:r>
      <w:proofErr w:type="spellEnd"/>
      <w:r w:rsidRPr="00441D50">
        <w:t xml:space="preserve"> blood culture bottles</w:t>
      </w:r>
      <w:r w:rsidR="00962271" w:rsidRPr="00441D50">
        <w:t xml:space="preserve"> </w:t>
      </w:r>
      <w:r w:rsidRPr="00441D50">
        <w:t xml:space="preserve">and were either </w:t>
      </w:r>
      <w:r w:rsidRPr="00441D50">
        <w:lastRenderedPageBreak/>
        <w:t xml:space="preserve">submitted directly </w:t>
      </w:r>
      <w:r w:rsidR="0019761E" w:rsidRPr="00441D50">
        <w:t xml:space="preserve">to the laboratory </w:t>
      </w:r>
      <w:r w:rsidRPr="00441D50">
        <w:t xml:space="preserve">for processing or </w:t>
      </w:r>
      <w:r w:rsidR="00C711C1" w:rsidRPr="00441D50">
        <w:t xml:space="preserve">were </w:t>
      </w:r>
      <w:r w:rsidRPr="00441D50">
        <w:t xml:space="preserve">placed into an incubator and submitted for processing within 12 hours. Peritoneal fluid samples were collected into </w:t>
      </w:r>
      <w:r w:rsidR="00C711C1" w:rsidRPr="00441D50">
        <w:t xml:space="preserve">a </w:t>
      </w:r>
      <w:r w:rsidRPr="00441D50">
        <w:rPr>
          <w:lang w:val="en-US"/>
        </w:rPr>
        <w:t>plain uncoated tube (BD Vacutainer, plain tube with silica</w:t>
      </w:r>
      <w:r w:rsidR="008E018F" w:rsidRPr="00441D50">
        <w:rPr>
          <w:lang w:val="en-US"/>
        </w:rPr>
        <w:t xml:space="preserve">) </w:t>
      </w:r>
      <w:r w:rsidRPr="00441D50">
        <w:t>and were either submitted</w:t>
      </w:r>
      <w:r w:rsidR="00C711C1" w:rsidRPr="00441D50">
        <w:t xml:space="preserve"> immediately</w:t>
      </w:r>
      <w:r w:rsidRPr="00441D50">
        <w:t xml:space="preserve"> for processing or </w:t>
      </w:r>
      <w:r w:rsidR="00032861" w:rsidRPr="00441D50">
        <w:t xml:space="preserve">were </w:t>
      </w:r>
      <w:r w:rsidRPr="00441D50">
        <w:t xml:space="preserve">placed into a refrigerator and submitted for processing </w:t>
      </w:r>
      <w:r w:rsidR="00C711C1" w:rsidRPr="00441D50">
        <w:t>within 12 hours of collection</w:t>
      </w:r>
      <w:r w:rsidRPr="00441D50">
        <w:t xml:space="preserve">. </w:t>
      </w:r>
      <w:r w:rsidR="00C711C1" w:rsidRPr="00441D50">
        <w:t>SSI was defined as any purulent</w:t>
      </w:r>
      <w:r w:rsidR="005F3A6A" w:rsidRPr="00441D50">
        <w:t xml:space="preserve"> </w:t>
      </w:r>
      <w:r w:rsidR="00C711C1" w:rsidRPr="00441D50">
        <w:t>or serous discharge from the laparotomy incision of &gt;24 hours duration</w:t>
      </w:r>
      <w:r w:rsidR="009141C2" w:rsidRPr="00441D50">
        <w:fldChar w:fldCharType="begin" w:fldLock="1"/>
      </w:r>
      <w:r w:rsidR="00267DAA" w:rsidRPr="00441D50">
        <w:instrText>ADDIN CSL_CITATION {"citationItems":[{"id":"ITEM-1","itemData":{"DOI":"10.1111/evj.12958","ISSN":"20423306","PMID":"29679416","abstract":"BACKGROUND: There is limited information about bacterial isolates that are present on the equine midline incision during and following exploratory laparotomy. OBJECTIVES: To investigate the bacterial species cultured from the ventral midline pre-, intra- and post laparotomy, whether particular bacterial isolates are associated with the development of surgical site infections (SSIs) and to report the antimicrobial resistance phenotypes of these isolates. STUDY DESIGN: Prospective cohort study. METHODS: The ventral midline of 31 horses undergoing exploratory laparotomy were sampled for bacterial culture at set time-points pre, intra and post-operatively. Inclusion criteria were that horses must have undergone exploratory laparotomy within 90 min of the initial colic examination upon hospital admission and must not have been placed in a stable prior to surgery. SSI was defined as any purulent or serous discharge from the laparotomy incision of &gt;24 hour duration. RESULTS: Seven horses (22.6%) developed a SSI. None of the variables tested were associated with altered risk of SSI. The prevalence of a positive bacterial culture from the incision increased progressively over time and a variety of bacteria were isolated. A positive intra-operative culture was not a predictor of SSI; and when a SSI did occur, it was due to a different bacterial isolate. MRSA and ESBL-producers were identified in the post-operative period in one and four different horses respectively, but none of these developed a SSI. MAIN LIMITATIONS: Sampling was limited to hospitalisation and no culture results were available for horses developing SSI following hospital discharge. CONCLUSIONS: A variety of bacterial species may be isolated from equine laparotomy incisions peri-operatively without development of SSI. SSI does not appear to be solely related to bacterial contamination of the incision peri-operatively and other mechanisms such as bacteraemia merit further investigation. This article is protected by copyright. All rights reserved.","author":[{"dropping-particle":"","family":"Isgren","given":"C. M.","non-dropping-particle":"","parse-names":false,"suffix":""},{"dropping-particle":"","family":"Salem","given":"S. E.","non-dropping-particle":"","parse-names":false,"suffix":""},{"dropping-particle":"","family":"Townsend","given":"N. B.","non-dropping-particle":"","parse-names":false,"suffix":""},{"dropping-particle":"","family":"Timofte","given":"D.","non-dropping-particle":"","parse-names":false,"suffix":""},{"dropping-particle":"","family":"Maddox","given":"T. W.","non-dropping-particle":"","parse-names":false,"suffix":""},{"dropping-particle":"","family":"Archer","given":"D. C.","non-dropping-particle":"","parse-names":false,"suffix":""}],"container-title":"Equine Veterinary Journal","id":"ITEM-1","issued":{"date-parts":[["2018"]]},"page":"1-7","title":"Sequential bacterial sampling of the midline incision in horses undergoing exploratory laparotomy","type":"article-journal","volume":"0"},"uris":["http://www.mendeley.com/documents/?uuid=670b28ad-9c86-4465-bc2e-94437f56e387"]}],"mendeley":{"formattedCitation":"(22)","plainTextFormattedCitation":"(22)","previouslyFormattedCitation":"(22)"},"properties":{"noteIndex":0},"schema":"https://github.com/citation-style-language/schema/raw/master/csl-citation.json"}</w:instrText>
      </w:r>
      <w:r w:rsidR="009141C2" w:rsidRPr="00441D50">
        <w:fldChar w:fldCharType="separate"/>
      </w:r>
      <w:r w:rsidR="00267DAA" w:rsidRPr="00441D50">
        <w:rPr>
          <w:noProof/>
        </w:rPr>
        <w:t>(22)</w:t>
      </w:r>
      <w:r w:rsidR="009141C2" w:rsidRPr="00441D50">
        <w:fldChar w:fldCharType="end"/>
      </w:r>
      <w:r w:rsidR="00C711C1" w:rsidRPr="00441D50">
        <w:t xml:space="preserve">. </w:t>
      </w:r>
      <w:r w:rsidRPr="00441D50">
        <w:t xml:space="preserve">If </w:t>
      </w:r>
      <w:proofErr w:type="gramStart"/>
      <w:r w:rsidRPr="00441D50">
        <w:t>a</w:t>
      </w:r>
      <w:proofErr w:type="gramEnd"/>
      <w:r w:rsidRPr="00441D50">
        <w:t xml:space="preserve"> SSI developed post-operatively, a sample of the discharge was collected </w:t>
      </w:r>
      <w:r w:rsidR="00032861" w:rsidRPr="00441D50">
        <w:t>aseptically</w:t>
      </w:r>
      <w:r w:rsidR="00C711C1" w:rsidRPr="00441D50">
        <w:t xml:space="preserve"> </w:t>
      </w:r>
      <w:r w:rsidR="00032861" w:rsidRPr="00441D50">
        <w:t>on</w:t>
      </w:r>
      <w:r w:rsidRPr="00441D50">
        <w:t xml:space="preserve"> a charcoal medium transport </w:t>
      </w:r>
      <w:proofErr w:type="spellStart"/>
      <w:r w:rsidRPr="00441D50">
        <w:t>swab</w:t>
      </w:r>
      <w:r w:rsidRPr="00441D50">
        <w:rPr>
          <w:vertAlign w:val="superscript"/>
        </w:rPr>
        <w:t>c</w:t>
      </w:r>
      <w:proofErr w:type="spellEnd"/>
      <w:r w:rsidRPr="00441D50">
        <w:t xml:space="preserve"> and </w:t>
      </w:r>
      <w:r w:rsidR="005F3A6A" w:rsidRPr="00441D50">
        <w:t xml:space="preserve">was </w:t>
      </w:r>
      <w:r w:rsidRPr="00441D50">
        <w:t>submitted to the laboratory for culture and s</w:t>
      </w:r>
      <w:r w:rsidR="00C9610D" w:rsidRPr="00441D50">
        <w:t>usceptibility</w:t>
      </w:r>
      <w:r w:rsidR="00C711C1" w:rsidRPr="00441D50">
        <w:t xml:space="preserve"> testing</w:t>
      </w:r>
      <w:r w:rsidRPr="00441D50">
        <w:t>. Bacterial culture was performed by direct plating onto 5% sheep blood agar</w:t>
      </w:r>
      <w:r w:rsidR="009141C2" w:rsidRPr="00441D50">
        <w:t>.</w:t>
      </w:r>
      <w:r w:rsidR="00032861" w:rsidRPr="00441D50">
        <w:t xml:space="preserve"> </w:t>
      </w:r>
      <w:r w:rsidRPr="00441D50">
        <w:t>Plates were incubated aerobically and anaerobically for 2–7 days at 37.0°C. Results were reported as pure or mixed growth</w:t>
      </w:r>
      <w:r w:rsidR="00561460" w:rsidRPr="00441D50">
        <w:t xml:space="preserve"> with all isolates identifie</w:t>
      </w:r>
      <w:r w:rsidR="00A55602" w:rsidRPr="00441D50">
        <w:t>d</w:t>
      </w:r>
      <w:r w:rsidR="00561460" w:rsidRPr="00441D50">
        <w:t xml:space="preserve"> at species level</w:t>
      </w:r>
      <w:r w:rsidR="00E803B7" w:rsidRPr="00441D50">
        <w:t xml:space="preserve"> </w:t>
      </w:r>
      <w:r w:rsidRPr="00441D50">
        <w:t xml:space="preserve">using API </w:t>
      </w:r>
      <w:proofErr w:type="spellStart"/>
      <w:r w:rsidRPr="00441D50">
        <w:t>kits</w:t>
      </w:r>
      <w:r w:rsidRPr="00441D50">
        <w:rPr>
          <w:vertAlign w:val="superscript"/>
        </w:rPr>
        <w:t>d</w:t>
      </w:r>
      <w:proofErr w:type="spellEnd"/>
      <w:r w:rsidRPr="00441D50">
        <w:t xml:space="preserve"> and GNID and GPID </w:t>
      </w:r>
      <w:proofErr w:type="spellStart"/>
      <w:r w:rsidRPr="00441D50">
        <w:t>Sensititre</w:t>
      </w:r>
      <w:proofErr w:type="spellEnd"/>
      <w:r w:rsidRPr="00441D50">
        <w:t xml:space="preserve"> Identification </w:t>
      </w:r>
      <w:proofErr w:type="spellStart"/>
      <w:r w:rsidRPr="00441D50">
        <w:t>plates</w:t>
      </w:r>
      <w:r w:rsidRPr="00441D50">
        <w:rPr>
          <w:vertAlign w:val="superscript"/>
        </w:rPr>
        <w:t>e</w:t>
      </w:r>
      <w:proofErr w:type="spellEnd"/>
      <w:r w:rsidRPr="00441D50">
        <w:t xml:space="preserve">. </w:t>
      </w:r>
    </w:p>
    <w:p w14:paraId="19E9A276" w14:textId="373B6DFF" w:rsidR="00CC7A9C" w:rsidRPr="00441D50" w:rsidRDefault="00CC7A9C" w:rsidP="00963411">
      <w:pPr>
        <w:spacing w:line="480" w:lineRule="auto"/>
        <w:jc w:val="both"/>
      </w:pPr>
      <w:r w:rsidRPr="00441D50">
        <w:t>All horses undergoing surgery received procaine penicillin (</w:t>
      </w:r>
      <w:r w:rsidR="00F156B7" w:rsidRPr="00441D50">
        <w:t>14-</w:t>
      </w:r>
      <w:r w:rsidRPr="00441D50">
        <w:t xml:space="preserve">22mg/kg intramuscularly q12h) and gentamicin (6.6mg/kg intravenously q24h) </w:t>
      </w:r>
      <w:r w:rsidR="005F3A6A" w:rsidRPr="00441D50">
        <w:t>immediately</w:t>
      </w:r>
      <w:r w:rsidR="000D2A9A" w:rsidRPr="00441D50">
        <w:t xml:space="preserve"> </w:t>
      </w:r>
      <w:r w:rsidRPr="00441D50">
        <w:t>prior to induction of general anaesthesia</w:t>
      </w:r>
      <w:r w:rsidR="00C711C1" w:rsidRPr="00441D50">
        <w:t xml:space="preserve"> and after collection of the </w:t>
      </w:r>
      <w:r w:rsidR="00032861" w:rsidRPr="00441D50">
        <w:t xml:space="preserve">admission </w:t>
      </w:r>
      <w:r w:rsidR="00C711C1" w:rsidRPr="00441D50">
        <w:t>blood and peritoneal fluid samples</w:t>
      </w:r>
      <w:r w:rsidRPr="00441D50">
        <w:t>. Antimicrobials were continued for 3-5 days post-operatively depending on clinician preference. Following recovery from general anaesthesia, abdominal bandages were placed</w:t>
      </w:r>
      <w:r w:rsidR="00C711C1" w:rsidRPr="00441D50">
        <w:t xml:space="preserve"> </w:t>
      </w:r>
      <w:r w:rsidRPr="00441D50">
        <w:t xml:space="preserve">consisting of a sterile absorptive contact </w:t>
      </w:r>
      <w:proofErr w:type="spellStart"/>
      <w:r w:rsidRPr="00441D50">
        <w:t>layer</w:t>
      </w:r>
      <w:r w:rsidRPr="00441D50">
        <w:rPr>
          <w:vertAlign w:val="superscript"/>
        </w:rPr>
        <w:t>f</w:t>
      </w:r>
      <w:proofErr w:type="spellEnd"/>
      <w:r w:rsidRPr="00441D50">
        <w:t xml:space="preserve"> on the incision secured with an elastic cohesive </w:t>
      </w:r>
      <w:proofErr w:type="spellStart"/>
      <w:r w:rsidRPr="00441D50">
        <w:t>dressing</w:t>
      </w:r>
      <w:r w:rsidRPr="00441D50">
        <w:rPr>
          <w:vertAlign w:val="superscript"/>
        </w:rPr>
        <w:t>g</w:t>
      </w:r>
      <w:proofErr w:type="spellEnd"/>
      <w:r w:rsidRPr="00441D50">
        <w:t xml:space="preserve"> wrapped around the abdomen and an elastic adhesive </w:t>
      </w:r>
      <w:proofErr w:type="spellStart"/>
      <w:r w:rsidRPr="00441D50">
        <w:t>dressing</w:t>
      </w:r>
      <w:r w:rsidRPr="00441D50">
        <w:rPr>
          <w:vertAlign w:val="superscript"/>
        </w:rPr>
        <w:t>g</w:t>
      </w:r>
      <w:proofErr w:type="spellEnd"/>
      <w:r w:rsidRPr="00441D50">
        <w:t xml:space="preserve"> at the cranial edge of the bandage. Abdominal bandages were changed every 48 hours until </w:t>
      </w:r>
      <w:r w:rsidR="005F3A6A" w:rsidRPr="00441D50">
        <w:t xml:space="preserve">horses were discharged from the hospital </w:t>
      </w:r>
      <w:r w:rsidR="00C711C1" w:rsidRPr="00441D50">
        <w:t xml:space="preserve">and the incision was monitored carefully for </w:t>
      </w:r>
      <w:r w:rsidR="005F3A6A" w:rsidRPr="00441D50">
        <w:t xml:space="preserve">signs of </w:t>
      </w:r>
      <w:proofErr w:type="gramStart"/>
      <w:r w:rsidR="005F3A6A" w:rsidRPr="00441D50">
        <w:t>a</w:t>
      </w:r>
      <w:proofErr w:type="gramEnd"/>
      <w:r w:rsidR="00C711C1" w:rsidRPr="00441D50">
        <w:t xml:space="preserve"> SSI</w:t>
      </w:r>
      <w:r w:rsidRPr="00441D50">
        <w:t>.</w:t>
      </w:r>
    </w:p>
    <w:p w14:paraId="330A5020" w14:textId="6E41D630" w:rsidR="00CC7A9C" w:rsidRPr="00441D50" w:rsidRDefault="00CC7A9C" w:rsidP="00963411">
      <w:pPr>
        <w:spacing w:line="480" w:lineRule="auto"/>
        <w:jc w:val="both"/>
      </w:pPr>
      <w:r w:rsidRPr="00441D50">
        <w:t>As a control</w:t>
      </w:r>
      <w:r w:rsidR="005F3A6A" w:rsidRPr="00441D50">
        <w:t xml:space="preserve"> group</w:t>
      </w:r>
      <w:r w:rsidRPr="00441D50">
        <w:t>,</w:t>
      </w:r>
      <w:r w:rsidR="00C711C1" w:rsidRPr="00441D50">
        <w:t xml:space="preserve"> </w:t>
      </w:r>
      <w:r w:rsidR="00CF16D0" w:rsidRPr="00441D50">
        <w:t>blood samples were also obtained</w:t>
      </w:r>
      <w:r w:rsidR="000D2A9A" w:rsidRPr="00441D50">
        <w:t xml:space="preserve"> </w:t>
      </w:r>
      <w:r w:rsidRPr="00441D50">
        <w:t xml:space="preserve">from 10 </w:t>
      </w:r>
      <w:r w:rsidR="00C711C1" w:rsidRPr="00441D50">
        <w:t xml:space="preserve">clinically healthy </w:t>
      </w:r>
      <w:r w:rsidR="008E018F" w:rsidRPr="00441D50">
        <w:t>horses</w:t>
      </w:r>
      <w:r w:rsidR="005F3A6A" w:rsidRPr="00441D50">
        <w:t>. These horses were either</w:t>
      </w:r>
      <w:r w:rsidR="008E018F" w:rsidRPr="00441D50">
        <w:t xml:space="preserve"> </w:t>
      </w:r>
      <w:r w:rsidR="005F3A6A" w:rsidRPr="00441D50">
        <w:t xml:space="preserve">undergoing elective surgery </w:t>
      </w:r>
      <w:r w:rsidR="008E018F" w:rsidRPr="00441D50">
        <w:t xml:space="preserve">without any </w:t>
      </w:r>
      <w:r w:rsidR="005F3A6A" w:rsidRPr="00441D50">
        <w:t>systemic disease in which bacterial translocation might occur, involving placement of an intravenous catheter and subsequent perioperative antimicrobials</w:t>
      </w:r>
      <w:r w:rsidR="008E018F" w:rsidRPr="00441D50">
        <w:t xml:space="preserve"> (n=4 elective orthopaedic surgery, n=3</w:t>
      </w:r>
      <w:r w:rsidR="009141C2" w:rsidRPr="00441D50">
        <w:t xml:space="preserve"> </w:t>
      </w:r>
      <w:r w:rsidR="008E018F" w:rsidRPr="00441D50">
        <w:t>laser sarcoid removal</w:t>
      </w:r>
      <w:r w:rsidR="005F3A6A" w:rsidRPr="00441D50">
        <w:t>) or had routine intravenous catheter placement for nuclear scintigraphy as part of a lameness investigations without subsequent antimicrobial administration and anaesthesia (</w:t>
      </w:r>
      <w:r w:rsidR="008E018F" w:rsidRPr="00441D50">
        <w:t>n=3</w:t>
      </w:r>
      <w:r w:rsidR="009141C2" w:rsidRPr="00441D50">
        <w:t>)</w:t>
      </w:r>
      <w:r w:rsidR="008E018F" w:rsidRPr="00441D50">
        <w:t>.</w:t>
      </w:r>
    </w:p>
    <w:p w14:paraId="2DB0AB80" w14:textId="77777777" w:rsidR="00CC7A9C" w:rsidRPr="00441D50" w:rsidRDefault="00CC7A9C" w:rsidP="00963411">
      <w:pPr>
        <w:spacing w:line="480" w:lineRule="auto"/>
        <w:jc w:val="both"/>
        <w:rPr>
          <w:b/>
        </w:rPr>
      </w:pPr>
    </w:p>
    <w:p w14:paraId="6DB0191A" w14:textId="77777777" w:rsidR="00CC7A9C" w:rsidRPr="00441D50" w:rsidRDefault="00CC7A9C" w:rsidP="00963411">
      <w:pPr>
        <w:spacing w:line="480" w:lineRule="auto"/>
        <w:jc w:val="both"/>
        <w:rPr>
          <w:b/>
        </w:rPr>
      </w:pPr>
      <w:r w:rsidRPr="00441D50">
        <w:rPr>
          <w:b/>
        </w:rPr>
        <w:t>Data analysis</w:t>
      </w:r>
    </w:p>
    <w:p w14:paraId="17BFDEDA" w14:textId="5E2C968B" w:rsidR="00CC7A9C" w:rsidRPr="00441D50" w:rsidRDefault="00CC7A9C" w:rsidP="00963411">
      <w:pPr>
        <w:spacing w:line="480" w:lineRule="auto"/>
        <w:jc w:val="both"/>
      </w:pPr>
      <w:r w:rsidRPr="00441D50">
        <w:t xml:space="preserve">Simple descriptive statistics were carried out using Microsoft Excel. </w:t>
      </w:r>
      <w:r w:rsidR="0001564B" w:rsidRPr="00441D50">
        <w:t>The outcomes evaluated were 1:</w:t>
      </w:r>
      <w:r w:rsidR="008E018F" w:rsidRPr="00441D50">
        <w:t xml:space="preserve"> </w:t>
      </w:r>
      <w:r w:rsidR="0001564B" w:rsidRPr="00441D50">
        <w:t>t</w:t>
      </w:r>
      <w:r w:rsidR="008E018F" w:rsidRPr="00441D50">
        <w:t>he frequency of positive cultures for blood and peritoneal samples</w:t>
      </w:r>
      <w:r w:rsidR="0001564B" w:rsidRPr="00441D50">
        <w:t>; 2: t</w:t>
      </w:r>
      <w:r w:rsidR="008E018F" w:rsidRPr="00441D50">
        <w:t>he types of bacterial species and the an</w:t>
      </w:r>
      <w:r w:rsidR="0001564B" w:rsidRPr="00441D50">
        <w:t>tibiotic susceptibility profile and</w:t>
      </w:r>
      <w:r w:rsidR="00485A45" w:rsidRPr="00441D50">
        <w:t xml:space="preserve"> 3: the prevalence of both</w:t>
      </w:r>
      <w:r w:rsidR="0001564B" w:rsidRPr="00441D50">
        <w:t xml:space="preserve"> SSI and positive blood and/or peritoneal fluid culture. </w:t>
      </w:r>
      <w:r w:rsidR="005F3A6A" w:rsidRPr="00441D50">
        <w:t xml:space="preserve">A </w:t>
      </w:r>
      <w:r w:rsidR="00A62D80" w:rsidRPr="00441D50">
        <w:t>Chi-squared test was used to test for significant differences between outcomes.</w:t>
      </w:r>
      <w:r w:rsidR="00BE2FA3" w:rsidRPr="00441D50">
        <w:t xml:space="preserve"> A p value of </w:t>
      </w:r>
      <w:r w:rsidR="00BE2FA3" w:rsidRPr="00441D50">
        <w:sym w:font="Symbol" w:char="F0A3"/>
      </w:r>
      <w:r w:rsidR="00BE2FA3" w:rsidRPr="00441D50">
        <w:t xml:space="preserve">0.05 was deemed to be significant. </w:t>
      </w:r>
    </w:p>
    <w:p w14:paraId="36D513F5" w14:textId="77777777" w:rsidR="00CC7A9C" w:rsidRPr="00441D50" w:rsidRDefault="00CC7A9C" w:rsidP="00963411">
      <w:pPr>
        <w:spacing w:line="480" w:lineRule="auto"/>
        <w:jc w:val="both"/>
      </w:pPr>
    </w:p>
    <w:p w14:paraId="276B71C7" w14:textId="77777777" w:rsidR="00CC7A9C" w:rsidRPr="00441D50" w:rsidRDefault="00CC7A9C" w:rsidP="00963411">
      <w:pPr>
        <w:spacing w:line="480" w:lineRule="auto"/>
        <w:jc w:val="both"/>
        <w:rPr>
          <w:b/>
        </w:rPr>
      </w:pPr>
      <w:r w:rsidRPr="00441D50">
        <w:rPr>
          <w:b/>
        </w:rPr>
        <w:t>RESULTS</w:t>
      </w:r>
    </w:p>
    <w:p w14:paraId="5FF8959D" w14:textId="7483231B" w:rsidR="004B649C" w:rsidRPr="00441D50" w:rsidRDefault="00CC7A9C" w:rsidP="00963411">
      <w:pPr>
        <w:spacing w:line="480" w:lineRule="auto"/>
        <w:jc w:val="both"/>
        <w:rPr>
          <w:highlight w:val="yellow"/>
        </w:rPr>
      </w:pPr>
      <w:r w:rsidRPr="00441D50">
        <w:t xml:space="preserve">A total of </w:t>
      </w:r>
      <w:r w:rsidR="006B10C6" w:rsidRPr="00441D50">
        <w:t>39</w:t>
      </w:r>
      <w:r w:rsidRPr="00441D50">
        <w:t xml:space="preserve"> </w:t>
      </w:r>
      <w:r w:rsidR="00DD0EAD" w:rsidRPr="00441D50">
        <w:t>horses</w:t>
      </w:r>
      <w:r w:rsidR="007B12B5" w:rsidRPr="00441D50">
        <w:t xml:space="preserve"> undergoing investigation for acute colic</w:t>
      </w:r>
      <w:r w:rsidR="00DD0EAD" w:rsidRPr="00441D50">
        <w:t xml:space="preserve"> </w:t>
      </w:r>
      <w:r w:rsidRPr="00441D50">
        <w:t xml:space="preserve">were </w:t>
      </w:r>
      <w:r w:rsidR="00C711C1" w:rsidRPr="00441D50">
        <w:t>recruited onto the study</w:t>
      </w:r>
      <w:r w:rsidRPr="00441D50">
        <w:t>. The average age was 14 years old (range 3-27 years) and a variety of breeds were represented including Cob (</w:t>
      </w:r>
      <w:r w:rsidR="007A2A89" w:rsidRPr="00441D50">
        <w:t>n=</w:t>
      </w:r>
      <w:r w:rsidRPr="00441D50">
        <w:t xml:space="preserve">6), </w:t>
      </w:r>
      <w:r w:rsidR="00DF0C60" w:rsidRPr="00441D50">
        <w:t>Warmblood (</w:t>
      </w:r>
      <w:r w:rsidR="007A2A89" w:rsidRPr="00441D50">
        <w:t>n=</w:t>
      </w:r>
      <w:r w:rsidR="00DF0C60" w:rsidRPr="00441D50">
        <w:t>6), Irish sports horse (</w:t>
      </w:r>
      <w:r w:rsidR="007A2A89" w:rsidRPr="00441D50">
        <w:t>n=</w:t>
      </w:r>
      <w:r w:rsidR="00DF0C60" w:rsidRPr="00441D50">
        <w:t xml:space="preserve">6), </w:t>
      </w:r>
      <w:r w:rsidR="006B10C6" w:rsidRPr="00441D50">
        <w:t>Thoroughbred</w:t>
      </w:r>
      <w:r w:rsidR="00DF0C60" w:rsidRPr="00441D50">
        <w:t>-</w:t>
      </w:r>
      <w:r w:rsidR="006B10C6" w:rsidRPr="00441D50">
        <w:t>cross (</w:t>
      </w:r>
      <w:r w:rsidR="007A2A89" w:rsidRPr="00441D50">
        <w:t>n=</w:t>
      </w:r>
      <w:r w:rsidR="00DF0C60" w:rsidRPr="00441D50">
        <w:t>5</w:t>
      </w:r>
      <w:r w:rsidR="006B10C6" w:rsidRPr="00441D50">
        <w:t xml:space="preserve">), </w:t>
      </w:r>
      <w:r w:rsidR="00DF0C60" w:rsidRPr="00441D50">
        <w:t>Welsh (</w:t>
      </w:r>
      <w:r w:rsidR="007A2A89" w:rsidRPr="00441D50">
        <w:t>n=</w:t>
      </w:r>
      <w:r w:rsidR="00DF0C60" w:rsidRPr="00441D50">
        <w:t>4), Thoroughbred (</w:t>
      </w:r>
      <w:r w:rsidR="007A2A89" w:rsidRPr="00441D50">
        <w:t>n=</w:t>
      </w:r>
      <w:r w:rsidR="00DF0C60" w:rsidRPr="00441D50">
        <w:t xml:space="preserve">3), </w:t>
      </w:r>
      <w:r w:rsidRPr="00441D50">
        <w:t>Shire</w:t>
      </w:r>
      <w:r w:rsidR="00DF0C60" w:rsidRPr="00441D50">
        <w:t xml:space="preserve"> </w:t>
      </w:r>
      <w:r w:rsidRPr="00441D50">
        <w:t>(</w:t>
      </w:r>
      <w:r w:rsidR="007A2A89" w:rsidRPr="00441D50">
        <w:t>n=</w:t>
      </w:r>
      <w:r w:rsidRPr="00441D50">
        <w:t>2), Irish draft (</w:t>
      </w:r>
      <w:r w:rsidR="007A2A89" w:rsidRPr="00441D50">
        <w:t>n=</w:t>
      </w:r>
      <w:r w:rsidR="00DF0C60" w:rsidRPr="00441D50">
        <w:t>2</w:t>
      </w:r>
      <w:r w:rsidRPr="00441D50">
        <w:t>), Connemara (</w:t>
      </w:r>
      <w:r w:rsidR="007A2A89" w:rsidRPr="00441D50">
        <w:t>n=</w:t>
      </w:r>
      <w:r w:rsidRPr="00441D50">
        <w:t>2), Shetland (</w:t>
      </w:r>
      <w:r w:rsidR="007A2A89" w:rsidRPr="00441D50">
        <w:t>n=</w:t>
      </w:r>
      <w:r w:rsidRPr="00441D50">
        <w:t>1), Spanish (</w:t>
      </w:r>
      <w:r w:rsidR="007A2A89" w:rsidRPr="00441D50">
        <w:t>n=</w:t>
      </w:r>
      <w:r w:rsidRPr="00441D50">
        <w:t>1) and Friesian (</w:t>
      </w:r>
      <w:r w:rsidR="007A2A89" w:rsidRPr="00441D50">
        <w:t>n=</w:t>
      </w:r>
      <w:r w:rsidRPr="00441D50">
        <w:t>1)</w:t>
      </w:r>
      <w:r w:rsidR="00C711C1" w:rsidRPr="00441D50">
        <w:t xml:space="preserve"> breeds</w:t>
      </w:r>
      <w:r w:rsidRPr="00441D50">
        <w:t xml:space="preserve">. </w:t>
      </w:r>
      <w:r w:rsidR="007A2A89" w:rsidRPr="00441D50">
        <w:t>For the colic group</w:t>
      </w:r>
      <w:r w:rsidRPr="00441D50">
        <w:t>, 38 peripheral blood samples</w:t>
      </w:r>
      <w:r w:rsidR="007A2A89" w:rsidRPr="00441D50">
        <w:t xml:space="preserve"> (admission)</w:t>
      </w:r>
      <w:r w:rsidRPr="00441D50">
        <w:t xml:space="preserve">, 34 peritoneal fluid samples </w:t>
      </w:r>
      <w:r w:rsidR="007A2A89" w:rsidRPr="00441D50">
        <w:t>(admission)</w:t>
      </w:r>
      <w:r w:rsidRPr="00441D50">
        <w:t xml:space="preserve">and 22 peritoneal fluid samples </w:t>
      </w:r>
      <w:r w:rsidR="007A2A89" w:rsidRPr="00441D50">
        <w:t>(</w:t>
      </w:r>
      <w:r w:rsidRPr="00441D50">
        <w:t>end of surgery</w:t>
      </w:r>
      <w:r w:rsidR="007A2A89" w:rsidRPr="00441D50">
        <w:t>)</w:t>
      </w:r>
      <w:r w:rsidRPr="00441D50">
        <w:t xml:space="preserve"> were collected. </w:t>
      </w:r>
      <w:r w:rsidR="007B12B5" w:rsidRPr="00441D50">
        <w:t xml:space="preserve">For the control group, </w:t>
      </w:r>
      <w:r w:rsidR="00F156B7" w:rsidRPr="00441D50">
        <w:t xml:space="preserve">the average age was </w:t>
      </w:r>
      <w:r w:rsidR="007567CA" w:rsidRPr="00441D50">
        <w:t>11 years old (range 6-18 years)</w:t>
      </w:r>
      <w:r w:rsidR="008A102C" w:rsidRPr="00441D50">
        <w:t xml:space="preserve"> and the breed distribution was as follows: warmblood (n=5), Cob (n=2), Spanish (n=1), Cleveland Bay (n=1) and Irish Draft (n=1). </w:t>
      </w:r>
      <w:r w:rsidR="004B649C" w:rsidRPr="00441D50">
        <w:t xml:space="preserve">A summary of the clinical and </w:t>
      </w:r>
      <w:r w:rsidR="00F0709D" w:rsidRPr="00441D50">
        <w:t>clinicopathological</w:t>
      </w:r>
      <w:r w:rsidR="004B649C" w:rsidRPr="00441D50">
        <w:t xml:space="preserve"> data collected on admission</w:t>
      </w:r>
      <w:r w:rsidR="007A2A89" w:rsidRPr="00441D50">
        <w:t xml:space="preserve"> for the colic cases</w:t>
      </w:r>
      <w:r w:rsidR="004B649C" w:rsidRPr="00441D50">
        <w:t xml:space="preserve"> is displayed in Table 1.</w:t>
      </w:r>
    </w:p>
    <w:tbl>
      <w:tblPr>
        <w:tblStyle w:val="GridTable4"/>
        <w:tblpPr w:leftFromText="180" w:rightFromText="180" w:vertAnchor="text" w:horzAnchor="margin" w:tblpXSpec="center" w:tblpY="55"/>
        <w:tblW w:w="0" w:type="auto"/>
        <w:tblLook w:val="04A0" w:firstRow="1" w:lastRow="0" w:firstColumn="1" w:lastColumn="0" w:noHBand="0" w:noVBand="1"/>
      </w:tblPr>
      <w:tblGrid>
        <w:gridCol w:w="4505"/>
        <w:gridCol w:w="4505"/>
      </w:tblGrid>
      <w:tr w:rsidR="00441D50" w:rsidRPr="00441D50" w14:paraId="1A64E928" w14:textId="77777777" w:rsidTr="00C47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E909C53" w14:textId="77777777" w:rsidR="004B649C" w:rsidRPr="00441D50" w:rsidRDefault="004B649C" w:rsidP="00963411">
            <w:pPr>
              <w:spacing w:line="480" w:lineRule="auto"/>
              <w:jc w:val="both"/>
              <w:rPr>
                <w:color w:val="auto"/>
              </w:rPr>
            </w:pPr>
            <w:r w:rsidRPr="00441D50">
              <w:rPr>
                <w:color w:val="auto"/>
              </w:rPr>
              <w:t>Variable (on admission)</w:t>
            </w:r>
          </w:p>
        </w:tc>
        <w:tc>
          <w:tcPr>
            <w:tcW w:w="4505" w:type="dxa"/>
          </w:tcPr>
          <w:p w14:paraId="6CC9F264" w14:textId="77777777" w:rsidR="004B649C" w:rsidRPr="00441D50" w:rsidRDefault="004B649C" w:rsidP="00963411">
            <w:pPr>
              <w:spacing w:line="480" w:lineRule="auto"/>
              <w:jc w:val="both"/>
              <w:cnfStyle w:val="100000000000" w:firstRow="1" w:lastRow="0" w:firstColumn="0" w:lastColumn="0" w:oddVBand="0" w:evenVBand="0" w:oddHBand="0" w:evenHBand="0" w:firstRowFirstColumn="0" w:firstRowLastColumn="0" w:lastRowFirstColumn="0" w:lastRowLastColumn="0"/>
              <w:rPr>
                <w:color w:val="auto"/>
              </w:rPr>
            </w:pPr>
            <w:r w:rsidRPr="00441D50">
              <w:rPr>
                <w:color w:val="auto"/>
              </w:rPr>
              <w:t>Mean (</w:t>
            </w:r>
            <w:r w:rsidRPr="00441D50">
              <w:rPr>
                <w:rFonts w:cstheme="minorHAnsi"/>
                <w:color w:val="auto"/>
              </w:rPr>
              <w:t xml:space="preserve">± </w:t>
            </w:r>
            <w:r w:rsidRPr="00441D50">
              <w:rPr>
                <w:color w:val="auto"/>
              </w:rPr>
              <w:t>standard deviation)</w:t>
            </w:r>
          </w:p>
        </w:tc>
      </w:tr>
      <w:tr w:rsidR="00441D50" w:rsidRPr="00441D50" w14:paraId="6053C722" w14:textId="77777777" w:rsidTr="00C47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C515CB4" w14:textId="77777777" w:rsidR="004B649C" w:rsidRPr="00441D50" w:rsidRDefault="004B649C" w:rsidP="00963411">
            <w:pPr>
              <w:spacing w:line="480" w:lineRule="auto"/>
              <w:jc w:val="both"/>
            </w:pPr>
            <w:r w:rsidRPr="00441D50">
              <w:t>Heart rate</w:t>
            </w:r>
            <w:r w:rsidR="00603AEC" w:rsidRPr="00441D50">
              <w:t xml:space="preserve"> (per minute)</w:t>
            </w:r>
          </w:p>
        </w:tc>
        <w:tc>
          <w:tcPr>
            <w:tcW w:w="4505" w:type="dxa"/>
          </w:tcPr>
          <w:p w14:paraId="485E2F92" w14:textId="77777777" w:rsidR="004B649C" w:rsidRPr="00441D50" w:rsidRDefault="004B649C" w:rsidP="00963411">
            <w:pPr>
              <w:spacing w:line="480" w:lineRule="auto"/>
              <w:jc w:val="both"/>
              <w:cnfStyle w:val="000000100000" w:firstRow="0" w:lastRow="0" w:firstColumn="0" w:lastColumn="0" w:oddVBand="0" w:evenVBand="0" w:oddHBand="1" w:evenHBand="0" w:firstRowFirstColumn="0" w:firstRowLastColumn="0" w:lastRowFirstColumn="0" w:lastRowLastColumn="0"/>
            </w:pPr>
            <w:r w:rsidRPr="00441D50">
              <w:t>61 (</w:t>
            </w:r>
            <w:r w:rsidRPr="00441D50">
              <w:rPr>
                <w:rFonts w:cstheme="minorHAnsi"/>
              </w:rPr>
              <w:t xml:space="preserve">± </w:t>
            </w:r>
            <w:r w:rsidRPr="00441D50">
              <w:t>18.4)</w:t>
            </w:r>
          </w:p>
        </w:tc>
      </w:tr>
      <w:tr w:rsidR="00441D50" w:rsidRPr="00441D50" w14:paraId="4446D6BF" w14:textId="77777777" w:rsidTr="00C47D01">
        <w:tc>
          <w:tcPr>
            <w:cnfStyle w:val="001000000000" w:firstRow="0" w:lastRow="0" w:firstColumn="1" w:lastColumn="0" w:oddVBand="0" w:evenVBand="0" w:oddHBand="0" w:evenHBand="0" w:firstRowFirstColumn="0" w:firstRowLastColumn="0" w:lastRowFirstColumn="0" w:lastRowLastColumn="0"/>
            <w:tcW w:w="4505" w:type="dxa"/>
          </w:tcPr>
          <w:p w14:paraId="090B4E0E" w14:textId="77777777" w:rsidR="004B649C" w:rsidRPr="00441D50" w:rsidRDefault="004B649C" w:rsidP="00963411">
            <w:pPr>
              <w:spacing w:line="480" w:lineRule="auto"/>
              <w:jc w:val="both"/>
            </w:pPr>
            <w:r w:rsidRPr="00441D50">
              <w:t>Respiratory rate</w:t>
            </w:r>
            <w:r w:rsidR="00603AEC" w:rsidRPr="00441D50">
              <w:t xml:space="preserve"> (per minute)</w:t>
            </w:r>
          </w:p>
        </w:tc>
        <w:tc>
          <w:tcPr>
            <w:tcW w:w="4505" w:type="dxa"/>
          </w:tcPr>
          <w:p w14:paraId="11BE1561" w14:textId="77777777" w:rsidR="004B649C" w:rsidRPr="00441D50" w:rsidRDefault="004B649C" w:rsidP="00963411">
            <w:pPr>
              <w:spacing w:line="480" w:lineRule="auto"/>
              <w:jc w:val="both"/>
              <w:cnfStyle w:val="000000000000" w:firstRow="0" w:lastRow="0" w:firstColumn="0" w:lastColumn="0" w:oddVBand="0" w:evenVBand="0" w:oddHBand="0" w:evenHBand="0" w:firstRowFirstColumn="0" w:firstRowLastColumn="0" w:lastRowFirstColumn="0" w:lastRowLastColumn="0"/>
            </w:pPr>
            <w:r w:rsidRPr="00441D50">
              <w:t>25 (</w:t>
            </w:r>
            <w:r w:rsidRPr="00441D50">
              <w:rPr>
                <w:rFonts w:cstheme="minorHAnsi"/>
              </w:rPr>
              <w:t>± 18.6)</w:t>
            </w:r>
          </w:p>
        </w:tc>
      </w:tr>
      <w:tr w:rsidR="00441D50" w:rsidRPr="00441D50" w14:paraId="27E26552" w14:textId="77777777" w:rsidTr="00C47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6CA9332D" w14:textId="77777777" w:rsidR="004B649C" w:rsidRPr="00441D50" w:rsidRDefault="004B649C" w:rsidP="00963411">
            <w:pPr>
              <w:spacing w:line="480" w:lineRule="auto"/>
              <w:jc w:val="both"/>
            </w:pPr>
            <w:r w:rsidRPr="00441D50">
              <w:lastRenderedPageBreak/>
              <w:t>Temperature</w:t>
            </w:r>
            <w:r w:rsidR="00603AEC" w:rsidRPr="00441D50">
              <w:t xml:space="preserve"> (</w:t>
            </w:r>
            <w:r w:rsidR="00603AEC" w:rsidRPr="00441D50">
              <w:rPr>
                <w:rFonts w:cstheme="minorHAnsi"/>
              </w:rPr>
              <w:t>⁰</w:t>
            </w:r>
            <w:r w:rsidR="00603AEC" w:rsidRPr="00441D50">
              <w:t>C)</w:t>
            </w:r>
          </w:p>
        </w:tc>
        <w:tc>
          <w:tcPr>
            <w:tcW w:w="4505" w:type="dxa"/>
          </w:tcPr>
          <w:p w14:paraId="321D44BA" w14:textId="77777777" w:rsidR="004B649C" w:rsidRPr="00441D50" w:rsidRDefault="004B649C" w:rsidP="00963411">
            <w:pPr>
              <w:spacing w:line="48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441D50">
              <w:t>37 (</w:t>
            </w:r>
            <w:r w:rsidRPr="00441D50">
              <w:rPr>
                <w:rFonts w:cstheme="minorHAnsi"/>
              </w:rPr>
              <w:t>± 0.7)</w:t>
            </w:r>
          </w:p>
        </w:tc>
      </w:tr>
      <w:tr w:rsidR="00441D50" w:rsidRPr="00441D50" w14:paraId="386C90C1" w14:textId="77777777" w:rsidTr="00C47D01">
        <w:tc>
          <w:tcPr>
            <w:cnfStyle w:val="001000000000" w:firstRow="0" w:lastRow="0" w:firstColumn="1" w:lastColumn="0" w:oddVBand="0" w:evenVBand="0" w:oddHBand="0" w:evenHBand="0" w:firstRowFirstColumn="0" w:firstRowLastColumn="0" w:lastRowFirstColumn="0" w:lastRowLastColumn="0"/>
            <w:tcW w:w="4505" w:type="dxa"/>
          </w:tcPr>
          <w:p w14:paraId="3355B4C9" w14:textId="77777777" w:rsidR="004B649C" w:rsidRPr="00441D50" w:rsidRDefault="004B649C" w:rsidP="00963411">
            <w:pPr>
              <w:spacing w:line="480" w:lineRule="auto"/>
              <w:jc w:val="both"/>
            </w:pPr>
            <w:r w:rsidRPr="00441D50">
              <w:t>Packed cell volume</w:t>
            </w:r>
            <w:r w:rsidR="00603AEC" w:rsidRPr="00441D50">
              <w:t xml:space="preserve"> (%)</w:t>
            </w:r>
          </w:p>
        </w:tc>
        <w:tc>
          <w:tcPr>
            <w:tcW w:w="4505" w:type="dxa"/>
          </w:tcPr>
          <w:p w14:paraId="7A054D1F" w14:textId="77777777" w:rsidR="004B649C" w:rsidRPr="00441D50" w:rsidRDefault="004B649C" w:rsidP="00963411">
            <w:pPr>
              <w:spacing w:line="480" w:lineRule="auto"/>
              <w:jc w:val="both"/>
              <w:cnfStyle w:val="000000000000" w:firstRow="0" w:lastRow="0" w:firstColumn="0" w:lastColumn="0" w:oddVBand="0" w:evenVBand="0" w:oddHBand="0" w:evenHBand="0" w:firstRowFirstColumn="0" w:firstRowLastColumn="0" w:lastRowFirstColumn="0" w:lastRowLastColumn="0"/>
            </w:pPr>
            <w:r w:rsidRPr="00441D50">
              <w:t>40 (</w:t>
            </w:r>
            <w:r w:rsidRPr="00441D50">
              <w:rPr>
                <w:rFonts w:cstheme="minorHAnsi"/>
              </w:rPr>
              <w:t>± 8.1)</w:t>
            </w:r>
          </w:p>
        </w:tc>
      </w:tr>
      <w:tr w:rsidR="00441D50" w:rsidRPr="00441D50" w14:paraId="20A0F6D2" w14:textId="77777777" w:rsidTr="00C47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37FA0492" w14:textId="77777777" w:rsidR="004B649C" w:rsidRPr="00441D50" w:rsidRDefault="004B649C" w:rsidP="00963411">
            <w:pPr>
              <w:spacing w:line="480" w:lineRule="auto"/>
              <w:jc w:val="both"/>
            </w:pPr>
            <w:r w:rsidRPr="00441D50">
              <w:t xml:space="preserve">Total protein </w:t>
            </w:r>
            <w:r w:rsidR="00603AEC" w:rsidRPr="00441D50">
              <w:t>(g/L)</w:t>
            </w:r>
          </w:p>
        </w:tc>
        <w:tc>
          <w:tcPr>
            <w:tcW w:w="4505" w:type="dxa"/>
          </w:tcPr>
          <w:p w14:paraId="0D8E2152" w14:textId="77777777" w:rsidR="004B649C" w:rsidRPr="00441D50" w:rsidRDefault="004B649C" w:rsidP="00963411">
            <w:pPr>
              <w:spacing w:line="480" w:lineRule="auto"/>
              <w:jc w:val="both"/>
              <w:cnfStyle w:val="000000100000" w:firstRow="0" w:lastRow="0" w:firstColumn="0" w:lastColumn="0" w:oddVBand="0" w:evenVBand="0" w:oddHBand="1" w:evenHBand="0" w:firstRowFirstColumn="0" w:firstRowLastColumn="0" w:lastRowFirstColumn="0" w:lastRowLastColumn="0"/>
            </w:pPr>
            <w:r w:rsidRPr="00441D50">
              <w:t>68 (</w:t>
            </w:r>
            <w:r w:rsidRPr="00441D50">
              <w:rPr>
                <w:rFonts w:cstheme="minorHAnsi"/>
              </w:rPr>
              <w:t>± 14.5)</w:t>
            </w:r>
          </w:p>
        </w:tc>
      </w:tr>
      <w:tr w:rsidR="00441D50" w:rsidRPr="00441D50" w14:paraId="1B2CD59B" w14:textId="77777777" w:rsidTr="00C47D01">
        <w:tc>
          <w:tcPr>
            <w:cnfStyle w:val="001000000000" w:firstRow="0" w:lastRow="0" w:firstColumn="1" w:lastColumn="0" w:oddVBand="0" w:evenVBand="0" w:oddHBand="0" w:evenHBand="0" w:firstRowFirstColumn="0" w:firstRowLastColumn="0" w:lastRowFirstColumn="0" w:lastRowLastColumn="0"/>
            <w:tcW w:w="4505" w:type="dxa"/>
          </w:tcPr>
          <w:p w14:paraId="5A299A53" w14:textId="77777777" w:rsidR="004B649C" w:rsidRPr="00441D50" w:rsidRDefault="00603AEC" w:rsidP="00963411">
            <w:pPr>
              <w:spacing w:line="480" w:lineRule="auto"/>
              <w:jc w:val="both"/>
            </w:pPr>
            <w:r w:rsidRPr="00441D50">
              <w:t>Peripheral l</w:t>
            </w:r>
            <w:r w:rsidR="004B649C" w:rsidRPr="00441D50">
              <w:t xml:space="preserve">actate </w:t>
            </w:r>
            <w:r w:rsidRPr="00441D50">
              <w:t>(mmol/L)</w:t>
            </w:r>
          </w:p>
        </w:tc>
        <w:tc>
          <w:tcPr>
            <w:tcW w:w="4505" w:type="dxa"/>
          </w:tcPr>
          <w:p w14:paraId="0912394C" w14:textId="77777777" w:rsidR="004B649C" w:rsidRPr="00441D50" w:rsidRDefault="004B649C" w:rsidP="00963411">
            <w:pPr>
              <w:spacing w:line="480" w:lineRule="auto"/>
              <w:jc w:val="both"/>
              <w:cnfStyle w:val="000000000000" w:firstRow="0" w:lastRow="0" w:firstColumn="0" w:lastColumn="0" w:oddVBand="0" w:evenVBand="0" w:oddHBand="0" w:evenHBand="0" w:firstRowFirstColumn="0" w:firstRowLastColumn="0" w:lastRowFirstColumn="0" w:lastRowLastColumn="0"/>
            </w:pPr>
            <w:r w:rsidRPr="00441D50">
              <w:t>2 (</w:t>
            </w:r>
            <w:r w:rsidRPr="00441D50">
              <w:rPr>
                <w:rFonts w:cstheme="minorHAnsi"/>
              </w:rPr>
              <w:t>± 2.8)</w:t>
            </w:r>
          </w:p>
        </w:tc>
      </w:tr>
      <w:tr w:rsidR="00441D50" w:rsidRPr="00441D50" w14:paraId="3E7C31C8" w14:textId="77777777" w:rsidTr="00C47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220B493E" w14:textId="77777777" w:rsidR="004B649C" w:rsidRPr="00441D50" w:rsidRDefault="00603AEC" w:rsidP="00963411">
            <w:pPr>
              <w:spacing w:line="480" w:lineRule="auto"/>
              <w:jc w:val="both"/>
            </w:pPr>
            <w:r w:rsidRPr="00441D50">
              <w:t>Peritoneal fluid t</w:t>
            </w:r>
            <w:r w:rsidR="004B649C" w:rsidRPr="00441D50">
              <w:t xml:space="preserve">otal </w:t>
            </w:r>
            <w:proofErr w:type="gramStart"/>
            <w:r w:rsidR="004B649C" w:rsidRPr="00441D50">
              <w:t xml:space="preserve">protein </w:t>
            </w:r>
            <w:r w:rsidRPr="00441D50">
              <w:t xml:space="preserve"> (</w:t>
            </w:r>
            <w:proofErr w:type="gramEnd"/>
            <w:r w:rsidRPr="00441D50">
              <w:t>g/L)</w:t>
            </w:r>
          </w:p>
        </w:tc>
        <w:tc>
          <w:tcPr>
            <w:tcW w:w="4505" w:type="dxa"/>
          </w:tcPr>
          <w:p w14:paraId="26059043" w14:textId="77777777" w:rsidR="004B649C" w:rsidRPr="00441D50" w:rsidRDefault="004B649C" w:rsidP="00963411">
            <w:pPr>
              <w:spacing w:line="480" w:lineRule="auto"/>
              <w:jc w:val="both"/>
              <w:cnfStyle w:val="000000100000" w:firstRow="0" w:lastRow="0" w:firstColumn="0" w:lastColumn="0" w:oddVBand="0" w:evenVBand="0" w:oddHBand="1" w:evenHBand="0" w:firstRowFirstColumn="0" w:firstRowLastColumn="0" w:lastRowFirstColumn="0" w:lastRowLastColumn="0"/>
            </w:pPr>
            <w:r w:rsidRPr="00441D50">
              <w:t>22 (</w:t>
            </w:r>
            <w:r w:rsidRPr="00441D50">
              <w:rPr>
                <w:rFonts w:cstheme="minorHAnsi"/>
              </w:rPr>
              <w:t>± 18.5)</w:t>
            </w:r>
          </w:p>
        </w:tc>
      </w:tr>
      <w:tr w:rsidR="00441D50" w:rsidRPr="00441D50" w14:paraId="57BE2A02" w14:textId="77777777" w:rsidTr="00C47D01">
        <w:tc>
          <w:tcPr>
            <w:cnfStyle w:val="001000000000" w:firstRow="0" w:lastRow="0" w:firstColumn="1" w:lastColumn="0" w:oddVBand="0" w:evenVBand="0" w:oddHBand="0" w:evenHBand="0" w:firstRowFirstColumn="0" w:firstRowLastColumn="0" w:lastRowFirstColumn="0" w:lastRowLastColumn="0"/>
            <w:tcW w:w="4505" w:type="dxa"/>
          </w:tcPr>
          <w:p w14:paraId="3D8E9E86" w14:textId="77777777" w:rsidR="004B649C" w:rsidRPr="00441D50" w:rsidRDefault="00603AEC" w:rsidP="00963411">
            <w:pPr>
              <w:spacing w:line="480" w:lineRule="auto"/>
              <w:jc w:val="both"/>
            </w:pPr>
            <w:r w:rsidRPr="00441D50">
              <w:t>Peritoneal fluid l</w:t>
            </w:r>
            <w:r w:rsidR="004B649C" w:rsidRPr="00441D50">
              <w:t xml:space="preserve">actate </w:t>
            </w:r>
            <w:r w:rsidRPr="00441D50">
              <w:t>(mmol/L)</w:t>
            </w:r>
          </w:p>
        </w:tc>
        <w:tc>
          <w:tcPr>
            <w:tcW w:w="4505" w:type="dxa"/>
          </w:tcPr>
          <w:p w14:paraId="23643E7E" w14:textId="77777777" w:rsidR="004B649C" w:rsidRPr="00441D50" w:rsidRDefault="004B649C" w:rsidP="00963411">
            <w:pPr>
              <w:spacing w:line="480" w:lineRule="auto"/>
              <w:jc w:val="both"/>
              <w:cnfStyle w:val="000000000000" w:firstRow="0" w:lastRow="0" w:firstColumn="0" w:lastColumn="0" w:oddVBand="0" w:evenVBand="0" w:oddHBand="0" w:evenHBand="0" w:firstRowFirstColumn="0" w:firstRowLastColumn="0" w:lastRowFirstColumn="0" w:lastRowLastColumn="0"/>
            </w:pPr>
            <w:r w:rsidRPr="00441D50">
              <w:t>5 (</w:t>
            </w:r>
            <w:r w:rsidRPr="00441D50">
              <w:rPr>
                <w:rFonts w:cstheme="minorHAnsi"/>
              </w:rPr>
              <w:t>± 4.8)</w:t>
            </w:r>
          </w:p>
        </w:tc>
      </w:tr>
    </w:tbl>
    <w:p w14:paraId="355E7E72" w14:textId="7F218E60" w:rsidR="004B649C" w:rsidRPr="00441D50" w:rsidRDefault="004B649C" w:rsidP="00963411">
      <w:pPr>
        <w:spacing w:line="480" w:lineRule="auto"/>
        <w:jc w:val="both"/>
        <w:rPr>
          <w:i/>
        </w:rPr>
      </w:pPr>
      <w:r w:rsidRPr="00441D50">
        <w:rPr>
          <w:i/>
        </w:rPr>
        <w:t>Table 1: Summary of clinical and clinicopathological data on admission</w:t>
      </w:r>
      <w:r w:rsidR="00032861" w:rsidRPr="00441D50">
        <w:rPr>
          <w:i/>
        </w:rPr>
        <w:t xml:space="preserve"> for the </w:t>
      </w:r>
      <w:r w:rsidR="008A102C" w:rsidRPr="00441D50">
        <w:rPr>
          <w:i/>
        </w:rPr>
        <w:t>38</w:t>
      </w:r>
      <w:r w:rsidR="00032861" w:rsidRPr="00441D50">
        <w:rPr>
          <w:i/>
        </w:rPr>
        <w:t xml:space="preserve"> colic cases recruited onto the study. </w:t>
      </w:r>
    </w:p>
    <w:p w14:paraId="0525AE97" w14:textId="77777777" w:rsidR="004B649C" w:rsidRPr="00441D50" w:rsidRDefault="004B649C" w:rsidP="00963411">
      <w:pPr>
        <w:spacing w:line="480" w:lineRule="auto"/>
        <w:jc w:val="both"/>
      </w:pPr>
    </w:p>
    <w:p w14:paraId="11A77BCC" w14:textId="048C721F" w:rsidR="004B649C" w:rsidRPr="00441D50" w:rsidRDefault="004B649C" w:rsidP="00963411">
      <w:pPr>
        <w:spacing w:line="480" w:lineRule="auto"/>
        <w:jc w:val="both"/>
      </w:pPr>
      <w:r w:rsidRPr="00441D50">
        <w:t>Thirty-</w:t>
      </w:r>
      <w:r w:rsidR="00926510" w:rsidRPr="00441D50">
        <w:t>three</w:t>
      </w:r>
      <w:r w:rsidRPr="00441D50">
        <w:t xml:space="preserve"> </w:t>
      </w:r>
      <w:r w:rsidR="007A2A89" w:rsidRPr="00441D50">
        <w:t xml:space="preserve">of the colic group </w:t>
      </w:r>
      <w:r w:rsidR="00926510" w:rsidRPr="00441D50">
        <w:t>(84.6</w:t>
      </w:r>
      <w:r w:rsidRPr="00441D50">
        <w:t>%) required emerge</w:t>
      </w:r>
      <w:r w:rsidR="00926510" w:rsidRPr="00441D50">
        <w:t>ncy exploratory laparotomy and 6</w:t>
      </w:r>
      <w:r w:rsidRPr="00441D50">
        <w:t xml:space="preserve"> were managed medically. </w:t>
      </w:r>
      <w:r w:rsidR="00DD0EAD" w:rsidRPr="00441D50">
        <w:t>Twenty-five (64</w:t>
      </w:r>
      <w:r w:rsidR="00926510" w:rsidRPr="00441D50">
        <w:t>.1</w:t>
      </w:r>
      <w:r w:rsidR="00DD0EAD" w:rsidRPr="00441D50">
        <w:t>%) horses had lesions affecting th</w:t>
      </w:r>
      <w:r w:rsidR="00926510" w:rsidRPr="00441D50">
        <w:t>e small intestine whereas 14 (35.9</w:t>
      </w:r>
      <w:r w:rsidR="00DD0EAD" w:rsidRPr="00441D50">
        <w:t>%) ha</w:t>
      </w:r>
      <w:r w:rsidR="007A2A89" w:rsidRPr="00441D50">
        <w:t>d</w:t>
      </w:r>
      <w:r w:rsidR="00DD0EAD" w:rsidRPr="00441D50">
        <w:t xml:space="preserve"> lesions affecting the large colon. </w:t>
      </w:r>
      <w:r w:rsidRPr="00441D50">
        <w:t xml:space="preserve">Of the cases managed surgically, an </w:t>
      </w:r>
      <w:r w:rsidR="007A2A89" w:rsidRPr="00441D50">
        <w:t>enterotomy or anastomosis was</w:t>
      </w:r>
      <w:r w:rsidRPr="00441D50">
        <w:t xml:space="preserve"> performed in 28 cases. In 14 cases a pelvic flexure enterotomy was performed, in 10 cases a small intestinal resection or enterotomy and in 4 cases a small intestinal biopsy was performed. </w:t>
      </w:r>
    </w:p>
    <w:p w14:paraId="614509A3" w14:textId="77777777" w:rsidR="007A2A89" w:rsidRPr="00441D50" w:rsidRDefault="007A2A89" w:rsidP="00963411">
      <w:pPr>
        <w:spacing w:line="480" w:lineRule="auto"/>
        <w:jc w:val="both"/>
      </w:pPr>
    </w:p>
    <w:p w14:paraId="5A013B82" w14:textId="2E5578E0" w:rsidR="00032861" w:rsidRPr="00441D50" w:rsidRDefault="00CC7A9C" w:rsidP="00963411">
      <w:pPr>
        <w:spacing w:line="480" w:lineRule="auto"/>
        <w:jc w:val="both"/>
      </w:pPr>
      <w:r w:rsidRPr="00441D50">
        <w:t xml:space="preserve">Small intestinal strangulation </w:t>
      </w:r>
      <w:r w:rsidR="00BF582F" w:rsidRPr="00441D50">
        <w:t xml:space="preserve">was </w:t>
      </w:r>
      <w:r w:rsidR="007A2A89" w:rsidRPr="00441D50">
        <w:t>the most common lesion type representing</w:t>
      </w:r>
      <w:r w:rsidRPr="00441D50">
        <w:t xml:space="preserve"> 38</w:t>
      </w:r>
      <w:r w:rsidR="00926510" w:rsidRPr="00441D50">
        <w:t>.4</w:t>
      </w:r>
      <w:r w:rsidRPr="00441D50">
        <w:t xml:space="preserve">% </w:t>
      </w:r>
      <w:r w:rsidR="007A2A89" w:rsidRPr="00441D50">
        <w:t>(n=</w:t>
      </w:r>
      <w:r w:rsidR="00603AEC" w:rsidRPr="00441D50">
        <w:t>15</w:t>
      </w:r>
      <w:r w:rsidR="007A2A89" w:rsidRPr="00441D50">
        <w:t xml:space="preserve">) </w:t>
      </w:r>
      <w:r w:rsidRPr="00441D50">
        <w:t xml:space="preserve">of </w:t>
      </w:r>
      <w:r w:rsidR="007A2A89" w:rsidRPr="00441D50">
        <w:t xml:space="preserve">the colic </w:t>
      </w:r>
      <w:r w:rsidRPr="00441D50">
        <w:t>cases. The distribution of primary lesions was</w:t>
      </w:r>
      <w:r w:rsidR="00C711C1" w:rsidRPr="00441D50">
        <w:t xml:space="preserve">: </w:t>
      </w:r>
      <w:r w:rsidRPr="00441D50">
        <w:t>small intestinal strangulation due to a pedunculated lipoma (</w:t>
      </w:r>
      <w:r w:rsidR="004C57E6" w:rsidRPr="00441D50">
        <w:t>n=</w:t>
      </w:r>
      <w:r w:rsidRPr="00441D50">
        <w:t>10), large colon displacement (</w:t>
      </w:r>
      <w:r w:rsidR="004C57E6" w:rsidRPr="00441D50">
        <w:t>n=</w:t>
      </w:r>
      <w:r w:rsidRPr="00441D50">
        <w:t>10), other small intestinal strangulation (</w:t>
      </w:r>
      <w:r w:rsidR="004C57E6" w:rsidRPr="00441D50">
        <w:t>n=</w:t>
      </w:r>
      <w:r w:rsidR="003C6125" w:rsidRPr="00441D50">
        <w:t>6</w:t>
      </w:r>
      <w:r w:rsidRPr="00441D50">
        <w:t>), epiploic foramen</w:t>
      </w:r>
      <w:r w:rsidR="00C711C1" w:rsidRPr="00441D50">
        <w:t xml:space="preserve"> entrapment</w:t>
      </w:r>
      <w:r w:rsidR="00CC04D2" w:rsidRPr="00441D50">
        <w:t xml:space="preserve"> (resulting in small intestinal strangulation)</w:t>
      </w:r>
      <w:r w:rsidRPr="00441D50">
        <w:t xml:space="preserve"> (</w:t>
      </w:r>
      <w:r w:rsidR="00006FBA" w:rsidRPr="00441D50">
        <w:t>n=</w:t>
      </w:r>
      <w:r w:rsidRPr="00441D50">
        <w:t>4), equine dysautonomia (</w:t>
      </w:r>
      <w:r w:rsidR="00006FBA" w:rsidRPr="00441D50">
        <w:t>n=</w:t>
      </w:r>
      <w:r w:rsidRPr="00441D50">
        <w:t>2), anterior enteritis (</w:t>
      </w:r>
      <w:r w:rsidR="00006FBA" w:rsidRPr="00441D50">
        <w:t>n=</w:t>
      </w:r>
      <w:r w:rsidR="003C6125" w:rsidRPr="00441D50">
        <w:t>3</w:t>
      </w:r>
      <w:r w:rsidR="000A2CA0" w:rsidRPr="00441D50">
        <w:t xml:space="preserve">), </w:t>
      </w:r>
      <w:r w:rsidRPr="00441D50">
        <w:t>large colon impaction (</w:t>
      </w:r>
      <w:r w:rsidR="00006FBA" w:rsidRPr="00441D50">
        <w:t>n=</w:t>
      </w:r>
      <w:r w:rsidR="000A2CA0" w:rsidRPr="00441D50">
        <w:t>1</w:t>
      </w:r>
      <w:r w:rsidRPr="00441D50">
        <w:t xml:space="preserve">), </w:t>
      </w:r>
      <w:r w:rsidR="000A2CA0" w:rsidRPr="00441D50">
        <w:t xml:space="preserve">large colon volvulus (n=1), </w:t>
      </w:r>
      <w:r w:rsidRPr="00441D50">
        <w:t>peritonitis (</w:t>
      </w:r>
      <w:r w:rsidR="00006FBA" w:rsidRPr="00441D50">
        <w:t>n=</w:t>
      </w:r>
      <w:r w:rsidRPr="00441D50">
        <w:t>1 ), idiopathic focal eosinophilic enteritis (</w:t>
      </w:r>
      <w:r w:rsidR="00006FBA" w:rsidRPr="00441D50">
        <w:t>n=</w:t>
      </w:r>
      <w:r w:rsidRPr="00441D50">
        <w:t xml:space="preserve">1). </w:t>
      </w:r>
      <w:r w:rsidR="00C95904" w:rsidRPr="00441D50">
        <w:t xml:space="preserve">The </w:t>
      </w:r>
      <w:r w:rsidR="000D2A9A" w:rsidRPr="00441D50">
        <w:t>prevalence</w:t>
      </w:r>
      <w:r w:rsidR="00C95904" w:rsidRPr="00441D50">
        <w:t xml:space="preserve"> of </w:t>
      </w:r>
      <w:r w:rsidR="00C711C1" w:rsidRPr="00441D50">
        <w:t>SSI</w:t>
      </w:r>
      <w:r w:rsidRPr="00441D50">
        <w:t xml:space="preserve"> </w:t>
      </w:r>
      <w:r w:rsidR="007A2A89" w:rsidRPr="00441D50">
        <w:t xml:space="preserve">during hospitalisation </w:t>
      </w:r>
      <w:r w:rsidRPr="00441D50">
        <w:t>was 10</w:t>
      </w:r>
      <w:r w:rsidR="00005BEA" w:rsidRPr="00441D50">
        <w:t>.2</w:t>
      </w:r>
      <w:r w:rsidRPr="00441D50">
        <w:t>% (</w:t>
      </w:r>
      <w:r w:rsidR="007A2A89" w:rsidRPr="00441D50">
        <w:t>n=</w:t>
      </w:r>
      <w:r w:rsidR="00313B3A" w:rsidRPr="00441D50">
        <w:t>4/39</w:t>
      </w:r>
      <w:r w:rsidRPr="00441D50">
        <w:t>).</w:t>
      </w:r>
      <w:r w:rsidR="00723AF5" w:rsidRPr="00441D50">
        <w:t xml:space="preserve"> This included 3 horses with no positive cultures and one horse with a positive peritoneal fluid culture. There was no significant difference in development of </w:t>
      </w:r>
      <w:proofErr w:type="gramStart"/>
      <w:r w:rsidR="00723AF5" w:rsidRPr="00441D50">
        <w:t>a</w:t>
      </w:r>
      <w:proofErr w:type="gramEnd"/>
      <w:r w:rsidR="00723AF5" w:rsidRPr="00441D50">
        <w:t xml:space="preserve"> SSI between horses with a </w:t>
      </w:r>
      <w:r w:rsidR="00723AF5" w:rsidRPr="00441D50">
        <w:lastRenderedPageBreak/>
        <w:t xml:space="preserve">positive culture and those without (p=0.81). </w:t>
      </w:r>
      <w:r w:rsidRPr="00441D50">
        <w:t xml:space="preserve"> </w:t>
      </w:r>
      <w:r w:rsidR="00723AF5" w:rsidRPr="00441D50">
        <w:t>The median len</w:t>
      </w:r>
      <w:r w:rsidR="00485A45" w:rsidRPr="00441D50">
        <w:t>gth of hospitalisation was 6 day</w:t>
      </w:r>
      <w:r w:rsidR="00723AF5" w:rsidRPr="00441D50">
        <w:t xml:space="preserve">s (range: 0-16 days). </w:t>
      </w:r>
      <w:r w:rsidRPr="00441D50">
        <w:t xml:space="preserve">Overall survival to hospital discharge </w:t>
      </w:r>
      <w:r w:rsidR="00C711C1" w:rsidRPr="00441D50">
        <w:t xml:space="preserve">for all horses recruited onto the study </w:t>
      </w:r>
      <w:r w:rsidRPr="00441D50">
        <w:t>was 59</w:t>
      </w:r>
      <w:r w:rsidR="00005BEA" w:rsidRPr="00441D50">
        <w:t>.0</w:t>
      </w:r>
      <w:r w:rsidRPr="00441D50">
        <w:t>%</w:t>
      </w:r>
      <w:r w:rsidR="000A1FBA" w:rsidRPr="00441D50">
        <w:t xml:space="preserve"> (23/39)</w:t>
      </w:r>
      <w:r w:rsidRPr="00441D50">
        <w:t xml:space="preserve"> and for those </w:t>
      </w:r>
      <w:r w:rsidR="00DD0EAD" w:rsidRPr="00441D50">
        <w:t xml:space="preserve">horses </w:t>
      </w:r>
      <w:r w:rsidR="007A2A89" w:rsidRPr="00441D50">
        <w:t xml:space="preserve">who stood following </w:t>
      </w:r>
      <w:r w:rsidRPr="00441D50">
        <w:t>exploratory laparotomy</w:t>
      </w:r>
      <w:r w:rsidR="00032861" w:rsidRPr="00441D50">
        <w:t xml:space="preserve">, this </w:t>
      </w:r>
      <w:r w:rsidR="000A1FBA" w:rsidRPr="00441D50">
        <w:t>was 64</w:t>
      </w:r>
      <w:r w:rsidRPr="00441D50">
        <w:t>%</w:t>
      </w:r>
      <w:r w:rsidR="000A1FBA" w:rsidRPr="00441D50">
        <w:t xml:space="preserve"> (21/33)</w:t>
      </w:r>
      <w:r w:rsidRPr="00441D50">
        <w:t>.</w:t>
      </w:r>
      <w:r w:rsidR="006E649A" w:rsidRPr="00441D50">
        <w:t xml:space="preserve"> </w:t>
      </w:r>
    </w:p>
    <w:p w14:paraId="7C54BDD8" w14:textId="77777777" w:rsidR="00032861" w:rsidRPr="00441D50" w:rsidRDefault="00032861" w:rsidP="00963411">
      <w:pPr>
        <w:spacing w:line="480" w:lineRule="auto"/>
        <w:jc w:val="both"/>
      </w:pPr>
    </w:p>
    <w:p w14:paraId="5A03FC95" w14:textId="38A2A181" w:rsidR="00CC7A9C" w:rsidRPr="00441D50" w:rsidRDefault="00C711C1" w:rsidP="00963411">
      <w:pPr>
        <w:spacing w:line="480" w:lineRule="auto"/>
        <w:jc w:val="both"/>
      </w:pPr>
      <w:r w:rsidRPr="00441D50">
        <w:t xml:space="preserve">The frequency of positive cultures in the </w:t>
      </w:r>
      <w:r w:rsidR="00032861" w:rsidRPr="00441D50">
        <w:t xml:space="preserve">colic group </w:t>
      </w:r>
      <w:r w:rsidRPr="00441D50">
        <w:t xml:space="preserve">was very low as shown in Table </w:t>
      </w:r>
      <w:r w:rsidR="00BD702C" w:rsidRPr="00441D50">
        <w:t>2</w:t>
      </w:r>
      <w:r w:rsidRPr="00441D50">
        <w:t xml:space="preserve">. </w:t>
      </w:r>
      <w:r w:rsidR="00005BEA" w:rsidRPr="00441D50">
        <w:t>Overall, 7.7%</w:t>
      </w:r>
      <w:r w:rsidRPr="00441D50">
        <w:t xml:space="preserve"> (3/38) of peripheral venous blood samples were </w:t>
      </w:r>
      <w:r w:rsidR="00842AEE" w:rsidRPr="00441D50">
        <w:t xml:space="preserve">culture </w:t>
      </w:r>
      <w:r w:rsidRPr="00441D50">
        <w:t>positive as were</w:t>
      </w:r>
      <w:r w:rsidR="00005BEA" w:rsidRPr="00441D50">
        <w:t xml:space="preserve"> 11.8</w:t>
      </w:r>
      <w:r w:rsidRPr="00441D50">
        <w:t xml:space="preserve">% (4/34) peritoneal fluid samples </w:t>
      </w:r>
      <w:r w:rsidR="000D2A9A" w:rsidRPr="00441D50">
        <w:t>on</w:t>
      </w:r>
      <w:r w:rsidRPr="00441D50">
        <w:t xml:space="preserve"> admission and </w:t>
      </w:r>
      <w:r w:rsidR="00005BEA" w:rsidRPr="00441D50">
        <w:t>8.7</w:t>
      </w:r>
      <w:r w:rsidRPr="00441D50">
        <w:t xml:space="preserve">% </w:t>
      </w:r>
      <w:r w:rsidR="0081465F" w:rsidRPr="00441D50">
        <w:t>(2/23</w:t>
      </w:r>
      <w:r w:rsidRPr="00441D50">
        <w:t xml:space="preserve">) of peritoneal fluid samples taken immediately prior to closure of the abdomen at surgery. </w:t>
      </w:r>
      <w:r w:rsidR="00C95904" w:rsidRPr="00441D50">
        <w:t xml:space="preserve">There were no positive blood cultures in the control </w:t>
      </w:r>
      <w:r w:rsidR="00032861" w:rsidRPr="00441D50">
        <w:t>group</w:t>
      </w:r>
      <w:r w:rsidR="00C95904" w:rsidRPr="00441D50">
        <w:t xml:space="preserve">. </w:t>
      </w:r>
      <w:r w:rsidRPr="00441D50">
        <w:t xml:space="preserve">A wide range of bacterial species were cultured as shown in Table </w:t>
      </w:r>
      <w:r w:rsidR="00BD702C" w:rsidRPr="00441D50">
        <w:t>3</w:t>
      </w:r>
      <w:r w:rsidRPr="00441D50">
        <w:t>.</w:t>
      </w:r>
      <w:r w:rsidR="00521BF6" w:rsidRPr="00441D50">
        <w:t xml:space="preserve"> </w:t>
      </w:r>
    </w:p>
    <w:p w14:paraId="37238875" w14:textId="666D8E78" w:rsidR="00F9571C" w:rsidRPr="00441D50" w:rsidRDefault="00F9571C" w:rsidP="00963411">
      <w:pPr>
        <w:spacing w:line="480" w:lineRule="auto"/>
        <w:jc w:val="both"/>
      </w:pPr>
    </w:p>
    <w:tbl>
      <w:tblPr>
        <w:tblStyle w:val="GridTable4"/>
        <w:tblW w:w="6730" w:type="dxa"/>
        <w:tblLook w:val="04A0" w:firstRow="1" w:lastRow="0" w:firstColumn="1" w:lastColumn="0" w:noHBand="0" w:noVBand="1"/>
      </w:tblPr>
      <w:tblGrid>
        <w:gridCol w:w="1271"/>
        <w:gridCol w:w="1320"/>
        <w:gridCol w:w="2012"/>
        <w:gridCol w:w="2127"/>
      </w:tblGrid>
      <w:tr w:rsidR="00441D50" w:rsidRPr="00441D50" w14:paraId="17DF0BF4" w14:textId="77777777" w:rsidTr="00C47D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936B416" w14:textId="77777777" w:rsidR="002A541C" w:rsidRPr="00441D50" w:rsidRDefault="00E04B6D" w:rsidP="00963411">
            <w:pPr>
              <w:spacing w:after="0" w:line="480" w:lineRule="auto"/>
              <w:rPr>
                <w:rFonts w:ascii="Calibri" w:eastAsia="Times New Roman" w:hAnsi="Calibri" w:cs="Calibri"/>
                <w:color w:val="auto"/>
                <w:lang w:eastAsia="en-GB"/>
              </w:rPr>
            </w:pPr>
            <w:r w:rsidRPr="00441D50">
              <w:rPr>
                <w:rFonts w:ascii="Calibri" w:eastAsia="Times New Roman" w:hAnsi="Calibri" w:cs="Calibri"/>
                <w:color w:val="auto"/>
                <w:lang w:eastAsia="en-GB"/>
              </w:rPr>
              <w:t xml:space="preserve">Case </w:t>
            </w:r>
          </w:p>
        </w:tc>
        <w:tc>
          <w:tcPr>
            <w:tcW w:w="1320" w:type="dxa"/>
            <w:noWrap/>
            <w:hideMark/>
          </w:tcPr>
          <w:p w14:paraId="72A7AA0C" w14:textId="77777777" w:rsidR="002A541C" w:rsidRPr="00441D50" w:rsidRDefault="002A541C" w:rsidP="00963411">
            <w:pPr>
              <w:spacing w:after="0"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441D50">
              <w:rPr>
                <w:rFonts w:ascii="Calibri" w:eastAsia="Times New Roman" w:hAnsi="Calibri" w:cs="Calibri"/>
                <w:color w:val="auto"/>
                <w:lang w:eastAsia="en-GB"/>
              </w:rPr>
              <w:t>Blood</w:t>
            </w:r>
            <w:r w:rsidRPr="00441D50">
              <w:rPr>
                <w:rFonts w:ascii="Calibri" w:eastAsia="Times New Roman" w:hAnsi="Calibri" w:cs="Calibri"/>
                <w:bCs w:val="0"/>
                <w:color w:val="auto"/>
                <w:lang w:eastAsia="en-GB"/>
              </w:rPr>
              <w:t xml:space="preserve"> sample</w:t>
            </w:r>
            <w:r w:rsidRPr="00441D50">
              <w:rPr>
                <w:rFonts w:ascii="Calibri" w:eastAsia="Times New Roman" w:hAnsi="Calibri" w:cs="Calibri"/>
                <w:b w:val="0"/>
                <w:bCs w:val="0"/>
                <w:color w:val="auto"/>
                <w:lang w:eastAsia="en-GB"/>
              </w:rPr>
              <w:t xml:space="preserve"> (admission)</w:t>
            </w:r>
          </w:p>
        </w:tc>
        <w:tc>
          <w:tcPr>
            <w:tcW w:w="2012" w:type="dxa"/>
            <w:hideMark/>
          </w:tcPr>
          <w:p w14:paraId="25338A71" w14:textId="77777777" w:rsidR="002A541C" w:rsidRPr="00441D50" w:rsidRDefault="002A541C" w:rsidP="00963411">
            <w:pPr>
              <w:spacing w:after="0"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r w:rsidRPr="00441D50">
              <w:rPr>
                <w:rFonts w:ascii="Calibri" w:eastAsia="Times New Roman" w:hAnsi="Calibri" w:cs="Calibri"/>
                <w:bCs w:val="0"/>
                <w:color w:val="auto"/>
                <w:sz w:val="24"/>
                <w:szCs w:val="24"/>
                <w:lang w:eastAsia="en-GB"/>
              </w:rPr>
              <w:t>Peritoneal fluid</w:t>
            </w:r>
            <w:r w:rsidRPr="00441D50">
              <w:rPr>
                <w:rFonts w:ascii="Calibri" w:eastAsia="Times New Roman" w:hAnsi="Calibri" w:cs="Calibri"/>
                <w:b w:val="0"/>
                <w:bCs w:val="0"/>
                <w:color w:val="auto"/>
                <w:sz w:val="24"/>
                <w:szCs w:val="24"/>
                <w:lang w:eastAsia="en-GB"/>
              </w:rPr>
              <w:t xml:space="preserve"> (admission)</w:t>
            </w:r>
          </w:p>
        </w:tc>
        <w:tc>
          <w:tcPr>
            <w:tcW w:w="2127" w:type="dxa"/>
            <w:hideMark/>
          </w:tcPr>
          <w:p w14:paraId="4552E319" w14:textId="77777777" w:rsidR="002A541C" w:rsidRPr="00441D50" w:rsidRDefault="002A541C" w:rsidP="00963411">
            <w:pPr>
              <w:spacing w:after="0"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r w:rsidRPr="00441D50">
              <w:rPr>
                <w:rFonts w:ascii="Calibri" w:eastAsia="Times New Roman" w:hAnsi="Calibri" w:cs="Calibri"/>
                <w:bCs w:val="0"/>
                <w:color w:val="auto"/>
                <w:sz w:val="24"/>
                <w:szCs w:val="24"/>
                <w:lang w:eastAsia="en-GB"/>
              </w:rPr>
              <w:t>Peritoneal fluid</w:t>
            </w:r>
            <w:r w:rsidRPr="00441D50">
              <w:rPr>
                <w:rFonts w:ascii="Calibri" w:eastAsia="Times New Roman" w:hAnsi="Calibri" w:cs="Calibri"/>
                <w:b w:val="0"/>
                <w:bCs w:val="0"/>
                <w:color w:val="auto"/>
                <w:sz w:val="24"/>
                <w:szCs w:val="24"/>
                <w:lang w:eastAsia="en-GB"/>
              </w:rPr>
              <w:t xml:space="preserve"> (surgery end)</w:t>
            </w:r>
          </w:p>
        </w:tc>
      </w:tr>
      <w:tr w:rsidR="00441D50" w:rsidRPr="00441D50" w14:paraId="07CE0852"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2DA494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w:t>
            </w:r>
          </w:p>
        </w:tc>
        <w:tc>
          <w:tcPr>
            <w:tcW w:w="1320" w:type="dxa"/>
            <w:noWrap/>
            <w:hideMark/>
          </w:tcPr>
          <w:p w14:paraId="6B395CF7"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12B05077"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hideMark/>
          </w:tcPr>
          <w:p w14:paraId="110BABE4" w14:textId="1B0AF7C8"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68D12976"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621F800"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w:t>
            </w:r>
          </w:p>
        </w:tc>
        <w:tc>
          <w:tcPr>
            <w:tcW w:w="1320" w:type="dxa"/>
            <w:noWrap/>
            <w:hideMark/>
          </w:tcPr>
          <w:p w14:paraId="6033D30B"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F342BEE"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4F86289F" w14:textId="6CC94CBE"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425D55BB"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B307B9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w:t>
            </w:r>
          </w:p>
        </w:tc>
        <w:tc>
          <w:tcPr>
            <w:tcW w:w="1320" w:type="dxa"/>
            <w:noWrap/>
            <w:hideMark/>
          </w:tcPr>
          <w:p w14:paraId="4E015280"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23C6D6C3"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1E29BDA6"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0B4801E1"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1AECB4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4</w:t>
            </w:r>
          </w:p>
        </w:tc>
        <w:tc>
          <w:tcPr>
            <w:tcW w:w="1320" w:type="dxa"/>
            <w:noWrap/>
            <w:hideMark/>
          </w:tcPr>
          <w:p w14:paraId="79B8AB7E"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C97FF07"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127" w:type="dxa"/>
            <w:noWrap/>
            <w:hideMark/>
          </w:tcPr>
          <w:p w14:paraId="2E1F8BEE" w14:textId="5CEBDC51"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1D329812"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47CD51A"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5</w:t>
            </w:r>
          </w:p>
        </w:tc>
        <w:tc>
          <w:tcPr>
            <w:tcW w:w="1320" w:type="dxa"/>
            <w:noWrap/>
            <w:hideMark/>
          </w:tcPr>
          <w:p w14:paraId="24082169"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66F68040"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19A2FF8E" w14:textId="62FB96D9"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70372160"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900A7D5"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6</w:t>
            </w:r>
          </w:p>
        </w:tc>
        <w:tc>
          <w:tcPr>
            <w:tcW w:w="1320" w:type="dxa"/>
            <w:noWrap/>
            <w:hideMark/>
          </w:tcPr>
          <w:p w14:paraId="6933602E" w14:textId="77777777" w:rsidR="002A541C" w:rsidRPr="00441D50" w:rsidRDefault="00E10F79"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012" w:type="dxa"/>
            <w:noWrap/>
            <w:hideMark/>
          </w:tcPr>
          <w:p w14:paraId="72FDC1B0"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0BFC7C3F" w14:textId="77777777" w:rsidR="002A541C" w:rsidRPr="00441D50" w:rsidRDefault="00E10F79"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r>
      <w:tr w:rsidR="00441D50" w:rsidRPr="00441D50" w14:paraId="3AE821F6"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E084B53"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7</w:t>
            </w:r>
          </w:p>
        </w:tc>
        <w:tc>
          <w:tcPr>
            <w:tcW w:w="1320" w:type="dxa"/>
            <w:noWrap/>
            <w:hideMark/>
          </w:tcPr>
          <w:p w14:paraId="6F3E74E8"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4A17EC9B"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12DCC7C2" w14:textId="167D7CEB"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7F2C2AA7"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66BB4F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8</w:t>
            </w:r>
          </w:p>
        </w:tc>
        <w:tc>
          <w:tcPr>
            <w:tcW w:w="1320" w:type="dxa"/>
            <w:noWrap/>
            <w:hideMark/>
          </w:tcPr>
          <w:p w14:paraId="1D09E5A3"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1FBB4E65"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6FBB4AA9" w14:textId="693B7650"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173EEEE2"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C6D5335"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9</w:t>
            </w:r>
          </w:p>
        </w:tc>
        <w:tc>
          <w:tcPr>
            <w:tcW w:w="1320" w:type="dxa"/>
            <w:noWrap/>
            <w:hideMark/>
          </w:tcPr>
          <w:p w14:paraId="691E12E9"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41C85BBF"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hideMark/>
          </w:tcPr>
          <w:p w14:paraId="3E7485D4"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0F6D70F8"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45F17E9"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10</w:t>
            </w:r>
          </w:p>
        </w:tc>
        <w:tc>
          <w:tcPr>
            <w:tcW w:w="1320" w:type="dxa"/>
            <w:noWrap/>
            <w:hideMark/>
          </w:tcPr>
          <w:p w14:paraId="2F252E3F"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406BF03E"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07EC4DB3" w14:textId="359B3300"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0AD3717A"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493A29F"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11</w:t>
            </w:r>
          </w:p>
        </w:tc>
        <w:tc>
          <w:tcPr>
            <w:tcW w:w="1320" w:type="dxa"/>
            <w:noWrap/>
            <w:hideMark/>
          </w:tcPr>
          <w:p w14:paraId="5ED2A75E" w14:textId="3C39DBBE" w:rsidR="002A541C" w:rsidRPr="00441D50" w:rsidRDefault="00645B23"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526BB9DB"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09C5F84E" w14:textId="77777777" w:rsidR="002A541C" w:rsidRPr="00441D50" w:rsidRDefault="00E10F79"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r>
      <w:tr w:rsidR="00441D50" w:rsidRPr="00441D50" w14:paraId="109B8D3E"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CB4FE1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lastRenderedPageBreak/>
              <w:t>12</w:t>
            </w:r>
          </w:p>
        </w:tc>
        <w:tc>
          <w:tcPr>
            <w:tcW w:w="1320" w:type="dxa"/>
            <w:noWrap/>
            <w:hideMark/>
          </w:tcPr>
          <w:p w14:paraId="76843E46"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4A55EAC1"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5D1BDA88"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63DDF561"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A864456"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13</w:t>
            </w:r>
          </w:p>
        </w:tc>
        <w:tc>
          <w:tcPr>
            <w:tcW w:w="1320" w:type="dxa"/>
            <w:noWrap/>
            <w:hideMark/>
          </w:tcPr>
          <w:p w14:paraId="4BF875A7"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15C65C6A"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5D412B1"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04C433AC"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51B656D"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14</w:t>
            </w:r>
          </w:p>
        </w:tc>
        <w:tc>
          <w:tcPr>
            <w:tcW w:w="1320" w:type="dxa"/>
            <w:noWrap/>
            <w:hideMark/>
          </w:tcPr>
          <w:p w14:paraId="170EE29D"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118569C"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0DBF73A5" w14:textId="0F172F36"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4380DCE4"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5FEFFD5"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15</w:t>
            </w:r>
          </w:p>
        </w:tc>
        <w:tc>
          <w:tcPr>
            <w:tcW w:w="1320" w:type="dxa"/>
            <w:noWrap/>
            <w:hideMark/>
          </w:tcPr>
          <w:p w14:paraId="52A990FA"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4E2BB7BD"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E349D3B" w14:textId="1286EF49"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7515661A"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1A6E56E"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16</w:t>
            </w:r>
          </w:p>
        </w:tc>
        <w:tc>
          <w:tcPr>
            <w:tcW w:w="1320" w:type="dxa"/>
            <w:noWrap/>
            <w:hideMark/>
          </w:tcPr>
          <w:p w14:paraId="3ABC7531"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6AE8B689"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CAF8886" w14:textId="732E85F9"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5E103E52"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0FAE32A"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17</w:t>
            </w:r>
          </w:p>
        </w:tc>
        <w:tc>
          <w:tcPr>
            <w:tcW w:w="1320" w:type="dxa"/>
            <w:noWrap/>
            <w:hideMark/>
          </w:tcPr>
          <w:p w14:paraId="43E99581"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73194822"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2BF12B20" w14:textId="77C81958"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73D34CD7"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033A58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18</w:t>
            </w:r>
          </w:p>
        </w:tc>
        <w:tc>
          <w:tcPr>
            <w:tcW w:w="1320" w:type="dxa"/>
            <w:noWrap/>
            <w:hideMark/>
          </w:tcPr>
          <w:p w14:paraId="48613E46"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559ED94C"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4A031898"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0ECE2259"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C37DB3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19</w:t>
            </w:r>
          </w:p>
        </w:tc>
        <w:tc>
          <w:tcPr>
            <w:tcW w:w="1320" w:type="dxa"/>
            <w:noWrap/>
            <w:hideMark/>
          </w:tcPr>
          <w:p w14:paraId="55E1208C"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8AA7FB7"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FF255AF"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87228A8"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50868E8"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20</w:t>
            </w:r>
          </w:p>
        </w:tc>
        <w:tc>
          <w:tcPr>
            <w:tcW w:w="1320" w:type="dxa"/>
            <w:noWrap/>
            <w:hideMark/>
          </w:tcPr>
          <w:p w14:paraId="7EAD4513"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583FDDF7"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25333482" w14:textId="438123BB"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2C16093C"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E8E8F2C"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21</w:t>
            </w:r>
          </w:p>
        </w:tc>
        <w:tc>
          <w:tcPr>
            <w:tcW w:w="1320" w:type="dxa"/>
            <w:noWrap/>
            <w:hideMark/>
          </w:tcPr>
          <w:p w14:paraId="0E17522B"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2FB80487" w14:textId="12AFD02F" w:rsidR="002A541C" w:rsidRPr="00441D50" w:rsidRDefault="00645B23"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41927EC4"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6FD2B176"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46D091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22</w:t>
            </w:r>
          </w:p>
        </w:tc>
        <w:tc>
          <w:tcPr>
            <w:tcW w:w="1320" w:type="dxa"/>
            <w:noWrap/>
            <w:hideMark/>
          </w:tcPr>
          <w:p w14:paraId="46022CA4"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5C776A64" w14:textId="77777777" w:rsidR="002A541C" w:rsidRPr="00441D50" w:rsidRDefault="00E10F79"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127" w:type="dxa"/>
            <w:noWrap/>
            <w:hideMark/>
          </w:tcPr>
          <w:p w14:paraId="6C395DDC"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03D56B57"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0EEF57B"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23</w:t>
            </w:r>
          </w:p>
        </w:tc>
        <w:tc>
          <w:tcPr>
            <w:tcW w:w="1320" w:type="dxa"/>
            <w:noWrap/>
            <w:hideMark/>
          </w:tcPr>
          <w:p w14:paraId="6A4C1BAA"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04CE3A81"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6A71B76"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4796646D"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D83AA9E"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24</w:t>
            </w:r>
          </w:p>
        </w:tc>
        <w:tc>
          <w:tcPr>
            <w:tcW w:w="1320" w:type="dxa"/>
            <w:noWrap/>
            <w:hideMark/>
          </w:tcPr>
          <w:p w14:paraId="2F354A36"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2A6CD927"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2CD37759" w14:textId="7CFD2B3F"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188C6134"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F97944B"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25</w:t>
            </w:r>
          </w:p>
        </w:tc>
        <w:tc>
          <w:tcPr>
            <w:tcW w:w="1320" w:type="dxa"/>
            <w:noWrap/>
            <w:hideMark/>
          </w:tcPr>
          <w:p w14:paraId="2520F443"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7C478148" w14:textId="77777777" w:rsidR="002A541C" w:rsidRPr="00441D50" w:rsidRDefault="00E10F79"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127" w:type="dxa"/>
            <w:noWrap/>
            <w:hideMark/>
          </w:tcPr>
          <w:p w14:paraId="5E37AA47" w14:textId="676EF4EE"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2AFEEC11"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C79C196"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26</w:t>
            </w:r>
          </w:p>
        </w:tc>
        <w:tc>
          <w:tcPr>
            <w:tcW w:w="1320" w:type="dxa"/>
            <w:noWrap/>
            <w:hideMark/>
          </w:tcPr>
          <w:p w14:paraId="46046C16"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2B3649B"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27275544"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E9BED09"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0B3244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27</w:t>
            </w:r>
          </w:p>
        </w:tc>
        <w:tc>
          <w:tcPr>
            <w:tcW w:w="1320" w:type="dxa"/>
            <w:noWrap/>
            <w:hideMark/>
          </w:tcPr>
          <w:p w14:paraId="4383013F" w14:textId="5F35A260" w:rsidR="002A541C" w:rsidRPr="00441D50" w:rsidRDefault="00645B23"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13D39EBD"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387D6BC3"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0FCB0EF"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EE139E6" w14:textId="77777777" w:rsidR="00E10F79" w:rsidRPr="00441D50" w:rsidRDefault="00E10F79"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28</w:t>
            </w:r>
          </w:p>
        </w:tc>
        <w:tc>
          <w:tcPr>
            <w:tcW w:w="1320" w:type="dxa"/>
            <w:noWrap/>
            <w:hideMark/>
          </w:tcPr>
          <w:p w14:paraId="21771F46" w14:textId="77777777" w:rsidR="00E10F79" w:rsidRPr="00441D50" w:rsidRDefault="00E10F79"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012" w:type="dxa"/>
          </w:tcPr>
          <w:p w14:paraId="71F77780" w14:textId="7DD24B79" w:rsidR="00E10F79" w:rsidRPr="00441D50" w:rsidRDefault="00645B23"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3DB056BF" w14:textId="77777777" w:rsidR="00E10F79" w:rsidRPr="00441D50" w:rsidRDefault="00E10F79"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4FBE398F"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91C889A"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39</w:t>
            </w:r>
          </w:p>
        </w:tc>
        <w:tc>
          <w:tcPr>
            <w:tcW w:w="1320" w:type="dxa"/>
            <w:noWrap/>
            <w:hideMark/>
          </w:tcPr>
          <w:p w14:paraId="06B17C9A"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6205CEB3"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hideMark/>
          </w:tcPr>
          <w:p w14:paraId="13D7900F"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9CD4B1C"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FB2FFEF"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30</w:t>
            </w:r>
          </w:p>
        </w:tc>
        <w:tc>
          <w:tcPr>
            <w:tcW w:w="1320" w:type="dxa"/>
            <w:noWrap/>
            <w:hideMark/>
          </w:tcPr>
          <w:p w14:paraId="21115DA0"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324188E2"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172D2411"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2ED93F47"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3C74E16"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31</w:t>
            </w:r>
          </w:p>
        </w:tc>
        <w:tc>
          <w:tcPr>
            <w:tcW w:w="1320" w:type="dxa"/>
            <w:noWrap/>
            <w:hideMark/>
          </w:tcPr>
          <w:p w14:paraId="600B5E75" w14:textId="77777777" w:rsidR="002A541C" w:rsidRPr="00441D50" w:rsidRDefault="00E10F79"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012" w:type="dxa"/>
            <w:noWrap/>
            <w:hideMark/>
          </w:tcPr>
          <w:p w14:paraId="2F339EBF"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6A5DE2F8" w14:textId="5FD352A1"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0F8C7CA3"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F5D51F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32</w:t>
            </w:r>
          </w:p>
        </w:tc>
        <w:tc>
          <w:tcPr>
            <w:tcW w:w="1320" w:type="dxa"/>
            <w:noWrap/>
            <w:hideMark/>
          </w:tcPr>
          <w:p w14:paraId="1A1D91E0"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7B71F37F"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hideMark/>
          </w:tcPr>
          <w:p w14:paraId="5D974705"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6E442698"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B96295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33</w:t>
            </w:r>
          </w:p>
        </w:tc>
        <w:tc>
          <w:tcPr>
            <w:tcW w:w="1320" w:type="dxa"/>
            <w:noWrap/>
            <w:hideMark/>
          </w:tcPr>
          <w:p w14:paraId="6ABBF9CA"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hideMark/>
          </w:tcPr>
          <w:p w14:paraId="486AB3C4" w14:textId="77777777" w:rsidR="002A541C" w:rsidRPr="00441D50" w:rsidRDefault="00E10F79"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sym w:font="Wingdings" w:char="F0FC"/>
            </w:r>
          </w:p>
        </w:tc>
        <w:tc>
          <w:tcPr>
            <w:tcW w:w="2127" w:type="dxa"/>
            <w:noWrap/>
            <w:hideMark/>
          </w:tcPr>
          <w:p w14:paraId="407F49EF" w14:textId="64AEE9F3"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5FFFB4EA"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7898E14"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34</w:t>
            </w:r>
          </w:p>
        </w:tc>
        <w:tc>
          <w:tcPr>
            <w:tcW w:w="1320" w:type="dxa"/>
            <w:noWrap/>
            <w:hideMark/>
          </w:tcPr>
          <w:p w14:paraId="031C6EA9"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74CDF141"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1BAD3CBC" w14:textId="573FDDD4"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74C9AFC8"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FCC4CD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35</w:t>
            </w:r>
          </w:p>
        </w:tc>
        <w:tc>
          <w:tcPr>
            <w:tcW w:w="1320" w:type="dxa"/>
            <w:noWrap/>
            <w:hideMark/>
          </w:tcPr>
          <w:p w14:paraId="0BAC1000"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62EE7F47"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7295B83B" w14:textId="281B4095"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65D95A2E"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86991B3"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36</w:t>
            </w:r>
          </w:p>
        </w:tc>
        <w:tc>
          <w:tcPr>
            <w:tcW w:w="1320" w:type="dxa"/>
            <w:noWrap/>
            <w:hideMark/>
          </w:tcPr>
          <w:p w14:paraId="05077E96"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0B8FEC07"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2B5E907A" w14:textId="05F17275"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588B1EE6"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E6589F3"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lastRenderedPageBreak/>
              <w:t>37</w:t>
            </w:r>
          </w:p>
        </w:tc>
        <w:tc>
          <w:tcPr>
            <w:tcW w:w="1320" w:type="dxa"/>
            <w:noWrap/>
            <w:hideMark/>
          </w:tcPr>
          <w:p w14:paraId="786A170D"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19033D85"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hideMark/>
          </w:tcPr>
          <w:p w14:paraId="2C5BCB18" w14:textId="6CFCB0B9" w:rsidR="002A541C" w:rsidRPr="00441D50" w:rsidRDefault="0081465F"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2158C6B1"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C2D4CD2"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38</w:t>
            </w:r>
          </w:p>
        </w:tc>
        <w:tc>
          <w:tcPr>
            <w:tcW w:w="1320" w:type="dxa"/>
            <w:noWrap/>
            <w:hideMark/>
          </w:tcPr>
          <w:p w14:paraId="20E90A61"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273FE8E8" w14:textId="7777777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59D6D290" w14:textId="715E3960" w:rsidR="002A541C" w:rsidRPr="00441D50" w:rsidRDefault="0081465F"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r>
      <w:tr w:rsidR="00441D50" w:rsidRPr="00441D50" w14:paraId="52BBC8F5"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5CB28C0" w14:textId="77777777" w:rsidR="002A541C" w:rsidRPr="00441D50" w:rsidRDefault="002A541C"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39</w:t>
            </w:r>
          </w:p>
        </w:tc>
        <w:tc>
          <w:tcPr>
            <w:tcW w:w="1320" w:type="dxa"/>
            <w:noWrap/>
            <w:hideMark/>
          </w:tcPr>
          <w:p w14:paraId="3DE72D49"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hideMark/>
          </w:tcPr>
          <w:p w14:paraId="68C113B2" w14:textId="77777777" w:rsidR="002A541C" w:rsidRPr="00441D50" w:rsidRDefault="002A541C"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127" w:type="dxa"/>
            <w:noWrap/>
            <w:hideMark/>
          </w:tcPr>
          <w:p w14:paraId="521D8D1F" w14:textId="77777777" w:rsidR="00E10F79" w:rsidRPr="00441D50" w:rsidRDefault="00E10F79"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2DE54B07"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09195206"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1</w:t>
            </w:r>
          </w:p>
        </w:tc>
        <w:tc>
          <w:tcPr>
            <w:tcW w:w="1320" w:type="dxa"/>
            <w:noWrap/>
          </w:tcPr>
          <w:p w14:paraId="2B6C5CB0"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772CA1BA"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06455BF4"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54F3B5E2"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507C0589"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2</w:t>
            </w:r>
          </w:p>
        </w:tc>
        <w:tc>
          <w:tcPr>
            <w:tcW w:w="1320" w:type="dxa"/>
            <w:noWrap/>
          </w:tcPr>
          <w:p w14:paraId="40ED493D"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6A1F7549"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53E36056"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1FBE4F7B"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2495757F"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3</w:t>
            </w:r>
          </w:p>
        </w:tc>
        <w:tc>
          <w:tcPr>
            <w:tcW w:w="1320" w:type="dxa"/>
            <w:noWrap/>
          </w:tcPr>
          <w:p w14:paraId="14C94D2D"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09A26821"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368176FB"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698B7C39"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62FBE26B"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4</w:t>
            </w:r>
          </w:p>
        </w:tc>
        <w:tc>
          <w:tcPr>
            <w:tcW w:w="1320" w:type="dxa"/>
            <w:noWrap/>
          </w:tcPr>
          <w:p w14:paraId="742A20AC"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0F3465B7"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682EE170"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734D8205"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27297E2F"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5</w:t>
            </w:r>
          </w:p>
        </w:tc>
        <w:tc>
          <w:tcPr>
            <w:tcW w:w="1320" w:type="dxa"/>
            <w:noWrap/>
          </w:tcPr>
          <w:p w14:paraId="7DDAA4FE"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47F88EE5"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258ED351"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E1C41CF"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7F81F179"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6</w:t>
            </w:r>
          </w:p>
        </w:tc>
        <w:tc>
          <w:tcPr>
            <w:tcW w:w="1320" w:type="dxa"/>
            <w:noWrap/>
          </w:tcPr>
          <w:p w14:paraId="3719B24F"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6FDA4435"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23779859"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678AE5A4"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5D1573DF"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7</w:t>
            </w:r>
          </w:p>
        </w:tc>
        <w:tc>
          <w:tcPr>
            <w:tcW w:w="1320" w:type="dxa"/>
            <w:noWrap/>
          </w:tcPr>
          <w:p w14:paraId="1B0B0B67"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11C13CA5"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3D4051B2"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499C5BD"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5698A576"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8</w:t>
            </w:r>
          </w:p>
        </w:tc>
        <w:tc>
          <w:tcPr>
            <w:tcW w:w="1320" w:type="dxa"/>
            <w:noWrap/>
          </w:tcPr>
          <w:p w14:paraId="39107463"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474DCF9C"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0F225EC1"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1414BB0"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0A43C346"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9</w:t>
            </w:r>
          </w:p>
        </w:tc>
        <w:tc>
          <w:tcPr>
            <w:tcW w:w="1320" w:type="dxa"/>
            <w:noWrap/>
          </w:tcPr>
          <w:p w14:paraId="64A6FF36"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7599AFF4"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24000EB7" w14:textId="77777777" w:rsidR="00E04B6D" w:rsidRPr="00441D50" w:rsidRDefault="00E04B6D"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3FB89FC4" w14:textId="77777777" w:rsidTr="00C47D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noWrap/>
          </w:tcPr>
          <w:p w14:paraId="3101642C" w14:textId="77777777" w:rsidR="00E04B6D" w:rsidRPr="00441D50" w:rsidRDefault="00E04B6D" w:rsidP="00963411">
            <w:pPr>
              <w:spacing w:after="0" w:line="480" w:lineRule="auto"/>
              <w:rPr>
                <w:rFonts w:ascii="Calibri" w:eastAsia="Times New Roman" w:hAnsi="Calibri" w:cs="Calibri"/>
                <w:b w:val="0"/>
                <w:lang w:eastAsia="en-GB"/>
              </w:rPr>
            </w:pPr>
            <w:r w:rsidRPr="00441D50">
              <w:rPr>
                <w:rFonts w:ascii="Calibri" w:eastAsia="Times New Roman" w:hAnsi="Calibri" w:cs="Calibri"/>
                <w:b w:val="0"/>
                <w:lang w:eastAsia="en-GB"/>
              </w:rPr>
              <w:t>Control 10</w:t>
            </w:r>
          </w:p>
        </w:tc>
        <w:tc>
          <w:tcPr>
            <w:tcW w:w="1320" w:type="dxa"/>
            <w:noWrap/>
          </w:tcPr>
          <w:p w14:paraId="1D6CBF88"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x</w:t>
            </w:r>
          </w:p>
        </w:tc>
        <w:tc>
          <w:tcPr>
            <w:tcW w:w="2012" w:type="dxa"/>
            <w:noWrap/>
          </w:tcPr>
          <w:p w14:paraId="6FFC8C2F"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c>
          <w:tcPr>
            <w:tcW w:w="2127" w:type="dxa"/>
            <w:noWrap/>
          </w:tcPr>
          <w:p w14:paraId="469AE7BA" w14:textId="77777777" w:rsidR="00E04B6D" w:rsidRPr="00441D50" w:rsidRDefault="00E04B6D" w:rsidP="0096341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441D50">
              <w:rPr>
                <w:rFonts w:ascii="Calibri" w:eastAsia="Times New Roman" w:hAnsi="Calibri" w:cs="Calibri"/>
                <w:lang w:eastAsia="en-GB"/>
              </w:rPr>
              <w:t>-</w:t>
            </w:r>
          </w:p>
        </w:tc>
      </w:tr>
      <w:tr w:rsidR="00441D50" w:rsidRPr="00441D50" w14:paraId="53A31216" w14:textId="77777777" w:rsidTr="00C47D01">
        <w:trPr>
          <w:trHeight w:val="2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8D5E9D6" w14:textId="77777777" w:rsidR="002A541C" w:rsidRPr="00441D50" w:rsidRDefault="00E10F79" w:rsidP="00963411">
            <w:pPr>
              <w:spacing w:after="0" w:line="480" w:lineRule="auto"/>
              <w:rPr>
                <w:rFonts w:eastAsia="Times New Roman" w:cstheme="minorHAnsi"/>
                <w:sz w:val="20"/>
                <w:szCs w:val="20"/>
                <w:lang w:eastAsia="en-GB"/>
              </w:rPr>
            </w:pPr>
            <w:r w:rsidRPr="00441D50">
              <w:rPr>
                <w:rFonts w:eastAsia="Times New Roman" w:cstheme="minorHAnsi"/>
                <w:sz w:val="20"/>
                <w:szCs w:val="20"/>
                <w:lang w:eastAsia="en-GB"/>
              </w:rPr>
              <w:t>Total</w:t>
            </w:r>
            <w:r w:rsidR="00215FB9" w:rsidRPr="00441D50">
              <w:rPr>
                <w:rFonts w:eastAsia="Times New Roman" w:cstheme="minorHAnsi"/>
                <w:sz w:val="20"/>
                <w:szCs w:val="20"/>
                <w:lang w:eastAsia="en-GB"/>
              </w:rPr>
              <w:t xml:space="preserve"> positive samples (%)</w:t>
            </w:r>
          </w:p>
        </w:tc>
        <w:tc>
          <w:tcPr>
            <w:tcW w:w="1320" w:type="dxa"/>
            <w:noWrap/>
            <w:hideMark/>
          </w:tcPr>
          <w:p w14:paraId="31788318" w14:textId="74BB9254"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GB"/>
              </w:rPr>
            </w:pPr>
            <w:r w:rsidRPr="00441D50">
              <w:rPr>
                <w:rFonts w:eastAsia="Times New Roman" w:cstheme="minorHAnsi"/>
                <w:b/>
                <w:bCs/>
                <w:lang w:eastAsia="en-GB"/>
              </w:rPr>
              <w:t>3</w:t>
            </w:r>
            <w:r w:rsidR="000D19E8" w:rsidRPr="00441D50">
              <w:rPr>
                <w:rFonts w:eastAsia="Times New Roman" w:cstheme="minorHAnsi"/>
                <w:b/>
                <w:bCs/>
                <w:lang w:eastAsia="en-GB"/>
              </w:rPr>
              <w:t xml:space="preserve"> (7.7</w:t>
            </w:r>
            <w:r w:rsidR="00215FB9" w:rsidRPr="00441D50">
              <w:rPr>
                <w:rFonts w:eastAsia="Times New Roman" w:cstheme="minorHAnsi"/>
                <w:b/>
                <w:bCs/>
                <w:lang w:eastAsia="en-GB"/>
              </w:rPr>
              <w:t>)</w:t>
            </w:r>
          </w:p>
        </w:tc>
        <w:tc>
          <w:tcPr>
            <w:tcW w:w="2012" w:type="dxa"/>
            <w:noWrap/>
            <w:hideMark/>
          </w:tcPr>
          <w:p w14:paraId="774A0D14" w14:textId="5E781297" w:rsidR="002A541C" w:rsidRPr="00441D50" w:rsidRDefault="002A541C"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GB"/>
              </w:rPr>
            </w:pPr>
            <w:r w:rsidRPr="00441D50">
              <w:rPr>
                <w:rFonts w:eastAsia="Times New Roman" w:cstheme="minorHAnsi"/>
                <w:b/>
                <w:bCs/>
                <w:lang w:eastAsia="en-GB"/>
              </w:rPr>
              <w:t>4</w:t>
            </w:r>
            <w:r w:rsidR="00005BEA" w:rsidRPr="00441D50">
              <w:rPr>
                <w:rFonts w:eastAsia="Times New Roman" w:cstheme="minorHAnsi"/>
                <w:b/>
                <w:bCs/>
                <w:lang w:eastAsia="en-GB"/>
              </w:rPr>
              <w:t xml:space="preserve"> (11.8</w:t>
            </w:r>
            <w:r w:rsidR="00215FB9" w:rsidRPr="00441D50">
              <w:rPr>
                <w:rFonts w:eastAsia="Times New Roman" w:cstheme="minorHAnsi"/>
                <w:b/>
                <w:bCs/>
                <w:lang w:eastAsia="en-GB"/>
              </w:rPr>
              <w:t>)</w:t>
            </w:r>
          </w:p>
        </w:tc>
        <w:tc>
          <w:tcPr>
            <w:tcW w:w="2127" w:type="dxa"/>
            <w:noWrap/>
            <w:hideMark/>
          </w:tcPr>
          <w:p w14:paraId="6EE49E8A" w14:textId="1396AA5D" w:rsidR="002A541C" w:rsidRPr="00441D50" w:rsidRDefault="00005BEA" w:rsidP="0096341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en-GB"/>
              </w:rPr>
            </w:pPr>
            <w:r w:rsidRPr="00441D50">
              <w:rPr>
                <w:rFonts w:eastAsia="Times New Roman" w:cstheme="minorHAnsi"/>
                <w:b/>
                <w:bCs/>
                <w:lang w:eastAsia="en-GB"/>
              </w:rPr>
              <w:t>2 (8.7</w:t>
            </w:r>
            <w:r w:rsidR="00215FB9" w:rsidRPr="00441D50">
              <w:rPr>
                <w:rFonts w:eastAsia="Times New Roman" w:cstheme="minorHAnsi"/>
                <w:b/>
                <w:bCs/>
                <w:lang w:eastAsia="en-GB"/>
              </w:rPr>
              <w:t>)</w:t>
            </w:r>
          </w:p>
        </w:tc>
      </w:tr>
    </w:tbl>
    <w:p w14:paraId="31F9BCDF" w14:textId="3FC8A7F2" w:rsidR="00CC7A9C" w:rsidRPr="00441D50" w:rsidRDefault="00CC7A9C" w:rsidP="00963411">
      <w:pPr>
        <w:spacing w:line="480" w:lineRule="auto"/>
        <w:rPr>
          <w:i/>
        </w:rPr>
      </w:pPr>
      <w:r w:rsidRPr="00441D50">
        <w:rPr>
          <w:i/>
        </w:rPr>
        <w:t xml:space="preserve">Table </w:t>
      </w:r>
      <w:r w:rsidR="00BD702C" w:rsidRPr="00441D50">
        <w:rPr>
          <w:i/>
        </w:rPr>
        <w:t>2</w:t>
      </w:r>
      <w:r w:rsidRPr="00441D50">
        <w:rPr>
          <w:i/>
        </w:rPr>
        <w:t xml:space="preserve">: </w:t>
      </w:r>
      <w:r w:rsidR="00C711C1" w:rsidRPr="00441D50">
        <w:rPr>
          <w:i/>
        </w:rPr>
        <w:t>Summary of the samples</w:t>
      </w:r>
      <w:r w:rsidRPr="00441D50">
        <w:rPr>
          <w:i/>
        </w:rPr>
        <w:t xml:space="preserve"> collected and frequency of positive microbiological culture</w:t>
      </w:r>
      <w:r w:rsidR="00C711C1" w:rsidRPr="00441D50">
        <w:rPr>
          <w:i/>
        </w:rPr>
        <w:t xml:space="preserve"> from </w:t>
      </w:r>
      <w:r w:rsidR="00E10F79" w:rsidRPr="00441D50">
        <w:rPr>
          <w:i/>
        </w:rPr>
        <w:t xml:space="preserve">39 </w:t>
      </w:r>
      <w:r w:rsidR="00C711C1" w:rsidRPr="00441D50">
        <w:rPr>
          <w:i/>
        </w:rPr>
        <w:t>horses with acute colic and 10 non-colic control horses</w:t>
      </w:r>
      <w:r w:rsidRPr="00441D50">
        <w:rPr>
          <w:i/>
        </w:rPr>
        <w:t xml:space="preserve">. </w:t>
      </w:r>
      <w:r w:rsidR="00721D76" w:rsidRPr="00441D50">
        <w:rPr>
          <w:i/>
        </w:rPr>
        <w:t xml:space="preserve">X indicates no bacterial growth, </w:t>
      </w:r>
      <w:r w:rsidR="00721D76" w:rsidRPr="00441D50">
        <w:rPr>
          <w:i/>
        </w:rPr>
        <w:sym w:font="Wingdings" w:char="F0FC"/>
      </w:r>
      <w:r w:rsidR="00721D76" w:rsidRPr="00441D50">
        <w:rPr>
          <w:i/>
        </w:rPr>
        <w:t xml:space="preserve"> indicates bacterial growth, - indicates that no sample was taken. </w:t>
      </w:r>
    </w:p>
    <w:tbl>
      <w:tblPr>
        <w:tblStyle w:val="GridTable4"/>
        <w:tblpPr w:leftFromText="180" w:rightFromText="180" w:vertAnchor="text" w:horzAnchor="margin" w:tblpXSpec="center" w:tblpY="14"/>
        <w:tblW w:w="10485" w:type="dxa"/>
        <w:tblLook w:val="0420" w:firstRow="1" w:lastRow="0" w:firstColumn="0" w:lastColumn="0" w:noHBand="0" w:noVBand="1"/>
      </w:tblPr>
      <w:tblGrid>
        <w:gridCol w:w="635"/>
        <w:gridCol w:w="1069"/>
        <w:gridCol w:w="1977"/>
        <w:gridCol w:w="1580"/>
        <w:gridCol w:w="1800"/>
        <w:gridCol w:w="1456"/>
        <w:gridCol w:w="1968"/>
      </w:tblGrid>
      <w:tr w:rsidR="00441D50" w:rsidRPr="00441D50" w14:paraId="039F4235" w14:textId="77777777" w:rsidTr="00C47D01">
        <w:trPr>
          <w:cnfStyle w:val="100000000000" w:firstRow="1" w:lastRow="0" w:firstColumn="0" w:lastColumn="0" w:oddVBand="0" w:evenVBand="0" w:oddHBand="0" w:evenHBand="0" w:firstRowFirstColumn="0" w:firstRowLastColumn="0" w:lastRowFirstColumn="0" w:lastRowLastColumn="0"/>
          <w:trHeight w:val="516"/>
        </w:trPr>
        <w:tc>
          <w:tcPr>
            <w:tcW w:w="635" w:type="dxa"/>
            <w:hideMark/>
          </w:tcPr>
          <w:p w14:paraId="54CF798C" w14:textId="77777777" w:rsidR="008628DB" w:rsidRPr="00441D50" w:rsidRDefault="008628DB" w:rsidP="00963411">
            <w:pPr>
              <w:spacing w:line="480" w:lineRule="auto"/>
              <w:rPr>
                <w:color w:val="auto"/>
              </w:rPr>
            </w:pPr>
            <w:r w:rsidRPr="00441D50">
              <w:rPr>
                <w:b w:val="0"/>
                <w:bCs w:val="0"/>
                <w:color w:val="auto"/>
              </w:rPr>
              <w:t>Case</w:t>
            </w:r>
          </w:p>
        </w:tc>
        <w:tc>
          <w:tcPr>
            <w:tcW w:w="1069" w:type="dxa"/>
            <w:hideMark/>
          </w:tcPr>
          <w:p w14:paraId="3676D517" w14:textId="77777777" w:rsidR="008628DB" w:rsidRPr="00441D50" w:rsidRDefault="008628DB" w:rsidP="00963411">
            <w:pPr>
              <w:spacing w:line="480" w:lineRule="auto"/>
              <w:rPr>
                <w:color w:val="auto"/>
              </w:rPr>
            </w:pPr>
            <w:r w:rsidRPr="00441D50">
              <w:rPr>
                <w:b w:val="0"/>
                <w:bCs w:val="0"/>
                <w:color w:val="auto"/>
              </w:rPr>
              <w:t>Sample type</w:t>
            </w:r>
          </w:p>
        </w:tc>
        <w:tc>
          <w:tcPr>
            <w:tcW w:w="1977" w:type="dxa"/>
            <w:hideMark/>
          </w:tcPr>
          <w:p w14:paraId="07D9960C" w14:textId="77777777" w:rsidR="008628DB" w:rsidRPr="00441D50" w:rsidRDefault="008628DB" w:rsidP="00963411">
            <w:pPr>
              <w:spacing w:line="480" w:lineRule="auto"/>
              <w:rPr>
                <w:color w:val="auto"/>
              </w:rPr>
            </w:pPr>
            <w:r w:rsidRPr="00441D50">
              <w:rPr>
                <w:b w:val="0"/>
                <w:bCs w:val="0"/>
                <w:color w:val="auto"/>
              </w:rPr>
              <w:t>Bacterial species</w:t>
            </w:r>
          </w:p>
        </w:tc>
        <w:tc>
          <w:tcPr>
            <w:tcW w:w="1580" w:type="dxa"/>
          </w:tcPr>
          <w:p w14:paraId="415DF0CC" w14:textId="77777777" w:rsidR="008628DB" w:rsidRPr="00441D50" w:rsidRDefault="008628DB" w:rsidP="00963411">
            <w:pPr>
              <w:spacing w:line="480" w:lineRule="auto"/>
              <w:rPr>
                <w:color w:val="auto"/>
              </w:rPr>
            </w:pPr>
            <w:r w:rsidRPr="00441D50">
              <w:rPr>
                <w:b w:val="0"/>
                <w:color w:val="auto"/>
              </w:rPr>
              <w:t>Penicillin sensitivity</w:t>
            </w:r>
          </w:p>
        </w:tc>
        <w:tc>
          <w:tcPr>
            <w:tcW w:w="1800" w:type="dxa"/>
          </w:tcPr>
          <w:p w14:paraId="4BEBA2EB" w14:textId="77777777" w:rsidR="008628DB" w:rsidRPr="00441D50" w:rsidRDefault="008628DB" w:rsidP="00963411">
            <w:pPr>
              <w:spacing w:line="480" w:lineRule="auto"/>
              <w:rPr>
                <w:color w:val="auto"/>
              </w:rPr>
            </w:pPr>
            <w:r w:rsidRPr="00441D50">
              <w:rPr>
                <w:b w:val="0"/>
                <w:color w:val="auto"/>
              </w:rPr>
              <w:t xml:space="preserve">Gentamicin sensitivity </w:t>
            </w:r>
          </w:p>
        </w:tc>
        <w:tc>
          <w:tcPr>
            <w:tcW w:w="1456" w:type="dxa"/>
            <w:hideMark/>
          </w:tcPr>
          <w:p w14:paraId="29D5DEEC" w14:textId="77777777" w:rsidR="008628DB" w:rsidRPr="00441D50" w:rsidRDefault="008628DB" w:rsidP="00963411">
            <w:pPr>
              <w:spacing w:line="480" w:lineRule="auto"/>
              <w:rPr>
                <w:color w:val="auto"/>
              </w:rPr>
            </w:pPr>
            <w:r w:rsidRPr="00441D50">
              <w:rPr>
                <w:b w:val="0"/>
                <w:bCs w:val="0"/>
                <w:color w:val="auto"/>
              </w:rPr>
              <w:t>Diagnosis</w:t>
            </w:r>
          </w:p>
        </w:tc>
        <w:tc>
          <w:tcPr>
            <w:tcW w:w="1968" w:type="dxa"/>
            <w:hideMark/>
          </w:tcPr>
          <w:p w14:paraId="0CD5DD80" w14:textId="77777777" w:rsidR="008628DB" w:rsidRPr="00441D50" w:rsidRDefault="008628DB" w:rsidP="00963411">
            <w:pPr>
              <w:spacing w:line="480" w:lineRule="auto"/>
              <w:rPr>
                <w:color w:val="auto"/>
              </w:rPr>
            </w:pPr>
            <w:r w:rsidRPr="00441D50">
              <w:rPr>
                <w:b w:val="0"/>
                <w:bCs w:val="0"/>
                <w:color w:val="auto"/>
              </w:rPr>
              <w:t>Did SSI develop at the laparotomy incision?</w:t>
            </w:r>
          </w:p>
        </w:tc>
      </w:tr>
      <w:tr w:rsidR="00441D50" w:rsidRPr="00441D50" w14:paraId="38D2E0ED" w14:textId="77777777" w:rsidTr="00C47D01">
        <w:trPr>
          <w:cnfStyle w:val="000000100000" w:firstRow="0" w:lastRow="0" w:firstColumn="0" w:lastColumn="0" w:oddVBand="0" w:evenVBand="0" w:oddHBand="1" w:evenHBand="0" w:firstRowFirstColumn="0" w:firstRowLastColumn="0" w:lastRowFirstColumn="0" w:lastRowLastColumn="0"/>
          <w:trHeight w:val="354"/>
        </w:trPr>
        <w:tc>
          <w:tcPr>
            <w:tcW w:w="635" w:type="dxa"/>
            <w:hideMark/>
          </w:tcPr>
          <w:p w14:paraId="0FBBA268" w14:textId="77777777" w:rsidR="008628DB" w:rsidRPr="00441D50" w:rsidRDefault="008628DB" w:rsidP="00963411">
            <w:pPr>
              <w:spacing w:line="480" w:lineRule="auto"/>
            </w:pPr>
            <w:r w:rsidRPr="00441D50">
              <w:t>4</w:t>
            </w:r>
          </w:p>
        </w:tc>
        <w:tc>
          <w:tcPr>
            <w:tcW w:w="1069" w:type="dxa"/>
            <w:hideMark/>
          </w:tcPr>
          <w:p w14:paraId="2C521745" w14:textId="77777777" w:rsidR="008628DB" w:rsidRPr="00441D50" w:rsidRDefault="008628DB" w:rsidP="00963411">
            <w:pPr>
              <w:spacing w:line="480" w:lineRule="auto"/>
            </w:pPr>
            <w:proofErr w:type="spellStart"/>
            <w:r w:rsidRPr="00441D50">
              <w:t>PF</w:t>
            </w:r>
            <w:r w:rsidRPr="00441D50">
              <w:rPr>
                <w:vertAlign w:val="subscript"/>
              </w:rPr>
              <w:t>admission</w:t>
            </w:r>
            <w:proofErr w:type="spellEnd"/>
          </w:p>
        </w:tc>
        <w:tc>
          <w:tcPr>
            <w:tcW w:w="1977" w:type="dxa"/>
            <w:hideMark/>
          </w:tcPr>
          <w:p w14:paraId="64538157" w14:textId="77777777" w:rsidR="008628DB" w:rsidRPr="00441D50" w:rsidRDefault="008628DB" w:rsidP="00963411">
            <w:pPr>
              <w:spacing w:line="480" w:lineRule="auto"/>
            </w:pPr>
            <w:proofErr w:type="spellStart"/>
            <w:r w:rsidRPr="00441D50">
              <w:rPr>
                <w:i/>
              </w:rPr>
              <w:t>Burkholderia</w:t>
            </w:r>
            <w:proofErr w:type="spellEnd"/>
            <w:r w:rsidRPr="00441D50">
              <w:rPr>
                <w:i/>
              </w:rPr>
              <w:t xml:space="preserve"> </w:t>
            </w:r>
            <w:proofErr w:type="spellStart"/>
            <w:r w:rsidRPr="00441D50">
              <w:rPr>
                <w:i/>
              </w:rPr>
              <w:t>cepacia</w:t>
            </w:r>
            <w:proofErr w:type="spellEnd"/>
            <w:r w:rsidRPr="00441D50">
              <w:t xml:space="preserve"> (light </w:t>
            </w:r>
            <w:proofErr w:type="gramStart"/>
            <w:r w:rsidRPr="00441D50">
              <w:t>growth )</w:t>
            </w:r>
            <w:proofErr w:type="gramEnd"/>
          </w:p>
        </w:tc>
        <w:tc>
          <w:tcPr>
            <w:tcW w:w="1580" w:type="dxa"/>
          </w:tcPr>
          <w:p w14:paraId="7295C72F" w14:textId="77777777" w:rsidR="008628DB" w:rsidRPr="00441D50" w:rsidRDefault="008628DB" w:rsidP="00963411">
            <w:pPr>
              <w:spacing w:line="480" w:lineRule="auto"/>
            </w:pPr>
            <w:r w:rsidRPr="00441D50">
              <w:t>Resistant</w:t>
            </w:r>
          </w:p>
        </w:tc>
        <w:tc>
          <w:tcPr>
            <w:tcW w:w="1800" w:type="dxa"/>
          </w:tcPr>
          <w:p w14:paraId="77075B72" w14:textId="77777777" w:rsidR="008628DB" w:rsidRPr="00441D50" w:rsidRDefault="008628DB" w:rsidP="00963411">
            <w:pPr>
              <w:spacing w:line="480" w:lineRule="auto"/>
            </w:pPr>
            <w:r w:rsidRPr="00441D50">
              <w:t>Resistant</w:t>
            </w:r>
          </w:p>
        </w:tc>
        <w:tc>
          <w:tcPr>
            <w:tcW w:w="1456" w:type="dxa"/>
            <w:hideMark/>
          </w:tcPr>
          <w:p w14:paraId="704C0A8A" w14:textId="77777777" w:rsidR="008628DB" w:rsidRPr="00441D50" w:rsidRDefault="008628DB" w:rsidP="00963411">
            <w:pPr>
              <w:spacing w:line="480" w:lineRule="auto"/>
            </w:pPr>
            <w:r w:rsidRPr="00441D50">
              <w:t>Epiploic foramen entrapment</w:t>
            </w:r>
          </w:p>
        </w:tc>
        <w:tc>
          <w:tcPr>
            <w:tcW w:w="1968" w:type="dxa"/>
            <w:hideMark/>
          </w:tcPr>
          <w:p w14:paraId="303D4027" w14:textId="77777777" w:rsidR="008628DB" w:rsidRPr="00441D50" w:rsidRDefault="008628DB" w:rsidP="00963411">
            <w:pPr>
              <w:spacing w:line="480" w:lineRule="auto"/>
            </w:pPr>
            <w:r w:rsidRPr="00441D50">
              <w:t>No</w:t>
            </w:r>
          </w:p>
        </w:tc>
      </w:tr>
      <w:tr w:rsidR="00441D50" w:rsidRPr="00441D50" w14:paraId="2996DCFF" w14:textId="77777777" w:rsidTr="00C47D01">
        <w:trPr>
          <w:trHeight w:val="516"/>
        </w:trPr>
        <w:tc>
          <w:tcPr>
            <w:tcW w:w="635" w:type="dxa"/>
            <w:hideMark/>
          </w:tcPr>
          <w:p w14:paraId="0D0BA5E3" w14:textId="77777777" w:rsidR="008628DB" w:rsidRPr="00441D50" w:rsidRDefault="008628DB" w:rsidP="00963411">
            <w:pPr>
              <w:spacing w:line="480" w:lineRule="auto"/>
            </w:pPr>
            <w:r w:rsidRPr="00441D50">
              <w:lastRenderedPageBreak/>
              <w:t>6</w:t>
            </w:r>
          </w:p>
        </w:tc>
        <w:tc>
          <w:tcPr>
            <w:tcW w:w="1069" w:type="dxa"/>
            <w:hideMark/>
          </w:tcPr>
          <w:p w14:paraId="12E7BB60" w14:textId="77777777" w:rsidR="008628DB" w:rsidRPr="00441D50" w:rsidRDefault="008628DB" w:rsidP="00963411">
            <w:pPr>
              <w:spacing w:line="480" w:lineRule="auto"/>
            </w:pPr>
            <w:r w:rsidRPr="00441D50">
              <w:t>Blood</w:t>
            </w:r>
          </w:p>
          <w:p w14:paraId="5F0C1768" w14:textId="77777777" w:rsidR="008628DB" w:rsidRPr="00441D50" w:rsidRDefault="008628DB" w:rsidP="00963411">
            <w:pPr>
              <w:spacing w:line="480" w:lineRule="auto"/>
            </w:pPr>
            <w:proofErr w:type="spellStart"/>
            <w:r w:rsidRPr="00441D50">
              <w:t>PF</w:t>
            </w:r>
            <w:r w:rsidRPr="00441D50">
              <w:rPr>
                <w:vertAlign w:val="subscript"/>
              </w:rPr>
              <w:t>surgery</w:t>
            </w:r>
            <w:proofErr w:type="spellEnd"/>
          </w:p>
        </w:tc>
        <w:tc>
          <w:tcPr>
            <w:tcW w:w="1977" w:type="dxa"/>
            <w:hideMark/>
          </w:tcPr>
          <w:p w14:paraId="6DEAE032" w14:textId="77777777" w:rsidR="008628DB" w:rsidRPr="00441D50" w:rsidRDefault="008628DB" w:rsidP="00963411">
            <w:pPr>
              <w:spacing w:line="480" w:lineRule="auto"/>
            </w:pPr>
            <w:r w:rsidRPr="00441D50">
              <w:rPr>
                <w:i/>
              </w:rPr>
              <w:t>Bacillus</w:t>
            </w:r>
            <w:r w:rsidRPr="00441D50">
              <w:t xml:space="preserve"> </w:t>
            </w:r>
            <w:proofErr w:type="spellStart"/>
            <w:r w:rsidRPr="00441D50">
              <w:t>spp</w:t>
            </w:r>
            <w:proofErr w:type="spellEnd"/>
            <w:r w:rsidRPr="00441D50">
              <w:t xml:space="preserve"> </w:t>
            </w:r>
          </w:p>
          <w:p w14:paraId="66A7E230" w14:textId="77777777" w:rsidR="008628DB" w:rsidRPr="00441D50" w:rsidRDefault="008628DB" w:rsidP="00963411">
            <w:pPr>
              <w:spacing w:line="480" w:lineRule="auto"/>
            </w:pPr>
            <w:r w:rsidRPr="00441D50">
              <w:rPr>
                <w:i/>
              </w:rPr>
              <w:t>Clostridium</w:t>
            </w:r>
            <w:r w:rsidRPr="00441D50">
              <w:t xml:space="preserve"> </w:t>
            </w:r>
            <w:proofErr w:type="spellStart"/>
            <w:r w:rsidRPr="00441D50">
              <w:t>spp</w:t>
            </w:r>
            <w:proofErr w:type="spellEnd"/>
          </w:p>
        </w:tc>
        <w:tc>
          <w:tcPr>
            <w:tcW w:w="1580" w:type="dxa"/>
          </w:tcPr>
          <w:p w14:paraId="6A9618C5" w14:textId="77777777" w:rsidR="008628DB" w:rsidRPr="00441D50" w:rsidRDefault="0039679F" w:rsidP="00963411">
            <w:pPr>
              <w:spacing w:line="480" w:lineRule="auto"/>
            </w:pPr>
            <w:proofErr w:type="spellStart"/>
            <w:r w:rsidRPr="00441D50">
              <w:t>Suceptible</w:t>
            </w:r>
            <w:proofErr w:type="spellEnd"/>
          </w:p>
          <w:p w14:paraId="519D2760" w14:textId="741CE97D" w:rsidR="002974F0" w:rsidRPr="00441D50" w:rsidRDefault="00FC7D95" w:rsidP="00963411">
            <w:pPr>
              <w:spacing w:line="480" w:lineRule="auto"/>
            </w:pPr>
            <w:r w:rsidRPr="00441D50">
              <w:t>Susceptible</w:t>
            </w:r>
          </w:p>
        </w:tc>
        <w:tc>
          <w:tcPr>
            <w:tcW w:w="1800" w:type="dxa"/>
          </w:tcPr>
          <w:p w14:paraId="00B5CBCB" w14:textId="77777777" w:rsidR="008628DB" w:rsidRPr="00441D50" w:rsidRDefault="0039679F" w:rsidP="00963411">
            <w:pPr>
              <w:spacing w:line="480" w:lineRule="auto"/>
            </w:pPr>
            <w:proofErr w:type="spellStart"/>
            <w:r w:rsidRPr="00441D50">
              <w:t>Suceptible</w:t>
            </w:r>
            <w:proofErr w:type="spellEnd"/>
          </w:p>
          <w:p w14:paraId="14FC62D9" w14:textId="7E212479" w:rsidR="00FC7D95" w:rsidRPr="00441D50" w:rsidRDefault="00FC7D95" w:rsidP="00963411">
            <w:pPr>
              <w:spacing w:line="480" w:lineRule="auto"/>
            </w:pPr>
            <w:r w:rsidRPr="00441D50">
              <w:t>n/a</w:t>
            </w:r>
          </w:p>
        </w:tc>
        <w:tc>
          <w:tcPr>
            <w:tcW w:w="1456" w:type="dxa"/>
            <w:hideMark/>
          </w:tcPr>
          <w:p w14:paraId="3168D18F" w14:textId="77777777" w:rsidR="008628DB" w:rsidRPr="00441D50" w:rsidRDefault="008628DB" w:rsidP="00963411">
            <w:pPr>
              <w:spacing w:line="480" w:lineRule="auto"/>
            </w:pPr>
            <w:r w:rsidRPr="00441D50">
              <w:t>Large colon displacement</w:t>
            </w:r>
          </w:p>
        </w:tc>
        <w:tc>
          <w:tcPr>
            <w:tcW w:w="1968" w:type="dxa"/>
            <w:hideMark/>
          </w:tcPr>
          <w:p w14:paraId="1D3C33AB" w14:textId="77777777" w:rsidR="008628DB" w:rsidRPr="00441D50" w:rsidRDefault="008628DB" w:rsidP="00963411">
            <w:pPr>
              <w:spacing w:line="480" w:lineRule="auto"/>
            </w:pPr>
            <w:proofErr w:type="gramStart"/>
            <w:r w:rsidRPr="00441D50">
              <w:t xml:space="preserve">No </w:t>
            </w:r>
            <w:r w:rsidR="00721D76" w:rsidRPr="00441D50">
              <w:t xml:space="preserve"> (</w:t>
            </w:r>
            <w:proofErr w:type="gramEnd"/>
            <w:r w:rsidR="00721D76" w:rsidRPr="00441D50">
              <w:t>euthanised 5 days post-surgery due to persistent reflux)</w:t>
            </w:r>
          </w:p>
        </w:tc>
      </w:tr>
      <w:tr w:rsidR="00441D50" w:rsidRPr="00441D50" w14:paraId="7029102D" w14:textId="77777777" w:rsidTr="00C47D01">
        <w:trPr>
          <w:cnfStyle w:val="000000100000" w:firstRow="0" w:lastRow="0" w:firstColumn="0" w:lastColumn="0" w:oddVBand="0" w:evenVBand="0" w:oddHBand="1" w:evenHBand="0" w:firstRowFirstColumn="0" w:firstRowLastColumn="0" w:lastRowFirstColumn="0" w:lastRowLastColumn="0"/>
          <w:trHeight w:val="298"/>
        </w:trPr>
        <w:tc>
          <w:tcPr>
            <w:tcW w:w="635" w:type="dxa"/>
            <w:hideMark/>
          </w:tcPr>
          <w:p w14:paraId="1BA8ED1E" w14:textId="77777777" w:rsidR="008628DB" w:rsidRPr="00441D50" w:rsidRDefault="008628DB" w:rsidP="00963411">
            <w:pPr>
              <w:spacing w:line="480" w:lineRule="auto"/>
            </w:pPr>
            <w:r w:rsidRPr="00441D50">
              <w:t>12</w:t>
            </w:r>
          </w:p>
        </w:tc>
        <w:tc>
          <w:tcPr>
            <w:tcW w:w="1069" w:type="dxa"/>
            <w:hideMark/>
          </w:tcPr>
          <w:p w14:paraId="3A9D6081" w14:textId="77777777" w:rsidR="008628DB" w:rsidRPr="00441D50" w:rsidRDefault="008628DB" w:rsidP="00963411">
            <w:pPr>
              <w:spacing w:line="480" w:lineRule="auto"/>
            </w:pPr>
            <w:proofErr w:type="spellStart"/>
            <w:r w:rsidRPr="00441D50">
              <w:t>PF</w:t>
            </w:r>
            <w:r w:rsidRPr="00441D50">
              <w:rPr>
                <w:vertAlign w:val="subscript"/>
              </w:rPr>
              <w:t>surgery</w:t>
            </w:r>
            <w:proofErr w:type="spellEnd"/>
          </w:p>
        </w:tc>
        <w:tc>
          <w:tcPr>
            <w:tcW w:w="1977" w:type="dxa"/>
            <w:hideMark/>
          </w:tcPr>
          <w:p w14:paraId="428C0F14" w14:textId="77777777" w:rsidR="008628DB" w:rsidRPr="00441D50" w:rsidRDefault="00544C5F" w:rsidP="00963411">
            <w:pPr>
              <w:spacing w:line="480" w:lineRule="auto"/>
              <w:rPr>
                <w:i/>
              </w:rPr>
            </w:pPr>
            <w:r w:rsidRPr="00441D50">
              <w:rPr>
                <w:i/>
              </w:rPr>
              <w:t>Escherichia</w:t>
            </w:r>
            <w:r w:rsidRPr="00441D50" w:rsidDel="00544C5F">
              <w:rPr>
                <w:i/>
              </w:rPr>
              <w:t xml:space="preserve"> </w:t>
            </w:r>
            <w:r w:rsidR="008628DB" w:rsidRPr="00441D50">
              <w:rPr>
                <w:i/>
              </w:rPr>
              <w:t>coli</w:t>
            </w:r>
          </w:p>
        </w:tc>
        <w:tc>
          <w:tcPr>
            <w:tcW w:w="1580" w:type="dxa"/>
          </w:tcPr>
          <w:p w14:paraId="122B406B" w14:textId="3B085310" w:rsidR="008628DB" w:rsidRPr="00441D50" w:rsidRDefault="008E15BC" w:rsidP="00963411">
            <w:pPr>
              <w:spacing w:line="480" w:lineRule="auto"/>
            </w:pPr>
            <w:r w:rsidRPr="00441D50">
              <w:t>IR</w:t>
            </w:r>
          </w:p>
        </w:tc>
        <w:tc>
          <w:tcPr>
            <w:tcW w:w="1800" w:type="dxa"/>
          </w:tcPr>
          <w:p w14:paraId="20530DA8" w14:textId="77777777" w:rsidR="008628DB" w:rsidRPr="00441D50" w:rsidRDefault="0039679F" w:rsidP="00963411">
            <w:pPr>
              <w:spacing w:line="480" w:lineRule="auto"/>
            </w:pPr>
            <w:proofErr w:type="spellStart"/>
            <w:r w:rsidRPr="00441D50">
              <w:t>Suceptible</w:t>
            </w:r>
            <w:proofErr w:type="spellEnd"/>
          </w:p>
        </w:tc>
        <w:tc>
          <w:tcPr>
            <w:tcW w:w="1456" w:type="dxa"/>
            <w:hideMark/>
          </w:tcPr>
          <w:p w14:paraId="2D3FB622" w14:textId="77777777" w:rsidR="008628DB" w:rsidRPr="00441D50" w:rsidRDefault="008628DB" w:rsidP="00963411">
            <w:pPr>
              <w:spacing w:line="480" w:lineRule="auto"/>
            </w:pPr>
            <w:r w:rsidRPr="00441D50">
              <w:t>Anterior enteritis</w:t>
            </w:r>
          </w:p>
        </w:tc>
        <w:tc>
          <w:tcPr>
            <w:tcW w:w="1968" w:type="dxa"/>
            <w:hideMark/>
          </w:tcPr>
          <w:p w14:paraId="003AF080" w14:textId="77777777" w:rsidR="008628DB" w:rsidRPr="00441D50" w:rsidRDefault="008628DB" w:rsidP="00963411">
            <w:pPr>
              <w:spacing w:line="480" w:lineRule="auto"/>
            </w:pPr>
            <w:r w:rsidRPr="00441D50">
              <w:t>No</w:t>
            </w:r>
          </w:p>
        </w:tc>
      </w:tr>
      <w:tr w:rsidR="00441D50" w:rsidRPr="00441D50" w14:paraId="627B421B" w14:textId="77777777" w:rsidTr="00C47D01">
        <w:trPr>
          <w:trHeight w:val="298"/>
        </w:trPr>
        <w:tc>
          <w:tcPr>
            <w:tcW w:w="635" w:type="dxa"/>
            <w:hideMark/>
          </w:tcPr>
          <w:p w14:paraId="725E7898" w14:textId="77777777" w:rsidR="008628DB" w:rsidRPr="00441D50" w:rsidRDefault="008628DB" w:rsidP="00963411">
            <w:pPr>
              <w:spacing w:line="480" w:lineRule="auto"/>
            </w:pPr>
            <w:r w:rsidRPr="00441D50">
              <w:t>2</w:t>
            </w:r>
            <w:r w:rsidR="002A541C" w:rsidRPr="00441D50">
              <w:t>2</w:t>
            </w:r>
          </w:p>
        </w:tc>
        <w:tc>
          <w:tcPr>
            <w:tcW w:w="1069" w:type="dxa"/>
            <w:hideMark/>
          </w:tcPr>
          <w:p w14:paraId="2D455D2D" w14:textId="77777777" w:rsidR="008628DB" w:rsidRPr="00441D50" w:rsidRDefault="008628DB" w:rsidP="00963411">
            <w:pPr>
              <w:spacing w:line="480" w:lineRule="auto"/>
            </w:pPr>
            <w:proofErr w:type="spellStart"/>
            <w:r w:rsidRPr="00441D50">
              <w:t>PF</w:t>
            </w:r>
            <w:r w:rsidRPr="00441D50">
              <w:rPr>
                <w:vertAlign w:val="subscript"/>
              </w:rPr>
              <w:t>admission</w:t>
            </w:r>
            <w:proofErr w:type="spellEnd"/>
          </w:p>
        </w:tc>
        <w:tc>
          <w:tcPr>
            <w:tcW w:w="1977" w:type="dxa"/>
            <w:hideMark/>
          </w:tcPr>
          <w:p w14:paraId="591447DC" w14:textId="77777777" w:rsidR="008628DB" w:rsidRPr="00441D50" w:rsidRDefault="008628DB" w:rsidP="00963411">
            <w:pPr>
              <w:spacing w:line="480" w:lineRule="auto"/>
              <w:rPr>
                <w:i/>
              </w:rPr>
            </w:pPr>
            <w:r w:rsidRPr="00441D50">
              <w:rPr>
                <w:i/>
              </w:rPr>
              <w:t>Staphylococcus saprophyticus</w:t>
            </w:r>
          </w:p>
        </w:tc>
        <w:tc>
          <w:tcPr>
            <w:tcW w:w="1580" w:type="dxa"/>
          </w:tcPr>
          <w:p w14:paraId="7A15ABD1" w14:textId="77777777" w:rsidR="008628DB" w:rsidRPr="00441D50" w:rsidRDefault="0039679F" w:rsidP="00963411">
            <w:pPr>
              <w:spacing w:line="480" w:lineRule="auto"/>
            </w:pPr>
            <w:proofErr w:type="spellStart"/>
            <w:r w:rsidRPr="00441D50">
              <w:t>Suceptible</w:t>
            </w:r>
            <w:proofErr w:type="spellEnd"/>
          </w:p>
        </w:tc>
        <w:tc>
          <w:tcPr>
            <w:tcW w:w="1800" w:type="dxa"/>
          </w:tcPr>
          <w:p w14:paraId="2C6D7C85" w14:textId="77777777" w:rsidR="008628DB" w:rsidRPr="00441D50" w:rsidRDefault="0039679F" w:rsidP="00963411">
            <w:pPr>
              <w:spacing w:line="480" w:lineRule="auto"/>
            </w:pPr>
            <w:proofErr w:type="spellStart"/>
            <w:r w:rsidRPr="00441D50">
              <w:t>Suceptible</w:t>
            </w:r>
            <w:proofErr w:type="spellEnd"/>
          </w:p>
        </w:tc>
        <w:tc>
          <w:tcPr>
            <w:tcW w:w="1456" w:type="dxa"/>
            <w:hideMark/>
          </w:tcPr>
          <w:p w14:paraId="7F4EBD13" w14:textId="77777777" w:rsidR="008628DB" w:rsidRPr="00441D50" w:rsidRDefault="008628DB" w:rsidP="00963411">
            <w:pPr>
              <w:spacing w:line="480" w:lineRule="auto"/>
            </w:pPr>
            <w:r w:rsidRPr="00441D50">
              <w:t>Large colon displacement</w:t>
            </w:r>
          </w:p>
        </w:tc>
        <w:tc>
          <w:tcPr>
            <w:tcW w:w="1968" w:type="dxa"/>
            <w:hideMark/>
          </w:tcPr>
          <w:p w14:paraId="0AB87C0A" w14:textId="77777777" w:rsidR="008628DB" w:rsidRPr="00441D50" w:rsidRDefault="008628DB" w:rsidP="00963411">
            <w:pPr>
              <w:spacing w:line="480" w:lineRule="auto"/>
            </w:pPr>
            <w:r w:rsidRPr="00441D50">
              <w:t>No</w:t>
            </w:r>
          </w:p>
        </w:tc>
      </w:tr>
      <w:tr w:rsidR="00441D50" w:rsidRPr="00441D50" w14:paraId="6D3ED598" w14:textId="77777777" w:rsidTr="00C47D01">
        <w:trPr>
          <w:cnfStyle w:val="000000100000" w:firstRow="0" w:lastRow="0" w:firstColumn="0" w:lastColumn="0" w:oddVBand="0" w:evenVBand="0" w:oddHBand="1" w:evenHBand="0" w:firstRowFirstColumn="0" w:firstRowLastColumn="0" w:lastRowFirstColumn="0" w:lastRowLastColumn="0"/>
          <w:trHeight w:val="516"/>
        </w:trPr>
        <w:tc>
          <w:tcPr>
            <w:tcW w:w="635" w:type="dxa"/>
            <w:hideMark/>
          </w:tcPr>
          <w:p w14:paraId="2DA3E1AC" w14:textId="77777777" w:rsidR="008628DB" w:rsidRPr="00441D50" w:rsidRDefault="008628DB" w:rsidP="00963411">
            <w:pPr>
              <w:spacing w:line="480" w:lineRule="auto"/>
            </w:pPr>
            <w:r w:rsidRPr="00441D50">
              <w:t>2</w:t>
            </w:r>
            <w:r w:rsidR="002A541C" w:rsidRPr="00441D50">
              <w:t>5</w:t>
            </w:r>
          </w:p>
        </w:tc>
        <w:tc>
          <w:tcPr>
            <w:tcW w:w="1069" w:type="dxa"/>
            <w:hideMark/>
          </w:tcPr>
          <w:p w14:paraId="0315517D" w14:textId="77777777" w:rsidR="008628DB" w:rsidRPr="00441D50" w:rsidRDefault="008628DB" w:rsidP="00963411">
            <w:pPr>
              <w:spacing w:line="480" w:lineRule="auto"/>
            </w:pPr>
            <w:proofErr w:type="spellStart"/>
            <w:r w:rsidRPr="00441D50">
              <w:t>PF</w:t>
            </w:r>
            <w:r w:rsidRPr="00441D50">
              <w:rPr>
                <w:vertAlign w:val="subscript"/>
              </w:rPr>
              <w:t>admission</w:t>
            </w:r>
            <w:proofErr w:type="spellEnd"/>
          </w:p>
        </w:tc>
        <w:tc>
          <w:tcPr>
            <w:tcW w:w="1977" w:type="dxa"/>
            <w:hideMark/>
          </w:tcPr>
          <w:p w14:paraId="63E3DF41" w14:textId="77777777" w:rsidR="008628DB" w:rsidRPr="00441D50" w:rsidRDefault="008628DB" w:rsidP="00963411">
            <w:pPr>
              <w:spacing w:line="480" w:lineRule="auto"/>
              <w:rPr>
                <w:i/>
              </w:rPr>
            </w:pPr>
            <w:r w:rsidRPr="00441D50">
              <w:rPr>
                <w:i/>
              </w:rPr>
              <w:t>Escheri</w:t>
            </w:r>
            <w:r w:rsidR="00544C5F" w:rsidRPr="00441D50">
              <w:rPr>
                <w:i/>
              </w:rPr>
              <w:t>chi</w:t>
            </w:r>
            <w:r w:rsidRPr="00441D50">
              <w:rPr>
                <w:i/>
              </w:rPr>
              <w:t>a coli (1</w:t>
            </w:r>
            <w:proofErr w:type="gramStart"/>
            <w:r w:rsidRPr="00441D50">
              <w:rPr>
                <w:i/>
              </w:rPr>
              <w:t>)</w:t>
            </w:r>
            <w:r w:rsidRPr="00441D50" w:rsidDel="00E803B7">
              <w:rPr>
                <w:i/>
              </w:rPr>
              <w:t xml:space="preserve"> </w:t>
            </w:r>
            <w:r w:rsidRPr="00441D50">
              <w:rPr>
                <w:i/>
              </w:rPr>
              <w:t>,</w:t>
            </w:r>
            <w:proofErr w:type="gramEnd"/>
            <w:r w:rsidRPr="00441D50">
              <w:rPr>
                <w:i/>
              </w:rPr>
              <w:t xml:space="preserve">  Enterococcus (2), </w:t>
            </w:r>
            <w:proofErr w:type="spellStart"/>
            <w:r w:rsidRPr="00441D50">
              <w:rPr>
                <w:i/>
              </w:rPr>
              <w:t>Actinobacillus</w:t>
            </w:r>
            <w:proofErr w:type="spellEnd"/>
            <w:r w:rsidRPr="00441D50">
              <w:rPr>
                <w:i/>
              </w:rPr>
              <w:t xml:space="preserve"> (3) </w:t>
            </w:r>
          </w:p>
        </w:tc>
        <w:tc>
          <w:tcPr>
            <w:tcW w:w="1580" w:type="dxa"/>
          </w:tcPr>
          <w:p w14:paraId="37F8BF52" w14:textId="790337A8" w:rsidR="008628DB" w:rsidRPr="00441D50" w:rsidRDefault="008628DB" w:rsidP="00963411">
            <w:pPr>
              <w:spacing w:line="480" w:lineRule="auto"/>
            </w:pPr>
            <w:r w:rsidRPr="00441D50">
              <w:t xml:space="preserve">1: </w:t>
            </w:r>
            <w:r w:rsidR="0039679F" w:rsidRPr="00441D50">
              <w:t xml:space="preserve"> </w:t>
            </w:r>
            <w:r w:rsidR="002974F0" w:rsidRPr="00441D50">
              <w:t xml:space="preserve"> </w:t>
            </w:r>
            <w:r w:rsidR="008E15BC" w:rsidRPr="00441D50">
              <w:t>IR</w:t>
            </w:r>
            <w:r w:rsidR="002974F0" w:rsidRPr="00441D50">
              <w:t xml:space="preserve"> </w:t>
            </w:r>
          </w:p>
          <w:p w14:paraId="5CD07D30" w14:textId="60245042" w:rsidR="008628DB" w:rsidRPr="00441D50" w:rsidRDefault="008628DB" w:rsidP="00963411">
            <w:pPr>
              <w:spacing w:line="480" w:lineRule="auto"/>
            </w:pPr>
            <w:r w:rsidRPr="00441D50">
              <w:t xml:space="preserve">2: </w:t>
            </w:r>
            <w:r w:rsidR="007B12B5" w:rsidRPr="00441D50">
              <w:t xml:space="preserve">Susceptible </w:t>
            </w:r>
          </w:p>
          <w:p w14:paraId="455F7075" w14:textId="77777777" w:rsidR="008628DB" w:rsidRPr="00441D50" w:rsidRDefault="008628DB" w:rsidP="00963411">
            <w:pPr>
              <w:spacing w:line="480" w:lineRule="auto"/>
            </w:pPr>
            <w:r w:rsidRPr="00441D50">
              <w:t>3: n/a</w:t>
            </w:r>
          </w:p>
        </w:tc>
        <w:tc>
          <w:tcPr>
            <w:tcW w:w="1800" w:type="dxa"/>
          </w:tcPr>
          <w:p w14:paraId="796A000F" w14:textId="77777777" w:rsidR="008628DB" w:rsidRPr="00441D50" w:rsidRDefault="008628DB" w:rsidP="00963411">
            <w:pPr>
              <w:spacing w:line="480" w:lineRule="auto"/>
            </w:pPr>
            <w:r w:rsidRPr="00441D50">
              <w:t xml:space="preserve">1: </w:t>
            </w:r>
            <w:r w:rsidR="0039679F" w:rsidRPr="00441D50">
              <w:t xml:space="preserve"> </w:t>
            </w:r>
            <w:proofErr w:type="spellStart"/>
            <w:r w:rsidR="0039679F" w:rsidRPr="00441D50">
              <w:t>Suceptible</w:t>
            </w:r>
            <w:proofErr w:type="spellEnd"/>
          </w:p>
          <w:p w14:paraId="72912B31" w14:textId="77777777" w:rsidR="008628DB" w:rsidRPr="00441D50" w:rsidRDefault="008628DB" w:rsidP="00963411">
            <w:pPr>
              <w:spacing w:line="480" w:lineRule="auto"/>
            </w:pPr>
            <w:r w:rsidRPr="00441D50">
              <w:t>2: n/a</w:t>
            </w:r>
          </w:p>
          <w:p w14:paraId="4632FECC" w14:textId="77777777" w:rsidR="008628DB" w:rsidRPr="00441D50" w:rsidRDefault="008628DB" w:rsidP="00963411">
            <w:pPr>
              <w:spacing w:line="480" w:lineRule="auto"/>
            </w:pPr>
            <w:r w:rsidRPr="00441D50">
              <w:t xml:space="preserve">3: resistant  </w:t>
            </w:r>
          </w:p>
        </w:tc>
        <w:tc>
          <w:tcPr>
            <w:tcW w:w="1456" w:type="dxa"/>
            <w:hideMark/>
          </w:tcPr>
          <w:p w14:paraId="2D65A5A9" w14:textId="77777777" w:rsidR="008628DB" w:rsidRPr="00441D50" w:rsidRDefault="008628DB" w:rsidP="00963411">
            <w:pPr>
              <w:spacing w:line="480" w:lineRule="auto"/>
            </w:pPr>
            <w:r w:rsidRPr="00441D50">
              <w:t>Epiploic foramen entrapment</w:t>
            </w:r>
          </w:p>
        </w:tc>
        <w:tc>
          <w:tcPr>
            <w:tcW w:w="1968" w:type="dxa"/>
            <w:hideMark/>
          </w:tcPr>
          <w:p w14:paraId="2F911E29" w14:textId="77777777" w:rsidR="008628DB" w:rsidRPr="00441D50" w:rsidRDefault="008628DB" w:rsidP="00963411">
            <w:pPr>
              <w:spacing w:line="480" w:lineRule="auto"/>
            </w:pPr>
            <w:r w:rsidRPr="00441D50">
              <w:t>No</w:t>
            </w:r>
          </w:p>
        </w:tc>
      </w:tr>
      <w:tr w:rsidR="00441D50" w:rsidRPr="00441D50" w14:paraId="43A5EBA6" w14:textId="77777777" w:rsidTr="00C47D01">
        <w:trPr>
          <w:trHeight w:val="341"/>
        </w:trPr>
        <w:tc>
          <w:tcPr>
            <w:tcW w:w="635" w:type="dxa"/>
            <w:hideMark/>
          </w:tcPr>
          <w:p w14:paraId="1E952C18" w14:textId="77777777" w:rsidR="008628DB" w:rsidRPr="00441D50" w:rsidRDefault="008628DB" w:rsidP="00963411">
            <w:pPr>
              <w:spacing w:line="480" w:lineRule="auto"/>
            </w:pPr>
            <w:r w:rsidRPr="00441D50">
              <w:t>2</w:t>
            </w:r>
            <w:r w:rsidR="002A541C" w:rsidRPr="00441D50">
              <w:t>8</w:t>
            </w:r>
          </w:p>
        </w:tc>
        <w:tc>
          <w:tcPr>
            <w:tcW w:w="1069" w:type="dxa"/>
            <w:hideMark/>
          </w:tcPr>
          <w:p w14:paraId="5BC96291" w14:textId="77777777" w:rsidR="008628DB" w:rsidRPr="00441D50" w:rsidRDefault="008628DB" w:rsidP="00963411">
            <w:pPr>
              <w:spacing w:line="480" w:lineRule="auto"/>
            </w:pPr>
            <w:r w:rsidRPr="00441D50">
              <w:t>Blood</w:t>
            </w:r>
          </w:p>
        </w:tc>
        <w:tc>
          <w:tcPr>
            <w:tcW w:w="1977" w:type="dxa"/>
            <w:hideMark/>
          </w:tcPr>
          <w:p w14:paraId="57D74A50" w14:textId="77777777" w:rsidR="008628DB" w:rsidRPr="00441D50" w:rsidRDefault="008628DB" w:rsidP="00963411">
            <w:pPr>
              <w:spacing w:line="480" w:lineRule="auto"/>
              <w:rPr>
                <w:i/>
              </w:rPr>
            </w:pPr>
            <w:r w:rsidRPr="00441D50">
              <w:rPr>
                <w:i/>
              </w:rPr>
              <w:t xml:space="preserve">Staphylococcus epidermis and Staphylococcus </w:t>
            </w:r>
            <w:proofErr w:type="spellStart"/>
            <w:r w:rsidRPr="00441D50">
              <w:rPr>
                <w:i/>
              </w:rPr>
              <w:t>warneri</w:t>
            </w:r>
            <w:proofErr w:type="spellEnd"/>
          </w:p>
        </w:tc>
        <w:tc>
          <w:tcPr>
            <w:tcW w:w="1580" w:type="dxa"/>
          </w:tcPr>
          <w:p w14:paraId="794ABFA4" w14:textId="23407560" w:rsidR="008628DB" w:rsidRPr="00441D50" w:rsidRDefault="008E15BC" w:rsidP="00963411">
            <w:pPr>
              <w:spacing w:line="480" w:lineRule="auto"/>
            </w:pPr>
            <w:proofErr w:type="gramStart"/>
            <w:r w:rsidRPr="00441D50">
              <w:t>IR</w:t>
            </w:r>
            <w:r w:rsidR="00FC7D95" w:rsidRPr="00441D50">
              <w:t xml:space="preserve"> </w:t>
            </w:r>
            <w:r w:rsidR="008628DB" w:rsidRPr="00441D50">
              <w:t xml:space="preserve"> (</w:t>
            </w:r>
            <w:proofErr w:type="gramEnd"/>
            <w:r w:rsidR="008628DB" w:rsidRPr="00441D50">
              <w:t>both isolates)</w:t>
            </w:r>
          </w:p>
        </w:tc>
        <w:tc>
          <w:tcPr>
            <w:tcW w:w="1800" w:type="dxa"/>
          </w:tcPr>
          <w:p w14:paraId="43A6FBF3" w14:textId="77777777" w:rsidR="008628DB" w:rsidRPr="00441D50" w:rsidRDefault="0039679F" w:rsidP="00963411">
            <w:pPr>
              <w:spacing w:line="480" w:lineRule="auto"/>
            </w:pPr>
            <w:proofErr w:type="spellStart"/>
            <w:r w:rsidRPr="00441D50">
              <w:t>Suceptible</w:t>
            </w:r>
            <w:proofErr w:type="spellEnd"/>
            <w:r w:rsidRPr="00441D50" w:rsidDel="0039679F">
              <w:t xml:space="preserve"> </w:t>
            </w:r>
            <w:r w:rsidR="008628DB" w:rsidRPr="00441D50">
              <w:t>(both isolates)</w:t>
            </w:r>
          </w:p>
        </w:tc>
        <w:tc>
          <w:tcPr>
            <w:tcW w:w="1456" w:type="dxa"/>
            <w:hideMark/>
          </w:tcPr>
          <w:p w14:paraId="781C7F67" w14:textId="77777777" w:rsidR="008628DB" w:rsidRPr="00441D50" w:rsidRDefault="008628DB" w:rsidP="00963411">
            <w:pPr>
              <w:spacing w:line="480" w:lineRule="auto"/>
            </w:pPr>
            <w:r w:rsidRPr="00441D50">
              <w:t>Epiploic foramen entrapment</w:t>
            </w:r>
          </w:p>
        </w:tc>
        <w:tc>
          <w:tcPr>
            <w:tcW w:w="1968" w:type="dxa"/>
            <w:hideMark/>
          </w:tcPr>
          <w:p w14:paraId="7850825C" w14:textId="77777777" w:rsidR="008628DB" w:rsidRPr="00441D50" w:rsidRDefault="008628DB" w:rsidP="00963411">
            <w:pPr>
              <w:spacing w:line="480" w:lineRule="auto"/>
            </w:pPr>
            <w:proofErr w:type="gramStart"/>
            <w:r w:rsidRPr="00441D50">
              <w:t xml:space="preserve">No </w:t>
            </w:r>
            <w:r w:rsidR="00721D76" w:rsidRPr="00441D50">
              <w:t xml:space="preserve"> (</w:t>
            </w:r>
            <w:proofErr w:type="gramEnd"/>
            <w:r w:rsidR="00721D76" w:rsidRPr="00441D50">
              <w:t>euthanised 2 days post-surgery due to acute renal failure and intestinal hyperammonaemia resulting in severe neurological deficits)</w:t>
            </w:r>
          </w:p>
        </w:tc>
      </w:tr>
      <w:tr w:rsidR="00441D50" w:rsidRPr="00441D50" w14:paraId="7F4EA0AB" w14:textId="77777777" w:rsidTr="00C47D01">
        <w:trPr>
          <w:cnfStyle w:val="000000100000" w:firstRow="0" w:lastRow="0" w:firstColumn="0" w:lastColumn="0" w:oddVBand="0" w:evenVBand="0" w:oddHBand="1" w:evenHBand="0" w:firstRowFirstColumn="0" w:firstRowLastColumn="0" w:lastRowFirstColumn="0" w:lastRowLastColumn="0"/>
          <w:trHeight w:val="733"/>
        </w:trPr>
        <w:tc>
          <w:tcPr>
            <w:tcW w:w="635" w:type="dxa"/>
            <w:hideMark/>
          </w:tcPr>
          <w:p w14:paraId="4F4E0C41" w14:textId="77777777" w:rsidR="008628DB" w:rsidRPr="00441D50" w:rsidRDefault="008628DB" w:rsidP="00963411">
            <w:pPr>
              <w:spacing w:line="480" w:lineRule="auto"/>
            </w:pPr>
            <w:r w:rsidRPr="00441D50">
              <w:t>3</w:t>
            </w:r>
            <w:r w:rsidR="002A541C" w:rsidRPr="00441D50">
              <w:t>1</w:t>
            </w:r>
          </w:p>
        </w:tc>
        <w:tc>
          <w:tcPr>
            <w:tcW w:w="1069" w:type="dxa"/>
            <w:hideMark/>
          </w:tcPr>
          <w:p w14:paraId="0039085D" w14:textId="77777777" w:rsidR="008628DB" w:rsidRPr="00441D50" w:rsidRDefault="008628DB" w:rsidP="00963411">
            <w:pPr>
              <w:spacing w:line="480" w:lineRule="auto"/>
            </w:pPr>
            <w:r w:rsidRPr="00441D50">
              <w:t>Blood</w:t>
            </w:r>
          </w:p>
        </w:tc>
        <w:tc>
          <w:tcPr>
            <w:tcW w:w="1977" w:type="dxa"/>
            <w:hideMark/>
          </w:tcPr>
          <w:p w14:paraId="270276BB" w14:textId="77777777" w:rsidR="008628DB" w:rsidRPr="00441D50" w:rsidRDefault="008628DB" w:rsidP="00963411">
            <w:pPr>
              <w:spacing w:line="480" w:lineRule="auto"/>
            </w:pPr>
            <w:r w:rsidRPr="00441D50">
              <w:rPr>
                <w:i/>
              </w:rPr>
              <w:t xml:space="preserve">Staphylococcus </w:t>
            </w:r>
            <w:proofErr w:type="spellStart"/>
            <w:r w:rsidRPr="00441D50">
              <w:rPr>
                <w:i/>
              </w:rPr>
              <w:t>warneri</w:t>
            </w:r>
            <w:proofErr w:type="spellEnd"/>
            <w:r w:rsidRPr="00441D50" w:rsidDel="00E803B7">
              <w:t xml:space="preserve"> </w:t>
            </w:r>
          </w:p>
        </w:tc>
        <w:tc>
          <w:tcPr>
            <w:tcW w:w="1580" w:type="dxa"/>
          </w:tcPr>
          <w:p w14:paraId="2491BE73" w14:textId="0C3E30FF" w:rsidR="008628DB" w:rsidRPr="00441D50" w:rsidRDefault="008E15BC" w:rsidP="00963411">
            <w:pPr>
              <w:spacing w:line="480" w:lineRule="auto"/>
            </w:pPr>
            <w:r w:rsidRPr="00441D50">
              <w:t>IR</w:t>
            </w:r>
          </w:p>
        </w:tc>
        <w:tc>
          <w:tcPr>
            <w:tcW w:w="1800" w:type="dxa"/>
          </w:tcPr>
          <w:p w14:paraId="064413D4" w14:textId="77777777" w:rsidR="008628DB" w:rsidRPr="00441D50" w:rsidRDefault="008628DB" w:rsidP="00963411">
            <w:pPr>
              <w:spacing w:line="480" w:lineRule="auto"/>
            </w:pPr>
            <w:r w:rsidRPr="00441D50">
              <w:t>Resistant</w:t>
            </w:r>
          </w:p>
        </w:tc>
        <w:tc>
          <w:tcPr>
            <w:tcW w:w="1456" w:type="dxa"/>
            <w:hideMark/>
          </w:tcPr>
          <w:p w14:paraId="7CB95B84" w14:textId="77777777" w:rsidR="008628DB" w:rsidRPr="00441D50" w:rsidRDefault="008628DB" w:rsidP="00963411">
            <w:pPr>
              <w:spacing w:line="480" w:lineRule="auto"/>
            </w:pPr>
            <w:r w:rsidRPr="00441D50">
              <w:t>Strangulating pedunculated lipoma</w:t>
            </w:r>
          </w:p>
        </w:tc>
        <w:tc>
          <w:tcPr>
            <w:tcW w:w="1968" w:type="dxa"/>
            <w:hideMark/>
          </w:tcPr>
          <w:p w14:paraId="6DF8DD4C" w14:textId="77777777" w:rsidR="008628DB" w:rsidRPr="00441D50" w:rsidRDefault="008628DB" w:rsidP="00963411">
            <w:pPr>
              <w:spacing w:line="480" w:lineRule="auto"/>
            </w:pPr>
            <w:r w:rsidRPr="00441D50">
              <w:t xml:space="preserve">No </w:t>
            </w:r>
            <w:r w:rsidR="00C311D4" w:rsidRPr="00441D50">
              <w:t xml:space="preserve">(euthanised 2 days post-surgery due to persistent </w:t>
            </w:r>
            <w:proofErr w:type="spellStart"/>
            <w:r w:rsidR="00C311D4" w:rsidRPr="00441D50">
              <w:lastRenderedPageBreak/>
              <w:t>endotoxaemia</w:t>
            </w:r>
            <w:proofErr w:type="spellEnd"/>
            <w:r w:rsidR="00C311D4" w:rsidRPr="00441D50">
              <w:t xml:space="preserve"> and reflux)</w:t>
            </w:r>
          </w:p>
        </w:tc>
      </w:tr>
      <w:tr w:rsidR="00441D50" w:rsidRPr="00441D50" w14:paraId="5C8FA8CB" w14:textId="77777777" w:rsidTr="00C47D01">
        <w:trPr>
          <w:trHeight w:val="777"/>
        </w:trPr>
        <w:tc>
          <w:tcPr>
            <w:tcW w:w="635" w:type="dxa"/>
            <w:hideMark/>
          </w:tcPr>
          <w:p w14:paraId="0676CE44" w14:textId="77777777" w:rsidR="008628DB" w:rsidRPr="00441D50" w:rsidRDefault="008628DB" w:rsidP="00963411">
            <w:pPr>
              <w:spacing w:line="480" w:lineRule="auto"/>
            </w:pPr>
            <w:r w:rsidRPr="00441D50">
              <w:lastRenderedPageBreak/>
              <w:t>3</w:t>
            </w:r>
            <w:r w:rsidR="002A541C" w:rsidRPr="00441D50">
              <w:t>3</w:t>
            </w:r>
          </w:p>
        </w:tc>
        <w:tc>
          <w:tcPr>
            <w:tcW w:w="1069" w:type="dxa"/>
            <w:hideMark/>
          </w:tcPr>
          <w:p w14:paraId="16D3A9D9" w14:textId="77777777" w:rsidR="008628DB" w:rsidRPr="00441D50" w:rsidRDefault="008628DB" w:rsidP="00963411">
            <w:pPr>
              <w:spacing w:line="480" w:lineRule="auto"/>
            </w:pPr>
            <w:proofErr w:type="spellStart"/>
            <w:r w:rsidRPr="00441D50">
              <w:t>PF</w:t>
            </w:r>
            <w:r w:rsidRPr="00441D50">
              <w:rPr>
                <w:vertAlign w:val="subscript"/>
              </w:rPr>
              <w:t>admission</w:t>
            </w:r>
            <w:proofErr w:type="spellEnd"/>
          </w:p>
        </w:tc>
        <w:tc>
          <w:tcPr>
            <w:tcW w:w="1977" w:type="dxa"/>
            <w:hideMark/>
          </w:tcPr>
          <w:p w14:paraId="5127A493" w14:textId="77777777" w:rsidR="008628DB" w:rsidRPr="00441D50" w:rsidRDefault="008628DB" w:rsidP="00963411">
            <w:pPr>
              <w:spacing w:line="480" w:lineRule="auto"/>
              <w:rPr>
                <w:i/>
              </w:rPr>
            </w:pPr>
            <w:proofErr w:type="spellStart"/>
            <w:r w:rsidRPr="00441D50">
              <w:rPr>
                <w:i/>
              </w:rPr>
              <w:t>Actinobacillus</w:t>
            </w:r>
            <w:proofErr w:type="spellEnd"/>
            <w:r w:rsidRPr="00441D50">
              <w:rPr>
                <w:i/>
              </w:rPr>
              <w:t xml:space="preserve"> </w:t>
            </w:r>
            <w:proofErr w:type="spellStart"/>
            <w:r w:rsidRPr="00441D50">
              <w:rPr>
                <w:i/>
              </w:rPr>
              <w:t>suis</w:t>
            </w:r>
            <w:proofErr w:type="spellEnd"/>
          </w:p>
        </w:tc>
        <w:tc>
          <w:tcPr>
            <w:tcW w:w="1580" w:type="dxa"/>
          </w:tcPr>
          <w:p w14:paraId="78E184D3" w14:textId="57FD4580" w:rsidR="008628DB" w:rsidRPr="00441D50" w:rsidRDefault="00FC7D95" w:rsidP="00963411">
            <w:pPr>
              <w:spacing w:line="480" w:lineRule="auto"/>
            </w:pPr>
            <w:r w:rsidRPr="00441D50">
              <w:t>n/a</w:t>
            </w:r>
          </w:p>
        </w:tc>
        <w:tc>
          <w:tcPr>
            <w:tcW w:w="1800" w:type="dxa"/>
          </w:tcPr>
          <w:p w14:paraId="7EB1824B" w14:textId="77777777" w:rsidR="008628DB" w:rsidRPr="00441D50" w:rsidRDefault="0039679F" w:rsidP="00963411">
            <w:pPr>
              <w:spacing w:line="480" w:lineRule="auto"/>
            </w:pPr>
            <w:proofErr w:type="spellStart"/>
            <w:r w:rsidRPr="00441D50">
              <w:t>Suceptible</w:t>
            </w:r>
            <w:proofErr w:type="spellEnd"/>
          </w:p>
        </w:tc>
        <w:tc>
          <w:tcPr>
            <w:tcW w:w="1456" w:type="dxa"/>
            <w:hideMark/>
          </w:tcPr>
          <w:p w14:paraId="7AE069F5" w14:textId="77777777" w:rsidR="008628DB" w:rsidRPr="00441D50" w:rsidRDefault="008628DB" w:rsidP="00963411">
            <w:pPr>
              <w:spacing w:line="480" w:lineRule="auto"/>
            </w:pPr>
            <w:r w:rsidRPr="00441D50">
              <w:t>Strangulating pedunculated lipoma</w:t>
            </w:r>
          </w:p>
        </w:tc>
        <w:tc>
          <w:tcPr>
            <w:tcW w:w="1968" w:type="dxa"/>
            <w:hideMark/>
          </w:tcPr>
          <w:p w14:paraId="0E4DDFCE" w14:textId="77777777" w:rsidR="008628DB" w:rsidRPr="00441D50" w:rsidRDefault="008628DB" w:rsidP="00963411">
            <w:pPr>
              <w:spacing w:line="480" w:lineRule="auto"/>
            </w:pPr>
            <w:r w:rsidRPr="00441D50">
              <w:t>Yes (</w:t>
            </w:r>
            <w:proofErr w:type="spellStart"/>
            <w:r w:rsidRPr="00441D50">
              <w:rPr>
                <w:i/>
              </w:rPr>
              <w:t>Klebsiella</w:t>
            </w:r>
            <w:proofErr w:type="spellEnd"/>
            <w:r w:rsidRPr="00441D50">
              <w:rPr>
                <w:i/>
              </w:rPr>
              <w:t xml:space="preserve"> pneumoniae</w:t>
            </w:r>
            <w:r w:rsidRPr="00441D50">
              <w:t xml:space="preserve"> MDR, ESBL positive)</w:t>
            </w:r>
          </w:p>
        </w:tc>
      </w:tr>
    </w:tbl>
    <w:p w14:paraId="0E4B4E1D" w14:textId="77777777" w:rsidR="00CC7A9C" w:rsidRPr="00441D50" w:rsidRDefault="00CC7A9C" w:rsidP="00963411">
      <w:pPr>
        <w:spacing w:line="480" w:lineRule="auto"/>
        <w:jc w:val="both"/>
      </w:pPr>
    </w:p>
    <w:p w14:paraId="7A006441" w14:textId="21BE15E5" w:rsidR="00CC7A9C" w:rsidRPr="00441D50" w:rsidRDefault="00CC7A9C" w:rsidP="00963411">
      <w:pPr>
        <w:spacing w:line="480" w:lineRule="auto"/>
        <w:rPr>
          <w:i/>
        </w:rPr>
      </w:pPr>
      <w:r w:rsidRPr="00441D50">
        <w:rPr>
          <w:i/>
        </w:rPr>
        <w:t xml:space="preserve">Table </w:t>
      </w:r>
      <w:r w:rsidR="00BD702C" w:rsidRPr="00441D50">
        <w:rPr>
          <w:i/>
        </w:rPr>
        <w:t>3</w:t>
      </w:r>
      <w:r w:rsidRPr="00441D50">
        <w:rPr>
          <w:i/>
        </w:rPr>
        <w:t>: Sample type, microbiological isolate and lesion type in horses with a positive microbiological culture</w:t>
      </w:r>
      <w:r w:rsidR="00E803B7" w:rsidRPr="00441D50">
        <w:rPr>
          <w:i/>
        </w:rPr>
        <w:t xml:space="preserve"> (PF: peritoneal fluid</w:t>
      </w:r>
      <w:r w:rsidR="008628DB" w:rsidRPr="00441D50">
        <w:rPr>
          <w:i/>
        </w:rPr>
        <w:t xml:space="preserve"> MDR: multi-drug resistant, ESBL: extended spectrum </w:t>
      </w:r>
      <w:r w:rsidR="008628DB" w:rsidRPr="00441D50">
        <w:rPr>
          <w:i/>
        </w:rPr>
        <w:sym w:font="Symbol" w:char="F062"/>
      </w:r>
      <w:r w:rsidR="008628DB" w:rsidRPr="00441D50">
        <w:rPr>
          <w:i/>
        </w:rPr>
        <w:t>-lactamase</w:t>
      </w:r>
      <w:r w:rsidR="008E15BC" w:rsidRPr="00441D50">
        <w:rPr>
          <w:i/>
        </w:rPr>
        <w:t>, IR: intrinsic resistance</w:t>
      </w:r>
      <w:r w:rsidR="008E15BC" w:rsidRPr="00441D50">
        <w:rPr>
          <w:i/>
        </w:rPr>
        <w:fldChar w:fldCharType="begin" w:fldLock="1"/>
      </w:r>
      <w:r w:rsidR="009B0208">
        <w:rPr>
          <w:i/>
        </w:rPr>
        <w:instrText>ADDIN CSL_CITATION {"citationItems":[{"id":"ITEM-1","itemData":{"ISSN":"1198-743X","author":[{"dropping-particle":"","family":"Magiorakos","given":"A‐P","non-dropping-particle":"","parse-names":false,"suffix":""},{"dropping-particle":"","family":"Srinivasan","given":"A","non-dropping-particle":"","parse-names":false,"suffix":""},{"dropping-particle":"","family":"Carey","given":"R B","non-dropping-particle":"","parse-names":false,"suffix":""},{"dropping-particle":"","family":"Carmeli","given":"Y","non-dropping-particle":"","parse-names":false,"suffix":""},{"dropping-particle":"","family":"Falagas","given":"M E","non-dropping-particle":"","parse-names":false,"suffix":""},{"dropping-particle":"","family":"Giske","given":"C G","non-dropping-particle":"","parse-names":false,"suffix":""},{"dropping-particle":"","family":"Harbarth","given":"S","non-dropping-particle":"","parse-names":false,"suffix":""},{"dropping-particle":"","family":"Hindler","given":"J F","non-dropping-particle":"","parse-names":false,"suffix":""},{"dropping-particle":"","family":"Kahlmeter","given":"G","non-dropping-particle":"","parse-names":false,"suffix":""},{"dropping-particle":"","family":"Olsson‐Liljequist","given":"B","non-dropping-particle":"","parse-names":false,"suffix":""}],"container-title":"Clinical microbiology and infection","id":"ITEM-1","issue":"3","issued":{"date-parts":[["2012"]]},"page":"268-281","publisher":"Wiley Online Library","title":"Multidrug‐resistant, extensively drug‐resistant and pandrug‐resistant bacteria: an international expert proposal for interim standard definitions for acquired resistance","type":"article-journal","volume":"18"},"uris":["http://www.mendeley.com/documents/?uuid=3512f43a-9ebd-4c2d-85b2-2668ca9b8da3"]}],"mendeley":{"formattedCitation":"(35)"},"properties":{"noteIndex":0},"schema":"https://github.com/citation-style-language/schema/raw/master/csl-citation.json"}</w:instrText>
      </w:r>
      <w:r w:rsidR="008E15BC" w:rsidRPr="00441D50">
        <w:rPr>
          <w:i/>
        </w:rPr>
        <w:fldChar w:fldCharType="separate"/>
      </w:r>
      <w:r w:rsidR="009B0208" w:rsidRPr="009B0208">
        <w:rPr>
          <w:noProof/>
        </w:rPr>
        <w:t>(35)</w:t>
      </w:r>
      <w:r w:rsidR="008E15BC" w:rsidRPr="00441D50">
        <w:rPr>
          <w:i/>
        </w:rPr>
        <w:fldChar w:fldCharType="end"/>
      </w:r>
      <w:r w:rsidR="008628DB" w:rsidRPr="00441D50">
        <w:rPr>
          <w:i/>
        </w:rPr>
        <w:t>).</w:t>
      </w:r>
      <w:r w:rsidR="008E15BC" w:rsidRPr="00441D50">
        <w:rPr>
          <w:i/>
        </w:rPr>
        <w:t xml:space="preserve"> </w:t>
      </w:r>
    </w:p>
    <w:p w14:paraId="7C131AE1" w14:textId="77777777" w:rsidR="00CC7A9C" w:rsidRPr="00441D50" w:rsidRDefault="00CC7A9C" w:rsidP="00963411">
      <w:pPr>
        <w:spacing w:line="480" w:lineRule="auto"/>
        <w:jc w:val="both"/>
      </w:pPr>
    </w:p>
    <w:p w14:paraId="03FB20F4" w14:textId="70F557F6" w:rsidR="00CC7A9C" w:rsidRPr="00441D50" w:rsidRDefault="00CC7A9C" w:rsidP="00963411">
      <w:pPr>
        <w:spacing w:line="480" w:lineRule="auto"/>
        <w:jc w:val="both"/>
        <w:rPr>
          <w:b/>
        </w:rPr>
      </w:pPr>
      <w:r w:rsidRPr="00441D50">
        <w:t>Of the horses with a positive culture, five (62%) survived to hospital discharge</w:t>
      </w:r>
      <w:r w:rsidR="00BE2FA3" w:rsidRPr="00441D50">
        <w:t>. There was no significant difference in survival between horses with a positive culture and those without (p = 1</w:t>
      </w:r>
      <w:r w:rsidR="007B12B5" w:rsidRPr="00441D50">
        <w:t>.00</w:t>
      </w:r>
      <w:r w:rsidR="00BE2FA3" w:rsidRPr="00441D50">
        <w:t xml:space="preserve">). </w:t>
      </w:r>
      <w:r w:rsidR="000D2A9A" w:rsidRPr="00441D50">
        <w:t>Only one horse in the study that had a positive peri-operative culture (</w:t>
      </w:r>
      <w:proofErr w:type="spellStart"/>
      <w:r w:rsidR="000D2A9A" w:rsidRPr="00441D50">
        <w:rPr>
          <w:i/>
        </w:rPr>
        <w:t>Ac</w:t>
      </w:r>
      <w:r w:rsidR="0024390C" w:rsidRPr="00441D50">
        <w:rPr>
          <w:i/>
        </w:rPr>
        <w:t>t</w:t>
      </w:r>
      <w:r w:rsidR="000D2A9A" w:rsidRPr="00441D50">
        <w:rPr>
          <w:i/>
        </w:rPr>
        <w:t>inobacillus</w:t>
      </w:r>
      <w:proofErr w:type="spellEnd"/>
      <w:r w:rsidR="000D2A9A" w:rsidRPr="00441D50">
        <w:rPr>
          <w:i/>
        </w:rPr>
        <w:t xml:space="preserve"> </w:t>
      </w:r>
      <w:proofErr w:type="spellStart"/>
      <w:r w:rsidR="000D2A9A" w:rsidRPr="00441D50">
        <w:rPr>
          <w:i/>
        </w:rPr>
        <w:t>suis</w:t>
      </w:r>
      <w:proofErr w:type="spellEnd"/>
      <w:r w:rsidR="000D2A9A" w:rsidRPr="00441D50">
        <w:t xml:space="preserve"> from peritoneal fluid on admission) developed a subsequent SSI. The bacteria </w:t>
      </w:r>
      <w:r w:rsidRPr="00441D50">
        <w:t>cultured from the SSI (</w:t>
      </w:r>
      <w:proofErr w:type="spellStart"/>
      <w:r w:rsidRPr="00441D50">
        <w:rPr>
          <w:i/>
        </w:rPr>
        <w:t>Klebsiella</w:t>
      </w:r>
      <w:proofErr w:type="spellEnd"/>
      <w:r w:rsidRPr="00441D50">
        <w:rPr>
          <w:i/>
        </w:rPr>
        <w:t xml:space="preserve"> pneumonia</w:t>
      </w:r>
      <w:r w:rsidR="00F72479" w:rsidRPr="00441D50">
        <w:rPr>
          <w:i/>
        </w:rPr>
        <w:t>e</w:t>
      </w:r>
      <w:r w:rsidRPr="00441D50">
        <w:t xml:space="preserve">) </w:t>
      </w:r>
      <w:r w:rsidR="00BB4F6D" w:rsidRPr="00441D50">
        <w:t>which was identifie</w:t>
      </w:r>
      <w:r w:rsidR="00E803B7" w:rsidRPr="00441D50">
        <w:t>d</w:t>
      </w:r>
      <w:r w:rsidR="00BB4F6D" w:rsidRPr="00441D50">
        <w:t xml:space="preserve"> as </w:t>
      </w:r>
      <w:r w:rsidR="00E803B7" w:rsidRPr="00441D50">
        <w:t xml:space="preserve">an </w:t>
      </w:r>
      <w:r w:rsidR="00BB4F6D" w:rsidRPr="00441D50">
        <w:t xml:space="preserve">extended spectrum </w:t>
      </w:r>
      <w:r w:rsidR="00BB4F6D" w:rsidRPr="00441D50">
        <w:rPr>
          <w:rFonts w:cstheme="minorHAnsi"/>
        </w:rPr>
        <w:t>β</w:t>
      </w:r>
      <w:r w:rsidR="00BB4F6D" w:rsidRPr="00441D50">
        <w:t xml:space="preserve">-lactamase (ESBL) producing multidrug resistant (MDR) organism, </w:t>
      </w:r>
      <w:r w:rsidRPr="00441D50">
        <w:t xml:space="preserve">was different to that cultured from the peritoneal fluid </w:t>
      </w:r>
      <w:r w:rsidR="0061096A" w:rsidRPr="00441D50">
        <w:t>on</w:t>
      </w:r>
      <w:r w:rsidRPr="00441D50">
        <w:t xml:space="preserve"> admission (</w:t>
      </w:r>
      <w:proofErr w:type="spellStart"/>
      <w:r w:rsidRPr="00441D50">
        <w:rPr>
          <w:i/>
        </w:rPr>
        <w:t>Actinobacillus</w:t>
      </w:r>
      <w:proofErr w:type="spellEnd"/>
      <w:r w:rsidRPr="00441D50">
        <w:rPr>
          <w:i/>
        </w:rPr>
        <w:t xml:space="preserve"> </w:t>
      </w:r>
      <w:proofErr w:type="spellStart"/>
      <w:r w:rsidRPr="00441D50">
        <w:rPr>
          <w:i/>
        </w:rPr>
        <w:t>suis</w:t>
      </w:r>
      <w:proofErr w:type="spellEnd"/>
      <w:r w:rsidRPr="00441D50">
        <w:t xml:space="preserve">). </w:t>
      </w:r>
    </w:p>
    <w:p w14:paraId="542BE3D1" w14:textId="77777777" w:rsidR="00C711C1" w:rsidRPr="00441D50" w:rsidRDefault="00C711C1" w:rsidP="00963411">
      <w:pPr>
        <w:spacing w:line="480" w:lineRule="auto"/>
        <w:jc w:val="both"/>
        <w:rPr>
          <w:b/>
        </w:rPr>
      </w:pPr>
    </w:p>
    <w:p w14:paraId="32CFA517" w14:textId="77777777" w:rsidR="00CC7A9C" w:rsidRPr="00441D50" w:rsidRDefault="00CC7A9C" w:rsidP="00963411">
      <w:pPr>
        <w:spacing w:line="480" w:lineRule="auto"/>
        <w:jc w:val="both"/>
        <w:rPr>
          <w:b/>
        </w:rPr>
      </w:pPr>
      <w:r w:rsidRPr="00441D50">
        <w:rPr>
          <w:b/>
        </w:rPr>
        <w:t>DISCUSSION</w:t>
      </w:r>
    </w:p>
    <w:p w14:paraId="62FD26DD" w14:textId="0CCEA325" w:rsidR="00CC7A9C" w:rsidRPr="00441D50" w:rsidRDefault="00E41E54" w:rsidP="00963411">
      <w:pPr>
        <w:spacing w:line="480" w:lineRule="auto"/>
        <w:jc w:val="both"/>
      </w:pPr>
      <w:r w:rsidRPr="00441D50">
        <w:t>This pilot study has demonstrated that bacterial translocation occurs in horses investigated for colic with a variety of different intestinal lesions in a UK hospital population, but at a low frequency.</w:t>
      </w:r>
      <w:r w:rsidR="00CC7A9C" w:rsidRPr="00441D50">
        <w:t xml:space="preserve"> </w:t>
      </w:r>
      <w:r w:rsidR="00161B4C" w:rsidRPr="00441D50">
        <w:t xml:space="preserve">The findings from the current study do not support our hypothesis that bacterial translocation is a key factor in the development of SSI in horses following exploratory laparotomy.  </w:t>
      </w:r>
      <w:r w:rsidR="00C711C1" w:rsidRPr="00441D50">
        <w:t xml:space="preserve">Only one horse in which bacterial translocation into blood or peritoneal fluid was confirmed at hospital admission developed </w:t>
      </w:r>
      <w:proofErr w:type="gramStart"/>
      <w:r w:rsidR="00C711C1" w:rsidRPr="00441D50">
        <w:lastRenderedPageBreak/>
        <w:t>a</w:t>
      </w:r>
      <w:proofErr w:type="gramEnd"/>
      <w:r w:rsidR="00C711C1" w:rsidRPr="00441D50">
        <w:t xml:space="preserve"> SSI; other horses with positive cultures including those that survived to hospital discharge did not develop a subsequent SSI. These results would suggest that </w:t>
      </w:r>
      <w:r w:rsidR="0061096A" w:rsidRPr="00441D50">
        <w:t xml:space="preserve">although </w:t>
      </w:r>
      <w:r w:rsidR="00C711C1" w:rsidRPr="00441D50">
        <w:t xml:space="preserve">bacterial translocation into blood or peritoneal fluid </w:t>
      </w:r>
      <w:r w:rsidR="0061096A" w:rsidRPr="00441D50">
        <w:t xml:space="preserve">does occur, it </w:t>
      </w:r>
      <w:r w:rsidR="00121AF9" w:rsidRPr="00441D50">
        <w:t>is not a major or</w:t>
      </w:r>
      <w:r w:rsidR="00C711C1" w:rsidRPr="00441D50">
        <w:t xml:space="preserve"> single mechanism</w:t>
      </w:r>
      <w:r w:rsidR="0061096A" w:rsidRPr="00441D50">
        <w:t>/</w:t>
      </w:r>
      <w:r w:rsidR="00A36796" w:rsidRPr="00441D50">
        <w:t>contributor</w:t>
      </w:r>
      <w:r w:rsidR="00C711C1" w:rsidRPr="00441D50">
        <w:t xml:space="preserve"> </w:t>
      </w:r>
      <w:r w:rsidR="0061096A" w:rsidRPr="00441D50">
        <w:t>in the</w:t>
      </w:r>
      <w:r w:rsidR="00C711C1" w:rsidRPr="00441D50">
        <w:t xml:space="preserve"> development of SSI following emergency laparotomy</w:t>
      </w:r>
      <w:r w:rsidR="00032861" w:rsidRPr="00441D50">
        <w:t xml:space="preserve"> in the population of horses investigated</w:t>
      </w:r>
      <w:r w:rsidR="0061096A" w:rsidRPr="00441D50">
        <w:t xml:space="preserve">. </w:t>
      </w:r>
    </w:p>
    <w:p w14:paraId="24C8DF61" w14:textId="77777777" w:rsidR="00780435" w:rsidRPr="00441D50" w:rsidRDefault="00780435" w:rsidP="00963411">
      <w:pPr>
        <w:spacing w:line="480" w:lineRule="auto"/>
        <w:jc w:val="both"/>
      </w:pPr>
    </w:p>
    <w:p w14:paraId="492E3FB7" w14:textId="5F3020A0" w:rsidR="00780435" w:rsidRPr="00441D50" w:rsidRDefault="00780435" w:rsidP="00963411">
      <w:pPr>
        <w:spacing w:line="480" w:lineRule="auto"/>
        <w:jc w:val="both"/>
      </w:pPr>
      <w:r w:rsidRPr="00441D50">
        <w:t xml:space="preserve">In the </w:t>
      </w:r>
      <w:r w:rsidR="00F86D10" w:rsidRPr="00441D50">
        <w:t>current</w:t>
      </w:r>
      <w:r w:rsidRPr="00441D50">
        <w:t xml:space="preserve"> study, t</w:t>
      </w:r>
      <w:r w:rsidR="00CC7A9C" w:rsidRPr="00441D50">
        <w:t xml:space="preserve">here was a low </w:t>
      </w:r>
      <w:r w:rsidR="00A36796" w:rsidRPr="00441D50">
        <w:t>prevalence</w:t>
      </w:r>
      <w:r w:rsidRPr="00441D50">
        <w:t xml:space="preserve"> </w:t>
      </w:r>
      <w:r w:rsidR="00CC7A9C" w:rsidRPr="00441D50">
        <w:t xml:space="preserve">of </w:t>
      </w:r>
      <w:r w:rsidR="00CE77ED" w:rsidRPr="00441D50">
        <w:t xml:space="preserve">positive </w:t>
      </w:r>
      <w:r w:rsidR="00CC7A9C" w:rsidRPr="00441D50">
        <w:t xml:space="preserve">bacterial culture from peripheral venous blood and </w:t>
      </w:r>
      <w:r w:rsidR="00032861" w:rsidRPr="00441D50">
        <w:t xml:space="preserve">from </w:t>
      </w:r>
      <w:r w:rsidR="00CC7A9C" w:rsidRPr="00441D50">
        <w:t>peritoneal fluid samples</w:t>
      </w:r>
      <w:r w:rsidRPr="00441D50">
        <w:t xml:space="preserve"> taken pre- and intra-operatively. These samples included samples taken </w:t>
      </w:r>
      <w:r w:rsidR="00A36796" w:rsidRPr="00441D50">
        <w:t>on</w:t>
      </w:r>
      <w:r w:rsidRPr="00441D50">
        <w:t xml:space="preserve"> hospital admission, all of which were obtained prior to the administration of antimicrobial agents, unlike </w:t>
      </w:r>
      <w:r w:rsidR="00A36796" w:rsidRPr="00441D50">
        <w:t xml:space="preserve">previous </w:t>
      </w:r>
      <w:r w:rsidRPr="00441D50">
        <w:t xml:space="preserve">studies </w:t>
      </w:r>
      <w:r w:rsidR="000D2A9A" w:rsidRPr="00441D50">
        <w:t xml:space="preserve">that </w:t>
      </w:r>
      <w:r w:rsidRPr="00441D50">
        <w:t xml:space="preserve">have investigated bacterial translocation in </w:t>
      </w:r>
      <w:r w:rsidR="00DD0EAD" w:rsidRPr="00441D50">
        <w:t>horses investigated for colic</w:t>
      </w:r>
      <w:r w:rsidR="00E00DE0" w:rsidRPr="00441D50">
        <w:fldChar w:fldCharType="begin" w:fldLock="1"/>
      </w:r>
      <w:r w:rsidR="00522320" w:rsidRPr="00441D50">
        <w:instrText>ADDIN CSL_CITATION {"citationItems":[{"id":"ITEM-1","itemData":{"DOI":"10.1111/j.1476-4431.2012.00803.x","ISBN":"1479-3261","ISSN":"14793261","PMID":"23148744","abstract":"Objective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Care","id":"ITEM-1","issue":"6","issued":{"date-parts":[["2012"]]},"page":"653-660","title":"Presumptive bacterial translocation in horses with strangulating small intestinal lesions requiring resection and anastomosis","type":"article-journal","volume":"22"},"uris":["http://www.mendeley.com/documents/?uuid=7b8197aa-d322-4b64-b8e1-7a1ffa92939c"]},{"id":"ITEM-2","itemData":{"ISSN":"1528-3593","PMID":"20425731","abstract":"This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medicine","id":"ITEM-2","issue":"4","issued":{"date-parts":[["2009"]]},"page":"E1-13","title":"Evaluation of intraoperative culture results as a predictor for short-term incisional complications in 49 horses undergoing abdominal surgery","type":"article-journal","volume":"10"},"uris":["http://www.mendeley.com/documents/?uuid=8e4bda97-edf8-4960-b7e3-7ed4a433ae9d"]}],"mendeley":{"formattedCitation":"(34,36)","plainTextFormattedCitation":"(34,36)","previouslyFormattedCitation":"(34,36)"},"properties":{"noteIndex":0},"schema":"https://github.com/citation-style-language/schema/raw/master/csl-citation.json"}</w:instrText>
      </w:r>
      <w:r w:rsidR="00E00DE0" w:rsidRPr="00441D50">
        <w:fldChar w:fldCharType="separate"/>
      </w:r>
      <w:r w:rsidR="004743C4" w:rsidRPr="00441D50">
        <w:rPr>
          <w:noProof/>
        </w:rPr>
        <w:t>(34,36)</w:t>
      </w:r>
      <w:r w:rsidR="00E00DE0" w:rsidRPr="00441D50">
        <w:fldChar w:fldCharType="end"/>
      </w:r>
      <w:r w:rsidRPr="00441D50">
        <w:t>. This</w:t>
      </w:r>
      <w:r w:rsidR="00CC7A9C" w:rsidRPr="00441D50">
        <w:t xml:space="preserve"> </w:t>
      </w:r>
      <w:r w:rsidRPr="00441D50">
        <w:t xml:space="preserve">study adds to the evidence that </w:t>
      </w:r>
      <w:r w:rsidR="00CC7A9C" w:rsidRPr="00441D50">
        <w:t>bacterial translocation</w:t>
      </w:r>
      <w:r w:rsidRPr="00441D50">
        <w:t xml:space="preserve"> </w:t>
      </w:r>
      <w:r w:rsidR="00916D4B" w:rsidRPr="00441D50">
        <w:t xml:space="preserve">from </w:t>
      </w:r>
      <w:r w:rsidR="00E00DE0" w:rsidRPr="00441D50">
        <w:t>the gastrointestinal tract</w:t>
      </w:r>
      <w:r w:rsidR="00F9571C" w:rsidRPr="00441D50">
        <w:t xml:space="preserve"> into the blood stream and/or peritoneal cavity</w:t>
      </w:r>
      <w:r w:rsidR="00916D4B" w:rsidRPr="00441D50">
        <w:t xml:space="preserve"> </w:t>
      </w:r>
      <w:r w:rsidRPr="00441D50">
        <w:t>and subsequent positive bacterial culture</w:t>
      </w:r>
      <w:r w:rsidR="00CC7A9C" w:rsidRPr="00441D50">
        <w:t xml:space="preserve"> </w:t>
      </w:r>
      <w:r w:rsidR="00A36796" w:rsidRPr="00441D50">
        <w:t>does</w:t>
      </w:r>
      <w:r w:rsidR="000D2A9A" w:rsidRPr="00441D50">
        <w:t xml:space="preserve"> </w:t>
      </w:r>
      <w:r w:rsidR="00CC7A9C" w:rsidRPr="00441D50">
        <w:t>occur</w:t>
      </w:r>
      <w:r w:rsidR="00F9571C" w:rsidRPr="00441D50">
        <w:t xml:space="preserve"> but at a low frequency</w:t>
      </w:r>
      <w:r w:rsidR="00F86D10" w:rsidRPr="00441D50">
        <w:t xml:space="preserve"> in</w:t>
      </w:r>
      <w:r w:rsidRPr="00441D50">
        <w:t xml:space="preserve"> horses with acute colic, consistent with </w:t>
      </w:r>
      <w:r w:rsidR="00032861" w:rsidRPr="00441D50">
        <w:t xml:space="preserve">the previous </w:t>
      </w:r>
      <w:r w:rsidRPr="00441D50">
        <w:t>studies</w:t>
      </w:r>
      <w:r w:rsidR="00DD0EAD" w:rsidRPr="00441D50">
        <w:fldChar w:fldCharType="begin" w:fldLock="1"/>
      </w:r>
      <w:r w:rsidR="004743C4" w:rsidRPr="00441D50">
        <w:instrText>ADDIN CSL_CITATION {"citationItems":[{"id":"ITEM-1","itemData":{"DOI":"10.1111/j.1476-4431.2012.00803.x","ISBN":"1479-3261","ISSN":"14793261","PMID":"23148744","abstract":"Objective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Care","id":"ITEM-1","issue":"6","issued":{"date-parts":[["2012"]]},"page":"653-660","title":"Presumptive bacterial translocation in horses with strangulating small intestinal lesions requiring resection and anastomosis","type":"article-journal","volume":"22"},"uris":["http://www.mendeley.com/documents/?uuid=7b8197aa-d322-4b64-b8e1-7a1ffa92939c"]},{"id":"ITEM-2","itemData":{"ISSN":"1528-3593","PMID":"20425731","abstract":"This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medicine","id":"ITEM-2","issue":"4","issued":{"date-parts":[["2009"]]},"page":"E1-13","title":"Evaluation of intraoperative culture results as a predictor for short-term incisional complications in 49 horses undergoing abdominal surgery","type":"article-journal","volume":"10"},"uris":["http://www.mendeley.com/documents/?uuid=8e4bda97-edf8-4960-b7e3-7ed4a433ae9d"]}],"mendeley":{"formattedCitation":"(34,36)","plainTextFormattedCitation":"(34,36)","previouslyFormattedCitation":"(34,36)"},"properties":{"noteIndex":0},"schema":"https://github.com/citation-style-language/schema/raw/master/csl-citation.json"}</w:instrText>
      </w:r>
      <w:r w:rsidR="00DD0EAD" w:rsidRPr="00441D50">
        <w:fldChar w:fldCharType="separate"/>
      </w:r>
      <w:r w:rsidR="004743C4" w:rsidRPr="00441D50">
        <w:rPr>
          <w:noProof/>
        </w:rPr>
        <w:t>(34,36)</w:t>
      </w:r>
      <w:r w:rsidR="00DD0EAD" w:rsidRPr="00441D50">
        <w:fldChar w:fldCharType="end"/>
      </w:r>
      <w:r w:rsidR="00DD0EAD" w:rsidRPr="00441D50">
        <w:t xml:space="preserve">. </w:t>
      </w:r>
      <w:r w:rsidRPr="00441D50">
        <w:t xml:space="preserve">The </w:t>
      </w:r>
      <w:r w:rsidR="00F86D10" w:rsidRPr="00441D50">
        <w:t>prevalence</w:t>
      </w:r>
      <w:r w:rsidRPr="00441D50">
        <w:t xml:space="preserve"> of positive blood culture</w:t>
      </w:r>
      <w:r w:rsidR="00F86D10" w:rsidRPr="00441D50">
        <w:t xml:space="preserve"> in the current study</w:t>
      </w:r>
      <w:r w:rsidRPr="00441D50">
        <w:t xml:space="preserve"> </w:t>
      </w:r>
      <w:r w:rsidR="00F9571C" w:rsidRPr="00441D50">
        <w:t xml:space="preserve"> (</w:t>
      </w:r>
      <w:r w:rsidR="00005BEA" w:rsidRPr="00441D50">
        <w:t>7.7</w:t>
      </w:r>
      <w:r w:rsidR="00F9571C" w:rsidRPr="00441D50">
        <w:t xml:space="preserve">%) </w:t>
      </w:r>
      <w:r w:rsidRPr="00441D50">
        <w:t xml:space="preserve">was </w:t>
      </w:r>
      <w:r w:rsidR="00F9571C" w:rsidRPr="00441D50">
        <w:t xml:space="preserve">slightly </w:t>
      </w:r>
      <w:r w:rsidRPr="00441D50">
        <w:t>lower than th</w:t>
      </w:r>
      <w:r w:rsidR="00F9571C" w:rsidRPr="00441D50">
        <w:t>e 13.8% prevalence</w:t>
      </w:r>
      <w:r w:rsidRPr="00441D50">
        <w:t xml:space="preserve"> reported by </w:t>
      </w:r>
      <w:proofErr w:type="spellStart"/>
      <w:r w:rsidRPr="00441D50">
        <w:t>Hurcombe</w:t>
      </w:r>
      <w:proofErr w:type="spellEnd"/>
      <w:r w:rsidRPr="00441D50">
        <w:t xml:space="preserve"> </w:t>
      </w:r>
      <w:r w:rsidRPr="00441D50">
        <w:rPr>
          <w:i/>
        </w:rPr>
        <w:t>et al</w:t>
      </w:r>
      <w:r w:rsidRPr="00441D50">
        <w:t xml:space="preserve"> (2012)</w:t>
      </w:r>
      <w:r w:rsidR="004743C4" w:rsidRPr="00441D50">
        <w:fldChar w:fldCharType="begin" w:fldLock="1"/>
      </w:r>
      <w:r w:rsidR="004743C4" w:rsidRPr="00441D50">
        <w:instrText>ADDIN CSL_CITATION {"citationItems":[{"id":"ITEM-1","itemData":{"DOI":"10.1111/j.1476-4431.2012.00803.x","ISBN":"1479-3261","ISSN":"14793261","PMID":"23148744","abstract":"Objective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Care","id":"ITEM-1","issue":"6","issued":{"date-parts":[["2012"]]},"page":"653-660","title":"Presumptive bacterial translocation in horses with strangulating small intestinal lesions requiring resection and anastomosis","type":"article-journal","volume":"22"},"uris":["http://www.mendeley.com/documents/?uuid=7b8197aa-d322-4b64-b8e1-7a1ffa92939c"]}],"mendeley":{"formattedCitation":"(34)","plainTextFormattedCitation":"(34)","previouslyFormattedCitation":"(34)"},"properties":{"noteIndex":0},"schema":"https://github.com/citation-style-language/schema/raw/master/csl-citation.json"}</w:instrText>
      </w:r>
      <w:r w:rsidR="004743C4" w:rsidRPr="00441D50">
        <w:fldChar w:fldCharType="separate"/>
      </w:r>
      <w:r w:rsidR="004743C4" w:rsidRPr="00441D50">
        <w:rPr>
          <w:noProof/>
        </w:rPr>
        <w:t>(34)</w:t>
      </w:r>
      <w:r w:rsidR="004743C4" w:rsidRPr="00441D50">
        <w:fldChar w:fldCharType="end"/>
      </w:r>
      <w:r w:rsidRPr="00441D50">
        <w:t xml:space="preserve">. </w:t>
      </w:r>
      <w:r w:rsidR="00BB1431" w:rsidRPr="00441D50">
        <w:t>However, the latter study included culture results from mesenteric venous blood, mesenteric lymphatic tissue and intestinal luminal content as well as peripheral venous blood. In that study, only one peripheral venous blood sample was culture positive. Furthermore, t</w:t>
      </w:r>
      <w:r w:rsidR="00F86D10" w:rsidRPr="00441D50">
        <w:t>he</w:t>
      </w:r>
      <w:r w:rsidRPr="00441D50">
        <w:t xml:space="preserve"> latter study only investigated horses with strangulating small intestinal lesions</w:t>
      </w:r>
      <w:r w:rsidR="00F86D10" w:rsidRPr="00441D50">
        <w:t xml:space="preserve"> unlike the current study which included other types of colic</w:t>
      </w:r>
      <w:r w:rsidR="00F9571C" w:rsidRPr="00441D50">
        <w:t xml:space="preserve">. </w:t>
      </w:r>
      <w:r w:rsidR="00F86D10" w:rsidRPr="00441D50">
        <w:t>In small intestinal strangulation</w:t>
      </w:r>
      <w:r w:rsidRPr="00441D50">
        <w:t xml:space="preserve"> </w:t>
      </w:r>
      <w:r w:rsidR="00F86D10" w:rsidRPr="00441D50">
        <w:t>there is likely to be more</w:t>
      </w:r>
      <w:r w:rsidRPr="00441D50">
        <w:t xml:space="preserve"> severe intestinal wall compromise and </w:t>
      </w:r>
      <w:r w:rsidR="00121AF9" w:rsidRPr="00441D50">
        <w:t>disruption to the normal barriers to bacterial translocation than in horses with non-strangulating intestinal disorders</w:t>
      </w:r>
      <w:r w:rsidR="00032861" w:rsidRPr="00441D50">
        <w:t>;</w:t>
      </w:r>
      <w:r w:rsidR="000D2A9A" w:rsidRPr="00441D50">
        <w:t xml:space="preserve"> </w:t>
      </w:r>
      <w:proofErr w:type="gramStart"/>
      <w:r w:rsidR="000D2A9A" w:rsidRPr="00441D50">
        <w:t>thus</w:t>
      </w:r>
      <w:proofErr w:type="gramEnd"/>
      <w:r w:rsidR="00F86D10" w:rsidRPr="00441D50">
        <w:t xml:space="preserve"> it is plausible that </w:t>
      </w:r>
      <w:r w:rsidRPr="00441D50">
        <w:t>bacterial translocation</w:t>
      </w:r>
      <w:r w:rsidR="00E00DE0" w:rsidRPr="00441D50">
        <w:t xml:space="preserve"> across the gastrointestinal tract</w:t>
      </w:r>
      <w:r w:rsidRPr="00441D50">
        <w:t xml:space="preserve"> </w:t>
      </w:r>
      <w:r w:rsidR="00121AF9" w:rsidRPr="00441D50">
        <w:t>will</w:t>
      </w:r>
      <w:r w:rsidRPr="00441D50">
        <w:t xml:space="preserve"> be more likely to occur in those </w:t>
      </w:r>
      <w:r w:rsidR="00DD0EAD" w:rsidRPr="00441D50">
        <w:t>horses</w:t>
      </w:r>
      <w:r w:rsidRPr="00441D50">
        <w:t xml:space="preserve">. </w:t>
      </w:r>
      <w:r w:rsidR="00F9571C" w:rsidRPr="00441D50">
        <w:t xml:space="preserve">Large colon strangulating lesions may plausibly result in bacterial translocation due to compromise to a large surface area of the gut but only one horse in this study had a large colon </w:t>
      </w:r>
      <w:proofErr w:type="spellStart"/>
      <w:r w:rsidR="00F9571C" w:rsidRPr="00441D50">
        <w:t>voluvulus</w:t>
      </w:r>
      <w:proofErr w:type="spellEnd"/>
      <w:r w:rsidR="00032861" w:rsidRPr="00441D50">
        <w:t>.</w:t>
      </w:r>
      <w:r w:rsidR="00E00DE0" w:rsidRPr="00441D50">
        <w:t xml:space="preserve"> </w:t>
      </w:r>
      <w:r w:rsidR="00032861" w:rsidRPr="00441D50">
        <w:t>T</w:t>
      </w:r>
      <w:r w:rsidR="00E00DE0" w:rsidRPr="00441D50">
        <w:t>his</w:t>
      </w:r>
      <w:r w:rsidR="00032861" w:rsidRPr="00441D50">
        <w:t xml:space="preserve"> horse</w:t>
      </w:r>
      <w:r w:rsidR="00E00DE0" w:rsidRPr="00441D50">
        <w:t xml:space="preserve"> had a negative blood culture</w:t>
      </w:r>
      <w:r w:rsidR="00E00DE0" w:rsidRPr="00441D50" w:rsidDel="00E00DE0">
        <w:t xml:space="preserve"> </w:t>
      </w:r>
      <w:r w:rsidR="0039679F" w:rsidRPr="00441D50">
        <w:t>p</w:t>
      </w:r>
      <w:r w:rsidR="00F9571C" w:rsidRPr="00441D50">
        <w:t>reventi</w:t>
      </w:r>
      <w:r w:rsidR="004B4327" w:rsidRPr="00441D50">
        <w:t xml:space="preserve">ng further investigation of this theory. </w:t>
      </w:r>
    </w:p>
    <w:p w14:paraId="0E4F2128" w14:textId="77777777" w:rsidR="00F9571C" w:rsidRPr="00441D50" w:rsidRDefault="00F9571C" w:rsidP="00963411">
      <w:pPr>
        <w:spacing w:line="480" w:lineRule="auto"/>
        <w:jc w:val="both"/>
      </w:pPr>
    </w:p>
    <w:p w14:paraId="0CB7AE90" w14:textId="7AF58230" w:rsidR="00182A29" w:rsidRPr="00441D50" w:rsidRDefault="00341AA2" w:rsidP="00963411">
      <w:pPr>
        <w:spacing w:line="480" w:lineRule="auto"/>
        <w:jc w:val="both"/>
      </w:pPr>
      <w:r w:rsidRPr="00441D50">
        <w:lastRenderedPageBreak/>
        <w:t xml:space="preserve">The </w:t>
      </w:r>
      <w:r w:rsidR="00F86D10" w:rsidRPr="00441D50">
        <w:t>prevalence</w:t>
      </w:r>
      <w:r w:rsidRPr="00441D50">
        <w:t xml:space="preserve"> of </w:t>
      </w:r>
      <w:r w:rsidR="00780435" w:rsidRPr="00441D50">
        <w:t xml:space="preserve">positive </w:t>
      </w:r>
      <w:r w:rsidRPr="00441D50">
        <w:t xml:space="preserve">bacterial culture from peritoneal fluid </w:t>
      </w:r>
      <w:r w:rsidR="00780435" w:rsidRPr="00441D50">
        <w:t xml:space="preserve">in the </w:t>
      </w:r>
      <w:r w:rsidR="00F86D10" w:rsidRPr="00441D50">
        <w:t>current</w:t>
      </w:r>
      <w:r w:rsidR="00780435" w:rsidRPr="00441D50">
        <w:t xml:space="preserve"> study </w:t>
      </w:r>
      <w:r w:rsidRPr="00441D50">
        <w:t xml:space="preserve">was lower than </w:t>
      </w:r>
      <w:r w:rsidR="00BB1431" w:rsidRPr="00441D50">
        <w:t>a previous study</w:t>
      </w:r>
      <w:r w:rsidR="007B12B5" w:rsidRPr="00441D50">
        <w:fldChar w:fldCharType="begin" w:fldLock="1"/>
      </w:r>
      <w:r w:rsidR="004743C4" w:rsidRPr="00441D50">
        <w:instrText>ADDIN CSL_CITATION {"citationItems":[{"id":"ITEM-1","itemData":{"ISSN":"1528-3593","PMID":"20425731","abstract":"This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medicine","id":"ITEM-1","issue":"4","issued":{"date-parts":[["2009"]]},"page":"E1-13","title":"Evaluation of intraoperative culture results as a predictor for short-term incisional complications in 49 horses undergoing abdominal surgery","type":"article-journal","volume":"10"},"uris":["http://www.mendeley.com/documents/?uuid=8e4bda97-edf8-4960-b7e3-7ed4a433ae9d"]}],"mendeley":{"formattedCitation":"(36)","plainTextFormattedCitation":"(36)","previouslyFormattedCitation":"(36)"},"properties":{"noteIndex":0},"schema":"https://github.com/citation-style-language/schema/raw/master/csl-citation.json"}</w:instrText>
      </w:r>
      <w:r w:rsidR="007B12B5" w:rsidRPr="00441D50">
        <w:fldChar w:fldCharType="separate"/>
      </w:r>
      <w:r w:rsidR="004743C4" w:rsidRPr="00441D50">
        <w:rPr>
          <w:noProof/>
        </w:rPr>
        <w:t>(36)</w:t>
      </w:r>
      <w:r w:rsidR="007B12B5" w:rsidRPr="00441D50">
        <w:fldChar w:fldCharType="end"/>
      </w:r>
      <w:r w:rsidR="008A102C" w:rsidRPr="00441D50">
        <w:t>,</w:t>
      </w:r>
      <w:r w:rsidR="00032861" w:rsidRPr="00441D50">
        <w:t xml:space="preserve"> </w:t>
      </w:r>
      <w:r w:rsidR="00182A29" w:rsidRPr="00441D50">
        <w:t xml:space="preserve">being positive in </w:t>
      </w:r>
      <w:r w:rsidR="00005BEA" w:rsidRPr="00441D50">
        <w:t>11.8</w:t>
      </w:r>
      <w:r w:rsidR="00182A29" w:rsidRPr="00441D50">
        <w:t xml:space="preserve">% of admission peritoneal </w:t>
      </w:r>
      <w:r w:rsidR="0024390C" w:rsidRPr="00441D50">
        <w:t xml:space="preserve">fluid </w:t>
      </w:r>
      <w:r w:rsidR="00182A29" w:rsidRPr="00441D50">
        <w:t xml:space="preserve">samples and </w:t>
      </w:r>
      <w:r w:rsidR="00005BEA" w:rsidRPr="00441D50">
        <w:t>8.7</w:t>
      </w:r>
      <w:r w:rsidR="00182A29" w:rsidRPr="00441D50">
        <w:t xml:space="preserve">% of peritoneal fluid samples taken at the end of surgery, prior to closure of the linea alba. </w:t>
      </w:r>
      <w:r w:rsidR="007F346F" w:rsidRPr="00441D50">
        <w:t>The</w:t>
      </w:r>
      <w:r w:rsidR="00182A29" w:rsidRPr="00441D50">
        <w:t xml:space="preserve"> previous study </w:t>
      </w:r>
      <w:r w:rsidRPr="00441D50">
        <w:t>reported positive bacterial cultures from 96% of peritoneal fluid samples t</w:t>
      </w:r>
      <w:r w:rsidR="00E254C7" w:rsidRPr="00441D50">
        <w:t xml:space="preserve">aken </w:t>
      </w:r>
      <w:r w:rsidR="00780435" w:rsidRPr="00441D50">
        <w:t xml:space="preserve">during </w:t>
      </w:r>
      <w:r w:rsidR="00E254C7" w:rsidRPr="00441D50">
        <w:t xml:space="preserve">abdominal surgery in </w:t>
      </w:r>
      <w:r w:rsidR="00780435" w:rsidRPr="00441D50">
        <w:t>horses</w:t>
      </w:r>
      <w:r w:rsidR="00BB1431" w:rsidRPr="00441D50">
        <w:fldChar w:fldCharType="begin" w:fldLock="1"/>
      </w:r>
      <w:r w:rsidR="004743C4" w:rsidRPr="00441D50">
        <w:instrText>ADDIN CSL_CITATION {"citationItems":[{"id":"ITEM-1","itemData":{"ISSN":"1528-3593","PMID":"20425731","abstract":"This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medicine","id":"ITEM-1","issue":"4","issued":{"date-parts":[["2009"]]},"page":"E1-13","title":"Evaluation of intraoperative culture results as a predictor for short-term incisional complications in 49 horses undergoing abdominal surgery","type":"article-journal","volume":"10"},"uris":["http://www.mendeley.com/documents/?uuid=8e4bda97-edf8-4960-b7e3-7ed4a433ae9d"]}],"mendeley":{"formattedCitation":"(36)","plainTextFormattedCitation":"(36)","previouslyFormattedCitation":"(36)"},"properties":{"noteIndex":0},"schema":"https://github.com/citation-style-language/schema/raw/master/csl-citation.json"}</w:instrText>
      </w:r>
      <w:r w:rsidR="00BB1431" w:rsidRPr="00441D50">
        <w:fldChar w:fldCharType="separate"/>
      </w:r>
      <w:r w:rsidR="004743C4" w:rsidRPr="00441D50">
        <w:rPr>
          <w:noProof/>
        </w:rPr>
        <w:t>(36)</w:t>
      </w:r>
      <w:r w:rsidR="00BB1431" w:rsidRPr="00441D50">
        <w:fldChar w:fldCharType="end"/>
      </w:r>
      <w:r w:rsidR="00780435" w:rsidRPr="00441D50">
        <w:t xml:space="preserve">. </w:t>
      </w:r>
      <w:r w:rsidR="000D2A9A" w:rsidRPr="00441D50">
        <w:t>That</w:t>
      </w:r>
      <w:r w:rsidR="00F86D10" w:rsidRPr="00441D50">
        <w:t xml:space="preserve"> study sampled </w:t>
      </w:r>
      <w:r w:rsidR="00780435" w:rsidRPr="00441D50">
        <w:t xml:space="preserve">enterotomy and anastomosis sites, where some degree of bacterial contamination from intraluminal contents </w:t>
      </w:r>
      <w:r w:rsidR="00F9571C" w:rsidRPr="00441D50">
        <w:t xml:space="preserve">is likely </w:t>
      </w:r>
      <w:r w:rsidR="000D2A9A" w:rsidRPr="00441D50">
        <w:t>but</w:t>
      </w:r>
      <w:r w:rsidR="00780435" w:rsidRPr="00441D50">
        <w:t xml:space="preserve"> </w:t>
      </w:r>
      <w:r w:rsidR="000D2A9A" w:rsidRPr="00441D50">
        <w:t>a</w:t>
      </w:r>
      <w:r w:rsidR="00F86D10" w:rsidRPr="00441D50">
        <w:t>lso included</w:t>
      </w:r>
      <w:r w:rsidR="000D2A9A" w:rsidRPr="00441D50">
        <w:t xml:space="preserve"> </w:t>
      </w:r>
      <w:r w:rsidR="00E254C7" w:rsidRPr="00441D50">
        <w:t>11 positive samples</w:t>
      </w:r>
      <w:r w:rsidR="00780435" w:rsidRPr="00441D50">
        <w:t xml:space="preserve"> </w:t>
      </w:r>
      <w:r w:rsidR="00E254C7" w:rsidRPr="00441D50">
        <w:t xml:space="preserve">from 13 horses not undergoing enterotomy or intestinal resection.  </w:t>
      </w:r>
      <w:r w:rsidR="00F9571C" w:rsidRPr="00441D50">
        <w:t xml:space="preserve">The reason for the lower prevalence in this study is not clear </w:t>
      </w:r>
      <w:r w:rsidR="00121DD7" w:rsidRPr="00441D50">
        <w:t>and both groups would have received antimicrobials prior to surgery starting</w:t>
      </w:r>
      <w:r w:rsidR="00F9571C" w:rsidRPr="00441D50">
        <w:t xml:space="preserve">. </w:t>
      </w:r>
      <w:r w:rsidR="00182A29" w:rsidRPr="00441D50">
        <w:t xml:space="preserve"> Where a positive culture was obtained from peritoneal fluid, these horses did not develop overt peritonitis, suggesting that the type and duration of antimicrobial therapy was appropriate</w:t>
      </w:r>
      <w:r w:rsidR="00BB1431" w:rsidRPr="00441D50">
        <w:t xml:space="preserve"> or that infection was cleared via natural defence mechanisms</w:t>
      </w:r>
      <w:r w:rsidR="00182A29" w:rsidRPr="00441D50">
        <w:t xml:space="preserve">. Whilst penicillin and gentamicin </w:t>
      </w:r>
      <w:r w:rsidR="00BB1431" w:rsidRPr="00441D50">
        <w:t>are</w:t>
      </w:r>
      <w:r w:rsidR="00182A29" w:rsidRPr="00441D50">
        <w:t xml:space="preserve"> routine for prophylaxis for exploratory laparotomy, this is an area of variability about the need for antimicrobial use at all where the procedure is deemed to be clean</w:t>
      </w:r>
      <w:r w:rsidR="007B12B5" w:rsidRPr="00441D50">
        <w:fldChar w:fldCharType="begin" w:fldLock="1"/>
      </w:r>
      <w:r w:rsidR="00267DAA" w:rsidRPr="00441D50">
        <w:instrText>ADDIN CSL_CITATION {"citationItems":[{"id":"ITEM-1","itemData":{"DOI":"10.1111/j.2042-3306.2011.00515.x","ISSN":"04251644","abstract":"Reasons for performing study: Infections are common complications in post operative colic patients. It is the impression of some surgeons that pyrexia in the early post operative period is a sign of infection and appropriate timing of perioperative antimicrobials will decrease the incidence of post operative infection. Objective: To determine the association between 1) post operative pyrexia and development of infection and 2) perioperative antimicrobial drug use and infection rate in post operative colic patients. Methods: Medical records of patients undergoing surgical treatment for colic were reviewed. Horses recovering from surgery and surviving &gt;48h were included. Data relating to case details, duration of surgery, post operative infection, peri- and post operative antimicrobial administration, presence, intensity and duration of pyrexia, were recorded. Data were analysed using standard statistical methods for simple comparisons between groups and by logistic regression for more complex comparisons. Results: One-hundred-and-thirteen horses were included in the final analyses, 48 (43%) of which were diagnosed with a post operative infection. Duration of surgery and anaesthesia were associated with post operative infection. Eighty-five percent of horses (n = 96) exhibited pyrexia (rectal temperature &gt;38.3°C) post operatively. Peak temperature &gt;39.2°C, time post surgery to peak temperature &gt;48h and duration of pyrexia &gt;48h were significantly associated with infection. In a combined model, time to first pyrexic &gt;48h post surgery, peak temperature and time to peak &gt;48h were equally weighted and the model's positive predictive value for post operative infection was 72%. Timing and dose rate of preoperative antimicrobials were not associated with infection but duration of post operative antimicrobial drug use was. Conclusion and clinical relevance: Slight to mild pyrexia (38-39.4°C) in the early post operative period is not necessarily associated with impending bacterial infection in colic patients and the use of antimicrobials in these patients may be costly and unnecessary. © 2011 EVJ Ltd.","author":[{"dropping-particle":"","family":"Freeman","given":"K. D.","non-dropping-particle":"","parse-names":false,"suffix":""},{"dropping-particle":"","family":"Southwood","given":"L. L.","non-dropping-particle":"","parse-names":false,"suffix":""},{"dropping-particle":"","family":"Lane","given":"J.","non-dropping-particle":"","parse-names":false,"suffix":""},{"dropping-particle":"","family":"Lindborg","given":"S.","non-dropping-particle":"","parse-names":false,"suffix":""},{"dropping-particle":"","family":"Aceto","given":"H. W.","non-dropping-particle":"","parse-names":false,"suffix":""}],"container-title":"Equine Veterinary Journal","id":"ITEM-1","issue":"4","issued":{"date-parts":[["2012"]]},"page":"476-481","title":"Post operative infection, pyrexia and perioperative antimicrobial drug use in surgical colic patients","type":"article-journal","volume":"44"},"uris":["http://www.mendeley.com/documents/?uuid=04344cee-42d8-413d-bd72-c12b1f137872"]}],"mendeley":{"formattedCitation":"(37)","plainTextFormattedCitation":"(37)","previouslyFormattedCitation":"(37)"},"properties":{"noteIndex":0},"schema":"https://github.com/citation-style-language/schema/raw/master/csl-citation.json"}</w:instrText>
      </w:r>
      <w:r w:rsidR="007B12B5" w:rsidRPr="00441D50">
        <w:fldChar w:fldCharType="separate"/>
      </w:r>
      <w:r w:rsidR="00267DAA" w:rsidRPr="00441D50">
        <w:rPr>
          <w:noProof/>
        </w:rPr>
        <w:t>(37)</w:t>
      </w:r>
      <w:r w:rsidR="007B12B5" w:rsidRPr="00441D50">
        <w:fldChar w:fldCharType="end"/>
      </w:r>
      <w:r w:rsidR="007B12B5" w:rsidRPr="00441D50">
        <w:t xml:space="preserve">. </w:t>
      </w:r>
      <w:r w:rsidR="0005105F" w:rsidRPr="00441D50">
        <w:t>Both the</w:t>
      </w:r>
      <w:r w:rsidR="00806055" w:rsidRPr="00441D50">
        <w:t xml:space="preserve"> timing and dosage of antimicrobials prior to exploratory laparotomy</w:t>
      </w:r>
      <w:r w:rsidR="0005105F" w:rsidRPr="00441D50">
        <w:fldChar w:fldCharType="begin" w:fldLock="1"/>
      </w:r>
      <w:r w:rsidR="00267DAA" w:rsidRPr="00441D50">
        <w:instrText>ADDIN CSL_CITATION {"citationItems":[{"id":"ITEM-1","itemData":{"DOI":"10.1111/j.2042-3306.2011.00515.x","ISSN":"04251644","abstract":"Reasons for performing study: Infections are common complications in post operative colic patients. It is the impression of some surgeons that pyrexia in the early post operative period is a sign of infection and appropriate timing of perioperative antimicrobials will decrease the incidence of post operative infection. Objective: To determine the association between 1) post operative pyrexia and development of infection and 2) perioperative antimicrobial drug use and infection rate in post operative colic patients. Methods: Medical records of patients undergoing surgical treatment for colic were reviewed. Horses recovering from surgery and surviving &gt;48h were included. Data relating to case details, duration of surgery, post operative infection, peri- and post operative antimicrobial administration, presence, intensity and duration of pyrexia, were recorded. Data were analysed using standard statistical methods for simple comparisons between groups and by logistic regression for more complex comparisons. Results: One-hundred-and-thirteen horses were included in the final analyses, 48 (43%) of which were diagnosed with a post operative infection. Duration of surgery and anaesthesia were associated with post operative infection. Eighty-five percent of horses (n = 96) exhibited pyrexia (rectal temperature &gt;38.3°C) post operatively. Peak temperature &gt;39.2°C, time post surgery to peak temperature &gt;48h and duration of pyrexia &gt;48h were significantly associated with infection. In a combined model, time to first pyrexic &gt;48h post surgery, peak temperature and time to peak &gt;48h were equally weighted and the model's positive predictive value for post operative infection was 72%. Timing and dose rate of preoperative antimicrobials were not associated with infection but duration of post operative antimicrobial drug use was. Conclusion and clinical relevance: Slight to mild pyrexia (38-39.4°C) in the early post operative period is not necessarily associated with impending bacterial infection in colic patients and the use of antimicrobials in these patients may be costly and unnecessary. © 2011 EVJ Ltd.","author":[{"dropping-particle":"","family":"Freeman","given":"K. D.","non-dropping-particle":"","parse-names":false,"suffix":""},{"dropping-particle":"","family":"Southwood","given":"L. L.","non-dropping-particle":"","parse-names":false,"suffix":""},{"dropping-particle":"","family":"Lane","given":"J.","non-dropping-particle":"","parse-names":false,"suffix":""},{"dropping-particle":"","family":"Lindborg","given":"S.","non-dropping-particle":"","parse-names":false,"suffix":""},{"dropping-particle":"","family":"Aceto","given":"H. W.","non-dropping-particle":"","parse-names":false,"suffix":""}],"container-title":"Equine Veterinary Journal","id":"ITEM-1","issue":"4","issued":{"date-parts":[["2012"]]},"page":"476-481","title":"Post operative infection, pyrexia and perioperative antimicrobial drug use in surgical colic patients","type":"article-journal","volume":"44"},"uris":["http://www.mendeley.com/documents/?uuid=04344cee-42d8-413d-bd72-c12b1f137872"]}],"mendeley":{"formattedCitation":"(37)","plainTextFormattedCitation":"(37)","previouslyFormattedCitation":"(37)"},"properties":{"noteIndex":0},"schema":"https://github.com/citation-style-language/schema/raw/master/csl-citation.json"}</w:instrText>
      </w:r>
      <w:r w:rsidR="0005105F" w:rsidRPr="00441D50">
        <w:fldChar w:fldCharType="separate"/>
      </w:r>
      <w:r w:rsidR="00267DAA" w:rsidRPr="00441D50">
        <w:rPr>
          <w:noProof/>
        </w:rPr>
        <w:t>(37)</w:t>
      </w:r>
      <w:r w:rsidR="0005105F" w:rsidRPr="00441D50">
        <w:fldChar w:fldCharType="end"/>
      </w:r>
      <w:r w:rsidR="0005105F" w:rsidRPr="00441D50">
        <w:t xml:space="preserve"> and the duration of antimicrobial therapy after surgery</w:t>
      </w:r>
      <w:r w:rsidR="0005105F" w:rsidRPr="00441D50">
        <w:fldChar w:fldCharType="begin" w:fldLock="1"/>
      </w:r>
      <w:r w:rsidR="00267DAA" w:rsidRPr="00441D50">
        <w:instrText>ADDIN CSL_CITATION {"citationItems":[{"id":"ITEM-1","itemData":{"DOI":"10.1136/vr.101186","ISSN":"00424900","abstract":"Appropriate durations of perioperative antimicrobial therapy following exploratory coeliotomy in horses are controversial, and with the rising prevalence of multiresistant bacteria there is a strong incentive to use antimicrobials for the shortest time possible. Following exploratory coeliotomies, incisional infections are an important cause of morbidity in horses and could be influenced by the duration of systemic antimicrobial therapy. The aim of this study was to investigate whether 72 hours of perioperative antimicrobial therapy is as effective as 120 hours at preventing the development of postoperative incisional infections. Horses undergoing exploratory coeliotomy at two referral hospitals were assigned randomly into Group 1 (receiving 72 hours of perioperative antimicrobial therapy) and Group 2 (receiving 120 hours of perioperative antimicrobial therapy). Only horses recovering from surgery and surviving for &gt;120 hours were included in the study. Ninety-two horses met the criteria for inclusion in the study, 42 in Group 1 and 50 in Group 2. The overall incisional complication rate was 42.2 per cent, and no significant difference in the number of incisional complications in the two groups was identified. Results of the study suggest that there is no benefit in using 120 hours over 72 hours of perioperative antimicrobial therapy to prevent incisional infections.","author":[{"dropping-particle":"","family":"Durward-Akhurst","given":"S. A.","non-dropping-particle":"","parse-names":false,"suffix":""},{"dropping-particle":"","family":"Mair","given":"T. S.","non-dropping-particle":"","parse-names":false,"suffix":""},{"dropping-particle":"","family":"Boston","given":"R.","non-dropping-particle":"","parse-names":false,"suffix":""},{"dropping-particle":"","family":"Dunkel","given":"B.","non-dropping-particle":"","parse-names":false,"suffix":""}],"container-title":"Veterinary Record","id":"ITEM-1","issue":"11","issued":{"date-parts":[["2013"]]},"page":"287","title":"A comparison of two antimicrobial regimens on the prevalence of incisional infections after colic surgery","type":"article-journal","volume":"172"},"uris":["http://www.mendeley.com/documents/?uuid=e7bd4b76-cc2c-4630-b632-581f5fd66db9"]}],"mendeley":{"formattedCitation":"(38)","plainTextFormattedCitation":"(38)","previouslyFormattedCitation":"(38)"},"properties":{"noteIndex":0},"schema":"https://github.com/citation-style-language/schema/raw/master/csl-citation.json"}</w:instrText>
      </w:r>
      <w:r w:rsidR="0005105F" w:rsidRPr="00441D50">
        <w:fldChar w:fldCharType="separate"/>
      </w:r>
      <w:r w:rsidR="00267DAA" w:rsidRPr="00441D50">
        <w:rPr>
          <w:noProof/>
        </w:rPr>
        <w:t>(38)</w:t>
      </w:r>
      <w:r w:rsidR="0005105F" w:rsidRPr="00441D50">
        <w:fldChar w:fldCharType="end"/>
      </w:r>
      <w:r w:rsidR="0005105F" w:rsidRPr="00441D50">
        <w:t xml:space="preserve"> have been shown to have no association with development of SSI in equine colic cases. </w:t>
      </w:r>
    </w:p>
    <w:p w14:paraId="7DB0722C" w14:textId="77777777" w:rsidR="00780435" w:rsidRPr="00441D50" w:rsidRDefault="00780435" w:rsidP="00963411">
      <w:pPr>
        <w:spacing w:line="480" w:lineRule="auto"/>
        <w:jc w:val="both"/>
      </w:pPr>
    </w:p>
    <w:p w14:paraId="7518F419" w14:textId="69906E7B" w:rsidR="008628DB" w:rsidRPr="00441D50" w:rsidRDefault="008628DB" w:rsidP="00963411">
      <w:pPr>
        <w:spacing w:line="480" w:lineRule="auto"/>
        <w:jc w:val="both"/>
      </w:pPr>
      <w:r w:rsidRPr="00441D50">
        <w:t>We found no association between a positive culture</w:t>
      </w:r>
      <w:r w:rsidR="00121DD7" w:rsidRPr="00441D50">
        <w:t xml:space="preserve"> and</w:t>
      </w:r>
      <w:r w:rsidRPr="00441D50">
        <w:t xml:space="preserve"> subsequent development of </w:t>
      </w:r>
      <w:proofErr w:type="gramStart"/>
      <w:r w:rsidRPr="00441D50">
        <w:t>a</w:t>
      </w:r>
      <w:proofErr w:type="gramEnd"/>
      <w:r w:rsidRPr="00441D50">
        <w:t xml:space="preserve"> SSI or </w:t>
      </w:r>
      <w:r w:rsidR="00121DD7" w:rsidRPr="00441D50">
        <w:t xml:space="preserve">altered </w:t>
      </w:r>
      <w:r w:rsidRPr="00441D50">
        <w:t>survival to discharge</w:t>
      </w:r>
      <w:r w:rsidR="00121DD7" w:rsidRPr="00441D50">
        <w:t xml:space="preserve"> in this pilot study</w:t>
      </w:r>
      <w:r w:rsidR="00032861" w:rsidRPr="00441D50">
        <w:t xml:space="preserve">. However, due to the small numbers, </w:t>
      </w:r>
      <w:r w:rsidR="00121DD7" w:rsidRPr="00441D50">
        <w:t>the study is under-powered to detect a significant difference</w:t>
      </w:r>
      <w:r w:rsidR="00416F48" w:rsidRPr="00441D50">
        <w:t xml:space="preserve"> between either group</w:t>
      </w:r>
      <w:r w:rsidRPr="00441D50">
        <w:t xml:space="preserve">. </w:t>
      </w:r>
      <w:r w:rsidR="00121DD7" w:rsidRPr="00441D50">
        <w:t>Consistent</w:t>
      </w:r>
      <w:r w:rsidRPr="00441D50">
        <w:t xml:space="preserve"> with previous studies</w:t>
      </w:r>
      <w:r w:rsidRPr="00441D50">
        <w:fldChar w:fldCharType="begin" w:fldLock="1"/>
      </w:r>
      <w:r w:rsidR="00522320" w:rsidRPr="00441D50">
        <w:instrText>ADDIN CSL_CITATION {"citationItems":[{"id":"ITEM-1","itemData":{"ISBN":"0161349919","author":[{"dropping-particle":"","family":"Ingle-Fehr","given":"J.E.","non-dropping-particle":"","parse-names":false,"suffix":""}],"container-title":"Veterinary Surgery","id":"ITEM-1","issue":"1","issued":{"date-parts":[["1997"]]},"page":"7-13","title":"Bacterial Culturing of Ventral Median Celiotomies for Prediction of Postoperative Incisional Complications in Horses","type":"article-journal","volume":"26"},"uris":["http://www.mendeley.com/documents/?uuid=13f5dd42-50a1-4e69-bf61-5c5c55d40316"]},{"id":"ITEM-2","itemData":{"ISSN":"1528-3593","PMID":"20425731","abstract":"This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medicine","id":"ITEM-2","issue":"4","issued":{"date-parts":[["2009"]]},"page":"E1-13","title":"Evaluation of intraoperative culture results as a predictor for short-term incisional complications in 49 horses undergoing abdominal surgery","type":"article-journal","volume":"10"},"uris":["http://www.mendeley.com/documents/?uuid=8e4bda97-edf8-4960-b7e3-7ed4a433ae9d"]},{"id":"ITEM-3","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Care","id":"ITEM-3","issue":"6","issued":{"date-parts":[["2012"]]},"page":"653-660","title":"Presumptive bacterial translocation in horses with strangulating small intestinal lesions requiring resection and anastomosis","type":"article-journal","volume":"22"},"uris":["http://www.mendeley.com/documents/?uuid=7b8197aa-d322-4b64-b8e1-7a1ffa92939c"]},{"id":"ITEM-4","itemData":{"DOI":"10.1111/evj.12958","ISSN":"20423306","PMID":"29679416","abstract":"BACKGROUND: There is limited information about bacterial isolates that are present on the equine midline incision during and following exploratory laparotomy. OBJECTIVES: To investigate the bacterial species cultured from the ventral midline pre-, intra- and post laparotomy, whether particular bacterial isolates are associated with the development of surgical site infections (SSIs) and to report the antimicrobial resistance phenotypes of these isolates. STUDY DESIGN: Prospective cohort study. METHODS: The ventral midline of 31 horses undergoing exploratory laparotomy were sampled for bacterial culture at set time-points pre, intra and post-operatively. Inclusion criteria were that horses must have undergone exploratory laparotomy within 90 min of the initial colic examination upon hospital admission and must not have been placed in a stable prior to surgery. SSI was defined as any purulent or serous discharge from the laparotomy incision of &gt;24 hour duration. RESULTS: Seven horses (22.6%) developed a SSI. None of the variables tested were associated with altered risk of SSI. The prevalence of a positive bacterial culture from the incision increased progressively over time and a variety of bacteria were isolated. A positive intra-operative culture was not a predictor of SSI; and when a SSI did occur, it was due to a different bacterial isolate. MRSA and ESBL-producers were identified in the post-operative period in one and four different horses respectively, but none of these developed a SSI. MAIN LIMITATIONS: Sampling was limited to hospitalisation and no culture results were available for horses developing SSI following hospital discharge. CONCLUSIONS: A variety of bacterial species may be isolated from equine laparotomy incisions peri-operatively without development of SSI. SSI does not appear to be solely related to bacterial contamination of the incision peri-operatively and other mechanisms such as bacteraemia merit further investigation. This article is protected by copyright. All rights reserved.","author":[{"dropping-particle":"","family":"Isgren","given":"C. M.","non-dropping-particle":"","parse-names":false,"suffix":""},{"dropping-particle":"","family":"Salem","given":"S. E.","non-dropping-particle":"","parse-names":false,"suffix":""},{"dropping-particle":"","family":"Townsend","given":"N. B.","non-dropping-particle":"","parse-names":false,"suffix":""},{"dropping-particle":"","family":"Timofte","given":"D.","non-dropping-particle":"","parse-names":false,"suffix":""},{"dropping-particle":"","family":"Maddox","given":"T. W.","non-dropping-particle":"","parse-names":false,"suffix":""},{"dropping-particle":"","family":"Archer","given":"D. C.","non-dropping-particle":"","parse-names":false,"suffix":""}],"container-title":"Equine Veterinary Journal","id":"ITEM-4","issued":{"date-parts":[["2018"]]},"page":"38-44","title":"Sequential bacterial sampling of the midline incision in horses undergoing exploratory laparotomy","type":"article-journal","volume":"51"},"uris":["http://www.mendeley.com/documents/?uuid=b9bc2014-30a0-4e3b-a791-7de248c3afd9"]}],"mendeley":{"formattedCitation":"(23,34,36,39)","plainTextFormattedCitation":"(23,34,36,39)","previouslyFormattedCitation":"(23,34,36,39)"},"properties":{"noteIndex":0},"schema":"https://github.com/citation-style-language/schema/raw/master/csl-citation.json"}</w:instrText>
      </w:r>
      <w:r w:rsidRPr="00441D50">
        <w:fldChar w:fldCharType="separate"/>
      </w:r>
      <w:r w:rsidR="00522320" w:rsidRPr="00441D50">
        <w:rPr>
          <w:noProof/>
        </w:rPr>
        <w:t>(23,34,36,39)</w:t>
      </w:r>
      <w:r w:rsidRPr="00441D50">
        <w:fldChar w:fldCharType="end"/>
      </w:r>
      <w:r w:rsidRPr="00441D50">
        <w:t xml:space="preserve">, the bacteria cultured from the pre- and intra-operative samples </w:t>
      </w:r>
      <w:r w:rsidR="00BB1431" w:rsidRPr="00441D50">
        <w:t>were</w:t>
      </w:r>
      <w:r w:rsidRPr="00441D50">
        <w:t xml:space="preserve"> not reflective of what was cultured from subsequent SSI. </w:t>
      </w:r>
      <w:r w:rsidR="0005105F" w:rsidRPr="00441D50">
        <w:t xml:space="preserve">In addition, susceptibility testing performed on isolates from our study shows that five (42%) </w:t>
      </w:r>
      <w:r w:rsidRPr="00441D50">
        <w:t>of the bacterial isolates</w:t>
      </w:r>
      <w:r w:rsidR="0005105F" w:rsidRPr="00441D50">
        <w:t xml:space="preserve"> </w:t>
      </w:r>
      <w:r w:rsidRPr="00441D50">
        <w:t xml:space="preserve">were resistant to penicillin and a </w:t>
      </w:r>
      <w:r w:rsidR="0005105F" w:rsidRPr="00441D50">
        <w:t xml:space="preserve">two (16%) </w:t>
      </w:r>
      <w:r w:rsidRPr="00441D50">
        <w:t>of the isolates were resistant to both penicillin and gentamicin.</w:t>
      </w:r>
      <w:r w:rsidR="00373C2A" w:rsidRPr="00441D50">
        <w:t xml:space="preserve"> However, the low prevalence of SSI in this study would support ongoing use of this regime. </w:t>
      </w:r>
      <w:r w:rsidRPr="00441D50">
        <w:t>Previous work carried out at</w:t>
      </w:r>
      <w:r w:rsidR="00D8272D" w:rsidRPr="00441D50">
        <w:t xml:space="preserve"> </w:t>
      </w:r>
      <w:r w:rsidR="00D8272D" w:rsidRPr="00441D50">
        <w:lastRenderedPageBreak/>
        <w:t xml:space="preserve">our </w:t>
      </w:r>
      <w:r w:rsidRPr="00441D50">
        <w:t xml:space="preserve"> hospital identified a similar pattern of resistance, with a high frequency of penicillin resistant bacteria in cultures from SSI</w:t>
      </w:r>
      <w:r w:rsidRPr="00441D50">
        <w:fldChar w:fldCharType="begin" w:fldLock="1"/>
      </w:r>
      <w:r w:rsidR="00267DAA" w:rsidRPr="00441D50">
        <w:instrText>ADDIN CSL_CITATION {"citationItems":[{"id":"ITEM-1","itemData":{"DOI":"10.1111/evj.12564","author":[{"dropping-particle":"","family":"Isgren","given":"C M","non-dropping-particle":"","parse-names":false,"suffix":""},{"dropping-particle":"","family":"Salem","given":"S E","non-dropping-particle":"","parse-names":false,"suffix":""},{"dropping-particle":"","family":"Archer","given":"D C","non-dropping-particle":"","parse-names":false,"suffix":""},{"dropping-particle":"","family":"Worsman","given":"F C F","non-dropping-particle":"","parse-names":false,"suffix":""},{"dropping-particle":"","family":"Townsend","given":"N B","non-dropping-particle":"","parse-names":false,"suffix":""}],"container-title":"Equine veterinary journal","id":"ITEM-1","issued":{"date-parts":[["2017"]]},"page":"39-44","title":"Risk factors for surgical site infection following laparotomy : Effect of season and perioperative variables and reporting of bacterial isolates in 287 horses","type":"article-journal"},"uris":["http://www.mendeley.com/documents/?uuid=45448944-0f90-4b2e-ac8d-aab6342fe372"]}],"mendeley":{"formattedCitation":"(20)","plainTextFormattedCitation":"(20)","previouslyFormattedCitation":"(20)"},"properties":{"noteIndex":0},"schema":"https://github.com/citation-style-language/schema/raw/master/csl-citation.json"}</w:instrText>
      </w:r>
      <w:r w:rsidRPr="00441D50">
        <w:fldChar w:fldCharType="separate"/>
      </w:r>
      <w:r w:rsidR="00267DAA" w:rsidRPr="00441D50">
        <w:rPr>
          <w:noProof/>
        </w:rPr>
        <w:t>(20)</w:t>
      </w:r>
      <w:r w:rsidRPr="00441D50">
        <w:fldChar w:fldCharType="end"/>
      </w:r>
      <w:r w:rsidRPr="00441D50">
        <w:t>. Ideally, all samples would have been collected prior to administration of antimicrobials</w:t>
      </w:r>
      <w:r w:rsidR="008E018F" w:rsidRPr="00441D50">
        <w:t xml:space="preserve"> as this may have affected the likelihood of a positive sample.</w:t>
      </w:r>
      <w:r w:rsidR="00373C2A" w:rsidRPr="00441D50">
        <w:t xml:space="preserve"> </w:t>
      </w:r>
      <w:r w:rsidR="00522320" w:rsidRPr="00441D50">
        <w:t xml:space="preserve">However, it was not deemed ethical to withhold antimicrobials prior to surgery. </w:t>
      </w:r>
    </w:p>
    <w:p w14:paraId="5959557F" w14:textId="77777777" w:rsidR="00780435" w:rsidRPr="00441D50" w:rsidRDefault="00780435" w:rsidP="00963411">
      <w:pPr>
        <w:spacing w:line="480" w:lineRule="auto"/>
        <w:jc w:val="both"/>
      </w:pPr>
    </w:p>
    <w:p w14:paraId="5331D110" w14:textId="234D7F66" w:rsidR="00BE2FA3" w:rsidRPr="00441D50" w:rsidRDefault="00CC7A9C" w:rsidP="00963411">
      <w:pPr>
        <w:spacing w:line="480" w:lineRule="auto"/>
        <w:jc w:val="both"/>
      </w:pPr>
      <w:r w:rsidRPr="00441D50">
        <w:t xml:space="preserve">Determining whether a positive culture is reflective of bacterial translocation or sample contamination is </w:t>
      </w:r>
      <w:r w:rsidR="00B64CA9" w:rsidRPr="00441D50">
        <w:t xml:space="preserve">often </w:t>
      </w:r>
      <w:r w:rsidRPr="00441D50">
        <w:t xml:space="preserve">difficult. In human studies, up to 41% of positive blood cultures </w:t>
      </w:r>
      <w:r w:rsidR="00ED7065" w:rsidRPr="00441D50">
        <w:t xml:space="preserve">from </w:t>
      </w:r>
      <w:proofErr w:type="spellStart"/>
      <w:r w:rsidR="00ED7065" w:rsidRPr="00441D50">
        <w:t>septicaemic</w:t>
      </w:r>
      <w:proofErr w:type="spellEnd"/>
      <w:r w:rsidR="00ED7065" w:rsidRPr="00441D50">
        <w:t xml:space="preserve"> patients </w:t>
      </w:r>
      <w:r w:rsidRPr="00441D50">
        <w:t>were considered to be due to contamination rather than true bacteraemia</w:t>
      </w:r>
      <w:r w:rsidRPr="00441D50">
        <w:fldChar w:fldCharType="begin" w:fldLock="1"/>
      </w:r>
      <w:r w:rsidR="009B0208">
        <w:instrText>ADDIN CSL_CITATION {"citationItems":[{"id":"ITEM-1","itemData":{"ISSN":"1537-6591","author":[{"dropping-particle":"","family":"Weinstein","given":"Melvin P","non-dropping-particle":"","parse-names":false,"suffix":""},{"dropping-particle":"","family":"Towns","given":"Michael L","non-dropping-particle":"","parse-names":false,"suffix":""},{"dropping-particle":"","family":"Quartey","given":"Seth M","non-dropping-particle":"","parse-names":false,"suffix":""},{"dropping-particle":"","family":"Mirrett","given":"Stanley","non-dropping-particle":"","parse-names":false,"suffix":""},{"dropping-particle":"","family":"Reimer","given":"Larry G","non-dropping-particle":"","parse-names":false,"suffix":""},{"dropping-particle":"","family":"Parmigiani","given":"Giovanni","non-dropping-particle":"","parse-names":false,"suffix":""},{"dropping-particle":"","family":"Barth Reller","given":"L","non-dropping-particle":"","parse-names":false,"suffix":""}],"container-title":"Clinical Infectious Diseases","id":"ITEM-1","issue":"4","issued":{"date-parts":[["1997"]]},"page":"584-602","publisher":"The University of Chicago Press","title":"The clinical significance of positive blood cultures in the 1990s: a prospective comprehensive evaluation of the microbiology, epidemiology, and outcome of bacteremia and fungemia in adults","type":"article-journal","volume":"24"},"uris":["http://www.mendeley.com/documents/?uuid=319d9193-efea-43a8-b996-fe8f597e02a7"]}],"mendeley":{"formattedCitation":"(40)","plainTextFormattedCitation":"(40)","previouslyFormattedCitation":"(41)"},"properties":{"noteIndex":0},"schema":"https://github.com/citation-style-language/schema/raw/master/csl-citation.json"}</w:instrText>
      </w:r>
      <w:r w:rsidRPr="00441D50">
        <w:fldChar w:fldCharType="separate"/>
      </w:r>
      <w:r w:rsidR="009B0208" w:rsidRPr="009B0208">
        <w:rPr>
          <w:noProof/>
        </w:rPr>
        <w:t>(40)</w:t>
      </w:r>
      <w:r w:rsidRPr="00441D50">
        <w:fldChar w:fldCharType="end"/>
      </w:r>
      <w:r w:rsidRPr="00441D50">
        <w:t xml:space="preserve">. The wide range of bacterial species cultured in this study was not consistent with the findings from </w:t>
      </w:r>
      <w:r w:rsidR="00896659" w:rsidRPr="00441D50">
        <w:t>previous studies</w:t>
      </w:r>
      <w:r w:rsidR="00032861" w:rsidRPr="00441D50">
        <w:t xml:space="preserve"> in horses with colic</w:t>
      </w:r>
      <w:r w:rsidR="00896659" w:rsidRPr="00441D50">
        <w:t xml:space="preserve">. </w:t>
      </w:r>
      <w:r w:rsidR="00896659" w:rsidRPr="00441D50">
        <w:rPr>
          <w:i/>
        </w:rPr>
        <w:t xml:space="preserve">E. coli </w:t>
      </w:r>
      <w:r w:rsidR="00896659" w:rsidRPr="00441D50">
        <w:t>was reported to be the predominant organism cultured from blood samples</w:t>
      </w:r>
      <w:r w:rsidR="002B60FB" w:rsidRPr="00441D50">
        <w:t xml:space="preserve"> in one study</w:t>
      </w:r>
      <w:r w:rsidR="00522320" w:rsidRPr="00441D50">
        <w:fldChar w:fldCharType="begin" w:fldLock="1"/>
      </w:r>
      <w:r w:rsidR="009B0208">
        <w:instrText>ADDIN CSL_CITATION {"citationItems":[{"id":"ITEM-1","itemData":{"DOI":"10.1111/j.1476-4431.2012.00803.x","ISBN":"1479-3261","ISSN":"14793261","PMID":"23148744","abstract":"Objective To document whether presumptive bacterial translocation (PBT) occurs in horses with small intestinal strangulation (SIS). Design Prospective clinical cohort study. Setting University tertiary care facility. Animals Thirty-six adult horses with SIS (clinical cases) and 10 adult horses without gastrointestinal disease (control cases). Interventions Sterile collection and bacterial culture of samples from peripheral venous blood, mesenteric venous blood, mesenteric lymphatic tissue, and intestinal aspirates from horses with SIS and control horses without gastrointestinal disease. Measurements and Main Results Five of 36 (13.8%) horses with SIS had at least 1 sample yield a positive result. Shorter SIS bowel segments were more likely to yield a positive culture result. (P &lt; 0.01). Two of 10 of control horses had positive culture results with different bacterial species identified compared to horses with SIS. Antimicrobial usage did not influence bacterial culture status (P = 0.31). There were no differences between culture-positive and culture-negative horses with SIS regarding admission, clinical, or clinicopathologic variables. Conclusions PBT occurs in normal horses and in horses with SIS. Bacterial genera differed between groups. A low incidence of PBT occurs in horses with SIS suggesting postoperative morbidity in some cases may be due to other factors.","author":[{"dropping-particle":"","family":"Hurcombe","given":"Samuel D.","non-dropping-particle":"","parse-names":false,"suffix":""},{"dropping-particle":"","family":"Mudge","given":"Margaret C.","non-dropping-particle":"","parse-names":false,"suffix":""},{"dropping-particle":"","family":"Daniels","given":"Joshua B.","non-dropping-particle":"","parse-names":false,"suffix":""}],"container-title":"Journal of Veterinary Emergency and Critical Care","id":"ITEM-1","issue":"6","issued":{"date-parts":[["2012"]]},"page":"653-660","title":"Presumptive bacterial translocation in horses with strangulating small intestinal lesions requiring resection and anastomosis","type":"article-journal","volume":"22"},"uris":["http://www.mendeley.com/documents/?uuid=7b8197aa-d322-4b64-b8e1-7a1ffa92939c"]}],"mendeley":{"formattedCitation":"(34)","plainTextFormattedCitation":"(34)","previouslyFormattedCitation":"(34)"},"properties":{"noteIndex":0},"schema":"https://github.com/citation-style-language/schema/raw/master/csl-citation.json"}</w:instrText>
      </w:r>
      <w:r w:rsidR="00522320" w:rsidRPr="00441D50">
        <w:fldChar w:fldCharType="separate"/>
      </w:r>
      <w:r w:rsidR="00522320" w:rsidRPr="00441D50">
        <w:rPr>
          <w:noProof/>
        </w:rPr>
        <w:t>(34)</w:t>
      </w:r>
      <w:r w:rsidR="00522320" w:rsidRPr="00441D50">
        <w:fldChar w:fldCharType="end"/>
      </w:r>
      <w:r w:rsidR="00896659" w:rsidRPr="00441D50">
        <w:t xml:space="preserve"> whereas </w:t>
      </w:r>
      <w:r w:rsidR="00896659" w:rsidRPr="00441D50">
        <w:rPr>
          <w:i/>
        </w:rPr>
        <w:t xml:space="preserve">E. coli, Streptococcus </w:t>
      </w:r>
      <w:r w:rsidR="00896659" w:rsidRPr="00441D50">
        <w:t xml:space="preserve">spp. and </w:t>
      </w:r>
      <w:r w:rsidR="00896659" w:rsidRPr="00441D50">
        <w:rPr>
          <w:i/>
        </w:rPr>
        <w:t xml:space="preserve">Enterococcus </w:t>
      </w:r>
      <w:r w:rsidR="00896659" w:rsidRPr="00441D50">
        <w:t>spp.</w:t>
      </w:r>
      <w:r w:rsidR="00896659" w:rsidRPr="00441D50">
        <w:rPr>
          <w:i/>
        </w:rPr>
        <w:t xml:space="preserve"> </w:t>
      </w:r>
      <w:r w:rsidR="00896659" w:rsidRPr="00441D50">
        <w:t>were the most common organisms cultured from peritoneal samples</w:t>
      </w:r>
      <w:r w:rsidR="00A66899" w:rsidRPr="00441D50">
        <w:t xml:space="preserve"> in another study</w:t>
      </w:r>
      <w:r w:rsidR="00BB1431" w:rsidRPr="00441D50">
        <w:fldChar w:fldCharType="begin" w:fldLock="1"/>
      </w:r>
      <w:r w:rsidR="004743C4" w:rsidRPr="00441D50">
        <w:instrText>ADDIN CSL_CITATION {"citationItems":[{"id":"ITEM-1","itemData":{"ISSN":"1528-3593","PMID":"20425731","abstract":"This study evaluated bacterial isolates obtained during abdominal surgery and their relationship to short-term incisional complications. Samples of peritoneal fluid and from resection and/or enterotomy sites from 49 horses were cultured, with 96% having at least one positive culture result. The most common isolates were Escherichia coli, Streptococcus spp, and Enterococcus spp. Horses with small intestinal resections were more likely to grow obligate anaerobes and enteric organisms. Horses with small intestinal lesions (± resection) were more likely to grow enteric organisms and less likely to grow non-enteric organisms. Horses without enterotomy or resection procedures were more likely to grow &lt;3 isolates and did not grow obligate anaerobes. The continued incisional drainage rate was 10%. Horses with preoperative peripheral leukocyte counts &gt;8,500 cells/μl were more likely to develop incisional drainage. Many horses undergoing abdominal surgery may have positive intraoperative culture results. Our results did not provide evidence for the routine use of in-traoperative culture to predict short-term incisional complications. Further studies are needed to evaluate the value of intraoperative culture in horses at high risk for incisional complications. © 2009 MediMedia Animal Health.","author":[{"dropping-particle":"","family":"Rodriguez","given":"Francisco","non-dropping-particle":"","parse-names":false,"suffix":""},{"dropping-particle":"","family":"Kramer","given":"Joanne","non-dropping-particle":"","parse-names":false,"suffix":""},{"dropping-particle":"","family":"Fales","given":"William H.","non-dropping-particle":"","parse-names":false,"suffix":""},{"dropping-particle":"","family":"Wilson","given":"David A.","non-dropping-particle":"","parse-names":false,"suffix":""},{"dropping-particle":"","family":"Keegan","given":"Kevin G.","non-dropping-particle":"","parse-names":false,"suffix":""}],"container-title":"Veterinary therapeutics : research in applied veterinary medicine","id":"ITEM-1","issue":"4","issued":{"date-parts":[["2009"]]},"page":"E1-13","title":"Evaluation of intraoperative culture results as a predictor for short-term incisional complications in 49 horses undergoing abdominal surgery","type":"article-journal","volume":"10"},"uris":["http://www.mendeley.com/documents/?uuid=8e4bda97-edf8-4960-b7e3-7ed4a433ae9d"]}],"mendeley":{"formattedCitation":"(36)","plainTextFormattedCitation":"(36)","previouslyFormattedCitation":"(36)"},"properties":{"noteIndex":0},"schema":"https://github.com/citation-style-language/schema/raw/master/csl-citation.json"}</w:instrText>
      </w:r>
      <w:r w:rsidR="00BB1431" w:rsidRPr="00441D50">
        <w:fldChar w:fldCharType="separate"/>
      </w:r>
      <w:r w:rsidR="004743C4" w:rsidRPr="00441D50">
        <w:rPr>
          <w:noProof/>
        </w:rPr>
        <w:t>(36)</w:t>
      </w:r>
      <w:r w:rsidR="00BB1431" w:rsidRPr="00441D50">
        <w:fldChar w:fldCharType="end"/>
      </w:r>
      <w:r w:rsidR="002B60FB" w:rsidRPr="00441D50">
        <w:t xml:space="preserve">. </w:t>
      </w:r>
      <w:r w:rsidR="00032861" w:rsidRPr="00441D50">
        <w:t xml:space="preserve">Other </w:t>
      </w:r>
      <w:r w:rsidR="008E58CE" w:rsidRPr="00441D50">
        <w:t>studies have shown that t</w:t>
      </w:r>
      <w:r w:rsidRPr="00441D50">
        <w:t xml:space="preserve">he most common bacterial isolates from equine skin following aseptic preparation are </w:t>
      </w:r>
      <w:r w:rsidRPr="00441D50">
        <w:rPr>
          <w:i/>
        </w:rPr>
        <w:t>Bacillus</w:t>
      </w:r>
      <w:r w:rsidRPr="00441D50">
        <w:t xml:space="preserve"> spp. and coagulase negative </w:t>
      </w:r>
      <w:r w:rsidRPr="00441D50">
        <w:rPr>
          <w:i/>
        </w:rPr>
        <w:t xml:space="preserve">Staphylococcus </w:t>
      </w:r>
      <w:r w:rsidRPr="00441D50">
        <w:t>spp.</w:t>
      </w:r>
      <w:r w:rsidRPr="00441D50">
        <w:fldChar w:fldCharType="begin" w:fldLock="1"/>
      </w:r>
      <w:r w:rsidR="009B0208">
        <w:instrText>ADDIN CSL_CITATION {"citationItems":[{"id":"ITEM-1","itemData":{"ISSN":"0003-1488","author":[{"dropping-particle":"","family":"Galuppo","given":"Larry D","non-dropping-particle":"","parse-names":false,"suffix":""},{"dropping-particle":"","family":"Pascoe","given":"J R","non-dropping-particle":"","parse-names":false,"suffix":""},{"dropping-particle":"","family":"Jang","given":"Spencer S","non-dropping-particle":"","parse-names":false,"suffix":""},{"dropping-particle":"","family":"Willits","given":"Neil H","non-dropping-particle":"","parse-names":false,"suffix":""},{"dropping-particle":"","family":"Greenman","given":"Sylvia L","non-dropping-particle":"","parse-names":false,"suffix":""}],"container-title":"Journal of the American Veterinary Medical Association","id":"ITEM-1","issue":"7","issued":{"date-parts":[["1999"]]},"page":"963-969","title":"Evaluation of iodophor skin preparation techniques and factors influencing drainage from ventral midline incisions in horses.","type":"article-journal","volume":"215"},"uris":["http://www.mendeley.com/documents/?uuid=f7ca9704-28d4-4668-8e8f-39e44a2e55f6"]},{"id":"ITEM-2","itemData":{"ISSN":"0161-3499","author":[{"dropping-particle":"","family":"Zubrod","given":"Chad J","non-dropping-particle":"","parse-names":false,"suffix":""},{"dropping-particle":"","family":"Farnsworth","given":"Kelly D","non-dropping-particle":"","parse-names":false,"suffix":""},{"dropping-particle":"","family":"Oaks","given":"J Lindsay","non-dropping-particle":"","parse-names":false,"suffix":""}],"container-title":"Veterinary surgery","id":"ITEM-2","issue":"5","issued":{"date-parts":[["2004"]]},"page":"525-530","publisher":"Wiley Online Library","title":"Evaluation of arthrocentesis site bacterial flora before and after 4 methods of preparation in horses with and without evidence of skin contamination","type":"article-journal","volume":"33"},"uris":["http://www.mendeley.com/documents/?uuid=e121174c-212e-4b43-933e-9689c9e486ad"]}],"mendeley":{"formattedCitation":"(41,42)","plainTextFormattedCitation":"(41,42)","previouslyFormattedCitation":"(42,43)"},"properties":{"noteIndex":0},"schema":"https://github.com/citation-style-language/schema/raw/master/csl-citation.json"}</w:instrText>
      </w:r>
      <w:r w:rsidRPr="00441D50">
        <w:fldChar w:fldCharType="separate"/>
      </w:r>
      <w:r w:rsidR="009B0208" w:rsidRPr="009B0208">
        <w:rPr>
          <w:noProof/>
        </w:rPr>
        <w:t>(41,42)</w:t>
      </w:r>
      <w:r w:rsidRPr="00441D50">
        <w:fldChar w:fldCharType="end"/>
      </w:r>
      <w:r w:rsidRPr="00441D50">
        <w:t xml:space="preserve">, both of which were cultured from blood and peritoneal fluid samples in this study. </w:t>
      </w:r>
      <w:r w:rsidR="001F0B60" w:rsidRPr="00441D50">
        <w:rPr>
          <w:i/>
        </w:rPr>
        <w:t>Staphylococcus</w:t>
      </w:r>
      <w:r w:rsidR="001F0B60" w:rsidRPr="00441D50">
        <w:t xml:space="preserve"> spp</w:t>
      </w:r>
      <w:r w:rsidR="00976E31" w:rsidRPr="00441D50">
        <w:t>.</w:t>
      </w:r>
      <w:r w:rsidR="001F0B60" w:rsidRPr="00441D50">
        <w:t xml:space="preserve"> have been reported to be present in the gastrointestinal tract of healthy </w:t>
      </w:r>
      <w:r w:rsidR="007B12B5" w:rsidRPr="00441D50">
        <w:t>horses</w:t>
      </w:r>
      <w:r w:rsidR="00054452" w:rsidRPr="00441D50">
        <w:fldChar w:fldCharType="begin" w:fldLock="1"/>
      </w:r>
      <w:r w:rsidR="009B0208">
        <w:instrText>ADDIN CSL_CITATION {"citationItems":[{"id":"ITEM-1","itemData":{"ISSN":"0882-4010","author":[{"dropping-particle":"","family":"Mshelia","given":"Esther Solomon","non-dropping-particle":"","parse-names":false,"suffix":""},{"dropping-particle":"","family":"Adamu","given":"Lawan","non-dropping-particle":"","parse-names":false,"suffix":""},{"dropping-particle":"","family":"Wakil","given":"Yakaka","non-dropping-particle":"","parse-names":false,"suffix":""},{"dropping-particle":"","family":"Turaki","given":"Usman Aliyu","non-dropping-particle":"","parse-names":false,"suffix":""},{"dropping-particle":"","family":"Gulani","given":"Isa Adamu","non-dropping-particle":"","parse-names":false,"suffix":""},{"dropping-particle":"","family":"Musa","given":"Jasini","non-dropping-particle":"","parse-names":false,"suffix":""}],"container-title":"Microbial pathogenesis","id":"ITEM-1","issued":{"date-parts":[["2018"]]},"page":"81-86","publisher":"Elsevier","title":"The association between gut microbiome, sex, age and body condition scores of horses in Maiduguri and its environs","type":"article-journal","volume":"118"},"uris":["http://www.mendeley.com/documents/?uuid=dfd9d1cc-feb9-45f1-9917-13754f669823"]},{"id":"ITEM-2","itemData":{"ISSN":"0378-1135","author":[{"dropping-particle":"","family":"Kuhl","given":"Juliane","non-dropping-particle":"","parse-names":false,"suffix":""},{"dropping-particle":"","family":"Winterhoff","given":"Nora","non-dropping-particle":"","parse-names":false,"suffix":""},{"dropping-particle":"","family":"Wulf","given":"Manuela","non-dropping-particle":"","parse-names":false,"suffix":""},{"dropping-particle":"","family":"Schweigert","given":"Florian J","non-dropping-particle":"","parse-names":false,"suffix":""},{"dropping-particle":"","family":"Schwendenwein","given":"Ilse","non-dropping-particle":"","parse-names":false,"suffix":""},{"dropping-particle":"","family":"Bruckmaier","given":"Rupert M","non-dropping-particle":"","parse-names":false,"suffix":""},{"dropping-particle":"","family":"Aurich","given":"Jörg E","non-dropping-particle":"","parse-names":false,"suffix":""},{"dropping-particle":"","family":"Kutzer","given":"Peter","non-dropping-particle":"","parse-names":false,"suffix":""},{"dropping-particle":"","family":"Aurich","given":"Christine","non-dropping-particle":"","parse-names":false,"suffix":""}],"container-title":"Veterinary microbiology","id":"ITEM-2","issue":"3-4","issued":{"date-parts":[["2011"]]},"page":"321-328","publisher":"Elsevier","title":"Changes in faecal bacteria and metabolic parameters in foals during the first six weeks of life","type":"article-journal","volume":"151"},"uris":["http://www.mendeley.com/documents/?uuid=fe74a2f9-1e7b-49bb-b565-e8b4582b88d9"]}],"mendeley":{"formattedCitation":"(43,44)","plainTextFormattedCitation":"(43,44)","previouslyFormattedCitation":"(44,45)"},"properties":{"noteIndex":0},"schema":"https://github.com/citation-style-language/schema/raw/master/csl-citation.json"}</w:instrText>
      </w:r>
      <w:r w:rsidR="00054452" w:rsidRPr="00441D50">
        <w:fldChar w:fldCharType="separate"/>
      </w:r>
      <w:r w:rsidR="009B0208" w:rsidRPr="009B0208">
        <w:rPr>
          <w:noProof/>
        </w:rPr>
        <w:t>(43,44)</w:t>
      </w:r>
      <w:r w:rsidR="00054452" w:rsidRPr="00441D50">
        <w:fldChar w:fldCharType="end"/>
      </w:r>
      <w:r w:rsidR="001F0B60" w:rsidRPr="00441D50">
        <w:t xml:space="preserve">. Therefore, </w:t>
      </w:r>
      <w:r w:rsidR="00971453" w:rsidRPr="00441D50">
        <w:t xml:space="preserve">determining </w:t>
      </w:r>
      <w:r w:rsidR="001F0B60" w:rsidRPr="00441D50">
        <w:t xml:space="preserve">contamination </w:t>
      </w:r>
      <w:r w:rsidR="00971453" w:rsidRPr="00441D50">
        <w:t xml:space="preserve">versus </w:t>
      </w:r>
      <w:r w:rsidR="001F0B60" w:rsidRPr="00441D50">
        <w:t xml:space="preserve">true bacteraemia is </w:t>
      </w:r>
      <w:r w:rsidR="002B60FB" w:rsidRPr="00441D50">
        <w:t xml:space="preserve">difficult. However, strict aseptic technique was followed in collection of the samples so the likelihood of contamination was </w:t>
      </w:r>
      <w:r w:rsidR="00971453" w:rsidRPr="00441D50">
        <w:t xml:space="preserve">considered to be </w:t>
      </w:r>
      <w:r w:rsidR="002B60FB" w:rsidRPr="00441D50">
        <w:t xml:space="preserve">low. </w:t>
      </w:r>
    </w:p>
    <w:p w14:paraId="392E2A2E" w14:textId="1AACB7DA" w:rsidR="00A25834" w:rsidRPr="00441D50" w:rsidRDefault="00A25834" w:rsidP="00963411">
      <w:pPr>
        <w:spacing w:line="480" w:lineRule="auto"/>
        <w:jc w:val="both"/>
      </w:pPr>
      <w:r w:rsidRPr="00441D50">
        <w:t xml:space="preserve">It was interesting that the only horse that had a positive culture on admission and who subsequently developed </w:t>
      </w:r>
      <w:proofErr w:type="gramStart"/>
      <w:r w:rsidRPr="00441D50">
        <w:t>a</w:t>
      </w:r>
      <w:proofErr w:type="gramEnd"/>
      <w:r w:rsidRPr="00441D50">
        <w:t xml:space="preserve"> SSI </w:t>
      </w:r>
      <w:r w:rsidR="00BB1431" w:rsidRPr="00441D50">
        <w:t>cultured</w:t>
      </w:r>
      <w:r w:rsidRPr="00441D50">
        <w:t xml:space="preserve"> </w:t>
      </w:r>
      <w:r w:rsidRPr="00441D50">
        <w:rPr>
          <w:i/>
        </w:rPr>
        <w:t>K</w:t>
      </w:r>
      <w:r w:rsidR="00D6456E" w:rsidRPr="00441D50">
        <w:rPr>
          <w:i/>
        </w:rPr>
        <w:t>.</w:t>
      </w:r>
      <w:r w:rsidRPr="00441D50">
        <w:rPr>
          <w:i/>
        </w:rPr>
        <w:t xml:space="preserve"> pneumoniae</w:t>
      </w:r>
      <w:r w:rsidRPr="00441D50">
        <w:t xml:space="preserve"> which was MDR and ESBL positive</w:t>
      </w:r>
      <w:r w:rsidR="00BB1431" w:rsidRPr="00441D50">
        <w:t xml:space="preserve"> from the SSI</w:t>
      </w:r>
      <w:r w:rsidRPr="00441D50">
        <w:t xml:space="preserve">. </w:t>
      </w:r>
      <w:proofErr w:type="spellStart"/>
      <w:r w:rsidRPr="00441D50">
        <w:rPr>
          <w:i/>
        </w:rPr>
        <w:t>Klebsiella</w:t>
      </w:r>
      <w:proofErr w:type="spellEnd"/>
      <w:r w:rsidRPr="00441D50">
        <w:rPr>
          <w:i/>
        </w:rPr>
        <w:t xml:space="preserve"> </w:t>
      </w:r>
      <w:r w:rsidRPr="00441D50">
        <w:t xml:space="preserve">species are uncommonly reported as causative agents for SSI in equine colic </w:t>
      </w:r>
      <w:r w:rsidR="00DD0EAD" w:rsidRPr="00441D50">
        <w:t>cases</w:t>
      </w:r>
      <w:r w:rsidRPr="00441D50">
        <w:t xml:space="preserve">.  </w:t>
      </w:r>
      <w:proofErr w:type="spellStart"/>
      <w:r w:rsidRPr="00441D50">
        <w:t>Isgren</w:t>
      </w:r>
      <w:proofErr w:type="spellEnd"/>
      <w:r w:rsidRPr="00441D50">
        <w:t xml:space="preserve"> et al (2017) reported that </w:t>
      </w:r>
      <w:proofErr w:type="spellStart"/>
      <w:r w:rsidRPr="00441D50">
        <w:rPr>
          <w:i/>
        </w:rPr>
        <w:t>Klebsiella</w:t>
      </w:r>
      <w:proofErr w:type="spellEnd"/>
      <w:r w:rsidRPr="00441D50">
        <w:t xml:space="preserve"> spp. were cultured from 1.7% of SSI in horses undergoing exploratory laparotomy at the same hospital over a 3-year period (July 2010-July 2013).   ESBL-producers are the leading cause of blood stream</w:t>
      </w:r>
      <w:r w:rsidR="000A1334" w:rsidRPr="00441D50">
        <w:t xml:space="preserve"> and nosocomial</w:t>
      </w:r>
      <w:r w:rsidRPr="00441D50">
        <w:t xml:space="preserve"> infections in </w:t>
      </w:r>
      <w:r w:rsidR="000A1334" w:rsidRPr="00441D50">
        <w:t>people</w:t>
      </w:r>
      <w:r w:rsidRPr="00441D50">
        <w:fldChar w:fldCharType="begin" w:fldLock="1"/>
      </w:r>
      <w:r w:rsidR="009B0208">
        <w:instrText>ADDIN CSL_CITATION {"citationItems":[{"id":"ITEM-1","itemData":{"ISSN":"0732-8893","author":[{"dropping-particle":"","family":"Biedenbach","given":"Douglas J","non-dropping-particle":"","parse-names":false,"suffix":""},{"dropping-particle":"","family":"Moet","given":"Gary J","non-dropping-particle":"","parse-names":false,"suffix":""},{"dropping-particle":"","family":"Jones","given":"Ronald N","non-dropping-particle":"","parse-names":false,"suffix":""}],"container-title":"Diagnostic microbiology and infectious disease","id":"ITEM-1","issue":"1","issued":{"date-parts":[["2004"]]},"page":"59-69","publisher":"Elsevier","title":"Occurrence and antimicrobial resistance pattern comparisons among bloodstream infection isolates from the SENTRY Antimicrobial Surveillance Program (1997–2002)","type":"article-journal","volume":"50"},"uris":["http://www.mendeley.com/documents/?uuid=1bd0b590-9fec-4c9e-8079-676bb1fb0f72","http://www.mendeley.com/documents/?uuid=63f849f3-713d-4fdb-ba9e-1e0ed80cd4bd"]}],"mendeley":{"formattedCitation":"(45)","plainTextFormattedCitation":"(45)","previouslyFormattedCitation":"(46)"},"properties":{"noteIndex":0},"schema":"https://github.com/citation-style-language/schema/raw/master/csl-citation.json"}</w:instrText>
      </w:r>
      <w:r w:rsidRPr="00441D50">
        <w:fldChar w:fldCharType="separate"/>
      </w:r>
      <w:r w:rsidR="009B0208" w:rsidRPr="009B0208">
        <w:rPr>
          <w:noProof/>
        </w:rPr>
        <w:t>(45)</w:t>
      </w:r>
      <w:r w:rsidRPr="00441D50">
        <w:fldChar w:fldCharType="end"/>
      </w:r>
      <w:r w:rsidRPr="00441D50">
        <w:t xml:space="preserve"> and are becoming increasingly common in horses</w:t>
      </w:r>
      <w:r w:rsidRPr="00441D50">
        <w:fldChar w:fldCharType="begin" w:fldLock="1"/>
      </w:r>
      <w:r w:rsidR="009B0208">
        <w:instrText>ADDIN CSL_CITATION {"citationItems":[{"id":"ITEM-1","itemData":{"DOI":"10.1111/eve.12837","author":[{"dropping-particle":"Van","family":"Spijk","given":"J N","non-dropping-particle":"","parse-names":false,"suffix":""},{"dropping-particle":"","family":"Schmitt","given":"S","non-dropping-particle":"","parse-names":false,"suffix":""},{"dropping-particle":"","family":"Schoster","given":"A","non-dropping-particle":"","parse-names":false,"suffix":""}],"id":"ITEM-1","issued":{"date-parts":[["2017"]]},"page":"1-6","title":"Infections caused by multidrug-resistant bacteria in an equine hospital ( 2012 – 2015 )","type":"article-journal"},"uris":["http://www.mendeley.com/documents/?uuid=39ac15a2-63fb-4a10-90a0-dc75d98bd021","http://www.mendeley.com/documents/?uuid=8ce7fc0e-81da-4c3f-83c9-e87e01059670"]}],"mendeley":{"formattedCitation":"(46)","plainTextFormattedCitation":"(46)","previouslyFormattedCitation":"(47)"},"properties":{"noteIndex":0},"schema":"https://github.com/citation-style-language/schema/raw/master/csl-citation.json"}</w:instrText>
      </w:r>
      <w:r w:rsidRPr="00441D50">
        <w:fldChar w:fldCharType="separate"/>
      </w:r>
      <w:r w:rsidR="009B0208" w:rsidRPr="009B0208">
        <w:rPr>
          <w:noProof/>
        </w:rPr>
        <w:t>(46)</w:t>
      </w:r>
      <w:r w:rsidRPr="00441D50">
        <w:fldChar w:fldCharType="end"/>
      </w:r>
      <w:r w:rsidRPr="00441D50">
        <w:t xml:space="preserve">. ESBL-producing genes are located on large plasmids which often carry other </w:t>
      </w:r>
      <w:r w:rsidRPr="00441D50">
        <w:lastRenderedPageBreak/>
        <w:t>resistance genes making them multidrug resistant. These plasmids can be horizontally transmitted via conjugation to other bacteria and in doing so will also transfer these MDR genes</w:t>
      </w:r>
      <w:r w:rsidRPr="00441D50">
        <w:fldChar w:fldCharType="begin" w:fldLock="1"/>
      </w:r>
      <w:r w:rsidR="009B0208">
        <w:instrText>ADDIN CSL_CITATION {"citationItems":[{"id":"ITEM-1","itemData":{"author":[{"dropping-particle":"","family":"Vaidya","given":"Varsha K","non-dropping-particle":"","parse-names":false,"suffix":""}],"container-title":"Journal of laboratory physicians","id":"ITEM-1","issue":"1","issued":{"date-parts":[["2011"]]},"page":"37","publisher":"Wolters Kluwer--Medknow Publications","title":"Horizontal transfer of antimicrobial resistance by extended-spectrum β lactamase-producing enterobacteriaceae","type":"article-journal","volume":"3"},"uris":["http://www.mendeley.com/documents/?uuid=0ce51912-f9d9-4c23-a9d2-24bc1c3d96de","http://www.mendeley.com/documents/?uuid=b16511b5-c2f0-4db2-8636-c7e1f25098d3"]}],"mendeley":{"formattedCitation":"(47)","plainTextFormattedCitation":"(47)","previouslyFormattedCitation":"(48)"},"properties":{"noteIndex":0},"schema":"https://github.com/citation-style-language/schema/raw/master/csl-citation.json"}</w:instrText>
      </w:r>
      <w:r w:rsidRPr="00441D50">
        <w:fldChar w:fldCharType="separate"/>
      </w:r>
      <w:r w:rsidR="009B0208" w:rsidRPr="009B0208">
        <w:rPr>
          <w:noProof/>
        </w:rPr>
        <w:t>(47)</w:t>
      </w:r>
      <w:r w:rsidRPr="00441D50">
        <w:fldChar w:fldCharType="end"/>
      </w:r>
      <w:r w:rsidRPr="00441D50">
        <w:t>. Although gastrointestinal carriage of ESBL-producing</w:t>
      </w:r>
      <w:r w:rsidRPr="00441D50">
        <w:rPr>
          <w:i/>
          <w:iCs/>
        </w:rPr>
        <w:t xml:space="preserve"> Enterobacteriaceae </w:t>
      </w:r>
      <w:r w:rsidRPr="00441D50">
        <w:t>are common in hospitalised horses</w:t>
      </w:r>
      <w:r w:rsidRPr="00441D50">
        <w:fldChar w:fldCharType="begin" w:fldLock="1"/>
      </w:r>
      <w:r w:rsidR="009B0208">
        <w:instrText>ADDIN CSL_CITATION {"citationItems":[{"id":"ITEM-1","itemData":{"ISSN":"0167-5877","author":[{"dropping-particle":"","family":"Maddox","given":"Thomas W","non-dropping-particle":"","parse-names":false,"suffix":""},{"dropping-particle":"","family":"Williams","given":"Nicola J","non-dropping-particle":"","parse-names":false,"suffix":""},{"dropping-particle":"","family":"Clegg","given":"Peter D","non-dropping-particle":"","parse-names":false,"suffix":""},{"dropping-particle":"","family":"O’Donnell","given":"Andrew J","non-dropping-particle":"","parse-names":false,"suffix":""},{"dropping-particle":"","family":"Dawson","given":"Susan","non-dropping-particle":"","parse-names":false,"suffix":""},{"dropping-particle":"","family":"Pinchbeck","given":"Gina L","non-dropping-particle":"","parse-names":false,"suffix":""}],"container-title":"Preventive veterinary medicine","id":"ITEM-1","issue":"2","issued":{"date-parts":[["2011"]]},"page":"134-145","publisher":"Elsevier","title":"Longitudinal study of antimicrobial-resistant commensal Escherichia coli in the faeces of horses in an equine hospital","type":"article-journal","volume":"100"},"uris":["http://www.mendeley.com/documents/?uuid=75e21110-ec17-4de2-a317-8f37a76e9afb","http://www.mendeley.com/documents/?uuid=35d7fd22-8a72-4ac6-b29a-5ccce98f864b"]}],"mendeley":{"formattedCitation":"(48)","plainTextFormattedCitation":"(48)","previouslyFormattedCitation":"(49)"},"properties":{"noteIndex":0},"schema":"https://github.com/citation-style-language/schema/raw/master/csl-citation.json"}</w:instrText>
      </w:r>
      <w:r w:rsidRPr="00441D50">
        <w:fldChar w:fldCharType="separate"/>
      </w:r>
      <w:r w:rsidR="009B0208" w:rsidRPr="009B0208">
        <w:rPr>
          <w:noProof/>
        </w:rPr>
        <w:t>(48)</w:t>
      </w:r>
      <w:r w:rsidRPr="00441D50">
        <w:fldChar w:fldCharType="end"/>
      </w:r>
      <w:r w:rsidRPr="00441D50">
        <w:t xml:space="preserve"> they are infrequently reported in SSIs</w:t>
      </w:r>
      <w:r w:rsidRPr="00441D50">
        <w:fldChar w:fldCharType="begin" w:fldLock="1"/>
      </w:r>
      <w:r w:rsidR="001F0B60" w:rsidRPr="00441D50">
        <w:instrText>ADDIN CSL_CITATION {"citationItems":[{"id":"ITEM-1","itemData":{"DOI":"10.1111/evj.12564","ISBN":"0425-1644","ISSN":"20423306","PMID":"26713622","abstract":"REASONS FOR PERFORMING STUDY: Surgical site infection (SSI) is an important cause of postoperative morbidity following laparotomy. OBJECTIVES: To investigate risk factors for SSI, including effect of season and surgery performed outside normal working hours, and to report bacterial isolates and antimicrobial resistance patterns. STUDY DESIGN: Retrospective cohort study. METHODS: Data was obtained from horses that had undergone exploratory laparotomy over a 3-year period (2010-2013) in a UK hospital population. SSI was defined as any purulent or serous discharge from the laparotomy incision of &gt;24 hours duration that developed during hospitalisation. Multivariable logistic regression was used to identify associations between pre-, intra- and postoperative variables and altered likelihood of SSI. RESULTS: Surgical site infection developed in 73/287 (25.4%) horses during hospitalisation. Horses of greater body weight (OR 1.002, 95% CI 1.0002-1.005, P = 0.03), increased PCV (&gt;/=48%) on admission (OR 3.03, 95% CI 1.32-6.94,P = 0.01), small intestinal resection (OR 2.27, 95% CI 1.15-4.46, P = 0.02) and postoperative colic (OR 2.86, 95% CI 1.41-5.79, P = 0.003) were significantly associated with increased likelihood of SSI in a multivariable model. SSI was also significantly more likely to occur during winter (OR 3.84, 95% CI 1.38-10.70, P = 0.01) and summer (OR 5.63, 95% CI 2.07-15.3, P = 0.001) months in the model. Three-layer closure of the incision was protective (OR 0.31, 95% CI 0.16-0.58, P&lt;0.001) compared to two-layer closure. There was no effect of surgery being performed outside normal working hours (P = 0.5). The most common bacterial isolates were Escherichia Coli (59.5%), Enterococcus spp (42.4%) and Staphylococcus spp (25.4%). Penicillin resistant isolates accounted for 92% (96/104) of isolates while 18% (21/119) of isolates were gentamicin resistant. CONCLUSIONS: Laparotomy during winter and summer months was associated with increased likelihood of SSI but there was no effect of surgery performed outside normal working hours. This information assists in identifying horses at high risk of SSI and informing development of preventive strategies. This article is protected by copyright. All rights reserved.","author":[{"dropping-particle":"","family":"Isgren","given":"C. M.","non-dropping-particle":"","parse-names":false,"suffix":""},{"dropping-particle":"","family":"Salem","given":"S. E.","non-dropping-particle":"","parse-names":false,"suffix":""},{"dropping-particle":"","family":"Archer","given":"D. C.","non-dropping-particle":"","parse-names":false,"suffix":""},{"dropping-particle":"","family":"Worsman","given":"F. C.F.","non-dropping-particle":"","parse-names":false,"suffix":""},{"dropping-particle":"","family":"Townsend","given":"N. B.","non-dropping-particle":"","parse-names":false,"suffix":""}],"container-title":"Equine Veterinary Journal","id":"ITEM-1","issue":"1","issued":{"date-parts":[["2017"]]},"page":"39-44","title":"Risk factors for surgical site infection following laparotomy: Effect of season and perioperative variables and reporting of bacterial isolates in 287 horses","type":"article-journal","volume":"49"},"uris":["http://www.mendeley.com/documents/?uuid=02152b54-63ff-47f6-8c97-ece0305196e3"]}],"mendeley":{"formattedCitation":"(3)","plainTextFormattedCitation":"(3)","previouslyFormattedCitation":"(3)"},"properties":{"noteIndex":0},"schema":"https://github.com/citation-style-language/schema/raw/master/csl-citation.json"}</w:instrText>
      </w:r>
      <w:r w:rsidRPr="00441D50">
        <w:fldChar w:fldCharType="separate"/>
      </w:r>
      <w:r w:rsidRPr="00441D50">
        <w:rPr>
          <w:noProof/>
        </w:rPr>
        <w:t>(3)</w:t>
      </w:r>
      <w:r w:rsidRPr="00441D50">
        <w:fldChar w:fldCharType="end"/>
      </w:r>
      <w:r w:rsidRPr="00441D50">
        <w:t xml:space="preserve">. </w:t>
      </w:r>
      <w:r w:rsidR="00373C2A" w:rsidRPr="00441D50">
        <w:t xml:space="preserve">However, it is important to highlight that carriage is a pre-requisite for infection with one human study showing that </w:t>
      </w:r>
      <w:r w:rsidR="00373C2A" w:rsidRPr="00441D50">
        <w:rPr>
          <w:i/>
        </w:rPr>
        <w:t>K. pneumoniae</w:t>
      </w:r>
      <w:r w:rsidR="00373C2A" w:rsidRPr="00441D50">
        <w:t xml:space="preserve"> GI tract colonization on admission was significantly associated with subsequent infection in intensive care patients</w:t>
      </w:r>
      <w:r w:rsidR="00373C2A" w:rsidRPr="00441D50">
        <w:fldChar w:fldCharType="begin" w:fldLock="1"/>
      </w:r>
      <w:r w:rsidR="009B0208">
        <w:instrText>ADDIN CSL_CITATION {"citationItems":[{"id":"ITEM-1","itemData":{"ISSN":"1058-4838","author":[{"dropping-particle":"","family":"Gorrie","given":"Claire L","non-dropping-particle":"","parse-names":false,"suffix":""},{"dropping-particle":"","family":"Mirčeta","given":"Mirjana","non-dropping-particle":"","parse-names":false,"suffix":""},{"dropping-particle":"","family":"Wick","given":"Ryan R","non-dropping-particle":"","parse-names":false,"suffix":""},{"dropping-particle":"","family":"Edwards","given":"David J","non-dropping-particle":"","parse-names":false,"suffix":""},{"dropping-particle":"","family":"Thomson","given":"Nicholas R","non-dropping-particle":"","parse-names":false,"suffix":""},{"dropping-particle":"","family":"Strugnell","given":"Richard A","non-dropping-particle":"","parse-names":false,"suffix":""},{"dropping-particle":"","family":"Pratt","given":"Nigel F","non-dropping-particle":"","parse-names":false,"suffix":""},{"dropping-particle":"","family":"Garlick","given":"Jill S","non-dropping-particle":"","parse-names":false,"suffix":""},{"dropping-particle":"","family":"Watson","given":"Kerri M","non-dropping-particle":"","parse-names":false,"suffix":""},{"dropping-particle":"V","family":"Pilcher","given":"David","non-dropping-particle":"","parse-names":false,"suffix":""}],"container-title":"Clinical Infectious Diseases","id":"ITEM-1","issue":"2","issued":{"date-parts":[["2017"]]},"page":"208-215","publisher":"Oxford University Press","title":"Gastrointestinal carriage is a major reservoir of Klebsiella pneumoniae infection in intensive care patients","type":"article-journal","volume":"65"},"uris":["http://www.mendeley.com/documents/?uuid=48583d05-02e1-448a-9018-b9009f57381a"]}],"mendeley":{"formattedCitation":"(49)","plainTextFormattedCitation":"(49)","previouslyFormattedCitation":"(40)"},"properties":{"noteIndex":0},"schema":"https://github.com/citation-style-language/schema/raw/master/csl-citation.json"}</w:instrText>
      </w:r>
      <w:r w:rsidR="00373C2A" w:rsidRPr="00441D50">
        <w:fldChar w:fldCharType="separate"/>
      </w:r>
      <w:r w:rsidR="009B0208" w:rsidRPr="009B0208">
        <w:rPr>
          <w:noProof/>
        </w:rPr>
        <w:t>(49)</w:t>
      </w:r>
      <w:r w:rsidR="00373C2A" w:rsidRPr="00441D50">
        <w:fldChar w:fldCharType="end"/>
      </w:r>
      <w:r w:rsidR="00373C2A" w:rsidRPr="00441D50">
        <w:t xml:space="preserve">. </w:t>
      </w:r>
    </w:p>
    <w:p w14:paraId="3BC53C2C" w14:textId="77777777" w:rsidR="00780435" w:rsidRPr="00441D50" w:rsidRDefault="00780435" w:rsidP="00963411">
      <w:pPr>
        <w:spacing w:line="480" w:lineRule="auto"/>
        <w:jc w:val="both"/>
      </w:pPr>
    </w:p>
    <w:p w14:paraId="18A230DD" w14:textId="373AEBD3" w:rsidR="00CC7A9C" w:rsidRPr="00441D50" w:rsidRDefault="00CC7A9C" w:rsidP="00963411">
      <w:pPr>
        <w:spacing w:line="480" w:lineRule="auto"/>
        <w:jc w:val="both"/>
      </w:pPr>
      <w:r w:rsidRPr="00441D50">
        <w:t xml:space="preserve">The main limitations in this study were the small sample size and the use of </w:t>
      </w:r>
      <w:proofErr w:type="gramStart"/>
      <w:r w:rsidR="00780435" w:rsidRPr="00441D50">
        <w:t xml:space="preserve">solely </w:t>
      </w:r>
      <w:r w:rsidR="00940A3E" w:rsidRPr="00441D50">
        <w:t xml:space="preserve"> conventional</w:t>
      </w:r>
      <w:proofErr w:type="gramEnd"/>
      <w:r w:rsidR="00940A3E" w:rsidRPr="00441D50">
        <w:t xml:space="preserve"> </w:t>
      </w:r>
      <w:r w:rsidRPr="00441D50">
        <w:t>culture methods to diagnose bacterial translocation.</w:t>
      </w:r>
      <w:r w:rsidR="00780435" w:rsidRPr="00441D50">
        <w:t xml:space="preserve"> This was in part due to the nature of the study (pilot study)</w:t>
      </w:r>
      <w:r w:rsidR="005A2E68" w:rsidRPr="00441D50">
        <w:t xml:space="preserve">, </w:t>
      </w:r>
      <w:r w:rsidR="00780435" w:rsidRPr="00441D50">
        <w:t>the funding available and the low study power which</w:t>
      </w:r>
      <w:r w:rsidRPr="00441D50">
        <w:t xml:space="preserve"> precluded further statistical analysis</w:t>
      </w:r>
      <w:r w:rsidR="00780435" w:rsidRPr="00441D50">
        <w:t>, particularly given the low frequency of SSI</w:t>
      </w:r>
      <w:r w:rsidRPr="00441D50">
        <w:t>.</w:t>
      </w:r>
      <w:r w:rsidR="00A425C0" w:rsidRPr="00441D50">
        <w:t xml:space="preserve"> This study only assessed development of SSI during hospitalisation.</w:t>
      </w:r>
      <w:r w:rsidR="00570BB1" w:rsidRPr="00441D50">
        <w:t xml:space="preserve"> Owner-reported occurrence of SSI </w:t>
      </w:r>
      <w:r w:rsidR="00485A45" w:rsidRPr="00441D50">
        <w:t>can</w:t>
      </w:r>
      <w:r w:rsidR="00570BB1" w:rsidRPr="00441D50">
        <w:t xml:space="preserve"> be unreliable and it was not feasible for this study to include regular follow-up visits by referring veterinarians once the horses had been discharged from the hospital.</w:t>
      </w:r>
      <w:r w:rsidRPr="00441D50">
        <w:t xml:space="preserve"> Blood culture has a poor sensitivity for detecting bacteraemia in horses</w:t>
      </w:r>
      <w:r w:rsidRPr="00441D50">
        <w:fldChar w:fldCharType="begin" w:fldLock="1"/>
      </w:r>
      <w:r w:rsidR="00267DAA" w:rsidRPr="00441D50">
        <w:instrText>ADDIN CSL_CITATION {"citationItems":[{"id":"ITEM-1","itemData":{"ISSN":"0003-1488","author":[{"dropping-particle":"","family":"Wilson","given":"W D","non-dropping-particle":"","parse-names":false,"suffix":""},{"dropping-particle":"","family":"Madigan","given":"J E","non-dropping-particle":"","parse-names":false,"suffix":""}],"container-title":"Journal of the American Veterinary Medical Association","id":"ITEM-1","issue":"12","issued":{"date-parts":[["1989"]]},"page":"1759-1763","title":"Comparison of bacteriologic culture of blood and necropsy specimens for determining the cause of foal septicemia: 47 cases (1978-1987)","type":"article-journal","volume":"195"},"uris":["http://www.mendeley.com/documents/?uuid=4d5b133b-1245-415c-92ae-8bbc38291e64","http://www.mendeley.com/documents/?uuid=e1de7024-1469-4da1-81e0-b867f2924f3b"]}],"mendeley":{"formattedCitation":"(50)","plainTextFormattedCitation":"(50)","previouslyFormattedCitation":"(50)"},"properties":{"noteIndex":0},"schema":"https://github.com/citation-style-language/schema/raw/master/csl-citation.json"}</w:instrText>
      </w:r>
      <w:r w:rsidRPr="00441D50">
        <w:fldChar w:fldCharType="separate"/>
      </w:r>
      <w:r w:rsidR="00267DAA" w:rsidRPr="00441D50">
        <w:rPr>
          <w:noProof/>
        </w:rPr>
        <w:t>(50)</w:t>
      </w:r>
      <w:r w:rsidRPr="00441D50">
        <w:fldChar w:fldCharType="end"/>
      </w:r>
      <w:r w:rsidRPr="00441D50">
        <w:t xml:space="preserve"> so the number of </w:t>
      </w:r>
      <w:proofErr w:type="spellStart"/>
      <w:r w:rsidRPr="00441D50">
        <w:t>bacteraemic</w:t>
      </w:r>
      <w:proofErr w:type="spellEnd"/>
      <w:r w:rsidRPr="00441D50">
        <w:t xml:space="preserve"> horses in this study may </w:t>
      </w:r>
      <w:r w:rsidR="00D8272D" w:rsidRPr="00441D50">
        <w:t xml:space="preserve">have </w:t>
      </w:r>
      <w:r w:rsidRPr="00441D50">
        <w:t>be</w:t>
      </w:r>
      <w:r w:rsidR="00D8272D" w:rsidRPr="00441D50">
        <w:t>en</w:t>
      </w:r>
      <w:r w:rsidRPr="00441D50">
        <w:t xml:space="preserve"> underestimated. </w:t>
      </w:r>
      <w:r w:rsidR="005A2E68" w:rsidRPr="00441D50">
        <w:t>Previous studies</w:t>
      </w:r>
      <w:r w:rsidR="00D8508B" w:rsidRPr="00441D50">
        <w:t xml:space="preserve"> </w:t>
      </w:r>
      <w:r w:rsidR="005A2E68" w:rsidRPr="00441D50">
        <w:t xml:space="preserve">have revealed </w:t>
      </w:r>
      <w:r w:rsidRPr="00441D50">
        <w:t>that polymerase chain reaction (PCR) detected significantly more microbial DNA within the bloodstream compared to blood culture in people</w:t>
      </w:r>
      <w:r w:rsidR="000E6D82" w:rsidRPr="00441D50">
        <w:fldChar w:fldCharType="begin" w:fldLock="1"/>
      </w:r>
      <w:r w:rsidR="00267DAA" w:rsidRPr="00441D50">
        <w:instrText>ADDIN CSL_CITATION {"citationItems":[{"id":"ITEM-1","itemData":{"DOI":"10.1007/s00134-009-1705-z","ISBN":"1432-1238 (Electronic)\\n0342-4642 (Linking)","ISSN":"03424642","PMID":"19924398","abstract":"OBJECTIVE: To assess the presence of microbial DNA in the blood by polymerase chain reaction (PCR) and its association with disease severity and markers of inflammation in severe sepsis and to compare the performance of PCR with blood culture (BC). DESIGN: Prospective multicentric controlled observational study. SETTING: Three surgical intensive care units in university centers and large teaching hospitals. PATIENTS: One hundred forty-two patients with severe sepsis and 63 surgical controls. Interventions: Presence of microbial DNA was assessed by multiplex PCR upon enrollment, and each time a BC was obtained. MEASUREMENTS AND MAIN RESULTS: Controls had both approximately 4% positive PCRs and BCs. In severe sepsis, 34.7% of PCRs were positive compared to 16.5% of BCs (P &lt; 0.001). Consistently, 70.3% of BCs had a corresponding PCR result, while only 21.4% of PCR results were confirmed by BC. Compared to patients with negative PCRs at enrollment, those testing positive had higher organ dysfunction scores [SOFA, median (25th-75th percentile) 12 (7-15) vs. 9 (7-11); P = 0.023] and a trend toward higher mortality (PCR negative 25.3%; PCR positive 39.1%; P = 0.115). CONCLUSIONS: In septic patients, concordance between BC and PCR is moderate. However, PCR-based pathogen detection correlated with disease severity even if the BC remained negative, suggesting that presence of microbial DNA in the bloodstream is a significant event. The clinical utility to facilitate treatment decisions warrants investigation","author":[{"dropping-particle":"","family":"Bloos","given":"Frank","non-dropping-particle":"","parse-names":false,"suffix":""},{"dropping-particle":"","family":"Hinder","given":"Frank","non-dropping-particle":"","parse-names":false,"suffix":""},{"dropping-particle":"","family":"Becker","given":"Karsten","non-dropping-particle":"","parse-names":false,"suffix":""},{"dropping-particle":"","family":"Sachse","given":"Svea","non-dropping-particle":"","parse-names":false,"suffix":""},{"dropping-particle":"","family":"Dessap","given":"Armand Mekontso","non-dropping-particle":"","parse-names":false,"suffix":""},{"dropping-particle":"","family":"Straube","given":"Eberhard","non-dropping-particle":"","parse-names":false,"suffix":""},{"dropping-particle":"","family":"Cattoir","given":"Vincent","non-dropping-particle":"","parse-names":false,"suffix":""},{"dropping-particle":"","family":"Brun-Buisson","given":"Christian","non-dropping-particle":"","parse-names":false,"suffix":""},{"dropping-particle":"","family":"Reinhart","given":"Konrad","non-dropping-particle":"","parse-names":false,"suffix":""},{"dropping-particle":"","family":"Peters","given":"Georg","non-dropping-particle":"","parse-names":false,"suffix":""},{"dropping-particle":"","family":"Bauer","given":"Michael","non-dropping-particle":"","parse-names":false,"suffix":""}],"container-title":"Intensive Care Medicine","id":"ITEM-1","issue":"2","issued":{"date-parts":[["2010"]]},"page":"241-247","title":"A multicenter trial to compare blood culture with polymerase chain reaction in severe human sepsis","type":"article-journal","volume":"36"},"uris":["http://www.mendeley.com/documents/?uuid=7521d31b-cd09-402a-be96-f91ca62a5f16"]},{"id":"ITEM-2","itemData":{"ISSN":"1198-743X","author":[{"dropping-particle":"","family":"O’Dwyer","given":"Michael J","non-dropping-particle":"","parse-names":false,"suffix":""},{"dropping-particle":"","family":"Starczewska","given":"Malgorzata H","non-dropping-particle":"","parse-names":false,"suffix":""},{"dropping-particle":"","family":"Schrenzel","given":"Jacques","non-dropping-particle":"","parse-names":false,"suffix":""},{"dropping-particle":"","family":"Zacharowski","given":"Kai","non-dropping-particle":"","parse-names":false,"suffix":""},{"dropping-particle":"","family":"Ecker","given":"D J","non-dropping-particle":"","parse-names":false,"suffix":""},{"dropping-particle":"","family":"Sampath","given":"Rangarajan","non-dropping-particle":"","parse-names":false,"suffix":""},{"dropping-particle":"","family":"Brealey","given":"David","non-dropping-particle":"","parse-names":false,"suffix":""},{"dropping-particle":"","family":"Singer","given":"M","non-dropping-particle":"","parse-names":false,"suffix":""},{"dropping-particle":"","family":"Libert","given":"N","non-dropping-particle":"","parse-names":false,"suffix":""},{"dropping-particle":"","family":"Wilks","given":"Martin","non-dropping-particle":"","parse-names":false,"suffix":""}],"container-title":"Clinical microbiology and infection","id":"ITEM-2","issue":"3","issued":{"date-parts":[["2017"]]},"page":"208-e1","publisher":"Elsevier","title":"The detection of microbial DNA but not cultured bacteria is associated with increased mortality in patients with suspected sepsis—a prospective multi-centre European observational study","type":"article-journal","volume":"23"},"uris":["http://www.mendeley.com/documents/?uuid=0e1ecdca-2225-4abc-909c-7ac82ffde775"]}],"mendeley":{"formattedCitation":"(51,52)","plainTextFormattedCitation":"(51,52)","previouslyFormattedCitation":"(51,52)"},"properties":{"noteIndex":0},"schema":"https://github.com/citation-style-language/schema/raw/master/csl-citation.json"}</w:instrText>
      </w:r>
      <w:r w:rsidR="000E6D82" w:rsidRPr="00441D50">
        <w:fldChar w:fldCharType="separate"/>
      </w:r>
      <w:r w:rsidR="00267DAA" w:rsidRPr="00441D50">
        <w:rPr>
          <w:noProof/>
        </w:rPr>
        <w:t>(51,52)</w:t>
      </w:r>
      <w:r w:rsidR="000E6D82" w:rsidRPr="00441D50">
        <w:fldChar w:fldCharType="end"/>
      </w:r>
      <w:r w:rsidR="00182A29" w:rsidRPr="00441D50">
        <w:t xml:space="preserve"> and dogs</w:t>
      </w:r>
      <w:r w:rsidR="00373C2A" w:rsidRPr="00441D50">
        <w:fldChar w:fldCharType="begin" w:fldLock="1"/>
      </w:r>
      <w:r w:rsidR="00267DAA" w:rsidRPr="00441D50">
        <w:instrText>ADDIN CSL_CITATION {"citationItems":[{"id":"ITEM-1","itemData":{"ISSN":"0103-8478","author":[{"dropping-particle":"da","family":"Silveira","given":"Marcelo Marques","non-dropping-particle":"","parse-names":false,"suffix":""},{"dropping-particle":"","family":"Cândido","given":"Stéfhano Luis","non-dropping-particle":"","parse-names":false,"suffix":""},{"dropping-particle":"dos","family":"Santos","given":"Karin Rinaldi","non-dropping-particle":"","parse-names":false,"suffix":""},{"dropping-particle":"","family":"Maia","given":"Maerle Oliveira","non-dropping-particle":"","parse-names":false,"suffix":""},{"dropping-particle":"de","family":"Souza","given":"Roberto Lopes","non-dropping-particle":"","parse-names":false,"suffix":""},{"dropping-particle":"","family":"Sousa","given":"Valéria Régia Franco","non-dropping-particle":"","parse-names":false,"suffix":""},{"dropping-particle":"","family":"Almeida","given":"Arleana do Bom Parto Ferreira","non-dropping-particle":"","parse-names":false,"suffix":""},{"dropping-particle":"","family":"Dutra","given":"Valeria","non-dropping-particle":"","parse-names":false,"suffix":""},{"dropping-particle":"","family":"Nakazato","given":"Luciano","non-dropping-particle":"","parse-names":false,"suffix":""}],"container-title":"Ciência Rural","id":"ITEM-1","issue":"6","issued":{"date-parts":[["2018"]]},"publisher":"SciELO Brasil","title":"Polymerase chain reaction and blood culture for diagnosis of canine sepsis","type":"article-journal","volume":"48"},"uris":["http://www.mendeley.com/documents/?uuid=12518287-77ad-4a43-97c1-5504bcb34d1a"]}],"mendeley":{"formattedCitation":"(53)","plainTextFormattedCitation":"(53)","previouslyFormattedCitation":"(53)"},"properties":{"noteIndex":0},"schema":"https://github.com/citation-style-language/schema/raw/master/csl-citation.json"}</w:instrText>
      </w:r>
      <w:r w:rsidR="00373C2A" w:rsidRPr="00441D50">
        <w:fldChar w:fldCharType="separate"/>
      </w:r>
      <w:r w:rsidR="00267DAA" w:rsidRPr="00441D50">
        <w:rPr>
          <w:noProof/>
        </w:rPr>
        <w:t>(53)</w:t>
      </w:r>
      <w:r w:rsidR="00373C2A" w:rsidRPr="00441D50">
        <w:fldChar w:fldCharType="end"/>
      </w:r>
      <w:r w:rsidRPr="00441D50">
        <w:t>. PCR techniques have been shown to detect as low as one to 10 bacterial cells per sample</w:t>
      </w:r>
      <w:r w:rsidRPr="00441D50">
        <w:fldChar w:fldCharType="begin" w:fldLock="1"/>
      </w:r>
      <w:r w:rsidR="00267DAA" w:rsidRPr="00441D50">
        <w:instrText>ADDIN CSL_CITATION {"citationItems":[{"id":"ITEM-1","itemData":{"ISSN":"0095-1137","author":[{"dropping-particle":"","family":"Zucol","given":"Franziska","non-dropping-particle":"","parse-names":false,"suffix":""},{"dropping-particle":"","family":"Ammann","given":"Roland A","non-dropping-particle":"","parse-names":false,"suffix":""},{"dropping-particle":"","family":"Berger","given":"Christoph","non-dropping-particle":"","parse-names":false,"suffix":""},{"dropping-particle":"","family":"Aebi","given":"Christoph","non-dropping-particle":"","parse-names":false,"suffix":""},{"dropping-particle":"","family":"Altwegg","given":"Martin","non-dropping-particle":"","parse-names":false,"suffix":""},{"dropping-particle":"","family":"Niggli","given":"Felix K","non-dropping-particle":"","parse-names":false,"suffix":""},{"dropping-particle":"","family":"Nadal","given":"David","non-dropping-particle":"","parse-names":false,"suffix":""}],"container-title":"Journal of clinical microbiology","id":"ITEM-1","issue":"8","issued":{"date-parts":[["2006"]]},"page":"2750-2759","publisher":"Am Soc Microbiol","title":"Real-time quantitative broad-range PCR assay for detection of the 16S rRNA gene followed by sequencing for species identification","type":"article-journal","volume":"44"},"uris":["http://www.mendeley.com/documents/?uuid=c6bc82c3-dd58-4ac7-9317-de2b3ab89c0e"]}],"mendeley":{"formattedCitation":"(54)","plainTextFormattedCitation":"(54)","previouslyFormattedCitation":"(54)"},"properties":{"noteIndex":0},"schema":"https://github.com/citation-style-language/schema/raw/master/csl-citation.json"}</w:instrText>
      </w:r>
      <w:r w:rsidRPr="00441D50">
        <w:fldChar w:fldCharType="separate"/>
      </w:r>
      <w:r w:rsidR="00267DAA" w:rsidRPr="00441D50">
        <w:rPr>
          <w:noProof/>
        </w:rPr>
        <w:t>(54)</w:t>
      </w:r>
      <w:r w:rsidRPr="00441D50">
        <w:fldChar w:fldCharType="end"/>
      </w:r>
      <w:r w:rsidR="005A2E68" w:rsidRPr="00441D50">
        <w:t xml:space="preserve"> which means</w:t>
      </w:r>
      <w:r w:rsidR="000D2A9A" w:rsidRPr="00441D50">
        <w:t xml:space="preserve"> </w:t>
      </w:r>
      <w:r w:rsidRPr="00441D50">
        <w:t xml:space="preserve">that while PCR is extremely sensitive for the detection of bacteraemia, false positive results are also likely, especially from sample contamination.  Furthermore, PCR will also detect non-viable bacteria or components of bacteria that may not be clinically significant. </w:t>
      </w:r>
      <w:r w:rsidR="00D528C8" w:rsidRPr="00441D50">
        <w:t xml:space="preserve">It has previously been demonstrated </w:t>
      </w:r>
      <w:r w:rsidRPr="00441D50">
        <w:t>that PCR-positive</w:t>
      </w:r>
      <w:r w:rsidR="00D528C8" w:rsidRPr="00441D50">
        <w:t xml:space="preserve"> </w:t>
      </w:r>
      <w:r w:rsidRPr="00441D50">
        <w:t>patients ha</w:t>
      </w:r>
      <w:r w:rsidR="00D528C8" w:rsidRPr="00441D50">
        <w:t>ve</w:t>
      </w:r>
      <w:r w:rsidRPr="00441D50">
        <w:t xml:space="preserve"> a higher disease severity </w:t>
      </w:r>
      <w:r w:rsidR="00F60B68" w:rsidRPr="00441D50">
        <w:t>despite a negative</w:t>
      </w:r>
      <w:r w:rsidRPr="00441D50">
        <w:t xml:space="preserve"> blood culture </w:t>
      </w:r>
      <w:r w:rsidR="00D528C8" w:rsidRPr="00441D50">
        <w:t xml:space="preserve">suggesting </w:t>
      </w:r>
      <w:r w:rsidRPr="00441D50">
        <w:t>that microbial DNA in the blood</w:t>
      </w:r>
      <w:r w:rsidR="00F60B68" w:rsidRPr="00441D50">
        <w:t>,</w:t>
      </w:r>
      <w:r w:rsidR="000D2A9A" w:rsidRPr="00441D50">
        <w:t xml:space="preserve"> </w:t>
      </w:r>
      <w:r w:rsidRPr="00441D50">
        <w:t>whether viable or not</w:t>
      </w:r>
      <w:r w:rsidR="00F60B68" w:rsidRPr="00441D50">
        <w:t xml:space="preserve">, </w:t>
      </w:r>
      <w:r w:rsidRPr="00441D50">
        <w:t>may be clinically relevant</w:t>
      </w:r>
      <w:r w:rsidR="000E6D82" w:rsidRPr="00441D50">
        <w:fldChar w:fldCharType="begin" w:fldLock="1"/>
      </w:r>
      <w:r w:rsidR="00267DAA" w:rsidRPr="00441D50">
        <w:instrText>ADDIN CSL_CITATION {"citationItems":[{"id":"ITEM-1","itemData":{"DOI":"10.1007/s00134-009-1705-z","ISBN":"1432-1238 (Electronic)\\n0342-4642 (Linking)","ISSN":"03424642","PMID":"19924398","abstract":"OBJECTIVE: To assess the presence of microbial DNA in the blood by polymerase chain reaction (PCR) and its association with disease severity and markers of inflammation in severe sepsis and to compare the performance of PCR with blood culture (BC). DESIGN: Prospective multicentric controlled observational study. SETTING: Three surgical intensive care units in university centers and large teaching hospitals. PATIENTS: One hundred forty-two patients with severe sepsis and 63 surgical controls. Interventions: Presence of microbial DNA was assessed by multiplex PCR upon enrollment, and each time a BC was obtained. MEASUREMENTS AND MAIN RESULTS: Controls had both approximately 4% positive PCRs and BCs. In severe sepsis, 34.7% of PCRs were positive compared to 16.5% of BCs (P &lt; 0.001). Consistently, 70.3% of BCs had a corresponding PCR result, while only 21.4% of PCR results were confirmed by BC. Compared to patients with negative PCRs at enrollment, those testing positive had higher organ dysfunction scores [SOFA, median (25th-75th percentile) 12 (7-15) vs. 9 (7-11); P = 0.023] and a trend toward higher mortality (PCR negative 25.3%; PCR positive 39.1%; P = 0.115). CONCLUSIONS: In septic patients, concordance between BC and PCR is moderate. However, PCR-based pathogen detection correlated with disease severity even if the BC remained negative, suggesting that presence of microbial DNA in the bloodstream is a significant event. The clinical utility to facilitate treatment decisions warrants investigation","author":[{"dropping-particle":"","family":"Bloos","given":"Frank","non-dropping-particle":"","parse-names":false,"suffix":""},{"dropping-particle":"","family":"Hinder","given":"Frank","non-dropping-particle":"","parse-names":false,"suffix":""},{"dropping-particle":"","family":"Becker","given":"Karsten","non-dropping-particle":"","parse-names":false,"suffix":""},{"dropping-particle":"","family":"Sachse","given":"Svea","non-dropping-particle":"","parse-names":false,"suffix":""},{"dropping-particle":"","family":"Dessap","given":"Armand Mekontso","non-dropping-particle":"","parse-names":false,"suffix":""},{"dropping-particle":"","family":"Straube","given":"Eberhard","non-dropping-particle":"","parse-names":false,"suffix":""},{"dropping-particle":"","family":"Cattoir","given":"Vincent","non-dropping-particle":"","parse-names":false,"suffix":""},{"dropping-particle":"","family":"Brun-Buisson","given":"Christian","non-dropping-particle":"","parse-names":false,"suffix":""},{"dropping-particle":"","family":"Reinhart","given":"Konrad","non-dropping-particle":"","parse-names":false,"suffix":""},{"dropping-particle":"","family":"Peters","given":"Georg","non-dropping-particle":"","parse-names":false,"suffix":""},{"dropping-particle":"","family":"Bauer","given":"Michael","non-dropping-particle":"","parse-names":false,"suffix":""}],"container-title":"Intensive Care Medicine","id":"ITEM-1","issue":"2","issued":{"date-parts":[["2010"]]},"page":"241-247","title":"A multicenter trial to compare blood culture with polymerase chain reaction in severe human sepsis","type":"article-journal","volume":"36"},"uris":["http://www.mendeley.com/documents/?uuid=7521d31b-cd09-402a-be96-f91ca62a5f16"]},{"id":"ITEM-2","itemData":{"ISSN":"1198-743X","author":[{"dropping-particle":"","family":"O’Dwyer","given":"Michael J","non-dropping-particle":"","parse-names":false,"suffix":""},{"dropping-particle":"","family":"Starczewska","given":"Malgorzata H","non-dropping-particle":"","parse-names":false,"suffix":""},{"dropping-particle":"","family":"Schrenzel","given":"Jacques","non-dropping-particle":"","parse-names":false,"suffix":""},{"dropping-particle":"","family":"Zacharowski","given":"Kai","non-dropping-particle":"","parse-names":false,"suffix":""},{"dropping-particle":"","family":"Ecker","given":"D J","non-dropping-particle":"","parse-names":false,"suffix":""},{"dropping-particle":"","family":"Sampath","given":"Rangarajan","non-dropping-particle":"","parse-names":false,"suffix":""},{"dropping-particle":"","family":"Brealey","given":"David","non-dropping-particle":"","parse-names":false,"suffix":""},{"dropping-particle":"","family":"Singer","given":"M","non-dropping-particle":"","parse-names":false,"suffix":""},{"dropping-particle":"","family":"Libert","given":"N","non-dropping-particle":"","parse-names":false,"suffix":""},{"dropping-particle":"","family":"Wilks","given":"Martin","non-dropping-particle":"","parse-names":false,"suffix":""}],"container-title":"Clinical microbiology and infection","id":"ITEM-2","issue":"3","issued":{"date-parts":[["2017"]]},"page":"208-e1","publisher":"Elsevier","title":"The detection of microbial DNA but not cultured bacteria is associated with increased mortality in patients with suspected sepsis—a prospective multi-centre European observational study","type":"article-journal","volume":"23"},"uris":["http://www.mendeley.com/documents/?uuid=0e1ecdca-2225-4abc-909c-7ac82ffde775"]}],"mendeley":{"formattedCitation":"(51,52)","plainTextFormattedCitation":"(51,52)","previouslyFormattedCitation":"(51,52)"},"properties":{"noteIndex":0},"schema":"https://github.com/citation-style-language/schema/raw/master/csl-citation.json"}</w:instrText>
      </w:r>
      <w:r w:rsidR="000E6D82" w:rsidRPr="00441D50">
        <w:fldChar w:fldCharType="separate"/>
      </w:r>
      <w:r w:rsidR="00267DAA" w:rsidRPr="00441D50">
        <w:rPr>
          <w:noProof/>
        </w:rPr>
        <w:t>(51,52)</w:t>
      </w:r>
      <w:r w:rsidR="000E6D82" w:rsidRPr="00441D50">
        <w:fldChar w:fldCharType="end"/>
      </w:r>
      <w:r w:rsidR="000E6D82" w:rsidRPr="00441D50">
        <w:t xml:space="preserve">. </w:t>
      </w:r>
      <w:r w:rsidRPr="00441D50">
        <w:t xml:space="preserve"> Quantitative PCR (qPCR) provides a</w:t>
      </w:r>
      <w:r w:rsidR="00504C9E" w:rsidRPr="00441D50">
        <w:t>n</w:t>
      </w:r>
      <w:r w:rsidRPr="00441D50">
        <w:t xml:space="preserve"> estimate of the number of bacteria per millilitre of sample</w:t>
      </w:r>
      <w:r w:rsidR="009D6E64" w:rsidRPr="00441D50">
        <w:t xml:space="preserve"> and this technique is likely to</w:t>
      </w:r>
      <w:r w:rsidR="000D2A9A" w:rsidRPr="00441D50">
        <w:t xml:space="preserve"> </w:t>
      </w:r>
      <w:r w:rsidRPr="00441D50">
        <w:t xml:space="preserve">prove useful in the future at determining threshold levels of bacterial counts that can be </w:t>
      </w:r>
      <w:r w:rsidRPr="00441D50">
        <w:lastRenderedPageBreak/>
        <w:t>deemed clinically significant</w:t>
      </w:r>
      <w:r w:rsidRPr="00441D50">
        <w:fldChar w:fldCharType="begin" w:fldLock="1"/>
      </w:r>
      <w:r w:rsidR="00267DAA" w:rsidRPr="00441D50">
        <w:instrText>ADDIN CSL_CITATION {"citationItems":[{"id":"ITEM-1","itemData":{"DOI":"10.1089/sur.2015.099","ISSN":"1096-2964","abstract":"© Copyright 2016, Mary Ann Liebert, Inc. 2016. Background: Sepsis from bacteremia occurs in 250,000 cases annually in the United States, has a mortality rate as high as 60%, and is associated with a poorer prognosis than localized infection. Because of these high figures, empiric antibiotic administration for patients with systemic inflammatory response syndrome (SIRS) and suspected infection is the second most common indication for antibiotic administration in intensive care units (ICU)s. However, overuse of empiric antibiotics contributes to the development of opportunistic infections, antibiotic resistance, and the increase in multi-drug-resistant bacterial strains. The current method of diagnosing and ruling out bacteremia is via blood culture (BC) and Gram stain (GS) analysis. Methods: Conventional and molecular methods for diagnosing bacteremia were reviewed and compared. The clinical implications, use, and current clinical trials of polymerase chain reaction (PCR)-based methods to detect bacterial pathogens in the blood stream were detailed. Results: BC/GS has several disadvantages. These include: some bacteria do not grow in culture media; others do not GS appropriately; and cultures can require up to 5 d to guide or discontinue antibiotic treatment. PCR-based methods can be potentially applied to detect rapidly, accurately, and directly microbes in human blood samples. Conclusions: Compared with the conventional BC/GS, particular advantages to molecular methods (specifically, PCR-based methods) include faster results, leading to possible improved antibiotic stewardship when bacteremia is not present.","author":[{"dropping-particle":"","family":"Scerbo","given":"Michelle H.","non-dropping-particle":"","parse-names":false,"suffix":""},{"dropping-particle":"","family":"Kaplan","given":"Heidi B.","non-dropping-particle":"","parse-names":false,"suffix":""},{"dropping-particle":"","family":"Dua","given":"Anahita","non-dropping-particle":"","parse-names":false,"suffix":""},{"dropping-particle":"","family":"Litwin","given":"Douglas B.","non-dropping-particle":"","parse-names":false,"suffix":""},{"dropping-particle":"","family":"Ambrose","given":"Catherine G.","non-dropping-particle":"","parse-names":false,"suffix":""},{"dropping-particle":"","family":"Moore","given":"Laura J.","non-dropping-particle":"","parse-names":false,"suffix":""},{"dropping-particle":"","family":"Murray","given":"COL Clinton K.","non-dropping-particle":"","parse-names":false,"suffix":""},{"dropping-particle":"","family":"Wade","given":"Charles E.","non-dropping-particle":"","parse-names":false,"suffix":""},{"dropping-particle":"","family":"Holcomb","given":"John B.","non-dropping-particle":"","parse-names":false,"suffix":""}],"container-title":"Surgical Infections","id":"ITEM-1","issue":"3","issued":{"date-parts":[["2016"]]},"page":"294-302","title":"Beyond Blood Culture and Gram Stain Analysis: A Review of Molecular Techniques for the Early Detection of Bacteremia in Surgical Patients","type":"article-journal","volume":"17"},"uris":["http://www.mendeley.com/documents/?uuid=e8c3be23-bca4-4311-89c2-18fa2c124543"]}],"mendeley":{"formattedCitation":"(55)","plainTextFormattedCitation":"(55)","previouslyFormattedCitation":"(55)"},"properties":{"noteIndex":0},"schema":"https://github.com/citation-style-language/schema/raw/master/csl-citation.json"}</w:instrText>
      </w:r>
      <w:r w:rsidRPr="00441D50">
        <w:fldChar w:fldCharType="separate"/>
      </w:r>
      <w:r w:rsidR="00267DAA" w:rsidRPr="00441D50">
        <w:rPr>
          <w:noProof/>
        </w:rPr>
        <w:t>(55)</w:t>
      </w:r>
      <w:r w:rsidRPr="00441D50">
        <w:fldChar w:fldCharType="end"/>
      </w:r>
      <w:r w:rsidRPr="00441D50">
        <w:t xml:space="preserve">. PCR presents an exciting opportunity for improved detection of bacteraemia and further investigation of bacterial translocation using these techniques is warranted in horses. </w:t>
      </w:r>
      <w:r w:rsidR="0070770C" w:rsidRPr="00441D50">
        <w:t xml:space="preserve">However, </w:t>
      </w:r>
      <w:r w:rsidR="000D2A9A" w:rsidRPr="00441D50">
        <w:t xml:space="preserve">given the potential for false positive results using PCR, </w:t>
      </w:r>
      <w:r w:rsidRPr="00441D50">
        <w:t xml:space="preserve">the data must be interpreted with caution and the usefulness of culture should not be overlooked. </w:t>
      </w:r>
    </w:p>
    <w:p w14:paraId="21394FB3" w14:textId="77777777" w:rsidR="00032861" w:rsidRPr="00441D50" w:rsidRDefault="00032861" w:rsidP="00963411">
      <w:pPr>
        <w:spacing w:line="480" w:lineRule="auto"/>
        <w:jc w:val="both"/>
      </w:pPr>
    </w:p>
    <w:p w14:paraId="2EB34F75" w14:textId="7DE718A5" w:rsidR="00CC7A9C" w:rsidRPr="00441D50" w:rsidRDefault="00780435" w:rsidP="00963411">
      <w:pPr>
        <w:spacing w:line="480" w:lineRule="auto"/>
        <w:jc w:val="both"/>
      </w:pPr>
      <w:r w:rsidRPr="00441D50">
        <w:t xml:space="preserve">This study </w:t>
      </w:r>
      <w:r w:rsidR="00032861" w:rsidRPr="00441D50">
        <w:t xml:space="preserve">has </w:t>
      </w:r>
      <w:r w:rsidRPr="00441D50">
        <w:t>demonstrated a</w:t>
      </w:r>
      <w:r w:rsidR="00CC7A9C" w:rsidRPr="00441D50">
        <w:t xml:space="preserve"> low </w:t>
      </w:r>
      <w:r w:rsidR="0070770C" w:rsidRPr="00441D50">
        <w:t xml:space="preserve">prevalence </w:t>
      </w:r>
      <w:r w:rsidR="00CC7A9C" w:rsidRPr="00441D50">
        <w:t xml:space="preserve">of bacterial translocation in </w:t>
      </w:r>
      <w:r w:rsidR="00DD0EAD" w:rsidRPr="00441D50">
        <w:t>horses</w:t>
      </w:r>
      <w:r w:rsidR="00CC7A9C" w:rsidRPr="00441D50">
        <w:t xml:space="preserve"> </w:t>
      </w:r>
      <w:r w:rsidR="0070770C" w:rsidRPr="00441D50">
        <w:t>presenting</w:t>
      </w:r>
      <w:r w:rsidR="00CC7A9C" w:rsidRPr="00441D50">
        <w:t xml:space="preserve"> for acute colic</w:t>
      </w:r>
      <w:r w:rsidRPr="00441D50">
        <w:t>, including concurrent blood and peritoneal samples and samples obtained prior to the administration of antimicrobials</w:t>
      </w:r>
      <w:r w:rsidR="00CC7A9C" w:rsidRPr="00441D50">
        <w:t>.</w:t>
      </w:r>
      <w:r w:rsidR="00161B4C" w:rsidRPr="00441D50">
        <w:t xml:space="preserve"> No association was found between bacterial translocation and subsequent SSI.</w:t>
      </w:r>
      <w:r w:rsidR="00CC7A9C" w:rsidRPr="00441D50">
        <w:t xml:space="preserve"> </w:t>
      </w:r>
      <w:r w:rsidR="0070770C" w:rsidRPr="00441D50">
        <w:t xml:space="preserve">Larger studies </w:t>
      </w:r>
      <w:r w:rsidR="0039679F" w:rsidRPr="00441D50">
        <w:t xml:space="preserve">using </w:t>
      </w:r>
      <w:r w:rsidRPr="00441D50">
        <w:t xml:space="preserve">more advanced </w:t>
      </w:r>
      <w:r w:rsidR="00CC7A9C" w:rsidRPr="00441D50">
        <w:t xml:space="preserve">molecular techniques, </w:t>
      </w:r>
      <w:r w:rsidR="0070770C" w:rsidRPr="00441D50">
        <w:t xml:space="preserve">such as PCR and </w:t>
      </w:r>
      <w:r w:rsidR="0039679F" w:rsidRPr="00441D50">
        <w:t>qPCR or whole genome sequencing</w:t>
      </w:r>
      <w:r w:rsidR="0070770C" w:rsidRPr="00441D50">
        <w:t xml:space="preserve"> </w:t>
      </w:r>
      <w:r w:rsidR="000D2A9A" w:rsidRPr="00441D50">
        <w:t xml:space="preserve">are </w:t>
      </w:r>
      <w:r w:rsidR="00CC7A9C" w:rsidRPr="00441D50">
        <w:t>required to</w:t>
      </w:r>
      <w:r w:rsidRPr="00441D50">
        <w:t xml:space="preserve"> more accurately understand the mechanisms</w:t>
      </w:r>
      <w:r w:rsidR="00CC7A9C" w:rsidRPr="00441D50">
        <w:t xml:space="preserve"> </w:t>
      </w:r>
      <w:r w:rsidRPr="00441D50">
        <w:t>in which</w:t>
      </w:r>
      <w:r w:rsidR="00CC7A9C" w:rsidRPr="00441D50">
        <w:t xml:space="preserve"> bacteria colonise </w:t>
      </w:r>
      <w:r w:rsidRPr="00441D50">
        <w:t>the incision in horses that develop SSI</w:t>
      </w:r>
      <w:r w:rsidR="0070770C" w:rsidRPr="00441D50">
        <w:t>s</w:t>
      </w:r>
      <w:r w:rsidRPr="00441D50">
        <w:t xml:space="preserve"> following </w:t>
      </w:r>
      <w:r w:rsidR="0070770C" w:rsidRPr="00441D50">
        <w:t xml:space="preserve">exploratory </w:t>
      </w:r>
      <w:r w:rsidRPr="00441D50">
        <w:t xml:space="preserve">laparotomy. </w:t>
      </w:r>
      <w:r w:rsidR="00CC7A9C" w:rsidRPr="00441D50">
        <w:t xml:space="preserve"> </w:t>
      </w:r>
    </w:p>
    <w:p w14:paraId="2FFC15A5" w14:textId="77777777" w:rsidR="00CC7A9C" w:rsidRPr="00441D50" w:rsidRDefault="00CC7A9C" w:rsidP="00963411">
      <w:pPr>
        <w:spacing w:line="480" w:lineRule="auto"/>
        <w:jc w:val="both"/>
        <w:rPr>
          <w:b/>
        </w:rPr>
      </w:pPr>
    </w:p>
    <w:p w14:paraId="74D7221F" w14:textId="77777777" w:rsidR="00CC7A9C" w:rsidRPr="00441D50" w:rsidRDefault="00CC7A9C" w:rsidP="00963411">
      <w:pPr>
        <w:spacing w:line="480" w:lineRule="auto"/>
        <w:jc w:val="both"/>
        <w:rPr>
          <w:b/>
        </w:rPr>
      </w:pPr>
      <w:r w:rsidRPr="00441D50">
        <w:rPr>
          <w:b/>
        </w:rPr>
        <w:t xml:space="preserve">Acknowledgements: </w:t>
      </w:r>
    </w:p>
    <w:p w14:paraId="7C44EE87" w14:textId="77777777" w:rsidR="00CC7A9C" w:rsidRPr="00441D50" w:rsidRDefault="00CC7A9C" w:rsidP="00963411">
      <w:pPr>
        <w:spacing w:line="480" w:lineRule="auto"/>
        <w:jc w:val="both"/>
      </w:pPr>
      <w:r w:rsidRPr="00441D50">
        <w:t xml:space="preserve">The authors </w:t>
      </w:r>
      <w:r w:rsidR="00CF187A" w:rsidRPr="00441D50">
        <w:t>gratefully acknowledge</w:t>
      </w:r>
      <w:r w:rsidRPr="00441D50">
        <w:t xml:space="preserve"> the assistance from </w:t>
      </w:r>
      <w:r w:rsidR="00C711C1" w:rsidRPr="00441D50">
        <w:t xml:space="preserve">the clinical team at </w:t>
      </w:r>
      <w:r w:rsidR="00CF187A" w:rsidRPr="00441D50">
        <w:t xml:space="preserve">the University of Liverpool Equine Hospital and the </w:t>
      </w:r>
      <w:r w:rsidRPr="00441D50">
        <w:t>Microbiology Diagnostics Laboratory, University of Liverpool</w:t>
      </w:r>
      <w:r w:rsidR="00C711C1" w:rsidRPr="00441D50">
        <w:t xml:space="preserve"> and </w:t>
      </w:r>
      <w:r w:rsidR="00CF187A" w:rsidRPr="00441D50">
        <w:t xml:space="preserve">also </w:t>
      </w:r>
      <w:r w:rsidR="00C711C1" w:rsidRPr="00441D50">
        <w:t>to the owners and referring veterinary surgeons</w:t>
      </w:r>
      <w:r w:rsidR="00CF187A" w:rsidRPr="00441D50">
        <w:t xml:space="preserve"> of the horses that participated in this study. </w:t>
      </w:r>
    </w:p>
    <w:p w14:paraId="7B7FA734" w14:textId="77777777" w:rsidR="00CC7A9C" w:rsidRPr="00441D50" w:rsidRDefault="00CC7A9C" w:rsidP="00963411">
      <w:pPr>
        <w:spacing w:line="480" w:lineRule="auto"/>
        <w:jc w:val="both"/>
        <w:rPr>
          <w:b/>
        </w:rPr>
      </w:pPr>
    </w:p>
    <w:p w14:paraId="6B3E60F6" w14:textId="77777777" w:rsidR="00CC7A9C" w:rsidRPr="00441D50" w:rsidRDefault="00CC7A9C" w:rsidP="00963411">
      <w:pPr>
        <w:spacing w:line="480" w:lineRule="auto"/>
        <w:jc w:val="both"/>
        <w:rPr>
          <w:b/>
        </w:rPr>
      </w:pPr>
      <w:r w:rsidRPr="00441D50">
        <w:rPr>
          <w:b/>
        </w:rPr>
        <w:t xml:space="preserve">Authors’ declaration of interests: </w:t>
      </w:r>
    </w:p>
    <w:p w14:paraId="531AACEF" w14:textId="77777777" w:rsidR="00CC7A9C" w:rsidRPr="00441D50" w:rsidRDefault="00CC7A9C" w:rsidP="00963411">
      <w:pPr>
        <w:spacing w:line="480" w:lineRule="auto"/>
        <w:jc w:val="both"/>
      </w:pPr>
      <w:r w:rsidRPr="00441D50">
        <w:t xml:space="preserve">No competing interests have been declared. </w:t>
      </w:r>
    </w:p>
    <w:p w14:paraId="4169387F" w14:textId="77777777" w:rsidR="00CC7A9C" w:rsidRPr="00441D50" w:rsidRDefault="00CC7A9C" w:rsidP="00963411">
      <w:pPr>
        <w:spacing w:line="480" w:lineRule="auto"/>
        <w:jc w:val="both"/>
        <w:rPr>
          <w:b/>
        </w:rPr>
      </w:pPr>
    </w:p>
    <w:p w14:paraId="7CA93AA6" w14:textId="77777777" w:rsidR="00CC7A9C" w:rsidRPr="00441D50" w:rsidRDefault="00CC7A9C" w:rsidP="00963411">
      <w:pPr>
        <w:spacing w:line="480" w:lineRule="auto"/>
        <w:jc w:val="both"/>
        <w:rPr>
          <w:b/>
        </w:rPr>
      </w:pPr>
      <w:r w:rsidRPr="00441D50">
        <w:rPr>
          <w:b/>
        </w:rPr>
        <w:t>Ethical animal research</w:t>
      </w:r>
    </w:p>
    <w:p w14:paraId="033BDC55" w14:textId="77777777" w:rsidR="00CC7A9C" w:rsidRPr="00441D50" w:rsidRDefault="00CC7A9C" w:rsidP="00963411">
      <w:pPr>
        <w:spacing w:line="480" w:lineRule="auto"/>
        <w:jc w:val="both"/>
      </w:pPr>
      <w:r w:rsidRPr="00441D50">
        <w:t xml:space="preserve">Ethical approval was granted by the University of Liverpool Veterinary Research Ethics Committee (VREC614). Owners gave </w:t>
      </w:r>
      <w:r w:rsidR="00C711C1" w:rsidRPr="00441D50">
        <w:t xml:space="preserve">informed </w:t>
      </w:r>
      <w:r w:rsidRPr="00441D50">
        <w:t xml:space="preserve">consent for their animals’ inclusion in the study. </w:t>
      </w:r>
    </w:p>
    <w:p w14:paraId="2A805D41" w14:textId="77777777" w:rsidR="00CC7A9C" w:rsidRPr="00441D50" w:rsidRDefault="00CC7A9C" w:rsidP="00963411">
      <w:pPr>
        <w:spacing w:line="480" w:lineRule="auto"/>
        <w:jc w:val="both"/>
        <w:rPr>
          <w:b/>
        </w:rPr>
      </w:pPr>
    </w:p>
    <w:p w14:paraId="19865F2F" w14:textId="77777777" w:rsidR="00CC7A9C" w:rsidRPr="00441D50" w:rsidRDefault="00CC7A9C" w:rsidP="00963411">
      <w:pPr>
        <w:spacing w:line="480" w:lineRule="auto"/>
        <w:jc w:val="both"/>
      </w:pPr>
      <w:r w:rsidRPr="00441D50">
        <w:rPr>
          <w:b/>
        </w:rPr>
        <w:t xml:space="preserve">Source of funding: </w:t>
      </w:r>
      <w:r w:rsidRPr="00441D50">
        <w:t>This study was funded by a grant awarded by Veterinary Research Project Support</w:t>
      </w:r>
      <w:r w:rsidR="00C711C1" w:rsidRPr="00441D50">
        <w:t xml:space="preserve"> fund</w:t>
      </w:r>
      <w:r w:rsidRPr="00441D50">
        <w:t xml:space="preserve">, University of Liverpool. </w:t>
      </w:r>
    </w:p>
    <w:p w14:paraId="52FE4D03" w14:textId="77777777" w:rsidR="00CC7A9C" w:rsidRPr="00441D50" w:rsidRDefault="00CC7A9C" w:rsidP="00963411">
      <w:pPr>
        <w:spacing w:line="480" w:lineRule="auto"/>
        <w:jc w:val="both"/>
        <w:rPr>
          <w:b/>
        </w:rPr>
      </w:pPr>
    </w:p>
    <w:p w14:paraId="00DD5C1D" w14:textId="77777777" w:rsidR="00CC7A9C" w:rsidRPr="00441D50" w:rsidRDefault="00CC7A9C" w:rsidP="00963411">
      <w:pPr>
        <w:spacing w:line="480" w:lineRule="auto"/>
        <w:jc w:val="both"/>
        <w:rPr>
          <w:b/>
        </w:rPr>
      </w:pPr>
      <w:r w:rsidRPr="00441D50">
        <w:rPr>
          <w:b/>
        </w:rPr>
        <w:t>Manufacturer’s addresses</w:t>
      </w:r>
    </w:p>
    <w:p w14:paraId="472366DA" w14:textId="77777777" w:rsidR="00CC7A9C" w:rsidRPr="00441D50" w:rsidRDefault="00CC7A9C" w:rsidP="00963411">
      <w:pPr>
        <w:spacing w:line="480" w:lineRule="auto"/>
        <w:jc w:val="both"/>
      </w:pPr>
      <w:proofErr w:type="gramStart"/>
      <w:r w:rsidRPr="00441D50">
        <w:rPr>
          <w:vertAlign w:val="superscript"/>
        </w:rPr>
        <w:t>a</w:t>
      </w:r>
      <w:r w:rsidRPr="00441D50">
        <w:t xml:space="preserve"> </w:t>
      </w:r>
      <w:r w:rsidR="00962271" w:rsidRPr="00441D50">
        <w:t xml:space="preserve"> </w:t>
      </w:r>
      <w:proofErr w:type="spellStart"/>
      <w:r w:rsidR="00962271" w:rsidRPr="00441D50">
        <w:t>Thermo</w:t>
      </w:r>
      <w:proofErr w:type="spellEnd"/>
      <w:proofErr w:type="gramEnd"/>
      <w:r w:rsidR="00962271" w:rsidRPr="00441D50">
        <w:t xml:space="preserve"> Fisher, Basingstoke, </w:t>
      </w:r>
      <w:r w:rsidRPr="00441D50">
        <w:t>United Kingdom</w:t>
      </w:r>
    </w:p>
    <w:p w14:paraId="342D9A61" w14:textId="77777777" w:rsidR="00CC7A9C" w:rsidRPr="00441D50" w:rsidRDefault="00CC7A9C" w:rsidP="00963411">
      <w:pPr>
        <w:spacing w:line="480" w:lineRule="auto"/>
        <w:jc w:val="both"/>
      </w:pPr>
      <w:r w:rsidRPr="00441D50">
        <w:rPr>
          <w:vertAlign w:val="superscript"/>
        </w:rPr>
        <w:t>b</w:t>
      </w:r>
      <w:r w:rsidRPr="00441D50">
        <w:t xml:space="preserve"> Becton Dickinson, Oxford, U.K.</w:t>
      </w:r>
    </w:p>
    <w:p w14:paraId="548850BB" w14:textId="77777777" w:rsidR="00CC7A9C" w:rsidRPr="00441D50" w:rsidRDefault="00CC7A9C" w:rsidP="00963411">
      <w:pPr>
        <w:spacing w:line="480" w:lineRule="auto"/>
        <w:jc w:val="both"/>
      </w:pPr>
      <w:r w:rsidRPr="00441D50">
        <w:rPr>
          <w:vertAlign w:val="superscript"/>
        </w:rPr>
        <w:t>c</w:t>
      </w:r>
      <w:r w:rsidRPr="00441D50">
        <w:t xml:space="preserve"> </w:t>
      </w:r>
      <w:proofErr w:type="spellStart"/>
      <w:r w:rsidRPr="00441D50">
        <w:t>Deltalab</w:t>
      </w:r>
      <w:proofErr w:type="spellEnd"/>
      <w:r w:rsidRPr="00441D50">
        <w:t>, Barcelona, Spain.</w:t>
      </w:r>
    </w:p>
    <w:p w14:paraId="0C8DF971" w14:textId="77777777" w:rsidR="00CC7A9C" w:rsidRPr="00441D50" w:rsidRDefault="00CC7A9C" w:rsidP="00963411">
      <w:pPr>
        <w:spacing w:line="480" w:lineRule="auto"/>
        <w:jc w:val="both"/>
      </w:pPr>
      <w:r w:rsidRPr="00441D50">
        <w:rPr>
          <w:vertAlign w:val="superscript"/>
        </w:rPr>
        <w:t>d</w:t>
      </w:r>
      <w:r w:rsidRPr="00441D50">
        <w:t xml:space="preserve"> </w:t>
      </w:r>
      <w:proofErr w:type="spellStart"/>
      <w:r w:rsidRPr="00441D50">
        <w:t>Biomerieux</w:t>
      </w:r>
      <w:proofErr w:type="spellEnd"/>
      <w:r w:rsidRPr="00441D50">
        <w:t xml:space="preserve">, France. </w:t>
      </w:r>
    </w:p>
    <w:p w14:paraId="3DA71FEB" w14:textId="77777777" w:rsidR="00CC7A9C" w:rsidRPr="00441D50" w:rsidRDefault="00CC7A9C" w:rsidP="00963411">
      <w:pPr>
        <w:spacing w:line="480" w:lineRule="auto"/>
        <w:jc w:val="both"/>
      </w:pPr>
      <w:r w:rsidRPr="00441D50">
        <w:rPr>
          <w:vertAlign w:val="superscript"/>
        </w:rPr>
        <w:t>e</w:t>
      </w:r>
      <w:r w:rsidRPr="00441D50">
        <w:t xml:space="preserve"> TREK Diagnostic Systems, West Sussex, UK. </w:t>
      </w:r>
    </w:p>
    <w:p w14:paraId="4F80593B" w14:textId="77777777" w:rsidR="00CC7A9C" w:rsidRPr="00441D50" w:rsidRDefault="00CC7A9C" w:rsidP="00963411">
      <w:pPr>
        <w:spacing w:line="480" w:lineRule="auto"/>
        <w:jc w:val="both"/>
      </w:pPr>
      <w:r w:rsidRPr="00441D50">
        <w:rPr>
          <w:vertAlign w:val="superscript"/>
        </w:rPr>
        <w:t>f</w:t>
      </w:r>
      <w:r w:rsidRPr="00441D50">
        <w:t xml:space="preserve"> Smith &amp; Nephew Medical Ltd, Hull, Yorkshire, UK. </w:t>
      </w:r>
    </w:p>
    <w:p w14:paraId="09EC04A1" w14:textId="77777777" w:rsidR="00CC7A9C" w:rsidRPr="00441D50" w:rsidRDefault="00CC7A9C" w:rsidP="00963411">
      <w:pPr>
        <w:spacing w:line="480" w:lineRule="auto"/>
        <w:jc w:val="both"/>
      </w:pPr>
      <w:r w:rsidRPr="00441D50">
        <w:rPr>
          <w:vertAlign w:val="superscript"/>
        </w:rPr>
        <w:t>g</w:t>
      </w:r>
      <w:r w:rsidRPr="00441D50">
        <w:t xml:space="preserve"> BSN Medical, Hull, Yorkshire, UK.</w:t>
      </w:r>
    </w:p>
    <w:p w14:paraId="3E7A3FF2" w14:textId="77777777" w:rsidR="00CC7A9C" w:rsidRPr="00441D50" w:rsidRDefault="00CC7A9C" w:rsidP="00963411">
      <w:pPr>
        <w:spacing w:line="480" w:lineRule="auto"/>
        <w:jc w:val="both"/>
        <w:rPr>
          <w:b/>
        </w:rPr>
      </w:pPr>
    </w:p>
    <w:p w14:paraId="72F40E3D" w14:textId="77777777" w:rsidR="008449C7" w:rsidRPr="00441D50" w:rsidRDefault="00CC7A9C" w:rsidP="00963411">
      <w:pPr>
        <w:spacing w:line="480" w:lineRule="auto"/>
        <w:jc w:val="both"/>
        <w:rPr>
          <w:b/>
        </w:rPr>
      </w:pPr>
      <w:r w:rsidRPr="00441D50">
        <w:rPr>
          <w:b/>
        </w:rPr>
        <w:t>REFERENCES</w:t>
      </w:r>
    </w:p>
    <w:p w14:paraId="2786517E" w14:textId="69CD3255" w:rsidR="009B0208" w:rsidRPr="009B0208" w:rsidRDefault="00267DAA" w:rsidP="009B0208">
      <w:pPr>
        <w:widowControl w:val="0"/>
        <w:autoSpaceDE w:val="0"/>
        <w:autoSpaceDN w:val="0"/>
        <w:adjustRightInd w:val="0"/>
        <w:spacing w:line="480" w:lineRule="auto"/>
        <w:ind w:left="640" w:hanging="640"/>
        <w:rPr>
          <w:rFonts w:ascii="Calibri" w:hAnsi="Calibri" w:cs="Calibri"/>
          <w:noProof/>
          <w:lang w:val="en-US"/>
        </w:rPr>
      </w:pPr>
      <w:r w:rsidRPr="00441D50">
        <w:rPr>
          <w:b/>
        </w:rPr>
        <w:fldChar w:fldCharType="begin" w:fldLock="1"/>
      </w:r>
      <w:r w:rsidRPr="00441D50">
        <w:rPr>
          <w:b/>
        </w:rPr>
        <w:instrText xml:space="preserve">ADDIN Mendeley Bibliography CSL_BIBLIOGRAPHY </w:instrText>
      </w:r>
      <w:r w:rsidRPr="00441D50">
        <w:rPr>
          <w:b/>
        </w:rPr>
        <w:fldChar w:fldCharType="separate"/>
      </w:r>
      <w:r w:rsidR="009B0208" w:rsidRPr="009B0208">
        <w:rPr>
          <w:rFonts w:ascii="Calibri" w:hAnsi="Calibri" w:cs="Calibri"/>
          <w:noProof/>
          <w:lang w:val="en-US"/>
        </w:rPr>
        <w:t xml:space="preserve">1. </w:t>
      </w:r>
      <w:r w:rsidR="009B0208" w:rsidRPr="009B0208">
        <w:rPr>
          <w:rFonts w:ascii="Calibri" w:hAnsi="Calibri" w:cs="Calibri"/>
          <w:noProof/>
          <w:lang w:val="en-US"/>
        </w:rPr>
        <w:tab/>
        <w:t xml:space="preserve">French NP, Smith J, Edwards GB, Proudman CJ. Equine surgical colic : risk factors for postoperative complications. Equine Vet J. 2002;34(November 2000):444–9. </w:t>
      </w:r>
    </w:p>
    <w:p w14:paraId="66F10492"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 </w:t>
      </w:r>
      <w:r w:rsidRPr="009B0208">
        <w:rPr>
          <w:rFonts w:ascii="Calibri" w:hAnsi="Calibri" w:cs="Calibri"/>
          <w:noProof/>
          <w:lang w:val="en-US"/>
        </w:rPr>
        <w:tab/>
        <w:t xml:space="preserve">Gibson KT, Curtis CR, Turner AS, Mcllwraith CW, Aanes WA, Stashak TED. Incisional hernias in the horse: Incidence and Predisposing Factors. Vet Surg. 1989;18(5):360–6. </w:t>
      </w:r>
    </w:p>
    <w:p w14:paraId="474955EA"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 </w:t>
      </w:r>
      <w:r w:rsidRPr="009B0208">
        <w:rPr>
          <w:rFonts w:ascii="Calibri" w:hAnsi="Calibri" w:cs="Calibri"/>
          <w:noProof/>
          <w:lang w:val="en-US"/>
        </w:rPr>
        <w:tab/>
        <w:t xml:space="preserve">Isgren CM, Salem SE, Archer DC, Worsman FCF, Townsend NB. Risk factors for surgical site infection following laparotomy: Effect of season and perioperative variables and reporting of bacterial isolates in 287 horses. Equine Vet J. 2017;49(1):39–44. </w:t>
      </w:r>
    </w:p>
    <w:p w14:paraId="6371DC08"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lastRenderedPageBreak/>
        <w:t xml:space="preserve">4. </w:t>
      </w:r>
      <w:r w:rsidRPr="009B0208">
        <w:rPr>
          <w:rFonts w:ascii="Calibri" w:hAnsi="Calibri" w:cs="Calibri"/>
          <w:noProof/>
          <w:lang w:val="en-US"/>
        </w:rPr>
        <w:tab/>
        <w:t xml:space="preserve">Kobluk CN, Ducharme NG, Lumsden JH, Pascoe PJ, Livesey MA, Hurtig M, et al. Factors affecting incisional complication rates associated with colic surgery in horses: 78 cases (1983-1985). J Am Vet Med Assoc. 1989;195(5):639–42. </w:t>
      </w:r>
    </w:p>
    <w:p w14:paraId="2212F992"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 </w:t>
      </w:r>
      <w:r w:rsidRPr="009B0208">
        <w:rPr>
          <w:rFonts w:ascii="Calibri" w:hAnsi="Calibri" w:cs="Calibri"/>
          <w:noProof/>
          <w:lang w:val="en-US"/>
        </w:rPr>
        <w:tab/>
        <w:t xml:space="preserve">Wilson DA, Baker GJ, Boero M. Complications of celiotomy incisions in horses. Vet Surg. 1995;24(6):506–14. </w:t>
      </w:r>
    </w:p>
    <w:p w14:paraId="4CFD27A3"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6. </w:t>
      </w:r>
      <w:r w:rsidRPr="009B0208">
        <w:rPr>
          <w:rFonts w:ascii="Calibri" w:hAnsi="Calibri" w:cs="Calibri"/>
          <w:noProof/>
          <w:lang w:val="en-US"/>
        </w:rPr>
        <w:tab/>
        <w:t xml:space="preserve">Honnas CM, Cohen ND. Risk factors for wound infection following celiotomy in horses. J Am Vet Med Assoc. 1997;210(1):78–81. </w:t>
      </w:r>
    </w:p>
    <w:p w14:paraId="26E66AA3"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7. </w:t>
      </w:r>
      <w:r w:rsidRPr="009B0208">
        <w:rPr>
          <w:rFonts w:ascii="Calibri" w:hAnsi="Calibri" w:cs="Calibri"/>
          <w:noProof/>
          <w:lang w:val="en-US"/>
        </w:rPr>
        <w:tab/>
        <w:t xml:space="preserve">Torfs S, Levet T, Delesalle C, Dewulf J, Vlaminck L, Pille F, et al. Risk factors for incisional complications after exploratory celiotomy in horses: do skin staples increase the risk? Vet Surg. 2010;39(5):616–20. </w:t>
      </w:r>
    </w:p>
    <w:p w14:paraId="7095C18F"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8. </w:t>
      </w:r>
      <w:r w:rsidRPr="009B0208">
        <w:rPr>
          <w:rFonts w:ascii="Calibri" w:hAnsi="Calibri" w:cs="Calibri"/>
          <w:noProof/>
          <w:lang w:val="en-US"/>
        </w:rPr>
        <w:tab/>
        <w:t xml:space="preserve">Tnibar A, Grubbe Lin K, Thurøe Nielsen K, Christophersen MT, Lindegaard C, Martinussen T, et al. Effect of a stent bandage on the likelihood of incisional infection following exploratory coeliotomy for colic in horses: a comparative retrospective study. Equine Vet J. 2013;45(5):564–9. </w:t>
      </w:r>
    </w:p>
    <w:p w14:paraId="3C2F7CB1"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9. </w:t>
      </w:r>
      <w:r w:rsidRPr="009B0208">
        <w:rPr>
          <w:rFonts w:ascii="Calibri" w:hAnsi="Calibri" w:cs="Calibri"/>
          <w:noProof/>
          <w:lang w:val="en-US"/>
        </w:rPr>
        <w:tab/>
        <w:t xml:space="preserve">Darnaud SJM, Southwood LL, Aceto HW, Stefanovski D, Tomassone L, Zarucco L. Are horse age and incision length associated with surgical site infection following equine colic surgery? Vet J. 2016;217:3–7. </w:t>
      </w:r>
    </w:p>
    <w:p w14:paraId="04CF61F4"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10. </w:t>
      </w:r>
      <w:r w:rsidRPr="009B0208">
        <w:rPr>
          <w:rFonts w:ascii="Calibri" w:hAnsi="Calibri" w:cs="Calibri"/>
          <w:noProof/>
          <w:lang w:val="en-US"/>
        </w:rPr>
        <w:tab/>
        <w:t xml:space="preserve">Ahern BJ, Richardson DW, Boston RC, Schaer TP. Orthopedic infections in equine long bone fractures and arthrodeses treated by internal fixation: 192 cases (1990–2006). Vet Surg. 2010;39(5):588–93. </w:t>
      </w:r>
    </w:p>
    <w:p w14:paraId="22ED8457"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11. </w:t>
      </w:r>
      <w:r w:rsidRPr="009B0208">
        <w:rPr>
          <w:rFonts w:ascii="Calibri" w:hAnsi="Calibri" w:cs="Calibri"/>
          <w:noProof/>
          <w:lang w:val="en-US"/>
        </w:rPr>
        <w:tab/>
        <w:t xml:space="preserve">Hendrickson DA. Complications of laparoscopic surgery. Vet Clin North Am Equine Pract. 2008;24(3):557–71. </w:t>
      </w:r>
    </w:p>
    <w:p w14:paraId="0CFAC803"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12. </w:t>
      </w:r>
      <w:r w:rsidRPr="009B0208">
        <w:rPr>
          <w:rFonts w:ascii="Calibri" w:hAnsi="Calibri" w:cs="Calibri"/>
          <w:noProof/>
          <w:lang w:val="en-US"/>
        </w:rPr>
        <w:tab/>
        <w:t xml:space="preserve">Olds AM, Stewart AA, Freeman DE, Schaeffer DJ. Evaluation of the rate of development of septic arthritis after elective arthroscopy in horses: 7 cases (1994–2003). J Am Vet Med </w:t>
      </w:r>
      <w:r w:rsidRPr="009B0208">
        <w:rPr>
          <w:rFonts w:ascii="Calibri" w:hAnsi="Calibri" w:cs="Calibri"/>
          <w:noProof/>
          <w:lang w:val="en-US"/>
        </w:rPr>
        <w:lastRenderedPageBreak/>
        <w:t xml:space="preserve">Assoc. 2006;229(12):1949–54. </w:t>
      </w:r>
    </w:p>
    <w:p w14:paraId="0BD7DCBB"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13. </w:t>
      </w:r>
      <w:r w:rsidRPr="009B0208">
        <w:rPr>
          <w:rFonts w:ascii="Calibri" w:hAnsi="Calibri" w:cs="Calibri"/>
          <w:noProof/>
          <w:lang w:val="en-US"/>
        </w:rPr>
        <w:tab/>
        <w:t xml:space="preserve">Hennessey DB, Burke JP, Ni-Dhonochu T, Shields C, Winter DC, Mealy K. Preoperative hypoalbuminemia is an independent risk factor for the development of surgical site infection following gastrointestinal surgery: a multi-institutional study. Ann Surg. 2010;252(2):325–9. </w:t>
      </w:r>
    </w:p>
    <w:p w14:paraId="733BA9E7"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14. </w:t>
      </w:r>
      <w:r w:rsidRPr="009B0208">
        <w:rPr>
          <w:rFonts w:ascii="Calibri" w:hAnsi="Calibri" w:cs="Calibri"/>
          <w:noProof/>
          <w:lang w:val="en-US"/>
        </w:rPr>
        <w:tab/>
        <w:t xml:space="preserve">Babcock HM, Matava MJ, Fraser V. Postarthroscopy surgical site infections: review of the literature. Clin Infect Dis. 2002;34(1):65–71. </w:t>
      </w:r>
    </w:p>
    <w:p w14:paraId="52F1F70E"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15. </w:t>
      </w:r>
      <w:r w:rsidRPr="009B0208">
        <w:rPr>
          <w:rFonts w:ascii="Calibri" w:hAnsi="Calibri" w:cs="Calibri"/>
          <w:noProof/>
          <w:lang w:val="en-US"/>
        </w:rPr>
        <w:tab/>
        <w:t xml:space="preserve">Uçkay I, Hoffmeyer P, Lew D, Pittet D. Prevention of surgical site infections in orthopaedic surgery and bone trauma: state-of-the-art update. J Hosp Infect. 2013;84(1):5–12. </w:t>
      </w:r>
    </w:p>
    <w:p w14:paraId="279FC2E8"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16. </w:t>
      </w:r>
      <w:r w:rsidRPr="009B0208">
        <w:rPr>
          <w:rFonts w:ascii="Calibri" w:hAnsi="Calibri" w:cs="Calibri"/>
          <w:noProof/>
          <w:lang w:val="en-US"/>
        </w:rPr>
        <w:tab/>
        <w:t xml:space="preserve">Mair TS, Smith LJ. Survival and complication rates in 300 horses undergoing surgical treatment of colic. Part 2: short‐term complications. Equine Vet J. 2005;37(4):303–9. </w:t>
      </w:r>
    </w:p>
    <w:p w14:paraId="37050A8F"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17. </w:t>
      </w:r>
      <w:r w:rsidRPr="009B0208">
        <w:rPr>
          <w:rFonts w:ascii="Calibri" w:hAnsi="Calibri" w:cs="Calibri"/>
          <w:noProof/>
          <w:lang w:val="en-US"/>
        </w:rPr>
        <w:tab/>
        <w:t xml:space="preserve">Costa-Farré C, Prades M, Ribera T, Valero O, Taurà P. Does intraoperative low arterial partial pressure of oxygen increase the risk of surgical site infection following emergency exploratory laparotomy in horses? Vet J. 2014;200(1):175–80. </w:t>
      </w:r>
    </w:p>
    <w:p w14:paraId="5772E657" w14:textId="507E24C5"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18. </w:t>
      </w:r>
      <w:r w:rsidRPr="009B0208">
        <w:rPr>
          <w:rFonts w:ascii="Calibri" w:hAnsi="Calibri" w:cs="Calibri"/>
          <w:noProof/>
          <w:lang w:val="en-US"/>
        </w:rPr>
        <w:tab/>
        <w:t xml:space="preserve">Robson K, Cripps P, Bardell D. Lack of association between arterial oxygen tensions in horses during exploratory coeliotomy and post-operative incisional complications: A retrospective study. Vet J. 2016;210:24–9. </w:t>
      </w:r>
    </w:p>
    <w:p w14:paraId="6DFB8200"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19. </w:t>
      </w:r>
      <w:r w:rsidRPr="009B0208">
        <w:rPr>
          <w:rFonts w:ascii="Calibri" w:hAnsi="Calibri" w:cs="Calibri"/>
          <w:noProof/>
          <w:lang w:val="en-US"/>
        </w:rPr>
        <w:tab/>
        <w:t xml:space="preserve">Smith LJ, Mellor DJ, Marr CM, Reid SWJ, Mair TS. Incisional complications following exploratory celiotomy: does an abdominal bandage reduce the risk? Equine Vet J. 2007;39(3):277–83. </w:t>
      </w:r>
    </w:p>
    <w:p w14:paraId="64B73781"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20. </w:t>
      </w:r>
      <w:r w:rsidRPr="009B0208">
        <w:rPr>
          <w:rFonts w:ascii="Calibri" w:hAnsi="Calibri" w:cs="Calibri"/>
          <w:noProof/>
          <w:lang w:val="en-US"/>
        </w:rPr>
        <w:tab/>
        <w:t xml:space="preserve">Isgren CM, Salem SE, Archer DC, Worsman FCF, Townsend NB. Risk factors for surgical site infection following laparotomy : Effect of season and perioperative variables and reporting of bacterial isolates in 287 horses. Equine Vet J. 2017;39–44. </w:t>
      </w:r>
    </w:p>
    <w:p w14:paraId="63D9334B"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21. </w:t>
      </w:r>
      <w:r w:rsidRPr="009B0208">
        <w:rPr>
          <w:rFonts w:ascii="Calibri" w:hAnsi="Calibri" w:cs="Calibri"/>
          <w:noProof/>
          <w:lang w:val="en-US"/>
        </w:rPr>
        <w:tab/>
        <w:t xml:space="preserve">Colbath AC, Patipa L, Berghaus RD, Parks AH. The influence of suture pattern on the incidence </w:t>
      </w:r>
      <w:r w:rsidRPr="009B0208">
        <w:rPr>
          <w:rFonts w:ascii="Calibri" w:hAnsi="Calibri" w:cs="Calibri"/>
          <w:noProof/>
          <w:lang w:val="en-US"/>
        </w:rPr>
        <w:lastRenderedPageBreak/>
        <w:t xml:space="preserve">of incisional drainage following exploratory laparotomy. Equine Vet J. 2014;46(2):156–60. </w:t>
      </w:r>
    </w:p>
    <w:p w14:paraId="1E919F83"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22. </w:t>
      </w:r>
      <w:r w:rsidRPr="009B0208">
        <w:rPr>
          <w:rFonts w:ascii="Calibri" w:hAnsi="Calibri" w:cs="Calibri"/>
          <w:noProof/>
          <w:lang w:val="en-US"/>
        </w:rPr>
        <w:tab/>
        <w:t xml:space="preserve">Isgren CM, Salem SE, Townsend NB, Timofte D, Maddox TW, Archer DC. Sequential bacterial sampling of the midline incision in horses undergoing exploratory laparotomy. Equine Vet J. 2018;0:1–7. </w:t>
      </w:r>
    </w:p>
    <w:p w14:paraId="53A12135" w14:textId="37C4DB34"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23. </w:t>
      </w:r>
      <w:r w:rsidRPr="009B0208">
        <w:rPr>
          <w:rFonts w:ascii="Calibri" w:hAnsi="Calibri" w:cs="Calibri"/>
          <w:noProof/>
          <w:lang w:val="en-US"/>
        </w:rPr>
        <w:tab/>
        <w:t xml:space="preserve">Ingle-Fehr JE. Bacterial </w:t>
      </w:r>
      <w:r w:rsidR="000E4708" w:rsidRPr="009B0208">
        <w:rPr>
          <w:rFonts w:ascii="Calibri" w:hAnsi="Calibri" w:cs="Calibri"/>
          <w:noProof/>
          <w:lang w:val="en-US"/>
        </w:rPr>
        <w:t xml:space="preserve">culturing of ventral median celiotomies for prediction of </w:t>
      </w:r>
      <w:bookmarkStart w:id="0" w:name="_GoBack"/>
      <w:bookmarkEnd w:id="0"/>
      <w:r w:rsidR="000E4708" w:rsidRPr="009B0208">
        <w:rPr>
          <w:rFonts w:ascii="Calibri" w:hAnsi="Calibri" w:cs="Calibri"/>
          <w:noProof/>
          <w:lang w:val="en-US"/>
        </w:rPr>
        <w:t>postoperative incisional complications in horses</w:t>
      </w:r>
      <w:r w:rsidRPr="009B0208">
        <w:rPr>
          <w:rFonts w:ascii="Calibri" w:hAnsi="Calibri" w:cs="Calibri"/>
          <w:noProof/>
          <w:lang w:val="en-US"/>
        </w:rPr>
        <w:t xml:space="preserve">. Vet Surg. 1997;26(1):7–13. </w:t>
      </w:r>
    </w:p>
    <w:p w14:paraId="6783C611"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24. </w:t>
      </w:r>
      <w:r w:rsidRPr="009B0208">
        <w:rPr>
          <w:rFonts w:ascii="Calibri" w:hAnsi="Calibri" w:cs="Calibri"/>
          <w:noProof/>
          <w:lang w:val="en-US"/>
        </w:rPr>
        <w:tab/>
        <w:t xml:space="preserve">Ireifej S, Marino DJ, Loughin CA, Lesser ML, Akerman M. Risk factors and clinical relevance of positive intraoperative bacterial cultures in dogs with total hip replacement. Vet Surg. 2012;41(1):63–8. </w:t>
      </w:r>
    </w:p>
    <w:p w14:paraId="455275E2" w14:textId="358FA401"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25. </w:t>
      </w:r>
      <w:r w:rsidRPr="009B0208">
        <w:rPr>
          <w:rFonts w:ascii="Calibri" w:hAnsi="Calibri" w:cs="Calibri"/>
          <w:noProof/>
          <w:lang w:val="en-US"/>
        </w:rPr>
        <w:tab/>
        <w:t xml:space="preserve">Jonsson EÖ, Johannesdottir H, Robertsson O, Mogensen B. Bacterial contamination of the wound during primary total hip and knee replacement. Median 13 years of follow-up of 90 replacements. Acta Orthop. 2014;85(2):159–64. </w:t>
      </w:r>
    </w:p>
    <w:p w14:paraId="078134AC"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26. </w:t>
      </w:r>
      <w:r w:rsidRPr="009B0208">
        <w:rPr>
          <w:rFonts w:ascii="Calibri" w:hAnsi="Calibri" w:cs="Calibri"/>
          <w:noProof/>
          <w:lang w:val="en-US"/>
        </w:rPr>
        <w:tab/>
        <w:t xml:space="preserve">Lee KCL, Kapatkin AS. Positive intraoperative cultures and canine total hip replacement: risk factors, periprosthetic infection, and surgical success. J Am Anim Hosp Assoc. 2002;38(3):271–8. </w:t>
      </w:r>
    </w:p>
    <w:p w14:paraId="02CE6E99"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27. </w:t>
      </w:r>
      <w:r w:rsidRPr="009B0208">
        <w:rPr>
          <w:rFonts w:ascii="Calibri" w:hAnsi="Calibri" w:cs="Calibri"/>
          <w:noProof/>
          <w:lang w:val="en-US"/>
        </w:rPr>
        <w:tab/>
        <w:t xml:space="preserve">Andrade N, Schmiedt CW, Cornell K, Radlinsky MG, Heidingsfelder L, Clarke K, et al. Survey of intraoperative bacterial contamination in dogs undergoing elective orthopedic surgery. Vet Surg. 2016;45(2):214–22. </w:t>
      </w:r>
    </w:p>
    <w:p w14:paraId="44759B54"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28. </w:t>
      </w:r>
      <w:r w:rsidRPr="009B0208">
        <w:rPr>
          <w:rFonts w:ascii="Calibri" w:hAnsi="Calibri" w:cs="Calibri"/>
          <w:noProof/>
          <w:lang w:val="en-US"/>
        </w:rPr>
        <w:tab/>
        <w:t xml:space="preserve">Berg RD. Bacterial translocation from the gastrointestinal tract. Trends Microbiol. 1992;23(3–4):217–44. </w:t>
      </w:r>
    </w:p>
    <w:p w14:paraId="6ED4C4C0"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29. </w:t>
      </w:r>
      <w:r w:rsidRPr="009B0208">
        <w:rPr>
          <w:rFonts w:ascii="Calibri" w:hAnsi="Calibri" w:cs="Calibri"/>
          <w:noProof/>
          <w:lang w:val="en-US"/>
        </w:rPr>
        <w:tab/>
        <w:t xml:space="preserve">Hanna N, Bialowas C. Septicemia Secondary to Ileus in Trauma Patients : A Human Model for Bacterial Translocation. South Med J. 2010;103(5):461–3. </w:t>
      </w:r>
    </w:p>
    <w:p w14:paraId="738CE56B"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30. </w:t>
      </w:r>
      <w:r w:rsidRPr="009B0208">
        <w:rPr>
          <w:rFonts w:ascii="Calibri" w:hAnsi="Calibri" w:cs="Calibri"/>
          <w:noProof/>
          <w:lang w:val="en-US"/>
        </w:rPr>
        <w:tab/>
        <w:t xml:space="preserve">MacFie J, Reddy BS, Gatt M, Jain PK, Sowdi R, Mitchell CJ. Bacterial translocation studied in </w:t>
      </w:r>
      <w:r w:rsidRPr="009B0208">
        <w:rPr>
          <w:rFonts w:ascii="Calibri" w:hAnsi="Calibri" w:cs="Calibri"/>
          <w:noProof/>
          <w:lang w:val="en-US"/>
        </w:rPr>
        <w:lastRenderedPageBreak/>
        <w:t xml:space="preserve">927 patients over 13 years. Br J Surg. 2006;93(1):87–93. </w:t>
      </w:r>
    </w:p>
    <w:p w14:paraId="7F4A3AD2"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31. </w:t>
      </w:r>
      <w:r w:rsidRPr="009B0208">
        <w:rPr>
          <w:rFonts w:ascii="Calibri" w:hAnsi="Calibri" w:cs="Calibri"/>
          <w:noProof/>
          <w:lang w:val="en-US"/>
        </w:rPr>
        <w:tab/>
        <w:t xml:space="preserve">Jerassy Z, Yinnon AM, Mazouz-Cohen S, Benenson S, Schlesinger Y, Rudensky B, et al. Prospective hospital-wide studies of 505 patients with nosocomial bacteraemia in 1997 and 2002. J Hosp Infect. 2006;62(2):230–6. </w:t>
      </w:r>
    </w:p>
    <w:p w14:paraId="5DBF7B5B"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32. </w:t>
      </w:r>
      <w:r w:rsidRPr="009B0208">
        <w:rPr>
          <w:rFonts w:ascii="Calibri" w:hAnsi="Calibri" w:cs="Calibri"/>
          <w:noProof/>
          <w:lang w:val="en-US"/>
        </w:rPr>
        <w:tab/>
        <w:t xml:space="preserve">Carnicer-Pont D, Bailey KA, Mason BW, Walker AM, Evans MR, Salmon RL. Risk factors for hospital-acquired methicillin-resistant Staphylococcus aureus bacteraemia: a case-control study. Epidemiol Infect. 2006;134(6):1167–73. </w:t>
      </w:r>
    </w:p>
    <w:p w14:paraId="15EC2FA6"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33. </w:t>
      </w:r>
      <w:r w:rsidRPr="009B0208">
        <w:rPr>
          <w:rFonts w:ascii="Calibri" w:hAnsi="Calibri" w:cs="Calibri"/>
          <w:noProof/>
          <w:lang w:val="en-US"/>
        </w:rPr>
        <w:tab/>
        <w:t xml:space="preserve">Dow SW, Curtis CR, Jones RL, Wingfield WE. Bacterial culture of blood from critically ill dogs and cats: 100 cases (1985-1987). J Am Vet Med Assoc. 1989;195(1):113–7. </w:t>
      </w:r>
    </w:p>
    <w:p w14:paraId="20ECA1C3"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34. </w:t>
      </w:r>
      <w:r w:rsidRPr="009B0208">
        <w:rPr>
          <w:rFonts w:ascii="Calibri" w:hAnsi="Calibri" w:cs="Calibri"/>
          <w:noProof/>
          <w:lang w:val="en-US"/>
        </w:rPr>
        <w:tab/>
        <w:t xml:space="preserve">Hurcombe SD, Mudge MC, Daniels JB. Presumptive bacterial translocation in horses with strangulating small intestinal lesions requiring resection and anastomosis. J Vet Emerg Crit Care. 2012;22(6):653–60. </w:t>
      </w:r>
    </w:p>
    <w:p w14:paraId="310680FF"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35. </w:t>
      </w:r>
      <w:r w:rsidRPr="009B0208">
        <w:rPr>
          <w:rFonts w:ascii="Calibri" w:hAnsi="Calibri" w:cs="Calibri"/>
          <w:noProof/>
          <w:lang w:val="en-US"/>
        </w:rPr>
        <w:tab/>
        <w:t xml:space="preserve">Magiorakos A, Srinivasan A, Carey RB, Carmeli Y, Falagas ME, Giske CG, et al. Multidrug‐resistant, extensively drug‐resistant and pandrug‐resistant bacteria: an international expert proposal for interim standard definitions for acquired resistance. Clin Microbiol Infect. 2012;18(3):268–81. </w:t>
      </w:r>
    </w:p>
    <w:p w14:paraId="618F713B" w14:textId="30249449"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36. </w:t>
      </w:r>
      <w:r w:rsidRPr="009B0208">
        <w:rPr>
          <w:rFonts w:ascii="Calibri" w:hAnsi="Calibri" w:cs="Calibri"/>
          <w:noProof/>
          <w:lang w:val="en-US"/>
        </w:rPr>
        <w:tab/>
        <w:t xml:space="preserve">Rodriguez F, Kramer J, Fales WH, Wilson DA, Keegan KG. Evaluation of intraoperative culture results as a predictor for short-term incisional complications in 49 horses undergoing abdominal surgery. Vet Ther. 2009;10(4):E1-13. </w:t>
      </w:r>
    </w:p>
    <w:p w14:paraId="56F7BFEC"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37. </w:t>
      </w:r>
      <w:r w:rsidRPr="009B0208">
        <w:rPr>
          <w:rFonts w:ascii="Calibri" w:hAnsi="Calibri" w:cs="Calibri"/>
          <w:noProof/>
          <w:lang w:val="en-US"/>
        </w:rPr>
        <w:tab/>
        <w:t xml:space="preserve">Freeman KD, Southwood LL, Lane J, Lindborg S, Aceto HW. Post operative infection, pyrexia and perioperative antimicrobial drug use in surgical colic patients. Equine Vet J. 2012;44(4):476–81. </w:t>
      </w:r>
    </w:p>
    <w:p w14:paraId="798A9241"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38. </w:t>
      </w:r>
      <w:r w:rsidRPr="009B0208">
        <w:rPr>
          <w:rFonts w:ascii="Calibri" w:hAnsi="Calibri" w:cs="Calibri"/>
          <w:noProof/>
          <w:lang w:val="en-US"/>
        </w:rPr>
        <w:tab/>
        <w:t xml:space="preserve">Durward-Akhurst SA, Mair TS, Boston R, Dunkel B. A comparison of two antimicrobial regimens on the prevalence of incisional infections after colic surgery. Vet Rec. </w:t>
      </w:r>
      <w:r w:rsidRPr="009B0208">
        <w:rPr>
          <w:rFonts w:ascii="Calibri" w:hAnsi="Calibri" w:cs="Calibri"/>
          <w:noProof/>
          <w:lang w:val="en-US"/>
        </w:rPr>
        <w:lastRenderedPageBreak/>
        <w:t xml:space="preserve">2013;172(11):287. </w:t>
      </w:r>
    </w:p>
    <w:p w14:paraId="5419B96E"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39. </w:t>
      </w:r>
      <w:r w:rsidRPr="009B0208">
        <w:rPr>
          <w:rFonts w:ascii="Calibri" w:hAnsi="Calibri" w:cs="Calibri"/>
          <w:noProof/>
          <w:lang w:val="en-US"/>
        </w:rPr>
        <w:tab/>
        <w:t xml:space="preserve">Isgren CM, Salem SE, Townsend NB, Timofte D, Maddox TW, Archer DC. Sequential bacterial sampling of the midline incision in horses undergoing exploratory laparotomy. Equine Vet J. 2018;51:38–44. </w:t>
      </w:r>
    </w:p>
    <w:p w14:paraId="79EB8780"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40. </w:t>
      </w:r>
      <w:r w:rsidRPr="009B0208">
        <w:rPr>
          <w:rFonts w:ascii="Calibri" w:hAnsi="Calibri" w:cs="Calibri"/>
          <w:noProof/>
          <w:lang w:val="en-US"/>
        </w:rPr>
        <w:tab/>
        <w:t xml:space="preserve">Weinstein MP, Towns ML, Quartey SM, Mirrett S, Reimer LG, Parmigiani G, et al. The clinical significance of positive blood cultures in the 1990s: a prospective comprehensive evaluation of the microbiology, epidemiology, and outcome of bacteremia and fungemia in adults. Clin Infect Dis. 1997;24(4):584–602. </w:t>
      </w:r>
    </w:p>
    <w:p w14:paraId="5BBA31D5"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41. </w:t>
      </w:r>
      <w:r w:rsidRPr="009B0208">
        <w:rPr>
          <w:rFonts w:ascii="Calibri" w:hAnsi="Calibri" w:cs="Calibri"/>
          <w:noProof/>
          <w:lang w:val="en-US"/>
        </w:rPr>
        <w:tab/>
        <w:t xml:space="preserve">Galuppo LD, Pascoe JR, Jang SS, Willits NH, Greenman SL. Evaluation of iodophor skin preparation techniques and factors influencing drainage from ventral midline incisions in horses. J Am Vet Med Assoc. 1999;215(7):963–9. </w:t>
      </w:r>
    </w:p>
    <w:p w14:paraId="1116ADCB"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42. </w:t>
      </w:r>
      <w:r w:rsidRPr="009B0208">
        <w:rPr>
          <w:rFonts w:ascii="Calibri" w:hAnsi="Calibri" w:cs="Calibri"/>
          <w:noProof/>
          <w:lang w:val="en-US"/>
        </w:rPr>
        <w:tab/>
        <w:t xml:space="preserve">Zubrod CJ, Farnsworth KD, Oaks JL. Evaluation of arthrocentesis site bacterial flora before and after 4 methods of preparation in horses with and without evidence of skin contamination. Vet Surg. 2004;33(5):525–30. </w:t>
      </w:r>
    </w:p>
    <w:p w14:paraId="2E16106D"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43. </w:t>
      </w:r>
      <w:r w:rsidRPr="009B0208">
        <w:rPr>
          <w:rFonts w:ascii="Calibri" w:hAnsi="Calibri" w:cs="Calibri"/>
          <w:noProof/>
          <w:lang w:val="en-US"/>
        </w:rPr>
        <w:tab/>
        <w:t xml:space="preserve">Mshelia ES, Adamu L, Wakil Y, Turaki UA, Gulani IA, Musa J. The association between gut microbiome, sex, age and body condition scores of horses in Maiduguri and its environs. Microb Pathog. 2018;118:81–6. </w:t>
      </w:r>
    </w:p>
    <w:p w14:paraId="1F80EA9C"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44. </w:t>
      </w:r>
      <w:r w:rsidRPr="009B0208">
        <w:rPr>
          <w:rFonts w:ascii="Calibri" w:hAnsi="Calibri" w:cs="Calibri"/>
          <w:noProof/>
          <w:lang w:val="en-US"/>
        </w:rPr>
        <w:tab/>
        <w:t xml:space="preserve">Kuhl J, Winterhoff N, Wulf M, Schweigert FJ, Schwendenwein I, Bruckmaier RM, et al. Changes in faecal bacteria and metabolic parameters in foals during the first six weeks of life. Vet Microbiol. 2011;151(3–4):321–8. </w:t>
      </w:r>
    </w:p>
    <w:p w14:paraId="2FB52150"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45. </w:t>
      </w:r>
      <w:r w:rsidRPr="009B0208">
        <w:rPr>
          <w:rFonts w:ascii="Calibri" w:hAnsi="Calibri" w:cs="Calibri"/>
          <w:noProof/>
          <w:lang w:val="en-US"/>
        </w:rPr>
        <w:tab/>
        <w:t xml:space="preserve">Biedenbach DJ, Moet GJ, Jones RN. Occurrence and antimicrobial resistance pattern comparisons among bloodstream infection isolates from the SENTRY Antimicrobial Surveillance Program (1997–2002). Diagn Microbiol Infect Dis. 2004;50(1):59–69. </w:t>
      </w:r>
    </w:p>
    <w:p w14:paraId="52CBCE35"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46. </w:t>
      </w:r>
      <w:r w:rsidRPr="009B0208">
        <w:rPr>
          <w:rFonts w:ascii="Calibri" w:hAnsi="Calibri" w:cs="Calibri"/>
          <w:noProof/>
          <w:lang w:val="en-US"/>
        </w:rPr>
        <w:tab/>
        <w:t xml:space="preserve">Spijk JN Van, Schmitt S, Schoster A. Infections caused by multidrug-resistant bacteria in an </w:t>
      </w:r>
      <w:r w:rsidRPr="009B0208">
        <w:rPr>
          <w:rFonts w:ascii="Calibri" w:hAnsi="Calibri" w:cs="Calibri"/>
          <w:noProof/>
          <w:lang w:val="en-US"/>
        </w:rPr>
        <w:lastRenderedPageBreak/>
        <w:t xml:space="preserve">equine hospital ( 2012 – 2015 ). 2017;1–6. </w:t>
      </w:r>
    </w:p>
    <w:p w14:paraId="6FB2A06A"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47. </w:t>
      </w:r>
      <w:r w:rsidRPr="009B0208">
        <w:rPr>
          <w:rFonts w:ascii="Calibri" w:hAnsi="Calibri" w:cs="Calibri"/>
          <w:noProof/>
          <w:lang w:val="en-US"/>
        </w:rPr>
        <w:tab/>
        <w:t xml:space="preserve">Vaidya VK. Horizontal transfer of antimicrobial resistance by extended-spectrum β lactamase-producing enterobacteriaceae. J Lab Physicians. 2011;3(1):37. </w:t>
      </w:r>
    </w:p>
    <w:p w14:paraId="32C1088E"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48. </w:t>
      </w:r>
      <w:r w:rsidRPr="009B0208">
        <w:rPr>
          <w:rFonts w:ascii="Calibri" w:hAnsi="Calibri" w:cs="Calibri"/>
          <w:noProof/>
          <w:lang w:val="en-US"/>
        </w:rPr>
        <w:tab/>
        <w:t xml:space="preserve">Maddox TW, Williams NJ, Clegg PD, O’Donnell AJ, Dawson S, Pinchbeck GL. Longitudinal study of antimicrobial-resistant commensal Escherichia coli in the faeces of horses in an equine hospital. Prev Vet Med. 2011;100(2):134–45. </w:t>
      </w:r>
    </w:p>
    <w:p w14:paraId="327207C7"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49. </w:t>
      </w:r>
      <w:r w:rsidRPr="009B0208">
        <w:rPr>
          <w:rFonts w:ascii="Calibri" w:hAnsi="Calibri" w:cs="Calibri"/>
          <w:noProof/>
          <w:lang w:val="en-US"/>
        </w:rPr>
        <w:tab/>
        <w:t xml:space="preserve">Gorrie CL, Mirčeta M, Wick RR, Edwards DJ, Thomson NR, Strugnell RA, et al. Gastrointestinal carriage is a major reservoir of Klebsiella pneumoniae infection in intensive care patients. Clin Infect Dis. 2017;65(2):208–15. </w:t>
      </w:r>
    </w:p>
    <w:p w14:paraId="5BA12F1D"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50. </w:t>
      </w:r>
      <w:r w:rsidRPr="009B0208">
        <w:rPr>
          <w:rFonts w:ascii="Calibri" w:hAnsi="Calibri" w:cs="Calibri"/>
          <w:noProof/>
          <w:lang w:val="en-US"/>
        </w:rPr>
        <w:tab/>
        <w:t xml:space="preserve">Wilson WD, Madigan JE. Comparison of bacteriologic culture of blood and necropsy specimens for determining the cause of foal septicemia: 47 cases (1978-1987). J Am Vet Med Assoc. 1989;195(12):1759–63. </w:t>
      </w:r>
    </w:p>
    <w:p w14:paraId="519952DC"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51. </w:t>
      </w:r>
      <w:r w:rsidRPr="009B0208">
        <w:rPr>
          <w:rFonts w:ascii="Calibri" w:hAnsi="Calibri" w:cs="Calibri"/>
          <w:noProof/>
          <w:lang w:val="en-US"/>
        </w:rPr>
        <w:tab/>
        <w:t xml:space="preserve">Bloos F, Hinder F, Becker K, Sachse S, Dessap AM, Straube E, et al. A multicenter trial to compare blood culture with polymerase chain reaction in severe human sepsis. Intensive Care Med. 2010;36(2):241–7. </w:t>
      </w:r>
    </w:p>
    <w:p w14:paraId="020CAE46"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52. </w:t>
      </w:r>
      <w:r w:rsidRPr="009B0208">
        <w:rPr>
          <w:rFonts w:ascii="Calibri" w:hAnsi="Calibri" w:cs="Calibri"/>
          <w:noProof/>
          <w:lang w:val="en-US"/>
        </w:rPr>
        <w:tab/>
        <w:t xml:space="preserve">O’Dwyer MJ, Starczewska MH, Schrenzel J, Zacharowski K, Ecker DJ, Sampath R, et al. The detection of microbial DNA but not cultured bacteria is associated with increased mortality in patients with suspected sepsis—a prospective multi-centre European observational study. Clin Microbiol Infect. 2017;23(3):208-e1. </w:t>
      </w:r>
    </w:p>
    <w:p w14:paraId="3B865992"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53. </w:t>
      </w:r>
      <w:r w:rsidRPr="009B0208">
        <w:rPr>
          <w:rFonts w:ascii="Calibri" w:hAnsi="Calibri" w:cs="Calibri"/>
          <w:noProof/>
          <w:lang w:val="en-US"/>
        </w:rPr>
        <w:tab/>
        <w:t xml:space="preserve">Silveira MM da, Cândido SL, Santos KR dos, Maia MO, Souza RL de, Sousa VRF, et al. Polymerase chain reaction and blood culture for diagnosis of canine sepsis. Ciência Rural. 2018;48(6). </w:t>
      </w:r>
    </w:p>
    <w:p w14:paraId="2C26FAFA" w14:textId="77777777" w:rsidR="009B0208" w:rsidRPr="009B0208" w:rsidRDefault="009B0208" w:rsidP="009B0208">
      <w:pPr>
        <w:widowControl w:val="0"/>
        <w:autoSpaceDE w:val="0"/>
        <w:autoSpaceDN w:val="0"/>
        <w:adjustRightInd w:val="0"/>
        <w:spacing w:line="480" w:lineRule="auto"/>
        <w:ind w:left="640" w:hanging="640"/>
        <w:rPr>
          <w:rFonts w:ascii="Calibri" w:hAnsi="Calibri" w:cs="Calibri"/>
          <w:noProof/>
          <w:lang w:val="en-US"/>
        </w:rPr>
      </w:pPr>
      <w:r w:rsidRPr="009B0208">
        <w:rPr>
          <w:rFonts w:ascii="Calibri" w:hAnsi="Calibri" w:cs="Calibri"/>
          <w:noProof/>
          <w:lang w:val="en-US"/>
        </w:rPr>
        <w:t xml:space="preserve">54. </w:t>
      </w:r>
      <w:r w:rsidRPr="009B0208">
        <w:rPr>
          <w:rFonts w:ascii="Calibri" w:hAnsi="Calibri" w:cs="Calibri"/>
          <w:noProof/>
          <w:lang w:val="en-US"/>
        </w:rPr>
        <w:tab/>
        <w:t xml:space="preserve">Zucol F, Ammann RA, Berger C, Aebi C, Altwegg M, Niggli FK, et al. Real-time quantitative broad-range PCR assay for detection of the 16S rRNA gene followed by sequencing for </w:t>
      </w:r>
      <w:r w:rsidRPr="009B0208">
        <w:rPr>
          <w:rFonts w:ascii="Calibri" w:hAnsi="Calibri" w:cs="Calibri"/>
          <w:noProof/>
          <w:lang w:val="en-US"/>
        </w:rPr>
        <w:lastRenderedPageBreak/>
        <w:t xml:space="preserve">species identification. J Clin Microbiol. 2006;44(8):2750–9. </w:t>
      </w:r>
    </w:p>
    <w:p w14:paraId="6E77177E" w14:textId="4A01A971" w:rsidR="009B0208" w:rsidRPr="009B0208" w:rsidRDefault="009B0208" w:rsidP="009B0208">
      <w:pPr>
        <w:widowControl w:val="0"/>
        <w:autoSpaceDE w:val="0"/>
        <w:autoSpaceDN w:val="0"/>
        <w:adjustRightInd w:val="0"/>
        <w:spacing w:line="480" w:lineRule="auto"/>
        <w:ind w:left="640" w:hanging="640"/>
        <w:rPr>
          <w:rFonts w:ascii="Calibri" w:hAnsi="Calibri" w:cs="Calibri"/>
          <w:noProof/>
        </w:rPr>
      </w:pPr>
      <w:r w:rsidRPr="009B0208">
        <w:rPr>
          <w:rFonts w:ascii="Calibri" w:hAnsi="Calibri" w:cs="Calibri"/>
          <w:noProof/>
          <w:lang w:val="en-US"/>
        </w:rPr>
        <w:t xml:space="preserve">55. </w:t>
      </w:r>
      <w:r w:rsidRPr="009B0208">
        <w:rPr>
          <w:rFonts w:ascii="Calibri" w:hAnsi="Calibri" w:cs="Calibri"/>
          <w:noProof/>
          <w:lang w:val="en-US"/>
        </w:rPr>
        <w:tab/>
        <w:t xml:space="preserve">Scerbo MH, Kaplan HB, Dua A, Litwin DB, Ambrose CG, Moore LJ, et al. Beyond </w:t>
      </w:r>
      <w:r w:rsidR="000E4708" w:rsidRPr="009B0208">
        <w:rPr>
          <w:rFonts w:ascii="Calibri" w:hAnsi="Calibri" w:cs="Calibri"/>
          <w:noProof/>
          <w:lang w:val="en-US"/>
        </w:rPr>
        <w:t>blood culture and gram stain analysis: a review of molecular techniques for the early detection of bacteremia in surgical patients</w:t>
      </w:r>
      <w:r w:rsidRPr="009B0208">
        <w:rPr>
          <w:rFonts w:ascii="Calibri" w:hAnsi="Calibri" w:cs="Calibri"/>
          <w:noProof/>
          <w:lang w:val="en-US"/>
        </w:rPr>
        <w:t xml:space="preserve">. Surg Infect (Larchmt). 2016;17(3):294–302. </w:t>
      </w:r>
    </w:p>
    <w:p w14:paraId="755A7DBB" w14:textId="6F15E7FB" w:rsidR="00C95904" w:rsidRPr="00441D50" w:rsidRDefault="00267DAA" w:rsidP="009B0208">
      <w:pPr>
        <w:widowControl w:val="0"/>
        <w:autoSpaceDE w:val="0"/>
        <w:autoSpaceDN w:val="0"/>
        <w:adjustRightInd w:val="0"/>
        <w:spacing w:line="480" w:lineRule="auto"/>
        <w:ind w:left="640" w:hanging="640"/>
        <w:rPr>
          <w:b/>
        </w:rPr>
      </w:pPr>
      <w:r w:rsidRPr="00441D50">
        <w:rPr>
          <w:b/>
        </w:rPr>
        <w:fldChar w:fldCharType="end"/>
      </w:r>
    </w:p>
    <w:p w14:paraId="2B9670C9" w14:textId="77777777" w:rsidR="00C22BFA" w:rsidRPr="00441D50" w:rsidRDefault="00C22BFA" w:rsidP="00963411">
      <w:pPr>
        <w:widowControl w:val="0"/>
        <w:autoSpaceDE w:val="0"/>
        <w:autoSpaceDN w:val="0"/>
        <w:adjustRightInd w:val="0"/>
        <w:spacing w:line="480" w:lineRule="auto"/>
        <w:ind w:left="640" w:hanging="640"/>
      </w:pPr>
    </w:p>
    <w:sectPr w:rsidR="00C22BFA" w:rsidRPr="00441D50" w:rsidSect="00626CF0">
      <w:footerReference w:type="default" r:id="rId8"/>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36A1" w14:textId="77777777" w:rsidR="003E6B29" w:rsidRDefault="003E6B29" w:rsidP="00A55602">
      <w:pPr>
        <w:spacing w:after="0" w:line="240" w:lineRule="auto"/>
      </w:pPr>
      <w:r>
        <w:separator/>
      </w:r>
    </w:p>
  </w:endnote>
  <w:endnote w:type="continuationSeparator" w:id="0">
    <w:p w14:paraId="1533873F" w14:textId="77777777" w:rsidR="003E6B29" w:rsidRDefault="003E6B29" w:rsidP="00A5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57861"/>
      <w:docPartObj>
        <w:docPartGallery w:val="Page Numbers (Bottom of Page)"/>
        <w:docPartUnique/>
      </w:docPartObj>
    </w:sdtPr>
    <w:sdtEndPr>
      <w:rPr>
        <w:noProof/>
      </w:rPr>
    </w:sdtEndPr>
    <w:sdtContent>
      <w:p w14:paraId="559A8981" w14:textId="6D6B9389" w:rsidR="00CC04D2" w:rsidRDefault="00CC04D2">
        <w:pPr>
          <w:pStyle w:val="Footer"/>
        </w:pPr>
        <w:r>
          <w:fldChar w:fldCharType="begin"/>
        </w:r>
        <w:r>
          <w:instrText xml:space="preserve"> PAGE   \* MERGEFORMAT </w:instrText>
        </w:r>
        <w:r>
          <w:fldChar w:fldCharType="separate"/>
        </w:r>
        <w:r>
          <w:rPr>
            <w:noProof/>
          </w:rPr>
          <w:t>1</w:t>
        </w:r>
        <w:r>
          <w:rPr>
            <w:noProof/>
          </w:rPr>
          <w:fldChar w:fldCharType="end"/>
        </w:r>
      </w:p>
    </w:sdtContent>
  </w:sdt>
  <w:p w14:paraId="2B6ED28B" w14:textId="77777777" w:rsidR="00CC04D2" w:rsidRDefault="00CC0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7080" w14:textId="77777777" w:rsidR="003E6B29" w:rsidRDefault="003E6B29" w:rsidP="00A55602">
      <w:pPr>
        <w:spacing w:after="0" w:line="240" w:lineRule="auto"/>
      </w:pPr>
      <w:r>
        <w:separator/>
      </w:r>
    </w:p>
  </w:footnote>
  <w:footnote w:type="continuationSeparator" w:id="0">
    <w:p w14:paraId="5B8BED54" w14:textId="77777777" w:rsidR="003E6B29" w:rsidRDefault="003E6B29" w:rsidP="00A5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4791"/>
    <w:multiLevelType w:val="hybridMultilevel"/>
    <w:tmpl w:val="A074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9C"/>
    <w:rsid w:val="00005BEA"/>
    <w:rsid w:val="00006FBA"/>
    <w:rsid w:val="0001564B"/>
    <w:rsid w:val="00025BF3"/>
    <w:rsid w:val="00032861"/>
    <w:rsid w:val="00034FFD"/>
    <w:rsid w:val="00037995"/>
    <w:rsid w:val="000466EF"/>
    <w:rsid w:val="0005066D"/>
    <w:rsid w:val="0005105F"/>
    <w:rsid w:val="00054452"/>
    <w:rsid w:val="00054BD6"/>
    <w:rsid w:val="00057AC6"/>
    <w:rsid w:val="00074068"/>
    <w:rsid w:val="0009406C"/>
    <w:rsid w:val="00097411"/>
    <w:rsid w:val="000A1334"/>
    <w:rsid w:val="000A1FBA"/>
    <w:rsid w:val="000A2CA0"/>
    <w:rsid w:val="000C0292"/>
    <w:rsid w:val="000C640A"/>
    <w:rsid w:val="000D19E8"/>
    <w:rsid w:val="000D2A9A"/>
    <w:rsid w:val="000D539B"/>
    <w:rsid w:val="000E4708"/>
    <w:rsid w:val="000E6D82"/>
    <w:rsid w:val="000F18BC"/>
    <w:rsid w:val="000F1F26"/>
    <w:rsid w:val="00112636"/>
    <w:rsid w:val="001207B9"/>
    <w:rsid w:val="00121AF9"/>
    <w:rsid w:val="00121DD7"/>
    <w:rsid w:val="00152BDB"/>
    <w:rsid w:val="00161B4C"/>
    <w:rsid w:val="00174732"/>
    <w:rsid w:val="001775A1"/>
    <w:rsid w:val="00182A29"/>
    <w:rsid w:val="0019761E"/>
    <w:rsid w:val="001A7CA0"/>
    <w:rsid w:val="001A7E12"/>
    <w:rsid w:val="001B63B9"/>
    <w:rsid w:val="001C7ABB"/>
    <w:rsid w:val="001F0B60"/>
    <w:rsid w:val="002069D8"/>
    <w:rsid w:val="00215947"/>
    <w:rsid w:val="00215FB9"/>
    <w:rsid w:val="00217F96"/>
    <w:rsid w:val="002208F8"/>
    <w:rsid w:val="0024390C"/>
    <w:rsid w:val="00247F03"/>
    <w:rsid w:val="00251AB2"/>
    <w:rsid w:val="00267DAA"/>
    <w:rsid w:val="002748F5"/>
    <w:rsid w:val="002847EA"/>
    <w:rsid w:val="00286B33"/>
    <w:rsid w:val="00291065"/>
    <w:rsid w:val="002974F0"/>
    <w:rsid w:val="002A06A2"/>
    <w:rsid w:val="002A4B11"/>
    <w:rsid w:val="002A541C"/>
    <w:rsid w:val="002B4143"/>
    <w:rsid w:val="002B4492"/>
    <w:rsid w:val="002B60FB"/>
    <w:rsid w:val="002F5B82"/>
    <w:rsid w:val="00313B3A"/>
    <w:rsid w:val="003252F3"/>
    <w:rsid w:val="00340322"/>
    <w:rsid w:val="00341AA2"/>
    <w:rsid w:val="003556A6"/>
    <w:rsid w:val="003630F4"/>
    <w:rsid w:val="003643A9"/>
    <w:rsid w:val="003715D4"/>
    <w:rsid w:val="00373C2A"/>
    <w:rsid w:val="00392661"/>
    <w:rsid w:val="0039679F"/>
    <w:rsid w:val="003C6125"/>
    <w:rsid w:val="003E0A74"/>
    <w:rsid w:val="003E5683"/>
    <w:rsid w:val="003E6B29"/>
    <w:rsid w:val="003F4324"/>
    <w:rsid w:val="003F668E"/>
    <w:rsid w:val="00404A58"/>
    <w:rsid w:val="00416F48"/>
    <w:rsid w:val="004255C9"/>
    <w:rsid w:val="00441D50"/>
    <w:rsid w:val="00442054"/>
    <w:rsid w:val="00452A49"/>
    <w:rsid w:val="00461732"/>
    <w:rsid w:val="0046461E"/>
    <w:rsid w:val="00466C9A"/>
    <w:rsid w:val="004743C4"/>
    <w:rsid w:val="00485A45"/>
    <w:rsid w:val="00486B82"/>
    <w:rsid w:val="00487A0D"/>
    <w:rsid w:val="004A3EC6"/>
    <w:rsid w:val="004B4327"/>
    <w:rsid w:val="004B649C"/>
    <w:rsid w:val="004C57E6"/>
    <w:rsid w:val="004D46E3"/>
    <w:rsid w:val="005030F8"/>
    <w:rsid w:val="00504C9E"/>
    <w:rsid w:val="00506674"/>
    <w:rsid w:val="00521554"/>
    <w:rsid w:val="00521BF6"/>
    <w:rsid w:val="00522320"/>
    <w:rsid w:val="00524BF6"/>
    <w:rsid w:val="00544C5F"/>
    <w:rsid w:val="0055452C"/>
    <w:rsid w:val="00561460"/>
    <w:rsid w:val="00570BB1"/>
    <w:rsid w:val="00580B3A"/>
    <w:rsid w:val="0058726E"/>
    <w:rsid w:val="005873F0"/>
    <w:rsid w:val="00597100"/>
    <w:rsid w:val="005A2E68"/>
    <w:rsid w:val="005C4994"/>
    <w:rsid w:val="005D45FB"/>
    <w:rsid w:val="005E2260"/>
    <w:rsid w:val="005F3A6A"/>
    <w:rsid w:val="00603AEC"/>
    <w:rsid w:val="00607E28"/>
    <w:rsid w:val="0061096A"/>
    <w:rsid w:val="0061140F"/>
    <w:rsid w:val="00621D4F"/>
    <w:rsid w:val="00626CF0"/>
    <w:rsid w:val="006312DC"/>
    <w:rsid w:val="006456A1"/>
    <w:rsid w:val="00645B23"/>
    <w:rsid w:val="006A2D42"/>
    <w:rsid w:val="006B10C6"/>
    <w:rsid w:val="006B3D38"/>
    <w:rsid w:val="006D362F"/>
    <w:rsid w:val="006E649A"/>
    <w:rsid w:val="006F64D3"/>
    <w:rsid w:val="00704FEA"/>
    <w:rsid w:val="0070770C"/>
    <w:rsid w:val="007100F0"/>
    <w:rsid w:val="00711373"/>
    <w:rsid w:val="007155B1"/>
    <w:rsid w:val="00721D76"/>
    <w:rsid w:val="00722714"/>
    <w:rsid w:val="00723AF5"/>
    <w:rsid w:val="007567CA"/>
    <w:rsid w:val="00775B61"/>
    <w:rsid w:val="00780435"/>
    <w:rsid w:val="00792095"/>
    <w:rsid w:val="007A0538"/>
    <w:rsid w:val="007A156E"/>
    <w:rsid w:val="007A2A89"/>
    <w:rsid w:val="007B12B5"/>
    <w:rsid w:val="007D145F"/>
    <w:rsid w:val="007F346F"/>
    <w:rsid w:val="00802BF3"/>
    <w:rsid w:val="00805A40"/>
    <w:rsid w:val="00806055"/>
    <w:rsid w:val="0081465F"/>
    <w:rsid w:val="008158C9"/>
    <w:rsid w:val="00834447"/>
    <w:rsid w:val="0083465A"/>
    <w:rsid w:val="00842AEE"/>
    <w:rsid w:val="008449C7"/>
    <w:rsid w:val="00860A79"/>
    <w:rsid w:val="008628DB"/>
    <w:rsid w:val="00896659"/>
    <w:rsid w:val="008A102C"/>
    <w:rsid w:val="008C6DF6"/>
    <w:rsid w:val="008E00DA"/>
    <w:rsid w:val="008E018F"/>
    <w:rsid w:val="008E15BC"/>
    <w:rsid w:val="008E58CE"/>
    <w:rsid w:val="008F2EBD"/>
    <w:rsid w:val="008F49D4"/>
    <w:rsid w:val="008F5ADE"/>
    <w:rsid w:val="009141C2"/>
    <w:rsid w:val="009149EA"/>
    <w:rsid w:val="00916D4B"/>
    <w:rsid w:val="00926510"/>
    <w:rsid w:val="0093088B"/>
    <w:rsid w:val="00940A3E"/>
    <w:rsid w:val="00962271"/>
    <w:rsid w:val="00963411"/>
    <w:rsid w:val="00971453"/>
    <w:rsid w:val="00976E31"/>
    <w:rsid w:val="00982A2E"/>
    <w:rsid w:val="009A4D06"/>
    <w:rsid w:val="009B0208"/>
    <w:rsid w:val="009B77DC"/>
    <w:rsid w:val="009C26FB"/>
    <w:rsid w:val="009D6E64"/>
    <w:rsid w:val="009F2AED"/>
    <w:rsid w:val="009F6F6E"/>
    <w:rsid w:val="00A25695"/>
    <w:rsid w:val="00A25834"/>
    <w:rsid w:val="00A27F84"/>
    <w:rsid w:val="00A36796"/>
    <w:rsid w:val="00A40B42"/>
    <w:rsid w:val="00A425C0"/>
    <w:rsid w:val="00A50775"/>
    <w:rsid w:val="00A55602"/>
    <w:rsid w:val="00A62D80"/>
    <w:rsid w:val="00A66899"/>
    <w:rsid w:val="00A66C25"/>
    <w:rsid w:val="00A7063D"/>
    <w:rsid w:val="00A70E01"/>
    <w:rsid w:val="00A75C7A"/>
    <w:rsid w:val="00A836CB"/>
    <w:rsid w:val="00A9572D"/>
    <w:rsid w:val="00AA1BE2"/>
    <w:rsid w:val="00AA3426"/>
    <w:rsid w:val="00AD2C75"/>
    <w:rsid w:val="00AE3B46"/>
    <w:rsid w:val="00B3165A"/>
    <w:rsid w:val="00B361C2"/>
    <w:rsid w:val="00B44705"/>
    <w:rsid w:val="00B5464C"/>
    <w:rsid w:val="00B64CA9"/>
    <w:rsid w:val="00B77582"/>
    <w:rsid w:val="00B816A3"/>
    <w:rsid w:val="00B85A8C"/>
    <w:rsid w:val="00B9033F"/>
    <w:rsid w:val="00B94167"/>
    <w:rsid w:val="00B9776A"/>
    <w:rsid w:val="00BB1431"/>
    <w:rsid w:val="00BB18F9"/>
    <w:rsid w:val="00BB4F6D"/>
    <w:rsid w:val="00BD6F14"/>
    <w:rsid w:val="00BD702C"/>
    <w:rsid w:val="00BE2FA3"/>
    <w:rsid w:val="00BF582F"/>
    <w:rsid w:val="00C01AAB"/>
    <w:rsid w:val="00C14FA7"/>
    <w:rsid w:val="00C16982"/>
    <w:rsid w:val="00C22BFA"/>
    <w:rsid w:val="00C311D4"/>
    <w:rsid w:val="00C43859"/>
    <w:rsid w:val="00C47D01"/>
    <w:rsid w:val="00C711C1"/>
    <w:rsid w:val="00C95904"/>
    <w:rsid w:val="00C9610D"/>
    <w:rsid w:val="00CA7E08"/>
    <w:rsid w:val="00CB0E8E"/>
    <w:rsid w:val="00CC04D2"/>
    <w:rsid w:val="00CC7A9C"/>
    <w:rsid w:val="00CE0DD6"/>
    <w:rsid w:val="00CE77ED"/>
    <w:rsid w:val="00CF16D0"/>
    <w:rsid w:val="00CF187A"/>
    <w:rsid w:val="00D04E35"/>
    <w:rsid w:val="00D528C8"/>
    <w:rsid w:val="00D607C2"/>
    <w:rsid w:val="00D60EFC"/>
    <w:rsid w:val="00D6456E"/>
    <w:rsid w:val="00D76196"/>
    <w:rsid w:val="00D8272D"/>
    <w:rsid w:val="00D8508B"/>
    <w:rsid w:val="00D921AD"/>
    <w:rsid w:val="00D943A7"/>
    <w:rsid w:val="00DA25CA"/>
    <w:rsid w:val="00DA5A8E"/>
    <w:rsid w:val="00DB353B"/>
    <w:rsid w:val="00DC1FDF"/>
    <w:rsid w:val="00DC7CD6"/>
    <w:rsid w:val="00DD0EAD"/>
    <w:rsid w:val="00DE1D07"/>
    <w:rsid w:val="00DE6D69"/>
    <w:rsid w:val="00DE7B69"/>
    <w:rsid w:val="00DF0C60"/>
    <w:rsid w:val="00DF4572"/>
    <w:rsid w:val="00E00DE0"/>
    <w:rsid w:val="00E04B6D"/>
    <w:rsid w:val="00E10F79"/>
    <w:rsid w:val="00E15080"/>
    <w:rsid w:val="00E254C7"/>
    <w:rsid w:val="00E27A4C"/>
    <w:rsid w:val="00E41E54"/>
    <w:rsid w:val="00E64D28"/>
    <w:rsid w:val="00E731D6"/>
    <w:rsid w:val="00E803B7"/>
    <w:rsid w:val="00EA135D"/>
    <w:rsid w:val="00EA3450"/>
    <w:rsid w:val="00EB0E25"/>
    <w:rsid w:val="00EC151D"/>
    <w:rsid w:val="00EC6935"/>
    <w:rsid w:val="00ED4139"/>
    <w:rsid w:val="00ED7065"/>
    <w:rsid w:val="00EE3DCF"/>
    <w:rsid w:val="00EF7333"/>
    <w:rsid w:val="00F0709D"/>
    <w:rsid w:val="00F142E0"/>
    <w:rsid w:val="00F156B7"/>
    <w:rsid w:val="00F17AA5"/>
    <w:rsid w:val="00F60B68"/>
    <w:rsid w:val="00F61AE9"/>
    <w:rsid w:val="00F72479"/>
    <w:rsid w:val="00F86401"/>
    <w:rsid w:val="00F86D10"/>
    <w:rsid w:val="00F87155"/>
    <w:rsid w:val="00F9571C"/>
    <w:rsid w:val="00F97C70"/>
    <w:rsid w:val="00FA558D"/>
    <w:rsid w:val="00FA5E11"/>
    <w:rsid w:val="00FC2742"/>
    <w:rsid w:val="00FC7D95"/>
    <w:rsid w:val="00FD0625"/>
    <w:rsid w:val="00FD1D6E"/>
    <w:rsid w:val="00FD580B"/>
    <w:rsid w:val="00FF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94EF"/>
  <w14:defaultImageDpi w14:val="32767"/>
  <w15:chartTrackingRefBased/>
  <w15:docId w15:val="{6689993E-D099-3F44-A301-03F2490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CC7A9C"/>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CC7A9C"/>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9572D"/>
    <w:rPr>
      <w:sz w:val="16"/>
      <w:szCs w:val="16"/>
    </w:rPr>
  </w:style>
  <w:style w:type="paragraph" w:styleId="CommentText">
    <w:name w:val="annotation text"/>
    <w:basedOn w:val="Normal"/>
    <w:link w:val="CommentTextChar"/>
    <w:uiPriority w:val="99"/>
    <w:semiHidden/>
    <w:unhideWhenUsed/>
    <w:rsid w:val="00A9572D"/>
    <w:pPr>
      <w:spacing w:line="240" w:lineRule="auto"/>
    </w:pPr>
    <w:rPr>
      <w:sz w:val="20"/>
      <w:szCs w:val="20"/>
    </w:rPr>
  </w:style>
  <w:style w:type="character" w:customStyle="1" w:styleId="CommentTextChar">
    <w:name w:val="Comment Text Char"/>
    <w:basedOn w:val="DefaultParagraphFont"/>
    <w:link w:val="CommentText"/>
    <w:uiPriority w:val="99"/>
    <w:semiHidden/>
    <w:rsid w:val="00A9572D"/>
    <w:rPr>
      <w:sz w:val="20"/>
      <w:szCs w:val="20"/>
    </w:rPr>
  </w:style>
  <w:style w:type="paragraph" w:styleId="CommentSubject">
    <w:name w:val="annotation subject"/>
    <w:basedOn w:val="CommentText"/>
    <w:next w:val="CommentText"/>
    <w:link w:val="CommentSubjectChar"/>
    <w:uiPriority w:val="99"/>
    <w:semiHidden/>
    <w:unhideWhenUsed/>
    <w:rsid w:val="00A9572D"/>
    <w:rPr>
      <w:b/>
      <w:bCs/>
    </w:rPr>
  </w:style>
  <w:style w:type="character" w:customStyle="1" w:styleId="CommentSubjectChar">
    <w:name w:val="Comment Subject Char"/>
    <w:basedOn w:val="CommentTextChar"/>
    <w:link w:val="CommentSubject"/>
    <w:uiPriority w:val="99"/>
    <w:semiHidden/>
    <w:rsid w:val="00A9572D"/>
    <w:rPr>
      <w:b/>
      <w:bCs/>
      <w:sz w:val="20"/>
      <w:szCs w:val="20"/>
    </w:rPr>
  </w:style>
  <w:style w:type="paragraph" w:styleId="BalloonText">
    <w:name w:val="Balloon Text"/>
    <w:basedOn w:val="Normal"/>
    <w:link w:val="BalloonTextChar"/>
    <w:uiPriority w:val="99"/>
    <w:semiHidden/>
    <w:unhideWhenUsed/>
    <w:rsid w:val="00A95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2D"/>
    <w:rPr>
      <w:rFonts w:ascii="Segoe UI" w:hAnsi="Segoe UI" w:cs="Segoe UI"/>
      <w:sz w:val="18"/>
      <w:szCs w:val="18"/>
    </w:rPr>
  </w:style>
  <w:style w:type="character" w:styleId="Hyperlink">
    <w:name w:val="Hyperlink"/>
    <w:basedOn w:val="DefaultParagraphFont"/>
    <w:uiPriority w:val="99"/>
    <w:unhideWhenUsed/>
    <w:rsid w:val="008E00DA"/>
    <w:rPr>
      <w:color w:val="0563C1" w:themeColor="hyperlink"/>
      <w:u w:val="single"/>
    </w:rPr>
  </w:style>
  <w:style w:type="paragraph" w:styleId="Header">
    <w:name w:val="header"/>
    <w:basedOn w:val="Normal"/>
    <w:link w:val="HeaderChar"/>
    <w:uiPriority w:val="99"/>
    <w:unhideWhenUsed/>
    <w:rsid w:val="00A55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602"/>
    <w:rPr>
      <w:sz w:val="22"/>
      <w:szCs w:val="22"/>
    </w:rPr>
  </w:style>
  <w:style w:type="paragraph" w:styleId="Footer">
    <w:name w:val="footer"/>
    <w:basedOn w:val="Normal"/>
    <w:link w:val="FooterChar"/>
    <w:uiPriority w:val="99"/>
    <w:unhideWhenUsed/>
    <w:rsid w:val="00A55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602"/>
    <w:rPr>
      <w:sz w:val="22"/>
      <w:szCs w:val="22"/>
    </w:rPr>
  </w:style>
  <w:style w:type="paragraph" w:styleId="Revision">
    <w:name w:val="Revision"/>
    <w:hidden/>
    <w:uiPriority w:val="99"/>
    <w:semiHidden/>
    <w:rsid w:val="00C711C1"/>
    <w:rPr>
      <w:sz w:val="22"/>
      <w:szCs w:val="22"/>
    </w:rPr>
  </w:style>
  <w:style w:type="character" w:styleId="FollowedHyperlink">
    <w:name w:val="FollowedHyperlink"/>
    <w:basedOn w:val="DefaultParagraphFont"/>
    <w:uiPriority w:val="99"/>
    <w:semiHidden/>
    <w:unhideWhenUsed/>
    <w:rsid w:val="00A7063D"/>
    <w:rPr>
      <w:color w:val="954F72" w:themeColor="followedHyperlink"/>
      <w:u w:val="single"/>
    </w:rPr>
  </w:style>
  <w:style w:type="table" w:styleId="TableGrid">
    <w:name w:val="Table Grid"/>
    <w:basedOn w:val="TableNormal"/>
    <w:uiPriority w:val="39"/>
    <w:rsid w:val="004B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B903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B9033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C47D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iven-name">
    <w:name w:val="given-name"/>
    <w:basedOn w:val="DefaultParagraphFont"/>
    <w:rsid w:val="00C47D01"/>
  </w:style>
  <w:style w:type="character" w:customStyle="1" w:styleId="family-name">
    <w:name w:val="family-name"/>
    <w:basedOn w:val="DefaultParagraphFont"/>
    <w:rsid w:val="00C47D01"/>
  </w:style>
  <w:style w:type="paragraph" w:styleId="FootnoteText">
    <w:name w:val="footnote text"/>
    <w:basedOn w:val="Normal"/>
    <w:link w:val="FootnoteTextChar"/>
    <w:uiPriority w:val="99"/>
    <w:semiHidden/>
    <w:unhideWhenUsed/>
    <w:rsid w:val="00C47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D01"/>
    <w:rPr>
      <w:sz w:val="20"/>
      <w:szCs w:val="20"/>
    </w:rPr>
  </w:style>
  <w:style w:type="character" w:styleId="FootnoteReference">
    <w:name w:val="footnote reference"/>
    <w:basedOn w:val="DefaultParagraphFont"/>
    <w:uiPriority w:val="99"/>
    <w:semiHidden/>
    <w:unhideWhenUsed/>
    <w:rsid w:val="00C47D01"/>
    <w:rPr>
      <w:vertAlign w:val="superscript"/>
    </w:rPr>
  </w:style>
  <w:style w:type="paragraph" w:styleId="ListParagraph">
    <w:name w:val="List Paragraph"/>
    <w:basedOn w:val="Normal"/>
    <w:uiPriority w:val="34"/>
    <w:qFormat/>
    <w:rsid w:val="00C47D01"/>
    <w:pPr>
      <w:ind w:left="720"/>
      <w:contextualSpacing/>
    </w:pPr>
  </w:style>
  <w:style w:type="character" w:styleId="LineNumber">
    <w:name w:val="line number"/>
    <w:basedOn w:val="DefaultParagraphFont"/>
    <w:uiPriority w:val="99"/>
    <w:semiHidden/>
    <w:unhideWhenUsed/>
    <w:rsid w:val="00B8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095">
      <w:bodyDiv w:val="1"/>
      <w:marLeft w:val="0"/>
      <w:marRight w:val="0"/>
      <w:marTop w:val="0"/>
      <w:marBottom w:val="0"/>
      <w:divBdr>
        <w:top w:val="none" w:sz="0" w:space="0" w:color="auto"/>
        <w:left w:val="none" w:sz="0" w:space="0" w:color="auto"/>
        <w:bottom w:val="none" w:sz="0" w:space="0" w:color="auto"/>
        <w:right w:val="none" w:sz="0" w:space="0" w:color="auto"/>
      </w:divBdr>
    </w:div>
    <w:div w:id="370808547">
      <w:bodyDiv w:val="1"/>
      <w:marLeft w:val="0"/>
      <w:marRight w:val="0"/>
      <w:marTop w:val="0"/>
      <w:marBottom w:val="0"/>
      <w:divBdr>
        <w:top w:val="none" w:sz="0" w:space="0" w:color="auto"/>
        <w:left w:val="none" w:sz="0" w:space="0" w:color="auto"/>
        <w:bottom w:val="none" w:sz="0" w:space="0" w:color="auto"/>
        <w:right w:val="none" w:sz="0" w:space="0" w:color="auto"/>
      </w:divBdr>
    </w:div>
    <w:div w:id="705058639">
      <w:bodyDiv w:val="1"/>
      <w:marLeft w:val="0"/>
      <w:marRight w:val="0"/>
      <w:marTop w:val="0"/>
      <w:marBottom w:val="0"/>
      <w:divBdr>
        <w:top w:val="none" w:sz="0" w:space="0" w:color="auto"/>
        <w:left w:val="none" w:sz="0" w:space="0" w:color="auto"/>
        <w:bottom w:val="none" w:sz="0" w:space="0" w:color="auto"/>
        <w:right w:val="none" w:sz="0" w:space="0" w:color="auto"/>
      </w:divBdr>
    </w:div>
    <w:div w:id="957107774">
      <w:bodyDiv w:val="1"/>
      <w:marLeft w:val="0"/>
      <w:marRight w:val="0"/>
      <w:marTop w:val="0"/>
      <w:marBottom w:val="0"/>
      <w:divBdr>
        <w:top w:val="none" w:sz="0" w:space="0" w:color="auto"/>
        <w:left w:val="none" w:sz="0" w:space="0" w:color="auto"/>
        <w:bottom w:val="none" w:sz="0" w:space="0" w:color="auto"/>
        <w:right w:val="none" w:sz="0" w:space="0" w:color="auto"/>
      </w:divBdr>
    </w:div>
    <w:div w:id="1584996621">
      <w:bodyDiv w:val="1"/>
      <w:marLeft w:val="0"/>
      <w:marRight w:val="0"/>
      <w:marTop w:val="0"/>
      <w:marBottom w:val="0"/>
      <w:divBdr>
        <w:top w:val="none" w:sz="0" w:space="0" w:color="auto"/>
        <w:left w:val="none" w:sz="0" w:space="0" w:color="auto"/>
        <w:bottom w:val="none" w:sz="0" w:space="0" w:color="auto"/>
        <w:right w:val="none" w:sz="0" w:space="0" w:color="auto"/>
      </w:divBdr>
    </w:div>
    <w:div w:id="1635989431">
      <w:bodyDiv w:val="1"/>
      <w:marLeft w:val="0"/>
      <w:marRight w:val="0"/>
      <w:marTop w:val="0"/>
      <w:marBottom w:val="0"/>
      <w:divBdr>
        <w:top w:val="none" w:sz="0" w:space="0" w:color="auto"/>
        <w:left w:val="none" w:sz="0" w:space="0" w:color="auto"/>
        <w:bottom w:val="none" w:sz="0" w:space="0" w:color="auto"/>
        <w:right w:val="none" w:sz="0" w:space="0" w:color="auto"/>
      </w:divBdr>
    </w:div>
    <w:div w:id="20318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7D2E-A221-4A47-A1E1-0C013288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27924</Words>
  <Characters>159168</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Hann</dc:creator>
  <cp:keywords/>
  <dc:description/>
  <cp:lastModifiedBy>Shelly Hann</cp:lastModifiedBy>
  <cp:revision>5</cp:revision>
  <dcterms:created xsi:type="dcterms:W3CDTF">2020-03-25T08:11:00Z</dcterms:created>
  <dcterms:modified xsi:type="dcterms:W3CDTF">2020-03-25T22:19:00Z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http://www.zotero.org/styles/equine-veterinary-journal</vt:lpwstr>
  </property>
  <property fmtid="{D5CDD505-2E9C-101B-9397-08002B2CF9AE}" pid="13" name="Mendeley Recent Style Name 5_1">
    <vt:lpwstr>Equine Veterinary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d7d4d0b7-75bb-39bf-a19a-29df81913015</vt:lpwstr>
  </property>
  <property fmtid="{D5CDD505-2E9C-101B-9397-08002B2CF9AE}" pid="24" name="Mendeley Citation Style_1">
    <vt:lpwstr>http://www.zotero.org/styles/vancouver</vt:lpwstr>
  </property>
</Properties>
</file>