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392F2" w14:textId="26E97D64" w:rsidR="00740274" w:rsidRDefault="00E70B2B" w:rsidP="004F2BB1">
      <w:pPr>
        <w:spacing w:line="240" w:lineRule="auto"/>
        <w:jc w:val="center"/>
        <w:rPr>
          <w:rFonts w:ascii="Times New Roman" w:hAnsi="Times New Roman" w:cs="Times New Roman"/>
          <w:sz w:val="24"/>
          <w:szCs w:val="24"/>
        </w:rPr>
      </w:pPr>
      <w:bookmarkStart w:id="0" w:name="_Hlk26532669"/>
      <w:r w:rsidRPr="0037677A">
        <w:rPr>
          <w:rFonts w:ascii="Times New Roman" w:hAnsi="Times New Roman" w:cs="Times New Roman"/>
          <w:sz w:val="24"/>
          <w:szCs w:val="24"/>
        </w:rPr>
        <w:t>Are large-scale dams environmentally detrimental?</w:t>
      </w:r>
      <w:r>
        <w:rPr>
          <w:rFonts w:ascii="Times New Roman" w:hAnsi="Times New Roman" w:cs="Times New Roman"/>
          <w:sz w:val="24"/>
          <w:szCs w:val="24"/>
        </w:rPr>
        <w:t xml:space="preserve"> </w:t>
      </w:r>
      <w:r w:rsidRPr="0037677A">
        <w:rPr>
          <w:rFonts w:ascii="Times New Roman" w:hAnsi="Times New Roman" w:cs="Times New Roman"/>
          <w:sz w:val="24"/>
          <w:szCs w:val="24"/>
        </w:rPr>
        <w:t>Life-cycle Environmental Consequences of Mega-Hydropower plants in Myanmar</w:t>
      </w:r>
      <w:bookmarkEnd w:id="0"/>
    </w:p>
    <w:p w14:paraId="392EC01A" w14:textId="52451C39" w:rsidR="002A15D9" w:rsidRDefault="002A15D9" w:rsidP="004F2BB1">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Thiri Shwesin Aung</w:t>
      </w:r>
    </w:p>
    <w:p w14:paraId="518C86A0" w14:textId="77777777" w:rsidR="002A15D9" w:rsidRDefault="002A15D9" w:rsidP="004F2BB1">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Correspondence Author</w:t>
      </w:r>
    </w:p>
    <w:p w14:paraId="17159885" w14:textId="26359691" w:rsidR="002A15D9" w:rsidRDefault="002A15D9" w:rsidP="004F2BB1">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Affiliations: Asia Center, Faculty of Arts and Sciences, Harvard University, CGIS South, 1730</w:t>
      </w:r>
    </w:p>
    <w:p w14:paraId="3288EB7A" w14:textId="72F8630A" w:rsidR="002A15D9" w:rsidRDefault="002A15D9" w:rsidP="004F2BB1">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Cambridge St, Cambridge, MA 02138.</w:t>
      </w:r>
      <w:r w:rsidR="00F70649">
        <w:rPr>
          <w:rFonts w:ascii="Times New Roman" w:hAnsi="Times New Roman" w:cs="Times New Roman"/>
          <w:lang w:val="en-US"/>
        </w:rPr>
        <w:t xml:space="preserve"> </w:t>
      </w:r>
      <w:hyperlink r:id="rId8" w:history="1">
        <w:r w:rsidR="00F70649" w:rsidRPr="00357499">
          <w:rPr>
            <w:rStyle w:val="Hyperlink"/>
            <w:rFonts w:ascii="Times New Roman" w:hAnsi="Times New Roman" w:cs="Times New Roman"/>
            <w:lang w:val="en-US"/>
          </w:rPr>
          <w:t>thirishwesinaung@fas.harvard.edu</w:t>
        </w:r>
      </w:hyperlink>
      <w:r w:rsidR="00F70649">
        <w:rPr>
          <w:rFonts w:ascii="Times New Roman" w:hAnsi="Times New Roman" w:cs="Times New Roman"/>
          <w:lang w:val="en-US"/>
        </w:rPr>
        <w:t xml:space="preserve">. </w:t>
      </w:r>
    </w:p>
    <w:p w14:paraId="49BE73E6" w14:textId="77777777" w:rsidR="002A15D9" w:rsidRDefault="002A15D9" w:rsidP="004F2BB1">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Department of Engineering, International Islamic University Malaysia, Jalan Gombak, 53100,</w:t>
      </w:r>
    </w:p>
    <w:p w14:paraId="2A710A75" w14:textId="14A33824" w:rsidR="002A15D9" w:rsidRDefault="002A15D9" w:rsidP="004F2BB1">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Selangor, Malaysia.</w:t>
      </w:r>
    </w:p>
    <w:p w14:paraId="54AD738D" w14:textId="77777777" w:rsidR="002A15D9" w:rsidRDefault="002A15D9" w:rsidP="004F2BB1">
      <w:pPr>
        <w:autoSpaceDE w:val="0"/>
        <w:autoSpaceDN w:val="0"/>
        <w:adjustRightInd w:val="0"/>
        <w:spacing w:after="0" w:line="240" w:lineRule="auto"/>
        <w:rPr>
          <w:rFonts w:ascii="Times New Roman" w:hAnsi="Times New Roman" w:cs="Times New Roman"/>
          <w:lang w:val="en-US"/>
        </w:rPr>
      </w:pPr>
    </w:p>
    <w:p w14:paraId="4DAB046B" w14:textId="77777777" w:rsidR="002A15D9" w:rsidRDefault="002A15D9" w:rsidP="004F2BB1">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Co-author: Thomas B. Fischer</w:t>
      </w:r>
    </w:p>
    <w:p w14:paraId="34D55583" w14:textId="47EE9DA7" w:rsidR="002A15D9" w:rsidRDefault="002A15D9" w:rsidP="004F2BB1">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Affiliations: Geography and Planning, School of Environmental Sciences, University of Liverpool.</w:t>
      </w:r>
    </w:p>
    <w:p w14:paraId="2822F875" w14:textId="77777777" w:rsidR="002A15D9" w:rsidRDefault="002A15D9" w:rsidP="004F2BB1">
      <w:pPr>
        <w:autoSpaceDE w:val="0"/>
        <w:autoSpaceDN w:val="0"/>
        <w:adjustRightInd w:val="0"/>
        <w:spacing w:after="0" w:line="240" w:lineRule="auto"/>
        <w:rPr>
          <w:rFonts w:ascii="Times New Roman" w:hAnsi="Times New Roman" w:cs="Times New Roman"/>
          <w:lang w:val="en-US"/>
        </w:rPr>
      </w:pPr>
    </w:p>
    <w:p w14:paraId="773E57DB" w14:textId="77777777" w:rsidR="002A15D9" w:rsidRDefault="002A15D9" w:rsidP="004F2BB1">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Co-author: Azlin Suhaida Azmi</w:t>
      </w:r>
    </w:p>
    <w:p w14:paraId="2DBD6186" w14:textId="427D6292" w:rsidR="002A15D9" w:rsidRDefault="002A15D9" w:rsidP="004F2BB1">
      <w:pPr>
        <w:autoSpaceDE w:val="0"/>
        <w:autoSpaceDN w:val="0"/>
        <w:adjustRightInd w:val="0"/>
        <w:spacing w:after="0" w:line="240" w:lineRule="auto"/>
        <w:rPr>
          <w:rFonts w:ascii="Times New Roman" w:hAnsi="Times New Roman" w:cs="Times New Roman"/>
          <w:lang w:val="en-US"/>
        </w:rPr>
      </w:pPr>
      <w:r>
        <w:rPr>
          <w:rFonts w:ascii="Times New Roman" w:hAnsi="Times New Roman" w:cs="Times New Roman"/>
          <w:lang w:val="en-US"/>
        </w:rPr>
        <w:t>Affiliations: Department of Biotechnology Engineering, International Islamic University Malaysia.</w:t>
      </w:r>
    </w:p>
    <w:p w14:paraId="40C8FEEB" w14:textId="6C2C1EDD" w:rsidR="00862B6F" w:rsidRDefault="00862B6F" w:rsidP="004F2BB1">
      <w:pPr>
        <w:spacing w:line="240" w:lineRule="auto"/>
        <w:rPr>
          <w:rFonts w:ascii="Times New Roman" w:hAnsi="Times New Roman" w:cs="Times New Roman"/>
          <w:sz w:val="24"/>
          <w:szCs w:val="24"/>
        </w:rPr>
      </w:pPr>
    </w:p>
    <w:p w14:paraId="73A8EFF4" w14:textId="633F9C32" w:rsidR="005801A5" w:rsidRDefault="005801A5" w:rsidP="004F2BB1">
      <w:pPr>
        <w:spacing w:line="240" w:lineRule="auto"/>
        <w:rPr>
          <w:rFonts w:ascii="Times New Roman" w:hAnsi="Times New Roman" w:cs="Times New Roman"/>
          <w:sz w:val="24"/>
          <w:szCs w:val="24"/>
        </w:rPr>
      </w:pPr>
      <w:r>
        <w:rPr>
          <w:rFonts w:ascii="Times New Roman" w:hAnsi="Times New Roman" w:cs="Times New Roman"/>
          <w:sz w:val="24"/>
          <w:szCs w:val="24"/>
        </w:rPr>
        <w:t xml:space="preserve">Graphical </w:t>
      </w:r>
      <w:r w:rsidR="001203DC">
        <w:rPr>
          <w:rFonts w:ascii="Times New Roman" w:hAnsi="Times New Roman" w:cs="Times New Roman"/>
          <w:sz w:val="24"/>
          <w:szCs w:val="24"/>
        </w:rPr>
        <w:t>Abstract</w:t>
      </w:r>
    </w:p>
    <w:p w14:paraId="7507A8C6" w14:textId="2E792CE1" w:rsidR="005801A5" w:rsidRDefault="005801A5" w:rsidP="004F2BB1">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BB8375" wp14:editId="0EBF9E38">
            <wp:extent cx="5731510" cy="2288540"/>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CA.png"/>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2288540"/>
                    </a:xfrm>
                    <a:prstGeom prst="rect">
                      <a:avLst/>
                    </a:prstGeom>
                  </pic:spPr>
                </pic:pic>
              </a:graphicData>
            </a:graphic>
          </wp:inline>
        </w:drawing>
      </w:r>
    </w:p>
    <w:p w14:paraId="79E84F44" w14:textId="2B390287" w:rsidR="00A564B2" w:rsidRDefault="00A564B2" w:rsidP="004F2BB1">
      <w:pPr>
        <w:spacing w:line="240" w:lineRule="auto"/>
        <w:rPr>
          <w:rFonts w:ascii="Times New Roman" w:hAnsi="Times New Roman" w:cs="Times New Roman"/>
          <w:sz w:val="24"/>
          <w:szCs w:val="24"/>
        </w:rPr>
      </w:pPr>
      <w:r>
        <w:rPr>
          <w:rFonts w:ascii="Times New Roman" w:hAnsi="Times New Roman" w:cs="Times New Roman"/>
          <w:sz w:val="24"/>
          <w:szCs w:val="24"/>
        </w:rPr>
        <w:t xml:space="preserve">Abstract </w:t>
      </w:r>
    </w:p>
    <w:p w14:paraId="42B9CC16" w14:textId="7EB9391E" w:rsidR="00E70B5A" w:rsidRDefault="00E70B5A" w:rsidP="004F2BB1">
      <w:pPr>
        <w:spacing w:line="240" w:lineRule="auto"/>
        <w:rPr>
          <w:rFonts w:ascii="Times New Roman" w:hAnsi="Times New Roman" w:cs="Times New Roman"/>
          <w:sz w:val="24"/>
          <w:szCs w:val="24"/>
        </w:rPr>
      </w:pPr>
      <w:r w:rsidRPr="00E70B5A">
        <w:rPr>
          <w:rFonts w:ascii="Times New Roman" w:hAnsi="Times New Roman" w:cs="Times New Roman"/>
          <w:i/>
          <w:iCs/>
          <w:sz w:val="24"/>
          <w:szCs w:val="24"/>
        </w:rPr>
        <w:t>Purpose</w:t>
      </w:r>
      <w:r>
        <w:rPr>
          <w:rFonts w:ascii="Times New Roman" w:hAnsi="Times New Roman" w:cs="Times New Roman"/>
          <w:i/>
          <w:iCs/>
          <w:sz w:val="24"/>
          <w:szCs w:val="24"/>
        </w:rPr>
        <w:t xml:space="preserve">: </w:t>
      </w:r>
      <w:r w:rsidR="00291D76" w:rsidRPr="00826742">
        <w:rPr>
          <w:rFonts w:ascii="Times New Roman" w:hAnsi="Times New Roman" w:cs="Times New Roman"/>
          <w:sz w:val="24"/>
          <w:szCs w:val="24"/>
        </w:rPr>
        <w:t>Rivers control biophysical processes</w:t>
      </w:r>
      <w:r w:rsidR="0048300D">
        <w:rPr>
          <w:rFonts w:ascii="Times New Roman" w:hAnsi="Times New Roman" w:cs="Times New Roman"/>
          <w:sz w:val="24"/>
          <w:szCs w:val="24"/>
        </w:rPr>
        <w:t xml:space="preserve"> that</w:t>
      </w:r>
      <w:r w:rsidR="00291D76" w:rsidRPr="00826742">
        <w:rPr>
          <w:rFonts w:ascii="Times New Roman" w:hAnsi="Times New Roman" w:cs="Times New Roman"/>
          <w:sz w:val="24"/>
          <w:szCs w:val="24"/>
        </w:rPr>
        <w:t xml:space="preserve"> underpin essential ecosystem services. Myanmar’s rivers provide </w:t>
      </w:r>
      <w:r w:rsidR="001E0BBF">
        <w:rPr>
          <w:rFonts w:ascii="Times New Roman" w:hAnsi="Times New Roman" w:cs="Times New Roman"/>
          <w:sz w:val="24"/>
          <w:szCs w:val="24"/>
        </w:rPr>
        <w:t>great</w:t>
      </w:r>
      <w:r w:rsidR="0048300D">
        <w:rPr>
          <w:rFonts w:ascii="Times New Roman" w:hAnsi="Times New Roman" w:cs="Times New Roman"/>
          <w:sz w:val="24"/>
          <w:szCs w:val="24"/>
        </w:rPr>
        <w:t xml:space="preserve"> </w:t>
      </w:r>
      <w:r w:rsidR="00291D76" w:rsidRPr="00826742">
        <w:rPr>
          <w:rFonts w:ascii="Times New Roman" w:hAnsi="Times New Roman" w:cs="Times New Roman"/>
          <w:sz w:val="24"/>
          <w:szCs w:val="24"/>
        </w:rPr>
        <w:t xml:space="preserve">opportunities </w:t>
      </w:r>
      <w:r w:rsidR="00291D76">
        <w:rPr>
          <w:rFonts w:ascii="Times New Roman" w:hAnsi="Times New Roman" w:cs="Times New Roman"/>
          <w:sz w:val="24"/>
          <w:szCs w:val="24"/>
        </w:rPr>
        <w:t>for</w:t>
      </w:r>
      <w:r w:rsidR="00291D76" w:rsidRPr="00826742">
        <w:rPr>
          <w:rFonts w:ascii="Times New Roman" w:hAnsi="Times New Roman" w:cs="Times New Roman"/>
          <w:sz w:val="24"/>
          <w:szCs w:val="24"/>
        </w:rPr>
        <w:t xml:space="preserve"> increas</w:t>
      </w:r>
      <w:r w:rsidR="00291D76">
        <w:rPr>
          <w:rFonts w:ascii="Times New Roman" w:hAnsi="Times New Roman" w:cs="Times New Roman"/>
          <w:sz w:val="24"/>
          <w:szCs w:val="24"/>
        </w:rPr>
        <w:t>ing</w:t>
      </w:r>
      <w:r w:rsidR="00291D76" w:rsidRPr="00826742">
        <w:rPr>
          <w:rFonts w:ascii="Times New Roman" w:hAnsi="Times New Roman" w:cs="Times New Roman"/>
          <w:sz w:val="24"/>
          <w:szCs w:val="24"/>
        </w:rPr>
        <w:t xml:space="preserve"> energy supply at low costs </w:t>
      </w:r>
      <w:r w:rsidR="00291D76">
        <w:rPr>
          <w:rFonts w:ascii="Times New Roman" w:hAnsi="Times New Roman" w:cs="Times New Roman"/>
          <w:sz w:val="24"/>
          <w:szCs w:val="24"/>
        </w:rPr>
        <w:t xml:space="preserve">from hydropower plants </w:t>
      </w:r>
      <w:r w:rsidR="00291D76" w:rsidRPr="00826742">
        <w:rPr>
          <w:rFonts w:ascii="Times New Roman" w:hAnsi="Times New Roman" w:cs="Times New Roman"/>
          <w:sz w:val="24"/>
          <w:szCs w:val="24"/>
        </w:rPr>
        <w:t xml:space="preserve">and make important contributions to the national economy. However, </w:t>
      </w:r>
      <w:r w:rsidR="00291D76">
        <w:rPr>
          <w:rFonts w:ascii="Times New Roman" w:hAnsi="Times New Roman" w:cs="Times New Roman"/>
          <w:sz w:val="24"/>
          <w:szCs w:val="24"/>
        </w:rPr>
        <w:t>associated</w:t>
      </w:r>
      <w:r w:rsidR="00291D76" w:rsidRPr="00826742">
        <w:rPr>
          <w:rFonts w:ascii="Times New Roman" w:hAnsi="Times New Roman" w:cs="Times New Roman"/>
          <w:sz w:val="24"/>
          <w:szCs w:val="24"/>
        </w:rPr>
        <w:t xml:space="preserve"> environmental impacts</w:t>
      </w:r>
      <w:r w:rsidR="00291D76">
        <w:rPr>
          <w:rFonts w:ascii="Times New Roman" w:hAnsi="Times New Roman" w:cs="Times New Roman"/>
          <w:sz w:val="24"/>
          <w:szCs w:val="24"/>
        </w:rPr>
        <w:t>, as well as input and output flows</w:t>
      </w:r>
      <w:r w:rsidR="00291D76" w:rsidRPr="00826742">
        <w:rPr>
          <w:rFonts w:ascii="Times New Roman" w:hAnsi="Times New Roman" w:cs="Times New Roman"/>
          <w:sz w:val="24"/>
          <w:szCs w:val="24"/>
        </w:rPr>
        <w:t xml:space="preserve"> of hydropower development</w:t>
      </w:r>
      <w:r w:rsidR="00291D76">
        <w:rPr>
          <w:rFonts w:ascii="Times New Roman" w:hAnsi="Times New Roman" w:cs="Times New Roman"/>
          <w:sz w:val="24"/>
          <w:szCs w:val="24"/>
        </w:rPr>
        <w:t>s</w:t>
      </w:r>
      <w:r w:rsidR="00291D76" w:rsidRPr="00826742">
        <w:rPr>
          <w:rFonts w:ascii="Times New Roman" w:hAnsi="Times New Roman" w:cs="Times New Roman"/>
          <w:sz w:val="24"/>
          <w:szCs w:val="24"/>
        </w:rPr>
        <w:t xml:space="preserve"> remain less well understood. </w:t>
      </w:r>
      <w:r w:rsidR="00291D76">
        <w:rPr>
          <w:rFonts w:ascii="Times New Roman" w:hAnsi="Times New Roman" w:cs="Times New Roman"/>
          <w:sz w:val="24"/>
          <w:szCs w:val="24"/>
        </w:rPr>
        <w:t>In this paper, we</w:t>
      </w:r>
      <w:r w:rsidR="00291D76" w:rsidRPr="00826742">
        <w:rPr>
          <w:rFonts w:ascii="Times New Roman" w:hAnsi="Times New Roman" w:cs="Times New Roman"/>
          <w:sz w:val="24"/>
          <w:szCs w:val="24"/>
        </w:rPr>
        <w:t xml:space="preserve"> </w:t>
      </w:r>
      <w:r w:rsidR="00291D76">
        <w:rPr>
          <w:rFonts w:ascii="Times New Roman" w:hAnsi="Times New Roman" w:cs="Times New Roman"/>
          <w:sz w:val="24"/>
          <w:szCs w:val="24"/>
        </w:rPr>
        <w:t xml:space="preserve">report on an </w:t>
      </w:r>
      <w:r w:rsidR="00291D76" w:rsidRPr="00826742">
        <w:rPr>
          <w:rFonts w:ascii="Times New Roman" w:hAnsi="Times New Roman" w:cs="Times New Roman"/>
          <w:sz w:val="24"/>
          <w:szCs w:val="24"/>
        </w:rPr>
        <w:t>investigat</w:t>
      </w:r>
      <w:r w:rsidR="00291D76">
        <w:rPr>
          <w:rFonts w:ascii="Times New Roman" w:hAnsi="Times New Roman" w:cs="Times New Roman"/>
          <w:sz w:val="24"/>
          <w:szCs w:val="24"/>
        </w:rPr>
        <w:t>ion</w:t>
      </w:r>
      <w:r w:rsidR="00291D76" w:rsidRPr="00826742">
        <w:rPr>
          <w:rFonts w:ascii="Times New Roman" w:hAnsi="Times New Roman" w:cs="Times New Roman"/>
          <w:sz w:val="24"/>
          <w:szCs w:val="24"/>
        </w:rPr>
        <w:t xml:space="preserve"> </w:t>
      </w:r>
      <w:r w:rsidR="00291D76">
        <w:rPr>
          <w:rFonts w:ascii="Times New Roman" w:hAnsi="Times New Roman" w:cs="Times New Roman"/>
          <w:sz w:val="24"/>
          <w:szCs w:val="24"/>
        </w:rPr>
        <w:t xml:space="preserve">of </w:t>
      </w:r>
      <w:r w:rsidR="00291D76" w:rsidRPr="00826742">
        <w:rPr>
          <w:rFonts w:ascii="Times New Roman" w:hAnsi="Times New Roman" w:cs="Times New Roman"/>
          <w:sz w:val="24"/>
          <w:szCs w:val="24"/>
        </w:rPr>
        <w:t>the overall environmental effects of five hydropower plants in Myanmar</w:t>
      </w:r>
      <w:r w:rsidR="00291D76">
        <w:rPr>
          <w:rFonts w:ascii="Times New Roman" w:hAnsi="Times New Roman" w:cs="Times New Roman"/>
          <w:sz w:val="24"/>
          <w:szCs w:val="24"/>
        </w:rPr>
        <w:t>,</w:t>
      </w:r>
      <w:r w:rsidR="00291D76" w:rsidRPr="00826742">
        <w:rPr>
          <w:rFonts w:ascii="Times New Roman" w:hAnsi="Times New Roman" w:cs="Times New Roman"/>
          <w:sz w:val="24"/>
          <w:szCs w:val="24"/>
        </w:rPr>
        <w:t xml:space="preserve"> using a life</w:t>
      </w:r>
      <w:r w:rsidR="00291D76">
        <w:rPr>
          <w:rFonts w:ascii="Times New Roman" w:hAnsi="Times New Roman" w:cs="Times New Roman"/>
          <w:sz w:val="24"/>
          <w:szCs w:val="24"/>
        </w:rPr>
        <w:t>-</w:t>
      </w:r>
      <w:r w:rsidR="00291D76" w:rsidRPr="00826742">
        <w:rPr>
          <w:rFonts w:ascii="Times New Roman" w:hAnsi="Times New Roman" w:cs="Times New Roman"/>
          <w:sz w:val="24"/>
          <w:szCs w:val="24"/>
        </w:rPr>
        <w:t>cycle impact assessment</w:t>
      </w:r>
      <w:r w:rsidR="00291D76">
        <w:rPr>
          <w:rFonts w:ascii="Times New Roman" w:hAnsi="Times New Roman" w:cs="Times New Roman"/>
          <w:sz w:val="24"/>
          <w:szCs w:val="24"/>
        </w:rPr>
        <w:t xml:space="preserve"> (LCIA)</w:t>
      </w:r>
      <w:r w:rsidR="00291D76" w:rsidRPr="00826742">
        <w:rPr>
          <w:rFonts w:ascii="Times New Roman" w:hAnsi="Times New Roman" w:cs="Times New Roman"/>
          <w:sz w:val="24"/>
          <w:szCs w:val="24"/>
        </w:rPr>
        <w:t xml:space="preserve"> approach. </w:t>
      </w:r>
      <w:r w:rsidR="006853E2">
        <w:rPr>
          <w:rFonts w:ascii="Times New Roman" w:hAnsi="Times New Roman" w:cs="Times New Roman"/>
          <w:sz w:val="24"/>
          <w:szCs w:val="24"/>
        </w:rPr>
        <w:t>The primary objective</w:t>
      </w:r>
      <w:r w:rsidR="006853E2" w:rsidRPr="008925BF">
        <w:rPr>
          <w:rFonts w:ascii="Times New Roman" w:hAnsi="Times New Roman" w:cs="Times New Roman"/>
          <w:sz w:val="24"/>
          <w:szCs w:val="24"/>
        </w:rPr>
        <w:t xml:space="preserve"> of th</w:t>
      </w:r>
      <w:r w:rsidR="006853E2">
        <w:rPr>
          <w:rFonts w:ascii="Times New Roman" w:hAnsi="Times New Roman" w:cs="Times New Roman"/>
          <w:sz w:val="24"/>
          <w:szCs w:val="24"/>
        </w:rPr>
        <w:t>is paper is to</w:t>
      </w:r>
      <w:r w:rsidR="006853E2" w:rsidRPr="008925BF">
        <w:rPr>
          <w:rFonts w:ascii="Times New Roman" w:hAnsi="Times New Roman" w:cs="Times New Roman"/>
          <w:sz w:val="24"/>
          <w:szCs w:val="24"/>
        </w:rPr>
        <w:t xml:space="preserve"> </w:t>
      </w:r>
      <w:r w:rsidR="006853E2">
        <w:rPr>
          <w:rFonts w:ascii="Times New Roman" w:hAnsi="Times New Roman" w:cs="Times New Roman"/>
          <w:sz w:val="24"/>
          <w:szCs w:val="24"/>
        </w:rPr>
        <w:t xml:space="preserve">generate detailed life-cycle inventory data and </w:t>
      </w:r>
      <w:r w:rsidR="006853E2" w:rsidRPr="008925BF">
        <w:rPr>
          <w:rFonts w:ascii="Times New Roman" w:hAnsi="Times New Roman" w:cs="Times New Roman"/>
          <w:sz w:val="24"/>
          <w:szCs w:val="24"/>
        </w:rPr>
        <w:t xml:space="preserve">quantify the environmental impacts of </w:t>
      </w:r>
      <w:r w:rsidR="006853E2">
        <w:rPr>
          <w:rFonts w:ascii="Times New Roman" w:hAnsi="Times New Roman" w:cs="Times New Roman"/>
          <w:sz w:val="24"/>
          <w:szCs w:val="24"/>
        </w:rPr>
        <w:t xml:space="preserve">the </w:t>
      </w:r>
      <w:r w:rsidR="006853E2" w:rsidRPr="008925BF">
        <w:rPr>
          <w:rFonts w:ascii="Times New Roman" w:hAnsi="Times New Roman" w:cs="Times New Roman"/>
          <w:sz w:val="24"/>
          <w:szCs w:val="24"/>
        </w:rPr>
        <w:t xml:space="preserve">existing </w:t>
      </w:r>
      <w:r w:rsidR="006853E2">
        <w:rPr>
          <w:rFonts w:ascii="Times New Roman" w:hAnsi="Times New Roman" w:cs="Times New Roman"/>
          <w:sz w:val="24"/>
          <w:szCs w:val="24"/>
        </w:rPr>
        <w:t xml:space="preserve">five </w:t>
      </w:r>
      <w:r w:rsidR="006853E2" w:rsidRPr="008925BF">
        <w:rPr>
          <w:rFonts w:ascii="Times New Roman" w:hAnsi="Times New Roman" w:cs="Times New Roman"/>
          <w:sz w:val="24"/>
          <w:szCs w:val="24"/>
        </w:rPr>
        <w:t>hydropower plants in Myanmar.</w:t>
      </w:r>
    </w:p>
    <w:p w14:paraId="1A69CA04" w14:textId="0EFA5C55" w:rsidR="00E70B5A" w:rsidRDefault="00E70B5A" w:rsidP="004F2BB1">
      <w:pPr>
        <w:spacing w:line="240" w:lineRule="auto"/>
        <w:rPr>
          <w:rFonts w:ascii="Times New Roman" w:hAnsi="Times New Roman" w:cs="Times New Roman"/>
          <w:sz w:val="24"/>
          <w:szCs w:val="24"/>
        </w:rPr>
      </w:pPr>
      <w:r w:rsidRPr="00E70B5A">
        <w:rPr>
          <w:rFonts w:ascii="Times New Roman" w:hAnsi="Times New Roman" w:cs="Times New Roman"/>
          <w:i/>
          <w:iCs/>
          <w:sz w:val="24"/>
          <w:szCs w:val="24"/>
        </w:rPr>
        <w:t>Material and Method</w:t>
      </w:r>
      <w:r>
        <w:rPr>
          <w:rFonts w:ascii="Times New Roman" w:hAnsi="Times New Roman" w:cs="Times New Roman"/>
          <w:sz w:val="24"/>
          <w:szCs w:val="24"/>
        </w:rPr>
        <w:t xml:space="preserve">: </w:t>
      </w:r>
      <w:r w:rsidR="00FB7A32">
        <w:rPr>
          <w:rFonts w:ascii="Times New Roman" w:hAnsi="Times New Roman" w:cs="Times New Roman"/>
          <w:sz w:val="24"/>
          <w:szCs w:val="24"/>
        </w:rPr>
        <w:t>T</w:t>
      </w:r>
      <w:r w:rsidRPr="000D6461">
        <w:rPr>
          <w:rFonts w:ascii="Times New Roman" w:hAnsi="Times New Roman" w:cs="Times New Roman"/>
          <w:sz w:val="24"/>
          <w:szCs w:val="24"/>
        </w:rPr>
        <w:t xml:space="preserve">his </w:t>
      </w:r>
      <w:r>
        <w:rPr>
          <w:rFonts w:ascii="Times New Roman" w:hAnsi="Times New Roman" w:cs="Times New Roman"/>
          <w:sz w:val="24"/>
          <w:szCs w:val="24"/>
        </w:rPr>
        <w:t xml:space="preserve">paper reports on a “cradle to grave” </w:t>
      </w:r>
      <w:r w:rsidRPr="000D6461">
        <w:rPr>
          <w:rFonts w:ascii="Times New Roman" w:hAnsi="Times New Roman" w:cs="Times New Roman"/>
          <w:sz w:val="24"/>
          <w:szCs w:val="24"/>
        </w:rPr>
        <w:t xml:space="preserve">LCIA </w:t>
      </w:r>
      <w:r w:rsidR="00AD7539">
        <w:rPr>
          <w:rFonts w:ascii="Times New Roman" w:hAnsi="Times New Roman" w:cs="Times New Roman"/>
          <w:sz w:val="24"/>
          <w:szCs w:val="24"/>
        </w:rPr>
        <w:t xml:space="preserve">of five hydropower plants </w:t>
      </w:r>
      <w:r w:rsidR="00FB7A32">
        <w:rPr>
          <w:rFonts w:ascii="Times New Roman" w:hAnsi="Times New Roman" w:cs="Times New Roman"/>
          <w:sz w:val="24"/>
          <w:szCs w:val="24"/>
        </w:rPr>
        <w:t xml:space="preserve">in which </w:t>
      </w:r>
      <w:r w:rsidRPr="000D6461">
        <w:rPr>
          <w:rFonts w:ascii="Times New Roman" w:hAnsi="Times New Roman" w:cs="Times New Roman"/>
          <w:sz w:val="24"/>
          <w:szCs w:val="24"/>
        </w:rPr>
        <w:t>environmental impacts associated with the construction, operation and maintenance, transportation, and decommissioning of large-scale hydropower plants in Myanmar</w:t>
      </w:r>
      <w:r w:rsidR="00FB7A32" w:rsidRPr="00FB7A32">
        <w:rPr>
          <w:rFonts w:ascii="Times New Roman" w:hAnsi="Times New Roman" w:cs="Times New Roman"/>
          <w:sz w:val="24"/>
          <w:szCs w:val="24"/>
        </w:rPr>
        <w:t xml:space="preserve"> </w:t>
      </w:r>
      <w:r w:rsidR="00FB7A32">
        <w:rPr>
          <w:rFonts w:ascii="Times New Roman" w:hAnsi="Times New Roman" w:cs="Times New Roman"/>
          <w:sz w:val="24"/>
          <w:szCs w:val="24"/>
        </w:rPr>
        <w:t xml:space="preserve">were </w:t>
      </w:r>
      <w:r w:rsidR="00FB7A32" w:rsidRPr="000D6461">
        <w:rPr>
          <w:rFonts w:ascii="Times New Roman" w:hAnsi="Times New Roman" w:cs="Times New Roman"/>
          <w:sz w:val="24"/>
          <w:szCs w:val="24"/>
        </w:rPr>
        <w:t xml:space="preserve">systematically </w:t>
      </w:r>
      <w:r w:rsidR="00FB7A32">
        <w:rPr>
          <w:rFonts w:ascii="Times New Roman" w:hAnsi="Times New Roman" w:cs="Times New Roman"/>
          <w:sz w:val="24"/>
          <w:szCs w:val="24"/>
        </w:rPr>
        <w:t>assessed</w:t>
      </w:r>
      <w:r w:rsidRPr="000D6461">
        <w:rPr>
          <w:rFonts w:ascii="Times New Roman" w:hAnsi="Times New Roman" w:cs="Times New Roman"/>
          <w:sz w:val="24"/>
          <w:szCs w:val="24"/>
        </w:rPr>
        <w:t>.</w:t>
      </w:r>
    </w:p>
    <w:p w14:paraId="2D377C56" w14:textId="7E531F37" w:rsidR="00FB3A8D" w:rsidRDefault="00291D76" w:rsidP="004F2BB1">
      <w:pPr>
        <w:spacing w:line="240" w:lineRule="auto"/>
        <w:rPr>
          <w:rFonts w:ascii="Times New Roman" w:hAnsi="Times New Roman" w:cs="Times New Roman"/>
          <w:sz w:val="24"/>
          <w:szCs w:val="24"/>
        </w:rPr>
      </w:pPr>
      <w:r w:rsidRPr="00E70B5A">
        <w:rPr>
          <w:rFonts w:ascii="Times New Roman" w:hAnsi="Times New Roman" w:cs="Times New Roman"/>
          <w:i/>
          <w:iCs/>
          <w:sz w:val="24"/>
          <w:szCs w:val="24"/>
        </w:rPr>
        <w:t>Result</w:t>
      </w:r>
      <w:r w:rsidR="00D26CC5" w:rsidRPr="00E70B5A">
        <w:rPr>
          <w:rFonts w:ascii="Times New Roman" w:hAnsi="Times New Roman" w:cs="Times New Roman"/>
          <w:i/>
          <w:iCs/>
          <w:sz w:val="24"/>
          <w:szCs w:val="24"/>
        </w:rPr>
        <w:t>s</w:t>
      </w:r>
      <w:r w:rsidR="00E70B5A" w:rsidRPr="00E70B5A">
        <w:rPr>
          <w:rFonts w:ascii="Times New Roman" w:hAnsi="Times New Roman" w:cs="Times New Roman"/>
          <w:i/>
          <w:iCs/>
          <w:sz w:val="24"/>
          <w:szCs w:val="24"/>
        </w:rPr>
        <w:t>:</w:t>
      </w:r>
      <w:r w:rsidR="00E70B5A">
        <w:rPr>
          <w:rFonts w:ascii="Times New Roman" w:hAnsi="Times New Roman" w:cs="Times New Roman"/>
          <w:sz w:val="24"/>
          <w:szCs w:val="24"/>
        </w:rPr>
        <w:t xml:space="preserve"> The study</w:t>
      </w:r>
      <w:r w:rsidRPr="00826742">
        <w:rPr>
          <w:rFonts w:ascii="Times New Roman" w:hAnsi="Times New Roman" w:cs="Times New Roman"/>
          <w:sz w:val="24"/>
          <w:szCs w:val="24"/>
        </w:rPr>
        <w:t xml:space="preserve"> show</w:t>
      </w:r>
      <w:r w:rsidR="00E70B5A">
        <w:rPr>
          <w:rFonts w:ascii="Times New Roman" w:hAnsi="Times New Roman" w:cs="Times New Roman"/>
          <w:sz w:val="24"/>
          <w:szCs w:val="24"/>
        </w:rPr>
        <w:t>s</w:t>
      </w:r>
      <w:r w:rsidRPr="00826742">
        <w:rPr>
          <w:rFonts w:ascii="Times New Roman" w:hAnsi="Times New Roman" w:cs="Times New Roman"/>
          <w:sz w:val="24"/>
          <w:szCs w:val="24"/>
        </w:rPr>
        <w:t xml:space="preserve"> that the construction, transportation</w:t>
      </w:r>
      <w:r w:rsidR="00D26CC5">
        <w:rPr>
          <w:rFonts w:ascii="Times New Roman" w:hAnsi="Times New Roman" w:cs="Times New Roman"/>
          <w:sz w:val="24"/>
          <w:szCs w:val="24"/>
        </w:rPr>
        <w:t>,</w:t>
      </w:r>
      <w:r w:rsidRPr="00826742">
        <w:rPr>
          <w:rFonts w:ascii="Times New Roman" w:hAnsi="Times New Roman" w:cs="Times New Roman"/>
          <w:sz w:val="24"/>
          <w:szCs w:val="24"/>
        </w:rPr>
        <w:t xml:space="preserve"> operation and maintenance phases are most sensitive to global warming, </w:t>
      </w:r>
      <w:r w:rsidR="00ED055F">
        <w:rPr>
          <w:rFonts w:ascii="Times New Roman" w:hAnsi="Times New Roman" w:cs="Times New Roman"/>
          <w:sz w:val="24"/>
          <w:szCs w:val="24"/>
        </w:rPr>
        <w:t xml:space="preserve">mineral resource </w:t>
      </w:r>
      <w:r w:rsidRPr="00826742">
        <w:rPr>
          <w:rFonts w:ascii="Times New Roman" w:hAnsi="Times New Roman" w:cs="Times New Roman"/>
          <w:sz w:val="24"/>
          <w:szCs w:val="24"/>
        </w:rPr>
        <w:t xml:space="preserve">depletion, acidification, freshwater aquatic ecotoxicity, human toxicity and photochemical ozone creation. There is </w:t>
      </w:r>
      <w:r w:rsidRPr="00826742">
        <w:rPr>
          <w:rFonts w:ascii="Times New Roman" w:hAnsi="Times New Roman" w:cs="Times New Roman"/>
          <w:sz w:val="24"/>
          <w:szCs w:val="24"/>
        </w:rPr>
        <w:lastRenderedPageBreak/>
        <w:t>heterogeneity in hydropower plants</w:t>
      </w:r>
      <w:r>
        <w:rPr>
          <w:rFonts w:ascii="Times New Roman" w:hAnsi="Times New Roman" w:cs="Times New Roman"/>
          <w:sz w:val="24"/>
          <w:szCs w:val="24"/>
        </w:rPr>
        <w:t>’</w:t>
      </w:r>
      <w:r w:rsidRPr="00826742">
        <w:rPr>
          <w:rFonts w:ascii="Times New Roman" w:hAnsi="Times New Roman" w:cs="Times New Roman"/>
          <w:sz w:val="24"/>
          <w:szCs w:val="24"/>
        </w:rPr>
        <w:t xml:space="preserve"> effects on the environment</w:t>
      </w:r>
      <w:r>
        <w:rPr>
          <w:rFonts w:ascii="Times New Roman" w:hAnsi="Times New Roman" w:cs="Times New Roman"/>
          <w:sz w:val="24"/>
          <w:szCs w:val="24"/>
        </w:rPr>
        <w:t>,</w:t>
      </w:r>
      <w:r w:rsidRPr="00826742">
        <w:rPr>
          <w:rFonts w:ascii="Times New Roman" w:hAnsi="Times New Roman" w:cs="Times New Roman"/>
          <w:sz w:val="24"/>
          <w:szCs w:val="24"/>
        </w:rPr>
        <w:t xml:space="preserve"> based on the size of the powerplant. </w:t>
      </w:r>
    </w:p>
    <w:p w14:paraId="6035D1FF" w14:textId="764862CC" w:rsidR="00291D76" w:rsidRPr="00E70B5A" w:rsidRDefault="00FB3A8D" w:rsidP="004F2BB1">
      <w:pPr>
        <w:spacing w:line="240" w:lineRule="auto"/>
        <w:rPr>
          <w:rFonts w:ascii="Times New Roman" w:hAnsi="Times New Roman" w:cs="Times New Roman"/>
          <w:i/>
          <w:iCs/>
          <w:sz w:val="24"/>
          <w:szCs w:val="24"/>
        </w:rPr>
      </w:pPr>
      <w:r w:rsidRPr="00FB3A8D">
        <w:rPr>
          <w:rFonts w:ascii="Times New Roman" w:hAnsi="Times New Roman" w:cs="Times New Roman"/>
          <w:i/>
          <w:iCs/>
          <w:sz w:val="24"/>
          <w:szCs w:val="24"/>
        </w:rPr>
        <w:t>Conclusion:</w:t>
      </w:r>
      <w:r>
        <w:rPr>
          <w:rFonts w:ascii="Times New Roman" w:hAnsi="Times New Roman" w:cs="Times New Roman"/>
          <w:sz w:val="24"/>
          <w:szCs w:val="24"/>
        </w:rPr>
        <w:t xml:space="preserve"> </w:t>
      </w:r>
      <w:r w:rsidR="00B67305">
        <w:rPr>
          <w:rFonts w:ascii="Times New Roman" w:hAnsi="Times New Roman" w:cs="Times New Roman"/>
          <w:sz w:val="24"/>
          <w:szCs w:val="24"/>
        </w:rPr>
        <w:t xml:space="preserve">In this paper, </w:t>
      </w:r>
      <w:r w:rsidR="00291D76" w:rsidRPr="00826742">
        <w:rPr>
          <w:rFonts w:ascii="Times New Roman" w:hAnsi="Times New Roman" w:cs="Times New Roman"/>
          <w:sz w:val="24"/>
          <w:szCs w:val="24"/>
        </w:rPr>
        <w:t>the complex</w:t>
      </w:r>
      <w:r w:rsidR="00FB7A32">
        <w:rPr>
          <w:rFonts w:ascii="Times New Roman" w:hAnsi="Times New Roman" w:cs="Times New Roman"/>
          <w:sz w:val="24"/>
          <w:szCs w:val="24"/>
        </w:rPr>
        <w:t>ities</w:t>
      </w:r>
      <w:r w:rsidR="00291D76" w:rsidRPr="00826742">
        <w:rPr>
          <w:rFonts w:ascii="Times New Roman" w:hAnsi="Times New Roman" w:cs="Times New Roman"/>
          <w:sz w:val="24"/>
          <w:szCs w:val="24"/>
        </w:rPr>
        <w:t xml:space="preserve"> of hydropower plants affecting multiple environmental impact</w:t>
      </w:r>
      <w:r w:rsidR="00B67305">
        <w:rPr>
          <w:rFonts w:ascii="Times New Roman" w:hAnsi="Times New Roman" w:cs="Times New Roman"/>
          <w:sz w:val="24"/>
          <w:szCs w:val="24"/>
        </w:rPr>
        <w:t>s</w:t>
      </w:r>
      <w:r w:rsidR="00291D76" w:rsidRPr="00826742">
        <w:rPr>
          <w:rFonts w:ascii="Times New Roman" w:hAnsi="Times New Roman" w:cs="Times New Roman"/>
          <w:sz w:val="24"/>
          <w:szCs w:val="24"/>
        </w:rPr>
        <w:t xml:space="preserve"> </w:t>
      </w:r>
      <w:r w:rsidR="00B67305">
        <w:rPr>
          <w:rFonts w:ascii="Times New Roman" w:hAnsi="Times New Roman" w:cs="Times New Roman"/>
          <w:sz w:val="24"/>
          <w:szCs w:val="24"/>
        </w:rPr>
        <w:t xml:space="preserve">is illustrated. Furthermore, it is suggested </w:t>
      </w:r>
      <w:r w:rsidR="00291D76" w:rsidRPr="00826742">
        <w:rPr>
          <w:rFonts w:ascii="Times New Roman" w:hAnsi="Times New Roman" w:cs="Times New Roman"/>
          <w:sz w:val="24"/>
          <w:szCs w:val="24"/>
        </w:rPr>
        <w:t xml:space="preserve">that </w:t>
      </w:r>
      <w:r w:rsidR="00291D76">
        <w:rPr>
          <w:rFonts w:ascii="Times New Roman" w:hAnsi="Times New Roman" w:cs="Times New Roman"/>
          <w:sz w:val="24"/>
          <w:szCs w:val="24"/>
        </w:rPr>
        <w:t xml:space="preserve">a </w:t>
      </w:r>
      <w:r w:rsidR="00291D76" w:rsidRPr="00826742">
        <w:rPr>
          <w:rFonts w:ascii="Times New Roman" w:hAnsi="Times New Roman" w:cs="Times New Roman"/>
          <w:sz w:val="24"/>
          <w:szCs w:val="24"/>
        </w:rPr>
        <w:t>strategic select</w:t>
      </w:r>
      <w:r w:rsidR="00291D76">
        <w:rPr>
          <w:rFonts w:ascii="Times New Roman" w:hAnsi="Times New Roman" w:cs="Times New Roman"/>
          <w:sz w:val="24"/>
          <w:szCs w:val="24"/>
        </w:rPr>
        <w:t>ion</w:t>
      </w:r>
      <w:r w:rsidR="00291D76" w:rsidRPr="00826742">
        <w:rPr>
          <w:rFonts w:ascii="Times New Roman" w:hAnsi="Times New Roman" w:cs="Times New Roman"/>
          <w:sz w:val="24"/>
          <w:szCs w:val="24"/>
        </w:rPr>
        <w:t xml:space="preserve"> </w:t>
      </w:r>
      <w:r w:rsidR="00291D76">
        <w:rPr>
          <w:rFonts w:ascii="Times New Roman" w:hAnsi="Times New Roman" w:cs="Times New Roman"/>
          <w:sz w:val="24"/>
          <w:szCs w:val="24"/>
        </w:rPr>
        <w:t xml:space="preserve">of </w:t>
      </w:r>
      <w:r w:rsidR="00291D76" w:rsidRPr="00826742">
        <w:rPr>
          <w:rFonts w:ascii="Times New Roman" w:hAnsi="Times New Roman" w:cs="Times New Roman"/>
          <w:sz w:val="24"/>
          <w:szCs w:val="24"/>
        </w:rPr>
        <w:t xml:space="preserve">hydropower projects may enhance environmental resilience in environmentally sensitive </w:t>
      </w:r>
      <w:r w:rsidR="00B67305">
        <w:rPr>
          <w:rFonts w:ascii="Times New Roman" w:hAnsi="Times New Roman" w:cs="Times New Roman"/>
          <w:sz w:val="24"/>
          <w:szCs w:val="24"/>
        </w:rPr>
        <w:t>areas</w:t>
      </w:r>
      <w:r w:rsidR="00291D76" w:rsidRPr="00826742">
        <w:rPr>
          <w:rFonts w:ascii="Times New Roman" w:hAnsi="Times New Roman" w:cs="Times New Roman"/>
          <w:sz w:val="24"/>
          <w:szCs w:val="24"/>
        </w:rPr>
        <w:t xml:space="preserve">. </w:t>
      </w:r>
      <w:r w:rsidR="00B67305">
        <w:rPr>
          <w:rFonts w:ascii="Times New Roman" w:hAnsi="Times New Roman" w:cs="Times New Roman"/>
          <w:sz w:val="24"/>
          <w:szCs w:val="24"/>
        </w:rPr>
        <w:t>It is concluded that m</w:t>
      </w:r>
      <w:r w:rsidR="00291D76">
        <w:rPr>
          <w:rFonts w:ascii="Times New Roman" w:hAnsi="Times New Roman" w:cs="Times New Roman"/>
          <w:sz w:val="24"/>
          <w:szCs w:val="24"/>
        </w:rPr>
        <w:t xml:space="preserve">ore comprehensive and rigorous environmental </w:t>
      </w:r>
      <w:r w:rsidR="00872BD2">
        <w:rPr>
          <w:rFonts w:ascii="Times New Roman" w:hAnsi="Times New Roman" w:cs="Times New Roman"/>
          <w:sz w:val="24"/>
          <w:szCs w:val="24"/>
        </w:rPr>
        <w:t xml:space="preserve">and social </w:t>
      </w:r>
      <w:r w:rsidR="00291D76">
        <w:rPr>
          <w:rFonts w:ascii="Times New Roman" w:hAnsi="Times New Roman" w:cs="Times New Roman"/>
          <w:sz w:val="24"/>
          <w:szCs w:val="24"/>
        </w:rPr>
        <w:t>impact assessment (E</w:t>
      </w:r>
      <w:r w:rsidR="00872BD2">
        <w:rPr>
          <w:rFonts w:ascii="Times New Roman" w:hAnsi="Times New Roman" w:cs="Times New Roman"/>
          <w:sz w:val="24"/>
          <w:szCs w:val="24"/>
        </w:rPr>
        <w:t>S</w:t>
      </w:r>
      <w:r w:rsidR="00291D76">
        <w:rPr>
          <w:rFonts w:ascii="Times New Roman" w:hAnsi="Times New Roman" w:cs="Times New Roman"/>
          <w:sz w:val="24"/>
          <w:szCs w:val="24"/>
        </w:rPr>
        <w:t xml:space="preserve">IA) </w:t>
      </w:r>
      <w:r w:rsidR="00872BD2">
        <w:rPr>
          <w:rFonts w:ascii="Times New Roman" w:hAnsi="Times New Roman" w:cs="Times New Roman"/>
          <w:sz w:val="24"/>
          <w:szCs w:val="24"/>
        </w:rPr>
        <w:t xml:space="preserve">is </w:t>
      </w:r>
      <w:r w:rsidR="00291D76">
        <w:rPr>
          <w:rFonts w:ascii="Times New Roman" w:hAnsi="Times New Roman" w:cs="Times New Roman"/>
          <w:sz w:val="24"/>
          <w:szCs w:val="24"/>
        </w:rPr>
        <w:t xml:space="preserve">needed, not only for mega dams, but also for the smaller scale hydropower plants. </w:t>
      </w:r>
    </w:p>
    <w:p w14:paraId="0BC60BDE" w14:textId="77777777" w:rsidR="00625E71" w:rsidRDefault="00625E71" w:rsidP="004F2BB1">
      <w:pPr>
        <w:spacing w:line="240" w:lineRule="auto"/>
        <w:rPr>
          <w:rFonts w:ascii="Times New Roman" w:hAnsi="Times New Roman" w:cs="Times New Roman"/>
          <w:sz w:val="24"/>
          <w:szCs w:val="24"/>
        </w:rPr>
      </w:pPr>
      <w:r>
        <w:rPr>
          <w:rFonts w:ascii="Times New Roman" w:hAnsi="Times New Roman" w:cs="Times New Roman"/>
          <w:sz w:val="24"/>
          <w:szCs w:val="24"/>
        </w:rPr>
        <w:t xml:space="preserve">Keywords: </w:t>
      </w:r>
      <w:r w:rsidR="008F6F6D">
        <w:rPr>
          <w:rFonts w:ascii="Times New Roman" w:hAnsi="Times New Roman" w:cs="Times New Roman"/>
          <w:sz w:val="24"/>
          <w:szCs w:val="24"/>
        </w:rPr>
        <w:t>R</w:t>
      </w:r>
      <w:r w:rsidR="005637D4">
        <w:rPr>
          <w:rFonts w:ascii="Times New Roman" w:hAnsi="Times New Roman" w:cs="Times New Roman"/>
          <w:sz w:val="24"/>
          <w:szCs w:val="24"/>
        </w:rPr>
        <w:t xml:space="preserve">enewable energy, </w:t>
      </w:r>
      <w:r w:rsidR="008F6F6D">
        <w:rPr>
          <w:rFonts w:ascii="Times New Roman" w:hAnsi="Times New Roman" w:cs="Times New Roman"/>
          <w:sz w:val="24"/>
          <w:szCs w:val="24"/>
        </w:rPr>
        <w:t>H</w:t>
      </w:r>
      <w:r w:rsidRPr="00625E71">
        <w:rPr>
          <w:rFonts w:ascii="Times New Roman" w:hAnsi="Times New Roman" w:cs="Times New Roman"/>
          <w:sz w:val="24"/>
          <w:szCs w:val="24"/>
        </w:rPr>
        <w:t xml:space="preserve">ydropower, Myanmar, LCIA, </w:t>
      </w:r>
      <w:r w:rsidR="008F6F6D">
        <w:rPr>
          <w:rFonts w:ascii="Times New Roman" w:hAnsi="Times New Roman" w:cs="Times New Roman"/>
          <w:sz w:val="24"/>
          <w:szCs w:val="24"/>
        </w:rPr>
        <w:t>E</w:t>
      </w:r>
      <w:r w:rsidRPr="00625E71">
        <w:rPr>
          <w:rFonts w:ascii="Times New Roman" w:hAnsi="Times New Roman" w:cs="Times New Roman"/>
          <w:sz w:val="24"/>
          <w:szCs w:val="24"/>
        </w:rPr>
        <w:t>nvironment,</w:t>
      </w:r>
      <w:r w:rsidR="00B55DD8">
        <w:rPr>
          <w:rFonts w:ascii="Times New Roman" w:hAnsi="Times New Roman" w:cs="Times New Roman"/>
          <w:sz w:val="24"/>
          <w:szCs w:val="24"/>
        </w:rPr>
        <w:t xml:space="preserve"> </w:t>
      </w:r>
      <w:r w:rsidR="008F6F6D">
        <w:rPr>
          <w:rFonts w:ascii="Times New Roman" w:hAnsi="Times New Roman" w:cs="Times New Roman"/>
          <w:sz w:val="24"/>
          <w:szCs w:val="24"/>
        </w:rPr>
        <w:t>M</w:t>
      </w:r>
      <w:r w:rsidRPr="00625E71">
        <w:rPr>
          <w:rFonts w:ascii="Times New Roman" w:hAnsi="Times New Roman" w:cs="Times New Roman"/>
          <w:sz w:val="24"/>
          <w:szCs w:val="24"/>
        </w:rPr>
        <w:t>ega-dams</w:t>
      </w:r>
      <w:r>
        <w:rPr>
          <w:rFonts w:ascii="Times New Roman" w:hAnsi="Times New Roman" w:cs="Times New Roman"/>
          <w:sz w:val="24"/>
          <w:szCs w:val="24"/>
        </w:rPr>
        <w:t xml:space="preserve">. </w:t>
      </w:r>
    </w:p>
    <w:p w14:paraId="47C1EA29" w14:textId="77777777" w:rsidR="007F10B4" w:rsidRDefault="007F10B4" w:rsidP="004F2BB1">
      <w:pPr>
        <w:spacing w:line="240" w:lineRule="auto"/>
        <w:rPr>
          <w:rFonts w:ascii="Times New Roman" w:hAnsi="Times New Roman" w:cs="Times New Roman"/>
          <w:sz w:val="24"/>
          <w:szCs w:val="24"/>
        </w:rPr>
      </w:pPr>
      <w:r>
        <w:rPr>
          <w:rFonts w:ascii="Times New Roman" w:hAnsi="Times New Roman" w:cs="Times New Roman"/>
          <w:sz w:val="24"/>
          <w:szCs w:val="24"/>
        </w:rPr>
        <w:t>Introduction</w:t>
      </w:r>
    </w:p>
    <w:p w14:paraId="75410EAB" w14:textId="52032112" w:rsidR="00D43CC9" w:rsidRPr="000D6461" w:rsidRDefault="00D43CC9" w:rsidP="004F2BB1">
      <w:pPr>
        <w:spacing w:line="240" w:lineRule="auto"/>
        <w:rPr>
          <w:rFonts w:ascii="Times New Roman" w:hAnsi="Times New Roman" w:cs="Times New Roman"/>
          <w:sz w:val="24"/>
          <w:szCs w:val="24"/>
        </w:rPr>
      </w:pPr>
      <w:r w:rsidRPr="000D6461">
        <w:rPr>
          <w:rFonts w:ascii="Times New Roman" w:hAnsi="Times New Roman" w:cs="Times New Roman"/>
          <w:sz w:val="24"/>
          <w:szCs w:val="24"/>
        </w:rPr>
        <w:t>Myanmar currently has one of the lowest electrification rates in Asia, with less than one-third of the population ha</w:t>
      </w:r>
      <w:r>
        <w:rPr>
          <w:rFonts w:ascii="Times New Roman" w:hAnsi="Times New Roman" w:cs="Times New Roman"/>
          <w:sz w:val="24"/>
          <w:szCs w:val="24"/>
        </w:rPr>
        <w:t>ving</w:t>
      </w:r>
      <w:r w:rsidRPr="000D6461">
        <w:rPr>
          <w:rFonts w:ascii="Times New Roman" w:hAnsi="Times New Roman" w:cs="Times New Roman"/>
          <w:sz w:val="24"/>
          <w:szCs w:val="24"/>
        </w:rPr>
        <w:t xml:space="preserve"> access to the electricity grid. There is also a </w:t>
      </w:r>
      <w:r>
        <w:rPr>
          <w:rFonts w:ascii="Times New Roman" w:hAnsi="Times New Roman" w:cs="Times New Roman"/>
          <w:sz w:val="24"/>
          <w:szCs w:val="24"/>
        </w:rPr>
        <w:t>marked</w:t>
      </w:r>
      <w:r w:rsidRPr="000D6461">
        <w:rPr>
          <w:rFonts w:ascii="Times New Roman" w:hAnsi="Times New Roman" w:cs="Times New Roman"/>
          <w:sz w:val="24"/>
          <w:szCs w:val="24"/>
        </w:rPr>
        <w:t xml:space="preserve"> rural-urban divide in access to electricity</w:t>
      </w:r>
      <w:r>
        <w:rPr>
          <w:rFonts w:ascii="Times New Roman" w:hAnsi="Times New Roman" w:cs="Times New Roman"/>
          <w:sz w:val="24"/>
          <w:szCs w:val="24"/>
        </w:rPr>
        <w:t>,</w:t>
      </w:r>
      <w:r w:rsidRPr="000D6461">
        <w:rPr>
          <w:rFonts w:ascii="Times New Roman" w:hAnsi="Times New Roman" w:cs="Times New Roman"/>
          <w:sz w:val="24"/>
          <w:szCs w:val="24"/>
        </w:rPr>
        <w:t xml:space="preserve"> </w:t>
      </w:r>
      <w:r>
        <w:rPr>
          <w:rFonts w:ascii="Times New Roman" w:hAnsi="Times New Roman" w:cs="Times New Roman"/>
          <w:sz w:val="24"/>
          <w:szCs w:val="24"/>
        </w:rPr>
        <w:t>with</w:t>
      </w:r>
      <w:r w:rsidRPr="000D6461">
        <w:rPr>
          <w:rFonts w:ascii="Times New Roman" w:hAnsi="Times New Roman" w:cs="Times New Roman"/>
          <w:sz w:val="24"/>
          <w:szCs w:val="24"/>
        </w:rPr>
        <w:t xml:space="preserve"> 75% of the urban population, </w:t>
      </w:r>
      <w:r>
        <w:rPr>
          <w:rFonts w:ascii="Times New Roman" w:hAnsi="Times New Roman" w:cs="Times New Roman"/>
          <w:sz w:val="24"/>
          <w:szCs w:val="24"/>
        </w:rPr>
        <w:t xml:space="preserve">but </w:t>
      </w:r>
      <w:r w:rsidRPr="000D6461">
        <w:rPr>
          <w:rFonts w:ascii="Times New Roman" w:hAnsi="Times New Roman" w:cs="Times New Roman"/>
          <w:sz w:val="24"/>
          <w:szCs w:val="24"/>
        </w:rPr>
        <w:t>only 16% of the rural population enjoy</w:t>
      </w:r>
      <w:r>
        <w:rPr>
          <w:rFonts w:ascii="Times New Roman" w:hAnsi="Times New Roman" w:cs="Times New Roman"/>
          <w:sz w:val="24"/>
          <w:szCs w:val="24"/>
        </w:rPr>
        <w:t>ing</w:t>
      </w:r>
      <w:r w:rsidRPr="000D6461">
        <w:rPr>
          <w:rFonts w:ascii="Times New Roman" w:hAnsi="Times New Roman" w:cs="Times New Roman"/>
          <w:sz w:val="24"/>
          <w:szCs w:val="24"/>
        </w:rPr>
        <w:t xml:space="preserve"> electrification</w:t>
      </w:r>
      <w:r w:rsidR="00B92A16">
        <w:rPr>
          <w:rFonts w:ascii="Times New Roman" w:hAnsi="Times New Roman" w:cs="Times New Roman"/>
          <w:sz w:val="24"/>
          <w:szCs w:val="24"/>
        </w:rPr>
        <w:t xml:space="preserve"> </w:t>
      </w:r>
      <w:r w:rsidR="00B92A16">
        <w:rPr>
          <w:rFonts w:ascii="Times New Roman" w:hAnsi="Times New Roman" w:cs="Times New Roman"/>
          <w:sz w:val="24"/>
          <w:szCs w:val="24"/>
        </w:rPr>
        <w:fldChar w:fldCharType="begin" w:fldLock="1"/>
      </w:r>
      <w:r w:rsidR="00B628D8">
        <w:rPr>
          <w:rFonts w:ascii="Times New Roman" w:hAnsi="Times New Roman" w:cs="Times New Roman"/>
          <w:sz w:val="24"/>
          <w:szCs w:val="24"/>
        </w:rPr>
        <w:instrText>ADDIN CSL_CITATION {"citationItems":[{"id":"ITEM-1","itemData":{"abstract":"Myanmar has one of the lowest electrification rates in Asia, less than a third of the population has access to the electricity grid (World Bank 2014). A drastic rural-urban divide exists in access to electricity: while 75% of the population in major cities in Myanmar enjoys access to electricity, rural areas only have an electrification rate of 16% (Ibid., p.41). The country relies heavily upon hydropower to generate about 75% of its electricity. The combined hydropower potential of Myanmar's four largest rivers — the Salween, the Irrawaddy, the Chindwin and the Sittaung — totals 100,000 megawatts, of which less than 10% has been harnessed. The Myanmar Government has identified 92 potential dam projects to harness up to 50% of the country's hydropower potential (Asian Development Bank 2012, and International Finance Corporation 2015). There are more than 135 ethnicities in Myanmar. Burmans make up about two-thirds of the total population. The seven largest ethnic minorities are Kachin, Kayah (Karenni), Kayin (Karen), Chin, Mon, Rahkine (Arakan) and Shan, each with a state. Ethnic states make up 57% of the country's land mass (Transnational Institute 2013). Unlike the other three main rivers with immense hydropower potential, the transboundary Salween river flows entirely within ethnic minority states — Shan, Kayah, Kayin and Mon State. Although the Chindwin and Irrawaddy rivers originate in Kachin State, the rivers primarily flow through predominately Burman regions; the Sittaung river flows only within the Bago region. In Myanmar, women face entrenched inequality and systemic barriers to economic, political and social leadership (Oxfam et al 2013). Women are largely responsible for caring for children, sourcing and collecting water and firewood, as well as managing households and preparing meals. Although women's household chores are invariably linked to the natural environment, in many societies they have little decision making power in water and natural resource management. Women's roles and representation in institutions, political parties and governance is often secondary to that of men (Asia Foundation 2014). In the context of consultations with local affected communities for large-scale development and infrastructure projects, while women's participation may be facilitated, religious leaders, village elders or leaders of community-based organisations are likely to be predominantly male (Ibid., p.35).","author":[{"dropping-particle":"","family":"Tsai","given":"Lan Shiow","non-dropping-particle":"","parse-names":false,"suffix":""}],"id":"ITEM-1","issued":{"date-parts":[["2015"]]},"title":"Gender and hydropower in Myanmar today","type":"article-journal"},"uris":["http://www.mendeley.com/documents/?uuid=c5ee60da-2b0c-48f8-9613-4cec0baa2bde"]}],"mendeley":{"formattedCitation":"(Tsai, 2015)","plainTextFormattedCitation":"(Tsai, 2015)","previouslyFormattedCitation":"(Tsai, 2015)"},"properties":{"noteIndex":0},"schema":"https://github.com/citation-style-language/schema/raw/master/csl-citation.json"}</w:instrText>
      </w:r>
      <w:r w:rsidR="00B92A16">
        <w:rPr>
          <w:rFonts w:ascii="Times New Roman" w:hAnsi="Times New Roman" w:cs="Times New Roman"/>
          <w:sz w:val="24"/>
          <w:szCs w:val="24"/>
        </w:rPr>
        <w:fldChar w:fldCharType="separate"/>
      </w:r>
      <w:r w:rsidR="00B92A16" w:rsidRPr="00B92A16">
        <w:rPr>
          <w:rFonts w:ascii="Times New Roman" w:hAnsi="Times New Roman" w:cs="Times New Roman"/>
          <w:noProof/>
          <w:sz w:val="24"/>
          <w:szCs w:val="24"/>
        </w:rPr>
        <w:t>(Tsai, 2015)</w:t>
      </w:r>
      <w:r w:rsidR="00B92A16">
        <w:rPr>
          <w:rFonts w:ascii="Times New Roman" w:hAnsi="Times New Roman" w:cs="Times New Roman"/>
          <w:sz w:val="24"/>
          <w:szCs w:val="24"/>
        </w:rPr>
        <w:fldChar w:fldCharType="end"/>
      </w:r>
      <w:r w:rsidRPr="000D6461">
        <w:rPr>
          <w:rFonts w:ascii="Times New Roman" w:hAnsi="Times New Roman" w:cs="Times New Roman"/>
          <w:sz w:val="24"/>
          <w:szCs w:val="24"/>
        </w:rPr>
        <w:t xml:space="preserve">. </w:t>
      </w:r>
      <w:r w:rsidR="00FB7A32">
        <w:rPr>
          <w:rFonts w:ascii="Times New Roman" w:hAnsi="Times New Roman" w:cs="Times New Roman"/>
          <w:sz w:val="24"/>
          <w:szCs w:val="24"/>
        </w:rPr>
        <w:t>E</w:t>
      </w:r>
      <w:r w:rsidRPr="000D6461">
        <w:rPr>
          <w:rFonts w:ascii="Times New Roman" w:hAnsi="Times New Roman" w:cs="Times New Roman"/>
          <w:sz w:val="24"/>
          <w:szCs w:val="24"/>
        </w:rPr>
        <w:t>lectricity demand is growing at a rate of 15%</w:t>
      </w:r>
      <w:r>
        <w:rPr>
          <w:rFonts w:ascii="Times New Roman" w:hAnsi="Times New Roman" w:cs="Times New Roman"/>
          <w:sz w:val="24"/>
          <w:szCs w:val="24"/>
        </w:rPr>
        <w:t xml:space="preserve"> per year</w:t>
      </w:r>
      <w:r w:rsidRPr="000D6461">
        <w:rPr>
          <w:rFonts w:ascii="Times New Roman" w:hAnsi="Times New Roman" w:cs="Times New Roman"/>
          <w:sz w:val="24"/>
          <w:szCs w:val="24"/>
        </w:rPr>
        <w:t>, and an estimated amount of 500 MW additional generation capacity is needed annually to meet demand</w:t>
      </w:r>
      <w:r w:rsidR="007B3EC9">
        <w:rPr>
          <w:rFonts w:ascii="Times New Roman" w:hAnsi="Times New Roman" w:cs="Times New Roman"/>
          <w:sz w:val="24"/>
          <w:szCs w:val="24"/>
        </w:rPr>
        <w:t xml:space="preserve"> </w:t>
      </w:r>
      <w:r w:rsidR="007B3EC9">
        <w:rPr>
          <w:rFonts w:ascii="Times New Roman" w:hAnsi="Times New Roman" w:cs="Times New Roman"/>
          <w:sz w:val="24"/>
          <w:szCs w:val="24"/>
        </w:rPr>
        <w:fldChar w:fldCharType="begin" w:fldLock="1"/>
      </w:r>
      <w:r w:rsidR="007B3EC9">
        <w:rPr>
          <w:rFonts w:ascii="Times New Roman" w:hAnsi="Times New Roman" w:cs="Times New Roman"/>
          <w:sz w:val="24"/>
          <w:szCs w:val="24"/>
        </w:rPr>
        <w:instrText>ADDIN CSL_CITATION {"citationItems":[{"id":"ITEM-1","itemData":{"author":[{"dropping-particle":"","family":"Karen Human Rights Group","given":"","non-dropping-particle":"","parse-names":false,"suffix":""}],"id":"ITEM-1","issued":{"date-parts":[["2018"]]},"title":"Development or Destruction? The human rights impacts of hydropower development on villagers in Southeast Myanmar","type":"article-journal"},"uris":["http://www.mendeley.com/documents/?uuid=0ba15440-4a7a-4a33-bc6a-b59e3783cbe5"]}],"mendeley":{"formattedCitation":"(Karen Human Rights Group, 2018)","plainTextFormattedCitation":"(Karen Human Rights Group, 2018)","previouslyFormattedCitation":"(Karen Human Rights Group, 2018)"},"properties":{"noteIndex":0},"schema":"https://github.com/citation-style-language/schema/raw/master/csl-citation.json"}</w:instrText>
      </w:r>
      <w:r w:rsidR="007B3EC9">
        <w:rPr>
          <w:rFonts w:ascii="Times New Roman" w:hAnsi="Times New Roman" w:cs="Times New Roman"/>
          <w:sz w:val="24"/>
          <w:szCs w:val="24"/>
        </w:rPr>
        <w:fldChar w:fldCharType="separate"/>
      </w:r>
      <w:r w:rsidR="007B3EC9" w:rsidRPr="007B3EC9">
        <w:rPr>
          <w:rFonts w:ascii="Times New Roman" w:hAnsi="Times New Roman" w:cs="Times New Roman"/>
          <w:noProof/>
          <w:sz w:val="24"/>
          <w:szCs w:val="24"/>
        </w:rPr>
        <w:t>(Karen Human Rights Group, 2018)</w:t>
      </w:r>
      <w:r w:rsidR="007B3EC9">
        <w:rPr>
          <w:rFonts w:ascii="Times New Roman" w:hAnsi="Times New Roman" w:cs="Times New Roman"/>
          <w:sz w:val="24"/>
          <w:szCs w:val="24"/>
        </w:rPr>
        <w:fldChar w:fldCharType="end"/>
      </w:r>
      <w:r w:rsidRPr="000D6461">
        <w:rPr>
          <w:rFonts w:ascii="Times New Roman" w:hAnsi="Times New Roman" w:cs="Times New Roman"/>
          <w:sz w:val="24"/>
          <w:szCs w:val="24"/>
        </w:rPr>
        <w:t xml:space="preserve">. Myanmar aims to </w:t>
      </w:r>
      <w:r w:rsidR="00B67305">
        <w:rPr>
          <w:rFonts w:ascii="Times New Roman" w:hAnsi="Times New Roman" w:cs="Times New Roman"/>
          <w:sz w:val="24"/>
          <w:szCs w:val="24"/>
        </w:rPr>
        <w:t>develop</w:t>
      </w:r>
      <w:r w:rsidR="00B67305" w:rsidRPr="000D6461">
        <w:rPr>
          <w:rFonts w:ascii="Times New Roman" w:hAnsi="Times New Roman" w:cs="Times New Roman"/>
          <w:sz w:val="24"/>
          <w:szCs w:val="24"/>
        </w:rPr>
        <w:t xml:space="preserve"> </w:t>
      </w:r>
      <w:r w:rsidRPr="000D6461">
        <w:rPr>
          <w:rFonts w:ascii="Times New Roman" w:hAnsi="Times New Roman" w:cs="Times New Roman"/>
          <w:sz w:val="24"/>
          <w:szCs w:val="24"/>
        </w:rPr>
        <w:t>hydropower as a long-term energy solution. According to the 2015 National Electrification Plan, the country plan</w:t>
      </w:r>
      <w:r>
        <w:rPr>
          <w:rFonts w:ascii="Times New Roman" w:hAnsi="Times New Roman" w:cs="Times New Roman"/>
          <w:sz w:val="24"/>
          <w:szCs w:val="24"/>
        </w:rPr>
        <w:t>s</w:t>
      </w:r>
      <w:r w:rsidRPr="000D6461">
        <w:rPr>
          <w:rFonts w:ascii="Times New Roman" w:hAnsi="Times New Roman" w:cs="Times New Roman"/>
          <w:sz w:val="24"/>
          <w:szCs w:val="24"/>
        </w:rPr>
        <w:t xml:space="preserve"> to triple hydropower capacity by 2030 </w:t>
      </w:r>
      <w:r w:rsidR="007B3EC9">
        <w:rPr>
          <w:rFonts w:ascii="Times New Roman" w:hAnsi="Times New Roman" w:cs="Times New Roman"/>
          <w:sz w:val="24"/>
          <w:szCs w:val="24"/>
        </w:rPr>
        <w:fldChar w:fldCharType="begin" w:fldLock="1"/>
      </w:r>
      <w:r w:rsidR="000F6083">
        <w:rPr>
          <w:rFonts w:ascii="Times New Roman" w:hAnsi="Times New Roman" w:cs="Times New Roman"/>
          <w:sz w:val="24"/>
          <w:szCs w:val="24"/>
        </w:rPr>
        <w:instrText>ADDIN CSL_CITATION {"citationItems":[{"id":"ITEM-1","itemData":{"ISSN":"03506134","abstract":"Forensic parameters based on 15 AmpFlSTR Identifiler short tandem repeat (STR) loci (D8S1179, D21S11, D7S820, CSF1PO, D3S1358, TH01, D13S317, D16S539, D2S1338, D19S433, VWA, TPOX, D18S51, D5S818 and FGA) were evaluated in the sample of 122 unrelated, autochthonous, adult individuals from the Island of Cres (Croatia). PCR amplification was performed with the AmpFlSTR Identifiler PCR Amplification Kit and the amplified products were separated and detected using the ABI 3130 DNA genetic analyzer. The agreement with Hardy Weinberg Equilibrium (HWE) was confirmed for all loci (p&gt;0.05). The combined power of discrimination (PD) and the combined power of exclusion (PE) for the 15 tested STR loci were 0.99999999999999997988728679 and 0.999997397, respectively. According to the presented data, D18S51 proved to be the most informative marker followed by markers D2S1338 and D21S11. Interpopulation comparisons in allele frequencies with other East Adriatic Islands revealed significant differences for all analyzed population pairs ranging from 4 loci (Cres vs. Hvar) to 1 locus (Cres vs. Krk). Furthermore, allele frequencies comparisons of Cres and Croatian mainland revealed the lack of statistically significant differences at all studied loci. The results of the current study indicate that the examined fifteen STR loci are useful genetic markers for individual identification and paternity testing in Croatian population from the Island of Cres.","author":[{"dropping-particle":"","family":"Asian Development Bank","given":"","non-dropping-particle":"","parse-names":false,"suffix":""}],"id":"ITEM-1","issue":"December","issued":{"date-parts":[["2015"]]},"title":"Myanmar Energy Master Plan The Government of the Republic of the Union of Myanmar National Energy Management Committee","type":"report"},"uris":["http://www.mendeley.com/documents/?uuid=2b9797aa-0176-465c-a0df-c7315af18fff"]}],"mendeley":{"formattedCitation":"(Asian Development Bank, 2015)","plainTextFormattedCitation":"(Asian Development Bank, 2015)","previouslyFormattedCitation":"(Asian Development Bank, 2015)"},"properties":{"noteIndex":0},"schema":"https://github.com/citation-style-language/schema/raw/master/csl-citation.json"}</w:instrText>
      </w:r>
      <w:r w:rsidR="007B3EC9">
        <w:rPr>
          <w:rFonts w:ascii="Times New Roman" w:hAnsi="Times New Roman" w:cs="Times New Roman"/>
          <w:sz w:val="24"/>
          <w:szCs w:val="24"/>
        </w:rPr>
        <w:fldChar w:fldCharType="separate"/>
      </w:r>
      <w:r w:rsidR="007B3EC9" w:rsidRPr="007B3EC9">
        <w:rPr>
          <w:rFonts w:ascii="Times New Roman" w:hAnsi="Times New Roman" w:cs="Times New Roman"/>
          <w:noProof/>
          <w:sz w:val="24"/>
          <w:szCs w:val="24"/>
        </w:rPr>
        <w:t>(Asian Development Bank, 2015)</w:t>
      </w:r>
      <w:r w:rsidR="007B3EC9">
        <w:rPr>
          <w:rFonts w:ascii="Times New Roman" w:hAnsi="Times New Roman" w:cs="Times New Roman"/>
          <w:sz w:val="24"/>
          <w:szCs w:val="24"/>
        </w:rPr>
        <w:fldChar w:fldCharType="end"/>
      </w:r>
      <w:r w:rsidRPr="000D6461">
        <w:rPr>
          <w:rFonts w:ascii="Times New Roman" w:hAnsi="Times New Roman" w:cs="Times New Roman"/>
          <w:sz w:val="24"/>
          <w:szCs w:val="24"/>
        </w:rPr>
        <w:t xml:space="preserve">. Hydropower </w:t>
      </w:r>
      <w:r>
        <w:rPr>
          <w:rFonts w:ascii="Times New Roman" w:hAnsi="Times New Roman" w:cs="Times New Roman"/>
          <w:sz w:val="24"/>
          <w:szCs w:val="24"/>
        </w:rPr>
        <w:t xml:space="preserve">therefore </w:t>
      </w:r>
      <w:r w:rsidRPr="000D6461">
        <w:rPr>
          <w:rFonts w:ascii="Times New Roman" w:hAnsi="Times New Roman" w:cs="Times New Roman"/>
          <w:sz w:val="24"/>
          <w:szCs w:val="24"/>
        </w:rPr>
        <w:t xml:space="preserve">has the potential to become a vital source of renewable energy. </w:t>
      </w:r>
    </w:p>
    <w:p w14:paraId="48F2B44F" w14:textId="305B04A4" w:rsidR="00966B31" w:rsidRDefault="00D43CC9" w:rsidP="004F2BB1">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the development of new hydropower plants in Myanmar is controversial and is often met with criticism due to </w:t>
      </w:r>
      <w:r w:rsidR="00C63B49">
        <w:rPr>
          <w:rFonts w:ascii="Times New Roman" w:hAnsi="Times New Roman" w:cs="Times New Roman"/>
          <w:sz w:val="24"/>
          <w:szCs w:val="24"/>
        </w:rPr>
        <w:t xml:space="preserve">a failure to </w:t>
      </w:r>
      <w:r>
        <w:rPr>
          <w:rFonts w:ascii="Times New Roman" w:hAnsi="Times New Roman" w:cs="Times New Roman"/>
          <w:sz w:val="24"/>
          <w:szCs w:val="24"/>
        </w:rPr>
        <w:t xml:space="preserve">consider effects on ecosystems. Although hydropower is considered </w:t>
      </w:r>
      <w:r w:rsidR="00B67305">
        <w:rPr>
          <w:rFonts w:ascii="Times New Roman" w:hAnsi="Times New Roman" w:cs="Times New Roman"/>
          <w:sz w:val="24"/>
          <w:szCs w:val="24"/>
        </w:rPr>
        <w:t xml:space="preserve">to be </w:t>
      </w:r>
      <w:r>
        <w:rPr>
          <w:rFonts w:ascii="Times New Roman" w:hAnsi="Times New Roman" w:cs="Times New Roman"/>
          <w:sz w:val="24"/>
          <w:szCs w:val="24"/>
        </w:rPr>
        <w:t xml:space="preserve">environmentally benign compared </w:t>
      </w:r>
      <w:r w:rsidR="00B67305">
        <w:rPr>
          <w:rFonts w:ascii="Times New Roman" w:hAnsi="Times New Roman" w:cs="Times New Roman"/>
          <w:sz w:val="24"/>
          <w:szCs w:val="24"/>
        </w:rPr>
        <w:t xml:space="preserve">with many other </w:t>
      </w:r>
      <w:r>
        <w:rPr>
          <w:rFonts w:ascii="Times New Roman" w:hAnsi="Times New Roman" w:cs="Times New Roman"/>
          <w:sz w:val="24"/>
          <w:szCs w:val="24"/>
        </w:rPr>
        <w:t>energy sources</w:t>
      </w:r>
      <w:r w:rsidRPr="000D6461">
        <w:rPr>
          <w:rFonts w:ascii="Times New Roman" w:hAnsi="Times New Roman" w:cs="Times New Roman"/>
          <w:sz w:val="24"/>
          <w:szCs w:val="24"/>
        </w:rPr>
        <w:t>, negative environmental and social costs of hydropower plants are well-documented. If poorly planned, environmental, social, economic and human rights</w:t>
      </w:r>
      <w:r>
        <w:rPr>
          <w:rFonts w:ascii="Times New Roman" w:hAnsi="Times New Roman" w:cs="Times New Roman"/>
          <w:sz w:val="24"/>
          <w:szCs w:val="24"/>
        </w:rPr>
        <w:t>’</w:t>
      </w:r>
      <w:r w:rsidRPr="000D6461">
        <w:rPr>
          <w:rFonts w:ascii="Times New Roman" w:hAnsi="Times New Roman" w:cs="Times New Roman"/>
          <w:sz w:val="24"/>
          <w:szCs w:val="24"/>
        </w:rPr>
        <w:t xml:space="preserve"> consequences of hydropower development projects can be significant and far-reaching</w:t>
      </w:r>
      <w:r w:rsidR="00E43556">
        <w:rPr>
          <w:rFonts w:ascii="Times New Roman" w:hAnsi="Times New Roman" w:cs="Times New Roman"/>
          <w:sz w:val="24"/>
          <w:szCs w:val="24"/>
        </w:rPr>
        <w:t xml:space="preserve"> </w:t>
      </w:r>
      <w:r w:rsidR="00E43556">
        <w:rPr>
          <w:rFonts w:ascii="Times New Roman" w:hAnsi="Times New Roman" w:cs="Times New Roman"/>
          <w:sz w:val="24"/>
          <w:szCs w:val="24"/>
        </w:rPr>
        <w:fldChar w:fldCharType="begin" w:fldLock="1"/>
      </w:r>
      <w:r w:rsidR="002D6905">
        <w:rPr>
          <w:rFonts w:ascii="Times New Roman" w:hAnsi="Times New Roman" w:cs="Times New Roman"/>
          <w:sz w:val="24"/>
          <w:szCs w:val="24"/>
        </w:rPr>
        <w:instrText>ADDIN CSL_CITATION {"citationItems":[{"id":"ITEM-1","itemData":{"author":[{"dropping-particle":"","family":"Intrnational Union for Conservation of Nature","given":"","non-dropping-particle":"","parse-names":false,"suffix":""}],"id":"ITEM-1","issued":{"date-parts":[["2015"]]},"title":"Small scale hydro power Pacific energy projects : Impacts on nature and people","type":"report"},"uris":["http://www.mendeley.com/documents/?uuid=8b33c29a-2425-4c14-b365-416556d065fa"]}],"mendeley":{"formattedCitation":"(Intrnational Union for Conservation of Nature, 2015)","manualFormatting":"(International Union for Conservation of Nature, 2015)","plainTextFormattedCitation":"(Intrnational Union for Conservation of Nature, 2015)","previouslyFormattedCitation":"(Intrnational Union for Conservation of Nature, 2015)"},"properties":{"noteIndex":0},"schema":"https://github.com/citation-style-language/schema/raw/master/csl-citation.json"}</w:instrText>
      </w:r>
      <w:r w:rsidR="00E43556">
        <w:rPr>
          <w:rFonts w:ascii="Times New Roman" w:hAnsi="Times New Roman" w:cs="Times New Roman"/>
          <w:sz w:val="24"/>
          <w:szCs w:val="24"/>
        </w:rPr>
        <w:fldChar w:fldCharType="separate"/>
      </w:r>
      <w:r w:rsidR="00E43556" w:rsidRPr="00E43556">
        <w:rPr>
          <w:rFonts w:ascii="Times New Roman" w:hAnsi="Times New Roman" w:cs="Times New Roman"/>
          <w:noProof/>
          <w:sz w:val="24"/>
          <w:szCs w:val="24"/>
        </w:rPr>
        <w:t>(Int</w:t>
      </w:r>
      <w:r w:rsidR="00E43556">
        <w:rPr>
          <w:rFonts w:ascii="Times New Roman" w:hAnsi="Times New Roman" w:cs="Times New Roman"/>
          <w:noProof/>
          <w:sz w:val="24"/>
          <w:szCs w:val="24"/>
        </w:rPr>
        <w:t>e</w:t>
      </w:r>
      <w:r w:rsidR="00E43556" w:rsidRPr="00E43556">
        <w:rPr>
          <w:rFonts w:ascii="Times New Roman" w:hAnsi="Times New Roman" w:cs="Times New Roman"/>
          <w:noProof/>
          <w:sz w:val="24"/>
          <w:szCs w:val="24"/>
        </w:rPr>
        <w:t xml:space="preserve">rnational Union for </w:t>
      </w:r>
      <w:r w:rsidR="00C63B49">
        <w:rPr>
          <w:rFonts w:ascii="Times New Roman" w:hAnsi="Times New Roman" w:cs="Times New Roman"/>
          <w:noProof/>
          <w:sz w:val="24"/>
          <w:szCs w:val="24"/>
        </w:rPr>
        <w:t xml:space="preserve">the </w:t>
      </w:r>
      <w:r w:rsidR="00E43556" w:rsidRPr="00E43556">
        <w:rPr>
          <w:rFonts w:ascii="Times New Roman" w:hAnsi="Times New Roman" w:cs="Times New Roman"/>
          <w:noProof/>
          <w:sz w:val="24"/>
          <w:szCs w:val="24"/>
        </w:rPr>
        <w:t>Conservation of Nature, 2015)</w:t>
      </w:r>
      <w:r w:rsidR="00E43556">
        <w:rPr>
          <w:rFonts w:ascii="Times New Roman" w:hAnsi="Times New Roman" w:cs="Times New Roman"/>
          <w:sz w:val="24"/>
          <w:szCs w:val="24"/>
        </w:rPr>
        <w:fldChar w:fldCharType="end"/>
      </w:r>
      <w:r w:rsidRPr="000D6461">
        <w:rPr>
          <w:rFonts w:ascii="Times New Roman" w:hAnsi="Times New Roman" w:cs="Times New Roman"/>
          <w:sz w:val="24"/>
          <w:szCs w:val="24"/>
        </w:rPr>
        <w:t xml:space="preserve">. Hydropower plants require clearing of land, </w:t>
      </w:r>
      <w:r w:rsidR="00B67305">
        <w:rPr>
          <w:rFonts w:ascii="Times New Roman" w:hAnsi="Times New Roman" w:cs="Times New Roman"/>
          <w:sz w:val="24"/>
          <w:szCs w:val="24"/>
        </w:rPr>
        <w:t xml:space="preserve">the use of </w:t>
      </w:r>
      <w:r w:rsidRPr="000D6461">
        <w:rPr>
          <w:rFonts w:ascii="Times New Roman" w:hAnsi="Times New Roman" w:cs="Times New Roman"/>
          <w:sz w:val="24"/>
          <w:szCs w:val="24"/>
        </w:rPr>
        <w:t xml:space="preserve">large </w:t>
      </w:r>
      <w:r>
        <w:rPr>
          <w:rFonts w:ascii="Times New Roman" w:hAnsi="Times New Roman" w:cs="Times New Roman"/>
          <w:sz w:val="24"/>
          <w:szCs w:val="24"/>
        </w:rPr>
        <w:t xml:space="preserve">amounts </w:t>
      </w:r>
      <w:r w:rsidRPr="000D6461">
        <w:rPr>
          <w:rFonts w:ascii="Times New Roman" w:hAnsi="Times New Roman" w:cs="Times New Roman"/>
          <w:sz w:val="24"/>
          <w:szCs w:val="24"/>
        </w:rPr>
        <w:t>of construction materials and electricity</w:t>
      </w:r>
      <w:r>
        <w:rPr>
          <w:rFonts w:ascii="Times New Roman" w:hAnsi="Times New Roman" w:cs="Times New Roman"/>
          <w:sz w:val="24"/>
          <w:szCs w:val="24"/>
        </w:rPr>
        <w:t xml:space="preserve">. Furthermore, </w:t>
      </w:r>
      <w:r w:rsidRPr="000D6461">
        <w:rPr>
          <w:rFonts w:ascii="Times New Roman" w:hAnsi="Times New Roman" w:cs="Times New Roman"/>
          <w:sz w:val="24"/>
          <w:szCs w:val="24"/>
        </w:rPr>
        <w:t>water flow</w:t>
      </w:r>
      <w:r>
        <w:rPr>
          <w:rFonts w:ascii="Times New Roman" w:hAnsi="Times New Roman" w:cs="Times New Roman"/>
          <w:sz w:val="24"/>
          <w:szCs w:val="24"/>
        </w:rPr>
        <w:t>s need to be diverted</w:t>
      </w:r>
      <w:r w:rsidRPr="000D6461">
        <w:rPr>
          <w:rFonts w:ascii="Times New Roman" w:hAnsi="Times New Roman" w:cs="Times New Roman"/>
          <w:sz w:val="24"/>
          <w:szCs w:val="24"/>
        </w:rPr>
        <w:t xml:space="preserve">. During the construction of </w:t>
      </w:r>
      <w:r>
        <w:rPr>
          <w:rFonts w:ascii="Times New Roman" w:hAnsi="Times New Roman" w:cs="Times New Roman"/>
          <w:sz w:val="24"/>
          <w:szCs w:val="24"/>
        </w:rPr>
        <w:t>a</w:t>
      </w:r>
      <w:r w:rsidRPr="000D6461">
        <w:rPr>
          <w:rFonts w:ascii="Times New Roman" w:hAnsi="Times New Roman" w:cs="Times New Roman"/>
          <w:sz w:val="24"/>
          <w:szCs w:val="24"/>
        </w:rPr>
        <w:t xml:space="preserve"> dam, changes to water flow</w:t>
      </w:r>
      <w:r>
        <w:rPr>
          <w:rFonts w:ascii="Times New Roman" w:hAnsi="Times New Roman" w:cs="Times New Roman"/>
          <w:sz w:val="24"/>
          <w:szCs w:val="24"/>
        </w:rPr>
        <w:t>s</w:t>
      </w:r>
      <w:r w:rsidRPr="000D6461">
        <w:rPr>
          <w:rFonts w:ascii="Times New Roman" w:hAnsi="Times New Roman" w:cs="Times New Roman"/>
          <w:sz w:val="24"/>
          <w:szCs w:val="24"/>
        </w:rPr>
        <w:t xml:space="preserve"> significantly affect surrounding ecosystems, </w:t>
      </w:r>
      <w:r w:rsidR="00B67305">
        <w:rPr>
          <w:rFonts w:ascii="Times New Roman" w:hAnsi="Times New Roman" w:cs="Times New Roman"/>
          <w:sz w:val="24"/>
          <w:szCs w:val="24"/>
        </w:rPr>
        <w:t>flood regimes</w:t>
      </w:r>
      <w:r w:rsidRPr="000D6461">
        <w:rPr>
          <w:rFonts w:ascii="Times New Roman" w:hAnsi="Times New Roman" w:cs="Times New Roman"/>
          <w:sz w:val="24"/>
          <w:szCs w:val="24"/>
        </w:rPr>
        <w:t xml:space="preserve"> and sediment movements. </w:t>
      </w:r>
      <w:r>
        <w:rPr>
          <w:rFonts w:ascii="Times New Roman" w:hAnsi="Times New Roman" w:cs="Times New Roman"/>
          <w:sz w:val="24"/>
          <w:szCs w:val="24"/>
        </w:rPr>
        <w:t xml:space="preserve">For </w:t>
      </w:r>
      <w:r w:rsidRPr="000D6461">
        <w:rPr>
          <w:rFonts w:ascii="Times New Roman" w:hAnsi="Times New Roman" w:cs="Times New Roman"/>
          <w:sz w:val="24"/>
          <w:szCs w:val="24"/>
        </w:rPr>
        <w:t xml:space="preserve">example, </w:t>
      </w:r>
      <w:r w:rsidR="00B67305">
        <w:rPr>
          <w:rFonts w:ascii="Times New Roman" w:hAnsi="Times New Roman" w:cs="Times New Roman"/>
          <w:sz w:val="24"/>
          <w:szCs w:val="24"/>
        </w:rPr>
        <w:t xml:space="preserve">a </w:t>
      </w:r>
      <w:r w:rsidRPr="000D6461">
        <w:rPr>
          <w:rFonts w:ascii="Times New Roman" w:hAnsi="Times New Roman" w:cs="Times New Roman"/>
          <w:sz w:val="24"/>
          <w:szCs w:val="24"/>
        </w:rPr>
        <w:t>40</w:t>
      </w:r>
      <w:r>
        <w:rPr>
          <w:rFonts w:ascii="Times New Roman" w:hAnsi="Times New Roman" w:cs="Times New Roman"/>
          <w:sz w:val="24"/>
          <w:szCs w:val="24"/>
        </w:rPr>
        <w:t>%</w:t>
      </w:r>
      <w:r w:rsidRPr="000D6461">
        <w:rPr>
          <w:rFonts w:ascii="Times New Roman" w:hAnsi="Times New Roman" w:cs="Times New Roman"/>
          <w:sz w:val="24"/>
          <w:szCs w:val="24"/>
        </w:rPr>
        <w:t xml:space="preserve"> to 60% decline in migratory fish biomass was observed in the Mekong River basin due to the development of mainstem hydropower dams </w:t>
      </w:r>
      <w:r w:rsidR="002D6905">
        <w:rPr>
          <w:rFonts w:ascii="Times New Roman" w:hAnsi="Times New Roman" w:cs="Times New Roman"/>
          <w:sz w:val="24"/>
          <w:szCs w:val="24"/>
        </w:rPr>
        <w:fldChar w:fldCharType="begin" w:fldLock="1"/>
      </w:r>
      <w:r w:rsidR="009235E2">
        <w:rPr>
          <w:rFonts w:ascii="Times New Roman" w:hAnsi="Times New Roman" w:cs="Times New Roman"/>
          <w:sz w:val="24"/>
          <w:szCs w:val="24"/>
        </w:rPr>
        <w:instrText>ADDIN CSL_CITATION {"citationItems":[{"id":"ITEM-1","itemData":{"author":[{"dropping-particle":"","family":"Opperman","given":"Jeff","non-dropping-particle":"","parse-names":false,"suffix":""},{"dropping-particle":"","family":"Hartmann","given":"Joerg","non-dropping-particle":"","parse-names":false,"suffix":""},{"dropping-particle":"","family":"Raepple","given":"Justus","non-dropping-particle":"","parse-names":false,"suffix":""},{"dropping-particle":"","family":"Angarita","given":"Héctor","non-dropping-particle":"","parse-names":false,"suffix":""},{"dropping-particle":"","family":"Beames","given":"Penny","non-dropping-particle":"","parse-names":false,"suffix":""},{"dropping-particle":"","family":"Chapin","given":"Emily","non-dropping-particle":"","parse-names":false,"suffix":""},{"dropping-particle":"","family":"Geressu","given":"Robel","non-dropping-particle":"","parse-names":false,"suffix":""},{"dropping-particle":"","family":"Grill","given":"Günther","non-dropping-particle":"","parse-names":false,"suffix":""},{"dropping-particle":"","family":"Julien","given":"Harou","non-dropping-particle":"","parse-names":false,"suffix":""},{"dropping-particle":"","family":"Hurford","given":"Anthony","non-dropping-particle":"","parse-names":false,"suffix":""},{"dropping-particle":"","family":"Kammen","given":"Daniel","non-dropping-particle":"","parse-names":false,"suffix":""},{"dropping-particle":"","family":"Kelman","given":"Rafael","non-dropping-particle":"","parse-names":false,"suffix":""},{"dropping-particle":"","family":"Martin","given":"Erik","non-dropping-particle":"","parse-names":false,"suffix":""},{"dropping-particle":"","family":"Martins","given":"Tainá","non-dropping-particle":"","parse-names":false,"suffix":""},{"dropping-particle":"","family":"Peters","given":"Rebecca","non-dropping-particle":"","parse-names":false,"suffix":""},{"dropping-particle":"","family":"Rogéliz","given":"Carlos","non-dropping-particle":"","parse-names":false,"suffix":""},{"dropping-particle":"","family":"Shirley","given":"Rebekah","non-dropping-particle":"","parse-names":false,"suffix":""}],"id":"ITEM-1","issued":{"date-parts":[["2017"]]},"number-of-pages":"88","title":"The Power of Rivers A Business Case","type":"report"},"uris":["http://www.mendeley.com/documents/?uuid=8efcc2f4-1277-4d00-8698-326fbfca999a"]}],"mendeley":{"formattedCitation":"(Opperman et al., 2017)","plainTextFormattedCitation":"(Opperman et al., 2017)","previouslyFormattedCitation":"(Opperman et al., 2017)"},"properties":{"noteIndex":0},"schema":"https://github.com/citation-style-language/schema/raw/master/csl-citation.json"}</w:instrText>
      </w:r>
      <w:r w:rsidR="002D6905">
        <w:rPr>
          <w:rFonts w:ascii="Times New Roman" w:hAnsi="Times New Roman" w:cs="Times New Roman"/>
          <w:sz w:val="24"/>
          <w:szCs w:val="24"/>
        </w:rPr>
        <w:fldChar w:fldCharType="separate"/>
      </w:r>
      <w:r w:rsidR="002D6905" w:rsidRPr="002D6905">
        <w:rPr>
          <w:rFonts w:ascii="Times New Roman" w:hAnsi="Times New Roman" w:cs="Times New Roman"/>
          <w:noProof/>
          <w:sz w:val="24"/>
          <w:szCs w:val="24"/>
        </w:rPr>
        <w:t>(Opperman et al., 2017)</w:t>
      </w:r>
      <w:r w:rsidR="002D6905">
        <w:rPr>
          <w:rFonts w:ascii="Times New Roman" w:hAnsi="Times New Roman" w:cs="Times New Roman"/>
          <w:sz w:val="24"/>
          <w:szCs w:val="24"/>
        </w:rPr>
        <w:fldChar w:fldCharType="end"/>
      </w:r>
      <w:r w:rsidRPr="000D6461">
        <w:rPr>
          <w:rFonts w:ascii="Times New Roman" w:hAnsi="Times New Roman" w:cs="Times New Roman"/>
          <w:sz w:val="24"/>
          <w:szCs w:val="24"/>
        </w:rPr>
        <w:t xml:space="preserve">. </w:t>
      </w:r>
      <w:r>
        <w:rPr>
          <w:rFonts w:ascii="Times New Roman" w:hAnsi="Times New Roman" w:cs="Times New Roman"/>
          <w:sz w:val="24"/>
          <w:szCs w:val="24"/>
        </w:rPr>
        <w:t>There</w:t>
      </w:r>
      <w:r w:rsidRPr="000D6461">
        <w:rPr>
          <w:rFonts w:ascii="Times New Roman" w:hAnsi="Times New Roman" w:cs="Times New Roman"/>
          <w:sz w:val="24"/>
          <w:szCs w:val="24"/>
        </w:rPr>
        <w:t xml:space="preserve"> can also </w:t>
      </w:r>
      <w:r w:rsidR="00966B31">
        <w:rPr>
          <w:rFonts w:ascii="Times New Roman" w:hAnsi="Times New Roman" w:cs="Times New Roman"/>
          <w:sz w:val="24"/>
          <w:szCs w:val="24"/>
        </w:rPr>
        <w:t xml:space="preserve">be </w:t>
      </w:r>
      <w:r w:rsidRPr="000D6461">
        <w:rPr>
          <w:rFonts w:ascii="Times New Roman" w:hAnsi="Times New Roman" w:cs="Times New Roman"/>
          <w:sz w:val="24"/>
          <w:szCs w:val="24"/>
        </w:rPr>
        <w:t>social conflict</w:t>
      </w:r>
      <w:r>
        <w:rPr>
          <w:rFonts w:ascii="Times New Roman" w:hAnsi="Times New Roman" w:cs="Times New Roman"/>
          <w:sz w:val="24"/>
          <w:szCs w:val="24"/>
        </w:rPr>
        <w:t>, in particular in connection with</w:t>
      </w:r>
      <w:r w:rsidRPr="000D6461">
        <w:rPr>
          <w:rFonts w:ascii="Times New Roman" w:hAnsi="Times New Roman" w:cs="Times New Roman"/>
          <w:sz w:val="24"/>
          <w:szCs w:val="24"/>
        </w:rPr>
        <w:t xml:space="preserve"> ownership and access to both</w:t>
      </w:r>
      <w:r w:rsidR="00C63B49">
        <w:rPr>
          <w:rFonts w:ascii="Times New Roman" w:hAnsi="Times New Roman" w:cs="Times New Roman"/>
          <w:sz w:val="24"/>
          <w:szCs w:val="24"/>
        </w:rPr>
        <w:t>,</w:t>
      </w:r>
      <w:r w:rsidRPr="000D6461">
        <w:rPr>
          <w:rFonts w:ascii="Times New Roman" w:hAnsi="Times New Roman" w:cs="Times New Roman"/>
          <w:sz w:val="24"/>
          <w:szCs w:val="24"/>
        </w:rPr>
        <w:t xml:space="preserve"> land and water. Hydropower projects are </w:t>
      </w:r>
      <w:r w:rsidR="00966B31">
        <w:rPr>
          <w:rFonts w:ascii="Times New Roman" w:hAnsi="Times New Roman" w:cs="Times New Roman"/>
          <w:sz w:val="24"/>
          <w:szCs w:val="24"/>
        </w:rPr>
        <w:t>frequently</w:t>
      </w:r>
      <w:r w:rsidR="00966B31" w:rsidRPr="000D6461">
        <w:rPr>
          <w:rFonts w:ascii="Times New Roman" w:hAnsi="Times New Roman" w:cs="Times New Roman"/>
          <w:sz w:val="24"/>
          <w:szCs w:val="24"/>
        </w:rPr>
        <w:t xml:space="preserve"> </w:t>
      </w:r>
      <w:r w:rsidRPr="000D6461">
        <w:rPr>
          <w:rFonts w:ascii="Times New Roman" w:hAnsi="Times New Roman" w:cs="Times New Roman"/>
          <w:sz w:val="24"/>
          <w:szCs w:val="24"/>
        </w:rPr>
        <w:t>extensive and involve complex construction and operation stages that are site-specific</w:t>
      </w:r>
      <w:r>
        <w:rPr>
          <w:rFonts w:ascii="Times New Roman" w:hAnsi="Times New Roman" w:cs="Times New Roman"/>
          <w:sz w:val="24"/>
          <w:szCs w:val="24"/>
        </w:rPr>
        <w:t>.  Therefore</w:t>
      </w:r>
      <w:r w:rsidRPr="000D6461">
        <w:rPr>
          <w:rFonts w:ascii="Times New Roman" w:hAnsi="Times New Roman" w:cs="Times New Roman"/>
          <w:sz w:val="24"/>
          <w:szCs w:val="24"/>
        </w:rPr>
        <w:t xml:space="preserve">, </w:t>
      </w:r>
      <w:r w:rsidR="00966B31">
        <w:rPr>
          <w:rFonts w:ascii="Times New Roman" w:hAnsi="Times New Roman" w:cs="Times New Roman"/>
          <w:sz w:val="24"/>
          <w:szCs w:val="24"/>
        </w:rPr>
        <w:t xml:space="preserve">impacts can be very </w:t>
      </w:r>
      <w:r w:rsidRPr="000D6461">
        <w:rPr>
          <w:rFonts w:ascii="Times New Roman" w:hAnsi="Times New Roman" w:cs="Times New Roman"/>
          <w:sz w:val="24"/>
          <w:szCs w:val="24"/>
        </w:rPr>
        <w:t xml:space="preserve">diverse. </w:t>
      </w:r>
    </w:p>
    <w:p w14:paraId="3AD5DC26" w14:textId="27EC5E79" w:rsidR="00D43CC9" w:rsidRPr="000D6461" w:rsidRDefault="00D43CC9" w:rsidP="001203DC">
      <w:pPr>
        <w:spacing w:line="240" w:lineRule="auto"/>
        <w:ind w:firstLine="720"/>
        <w:rPr>
          <w:rFonts w:ascii="Times New Roman" w:hAnsi="Times New Roman" w:cs="Times New Roman"/>
          <w:sz w:val="24"/>
          <w:szCs w:val="24"/>
        </w:rPr>
      </w:pPr>
      <w:r w:rsidRPr="000D6461">
        <w:rPr>
          <w:rFonts w:ascii="Times New Roman" w:hAnsi="Times New Roman" w:cs="Times New Roman"/>
          <w:sz w:val="24"/>
          <w:szCs w:val="24"/>
        </w:rPr>
        <w:t xml:space="preserve">Myanmar’s current approach to hydropower development fails to </w:t>
      </w:r>
      <w:r>
        <w:rPr>
          <w:rFonts w:ascii="Times New Roman" w:hAnsi="Times New Roman" w:cs="Times New Roman"/>
          <w:sz w:val="24"/>
          <w:szCs w:val="24"/>
        </w:rPr>
        <w:t xml:space="preserve">deliver </w:t>
      </w:r>
      <w:r w:rsidRPr="000D6461">
        <w:rPr>
          <w:rFonts w:ascii="Times New Roman" w:hAnsi="Times New Roman" w:cs="Times New Roman"/>
          <w:sz w:val="24"/>
          <w:szCs w:val="24"/>
        </w:rPr>
        <w:t xml:space="preserve">sustainable hydropower and </w:t>
      </w:r>
      <w:r>
        <w:rPr>
          <w:rFonts w:ascii="Times New Roman" w:hAnsi="Times New Roman" w:cs="Times New Roman"/>
          <w:sz w:val="24"/>
          <w:szCs w:val="24"/>
        </w:rPr>
        <w:t xml:space="preserve">does </w:t>
      </w:r>
      <w:r w:rsidRPr="000D6461">
        <w:rPr>
          <w:rFonts w:ascii="Times New Roman" w:hAnsi="Times New Roman" w:cs="Times New Roman"/>
          <w:sz w:val="24"/>
          <w:szCs w:val="24"/>
        </w:rPr>
        <w:t xml:space="preserve">not </w:t>
      </w:r>
      <w:r>
        <w:rPr>
          <w:rFonts w:ascii="Times New Roman" w:hAnsi="Times New Roman" w:cs="Times New Roman"/>
          <w:sz w:val="24"/>
          <w:szCs w:val="24"/>
        </w:rPr>
        <w:t xml:space="preserve">support </w:t>
      </w:r>
      <w:r w:rsidRPr="000D6461">
        <w:rPr>
          <w:rFonts w:ascii="Times New Roman" w:hAnsi="Times New Roman" w:cs="Times New Roman"/>
          <w:sz w:val="24"/>
          <w:szCs w:val="24"/>
        </w:rPr>
        <w:t>manage</w:t>
      </w:r>
      <w:r>
        <w:rPr>
          <w:rFonts w:ascii="Times New Roman" w:hAnsi="Times New Roman" w:cs="Times New Roman"/>
          <w:sz w:val="24"/>
          <w:szCs w:val="24"/>
        </w:rPr>
        <w:t>ment of</w:t>
      </w:r>
      <w:r w:rsidRPr="000D6461">
        <w:rPr>
          <w:rFonts w:ascii="Times New Roman" w:hAnsi="Times New Roman" w:cs="Times New Roman"/>
          <w:sz w:val="24"/>
          <w:szCs w:val="24"/>
        </w:rPr>
        <w:t xml:space="preserve"> associated environmental and social </w:t>
      </w:r>
      <w:r>
        <w:rPr>
          <w:rFonts w:ascii="Times New Roman" w:hAnsi="Times New Roman" w:cs="Times New Roman"/>
          <w:sz w:val="24"/>
          <w:szCs w:val="24"/>
        </w:rPr>
        <w:t>issues</w:t>
      </w:r>
      <w:r w:rsidR="009235E2">
        <w:rPr>
          <w:rFonts w:ascii="Times New Roman" w:hAnsi="Times New Roman" w:cs="Times New Roman"/>
          <w:sz w:val="24"/>
          <w:szCs w:val="24"/>
        </w:rPr>
        <w:t xml:space="preserve"> </w:t>
      </w:r>
      <w:r w:rsidR="009235E2">
        <w:rPr>
          <w:rFonts w:ascii="Times New Roman" w:hAnsi="Times New Roman" w:cs="Times New Roman"/>
          <w:sz w:val="24"/>
          <w:szCs w:val="24"/>
        </w:rPr>
        <w:fldChar w:fldCharType="begin" w:fldLock="1"/>
      </w:r>
      <w:r w:rsidR="002C19DB">
        <w:rPr>
          <w:rFonts w:ascii="Times New Roman" w:hAnsi="Times New Roman" w:cs="Times New Roman"/>
          <w:sz w:val="24"/>
          <w:szCs w:val="24"/>
        </w:rPr>
        <w:instrText>ADDIN CSL_CITATION {"citationItems":[{"id":"ITEM-1","itemData":{"DOI":"10.13189/sa.2018.060205","author":[{"dropping-particle":"","family":"Han","given":"Kyaw Thu","non-dropping-particle":"","parse-names":false,"suffix":""}],"id":"ITEM-1","issue":"2","issued":{"date-parts":[["2018"]]},"page":"237-251","title":"Possible Socioeconomic Consequences of the Hydropower Dams on the Downstream Communities : Case Study Hatgyi Dam","type":"article-journal","volume":"6"},"uris":["http://www.mendeley.com/documents/?uuid=bcf45b0e-8269-4d73-9cb3-baee11594e0d"]}],"mendeley":{"formattedCitation":"(Han, 2018)","plainTextFormattedCitation":"(Han, 2018)","previouslyFormattedCitation":"(Han, 2018)"},"properties":{"noteIndex":0},"schema":"https://github.com/citation-style-language/schema/raw/master/csl-citation.json"}</w:instrText>
      </w:r>
      <w:r w:rsidR="009235E2">
        <w:rPr>
          <w:rFonts w:ascii="Times New Roman" w:hAnsi="Times New Roman" w:cs="Times New Roman"/>
          <w:sz w:val="24"/>
          <w:szCs w:val="24"/>
        </w:rPr>
        <w:fldChar w:fldCharType="separate"/>
      </w:r>
      <w:r w:rsidR="009235E2" w:rsidRPr="009235E2">
        <w:rPr>
          <w:rFonts w:ascii="Times New Roman" w:hAnsi="Times New Roman" w:cs="Times New Roman"/>
          <w:noProof/>
          <w:sz w:val="24"/>
          <w:szCs w:val="24"/>
        </w:rPr>
        <w:t>(Han, 2018)</w:t>
      </w:r>
      <w:r w:rsidR="009235E2">
        <w:rPr>
          <w:rFonts w:ascii="Times New Roman" w:hAnsi="Times New Roman" w:cs="Times New Roman"/>
          <w:sz w:val="24"/>
          <w:szCs w:val="24"/>
        </w:rPr>
        <w:fldChar w:fldCharType="end"/>
      </w:r>
      <w:r w:rsidRPr="000D6461">
        <w:rPr>
          <w:rFonts w:ascii="Times New Roman" w:hAnsi="Times New Roman" w:cs="Times New Roman"/>
          <w:sz w:val="24"/>
          <w:szCs w:val="24"/>
        </w:rPr>
        <w:t>. Projects are developed solely based on the economic return and engineering feasibility and little to no consideration is given to ecological and social impacts</w:t>
      </w:r>
      <w:r>
        <w:rPr>
          <w:rFonts w:ascii="Times New Roman" w:hAnsi="Times New Roman" w:cs="Times New Roman"/>
          <w:sz w:val="24"/>
          <w:szCs w:val="24"/>
        </w:rPr>
        <w:t>.</w:t>
      </w:r>
      <w:r w:rsidRPr="000D6461">
        <w:rPr>
          <w:rFonts w:ascii="Times New Roman" w:hAnsi="Times New Roman" w:cs="Times New Roman"/>
          <w:sz w:val="24"/>
          <w:szCs w:val="24"/>
        </w:rPr>
        <w:t xml:space="preserve"> </w:t>
      </w:r>
      <w:r w:rsidR="00AC5B56">
        <w:rPr>
          <w:rFonts w:ascii="Times New Roman" w:hAnsi="Times New Roman" w:cs="Times New Roman"/>
          <w:sz w:val="24"/>
          <w:szCs w:val="24"/>
        </w:rPr>
        <w:t>A</w:t>
      </w:r>
      <w:r w:rsidR="00966B31">
        <w:rPr>
          <w:rFonts w:ascii="Times New Roman" w:hAnsi="Times New Roman" w:cs="Times New Roman"/>
          <w:sz w:val="24"/>
          <w:szCs w:val="24"/>
        </w:rPr>
        <w:t>s a consequence, t</w:t>
      </w:r>
      <w:r w:rsidRPr="000D6461">
        <w:rPr>
          <w:rFonts w:ascii="Times New Roman" w:hAnsi="Times New Roman" w:cs="Times New Roman"/>
          <w:sz w:val="24"/>
          <w:szCs w:val="24"/>
        </w:rPr>
        <w:t>he magnitude of environmental effects of hydropower project</w:t>
      </w:r>
      <w:r>
        <w:rPr>
          <w:rFonts w:ascii="Times New Roman" w:hAnsi="Times New Roman" w:cs="Times New Roman"/>
          <w:sz w:val="24"/>
          <w:szCs w:val="24"/>
        </w:rPr>
        <w:t>s</w:t>
      </w:r>
      <w:r w:rsidRPr="000D6461">
        <w:rPr>
          <w:rFonts w:ascii="Times New Roman" w:hAnsi="Times New Roman" w:cs="Times New Roman"/>
          <w:sz w:val="24"/>
          <w:szCs w:val="24"/>
        </w:rPr>
        <w:t xml:space="preserve"> is mostly unknown. </w:t>
      </w:r>
      <w:r w:rsidR="00966B31">
        <w:rPr>
          <w:rFonts w:ascii="Times New Roman" w:hAnsi="Times New Roman" w:cs="Times New Roman"/>
          <w:sz w:val="24"/>
          <w:szCs w:val="24"/>
        </w:rPr>
        <w:t>E</w:t>
      </w:r>
      <w:r>
        <w:rPr>
          <w:rFonts w:ascii="Times New Roman" w:hAnsi="Times New Roman" w:cs="Times New Roman"/>
          <w:sz w:val="24"/>
          <w:szCs w:val="24"/>
        </w:rPr>
        <w:t xml:space="preserve">nvironmental impacts </w:t>
      </w:r>
      <w:r w:rsidR="00966B31">
        <w:rPr>
          <w:rFonts w:ascii="Times New Roman" w:hAnsi="Times New Roman" w:cs="Times New Roman"/>
          <w:sz w:val="24"/>
          <w:szCs w:val="24"/>
        </w:rPr>
        <w:t xml:space="preserve">of hydropower projects </w:t>
      </w:r>
      <w:r>
        <w:rPr>
          <w:rFonts w:ascii="Times New Roman" w:hAnsi="Times New Roman" w:cs="Times New Roman"/>
          <w:sz w:val="24"/>
          <w:szCs w:val="24"/>
        </w:rPr>
        <w:t xml:space="preserve">can be estimated through life-cycle impact assessment (LCIA). The </w:t>
      </w:r>
      <w:r w:rsidR="00966B31">
        <w:rPr>
          <w:rFonts w:ascii="Times New Roman" w:hAnsi="Times New Roman" w:cs="Times New Roman"/>
          <w:sz w:val="24"/>
          <w:szCs w:val="24"/>
        </w:rPr>
        <w:t xml:space="preserve">life-cycle based </w:t>
      </w:r>
      <w:r>
        <w:rPr>
          <w:rFonts w:ascii="Times New Roman" w:hAnsi="Times New Roman" w:cs="Times New Roman"/>
          <w:sz w:val="24"/>
          <w:szCs w:val="24"/>
        </w:rPr>
        <w:t xml:space="preserve">environmental assessment of hydropower projects allows to investigate the intensity and magnitude of impacts. </w:t>
      </w:r>
    </w:p>
    <w:p w14:paraId="680E06D0" w14:textId="24FD8E3A" w:rsidR="00D43CC9" w:rsidRDefault="00966B31" w:rsidP="001203DC">
      <w:pPr>
        <w:spacing w:line="240" w:lineRule="auto"/>
        <w:ind w:firstLine="720"/>
        <w:rPr>
          <w:rFonts w:ascii="Times New Roman" w:hAnsi="Times New Roman" w:cs="Times New Roman"/>
          <w:sz w:val="24"/>
          <w:szCs w:val="24"/>
        </w:rPr>
      </w:pPr>
      <w:r>
        <w:rPr>
          <w:rFonts w:ascii="Times New Roman" w:hAnsi="Times New Roman" w:cs="Times New Roman"/>
          <w:sz w:val="24"/>
          <w:szCs w:val="24"/>
        </w:rPr>
        <w:t>Currently, e</w:t>
      </w:r>
      <w:r w:rsidR="00D43CC9" w:rsidRPr="000D6461">
        <w:rPr>
          <w:rFonts w:ascii="Times New Roman" w:hAnsi="Times New Roman" w:cs="Times New Roman"/>
          <w:sz w:val="24"/>
          <w:szCs w:val="24"/>
        </w:rPr>
        <w:t xml:space="preserve">xcept for the sector-wide Strategic Environmental Assessment (SEA) conducted by the Ministry of Electricity and Energy (MOEE) and Ministry of Natural Resources and Environmental Conservation (MONREC), there </w:t>
      </w:r>
      <w:r w:rsidR="00D43CC9">
        <w:rPr>
          <w:rFonts w:ascii="Times New Roman" w:hAnsi="Times New Roman" w:cs="Times New Roman"/>
          <w:sz w:val="24"/>
          <w:szCs w:val="24"/>
        </w:rPr>
        <w:t xml:space="preserve">are </w:t>
      </w:r>
      <w:r w:rsidR="00D43CC9" w:rsidRPr="000D6461">
        <w:rPr>
          <w:rFonts w:ascii="Times New Roman" w:hAnsi="Times New Roman" w:cs="Times New Roman"/>
          <w:sz w:val="24"/>
          <w:szCs w:val="24"/>
        </w:rPr>
        <w:t>no stud</w:t>
      </w:r>
      <w:r w:rsidR="00D43CC9">
        <w:rPr>
          <w:rFonts w:ascii="Times New Roman" w:hAnsi="Times New Roman" w:cs="Times New Roman"/>
          <w:sz w:val="24"/>
          <w:szCs w:val="24"/>
        </w:rPr>
        <w:t>ies</w:t>
      </w:r>
      <w:r w:rsidR="00D43CC9" w:rsidRPr="000D6461">
        <w:rPr>
          <w:rFonts w:ascii="Times New Roman" w:hAnsi="Times New Roman" w:cs="Times New Roman"/>
          <w:sz w:val="24"/>
          <w:szCs w:val="24"/>
        </w:rPr>
        <w:t xml:space="preserve"> investigat</w:t>
      </w:r>
      <w:r w:rsidR="00D43CC9">
        <w:rPr>
          <w:rFonts w:ascii="Times New Roman" w:hAnsi="Times New Roman" w:cs="Times New Roman"/>
          <w:sz w:val="24"/>
          <w:szCs w:val="24"/>
        </w:rPr>
        <w:t>ing</w:t>
      </w:r>
      <w:r w:rsidR="00D43CC9" w:rsidRPr="000D6461">
        <w:rPr>
          <w:rFonts w:ascii="Times New Roman" w:hAnsi="Times New Roman" w:cs="Times New Roman"/>
          <w:sz w:val="24"/>
          <w:szCs w:val="24"/>
        </w:rPr>
        <w:t xml:space="preserve"> the environmental impacts of hydropower plants in Myanmar. </w:t>
      </w:r>
      <w:r w:rsidR="00D43CC9">
        <w:rPr>
          <w:rFonts w:ascii="Times New Roman" w:hAnsi="Times New Roman" w:cs="Times New Roman"/>
          <w:sz w:val="24"/>
          <w:szCs w:val="24"/>
        </w:rPr>
        <w:t xml:space="preserve">In order to address this </w:t>
      </w:r>
      <w:r w:rsidR="00D43CC9">
        <w:rPr>
          <w:rFonts w:ascii="Times New Roman" w:hAnsi="Times New Roman" w:cs="Times New Roman"/>
          <w:sz w:val="24"/>
          <w:szCs w:val="24"/>
        </w:rPr>
        <w:lastRenderedPageBreak/>
        <w:t>shortcoming</w:t>
      </w:r>
      <w:r w:rsidR="00D43CC9" w:rsidRPr="000D6461">
        <w:rPr>
          <w:rFonts w:ascii="Times New Roman" w:hAnsi="Times New Roman" w:cs="Times New Roman"/>
          <w:sz w:val="24"/>
          <w:szCs w:val="24"/>
        </w:rPr>
        <w:t xml:space="preserve">, this </w:t>
      </w:r>
      <w:r w:rsidR="00D43CC9">
        <w:rPr>
          <w:rFonts w:ascii="Times New Roman" w:hAnsi="Times New Roman" w:cs="Times New Roman"/>
          <w:sz w:val="24"/>
          <w:szCs w:val="24"/>
        </w:rPr>
        <w:t xml:space="preserve">paper reports on a “cradle to grave” </w:t>
      </w:r>
      <w:r w:rsidR="00D43CC9" w:rsidRPr="000D6461">
        <w:rPr>
          <w:rFonts w:ascii="Times New Roman" w:hAnsi="Times New Roman" w:cs="Times New Roman"/>
          <w:sz w:val="24"/>
          <w:szCs w:val="24"/>
        </w:rPr>
        <w:t xml:space="preserve">LCIA </w:t>
      </w:r>
      <w:r w:rsidR="00D43CC9">
        <w:rPr>
          <w:rFonts w:ascii="Times New Roman" w:hAnsi="Times New Roman" w:cs="Times New Roman"/>
          <w:sz w:val="24"/>
          <w:szCs w:val="24"/>
        </w:rPr>
        <w:t xml:space="preserve">that </w:t>
      </w:r>
      <w:r w:rsidR="00D43CC9" w:rsidRPr="000D6461">
        <w:rPr>
          <w:rFonts w:ascii="Times New Roman" w:hAnsi="Times New Roman" w:cs="Times New Roman"/>
          <w:sz w:val="24"/>
          <w:szCs w:val="24"/>
        </w:rPr>
        <w:t xml:space="preserve">systematically </w:t>
      </w:r>
      <w:r w:rsidR="00D43CC9">
        <w:rPr>
          <w:rFonts w:ascii="Times New Roman" w:hAnsi="Times New Roman" w:cs="Times New Roman"/>
          <w:sz w:val="24"/>
          <w:szCs w:val="24"/>
        </w:rPr>
        <w:t xml:space="preserve">assessed </w:t>
      </w:r>
      <w:r w:rsidR="00D43CC9" w:rsidRPr="000D6461">
        <w:rPr>
          <w:rFonts w:ascii="Times New Roman" w:hAnsi="Times New Roman" w:cs="Times New Roman"/>
          <w:sz w:val="24"/>
          <w:szCs w:val="24"/>
        </w:rPr>
        <w:t xml:space="preserve">environmental impacts associated with the construction, operation and maintenance, transportation, and decommissioning of large-scale hydropower plants in Myanmar. LCIA is a tool that considers all material and energy use from “cradle-to-grave” (Pascale, Urmee, &amp; Moore, 2011). </w:t>
      </w:r>
      <w:r>
        <w:rPr>
          <w:rFonts w:ascii="Times New Roman" w:hAnsi="Times New Roman" w:cs="Times New Roman"/>
          <w:sz w:val="24"/>
          <w:szCs w:val="24"/>
        </w:rPr>
        <w:t xml:space="preserve">It </w:t>
      </w:r>
      <w:r w:rsidR="00D43CC9" w:rsidRPr="000D6461">
        <w:rPr>
          <w:rFonts w:ascii="Times New Roman" w:hAnsi="Times New Roman" w:cs="Times New Roman"/>
          <w:sz w:val="24"/>
          <w:szCs w:val="24"/>
        </w:rPr>
        <w:t>allows quantifying cumulative impacts of the system at local and global scale</w:t>
      </w:r>
      <w:r w:rsidR="00D43CC9">
        <w:rPr>
          <w:rFonts w:ascii="Times New Roman" w:hAnsi="Times New Roman" w:cs="Times New Roman"/>
          <w:sz w:val="24"/>
          <w:szCs w:val="24"/>
        </w:rPr>
        <w:t>s</w:t>
      </w:r>
      <w:r w:rsidR="00D43CC9" w:rsidRPr="000D6461">
        <w:rPr>
          <w:rFonts w:ascii="Times New Roman" w:hAnsi="Times New Roman" w:cs="Times New Roman"/>
          <w:sz w:val="24"/>
          <w:szCs w:val="24"/>
        </w:rPr>
        <w:t>. Although LCIA has been applied to explore impacts of electrification systems, there are few studies solely focus</w:t>
      </w:r>
      <w:r w:rsidR="00D43CC9">
        <w:rPr>
          <w:rFonts w:ascii="Times New Roman" w:hAnsi="Times New Roman" w:cs="Times New Roman"/>
          <w:sz w:val="24"/>
          <w:szCs w:val="24"/>
        </w:rPr>
        <w:t>ing</w:t>
      </w:r>
      <w:r w:rsidR="00D43CC9" w:rsidRPr="000D6461">
        <w:rPr>
          <w:rFonts w:ascii="Times New Roman" w:hAnsi="Times New Roman" w:cs="Times New Roman"/>
          <w:sz w:val="24"/>
          <w:szCs w:val="24"/>
        </w:rPr>
        <w:t xml:space="preserve"> on large-scale hydropower plants </w:t>
      </w:r>
      <w:r w:rsidR="00B628D8">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{"citationItems":[{"id":"ITEM-1","itemData":{"DOI":"10.13044/j.sdewes.2016.04.0029","abstract":"© 2016, International Centre for Sustainable Development of Energy, Water and Environment Systems SDEWES. All rights reserved. Brazil as well as the rest of the world, faces a major challenge related to the electricity sector, to meet the growing demand with energy production from renewable sources. Many hydroelectric plants are being implemented, especially in the northern region of Brazil, but its environmental impacts are yet unknown. Energy produced by hydropower plants has been considered totally renewable and clean, but more recent studies describe analysis pointing to the existence of emissions by hydroelectric plants, especially if a lifecycle approach is considered. Thus, the objective of this study is the investigation of environmental impacts of the construction, operation and decommissioning of a hydroelectric power station based on life cycle assessment. The main focus is the Curuá-Una hydropower plant that is located in the Amazon forest in northern Brazil, in Santarém municipality (Pará state).","author":[{"dropping-particle":"","family":"Geller","given":"Marla","non-dropping-particle":"","parse-names":false,"suffix":""},{"dropping-particle":"","family":"Meneses","given":"Anderson Alvarenga De Moura","non-dropping-particle":"","parse-names":false,"suffix":""}],"container-title":"Journal of Sustainable Development of Energy, Water and Environment Systems","id":"ITEM-1","issued":{"date-parts":[["2016"]]},"title":"Life Cycle Assessment of a Small Hydropower Plant in the Brazilian Amazon","type":"article-journal"},"uris":["http://www.mendeley.com/documents/?uuid=9231e5a4-266b-4642-9a59-c6fab82352ef"]},{"id":"ITEM-2","itemData":{"DOI":"DOI 10.1007/s11367-015-0878-7","author":[{"dropping-particle":"","family":"Pang","given":"Mingyue;","non-dropping-particle":"","parse-names":false,"suffix":""},{"dropping-particle":"","family":"Zhang, Lixiao; Wang, Changbo &amp; Liu","given":"Gengyuan","non-dropping-particle":"","parse-names":false,"suffix":""}],"container-title":"Int J Life Cycle Assess","id":"ITEM-2","issue":"20","issued":{"date-parts":[["2015"]]},"page":"796-806","title":"Environmental life cycle assessment of a small hydropower plant in China","type":"article-journal"},"uris":["http://www.mendeley.com/documents/?uuid=5c796f13-37e3-4183-a3ef-7b990e426fdc"]},{"id":"ITEM-3","itemData":{"DOI":"10.1007/s11367-011-0311-9","ISSN":"16147502","abstract":"The conversion of electricity in Thailand is mainly based on fossil fuels that account more than 90% of electricity generated in the country. The use of fossil fuels has large environmental impacts, and being largely imported, also affects the energy security of the country. From the oil shock situation in 1970s, there has been interest in renewable energy in Thailand resulting in the policy goal for the year 2020 to increase the portion of renewable energy to 20% of energy used in the country. Now, hydropower contributes a significant portion of the renewable energy in Thailand, and mini-hydropower (run-of-river type with capacity between 200 to 6000 kW) tends to be most attractive. This is particularly suitable for Thailand, and it is being applied at several locations. Thus, the overall life cycle assessment (LCA), from cradle to gate, of mini-hydropower plants needs to be assessed for quantitative evaluation.|There are five mini-hydropower plants in this study. The inputs and outputs of materials and energy used since before construction stage to demolition stage are inventoried and assessed via LCA using the CML 2001 baseline methodology for impact assessment. The impact categories considered in this study are global warming (GWP), abiotic depletion (ADP), acidification (ACP), fresh water aquatic toxicity (FWAP), human toxicology (HTP), photochemical oxidation (POP), and fossil fuel resource depletion (FRP) potential. The functional unit used is 1 MWh electricity produced from mini-hydropower plants in Thailand, and the life span of the power plants is 50 years.|For each of the environmental impact categories considered, the impact potentials were evaluated for each of the five mini-hydropower plants; 76.39-151.55 g Sb eq/MWh for ADP, 57.28-116.94 g SO(2) eq/MWh for ACP, 11.01-23.01 kg CO(2) eq/MWh for GWP, 23.01-52.05 kg 1,4-DB eq/MWh for HTP, 4.58-9.08 kg 1,4-DB eq/MWh for FWAP, 2.93-7.47 g C(2)H(4) eq/MWh for POP, and 35.11-79.13 g Sb eq/MWh for FRP.|The main contributors to the impacts are the huge amount of materials used for construction of the mini-hydropower plant; sand, gravel, cement, reinforcement steel, pressure pipeline steel, iron, copper, and electric equipment and energy used for construction activities, construction equipment, and transportation. The remoteness of the mini-hydropower plants and the requirement of importing electric equipment technology from overseas are significant contributors to the environmental impacts.|The env…","author":[{"dropping-particle":"","family":"Suwanit","given":"Wannarat","non-dropping-particle":"","parse-names":false,"suffix":""},{"dropping-particle":"","family":"Gheewala","given":"Shabbir H.","non-dropping-particle":"","parse-names":false,"suffix":""}],"container-title":"International Journal of Life Cycle Assessment","id":"ITEM-3","issued":{"date-parts":[["2011"]]},"title":"Life cycle assessment of mini-hydropower plants in Thailand","type":"article-journal"},"uris":["http://www.mendeley.com/documents/?uuid=eccbb7e0-b1d2-4566-aede-3552201ffb7b"]}],"mendeley":{"formattedCitation":"(Geller &amp; Meneses, 2016; Pang &amp; Zhang, Lixiao; Wang, Changbo &amp; Liu, 2015; Suwanit &amp; Gheewala, 2011)","manualFormatting":"(see Pang et al., 2015; Suwanit &amp; Gheewala, 2011)","plainTextFormattedCitation":"(Geller &amp; Meneses, 2016; Pang &amp; Zhang, Lixiao; Wang, Changbo &amp; Liu, 2015; Suwanit &amp; Gheewala, 2011)","previouslyFormattedCitation":"(Geller &amp; Meneses, 2016; Pang &amp; Zhang, Lixiao; Wang, Changbo &amp; Liu, 2015; Suwanit &amp; Gheewala, 2011)"},"properties":{"noteIndex":0},"schema":"https://github.com/citation-style-language/schema/raw/master/csl-citation.json"}</w:instrText>
      </w:r>
      <w:r w:rsidR="00B628D8">
        <w:rPr>
          <w:rFonts w:ascii="Times New Roman" w:hAnsi="Times New Roman" w:cs="Times New Roman"/>
          <w:sz w:val="24"/>
          <w:szCs w:val="24"/>
        </w:rPr>
        <w:fldChar w:fldCharType="separate"/>
      </w:r>
      <w:r w:rsidR="00577669">
        <w:rPr>
          <w:rFonts w:ascii="Times New Roman" w:hAnsi="Times New Roman" w:cs="Times New Roman"/>
          <w:noProof/>
          <w:sz w:val="24"/>
          <w:szCs w:val="24"/>
        </w:rPr>
        <w:fldChar w:fldCharType="begin" w:fldLock="1"/>
      </w:r>
      <w:r w:rsidR="00AE02EE">
        <w:rPr>
          <w:rFonts w:ascii="Times New Roman" w:hAnsi="Times New Roman" w:cs="Times New Roman"/>
          <w:noProof/>
          <w:sz w:val="24"/>
          <w:szCs w:val="24"/>
        </w:rPr>
        <w:instrText>ADDIN CSL_CITATION {"citationItems":[{"id":"ITEM-1","itemData":{"DOI":"DOI 10.1007/s11367-015-0878-7","author":[{"dropping-particle":"","family":"Pang","given":"Mingyue;","non-dropping-particle":"","parse-names":false,"suffix":""},{"dropping-particle":"","family":"Zhang, Lixiao; Wang, Changbo &amp; Liu","given":"Gengyuan","non-dropping-particle":"","parse-names":false,"suffix":""}],"container-title":"Int J Life Cycle Assess","id":"ITEM-1","issue":"20","issued":{"date-parts":[["2015"]]},"page":"796-806","title":"Environmental life cycle assessment of a small hydropower plant in China","type":"article-journal"},"uris":["http://www.mendeley.com/documents/?uuid=5c796f13-37e3-4183-a3ef-7b990e426fdc"]}],"mendeley":{"formattedCitation":"(Pang &amp; Zhang, Lixiao; Wang, Changbo &amp; Liu, 2015)","manualFormatting":"(see Pang et al., 2015","plainTextFormattedCitation":"(Pang &amp; Zhang, Lixiao; Wang, Changbo &amp; Liu, 2015)","previouslyFormattedCitation":"(Pang &amp; Zhang, Lixiao; Wang, Changbo &amp; Liu, 2015)"},"properties":{"noteIndex":0},"schema":"https://github.com/citation-style-language/schema/raw/master/csl-citation.json"}</w:instrText>
      </w:r>
      <w:r w:rsidR="00577669">
        <w:rPr>
          <w:rFonts w:ascii="Times New Roman" w:hAnsi="Times New Roman" w:cs="Times New Roman"/>
          <w:noProof/>
          <w:sz w:val="24"/>
          <w:szCs w:val="24"/>
        </w:rPr>
        <w:fldChar w:fldCharType="separate"/>
      </w:r>
      <w:r w:rsidR="00577669" w:rsidRPr="00DD3838">
        <w:rPr>
          <w:rFonts w:ascii="Times New Roman" w:hAnsi="Times New Roman" w:cs="Times New Roman"/>
          <w:noProof/>
          <w:sz w:val="24"/>
          <w:szCs w:val="24"/>
        </w:rPr>
        <w:t>(</w:t>
      </w:r>
      <w:r>
        <w:rPr>
          <w:rFonts w:ascii="Times New Roman" w:hAnsi="Times New Roman" w:cs="Times New Roman"/>
          <w:noProof/>
          <w:sz w:val="24"/>
          <w:szCs w:val="24"/>
        </w:rPr>
        <w:t xml:space="preserve">see </w:t>
      </w:r>
      <w:r w:rsidR="00577669" w:rsidRPr="00DD3838">
        <w:rPr>
          <w:rFonts w:ascii="Times New Roman" w:hAnsi="Times New Roman" w:cs="Times New Roman"/>
          <w:noProof/>
          <w:sz w:val="24"/>
          <w:szCs w:val="24"/>
        </w:rPr>
        <w:t xml:space="preserve">Pang </w:t>
      </w:r>
      <w:r w:rsidR="00577669">
        <w:rPr>
          <w:rFonts w:ascii="Times New Roman" w:hAnsi="Times New Roman" w:cs="Times New Roman"/>
          <w:noProof/>
          <w:sz w:val="24"/>
          <w:szCs w:val="24"/>
        </w:rPr>
        <w:t>et al.</w:t>
      </w:r>
      <w:r w:rsidR="00577669" w:rsidRPr="00DD3838">
        <w:rPr>
          <w:rFonts w:ascii="Times New Roman" w:hAnsi="Times New Roman" w:cs="Times New Roman"/>
          <w:noProof/>
          <w:sz w:val="24"/>
          <w:szCs w:val="24"/>
        </w:rPr>
        <w:t>, 2015</w:t>
      </w:r>
      <w:r w:rsidR="00577669">
        <w:rPr>
          <w:rFonts w:ascii="Times New Roman" w:hAnsi="Times New Roman" w:cs="Times New Roman"/>
          <w:noProof/>
          <w:sz w:val="24"/>
          <w:szCs w:val="24"/>
        </w:rPr>
        <w:fldChar w:fldCharType="end"/>
      </w:r>
      <w:r w:rsidR="00DD3838" w:rsidRPr="00DD3838">
        <w:rPr>
          <w:rFonts w:ascii="Times New Roman" w:hAnsi="Times New Roman" w:cs="Times New Roman"/>
          <w:noProof/>
          <w:sz w:val="24"/>
          <w:szCs w:val="24"/>
        </w:rPr>
        <w:t>; Suwanit &amp; Gheewala, 2011)</w:t>
      </w:r>
      <w:r w:rsidR="00B628D8">
        <w:rPr>
          <w:rFonts w:ascii="Times New Roman" w:hAnsi="Times New Roman" w:cs="Times New Roman"/>
          <w:sz w:val="24"/>
          <w:szCs w:val="24"/>
        </w:rPr>
        <w:fldChar w:fldCharType="end"/>
      </w:r>
      <w:r w:rsidR="00D43CC9" w:rsidRPr="000D6461">
        <w:rPr>
          <w:rFonts w:ascii="Times New Roman" w:hAnsi="Times New Roman" w:cs="Times New Roman"/>
          <w:sz w:val="24"/>
          <w:szCs w:val="24"/>
        </w:rPr>
        <w:t xml:space="preserve">. </w:t>
      </w:r>
      <w:r w:rsidR="00D43CC9">
        <w:rPr>
          <w:rFonts w:ascii="Times New Roman" w:hAnsi="Times New Roman" w:cs="Times New Roman"/>
          <w:sz w:val="24"/>
          <w:szCs w:val="24"/>
        </w:rPr>
        <w:t>Given that the hydropower plants</w:t>
      </w:r>
      <w:r w:rsidR="00174B9F">
        <w:rPr>
          <w:rFonts w:ascii="Times New Roman" w:hAnsi="Times New Roman" w:cs="Times New Roman"/>
          <w:sz w:val="24"/>
          <w:szCs w:val="24"/>
        </w:rPr>
        <w:t>’</w:t>
      </w:r>
      <w:r w:rsidR="00D43CC9">
        <w:rPr>
          <w:rFonts w:ascii="Times New Roman" w:hAnsi="Times New Roman" w:cs="Times New Roman"/>
          <w:sz w:val="24"/>
          <w:szCs w:val="24"/>
        </w:rPr>
        <w:t xml:space="preserve"> environmental impacts are largely site-specific, extrapolation of LCA results from other parts of the world only offer limited support </w:t>
      </w:r>
      <w:r w:rsidR="00D43CC9">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{"citationItems":[{"id":"ITEM-1","itemData":{"DOI":"10.1016/j.rser.2016.11.271","ISSN":"18790690","abstract":"The production of electricity from hydropower results in several environmental impacts that, in only some instances, have been analysed from an economic valuation approach. Moreover, as environmental impacts largely depend on the specific characteristics of the case study, benefit transfer techniques are inadequate for valuation. The present paper demonstrates through the review of valuation studies on the environmental impacts of this technology, and the analysis of the different environmental impacts associated with hydropower for specific case studies that in fact benefit transfer should not be applied as each hydropower plant has specific and different impacts. The paper demonstrates the importance of a case study approach, for defining priorities with respect to alternative hydropower production facilities. Finally, the paper demonstrates that choice experiments are particularly suited for valuing the identified environmental impacts, being relevant for policy planning purposes.","author":[{"dropping-particle":"","family":"Botelho","given":"Anabela","non-dropping-particle":"","parse-names":false,"suffix":""},{"dropping-particle":"","family":"Ferreira","given":"Paula","non-dropping-particle":"","parse-names":false,"suffix":""},{"dropping-particle":"","family":"Lima","given":"Fátima","non-dropping-particle":"","parse-names":false,"suffix":""},{"dropping-particle":"","family":"Pinto","given":"Lígia M.Costa","non-dropping-particle":"","parse-names":false,"suffix":""},{"dropping-particle":"","family":"Sousa","given":"Sara","non-dropping-particle":"","parse-names":false,"suffix":""}],"container-title":"Renewable and Sustainable Energy Reviews","id":"ITEM-1","issue":"December 2016","issued":{"date-parts":[["2017"]]},"page":"896-904","publisher":"Elsevier Ltd","title":"Assessment of the environmental impacts associated with hydropower","type":"article-journal","volume":"70"},"uris":["http://www.mendeley.com/documents/?uuid=f4e0d51c-5cfb-40d5-84eb-4f2a64e9cddc"]}],"mendeley":{"formattedCitation":"(Botelho et al., 2017)","manualFormatting":"(Botelho et al., 2017)","plainTextFormattedCitation":"(Botelho et al., 2017)","previouslyFormattedCitation":"(Botelho et al., 2017)"},"properties":{"noteIndex":0},"schema":"https://github.com/citation-style-language/schema/raw/master/csl-citation.json"}</w:instrText>
      </w:r>
      <w:r w:rsidR="00D43CC9">
        <w:rPr>
          <w:rFonts w:ascii="Times New Roman" w:hAnsi="Times New Roman" w:cs="Times New Roman"/>
          <w:sz w:val="24"/>
          <w:szCs w:val="24"/>
        </w:rPr>
        <w:fldChar w:fldCharType="separate"/>
      </w:r>
      <w:r w:rsidR="00D43CC9" w:rsidRPr="00841845">
        <w:rPr>
          <w:rFonts w:ascii="Times New Roman" w:hAnsi="Times New Roman" w:cs="Times New Roman"/>
          <w:noProof/>
          <w:sz w:val="24"/>
          <w:szCs w:val="24"/>
        </w:rPr>
        <w:t>(Botelho</w:t>
      </w:r>
      <w:r w:rsidR="00D43CC9">
        <w:rPr>
          <w:rFonts w:ascii="Times New Roman" w:hAnsi="Times New Roman" w:cs="Times New Roman"/>
          <w:noProof/>
          <w:sz w:val="24"/>
          <w:szCs w:val="24"/>
        </w:rPr>
        <w:t xml:space="preserve"> et al.</w:t>
      </w:r>
      <w:r w:rsidR="00D43CC9" w:rsidRPr="00841845">
        <w:rPr>
          <w:rFonts w:ascii="Times New Roman" w:hAnsi="Times New Roman" w:cs="Times New Roman"/>
          <w:noProof/>
          <w:sz w:val="24"/>
          <w:szCs w:val="24"/>
        </w:rPr>
        <w:t>, 2017)</w:t>
      </w:r>
      <w:r w:rsidR="00D43CC9">
        <w:rPr>
          <w:rFonts w:ascii="Times New Roman" w:hAnsi="Times New Roman" w:cs="Times New Roman"/>
          <w:sz w:val="24"/>
          <w:szCs w:val="24"/>
        </w:rPr>
        <w:fldChar w:fldCharType="end"/>
      </w:r>
      <w:r w:rsidR="00D43CC9">
        <w:rPr>
          <w:rFonts w:ascii="Times New Roman" w:hAnsi="Times New Roman" w:cs="Times New Roman"/>
          <w:sz w:val="24"/>
          <w:szCs w:val="24"/>
        </w:rPr>
        <w:t xml:space="preserve">. </w:t>
      </w:r>
    </w:p>
    <w:p w14:paraId="7D284FA5" w14:textId="50755E54" w:rsidR="00D43CC9" w:rsidRDefault="00D43CC9" w:rsidP="004F2BB1">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results presented </w:t>
      </w:r>
      <w:r w:rsidR="00966B31">
        <w:rPr>
          <w:rFonts w:ascii="Times New Roman" w:hAnsi="Times New Roman" w:cs="Times New Roman"/>
          <w:sz w:val="24"/>
          <w:szCs w:val="24"/>
        </w:rPr>
        <w:t xml:space="preserve">in this paper </w:t>
      </w:r>
      <w:r>
        <w:rPr>
          <w:rFonts w:ascii="Times New Roman" w:hAnsi="Times New Roman" w:cs="Times New Roman"/>
          <w:sz w:val="24"/>
          <w:szCs w:val="24"/>
        </w:rPr>
        <w:t xml:space="preserve">can help to determine what life-cycle phases potentially have the most significant environmental impacts. Furthermore, intensity of environmental impacts </w:t>
      </w:r>
      <w:r w:rsidR="00E866DF">
        <w:rPr>
          <w:rFonts w:ascii="Times New Roman" w:hAnsi="Times New Roman" w:cs="Times New Roman"/>
          <w:sz w:val="24"/>
          <w:szCs w:val="24"/>
        </w:rPr>
        <w:t>is</w:t>
      </w:r>
      <w:r>
        <w:rPr>
          <w:rFonts w:ascii="Times New Roman" w:hAnsi="Times New Roman" w:cs="Times New Roman"/>
          <w:sz w:val="24"/>
          <w:szCs w:val="24"/>
        </w:rPr>
        <w:t xml:space="preserve"> compared, based on the size and capacity of the plants. We believe that findings </w:t>
      </w:r>
      <w:r w:rsidR="00966B31">
        <w:rPr>
          <w:rFonts w:ascii="Times New Roman" w:hAnsi="Times New Roman" w:cs="Times New Roman"/>
          <w:sz w:val="24"/>
          <w:szCs w:val="24"/>
        </w:rPr>
        <w:t xml:space="preserve">are </w:t>
      </w:r>
      <w:r w:rsidR="00E866DF">
        <w:rPr>
          <w:rFonts w:ascii="Times New Roman" w:hAnsi="Times New Roman" w:cs="Times New Roman"/>
          <w:sz w:val="24"/>
          <w:szCs w:val="24"/>
        </w:rPr>
        <w:t>particularly</w:t>
      </w:r>
      <w:r>
        <w:rPr>
          <w:rFonts w:ascii="Times New Roman" w:hAnsi="Times New Roman" w:cs="Times New Roman"/>
          <w:sz w:val="24"/>
          <w:szCs w:val="24"/>
        </w:rPr>
        <w:t xml:space="preserve"> useful for policy makers, project developers, local communities and researchers in the decision-making process at the national level</w:t>
      </w:r>
      <w:r w:rsidR="00966B31">
        <w:rPr>
          <w:rFonts w:ascii="Times New Roman" w:hAnsi="Times New Roman" w:cs="Times New Roman"/>
          <w:sz w:val="24"/>
          <w:szCs w:val="24"/>
        </w:rPr>
        <w:t xml:space="preserve"> in Myanmar</w:t>
      </w:r>
      <w:r>
        <w:rPr>
          <w:rFonts w:ascii="Times New Roman" w:hAnsi="Times New Roman" w:cs="Times New Roman"/>
          <w:sz w:val="24"/>
          <w:szCs w:val="24"/>
        </w:rPr>
        <w:t>.</w:t>
      </w:r>
    </w:p>
    <w:p w14:paraId="0E847756" w14:textId="77777777" w:rsidR="00D43CC9" w:rsidRDefault="00D43CC9" w:rsidP="004F2BB1">
      <w:pPr>
        <w:spacing w:line="240" w:lineRule="auto"/>
        <w:rPr>
          <w:rFonts w:ascii="Times New Roman" w:hAnsi="Times New Roman" w:cs="Times New Roman"/>
          <w:sz w:val="24"/>
          <w:szCs w:val="24"/>
        </w:rPr>
      </w:pPr>
    </w:p>
    <w:p w14:paraId="0AE2E49A" w14:textId="77777777" w:rsidR="007F10B4" w:rsidRDefault="007F10B4" w:rsidP="004F2BB1">
      <w:pPr>
        <w:spacing w:line="240" w:lineRule="auto"/>
        <w:rPr>
          <w:rFonts w:ascii="Times New Roman" w:hAnsi="Times New Roman" w:cs="Times New Roman"/>
          <w:sz w:val="24"/>
          <w:szCs w:val="24"/>
        </w:rPr>
      </w:pPr>
      <w:r>
        <w:rPr>
          <w:rFonts w:ascii="Times New Roman" w:hAnsi="Times New Roman" w:cs="Times New Roman"/>
          <w:sz w:val="24"/>
          <w:szCs w:val="24"/>
        </w:rPr>
        <w:t>Materials and Methods</w:t>
      </w:r>
    </w:p>
    <w:p w14:paraId="3D68B0ED" w14:textId="2FE682D3" w:rsidR="00D77A78" w:rsidRPr="00972E88" w:rsidRDefault="00D77A78" w:rsidP="004F2BB1">
      <w:pPr>
        <w:spacing w:line="240" w:lineRule="auto"/>
        <w:rPr>
          <w:rFonts w:ascii="Times New Roman" w:hAnsi="Times New Roman" w:cs="Times New Roman"/>
          <w:sz w:val="24"/>
          <w:szCs w:val="24"/>
        </w:rPr>
      </w:pPr>
      <w:r>
        <w:rPr>
          <w:rFonts w:ascii="Times New Roman" w:hAnsi="Times New Roman" w:cs="Times New Roman"/>
          <w:sz w:val="24"/>
          <w:szCs w:val="24"/>
        </w:rPr>
        <w:t>W</w:t>
      </w:r>
      <w:r w:rsidRPr="00972E88">
        <w:rPr>
          <w:rFonts w:ascii="Times New Roman" w:hAnsi="Times New Roman" w:cs="Times New Roman"/>
          <w:sz w:val="24"/>
          <w:szCs w:val="24"/>
        </w:rPr>
        <w:t>e followed the LCA framework proposed by ISO 140</w:t>
      </w:r>
      <w:r>
        <w:rPr>
          <w:rFonts w:ascii="Times New Roman" w:hAnsi="Times New Roman" w:cs="Times New Roman"/>
          <w:sz w:val="24"/>
          <w:szCs w:val="24"/>
        </w:rPr>
        <w:t>40</w:t>
      </w:r>
      <w:r w:rsidRPr="00972E88">
        <w:rPr>
          <w:rFonts w:ascii="Times New Roman" w:hAnsi="Times New Roman" w:cs="Times New Roman"/>
          <w:sz w:val="24"/>
          <w:szCs w:val="24"/>
        </w:rPr>
        <w:t xml:space="preserve"> and 1404</w:t>
      </w:r>
      <w:r>
        <w:rPr>
          <w:rFonts w:ascii="Times New Roman" w:hAnsi="Times New Roman" w:cs="Times New Roman"/>
          <w:sz w:val="24"/>
          <w:szCs w:val="24"/>
        </w:rPr>
        <w:t>4</w:t>
      </w:r>
      <w:r w:rsidRPr="00972E88">
        <w:rPr>
          <w:rFonts w:ascii="Times New Roman" w:hAnsi="Times New Roman" w:cs="Times New Roman"/>
          <w:sz w:val="24"/>
          <w:szCs w:val="24"/>
        </w:rPr>
        <w:t xml:space="preserve"> with a slight modification </w:t>
      </w:r>
      <w:r>
        <w:rPr>
          <w:rFonts w:ascii="Times New Roman" w:hAnsi="Times New Roman" w:cs="Times New Roman"/>
          <w:sz w:val="24"/>
          <w:szCs w:val="24"/>
        </w:rPr>
        <w:t xml:space="preserve">in order </w:t>
      </w:r>
      <w:r w:rsidRPr="00972E88">
        <w:rPr>
          <w:rFonts w:ascii="Times New Roman" w:hAnsi="Times New Roman" w:cs="Times New Roman"/>
          <w:sz w:val="24"/>
          <w:szCs w:val="24"/>
        </w:rPr>
        <w:t xml:space="preserve">to </w:t>
      </w:r>
      <w:r>
        <w:rPr>
          <w:rFonts w:ascii="Times New Roman" w:hAnsi="Times New Roman" w:cs="Times New Roman"/>
          <w:sz w:val="24"/>
          <w:szCs w:val="24"/>
        </w:rPr>
        <w:t xml:space="preserve">make it </w:t>
      </w:r>
      <w:r w:rsidRPr="00972E88">
        <w:rPr>
          <w:rFonts w:ascii="Times New Roman" w:hAnsi="Times New Roman" w:cs="Times New Roman"/>
          <w:sz w:val="24"/>
          <w:szCs w:val="24"/>
        </w:rPr>
        <w:t xml:space="preserve">more </w:t>
      </w:r>
      <w:r w:rsidR="00174B9F">
        <w:rPr>
          <w:rFonts w:ascii="Times New Roman" w:hAnsi="Times New Roman" w:cs="Times New Roman"/>
          <w:sz w:val="24"/>
          <w:szCs w:val="24"/>
        </w:rPr>
        <w:t>suitable</w:t>
      </w:r>
      <w:r w:rsidR="00174B9F" w:rsidRPr="00972E88">
        <w:rPr>
          <w:rFonts w:ascii="Times New Roman" w:hAnsi="Times New Roman" w:cs="Times New Roman"/>
          <w:sz w:val="24"/>
          <w:szCs w:val="24"/>
        </w:rPr>
        <w:t xml:space="preserve"> </w:t>
      </w:r>
      <w:r w:rsidRPr="00972E88">
        <w:rPr>
          <w:rFonts w:ascii="Times New Roman" w:hAnsi="Times New Roman" w:cs="Times New Roman"/>
          <w:sz w:val="24"/>
          <w:szCs w:val="24"/>
        </w:rPr>
        <w:t xml:space="preserve">for the Myanmar context. </w:t>
      </w:r>
      <w:r>
        <w:rPr>
          <w:rFonts w:ascii="Times New Roman" w:hAnsi="Times New Roman" w:cs="Times New Roman"/>
          <w:sz w:val="24"/>
          <w:szCs w:val="24"/>
        </w:rPr>
        <w:t>The f</w:t>
      </w:r>
      <w:r w:rsidRPr="00972E88">
        <w:rPr>
          <w:rFonts w:ascii="Times New Roman" w:hAnsi="Times New Roman" w:cs="Times New Roman"/>
          <w:sz w:val="24"/>
          <w:szCs w:val="24"/>
        </w:rPr>
        <w:t xml:space="preserve">ollowing phases </w:t>
      </w:r>
      <w:r w:rsidR="00174B9F">
        <w:rPr>
          <w:rFonts w:ascii="Times New Roman" w:hAnsi="Times New Roman" w:cs="Times New Roman"/>
          <w:sz w:val="24"/>
          <w:szCs w:val="24"/>
        </w:rPr>
        <w:t>we</w:t>
      </w:r>
      <w:r w:rsidRPr="00972E88">
        <w:rPr>
          <w:rFonts w:ascii="Times New Roman" w:hAnsi="Times New Roman" w:cs="Times New Roman"/>
          <w:sz w:val="24"/>
          <w:szCs w:val="24"/>
        </w:rPr>
        <w:t>re included:</w:t>
      </w:r>
    </w:p>
    <w:p w14:paraId="74584AC9" w14:textId="77777777" w:rsidR="00D77A78" w:rsidRPr="00D35B86" w:rsidRDefault="00D77A78" w:rsidP="004F2BB1">
      <w:pPr>
        <w:pStyle w:val="ListParagraph"/>
        <w:numPr>
          <w:ilvl w:val="0"/>
          <w:numId w:val="3"/>
        </w:numPr>
        <w:spacing w:line="240" w:lineRule="auto"/>
        <w:rPr>
          <w:rFonts w:ascii="Times New Roman" w:hAnsi="Times New Roman" w:cs="Times New Roman"/>
          <w:sz w:val="24"/>
          <w:szCs w:val="24"/>
        </w:rPr>
      </w:pPr>
      <w:r w:rsidRPr="00D35B86">
        <w:rPr>
          <w:rFonts w:ascii="Times New Roman" w:hAnsi="Times New Roman" w:cs="Times New Roman"/>
          <w:sz w:val="24"/>
          <w:szCs w:val="24"/>
        </w:rPr>
        <w:t xml:space="preserve">Goal and </w:t>
      </w:r>
      <w:r>
        <w:rPr>
          <w:rFonts w:ascii="Times New Roman" w:hAnsi="Times New Roman" w:cs="Times New Roman"/>
          <w:sz w:val="24"/>
          <w:szCs w:val="24"/>
        </w:rPr>
        <w:t>s</w:t>
      </w:r>
      <w:r w:rsidRPr="00D35B86">
        <w:rPr>
          <w:rFonts w:ascii="Times New Roman" w:hAnsi="Times New Roman" w:cs="Times New Roman"/>
          <w:sz w:val="24"/>
          <w:szCs w:val="24"/>
        </w:rPr>
        <w:t xml:space="preserve">cope </w:t>
      </w:r>
      <w:r>
        <w:rPr>
          <w:rFonts w:ascii="Times New Roman" w:hAnsi="Times New Roman" w:cs="Times New Roman"/>
          <w:sz w:val="24"/>
          <w:szCs w:val="24"/>
        </w:rPr>
        <w:t>d</w:t>
      </w:r>
      <w:r w:rsidRPr="00D35B86">
        <w:rPr>
          <w:rFonts w:ascii="Times New Roman" w:hAnsi="Times New Roman" w:cs="Times New Roman"/>
          <w:sz w:val="24"/>
          <w:szCs w:val="24"/>
        </w:rPr>
        <w:t>efinition (system boundaries and functional unit)</w:t>
      </w:r>
    </w:p>
    <w:p w14:paraId="7A3A074A" w14:textId="77777777" w:rsidR="00D77A78" w:rsidRPr="00D35B86" w:rsidRDefault="00D77A78" w:rsidP="004F2BB1">
      <w:pPr>
        <w:pStyle w:val="ListParagraph"/>
        <w:numPr>
          <w:ilvl w:val="0"/>
          <w:numId w:val="3"/>
        </w:numPr>
        <w:spacing w:line="240" w:lineRule="auto"/>
        <w:rPr>
          <w:rFonts w:ascii="Times New Roman" w:hAnsi="Times New Roman" w:cs="Times New Roman"/>
          <w:sz w:val="24"/>
          <w:szCs w:val="24"/>
        </w:rPr>
      </w:pPr>
      <w:r w:rsidRPr="00D35B86">
        <w:rPr>
          <w:rFonts w:ascii="Times New Roman" w:hAnsi="Times New Roman" w:cs="Times New Roman"/>
          <w:sz w:val="24"/>
          <w:szCs w:val="24"/>
        </w:rPr>
        <w:t>Life cycle inventory (LCI) data collection on hydropower plants in Myanmar</w:t>
      </w:r>
    </w:p>
    <w:p w14:paraId="1F368EE8" w14:textId="77777777" w:rsidR="00D77A78" w:rsidRPr="00D35B86" w:rsidRDefault="00D77A78" w:rsidP="004F2BB1">
      <w:pPr>
        <w:pStyle w:val="ListParagraph"/>
        <w:numPr>
          <w:ilvl w:val="0"/>
          <w:numId w:val="3"/>
        </w:numPr>
        <w:spacing w:line="240" w:lineRule="auto"/>
        <w:rPr>
          <w:rFonts w:ascii="Times New Roman" w:hAnsi="Times New Roman" w:cs="Times New Roman"/>
          <w:sz w:val="24"/>
          <w:szCs w:val="24"/>
        </w:rPr>
      </w:pPr>
      <w:r w:rsidRPr="00D35B86">
        <w:rPr>
          <w:rFonts w:ascii="Times New Roman" w:hAnsi="Times New Roman" w:cs="Times New Roman"/>
          <w:sz w:val="24"/>
          <w:szCs w:val="24"/>
        </w:rPr>
        <w:t xml:space="preserve">Data and process entry to </w:t>
      </w:r>
      <w:r>
        <w:rPr>
          <w:rFonts w:ascii="Times New Roman" w:hAnsi="Times New Roman" w:cs="Times New Roman"/>
          <w:sz w:val="24"/>
          <w:szCs w:val="24"/>
        </w:rPr>
        <w:t>o</w:t>
      </w:r>
      <w:r w:rsidRPr="00D35B86">
        <w:rPr>
          <w:rFonts w:ascii="Times New Roman" w:hAnsi="Times New Roman" w:cs="Times New Roman"/>
          <w:sz w:val="24"/>
          <w:szCs w:val="24"/>
        </w:rPr>
        <w:t>pen LCA software</w:t>
      </w:r>
    </w:p>
    <w:p w14:paraId="0B1518DA" w14:textId="77777777" w:rsidR="00D77A78" w:rsidRPr="00D35B86" w:rsidRDefault="00D77A78" w:rsidP="004F2BB1">
      <w:pPr>
        <w:pStyle w:val="ListParagraph"/>
        <w:numPr>
          <w:ilvl w:val="0"/>
          <w:numId w:val="3"/>
        </w:numPr>
        <w:spacing w:line="240" w:lineRule="auto"/>
        <w:rPr>
          <w:rFonts w:ascii="Times New Roman" w:hAnsi="Times New Roman" w:cs="Times New Roman"/>
          <w:sz w:val="24"/>
          <w:szCs w:val="24"/>
        </w:rPr>
      </w:pPr>
      <w:r w:rsidRPr="00D35B86">
        <w:rPr>
          <w:rFonts w:ascii="Times New Roman" w:hAnsi="Times New Roman" w:cs="Times New Roman"/>
          <w:sz w:val="24"/>
          <w:szCs w:val="24"/>
        </w:rPr>
        <w:t xml:space="preserve">Life </w:t>
      </w:r>
      <w:r>
        <w:rPr>
          <w:rFonts w:ascii="Times New Roman" w:hAnsi="Times New Roman" w:cs="Times New Roman"/>
          <w:sz w:val="24"/>
          <w:szCs w:val="24"/>
        </w:rPr>
        <w:t>c</w:t>
      </w:r>
      <w:r w:rsidRPr="00D35B86">
        <w:rPr>
          <w:rFonts w:ascii="Times New Roman" w:hAnsi="Times New Roman" w:cs="Times New Roman"/>
          <w:sz w:val="24"/>
          <w:szCs w:val="24"/>
        </w:rPr>
        <w:t xml:space="preserve">ycle </w:t>
      </w:r>
      <w:r>
        <w:rPr>
          <w:rFonts w:ascii="Times New Roman" w:hAnsi="Times New Roman" w:cs="Times New Roman"/>
          <w:sz w:val="24"/>
          <w:szCs w:val="24"/>
        </w:rPr>
        <w:t>i</w:t>
      </w:r>
      <w:r w:rsidRPr="00D35B86">
        <w:rPr>
          <w:rFonts w:ascii="Times New Roman" w:hAnsi="Times New Roman" w:cs="Times New Roman"/>
          <w:sz w:val="24"/>
          <w:szCs w:val="24"/>
        </w:rPr>
        <w:t xml:space="preserve">mpact </w:t>
      </w:r>
      <w:r>
        <w:rPr>
          <w:rFonts w:ascii="Times New Roman" w:hAnsi="Times New Roman" w:cs="Times New Roman"/>
          <w:sz w:val="24"/>
          <w:szCs w:val="24"/>
        </w:rPr>
        <w:t>a</w:t>
      </w:r>
      <w:r w:rsidRPr="00D35B86">
        <w:rPr>
          <w:rFonts w:ascii="Times New Roman" w:hAnsi="Times New Roman" w:cs="Times New Roman"/>
          <w:sz w:val="24"/>
          <w:szCs w:val="24"/>
        </w:rPr>
        <w:t xml:space="preserve">nalysis (LCIA) and comparison of results </w:t>
      </w:r>
    </w:p>
    <w:p w14:paraId="43670A02" w14:textId="77777777" w:rsidR="00D77A78" w:rsidRDefault="00D77A78" w:rsidP="004F2BB1">
      <w:pPr>
        <w:spacing w:line="240" w:lineRule="auto"/>
        <w:rPr>
          <w:rFonts w:ascii="Times New Roman" w:hAnsi="Times New Roman" w:cs="Times New Roman"/>
          <w:i/>
          <w:sz w:val="24"/>
          <w:szCs w:val="24"/>
        </w:rPr>
      </w:pPr>
      <w:r w:rsidRPr="00F67C07">
        <w:rPr>
          <w:rFonts w:ascii="Times New Roman" w:hAnsi="Times New Roman" w:cs="Times New Roman"/>
          <w:i/>
          <w:sz w:val="24"/>
          <w:szCs w:val="24"/>
        </w:rPr>
        <w:t xml:space="preserve">Myanmar Hydropower Sector Description </w:t>
      </w:r>
    </w:p>
    <w:p w14:paraId="62F7CC03" w14:textId="547AFA34" w:rsidR="00D77A78" w:rsidRDefault="00D77A78" w:rsidP="004F2BB1">
      <w:pPr>
        <w:spacing w:line="240" w:lineRule="auto"/>
        <w:rPr>
          <w:rFonts w:ascii="Times New Roman" w:hAnsi="Times New Roman" w:cs="Times New Roman"/>
          <w:sz w:val="24"/>
          <w:szCs w:val="24"/>
        </w:rPr>
      </w:pPr>
      <w:r w:rsidRPr="007B2C4B">
        <w:rPr>
          <w:rFonts w:ascii="Times New Roman" w:hAnsi="Times New Roman" w:cs="Times New Roman"/>
          <w:sz w:val="24"/>
          <w:szCs w:val="24"/>
        </w:rPr>
        <w:t>Myanmar has a</w:t>
      </w:r>
      <w:r w:rsidR="00932470">
        <w:rPr>
          <w:rFonts w:ascii="Times New Roman" w:hAnsi="Times New Roman" w:cs="Times New Roman"/>
          <w:sz w:val="24"/>
          <w:szCs w:val="24"/>
        </w:rPr>
        <w:t>n</w:t>
      </w:r>
      <w:r w:rsidRPr="007B2C4B">
        <w:rPr>
          <w:rFonts w:ascii="Times New Roman" w:hAnsi="Times New Roman" w:cs="Times New Roman"/>
          <w:sz w:val="24"/>
          <w:szCs w:val="24"/>
        </w:rPr>
        <w:t xml:space="preserve"> underdeveloped hydropower potential, estimated at 108 gigawatts (GW)</w:t>
      </w:r>
      <w:r w:rsidR="00D721D8">
        <w:rPr>
          <w:rFonts w:ascii="Times New Roman" w:hAnsi="Times New Roman" w:cs="Times New Roman"/>
          <w:sz w:val="24"/>
          <w:szCs w:val="24"/>
        </w:rPr>
        <w:t>.</w:t>
      </w:r>
      <w:r w:rsidRPr="007B2C4B">
        <w:rPr>
          <w:rFonts w:ascii="Times New Roman" w:hAnsi="Times New Roman" w:cs="Times New Roman"/>
          <w:sz w:val="24"/>
          <w:szCs w:val="24"/>
        </w:rPr>
        <w:t xml:space="preserve"> </w:t>
      </w:r>
      <w:r w:rsidR="00D721D8">
        <w:rPr>
          <w:rFonts w:ascii="Times New Roman" w:hAnsi="Times New Roman" w:cs="Times New Roman"/>
          <w:sz w:val="24"/>
          <w:szCs w:val="24"/>
        </w:rPr>
        <w:t xml:space="preserve">Hydropower </w:t>
      </w:r>
      <w:r w:rsidRPr="007B2C4B">
        <w:rPr>
          <w:rFonts w:ascii="Times New Roman" w:hAnsi="Times New Roman" w:cs="Times New Roman"/>
          <w:sz w:val="24"/>
          <w:szCs w:val="24"/>
        </w:rPr>
        <w:t xml:space="preserve">could solve the country’s </w:t>
      </w:r>
      <w:r>
        <w:rPr>
          <w:rFonts w:ascii="Times New Roman" w:hAnsi="Times New Roman" w:cs="Times New Roman"/>
          <w:sz w:val="24"/>
          <w:szCs w:val="24"/>
        </w:rPr>
        <w:t xml:space="preserve">serious </w:t>
      </w:r>
      <w:r w:rsidRPr="007B2C4B">
        <w:rPr>
          <w:rFonts w:ascii="Times New Roman" w:hAnsi="Times New Roman" w:cs="Times New Roman"/>
          <w:sz w:val="24"/>
          <w:szCs w:val="24"/>
        </w:rPr>
        <w:t xml:space="preserve">energy poverty. The estimated </w:t>
      </w:r>
      <w:r>
        <w:rPr>
          <w:rFonts w:ascii="Times New Roman" w:hAnsi="Times New Roman" w:cs="Times New Roman"/>
          <w:sz w:val="24"/>
          <w:szCs w:val="24"/>
        </w:rPr>
        <w:t xml:space="preserve">potential </w:t>
      </w:r>
      <w:r w:rsidRPr="007B2C4B">
        <w:rPr>
          <w:rFonts w:ascii="Times New Roman" w:hAnsi="Times New Roman" w:cs="Times New Roman"/>
          <w:sz w:val="24"/>
          <w:szCs w:val="24"/>
        </w:rPr>
        <w:t>capacity is more than ten times the current total electricity generating capacity from all sources</w:t>
      </w:r>
      <w:r w:rsidR="0072141B">
        <w:rPr>
          <w:rFonts w:ascii="Times New Roman" w:hAnsi="Times New Roman" w:cs="Times New Roman"/>
          <w:sz w:val="24"/>
          <w:szCs w:val="24"/>
        </w:rPr>
        <w:t xml:space="preserve"> combined</w:t>
      </w:r>
      <w:r w:rsidRPr="007B2C4B">
        <w:rPr>
          <w:rFonts w:ascii="Times New Roman" w:hAnsi="Times New Roman" w:cs="Times New Roman"/>
          <w:sz w:val="24"/>
          <w:szCs w:val="24"/>
        </w:rPr>
        <w:t>, including fossil fuel and renewable energy (Dapice, 2015). Table 1 presents Myanmar</w:t>
      </w:r>
      <w:r w:rsidR="00D721D8">
        <w:rPr>
          <w:rFonts w:ascii="Times New Roman" w:hAnsi="Times New Roman" w:cs="Times New Roman"/>
          <w:sz w:val="24"/>
          <w:szCs w:val="24"/>
        </w:rPr>
        <w:t>’s</w:t>
      </w:r>
      <w:r w:rsidRPr="007B2C4B">
        <w:rPr>
          <w:rFonts w:ascii="Times New Roman" w:hAnsi="Times New Roman" w:cs="Times New Roman"/>
          <w:sz w:val="24"/>
          <w:szCs w:val="24"/>
        </w:rPr>
        <w:t xml:space="preserve"> energy balance projection. </w:t>
      </w:r>
      <w:r>
        <w:rPr>
          <w:rFonts w:ascii="Times New Roman" w:hAnsi="Times New Roman" w:cs="Times New Roman"/>
          <w:sz w:val="24"/>
          <w:szCs w:val="24"/>
        </w:rPr>
        <w:t>The h</w:t>
      </w:r>
      <w:r w:rsidRPr="007B2C4B">
        <w:rPr>
          <w:rFonts w:ascii="Times New Roman" w:hAnsi="Times New Roman" w:cs="Times New Roman"/>
          <w:sz w:val="24"/>
          <w:szCs w:val="24"/>
        </w:rPr>
        <w:t xml:space="preserve">ydropower sector in Myanmar is still </w:t>
      </w:r>
      <w:r>
        <w:rPr>
          <w:rFonts w:ascii="Times New Roman" w:hAnsi="Times New Roman" w:cs="Times New Roman"/>
          <w:sz w:val="24"/>
          <w:szCs w:val="24"/>
        </w:rPr>
        <w:t xml:space="preserve">at an </w:t>
      </w:r>
      <w:r w:rsidRPr="007B2C4B">
        <w:rPr>
          <w:rFonts w:ascii="Times New Roman" w:hAnsi="Times New Roman" w:cs="Times New Roman"/>
          <w:sz w:val="24"/>
          <w:szCs w:val="24"/>
        </w:rPr>
        <w:t>early stage of development with only about 3298 MW installed capacity from 29 small-scale projects (10 MW)</w:t>
      </w:r>
      <w:r>
        <w:rPr>
          <w:rFonts w:ascii="Times New Roman" w:hAnsi="Times New Roman" w:cs="Times New Roman"/>
          <w:sz w:val="24"/>
          <w:szCs w:val="24"/>
        </w:rPr>
        <w:t>,</w:t>
      </w:r>
      <w:r w:rsidRPr="007B2C4B">
        <w:rPr>
          <w:rFonts w:ascii="Times New Roman" w:hAnsi="Times New Roman" w:cs="Times New Roman"/>
          <w:sz w:val="24"/>
          <w:szCs w:val="24"/>
        </w:rPr>
        <w:t xml:space="preserve"> account</w:t>
      </w:r>
      <w:r>
        <w:rPr>
          <w:rFonts w:ascii="Times New Roman" w:hAnsi="Times New Roman" w:cs="Times New Roman"/>
          <w:sz w:val="24"/>
          <w:szCs w:val="24"/>
        </w:rPr>
        <w:t>ing</w:t>
      </w:r>
      <w:r w:rsidRPr="007B2C4B">
        <w:rPr>
          <w:rFonts w:ascii="Times New Roman" w:hAnsi="Times New Roman" w:cs="Times New Roman"/>
          <w:sz w:val="24"/>
          <w:szCs w:val="24"/>
        </w:rPr>
        <w:t xml:space="preserve"> for 58% of national energy supply as of 2018 (Porter, 2018). In recent years, the government has identified 92 potential projects to harness the full potential of the sector (</w:t>
      </w:r>
      <w:r w:rsidRPr="002C19DB">
        <w:rPr>
          <w:rFonts w:ascii="Times New Roman" w:hAnsi="Times New Roman" w:cs="Times New Roman"/>
          <w:sz w:val="24"/>
          <w:szCs w:val="24"/>
        </w:rPr>
        <w:t>Han,</w:t>
      </w:r>
      <w:r w:rsidRPr="007B2C4B">
        <w:rPr>
          <w:rFonts w:ascii="Times New Roman" w:hAnsi="Times New Roman" w:cs="Times New Roman"/>
          <w:sz w:val="24"/>
          <w:szCs w:val="24"/>
        </w:rPr>
        <w:t xml:space="preserve"> 2018). Six projects with a total installed capacity of 1564MW are under construction and a total of 43848 MW capacity is proposed for 69 small- and large-scale projects nationwide, including six mega-dams with over 2000 MW capacity each and seven dams above 1000 MW capacity</w:t>
      </w:r>
      <w:r>
        <w:rPr>
          <w:rFonts w:ascii="Times New Roman" w:hAnsi="Times New Roman" w:cs="Times New Roman"/>
          <w:sz w:val="24"/>
          <w:szCs w:val="24"/>
        </w:rPr>
        <w:t xml:space="preserve"> each</w:t>
      </w:r>
      <w:r w:rsidRPr="007B2C4B">
        <w:rPr>
          <w:rFonts w:ascii="Times New Roman" w:hAnsi="Times New Roman" w:cs="Times New Roman"/>
          <w:sz w:val="24"/>
          <w:szCs w:val="24"/>
        </w:rPr>
        <w:t xml:space="preserve">. Approximately 64% of </w:t>
      </w:r>
      <w:r>
        <w:rPr>
          <w:rFonts w:ascii="Times New Roman" w:hAnsi="Times New Roman" w:cs="Times New Roman"/>
          <w:sz w:val="24"/>
          <w:szCs w:val="24"/>
        </w:rPr>
        <w:t xml:space="preserve">all </w:t>
      </w:r>
      <w:r w:rsidRPr="007B2C4B">
        <w:rPr>
          <w:rFonts w:ascii="Times New Roman" w:hAnsi="Times New Roman" w:cs="Times New Roman"/>
          <w:sz w:val="24"/>
          <w:szCs w:val="24"/>
        </w:rPr>
        <w:t>projects are located in the Ayeyarwady river basin and 25% in the Sittaung river basin</w:t>
      </w:r>
      <w:r w:rsidR="002C19DB">
        <w:rPr>
          <w:rFonts w:ascii="Times New Roman" w:hAnsi="Times New Roman" w:cs="Times New Roman"/>
          <w:sz w:val="24"/>
          <w:szCs w:val="24"/>
        </w:rPr>
        <w:t xml:space="preserve"> </w:t>
      </w:r>
      <w:r w:rsidR="002C19DB">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{"citationItems":[{"id":"ITEM-1","itemData":{"DOI":"10.1080/07900627.2016.1179176","ISSN":"13600648","abstract":"© 2016 Informa UK Limited, trading as Taylor  &amp;  Francis Group. Scholars investigating activism against large dam developments in Asia usually focus on those campaigning, but not on those the campaigns are aimed at–the dam developers. Yet the developers’ perspective is crucial to comprehensively understand the dynamics of social and environmental activism in South-East Asia as well as its implications for the region’s energy landscape. This article analyzes the interplay of activists and Chinese dam developers in Myanmar via case studies of the Myitsone Dam and the Mong Ton Dam. The research is based on direct scholarly interaction with both activists and dam developers. It presents evidence of change from both sides: activists have professionalized in recent years; and Chinese dam developers now attempt to engage with civil society, albeit with limited success in the two cases studied. Yet, even with these changes, conflict over dam development persists, and the country may soon face severe limitations on development options for improving energy security. The case of Bhutan is also discussed to illustrate the potential of developing Myanmar’s hydropower resources.","author":[{"dropping-particle":"","family":"Kirchherr","given":"Julian","non-dropping-particle":"","parse-names":false,"suffix":""},{"dropping-particle":"","family":"J. Charles","given":"Katrina","non-dropping-particle":"","parse-names":false,"suffix":""},{"dropping-particle":"","family":"Walton","given":"Matthew J.","non-dropping-particle":"","parse-names":false,"suffix":""}],"container-title":"International Journal of Water Resources Development","id":"ITEM-1","issue":"1","issued":{"date-parts":[["2017"]]},"page":"111-131","publisher":"Routledge","title":"The interplay of activists and dam developers: the case of Myanmar’s mega-dams","type":"article-journal","volume":"33"},"uris":["http://www.mendeley.com/documents/?uuid=8a53e017-0cbf-44c6-8019-e8b391ee72e5"]}],"mendeley":{"formattedCitation":"(Kirchherr et al., 2017)","plainTextFormattedCitation":"(Kirchherr et al., 2017)","previouslyFormattedCitation":"(Kirchherr et al., 2017)"},"properties":{"noteIndex":0},"schema":"https://github.com/citation-style-language/schema/raw/master/csl-citation.json"}</w:instrText>
      </w:r>
      <w:r w:rsidR="002C19DB">
        <w:rPr>
          <w:rFonts w:ascii="Times New Roman" w:hAnsi="Times New Roman" w:cs="Times New Roman"/>
          <w:sz w:val="24"/>
          <w:szCs w:val="24"/>
        </w:rPr>
        <w:fldChar w:fldCharType="separate"/>
      </w:r>
      <w:r w:rsidR="00AE02EE" w:rsidRPr="00AE02EE">
        <w:rPr>
          <w:rFonts w:ascii="Times New Roman" w:hAnsi="Times New Roman" w:cs="Times New Roman"/>
          <w:noProof/>
          <w:sz w:val="24"/>
          <w:szCs w:val="24"/>
        </w:rPr>
        <w:t>(Kirchherr et al., 2017)</w:t>
      </w:r>
      <w:r w:rsidR="002C19DB">
        <w:rPr>
          <w:rFonts w:ascii="Times New Roman" w:hAnsi="Times New Roman" w:cs="Times New Roman"/>
          <w:sz w:val="24"/>
          <w:szCs w:val="24"/>
        </w:rPr>
        <w:fldChar w:fldCharType="end"/>
      </w:r>
      <w:r w:rsidRPr="007B2C4B">
        <w:rPr>
          <w:rFonts w:ascii="Times New Roman" w:hAnsi="Times New Roman" w:cs="Times New Roman"/>
          <w:sz w:val="24"/>
          <w:szCs w:val="24"/>
        </w:rPr>
        <w:t xml:space="preserve">. </w:t>
      </w:r>
    </w:p>
    <w:p w14:paraId="00281CB4" w14:textId="1DE1C7B6" w:rsidR="00D721D8" w:rsidRDefault="00D721D8">
      <w:pPr>
        <w:rPr>
          <w:rFonts w:ascii="Times New Roman" w:hAnsi="Times New Roman" w:cs="Times New Roman"/>
          <w:sz w:val="24"/>
          <w:szCs w:val="24"/>
        </w:rPr>
      </w:pPr>
      <w:r>
        <w:rPr>
          <w:rFonts w:ascii="Times New Roman" w:hAnsi="Times New Roman" w:cs="Times New Roman"/>
          <w:sz w:val="24"/>
          <w:szCs w:val="24"/>
        </w:rPr>
        <w:br w:type="page"/>
      </w:r>
    </w:p>
    <w:p w14:paraId="79B74BEF" w14:textId="77777777" w:rsidR="00D721D8" w:rsidRDefault="00D721D8" w:rsidP="004F2BB1">
      <w:pPr>
        <w:spacing w:line="240" w:lineRule="auto"/>
        <w:rPr>
          <w:rFonts w:ascii="Times New Roman" w:hAnsi="Times New Roman" w:cs="Times New Roman"/>
          <w:sz w:val="24"/>
          <w:szCs w:val="24"/>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9"/>
        <w:gridCol w:w="809"/>
        <w:gridCol w:w="809"/>
        <w:gridCol w:w="809"/>
        <w:gridCol w:w="809"/>
        <w:gridCol w:w="809"/>
        <w:gridCol w:w="809"/>
        <w:gridCol w:w="984"/>
        <w:gridCol w:w="1749"/>
      </w:tblGrid>
      <w:tr w:rsidR="008C4ADA" w:rsidRPr="00255422" w14:paraId="6FFB0F76" w14:textId="77777777" w:rsidTr="00305105">
        <w:trPr>
          <w:trHeight w:val="300"/>
        </w:trPr>
        <w:tc>
          <w:tcPr>
            <w:tcW w:w="1429" w:type="dxa"/>
            <w:tcBorders>
              <w:top w:val="single" w:sz="4" w:space="0" w:color="auto"/>
              <w:bottom w:val="single" w:sz="4" w:space="0" w:color="auto"/>
            </w:tcBorders>
            <w:noWrap/>
            <w:hideMark/>
          </w:tcPr>
          <w:p w14:paraId="575A6E66"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Categories</w:t>
            </w:r>
          </w:p>
        </w:tc>
        <w:tc>
          <w:tcPr>
            <w:tcW w:w="809" w:type="dxa"/>
            <w:tcBorders>
              <w:top w:val="single" w:sz="4" w:space="0" w:color="auto"/>
              <w:bottom w:val="single" w:sz="4" w:space="0" w:color="auto"/>
            </w:tcBorders>
            <w:noWrap/>
            <w:hideMark/>
          </w:tcPr>
          <w:p w14:paraId="434A1AB1"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2012</w:t>
            </w:r>
          </w:p>
        </w:tc>
        <w:tc>
          <w:tcPr>
            <w:tcW w:w="809" w:type="dxa"/>
            <w:tcBorders>
              <w:top w:val="single" w:sz="4" w:space="0" w:color="auto"/>
              <w:bottom w:val="single" w:sz="4" w:space="0" w:color="auto"/>
            </w:tcBorders>
            <w:noWrap/>
            <w:hideMark/>
          </w:tcPr>
          <w:p w14:paraId="0CEED7C3"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2015</w:t>
            </w:r>
          </w:p>
        </w:tc>
        <w:tc>
          <w:tcPr>
            <w:tcW w:w="809" w:type="dxa"/>
            <w:tcBorders>
              <w:top w:val="single" w:sz="4" w:space="0" w:color="auto"/>
              <w:bottom w:val="single" w:sz="4" w:space="0" w:color="auto"/>
            </w:tcBorders>
            <w:noWrap/>
            <w:hideMark/>
          </w:tcPr>
          <w:p w14:paraId="41D8170D"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2018</w:t>
            </w:r>
          </w:p>
        </w:tc>
        <w:tc>
          <w:tcPr>
            <w:tcW w:w="809" w:type="dxa"/>
            <w:tcBorders>
              <w:top w:val="single" w:sz="4" w:space="0" w:color="auto"/>
              <w:bottom w:val="single" w:sz="4" w:space="0" w:color="auto"/>
            </w:tcBorders>
            <w:noWrap/>
            <w:hideMark/>
          </w:tcPr>
          <w:p w14:paraId="19F924F1"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2012</w:t>
            </w:r>
          </w:p>
        </w:tc>
        <w:tc>
          <w:tcPr>
            <w:tcW w:w="809" w:type="dxa"/>
            <w:tcBorders>
              <w:top w:val="single" w:sz="4" w:space="0" w:color="auto"/>
              <w:bottom w:val="single" w:sz="4" w:space="0" w:color="auto"/>
            </w:tcBorders>
            <w:noWrap/>
            <w:hideMark/>
          </w:tcPr>
          <w:p w14:paraId="060AF584"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2024</w:t>
            </w:r>
          </w:p>
        </w:tc>
        <w:tc>
          <w:tcPr>
            <w:tcW w:w="809" w:type="dxa"/>
            <w:tcBorders>
              <w:top w:val="single" w:sz="4" w:space="0" w:color="auto"/>
              <w:bottom w:val="single" w:sz="4" w:space="0" w:color="auto"/>
            </w:tcBorders>
            <w:noWrap/>
            <w:hideMark/>
          </w:tcPr>
          <w:p w14:paraId="6D7972C3"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2027</w:t>
            </w:r>
          </w:p>
        </w:tc>
        <w:tc>
          <w:tcPr>
            <w:tcW w:w="984" w:type="dxa"/>
            <w:tcBorders>
              <w:top w:val="single" w:sz="4" w:space="0" w:color="auto"/>
              <w:bottom w:val="single" w:sz="4" w:space="0" w:color="auto"/>
            </w:tcBorders>
            <w:noWrap/>
            <w:hideMark/>
          </w:tcPr>
          <w:p w14:paraId="67348A50"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2030</w:t>
            </w:r>
          </w:p>
        </w:tc>
        <w:tc>
          <w:tcPr>
            <w:tcW w:w="1749" w:type="dxa"/>
            <w:tcBorders>
              <w:top w:val="single" w:sz="4" w:space="0" w:color="auto"/>
              <w:bottom w:val="single" w:sz="4" w:space="0" w:color="auto"/>
            </w:tcBorders>
            <w:noWrap/>
            <w:hideMark/>
          </w:tcPr>
          <w:p w14:paraId="65AB196B"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Total Share (%) 2018</w:t>
            </w:r>
          </w:p>
        </w:tc>
      </w:tr>
      <w:tr w:rsidR="008C4ADA" w:rsidRPr="00255422" w14:paraId="4AE043B0" w14:textId="77777777" w:rsidTr="00305105">
        <w:trPr>
          <w:trHeight w:val="300"/>
        </w:trPr>
        <w:tc>
          <w:tcPr>
            <w:tcW w:w="1429" w:type="dxa"/>
            <w:tcBorders>
              <w:top w:val="single" w:sz="4" w:space="0" w:color="auto"/>
            </w:tcBorders>
            <w:noWrap/>
            <w:hideMark/>
          </w:tcPr>
          <w:p w14:paraId="0D8D09CC"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Hydropower</w:t>
            </w:r>
          </w:p>
        </w:tc>
        <w:tc>
          <w:tcPr>
            <w:tcW w:w="809" w:type="dxa"/>
            <w:tcBorders>
              <w:top w:val="single" w:sz="4" w:space="0" w:color="auto"/>
            </w:tcBorders>
            <w:noWrap/>
            <w:hideMark/>
          </w:tcPr>
          <w:p w14:paraId="76BD882F"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0.7</w:t>
            </w:r>
          </w:p>
        </w:tc>
        <w:tc>
          <w:tcPr>
            <w:tcW w:w="809" w:type="dxa"/>
            <w:tcBorders>
              <w:top w:val="single" w:sz="4" w:space="0" w:color="auto"/>
            </w:tcBorders>
            <w:noWrap/>
            <w:hideMark/>
          </w:tcPr>
          <w:p w14:paraId="601E724D"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0.8</w:t>
            </w:r>
          </w:p>
        </w:tc>
        <w:tc>
          <w:tcPr>
            <w:tcW w:w="809" w:type="dxa"/>
            <w:tcBorders>
              <w:top w:val="single" w:sz="4" w:space="0" w:color="auto"/>
            </w:tcBorders>
            <w:noWrap/>
            <w:hideMark/>
          </w:tcPr>
          <w:p w14:paraId="0B13DE4D"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0.9</w:t>
            </w:r>
          </w:p>
        </w:tc>
        <w:tc>
          <w:tcPr>
            <w:tcW w:w="809" w:type="dxa"/>
            <w:tcBorders>
              <w:top w:val="single" w:sz="4" w:space="0" w:color="auto"/>
            </w:tcBorders>
            <w:noWrap/>
            <w:hideMark/>
          </w:tcPr>
          <w:p w14:paraId="1443D9C9"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1.6</w:t>
            </w:r>
          </w:p>
        </w:tc>
        <w:tc>
          <w:tcPr>
            <w:tcW w:w="809" w:type="dxa"/>
            <w:tcBorders>
              <w:top w:val="single" w:sz="4" w:space="0" w:color="auto"/>
            </w:tcBorders>
            <w:noWrap/>
            <w:hideMark/>
          </w:tcPr>
          <w:p w14:paraId="0A06B523"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1.9</w:t>
            </w:r>
          </w:p>
        </w:tc>
        <w:tc>
          <w:tcPr>
            <w:tcW w:w="809" w:type="dxa"/>
            <w:tcBorders>
              <w:top w:val="single" w:sz="4" w:space="0" w:color="auto"/>
            </w:tcBorders>
            <w:noWrap/>
            <w:hideMark/>
          </w:tcPr>
          <w:p w14:paraId="3E5FAD46"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2.5</w:t>
            </w:r>
          </w:p>
        </w:tc>
        <w:tc>
          <w:tcPr>
            <w:tcW w:w="984" w:type="dxa"/>
            <w:tcBorders>
              <w:top w:val="single" w:sz="4" w:space="0" w:color="auto"/>
            </w:tcBorders>
            <w:noWrap/>
            <w:hideMark/>
          </w:tcPr>
          <w:p w14:paraId="77871AB0"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2.8</w:t>
            </w:r>
          </w:p>
        </w:tc>
        <w:tc>
          <w:tcPr>
            <w:tcW w:w="1749" w:type="dxa"/>
            <w:tcBorders>
              <w:top w:val="single" w:sz="4" w:space="0" w:color="auto"/>
            </w:tcBorders>
            <w:noWrap/>
            <w:hideMark/>
          </w:tcPr>
          <w:p w14:paraId="1517BDFD"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5.7</w:t>
            </w:r>
          </w:p>
        </w:tc>
      </w:tr>
      <w:tr w:rsidR="008C4ADA" w:rsidRPr="00255422" w14:paraId="01FF9E3A" w14:textId="77777777" w:rsidTr="00305105">
        <w:trPr>
          <w:trHeight w:val="300"/>
        </w:trPr>
        <w:tc>
          <w:tcPr>
            <w:tcW w:w="1429" w:type="dxa"/>
            <w:noWrap/>
            <w:hideMark/>
          </w:tcPr>
          <w:p w14:paraId="18919A4C"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Solar PV &amp; Wind</w:t>
            </w:r>
          </w:p>
        </w:tc>
        <w:tc>
          <w:tcPr>
            <w:tcW w:w="809" w:type="dxa"/>
            <w:noWrap/>
            <w:hideMark/>
          </w:tcPr>
          <w:p w14:paraId="24D9038B"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0</w:t>
            </w:r>
          </w:p>
        </w:tc>
        <w:tc>
          <w:tcPr>
            <w:tcW w:w="809" w:type="dxa"/>
            <w:noWrap/>
            <w:hideMark/>
          </w:tcPr>
          <w:p w14:paraId="3469AC3C"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0</w:t>
            </w:r>
          </w:p>
        </w:tc>
        <w:tc>
          <w:tcPr>
            <w:tcW w:w="809" w:type="dxa"/>
            <w:noWrap/>
            <w:hideMark/>
          </w:tcPr>
          <w:p w14:paraId="5501513D"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0</w:t>
            </w:r>
          </w:p>
        </w:tc>
        <w:tc>
          <w:tcPr>
            <w:tcW w:w="809" w:type="dxa"/>
            <w:noWrap/>
            <w:hideMark/>
          </w:tcPr>
          <w:p w14:paraId="2E966A07"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0</w:t>
            </w:r>
          </w:p>
        </w:tc>
        <w:tc>
          <w:tcPr>
            <w:tcW w:w="809" w:type="dxa"/>
            <w:noWrap/>
            <w:hideMark/>
          </w:tcPr>
          <w:p w14:paraId="5B6E525A"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0</w:t>
            </w:r>
          </w:p>
        </w:tc>
        <w:tc>
          <w:tcPr>
            <w:tcW w:w="809" w:type="dxa"/>
            <w:noWrap/>
            <w:hideMark/>
          </w:tcPr>
          <w:p w14:paraId="325A2F4C"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0</w:t>
            </w:r>
          </w:p>
        </w:tc>
        <w:tc>
          <w:tcPr>
            <w:tcW w:w="984" w:type="dxa"/>
            <w:noWrap/>
            <w:hideMark/>
          </w:tcPr>
          <w:p w14:paraId="48D53FF7"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0</w:t>
            </w:r>
          </w:p>
        </w:tc>
        <w:tc>
          <w:tcPr>
            <w:tcW w:w="1749" w:type="dxa"/>
            <w:noWrap/>
            <w:hideMark/>
          </w:tcPr>
          <w:p w14:paraId="3803B9E7"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0</w:t>
            </w:r>
          </w:p>
        </w:tc>
      </w:tr>
      <w:tr w:rsidR="008C4ADA" w:rsidRPr="00255422" w14:paraId="6F90389B" w14:textId="77777777" w:rsidTr="00305105">
        <w:trPr>
          <w:trHeight w:val="300"/>
        </w:trPr>
        <w:tc>
          <w:tcPr>
            <w:tcW w:w="1429" w:type="dxa"/>
            <w:noWrap/>
            <w:hideMark/>
          </w:tcPr>
          <w:p w14:paraId="4665B93D"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Gas</w:t>
            </w:r>
          </w:p>
        </w:tc>
        <w:tc>
          <w:tcPr>
            <w:tcW w:w="809" w:type="dxa"/>
            <w:noWrap/>
            <w:hideMark/>
          </w:tcPr>
          <w:p w14:paraId="47802C68"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13</w:t>
            </w:r>
          </w:p>
        </w:tc>
        <w:tc>
          <w:tcPr>
            <w:tcW w:w="809" w:type="dxa"/>
            <w:noWrap/>
            <w:hideMark/>
          </w:tcPr>
          <w:p w14:paraId="1B347B0F"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16.6</w:t>
            </w:r>
          </w:p>
        </w:tc>
        <w:tc>
          <w:tcPr>
            <w:tcW w:w="809" w:type="dxa"/>
            <w:noWrap/>
            <w:hideMark/>
          </w:tcPr>
          <w:p w14:paraId="4761A9CB"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15.7</w:t>
            </w:r>
          </w:p>
        </w:tc>
        <w:tc>
          <w:tcPr>
            <w:tcW w:w="809" w:type="dxa"/>
            <w:noWrap/>
            <w:hideMark/>
          </w:tcPr>
          <w:p w14:paraId="08BBA532"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12.8</w:t>
            </w:r>
          </w:p>
        </w:tc>
        <w:tc>
          <w:tcPr>
            <w:tcW w:w="809" w:type="dxa"/>
            <w:noWrap/>
            <w:hideMark/>
          </w:tcPr>
          <w:p w14:paraId="21BD177A"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11.3</w:t>
            </w:r>
          </w:p>
        </w:tc>
        <w:tc>
          <w:tcPr>
            <w:tcW w:w="809" w:type="dxa"/>
            <w:noWrap/>
            <w:hideMark/>
          </w:tcPr>
          <w:p w14:paraId="6E3A7284"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9.1</w:t>
            </w:r>
          </w:p>
        </w:tc>
        <w:tc>
          <w:tcPr>
            <w:tcW w:w="984" w:type="dxa"/>
            <w:noWrap/>
            <w:hideMark/>
          </w:tcPr>
          <w:p w14:paraId="534831EE"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8.5</w:t>
            </w:r>
          </w:p>
        </w:tc>
        <w:tc>
          <w:tcPr>
            <w:tcW w:w="1749" w:type="dxa"/>
            <w:noWrap/>
            <w:hideMark/>
          </w:tcPr>
          <w:p w14:paraId="13B05A98"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13.5</w:t>
            </w:r>
          </w:p>
        </w:tc>
      </w:tr>
      <w:tr w:rsidR="008C4ADA" w:rsidRPr="00255422" w14:paraId="3223C3C5" w14:textId="77777777" w:rsidTr="00305105">
        <w:trPr>
          <w:trHeight w:val="300"/>
        </w:trPr>
        <w:tc>
          <w:tcPr>
            <w:tcW w:w="1429" w:type="dxa"/>
            <w:noWrap/>
            <w:hideMark/>
          </w:tcPr>
          <w:p w14:paraId="0AD885C7"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Coal</w:t>
            </w:r>
          </w:p>
        </w:tc>
        <w:tc>
          <w:tcPr>
            <w:tcW w:w="809" w:type="dxa"/>
            <w:noWrap/>
            <w:hideMark/>
          </w:tcPr>
          <w:p w14:paraId="2F90D353"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0.2</w:t>
            </w:r>
          </w:p>
        </w:tc>
        <w:tc>
          <w:tcPr>
            <w:tcW w:w="809" w:type="dxa"/>
            <w:noWrap/>
            <w:hideMark/>
          </w:tcPr>
          <w:p w14:paraId="6207DB2F"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0.3</w:t>
            </w:r>
          </w:p>
        </w:tc>
        <w:tc>
          <w:tcPr>
            <w:tcW w:w="809" w:type="dxa"/>
            <w:noWrap/>
            <w:hideMark/>
          </w:tcPr>
          <w:p w14:paraId="62709794"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0.5</w:t>
            </w:r>
          </w:p>
        </w:tc>
        <w:tc>
          <w:tcPr>
            <w:tcW w:w="809" w:type="dxa"/>
            <w:noWrap/>
            <w:hideMark/>
          </w:tcPr>
          <w:p w14:paraId="1473EC20"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0.7</w:t>
            </w:r>
          </w:p>
        </w:tc>
        <w:tc>
          <w:tcPr>
            <w:tcW w:w="809" w:type="dxa"/>
            <w:noWrap/>
            <w:hideMark/>
          </w:tcPr>
          <w:p w14:paraId="3E36358E"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0.8</w:t>
            </w:r>
          </w:p>
        </w:tc>
        <w:tc>
          <w:tcPr>
            <w:tcW w:w="809" w:type="dxa"/>
            <w:noWrap/>
            <w:hideMark/>
          </w:tcPr>
          <w:p w14:paraId="40B16FB0"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1.1</w:t>
            </w:r>
          </w:p>
        </w:tc>
        <w:tc>
          <w:tcPr>
            <w:tcW w:w="984" w:type="dxa"/>
            <w:noWrap/>
            <w:hideMark/>
          </w:tcPr>
          <w:p w14:paraId="72168A60"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1.3</w:t>
            </w:r>
          </w:p>
        </w:tc>
        <w:tc>
          <w:tcPr>
            <w:tcW w:w="1749" w:type="dxa"/>
            <w:noWrap/>
            <w:hideMark/>
          </w:tcPr>
          <w:p w14:paraId="65C7841A"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3.3</w:t>
            </w:r>
          </w:p>
        </w:tc>
      </w:tr>
      <w:tr w:rsidR="008C4ADA" w:rsidRPr="00255422" w14:paraId="22EE9C22" w14:textId="77777777" w:rsidTr="00305105">
        <w:trPr>
          <w:trHeight w:val="300"/>
        </w:trPr>
        <w:tc>
          <w:tcPr>
            <w:tcW w:w="1429" w:type="dxa"/>
            <w:noWrap/>
            <w:hideMark/>
          </w:tcPr>
          <w:p w14:paraId="211A2CBE"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Oil</w:t>
            </w:r>
          </w:p>
        </w:tc>
        <w:tc>
          <w:tcPr>
            <w:tcW w:w="809" w:type="dxa"/>
            <w:noWrap/>
            <w:hideMark/>
          </w:tcPr>
          <w:p w14:paraId="04333624"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w:t>
            </w:r>
          </w:p>
        </w:tc>
        <w:tc>
          <w:tcPr>
            <w:tcW w:w="809" w:type="dxa"/>
            <w:noWrap/>
            <w:hideMark/>
          </w:tcPr>
          <w:p w14:paraId="3BB0B0A3"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w:t>
            </w:r>
          </w:p>
        </w:tc>
        <w:tc>
          <w:tcPr>
            <w:tcW w:w="809" w:type="dxa"/>
            <w:noWrap/>
            <w:hideMark/>
          </w:tcPr>
          <w:p w14:paraId="0475217A"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1.5</w:t>
            </w:r>
          </w:p>
        </w:tc>
        <w:tc>
          <w:tcPr>
            <w:tcW w:w="809" w:type="dxa"/>
            <w:noWrap/>
            <w:hideMark/>
          </w:tcPr>
          <w:p w14:paraId="1C920B02"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2.2</w:t>
            </w:r>
          </w:p>
        </w:tc>
        <w:tc>
          <w:tcPr>
            <w:tcW w:w="809" w:type="dxa"/>
            <w:noWrap/>
            <w:hideMark/>
          </w:tcPr>
          <w:p w14:paraId="29BCFC5B"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3.5</w:t>
            </w:r>
          </w:p>
        </w:tc>
        <w:tc>
          <w:tcPr>
            <w:tcW w:w="809" w:type="dxa"/>
            <w:noWrap/>
            <w:hideMark/>
          </w:tcPr>
          <w:p w14:paraId="522A047A"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3.6</w:t>
            </w:r>
          </w:p>
        </w:tc>
        <w:tc>
          <w:tcPr>
            <w:tcW w:w="984" w:type="dxa"/>
            <w:noWrap/>
            <w:hideMark/>
          </w:tcPr>
          <w:p w14:paraId="30FA98DC"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3.6</w:t>
            </w:r>
          </w:p>
        </w:tc>
        <w:tc>
          <w:tcPr>
            <w:tcW w:w="1749" w:type="dxa"/>
            <w:noWrap/>
            <w:hideMark/>
          </w:tcPr>
          <w:p w14:paraId="18C6EFEA"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22.9</w:t>
            </w:r>
          </w:p>
        </w:tc>
      </w:tr>
      <w:tr w:rsidR="008C4ADA" w:rsidRPr="00255422" w14:paraId="3E59AF14" w14:textId="77777777" w:rsidTr="00305105">
        <w:trPr>
          <w:trHeight w:val="300"/>
        </w:trPr>
        <w:tc>
          <w:tcPr>
            <w:tcW w:w="1429" w:type="dxa"/>
            <w:noWrap/>
            <w:hideMark/>
          </w:tcPr>
          <w:p w14:paraId="36E879B4"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Biomass Type II</w:t>
            </w:r>
          </w:p>
        </w:tc>
        <w:tc>
          <w:tcPr>
            <w:tcW w:w="809" w:type="dxa"/>
            <w:noWrap/>
            <w:hideMark/>
          </w:tcPr>
          <w:p w14:paraId="0F91AE75"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8.8</w:t>
            </w:r>
          </w:p>
        </w:tc>
        <w:tc>
          <w:tcPr>
            <w:tcW w:w="809" w:type="dxa"/>
            <w:noWrap/>
            <w:hideMark/>
          </w:tcPr>
          <w:p w14:paraId="62DE7D97"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8.9</w:t>
            </w:r>
          </w:p>
        </w:tc>
        <w:tc>
          <w:tcPr>
            <w:tcW w:w="809" w:type="dxa"/>
            <w:noWrap/>
            <w:hideMark/>
          </w:tcPr>
          <w:p w14:paraId="0C8507D0"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9</w:t>
            </w:r>
          </w:p>
        </w:tc>
        <w:tc>
          <w:tcPr>
            <w:tcW w:w="809" w:type="dxa"/>
            <w:noWrap/>
            <w:hideMark/>
          </w:tcPr>
          <w:p w14:paraId="66897700"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9</w:t>
            </w:r>
          </w:p>
        </w:tc>
        <w:tc>
          <w:tcPr>
            <w:tcW w:w="809" w:type="dxa"/>
            <w:noWrap/>
            <w:hideMark/>
          </w:tcPr>
          <w:p w14:paraId="42A71CEE"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8.8</w:t>
            </w:r>
          </w:p>
        </w:tc>
        <w:tc>
          <w:tcPr>
            <w:tcW w:w="809" w:type="dxa"/>
            <w:noWrap/>
            <w:hideMark/>
          </w:tcPr>
          <w:p w14:paraId="200DBFD0"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8.6</w:t>
            </w:r>
          </w:p>
        </w:tc>
        <w:tc>
          <w:tcPr>
            <w:tcW w:w="984" w:type="dxa"/>
            <w:noWrap/>
            <w:hideMark/>
          </w:tcPr>
          <w:p w14:paraId="4A8450E0"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8.4</w:t>
            </w:r>
          </w:p>
        </w:tc>
        <w:tc>
          <w:tcPr>
            <w:tcW w:w="1749" w:type="dxa"/>
            <w:noWrap/>
            <w:hideMark/>
          </w:tcPr>
          <w:p w14:paraId="511F71B3"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54.6</w:t>
            </w:r>
          </w:p>
        </w:tc>
      </w:tr>
      <w:tr w:rsidR="008C4ADA" w:rsidRPr="00255422" w14:paraId="1F188036" w14:textId="77777777" w:rsidTr="00305105">
        <w:trPr>
          <w:trHeight w:val="300"/>
        </w:trPr>
        <w:tc>
          <w:tcPr>
            <w:tcW w:w="1429" w:type="dxa"/>
            <w:noWrap/>
            <w:hideMark/>
          </w:tcPr>
          <w:p w14:paraId="119E5DF2"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Total Production</w:t>
            </w:r>
          </w:p>
        </w:tc>
        <w:tc>
          <w:tcPr>
            <w:tcW w:w="809" w:type="dxa"/>
            <w:noWrap/>
            <w:hideMark/>
          </w:tcPr>
          <w:p w14:paraId="0386D1ED"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23.7</w:t>
            </w:r>
          </w:p>
        </w:tc>
        <w:tc>
          <w:tcPr>
            <w:tcW w:w="809" w:type="dxa"/>
            <w:noWrap/>
            <w:hideMark/>
          </w:tcPr>
          <w:p w14:paraId="66302FBC"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27.5</w:t>
            </w:r>
          </w:p>
        </w:tc>
        <w:tc>
          <w:tcPr>
            <w:tcW w:w="809" w:type="dxa"/>
            <w:noWrap/>
            <w:hideMark/>
          </w:tcPr>
          <w:p w14:paraId="61A439CE"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27.7</w:t>
            </w:r>
          </w:p>
        </w:tc>
        <w:tc>
          <w:tcPr>
            <w:tcW w:w="809" w:type="dxa"/>
            <w:noWrap/>
            <w:hideMark/>
          </w:tcPr>
          <w:p w14:paraId="744A6CFF"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26.3</w:t>
            </w:r>
          </w:p>
        </w:tc>
        <w:tc>
          <w:tcPr>
            <w:tcW w:w="809" w:type="dxa"/>
            <w:noWrap/>
            <w:hideMark/>
          </w:tcPr>
          <w:p w14:paraId="664478AE"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26.4</w:t>
            </w:r>
          </w:p>
        </w:tc>
        <w:tc>
          <w:tcPr>
            <w:tcW w:w="809" w:type="dxa"/>
            <w:noWrap/>
            <w:hideMark/>
          </w:tcPr>
          <w:p w14:paraId="6BD6A9C3"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24.9</w:t>
            </w:r>
          </w:p>
        </w:tc>
        <w:tc>
          <w:tcPr>
            <w:tcW w:w="984" w:type="dxa"/>
            <w:noWrap/>
            <w:hideMark/>
          </w:tcPr>
          <w:p w14:paraId="253B9607"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25.1</w:t>
            </w:r>
          </w:p>
        </w:tc>
        <w:tc>
          <w:tcPr>
            <w:tcW w:w="1749" w:type="dxa"/>
            <w:noWrap/>
            <w:hideMark/>
          </w:tcPr>
          <w:p w14:paraId="79F74B81" w14:textId="77777777" w:rsidR="008C4ADA" w:rsidRPr="00255422" w:rsidRDefault="008C4ADA" w:rsidP="004F2BB1">
            <w:pPr>
              <w:rPr>
                <w:rFonts w:ascii="Times New Roman" w:hAnsi="Times New Roman" w:cs="Times New Roman"/>
                <w:sz w:val="16"/>
                <w:szCs w:val="16"/>
              </w:rPr>
            </w:pPr>
          </w:p>
        </w:tc>
      </w:tr>
      <w:tr w:rsidR="008C4ADA" w:rsidRPr="00255422" w14:paraId="36ECAAA3" w14:textId="77777777" w:rsidTr="00305105">
        <w:trPr>
          <w:trHeight w:val="300"/>
        </w:trPr>
        <w:tc>
          <w:tcPr>
            <w:tcW w:w="1429" w:type="dxa"/>
            <w:noWrap/>
            <w:hideMark/>
          </w:tcPr>
          <w:p w14:paraId="09FB6446"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Total Supply</w:t>
            </w:r>
          </w:p>
        </w:tc>
        <w:tc>
          <w:tcPr>
            <w:tcW w:w="809" w:type="dxa"/>
            <w:noWrap/>
            <w:hideMark/>
          </w:tcPr>
          <w:p w14:paraId="0C427DF1"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13.5</w:t>
            </w:r>
          </w:p>
        </w:tc>
        <w:tc>
          <w:tcPr>
            <w:tcW w:w="809" w:type="dxa"/>
            <w:noWrap/>
            <w:hideMark/>
          </w:tcPr>
          <w:p w14:paraId="6DE635FA"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16.2</w:t>
            </w:r>
          </w:p>
        </w:tc>
        <w:tc>
          <w:tcPr>
            <w:tcW w:w="809" w:type="dxa"/>
            <w:noWrap/>
            <w:hideMark/>
          </w:tcPr>
          <w:p w14:paraId="33B1B733"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16.5</w:t>
            </w:r>
          </w:p>
        </w:tc>
        <w:tc>
          <w:tcPr>
            <w:tcW w:w="809" w:type="dxa"/>
            <w:noWrap/>
            <w:hideMark/>
          </w:tcPr>
          <w:p w14:paraId="43CDF146"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17.6</w:t>
            </w:r>
          </w:p>
        </w:tc>
        <w:tc>
          <w:tcPr>
            <w:tcW w:w="809" w:type="dxa"/>
            <w:noWrap/>
            <w:hideMark/>
          </w:tcPr>
          <w:p w14:paraId="4EADEAC9"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20.2</w:t>
            </w:r>
          </w:p>
        </w:tc>
        <w:tc>
          <w:tcPr>
            <w:tcW w:w="809" w:type="dxa"/>
            <w:noWrap/>
            <w:hideMark/>
          </w:tcPr>
          <w:p w14:paraId="0115117E"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22.4</w:t>
            </w:r>
          </w:p>
        </w:tc>
        <w:tc>
          <w:tcPr>
            <w:tcW w:w="984" w:type="dxa"/>
            <w:noWrap/>
            <w:hideMark/>
          </w:tcPr>
          <w:p w14:paraId="204CB48A" w14:textId="77777777" w:rsidR="008C4ADA" w:rsidRPr="00255422" w:rsidRDefault="008C4ADA" w:rsidP="004F2BB1">
            <w:pPr>
              <w:rPr>
                <w:rFonts w:ascii="Times New Roman" w:hAnsi="Times New Roman" w:cs="Times New Roman"/>
                <w:sz w:val="16"/>
                <w:szCs w:val="16"/>
              </w:rPr>
            </w:pPr>
            <w:r w:rsidRPr="00255422">
              <w:rPr>
                <w:rFonts w:ascii="Times New Roman" w:hAnsi="Times New Roman" w:cs="Times New Roman"/>
                <w:sz w:val="16"/>
                <w:szCs w:val="16"/>
              </w:rPr>
              <w:t>25.6</w:t>
            </w:r>
          </w:p>
        </w:tc>
        <w:tc>
          <w:tcPr>
            <w:tcW w:w="1749" w:type="dxa"/>
            <w:noWrap/>
            <w:hideMark/>
          </w:tcPr>
          <w:p w14:paraId="39B6DA97" w14:textId="77777777" w:rsidR="008C4ADA" w:rsidRPr="00255422" w:rsidRDefault="008C4ADA" w:rsidP="004F2BB1">
            <w:pPr>
              <w:rPr>
                <w:rFonts w:ascii="Times New Roman" w:hAnsi="Times New Roman" w:cs="Times New Roman"/>
                <w:sz w:val="16"/>
                <w:szCs w:val="16"/>
              </w:rPr>
            </w:pPr>
          </w:p>
        </w:tc>
      </w:tr>
    </w:tbl>
    <w:p w14:paraId="305AEDDB" w14:textId="77777777" w:rsidR="008C4ADA" w:rsidRPr="008C4ADA" w:rsidRDefault="008C4ADA" w:rsidP="004F2BB1">
      <w:pPr>
        <w:spacing w:line="240" w:lineRule="auto"/>
        <w:rPr>
          <w:rFonts w:ascii="Times New Roman" w:hAnsi="Times New Roman" w:cs="Times New Roman"/>
          <w:sz w:val="16"/>
          <w:szCs w:val="16"/>
        </w:rPr>
      </w:pPr>
      <w:r w:rsidRPr="00D32FBF">
        <w:rPr>
          <w:rFonts w:ascii="Times New Roman" w:hAnsi="Times New Roman" w:cs="Times New Roman"/>
          <w:sz w:val="16"/>
          <w:szCs w:val="16"/>
        </w:rPr>
        <w:t xml:space="preserve">Table 1: </w:t>
      </w:r>
      <w:r>
        <w:rPr>
          <w:rFonts w:ascii="Times New Roman" w:hAnsi="Times New Roman" w:cs="Times New Roman"/>
          <w:sz w:val="16"/>
          <w:szCs w:val="16"/>
        </w:rPr>
        <w:t xml:space="preserve">Myanmar </w:t>
      </w:r>
      <w:r w:rsidRPr="00D32FBF">
        <w:rPr>
          <w:rFonts w:ascii="Times New Roman" w:hAnsi="Times New Roman" w:cs="Times New Roman"/>
          <w:sz w:val="16"/>
          <w:szCs w:val="16"/>
        </w:rPr>
        <w:t>Energy Balance Projection to 2030 (mtoe)</w:t>
      </w:r>
    </w:p>
    <w:p w14:paraId="2B63BEB4" w14:textId="69C67055" w:rsidR="00833C4D" w:rsidRDefault="00D77A78" w:rsidP="004F2BB1">
      <w:pPr>
        <w:spacing w:line="240" w:lineRule="auto"/>
        <w:ind w:firstLine="720"/>
        <w:rPr>
          <w:rFonts w:ascii="Times New Roman" w:hAnsi="Times New Roman" w:cs="Times New Roman"/>
          <w:sz w:val="24"/>
          <w:szCs w:val="24"/>
        </w:rPr>
      </w:pPr>
      <w:r w:rsidRPr="007B2C4B">
        <w:rPr>
          <w:rFonts w:ascii="Times New Roman" w:hAnsi="Times New Roman" w:cs="Times New Roman"/>
          <w:sz w:val="24"/>
          <w:szCs w:val="24"/>
        </w:rPr>
        <w:t xml:space="preserve">Myanmar has </w:t>
      </w:r>
      <w:r>
        <w:rPr>
          <w:rFonts w:ascii="Times New Roman" w:hAnsi="Times New Roman" w:cs="Times New Roman"/>
          <w:sz w:val="24"/>
          <w:szCs w:val="24"/>
        </w:rPr>
        <w:t xml:space="preserve">an </w:t>
      </w:r>
      <w:r w:rsidRPr="007B2C4B">
        <w:rPr>
          <w:rFonts w:ascii="Times New Roman" w:hAnsi="Times New Roman" w:cs="Times New Roman"/>
          <w:sz w:val="24"/>
          <w:szCs w:val="24"/>
        </w:rPr>
        <w:t xml:space="preserve">opportunity to develop the sector sustainably by harmonizing </w:t>
      </w:r>
      <w:r>
        <w:rPr>
          <w:rFonts w:ascii="Times New Roman" w:hAnsi="Times New Roman" w:cs="Times New Roman"/>
          <w:sz w:val="24"/>
          <w:szCs w:val="24"/>
        </w:rPr>
        <w:t xml:space="preserve">the </w:t>
      </w:r>
      <w:r w:rsidRPr="007B2C4B">
        <w:rPr>
          <w:rFonts w:ascii="Times New Roman" w:hAnsi="Times New Roman" w:cs="Times New Roman"/>
          <w:sz w:val="24"/>
          <w:szCs w:val="24"/>
        </w:rPr>
        <w:t>mu</w:t>
      </w:r>
      <w:r>
        <w:rPr>
          <w:rFonts w:ascii="Times New Roman" w:hAnsi="Times New Roman" w:cs="Times New Roman"/>
          <w:sz w:val="24"/>
          <w:szCs w:val="24"/>
        </w:rPr>
        <w:t>c</w:t>
      </w:r>
      <w:r w:rsidRPr="007B2C4B">
        <w:rPr>
          <w:rFonts w:ascii="Times New Roman" w:hAnsi="Times New Roman" w:cs="Times New Roman"/>
          <w:sz w:val="24"/>
          <w:szCs w:val="24"/>
        </w:rPr>
        <w:t xml:space="preserve">h needed electricity generation with </w:t>
      </w:r>
      <w:r>
        <w:rPr>
          <w:rFonts w:ascii="Times New Roman" w:hAnsi="Times New Roman" w:cs="Times New Roman"/>
          <w:sz w:val="24"/>
          <w:szCs w:val="24"/>
        </w:rPr>
        <w:t xml:space="preserve">sustainable </w:t>
      </w:r>
      <w:r w:rsidRPr="007B2C4B">
        <w:rPr>
          <w:rFonts w:ascii="Times New Roman" w:hAnsi="Times New Roman" w:cs="Times New Roman"/>
          <w:sz w:val="24"/>
          <w:szCs w:val="24"/>
        </w:rPr>
        <w:t>environmental and social outcomes</w:t>
      </w:r>
      <w:r w:rsidR="00440F41">
        <w:rPr>
          <w:rFonts w:ascii="Times New Roman" w:hAnsi="Times New Roman" w:cs="Times New Roman"/>
          <w:sz w:val="24"/>
          <w:szCs w:val="24"/>
        </w:rPr>
        <w:t xml:space="preserve"> </w:t>
      </w:r>
      <w:r w:rsidR="00440F41">
        <w:rPr>
          <w:rFonts w:ascii="Times New Roman" w:hAnsi="Times New Roman" w:cs="Times New Roman"/>
          <w:sz w:val="24"/>
          <w:szCs w:val="24"/>
        </w:rPr>
        <w:fldChar w:fldCharType="begin" w:fldLock="1"/>
      </w:r>
      <w:r w:rsidR="00547F58">
        <w:rPr>
          <w:rFonts w:ascii="Times New Roman" w:hAnsi="Times New Roman" w:cs="Times New Roman"/>
          <w:sz w:val="24"/>
          <w:szCs w:val="24"/>
        </w:rPr>
        <w:instrText>ADDIN CSL_CITATION {"citationItems":[{"id":"ITEM-1","itemData":{"author":[{"dropping-particle":"","family":"The Nature Conservancy","given":"","non-dropping-particle":"","parse-names":false,"suffix":""}],"id":"ITEM-1","issued":{"date-parts":[["2016"]]},"title":"Improving Hydropower Outcomes Through System-Scale Planning : An Example from Myanmar","type":"report"},"uris":["http://www.mendeley.com/documents/?uuid=488a2a31-da27-4823-87d6-a62f4afc31fe"]}],"mendeley":{"formattedCitation":"(The Nature Conservancy, 2016)","plainTextFormattedCitation":"(The Nature Conservancy, 2016)","previouslyFormattedCitation":"(The Nature Conservancy, 2016)"},"properties":{"noteIndex":0},"schema":"https://github.com/citation-style-language/schema/raw/master/csl-citation.json"}</w:instrText>
      </w:r>
      <w:r w:rsidR="00440F41">
        <w:rPr>
          <w:rFonts w:ascii="Times New Roman" w:hAnsi="Times New Roman" w:cs="Times New Roman"/>
          <w:sz w:val="24"/>
          <w:szCs w:val="24"/>
        </w:rPr>
        <w:fldChar w:fldCharType="separate"/>
      </w:r>
      <w:r w:rsidR="00440F41" w:rsidRPr="00440F41">
        <w:rPr>
          <w:rFonts w:ascii="Times New Roman" w:hAnsi="Times New Roman" w:cs="Times New Roman"/>
          <w:noProof/>
          <w:sz w:val="24"/>
          <w:szCs w:val="24"/>
        </w:rPr>
        <w:t>(The Nature Conservancy, 2016)</w:t>
      </w:r>
      <w:r w:rsidR="00440F41">
        <w:rPr>
          <w:rFonts w:ascii="Times New Roman" w:hAnsi="Times New Roman" w:cs="Times New Roman"/>
          <w:sz w:val="24"/>
          <w:szCs w:val="24"/>
        </w:rPr>
        <w:fldChar w:fldCharType="end"/>
      </w:r>
      <w:r w:rsidRPr="007B2C4B">
        <w:rPr>
          <w:rFonts w:ascii="Times New Roman" w:hAnsi="Times New Roman" w:cs="Times New Roman"/>
          <w:sz w:val="24"/>
          <w:szCs w:val="24"/>
        </w:rPr>
        <w:t>. However,</w:t>
      </w:r>
      <w:r>
        <w:rPr>
          <w:rFonts w:ascii="Times New Roman" w:hAnsi="Times New Roman" w:cs="Times New Roman"/>
          <w:sz w:val="24"/>
          <w:szCs w:val="24"/>
        </w:rPr>
        <w:t xml:space="preserve"> </w:t>
      </w:r>
      <w:r w:rsidRPr="007B2C4B">
        <w:rPr>
          <w:rFonts w:ascii="Times New Roman" w:hAnsi="Times New Roman" w:cs="Times New Roman"/>
          <w:sz w:val="24"/>
          <w:szCs w:val="24"/>
        </w:rPr>
        <w:t>in Myanmar</w:t>
      </w:r>
      <w:r w:rsidR="0072141B">
        <w:rPr>
          <w:rFonts w:ascii="Times New Roman" w:hAnsi="Times New Roman" w:cs="Times New Roman"/>
          <w:sz w:val="24"/>
          <w:szCs w:val="24"/>
        </w:rPr>
        <w:t>,</w:t>
      </w:r>
      <w:r w:rsidRPr="007B2C4B">
        <w:rPr>
          <w:rFonts w:ascii="Times New Roman" w:hAnsi="Times New Roman" w:cs="Times New Roman"/>
          <w:sz w:val="24"/>
          <w:szCs w:val="24"/>
        </w:rPr>
        <w:t xml:space="preserve"> hydropower projects are currently granted without the consideration for individual and cumulative impacts on river basins, other ecosystems and livelihood</w:t>
      </w:r>
      <w:r>
        <w:rPr>
          <w:rFonts w:ascii="Times New Roman" w:hAnsi="Times New Roman" w:cs="Times New Roman"/>
          <w:sz w:val="24"/>
          <w:szCs w:val="24"/>
        </w:rPr>
        <w:t>s</w:t>
      </w:r>
      <w:r w:rsidRPr="007B2C4B">
        <w:rPr>
          <w:rFonts w:ascii="Times New Roman" w:hAnsi="Times New Roman" w:cs="Times New Roman"/>
          <w:sz w:val="24"/>
          <w:szCs w:val="24"/>
        </w:rPr>
        <w:t xml:space="preserve">. Myanmar </w:t>
      </w:r>
      <w:r>
        <w:rPr>
          <w:rFonts w:ascii="Times New Roman" w:hAnsi="Times New Roman" w:cs="Times New Roman"/>
          <w:sz w:val="24"/>
          <w:szCs w:val="24"/>
        </w:rPr>
        <w:t xml:space="preserve">is </w:t>
      </w:r>
      <w:r w:rsidRPr="007B2C4B">
        <w:rPr>
          <w:rFonts w:ascii="Times New Roman" w:hAnsi="Times New Roman" w:cs="Times New Roman"/>
          <w:sz w:val="24"/>
          <w:szCs w:val="24"/>
        </w:rPr>
        <w:t xml:space="preserve">blessed with abundant freshwater resources, and more than 70% of </w:t>
      </w:r>
      <w:r>
        <w:rPr>
          <w:rFonts w:ascii="Times New Roman" w:hAnsi="Times New Roman" w:cs="Times New Roman"/>
          <w:sz w:val="24"/>
          <w:szCs w:val="24"/>
        </w:rPr>
        <w:t xml:space="preserve">the </w:t>
      </w:r>
      <w:r w:rsidRPr="007B2C4B">
        <w:rPr>
          <w:rFonts w:ascii="Times New Roman" w:hAnsi="Times New Roman" w:cs="Times New Roman"/>
          <w:sz w:val="24"/>
          <w:szCs w:val="24"/>
        </w:rPr>
        <w:t xml:space="preserve">livelihood </w:t>
      </w:r>
      <w:r>
        <w:rPr>
          <w:rFonts w:ascii="Times New Roman" w:hAnsi="Times New Roman" w:cs="Times New Roman"/>
          <w:sz w:val="24"/>
          <w:szCs w:val="24"/>
        </w:rPr>
        <w:t xml:space="preserve">of </w:t>
      </w:r>
      <w:r w:rsidRPr="007B2C4B">
        <w:rPr>
          <w:rFonts w:ascii="Times New Roman" w:hAnsi="Times New Roman" w:cs="Times New Roman"/>
          <w:sz w:val="24"/>
          <w:szCs w:val="24"/>
        </w:rPr>
        <w:t>the population depend</w:t>
      </w:r>
      <w:r>
        <w:rPr>
          <w:rFonts w:ascii="Times New Roman" w:hAnsi="Times New Roman" w:cs="Times New Roman"/>
          <w:sz w:val="24"/>
          <w:szCs w:val="24"/>
        </w:rPr>
        <w:t>s</w:t>
      </w:r>
      <w:r w:rsidRPr="007B2C4B">
        <w:rPr>
          <w:rFonts w:ascii="Times New Roman" w:hAnsi="Times New Roman" w:cs="Times New Roman"/>
          <w:sz w:val="24"/>
          <w:szCs w:val="24"/>
        </w:rPr>
        <w:t xml:space="preserve"> on riverine and freshwater ecosystem services. Aquatic resources are essential for the national economy and communities in Myanmar</w:t>
      </w:r>
      <w:r w:rsidR="0072141B">
        <w:rPr>
          <w:rFonts w:ascii="Times New Roman" w:hAnsi="Times New Roman" w:cs="Times New Roman"/>
          <w:sz w:val="24"/>
          <w:szCs w:val="24"/>
        </w:rPr>
        <w:t>,</w:t>
      </w:r>
      <w:r w:rsidRPr="007B2C4B">
        <w:rPr>
          <w:rFonts w:ascii="Times New Roman" w:hAnsi="Times New Roman" w:cs="Times New Roman"/>
          <w:sz w:val="24"/>
          <w:szCs w:val="24"/>
        </w:rPr>
        <w:t xml:space="preserve"> as nearly 3.2 million people are currently employed in the freshwater and marine fisheries sector. Despite the potential</w:t>
      </w:r>
      <w:r w:rsidR="00D721D8">
        <w:rPr>
          <w:rFonts w:ascii="Times New Roman" w:hAnsi="Times New Roman" w:cs="Times New Roman"/>
          <w:sz w:val="24"/>
          <w:szCs w:val="24"/>
        </w:rPr>
        <w:t>ly important</w:t>
      </w:r>
      <w:r w:rsidRPr="007B2C4B">
        <w:rPr>
          <w:rFonts w:ascii="Times New Roman" w:hAnsi="Times New Roman" w:cs="Times New Roman"/>
          <w:sz w:val="24"/>
          <w:szCs w:val="24"/>
        </w:rPr>
        <w:t xml:space="preserve"> </w:t>
      </w:r>
      <w:r>
        <w:rPr>
          <w:rFonts w:ascii="Times New Roman" w:hAnsi="Times New Roman" w:cs="Times New Roman"/>
          <w:sz w:val="24"/>
          <w:szCs w:val="24"/>
        </w:rPr>
        <w:t xml:space="preserve">role </w:t>
      </w:r>
      <w:r w:rsidR="0072141B">
        <w:rPr>
          <w:rFonts w:ascii="Times New Roman" w:hAnsi="Times New Roman" w:cs="Times New Roman"/>
          <w:sz w:val="24"/>
          <w:szCs w:val="24"/>
        </w:rPr>
        <w:t xml:space="preserve">the </w:t>
      </w:r>
      <w:r w:rsidRPr="007B2C4B">
        <w:rPr>
          <w:rFonts w:ascii="Times New Roman" w:hAnsi="Times New Roman" w:cs="Times New Roman"/>
          <w:sz w:val="24"/>
          <w:szCs w:val="24"/>
        </w:rPr>
        <w:t xml:space="preserve">hydropower sector </w:t>
      </w:r>
      <w:r>
        <w:rPr>
          <w:rFonts w:ascii="Times New Roman" w:hAnsi="Times New Roman" w:cs="Times New Roman"/>
          <w:sz w:val="24"/>
          <w:szCs w:val="24"/>
        </w:rPr>
        <w:t xml:space="preserve">might play for </w:t>
      </w:r>
      <w:r w:rsidRPr="007B2C4B">
        <w:rPr>
          <w:rFonts w:ascii="Times New Roman" w:hAnsi="Times New Roman" w:cs="Times New Roman"/>
          <w:sz w:val="24"/>
          <w:szCs w:val="24"/>
        </w:rPr>
        <w:t xml:space="preserve">the socio-economic development of the country, </w:t>
      </w:r>
      <w:r>
        <w:rPr>
          <w:rFonts w:ascii="Times New Roman" w:hAnsi="Times New Roman" w:cs="Times New Roman"/>
          <w:sz w:val="24"/>
          <w:szCs w:val="24"/>
        </w:rPr>
        <w:t xml:space="preserve">the </w:t>
      </w:r>
      <w:r w:rsidRPr="007B2C4B">
        <w:rPr>
          <w:rFonts w:ascii="Times New Roman" w:hAnsi="Times New Roman" w:cs="Times New Roman"/>
          <w:sz w:val="24"/>
          <w:szCs w:val="24"/>
        </w:rPr>
        <w:t xml:space="preserve">industry currently faces several challenges due to public opposition </w:t>
      </w:r>
      <w:r>
        <w:rPr>
          <w:rFonts w:ascii="Times New Roman" w:hAnsi="Times New Roman" w:cs="Times New Roman"/>
          <w:sz w:val="24"/>
          <w:szCs w:val="24"/>
        </w:rPr>
        <w:t xml:space="preserve">and </w:t>
      </w:r>
      <w:r w:rsidRPr="007B2C4B">
        <w:rPr>
          <w:rFonts w:ascii="Times New Roman" w:hAnsi="Times New Roman" w:cs="Times New Roman"/>
          <w:sz w:val="24"/>
          <w:szCs w:val="24"/>
        </w:rPr>
        <w:t xml:space="preserve">public protest, especially by ethnic minority communities (Simpson, 2013). As a result, eleven hydropower projects are </w:t>
      </w:r>
      <w:r>
        <w:rPr>
          <w:rFonts w:ascii="Times New Roman" w:hAnsi="Times New Roman" w:cs="Times New Roman"/>
          <w:sz w:val="24"/>
          <w:szCs w:val="24"/>
        </w:rPr>
        <w:t xml:space="preserve">currently </w:t>
      </w:r>
      <w:r w:rsidRPr="007B2C4B">
        <w:rPr>
          <w:rFonts w:ascii="Times New Roman" w:hAnsi="Times New Roman" w:cs="Times New Roman"/>
          <w:sz w:val="24"/>
          <w:szCs w:val="24"/>
        </w:rPr>
        <w:t xml:space="preserve">suspended, and one has been cancelled. The </w:t>
      </w:r>
      <w:r>
        <w:rPr>
          <w:rFonts w:ascii="Times New Roman" w:hAnsi="Times New Roman" w:cs="Times New Roman"/>
          <w:sz w:val="24"/>
          <w:szCs w:val="24"/>
        </w:rPr>
        <w:t xml:space="preserve">most </w:t>
      </w:r>
      <w:r w:rsidRPr="007B2C4B">
        <w:rPr>
          <w:rFonts w:ascii="Times New Roman" w:hAnsi="Times New Roman" w:cs="Times New Roman"/>
          <w:sz w:val="24"/>
          <w:szCs w:val="24"/>
        </w:rPr>
        <w:t xml:space="preserve">contested dam projects in Myanmar are </w:t>
      </w:r>
      <w:r>
        <w:rPr>
          <w:rFonts w:ascii="Times New Roman" w:hAnsi="Times New Roman" w:cs="Times New Roman"/>
          <w:sz w:val="24"/>
          <w:szCs w:val="24"/>
        </w:rPr>
        <w:t xml:space="preserve">the </w:t>
      </w:r>
      <w:r w:rsidRPr="007B2C4B">
        <w:rPr>
          <w:rFonts w:ascii="Times New Roman" w:hAnsi="Times New Roman" w:cs="Times New Roman"/>
          <w:sz w:val="24"/>
          <w:szCs w:val="24"/>
        </w:rPr>
        <w:t>Chin</w:t>
      </w:r>
      <w:r>
        <w:rPr>
          <w:rFonts w:ascii="Times New Roman" w:hAnsi="Times New Roman" w:cs="Times New Roman"/>
          <w:sz w:val="24"/>
          <w:szCs w:val="24"/>
        </w:rPr>
        <w:t>ese</w:t>
      </w:r>
      <w:r w:rsidRPr="007B2C4B">
        <w:rPr>
          <w:rFonts w:ascii="Times New Roman" w:hAnsi="Times New Roman" w:cs="Times New Roman"/>
          <w:sz w:val="24"/>
          <w:szCs w:val="24"/>
        </w:rPr>
        <w:t xml:space="preserve">-led Myitsone dam (suspended) in Kachin State, Mong Ton dam and Upper Panlaung dam in Shan state, and Tamanthi dam in </w:t>
      </w:r>
      <w:r>
        <w:rPr>
          <w:rFonts w:ascii="Times New Roman" w:hAnsi="Times New Roman" w:cs="Times New Roman"/>
          <w:sz w:val="24"/>
          <w:szCs w:val="24"/>
        </w:rPr>
        <w:t xml:space="preserve">the </w:t>
      </w:r>
      <w:r w:rsidRPr="007B2C4B">
        <w:rPr>
          <w:rFonts w:ascii="Times New Roman" w:hAnsi="Times New Roman" w:cs="Times New Roman"/>
          <w:sz w:val="24"/>
          <w:szCs w:val="24"/>
        </w:rPr>
        <w:t>Sagaing division</w:t>
      </w:r>
      <w:r w:rsidR="00AC7BBD">
        <w:rPr>
          <w:rFonts w:ascii="Times New Roman" w:hAnsi="Times New Roman" w:cs="Times New Roman"/>
          <w:sz w:val="24"/>
          <w:szCs w:val="24"/>
        </w:rPr>
        <w:t xml:space="preserve"> </w:t>
      </w:r>
      <w:r w:rsidR="00AC7BBD">
        <w:rPr>
          <w:rFonts w:ascii="Times New Roman" w:hAnsi="Times New Roman" w:cs="Times New Roman"/>
          <w:sz w:val="24"/>
          <w:szCs w:val="24"/>
        </w:rPr>
        <w:fldChar w:fldCharType="begin" w:fldLock="1"/>
      </w:r>
      <w:r w:rsidR="00440F41">
        <w:rPr>
          <w:rFonts w:ascii="Times New Roman" w:hAnsi="Times New Roman" w:cs="Times New Roman"/>
          <w:sz w:val="24"/>
          <w:szCs w:val="24"/>
        </w:rPr>
        <w:instrText>ADDIN CSL_CITATION {"citationItems":[{"id":"ITEM-1","itemData":{"DOI":"10.1080/07900627.2016.1179176","ISSN":"13600648","abstract":"© 2016 Informa UK Limited, trading as Taylor  &amp;  Francis Group. Scholars investigating activism against large dam developments in Asia usually focus on those campaigning, but not on those the campaigns are aimed at–the dam developers. Yet the developers’ perspective is crucial to comprehensively understand the dynamics of social and environmental activism in South-East Asia as well as its implications for the region’s energy landscape. This article analyzes the interplay of activists and Chinese dam developers in Myanmar via case studies of the Myitsone Dam and the Mong Ton Dam. The research is based on direct scholarly interaction with both activists and dam developers. It presents evidence of change from both sides: activists have professionalized in recent years; and Chinese dam developers now attempt to engage with civil society, albeit with limited success in the two cases studied. Yet, even with these changes, conflict over dam development persists, and the country may soon face severe limitations on development options for improving energy security. The case of Bhutan is also discussed to illustrate the potential of developing Myanmar’s hydropower resources.","author":[{"dropping-particle":"","family":"Kirchherr","given":"Julian","non-dropping-particle":"","parse-names":false,"suffix":""},{"dropping-particle":"","family":"J. Charles","given":"Katrina","non-dropping-particle":"","parse-names":false,"suffix":""},{"dropping-particle":"","family":"Walton","given":"Matthew J.","non-dropping-particle":"","parse-names":false,"suffix":""}],"container-title":"International Journal of Water Resources Development","id":"ITEM-1","issue":"1","issued":{"date-parts":[["2017"]]},"page":"111-131","publisher":"Routledge","title":"The interplay of activists and dam developers: the case of Myanmar’s mega-dams","type":"article-journal","volume":"33"},"uris":["http://www.mendeley.com/documents/?uuid=8a53e017-0cbf-44c6-8019-e8b391ee72e5"]}],"mendeley":{"formattedCitation":"(Kirchherr et al., 2017)","plainTextFormattedCitation":"(Kirchherr et al., 2017)","previouslyFormattedCitation":"(Kirchherr et al., 2017)"},"properties":{"noteIndex":0},"schema":"https://github.com/citation-style-language/schema/raw/master/csl-citation.json"}</w:instrText>
      </w:r>
      <w:r w:rsidR="00AC7BBD">
        <w:rPr>
          <w:rFonts w:ascii="Times New Roman" w:hAnsi="Times New Roman" w:cs="Times New Roman"/>
          <w:sz w:val="24"/>
          <w:szCs w:val="24"/>
        </w:rPr>
        <w:fldChar w:fldCharType="separate"/>
      </w:r>
      <w:r w:rsidR="00A45684" w:rsidRPr="00A45684">
        <w:rPr>
          <w:rFonts w:ascii="Times New Roman" w:hAnsi="Times New Roman" w:cs="Times New Roman"/>
          <w:noProof/>
          <w:sz w:val="24"/>
          <w:szCs w:val="24"/>
        </w:rPr>
        <w:t>(Kirchherr et al., 2017)</w:t>
      </w:r>
      <w:r w:rsidR="00AC7BBD">
        <w:rPr>
          <w:rFonts w:ascii="Times New Roman" w:hAnsi="Times New Roman" w:cs="Times New Roman"/>
          <w:sz w:val="24"/>
          <w:szCs w:val="24"/>
        </w:rPr>
        <w:fldChar w:fldCharType="end"/>
      </w:r>
      <w:r w:rsidRPr="007B2C4B">
        <w:rPr>
          <w:rFonts w:ascii="Times New Roman" w:hAnsi="Times New Roman" w:cs="Times New Roman"/>
          <w:sz w:val="24"/>
          <w:szCs w:val="24"/>
        </w:rPr>
        <w:t>. The opposition mostly stems from the opaque and unjust revenue sharing and</w:t>
      </w:r>
      <w:r>
        <w:rPr>
          <w:rFonts w:ascii="Times New Roman" w:hAnsi="Times New Roman" w:cs="Times New Roman"/>
          <w:sz w:val="24"/>
          <w:szCs w:val="24"/>
        </w:rPr>
        <w:t xml:space="preserve"> the</w:t>
      </w:r>
      <w:r w:rsidRPr="007B2C4B">
        <w:rPr>
          <w:rFonts w:ascii="Times New Roman" w:hAnsi="Times New Roman" w:cs="Times New Roman"/>
          <w:sz w:val="24"/>
          <w:szCs w:val="24"/>
        </w:rPr>
        <w:t xml:space="preserve"> environmental and social risks associated with the projects. While Myanmar is in dire need of electricity generation and investment in the energy sector, the country currently does not </w:t>
      </w:r>
      <w:r>
        <w:rPr>
          <w:rFonts w:ascii="Times New Roman" w:hAnsi="Times New Roman" w:cs="Times New Roman"/>
          <w:sz w:val="24"/>
          <w:szCs w:val="24"/>
        </w:rPr>
        <w:t xml:space="preserve">reap the </w:t>
      </w:r>
      <w:r w:rsidRPr="007B2C4B">
        <w:rPr>
          <w:rFonts w:ascii="Times New Roman" w:hAnsi="Times New Roman" w:cs="Times New Roman"/>
          <w:sz w:val="24"/>
          <w:szCs w:val="24"/>
        </w:rPr>
        <w:t xml:space="preserve">full benefits from </w:t>
      </w:r>
      <w:r>
        <w:rPr>
          <w:rFonts w:ascii="Times New Roman" w:hAnsi="Times New Roman" w:cs="Times New Roman"/>
          <w:sz w:val="24"/>
          <w:szCs w:val="24"/>
        </w:rPr>
        <w:t xml:space="preserve">those </w:t>
      </w:r>
      <w:r w:rsidRPr="007B2C4B">
        <w:rPr>
          <w:rFonts w:ascii="Times New Roman" w:hAnsi="Times New Roman" w:cs="Times New Roman"/>
          <w:sz w:val="24"/>
          <w:szCs w:val="24"/>
        </w:rPr>
        <w:t xml:space="preserve">mega hydropower projects developed jointly with neighbouring countries, especially China and Thailand (Dapice, 2015). The contracts signed with China to develop several mega hydropower projects state that Myanmar will get only a 10% of the revenue (in the form of electricity) while China will get 90%. </w:t>
      </w:r>
    </w:p>
    <w:p w14:paraId="2C97D88F" w14:textId="77777777" w:rsidR="00DA0347" w:rsidRPr="00B27030" w:rsidRDefault="00B27030" w:rsidP="004F2BB1">
      <w:pPr>
        <w:spacing w:line="240" w:lineRule="auto"/>
        <w:rPr>
          <w:rFonts w:ascii="Times New Roman" w:hAnsi="Times New Roman" w:cs="Times New Roman"/>
          <w:i/>
          <w:sz w:val="24"/>
          <w:szCs w:val="24"/>
        </w:rPr>
      </w:pPr>
      <w:r w:rsidRPr="00B27030">
        <w:rPr>
          <w:rFonts w:ascii="Times New Roman" w:hAnsi="Times New Roman" w:cs="Times New Roman"/>
          <w:i/>
          <w:sz w:val="24"/>
          <w:szCs w:val="24"/>
        </w:rPr>
        <w:t>Study Areas</w:t>
      </w:r>
      <w:r w:rsidR="00F67C07">
        <w:rPr>
          <w:rFonts w:ascii="Times New Roman" w:hAnsi="Times New Roman" w:cs="Times New Roman"/>
          <w:i/>
          <w:sz w:val="24"/>
          <w:szCs w:val="24"/>
        </w:rPr>
        <w:t xml:space="preserve"> Description</w:t>
      </w:r>
    </w:p>
    <w:p w14:paraId="4DF9F22E" w14:textId="54B06CA1" w:rsidR="006717CD" w:rsidRDefault="006717CD" w:rsidP="004F2BB1">
      <w:pPr>
        <w:spacing w:line="240" w:lineRule="auto"/>
        <w:rPr>
          <w:rFonts w:ascii="Times New Roman" w:hAnsi="Times New Roman" w:cs="Times New Roman"/>
          <w:sz w:val="24"/>
          <w:szCs w:val="24"/>
        </w:rPr>
      </w:pPr>
      <w:r w:rsidRPr="00FF5E2F">
        <w:rPr>
          <w:rFonts w:ascii="Times New Roman" w:hAnsi="Times New Roman" w:cs="Times New Roman"/>
          <w:sz w:val="24"/>
          <w:szCs w:val="24"/>
        </w:rPr>
        <w:t xml:space="preserve">The hydropower plants considered in this </w:t>
      </w:r>
      <w:r>
        <w:rPr>
          <w:rFonts w:ascii="Times New Roman" w:hAnsi="Times New Roman" w:cs="Times New Roman"/>
          <w:sz w:val="24"/>
          <w:szCs w:val="24"/>
        </w:rPr>
        <w:t xml:space="preserve">paper </w:t>
      </w:r>
      <w:r w:rsidRPr="00FF5E2F">
        <w:rPr>
          <w:rFonts w:ascii="Times New Roman" w:hAnsi="Times New Roman" w:cs="Times New Roman"/>
          <w:sz w:val="24"/>
          <w:szCs w:val="24"/>
        </w:rPr>
        <w:t xml:space="preserve">are the existing projects of at least 100 MW installed capacity, covering medium to large size projects in Myanmar. </w:t>
      </w:r>
      <w:r>
        <w:rPr>
          <w:rFonts w:ascii="Times New Roman" w:hAnsi="Times New Roman" w:cs="Times New Roman"/>
          <w:sz w:val="24"/>
          <w:szCs w:val="24"/>
        </w:rPr>
        <w:t xml:space="preserve">All plants have similar local and technological contexts. </w:t>
      </w:r>
      <w:r w:rsidRPr="00FF5E2F">
        <w:rPr>
          <w:rFonts w:ascii="Times New Roman" w:hAnsi="Times New Roman" w:cs="Times New Roman"/>
          <w:sz w:val="24"/>
          <w:szCs w:val="24"/>
        </w:rPr>
        <w:t xml:space="preserve">Hydropower plants of this size have a higher potential to create adverse environmental impacts as they are likely to be located on larger river </w:t>
      </w:r>
      <w:r w:rsidR="00D14E75" w:rsidRPr="00FF5E2F">
        <w:rPr>
          <w:rFonts w:ascii="Times New Roman" w:hAnsi="Times New Roman" w:cs="Times New Roman"/>
          <w:sz w:val="24"/>
          <w:szCs w:val="24"/>
        </w:rPr>
        <w:t>basins and</w:t>
      </w:r>
      <w:r w:rsidRPr="00FF5E2F">
        <w:rPr>
          <w:rFonts w:ascii="Times New Roman" w:hAnsi="Times New Roman" w:cs="Times New Roman"/>
          <w:sz w:val="24"/>
          <w:szCs w:val="24"/>
        </w:rPr>
        <w:t xml:space="preserve"> have higher dams and larger reservoirs. More extensive projects also have higher risks of creating more significant flow charges and cutting river connectivity. </w:t>
      </w:r>
      <w:r w:rsidRPr="00642D13">
        <w:rPr>
          <w:rFonts w:ascii="Times New Roman" w:hAnsi="Times New Roman" w:cs="Times New Roman"/>
          <w:sz w:val="24"/>
          <w:szCs w:val="24"/>
        </w:rPr>
        <w:t>However,</w:t>
      </w:r>
      <w:r w:rsidRPr="00FF5E2F">
        <w:rPr>
          <w:rFonts w:ascii="Times New Roman" w:hAnsi="Times New Roman" w:cs="Times New Roman"/>
          <w:sz w:val="24"/>
          <w:szCs w:val="24"/>
        </w:rPr>
        <w:t xml:space="preserve"> the cumulative environmental and social impacts of smaller projects can be more significant than </w:t>
      </w:r>
      <w:r>
        <w:rPr>
          <w:rFonts w:ascii="Times New Roman" w:hAnsi="Times New Roman" w:cs="Times New Roman"/>
          <w:sz w:val="24"/>
          <w:szCs w:val="24"/>
        </w:rPr>
        <w:t xml:space="preserve">those of </w:t>
      </w:r>
      <w:r w:rsidRPr="00FF5E2F">
        <w:rPr>
          <w:rFonts w:ascii="Times New Roman" w:hAnsi="Times New Roman" w:cs="Times New Roman"/>
          <w:sz w:val="24"/>
          <w:szCs w:val="24"/>
        </w:rPr>
        <w:t xml:space="preserve">larger </w:t>
      </w:r>
      <w:r>
        <w:rPr>
          <w:rFonts w:ascii="Times New Roman" w:hAnsi="Times New Roman" w:cs="Times New Roman"/>
          <w:sz w:val="24"/>
          <w:szCs w:val="24"/>
        </w:rPr>
        <w:t>dams</w:t>
      </w:r>
      <w:r w:rsidR="00A45684">
        <w:rPr>
          <w:rFonts w:ascii="Times New Roman" w:hAnsi="Times New Roman" w:cs="Times New Roman"/>
          <w:sz w:val="24"/>
          <w:szCs w:val="24"/>
        </w:rPr>
        <w:t xml:space="preserve"> </w:t>
      </w:r>
      <w:r w:rsidR="00A45684">
        <w:rPr>
          <w:rFonts w:ascii="Times New Roman" w:hAnsi="Times New Roman" w:cs="Times New Roman"/>
          <w:sz w:val="24"/>
          <w:szCs w:val="24"/>
        </w:rPr>
        <w:fldChar w:fldCharType="begin" w:fldLock="1"/>
      </w:r>
      <w:r w:rsidR="00440F41">
        <w:rPr>
          <w:rFonts w:ascii="Times New Roman" w:hAnsi="Times New Roman" w:cs="Times New Roman"/>
          <w:sz w:val="24"/>
          <w:szCs w:val="24"/>
        </w:rPr>
        <w:instrText>ADDIN CSL_CITATION {"citationItems":[{"id":"ITEM-1","itemData":{"DOI":"10.1080/00119253.1968.9940266","ISSN":"0011-9253","author":[{"dropping-particle":"","family":"International Finance Corporation","given":"","non-dropping-particle":"","parse-names":false,"suffix":""}],"container-title":"The World Bank","id":"ITEM-1","issue":"5","issued":{"date-parts":[["2018"]]},"number-of-pages":"19-19","title":"Strategic Environmental Assessment of the Myanmar Hydropower Sector","type":"report","volume":"69"},"uris":["http://www.mendeley.com/documents/?uuid=a800a15a-2ce5-449a-a9db-1e173b796590"]}],"mendeley":{"formattedCitation":"(International Finance Corporation, 2018)","plainTextFormattedCitation":"(International Finance Corporation, 2018)","previouslyFormattedCitation":"(International Finance Corporation, 2018)"},"properties":{"noteIndex":0},"schema":"https://github.com/citation-style-language/schema/raw/master/csl-citation.json"}</w:instrText>
      </w:r>
      <w:r w:rsidR="00A45684">
        <w:rPr>
          <w:rFonts w:ascii="Times New Roman" w:hAnsi="Times New Roman" w:cs="Times New Roman"/>
          <w:sz w:val="24"/>
          <w:szCs w:val="24"/>
        </w:rPr>
        <w:fldChar w:fldCharType="separate"/>
      </w:r>
      <w:r w:rsidR="00A45684" w:rsidRPr="00A45684">
        <w:rPr>
          <w:rFonts w:ascii="Times New Roman" w:hAnsi="Times New Roman" w:cs="Times New Roman"/>
          <w:noProof/>
          <w:sz w:val="24"/>
          <w:szCs w:val="24"/>
        </w:rPr>
        <w:t>(International Finance Corporation, 2018)</w:t>
      </w:r>
      <w:r w:rsidR="00A45684">
        <w:rPr>
          <w:rFonts w:ascii="Times New Roman" w:hAnsi="Times New Roman" w:cs="Times New Roman"/>
          <w:sz w:val="24"/>
          <w:szCs w:val="24"/>
        </w:rPr>
        <w:fldChar w:fldCharType="end"/>
      </w:r>
      <w:r w:rsidRPr="00FF5E2F">
        <w:rPr>
          <w:rFonts w:ascii="Times New Roman" w:hAnsi="Times New Roman" w:cs="Times New Roman"/>
          <w:sz w:val="24"/>
          <w:szCs w:val="24"/>
        </w:rPr>
        <w:t xml:space="preserve">. The projects chosen for </w:t>
      </w:r>
      <w:r>
        <w:rPr>
          <w:rFonts w:ascii="Times New Roman" w:hAnsi="Times New Roman" w:cs="Times New Roman"/>
          <w:sz w:val="24"/>
          <w:szCs w:val="24"/>
        </w:rPr>
        <w:t>further examination</w:t>
      </w:r>
      <w:r w:rsidRPr="00FF5E2F">
        <w:rPr>
          <w:rFonts w:ascii="Times New Roman" w:hAnsi="Times New Roman" w:cs="Times New Roman"/>
          <w:sz w:val="24"/>
          <w:szCs w:val="24"/>
        </w:rPr>
        <w:t xml:space="preserve"> are Yeywa, Shweli (1), Paung Laung (lower), Dapein (1) and Thauk Ye Khat (2). Fig </w:t>
      </w:r>
      <w:r>
        <w:rPr>
          <w:rFonts w:ascii="Times New Roman" w:hAnsi="Times New Roman" w:cs="Times New Roman"/>
          <w:sz w:val="24"/>
          <w:szCs w:val="24"/>
        </w:rPr>
        <w:t>1</w:t>
      </w:r>
      <w:r w:rsidRPr="00FF5E2F">
        <w:rPr>
          <w:rFonts w:ascii="Times New Roman" w:hAnsi="Times New Roman" w:cs="Times New Roman"/>
          <w:sz w:val="24"/>
          <w:szCs w:val="24"/>
        </w:rPr>
        <w:t xml:space="preserve"> presents the location map </w:t>
      </w:r>
      <w:r w:rsidR="0068607E">
        <w:rPr>
          <w:rFonts w:ascii="Times New Roman" w:hAnsi="Times New Roman" w:cs="Times New Roman"/>
          <w:sz w:val="24"/>
          <w:szCs w:val="24"/>
        </w:rPr>
        <w:t>of</w:t>
      </w:r>
      <w:r w:rsidR="0068607E" w:rsidRPr="00FF5E2F">
        <w:rPr>
          <w:rFonts w:ascii="Times New Roman" w:hAnsi="Times New Roman" w:cs="Times New Roman"/>
          <w:sz w:val="24"/>
          <w:szCs w:val="24"/>
        </w:rPr>
        <w:t xml:space="preserve"> </w:t>
      </w:r>
      <w:r w:rsidRPr="00FF5E2F">
        <w:rPr>
          <w:rFonts w:ascii="Times New Roman" w:hAnsi="Times New Roman" w:cs="Times New Roman"/>
          <w:sz w:val="24"/>
          <w:szCs w:val="24"/>
        </w:rPr>
        <w:t>the</w:t>
      </w:r>
      <w:r w:rsidR="0068607E">
        <w:rPr>
          <w:rFonts w:ascii="Times New Roman" w:hAnsi="Times New Roman" w:cs="Times New Roman"/>
          <w:sz w:val="24"/>
          <w:szCs w:val="24"/>
        </w:rPr>
        <w:t>se</w:t>
      </w:r>
      <w:r w:rsidRPr="00FF5E2F">
        <w:rPr>
          <w:rFonts w:ascii="Times New Roman" w:hAnsi="Times New Roman" w:cs="Times New Roman"/>
          <w:sz w:val="24"/>
          <w:szCs w:val="24"/>
        </w:rPr>
        <w:t xml:space="preserve"> plants</w:t>
      </w:r>
      <w:r w:rsidR="0068607E">
        <w:rPr>
          <w:rFonts w:ascii="Times New Roman" w:hAnsi="Times New Roman" w:cs="Times New Roman"/>
          <w:sz w:val="24"/>
          <w:szCs w:val="24"/>
        </w:rPr>
        <w:t xml:space="preserve"> that </w:t>
      </w:r>
      <w:r w:rsidRPr="00FF5E2F">
        <w:rPr>
          <w:rFonts w:ascii="Times New Roman" w:hAnsi="Times New Roman" w:cs="Times New Roman"/>
          <w:sz w:val="24"/>
          <w:szCs w:val="24"/>
        </w:rPr>
        <w:t>were built between 2005</w:t>
      </w:r>
      <w:r>
        <w:rPr>
          <w:rFonts w:ascii="Times New Roman" w:hAnsi="Times New Roman" w:cs="Times New Roman"/>
          <w:sz w:val="24"/>
          <w:szCs w:val="24"/>
        </w:rPr>
        <w:t xml:space="preserve"> and </w:t>
      </w:r>
      <w:r w:rsidRPr="00FF5E2F">
        <w:rPr>
          <w:rFonts w:ascii="Times New Roman" w:hAnsi="Times New Roman" w:cs="Times New Roman"/>
          <w:sz w:val="24"/>
          <w:szCs w:val="24"/>
        </w:rPr>
        <w:t>2014 and represent standard construction, operation technology and geographic locations of the hydropower plants in Myanmar. The technical parameters and descriptions of each individual hydropower plant are summarized in Table 2.</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701"/>
        <w:gridCol w:w="1276"/>
        <w:gridCol w:w="1134"/>
        <w:gridCol w:w="1417"/>
        <w:gridCol w:w="1508"/>
      </w:tblGrid>
      <w:tr w:rsidR="00004C8C" w:rsidRPr="00F3010B" w14:paraId="3F501E14" w14:textId="77777777" w:rsidTr="00004C8C">
        <w:tc>
          <w:tcPr>
            <w:tcW w:w="1980" w:type="dxa"/>
            <w:tcBorders>
              <w:top w:val="single" w:sz="4" w:space="0" w:color="auto"/>
              <w:bottom w:val="single" w:sz="4" w:space="0" w:color="auto"/>
            </w:tcBorders>
          </w:tcPr>
          <w:p w14:paraId="08CCBFEE"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lastRenderedPageBreak/>
              <w:t>Description</w:t>
            </w:r>
          </w:p>
        </w:tc>
        <w:tc>
          <w:tcPr>
            <w:tcW w:w="1701" w:type="dxa"/>
            <w:tcBorders>
              <w:top w:val="single" w:sz="4" w:space="0" w:color="auto"/>
              <w:bottom w:val="single" w:sz="4" w:space="0" w:color="auto"/>
            </w:tcBorders>
          </w:tcPr>
          <w:p w14:paraId="31EBD28C"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Yeywa</w:t>
            </w:r>
          </w:p>
        </w:tc>
        <w:tc>
          <w:tcPr>
            <w:tcW w:w="1276" w:type="dxa"/>
            <w:tcBorders>
              <w:top w:val="single" w:sz="4" w:space="0" w:color="auto"/>
              <w:bottom w:val="single" w:sz="4" w:space="0" w:color="auto"/>
            </w:tcBorders>
          </w:tcPr>
          <w:p w14:paraId="3EF90A78"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Shweli 1</w:t>
            </w:r>
          </w:p>
        </w:tc>
        <w:tc>
          <w:tcPr>
            <w:tcW w:w="1134" w:type="dxa"/>
            <w:tcBorders>
              <w:top w:val="single" w:sz="4" w:space="0" w:color="auto"/>
              <w:bottom w:val="single" w:sz="4" w:space="0" w:color="auto"/>
            </w:tcBorders>
          </w:tcPr>
          <w:p w14:paraId="73136D9D"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Paung Laung (lower)</w:t>
            </w:r>
          </w:p>
        </w:tc>
        <w:tc>
          <w:tcPr>
            <w:tcW w:w="1417" w:type="dxa"/>
            <w:tcBorders>
              <w:top w:val="single" w:sz="4" w:space="0" w:color="auto"/>
              <w:bottom w:val="single" w:sz="4" w:space="0" w:color="auto"/>
            </w:tcBorders>
          </w:tcPr>
          <w:p w14:paraId="4B611FF0"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Dapein 1</w:t>
            </w:r>
          </w:p>
        </w:tc>
        <w:tc>
          <w:tcPr>
            <w:tcW w:w="1508" w:type="dxa"/>
            <w:tcBorders>
              <w:top w:val="single" w:sz="4" w:space="0" w:color="auto"/>
              <w:bottom w:val="single" w:sz="4" w:space="0" w:color="auto"/>
            </w:tcBorders>
          </w:tcPr>
          <w:p w14:paraId="6813166C"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Thauk Ye Khat 2</w:t>
            </w:r>
          </w:p>
        </w:tc>
      </w:tr>
      <w:tr w:rsidR="00004C8C" w:rsidRPr="00F3010B" w14:paraId="55FBFE5B" w14:textId="77777777" w:rsidTr="00004C8C">
        <w:tc>
          <w:tcPr>
            <w:tcW w:w="1980" w:type="dxa"/>
            <w:tcBorders>
              <w:top w:val="single" w:sz="4" w:space="0" w:color="auto"/>
            </w:tcBorders>
          </w:tcPr>
          <w:p w14:paraId="7F9EADDE"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Location</w:t>
            </w:r>
          </w:p>
        </w:tc>
        <w:tc>
          <w:tcPr>
            <w:tcW w:w="1701" w:type="dxa"/>
            <w:tcBorders>
              <w:top w:val="single" w:sz="4" w:space="0" w:color="auto"/>
            </w:tcBorders>
          </w:tcPr>
          <w:p w14:paraId="05811E3B"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Mandalay, Pyinoolwin</w:t>
            </w:r>
          </w:p>
        </w:tc>
        <w:tc>
          <w:tcPr>
            <w:tcW w:w="1276" w:type="dxa"/>
            <w:tcBorders>
              <w:top w:val="single" w:sz="4" w:space="0" w:color="auto"/>
            </w:tcBorders>
          </w:tcPr>
          <w:p w14:paraId="45716538"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Shan, Muse</w:t>
            </w:r>
          </w:p>
        </w:tc>
        <w:tc>
          <w:tcPr>
            <w:tcW w:w="1134" w:type="dxa"/>
            <w:tcBorders>
              <w:top w:val="single" w:sz="4" w:space="0" w:color="auto"/>
            </w:tcBorders>
          </w:tcPr>
          <w:p w14:paraId="2A45007E"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Naypyidaw, Pyinmana</w:t>
            </w:r>
          </w:p>
        </w:tc>
        <w:tc>
          <w:tcPr>
            <w:tcW w:w="1417" w:type="dxa"/>
            <w:tcBorders>
              <w:top w:val="single" w:sz="4" w:space="0" w:color="auto"/>
            </w:tcBorders>
          </w:tcPr>
          <w:p w14:paraId="3430B1DF"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Kachin, Bhamo</w:t>
            </w:r>
          </w:p>
        </w:tc>
        <w:tc>
          <w:tcPr>
            <w:tcW w:w="1508" w:type="dxa"/>
            <w:tcBorders>
              <w:top w:val="single" w:sz="4" w:space="0" w:color="auto"/>
            </w:tcBorders>
          </w:tcPr>
          <w:p w14:paraId="4B249885"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Kayin, Tangoo</w:t>
            </w:r>
          </w:p>
        </w:tc>
      </w:tr>
      <w:tr w:rsidR="00004C8C" w:rsidRPr="00F3010B" w14:paraId="4D6BF31B" w14:textId="77777777" w:rsidTr="00004C8C">
        <w:trPr>
          <w:trHeight w:val="245"/>
        </w:trPr>
        <w:tc>
          <w:tcPr>
            <w:tcW w:w="1980" w:type="dxa"/>
          </w:tcPr>
          <w:p w14:paraId="3F59D34F" w14:textId="77777777" w:rsidR="00004C8C" w:rsidRPr="003270CB" w:rsidRDefault="00004C8C" w:rsidP="004F2BB1">
            <w:pPr>
              <w:rPr>
                <w:rFonts w:ascii="Times New Roman" w:hAnsi="Times New Roman" w:cs="Times New Roman"/>
                <w:sz w:val="16"/>
                <w:szCs w:val="16"/>
              </w:rPr>
            </w:pPr>
            <w:r w:rsidRPr="003270CB">
              <w:rPr>
                <w:rFonts w:ascii="Times New Roman" w:hAnsi="Times New Roman" w:cs="Times New Roman"/>
                <w:sz w:val="16"/>
                <w:szCs w:val="16"/>
              </w:rPr>
              <w:t>L</w:t>
            </w:r>
            <w:r>
              <w:rPr>
                <w:rFonts w:ascii="Times New Roman" w:hAnsi="Times New Roman" w:cs="Times New Roman"/>
                <w:sz w:val="16"/>
                <w:szCs w:val="16"/>
              </w:rPr>
              <w:t>A</w:t>
            </w:r>
            <w:r w:rsidRPr="003270CB">
              <w:rPr>
                <w:rFonts w:ascii="Times New Roman" w:hAnsi="Times New Roman" w:cs="Times New Roman"/>
                <w:sz w:val="16"/>
                <w:szCs w:val="16"/>
              </w:rPr>
              <w:t>T N/ LON E</w:t>
            </w:r>
          </w:p>
        </w:tc>
        <w:tc>
          <w:tcPr>
            <w:tcW w:w="1701" w:type="dxa"/>
          </w:tcPr>
          <w:p w14:paraId="740C46E7" w14:textId="77777777" w:rsidR="00004C8C" w:rsidRPr="003270CB" w:rsidRDefault="00004C8C" w:rsidP="004F2BB1">
            <w:pPr>
              <w:rPr>
                <w:rFonts w:ascii="Times New Roman" w:hAnsi="Times New Roman" w:cs="Times New Roman"/>
                <w:sz w:val="16"/>
                <w:szCs w:val="16"/>
              </w:rPr>
            </w:pPr>
            <w:r w:rsidRPr="003270CB">
              <w:rPr>
                <w:rFonts w:ascii="Times New Roman" w:hAnsi="Times New Roman" w:cs="Times New Roman"/>
                <w:sz w:val="16"/>
                <w:szCs w:val="16"/>
              </w:rPr>
              <w:t>21.675,</w:t>
            </w:r>
            <w:r>
              <w:rPr>
                <w:rFonts w:ascii="Times New Roman" w:hAnsi="Times New Roman" w:cs="Times New Roman"/>
                <w:sz w:val="16"/>
                <w:szCs w:val="16"/>
              </w:rPr>
              <w:t xml:space="preserve"> </w:t>
            </w:r>
            <w:r w:rsidRPr="003270CB">
              <w:rPr>
                <w:rFonts w:ascii="Times New Roman" w:hAnsi="Times New Roman" w:cs="Times New Roman"/>
                <w:sz w:val="16"/>
                <w:szCs w:val="16"/>
              </w:rPr>
              <w:t>96.474</w:t>
            </w:r>
          </w:p>
        </w:tc>
        <w:tc>
          <w:tcPr>
            <w:tcW w:w="1276" w:type="dxa"/>
          </w:tcPr>
          <w:p w14:paraId="1608F785" w14:textId="77777777" w:rsidR="00004C8C" w:rsidRPr="003270CB" w:rsidRDefault="00004C8C" w:rsidP="004F2BB1">
            <w:pPr>
              <w:rPr>
                <w:rFonts w:ascii="Times New Roman" w:hAnsi="Times New Roman" w:cs="Times New Roman"/>
                <w:sz w:val="16"/>
                <w:szCs w:val="16"/>
              </w:rPr>
            </w:pPr>
            <w:r w:rsidRPr="003270CB">
              <w:rPr>
                <w:rFonts w:ascii="Times New Roman" w:hAnsi="Times New Roman" w:cs="Times New Roman"/>
                <w:sz w:val="16"/>
                <w:szCs w:val="16"/>
              </w:rPr>
              <w:t>23.698,</w:t>
            </w:r>
            <w:r>
              <w:rPr>
                <w:rFonts w:ascii="Times New Roman" w:hAnsi="Times New Roman" w:cs="Times New Roman"/>
                <w:sz w:val="16"/>
                <w:szCs w:val="16"/>
              </w:rPr>
              <w:t xml:space="preserve"> </w:t>
            </w:r>
            <w:r w:rsidRPr="003270CB">
              <w:rPr>
                <w:rFonts w:ascii="Times New Roman" w:hAnsi="Times New Roman" w:cs="Times New Roman"/>
                <w:sz w:val="16"/>
                <w:szCs w:val="16"/>
              </w:rPr>
              <w:t>97.506</w:t>
            </w:r>
          </w:p>
        </w:tc>
        <w:tc>
          <w:tcPr>
            <w:tcW w:w="1134" w:type="dxa"/>
          </w:tcPr>
          <w:p w14:paraId="710C567F" w14:textId="77777777" w:rsidR="00004C8C" w:rsidRPr="003270CB" w:rsidRDefault="00004C8C" w:rsidP="004F2BB1">
            <w:pPr>
              <w:rPr>
                <w:rFonts w:ascii="Times New Roman" w:hAnsi="Times New Roman" w:cs="Times New Roman"/>
                <w:sz w:val="16"/>
                <w:szCs w:val="16"/>
              </w:rPr>
            </w:pPr>
            <w:r w:rsidRPr="003270CB">
              <w:rPr>
                <w:rFonts w:ascii="Times New Roman" w:hAnsi="Times New Roman" w:cs="Times New Roman"/>
                <w:sz w:val="16"/>
                <w:szCs w:val="16"/>
              </w:rPr>
              <w:t>19.785,</w:t>
            </w:r>
            <w:r>
              <w:rPr>
                <w:rFonts w:ascii="Times New Roman" w:hAnsi="Times New Roman" w:cs="Times New Roman"/>
                <w:sz w:val="16"/>
                <w:szCs w:val="16"/>
              </w:rPr>
              <w:t xml:space="preserve"> </w:t>
            </w:r>
            <w:r w:rsidRPr="003270CB">
              <w:rPr>
                <w:rFonts w:ascii="Times New Roman" w:hAnsi="Times New Roman" w:cs="Times New Roman"/>
                <w:sz w:val="16"/>
                <w:szCs w:val="16"/>
              </w:rPr>
              <w:t>96.335</w:t>
            </w:r>
          </w:p>
          <w:p w14:paraId="015F3449" w14:textId="77777777" w:rsidR="00004C8C" w:rsidRPr="003270CB" w:rsidRDefault="00004C8C" w:rsidP="004F2BB1">
            <w:pPr>
              <w:rPr>
                <w:rFonts w:ascii="Times New Roman" w:hAnsi="Times New Roman" w:cs="Times New Roman"/>
                <w:sz w:val="16"/>
                <w:szCs w:val="16"/>
              </w:rPr>
            </w:pPr>
          </w:p>
        </w:tc>
        <w:tc>
          <w:tcPr>
            <w:tcW w:w="1417" w:type="dxa"/>
          </w:tcPr>
          <w:p w14:paraId="3C658898" w14:textId="77777777" w:rsidR="00004C8C" w:rsidRPr="003270CB" w:rsidRDefault="00004C8C" w:rsidP="004F2BB1">
            <w:pPr>
              <w:rPr>
                <w:rFonts w:ascii="Times New Roman" w:hAnsi="Times New Roman" w:cs="Times New Roman"/>
                <w:sz w:val="16"/>
                <w:szCs w:val="16"/>
              </w:rPr>
            </w:pPr>
            <w:r w:rsidRPr="003270CB">
              <w:rPr>
                <w:rFonts w:ascii="Times New Roman" w:hAnsi="Times New Roman" w:cs="Times New Roman"/>
                <w:sz w:val="16"/>
                <w:szCs w:val="16"/>
              </w:rPr>
              <w:t>24.421,</w:t>
            </w:r>
            <w:r>
              <w:rPr>
                <w:rFonts w:ascii="Times New Roman" w:hAnsi="Times New Roman" w:cs="Times New Roman"/>
                <w:sz w:val="16"/>
                <w:szCs w:val="16"/>
              </w:rPr>
              <w:t xml:space="preserve"> </w:t>
            </w:r>
            <w:r w:rsidRPr="003270CB">
              <w:rPr>
                <w:rFonts w:ascii="Times New Roman" w:hAnsi="Times New Roman" w:cs="Times New Roman"/>
                <w:sz w:val="16"/>
                <w:szCs w:val="16"/>
              </w:rPr>
              <w:t>97.525</w:t>
            </w:r>
          </w:p>
          <w:p w14:paraId="1E361247" w14:textId="77777777" w:rsidR="00004C8C" w:rsidRPr="003270CB" w:rsidRDefault="00004C8C" w:rsidP="004F2BB1">
            <w:pPr>
              <w:rPr>
                <w:rFonts w:ascii="Times New Roman" w:hAnsi="Times New Roman" w:cs="Times New Roman"/>
                <w:sz w:val="16"/>
                <w:szCs w:val="16"/>
              </w:rPr>
            </w:pPr>
          </w:p>
          <w:p w14:paraId="1B67F1AE" w14:textId="77777777" w:rsidR="00004C8C" w:rsidRPr="003270CB" w:rsidRDefault="00004C8C" w:rsidP="004F2BB1">
            <w:pPr>
              <w:rPr>
                <w:rFonts w:ascii="Times New Roman" w:hAnsi="Times New Roman" w:cs="Times New Roman"/>
                <w:sz w:val="16"/>
                <w:szCs w:val="16"/>
              </w:rPr>
            </w:pPr>
          </w:p>
        </w:tc>
        <w:tc>
          <w:tcPr>
            <w:tcW w:w="1508" w:type="dxa"/>
          </w:tcPr>
          <w:p w14:paraId="7DAF696A" w14:textId="77777777" w:rsidR="00004C8C" w:rsidRPr="003270CB" w:rsidRDefault="00004C8C" w:rsidP="004F2BB1">
            <w:pPr>
              <w:rPr>
                <w:rFonts w:ascii="Times New Roman" w:hAnsi="Times New Roman" w:cs="Times New Roman"/>
                <w:sz w:val="16"/>
                <w:szCs w:val="16"/>
              </w:rPr>
            </w:pPr>
            <w:r w:rsidRPr="003270CB">
              <w:rPr>
                <w:rFonts w:ascii="Times New Roman" w:hAnsi="Times New Roman" w:cs="Times New Roman"/>
                <w:sz w:val="16"/>
                <w:szCs w:val="16"/>
              </w:rPr>
              <w:t>18.914</w:t>
            </w:r>
            <w:r>
              <w:rPr>
                <w:rFonts w:ascii="Times New Roman" w:hAnsi="Times New Roman" w:cs="Times New Roman"/>
                <w:sz w:val="16"/>
                <w:szCs w:val="16"/>
              </w:rPr>
              <w:t xml:space="preserve">, </w:t>
            </w:r>
            <w:r w:rsidRPr="003270CB">
              <w:rPr>
                <w:rFonts w:ascii="Times New Roman" w:hAnsi="Times New Roman" w:cs="Times New Roman"/>
                <w:sz w:val="16"/>
                <w:szCs w:val="16"/>
              </w:rPr>
              <w:t>96.619</w:t>
            </w:r>
          </w:p>
        </w:tc>
      </w:tr>
      <w:tr w:rsidR="00004C8C" w:rsidRPr="00F3010B" w14:paraId="6957377B" w14:textId="77777777" w:rsidTr="00004C8C">
        <w:tc>
          <w:tcPr>
            <w:tcW w:w="1980" w:type="dxa"/>
          </w:tcPr>
          <w:p w14:paraId="415A265B"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Basin</w:t>
            </w:r>
          </w:p>
        </w:tc>
        <w:tc>
          <w:tcPr>
            <w:tcW w:w="1701" w:type="dxa"/>
          </w:tcPr>
          <w:p w14:paraId="3A7E38D7"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Ayeyarwady</w:t>
            </w:r>
          </w:p>
        </w:tc>
        <w:tc>
          <w:tcPr>
            <w:tcW w:w="1276" w:type="dxa"/>
          </w:tcPr>
          <w:p w14:paraId="17576A66"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Ayeyarwady</w:t>
            </w:r>
          </w:p>
        </w:tc>
        <w:tc>
          <w:tcPr>
            <w:tcW w:w="1134" w:type="dxa"/>
          </w:tcPr>
          <w:p w14:paraId="0F9979D0"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Sittaung</w:t>
            </w:r>
          </w:p>
        </w:tc>
        <w:tc>
          <w:tcPr>
            <w:tcW w:w="1417" w:type="dxa"/>
          </w:tcPr>
          <w:p w14:paraId="0DE2E13B"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Ayeyarwady</w:t>
            </w:r>
          </w:p>
        </w:tc>
        <w:tc>
          <w:tcPr>
            <w:tcW w:w="1508" w:type="dxa"/>
          </w:tcPr>
          <w:p w14:paraId="53E73E8B"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Sittaung</w:t>
            </w:r>
          </w:p>
        </w:tc>
      </w:tr>
      <w:tr w:rsidR="00004C8C" w:rsidRPr="00F3010B" w14:paraId="28D0613C" w14:textId="77777777" w:rsidTr="00004C8C">
        <w:tc>
          <w:tcPr>
            <w:tcW w:w="1980" w:type="dxa"/>
          </w:tcPr>
          <w:p w14:paraId="51F8537B"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Sub-basin</w:t>
            </w:r>
          </w:p>
        </w:tc>
        <w:tc>
          <w:tcPr>
            <w:tcW w:w="1701" w:type="dxa"/>
          </w:tcPr>
          <w:p w14:paraId="3EA781CE"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Myitnge</w:t>
            </w:r>
          </w:p>
        </w:tc>
        <w:tc>
          <w:tcPr>
            <w:tcW w:w="1276" w:type="dxa"/>
          </w:tcPr>
          <w:p w14:paraId="3B2B99CC"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Shweli</w:t>
            </w:r>
          </w:p>
        </w:tc>
        <w:tc>
          <w:tcPr>
            <w:tcW w:w="1134" w:type="dxa"/>
          </w:tcPr>
          <w:p w14:paraId="12B7F869"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Paung Laung</w:t>
            </w:r>
          </w:p>
        </w:tc>
        <w:tc>
          <w:tcPr>
            <w:tcW w:w="1417" w:type="dxa"/>
          </w:tcPr>
          <w:p w14:paraId="36C18AB1"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Dapein</w:t>
            </w:r>
          </w:p>
        </w:tc>
        <w:tc>
          <w:tcPr>
            <w:tcW w:w="1508" w:type="dxa"/>
          </w:tcPr>
          <w:p w14:paraId="39F28B22"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Thauk Ye Khat</w:t>
            </w:r>
          </w:p>
        </w:tc>
      </w:tr>
      <w:tr w:rsidR="00004C8C" w:rsidRPr="00F3010B" w14:paraId="06B90503" w14:textId="77777777" w:rsidTr="00004C8C">
        <w:tc>
          <w:tcPr>
            <w:tcW w:w="1980" w:type="dxa"/>
          </w:tcPr>
          <w:p w14:paraId="5D2EF204"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Status</w:t>
            </w:r>
          </w:p>
        </w:tc>
        <w:tc>
          <w:tcPr>
            <w:tcW w:w="1701" w:type="dxa"/>
          </w:tcPr>
          <w:p w14:paraId="6D077EA2"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Built</w:t>
            </w:r>
          </w:p>
        </w:tc>
        <w:tc>
          <w:tcPr>
            <w:tcW w:w="1276" w:type="dxa"/>
          </w:tcPr>
          <w:p w14:paraId="5391FE5E"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Built</w:t>
            </w:r>
          </w:p>
        </w:tc>
        <w:tc>
          <w:tcPr>
            <w:tcW w:w="1134" w:type="dxa"/>
          </w:tcPr>
          <w:p w14:paraId="22D83D2F"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Built</w:t>
            </w:r>
          </w:p>
        </w:tc>
        <w:tc>
          <w:tcPr>
            <w:tcW w:w="1417" w:type="dxa"/>
          </w:tcPr>
          <w:p w14:paraId="5CAFF02A"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Built</w:t>
            </w:r>
          </w:p>
        </w:tc>
        <w:tc>
          <w:tcPr>
            <w:tcW w:w="1508" w:type="dxa"/>
          </w:tcPr>
          <w:p w14:paraId="649D6F05"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Built</w:t>
            </w:r>
          </w:p>
        </w:tc>
      </w:tr>
      <w:tr w:rsidR="00004C8C" w:rsidRPr="00F3010B" w14:paraId="738E2571" w14:textId="77777777" w:rsidTr="00004C8C">
        <w:tc>
          <w:tcPr>
            <w:tcW w:w="1980" w:type="dxa"/>
          </w:tcPr>
          <w:p w14:paraId="0301F0AD"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Developer</w:t>
            </w:r>
          </w:p>
        </w:tc>
        <w:tc>
          <w:tcPr>
            <w:tcW w:w="1701" w:type="dxa"/>
          </w:tcPr>
          <w:p w14:paraId="7C7AD33E" w14:textId="77777777" w:rsidR="00004C8C" w:rsidRPr="00F3010B" w:rsidRDefault="00004C8C" w:rsidP="004F2BB1">
            <w:pPr>
              <w:rPr>
                <w:rFonts w:ascii="Times New Roman" w:hAnsi="Times New Roman" w:cs="Times New Roman"/>
                <w:sz w:val="16"/>
                <w:szCs w:val="16"/>
              </w:rPr>
            </w:pPr>
            <w:r w:rsidRPr="00A460AC">
              <w:rPr>
                <w:rFonts w:ascii="Times New Roman" w:hAnsi="Times New Roman" w:cs="Times New Roman"/>
                <w:sz w:val="16"/>
                <w:szCs w:val="16"/>
              </w:rPr>
              <w:t>Ministry of Electricity and Energy</w:t>
            </w:r>
            <w:r>
              <w:rPr>
                <w:rFonts w:ascii="Times New Roman" w:hAnsi="Times New Roman" w:cs="Times New Roman"/>
                <w:sz w:val="16"/>
                <w:szCs w:val="16"/>
              </w:rPr>
              <w:t xml:space="preserve"> (</w:t>
            </w:r>
            <w:r w:rsidRPr="00F3010B">
              <w:rPr>
                <w:rFonts w:ascii="Times New Roman" w:hAnsi="Times New Roman" w:cs="Times New Roman"/>
                <w:sz w:val="16"/>
                <w:szCs w:val="16"/>
              </w:rPr>
              <w:t>MoEE</w:t>
            </w:r>
            <w:r>
              <w:rPr>
                <w:rFonts w:ascii="Times New Roman" w:hAnsi="Times New Roman" w:cs="Times New Roman"/>
                <w:sz w:val="16"/>
                <w:szCs w:val="16"/>
              </w:rPr>
              <w:t>)</w:t>
            </w:r>
          </w:p>
        </w:tc>
        <w:tc>
          <w:tcPr>
            <w:tcW w:w="1276" w:type="dxa"/>
          </w:tcPr>
          <w:p w14:paraId="0F06ECC9"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China Datang</w:t>
            </w:r>
          </w:p>
        </w:tc>
        <w:tc>
          <w:tcPr>
            <w:tcW w:w="1134" w:type="dxa"/>
          </w:tcPr>
          <w:p w14:paraId="17B69DC9" w14:textId="77777777" w:rsidR="00004C8C" w:rsidRPr="00F3010B" w:rsidRDefault="00004C8C" w:rsidP="004F2BB1">
            <w:pPr>
              <w:rPr>
                <w:rFonts w:ascii="Times New Roman" w:hAnsi="Times New Roman" w:cs="Times New Roman"/>
                <w:sz w:val="16"/>
                <w:szCs w:val="16"/>
              </w:rPr>
            </w:pPr>
            <w:r w:rsidRPr="00A460AC">
              <w:rPr>
                <w:rFonts w:ascii="Times New Roman" w:hAnsi="Times New Roman" w:cs="Times New Roman"/>
                <w:sz w:val="16"/>
                <w:szCs w:val="16"/>
              </w:rPr>
              <w:t>Ministry of Electricity and Energy</w:t>
            </w:r>
            <w:r>
              <w:rPr>
                <w:rFonts w:ascii="Times New Roman" w:hAnsi="Times New Roman" w:cs="Times New Roman"/>
                <w:sz w:val="16"/>
                <w:szCs w:val="16"/>
              </w:rPr>
              <w:t xml:space="preserve"> (</w:t>
            </w:r>
            <w:r w:rsidRPr="00F3010B">
              <w:rPr>
                <w:rFonts w:ascii="Times New Roman" w:hAnsi="Times New Roman" w:cs="Times New Roman"/>
                <w:sz w:val="16"/>
                <w:szCs w:val="16"/>
              </w:rPr>
              <w:t>MoEE</w:t>
            </w:r>
            <w:r>
              <w:rPr>
                <w:rFonts w:ascii="Times New Roman" w:hAnsi="Times New Roman" w:cs="Times New Roman"/>
                <w:sz w:val="16"/>
                <w:szCs w:val="16"/>
              </w:rPr>
              <w:t>)</w:t>
            </w:r>
          </w:p>
        </w:tc>
        <w:tc>
          <w:tcPr>
            <w:tcW w:w="1417" w:type="dxa"/>
          </w:tcPr>
          <w:p w14:paraId="53CFD56D"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China Datang</w:t>
            </w:r>
          </w:p>
        </w:tc>
        <w:tc>
          <w:tcPr>
            <w:tcW w:w="1508" w:type="dxa"/>
          </w:tcPr>
          <w:p w14:paraId="673B9348"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Gold Energy</w:t>
            </w:r>
          </w:p>
        </w:tc>
      </w:tr>
      <w:tr w:rsidR="00004C8C" w:rsidRPr="00F3010B" w14:paraId="497F7A16" w14:textId="77777777" w:rsidTr="00004C8C">
        <w:tc>
          <w:tcPr>
            <w:tcW w:w="1980" w:type="dxa"/>
          </w:tcPr>
          <w:p w14:paraId="2F3F5CA8"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Country</w:t>
            </w:r>
          </w:p>
        </w:tc>
        <w:tc>
          <w:tcPr>
            <w:tcW w:w="1701" w:type="dxa"/>
          </w:tcPr>
          <w:p w14:paraId="2CD27592"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Myanmar</w:t>
            </w:r>
          </w:p>
        </w:tc>
        <w:tc>
          <w:tcPr>
            <w:tcW w:w="1276" w:type="dxa"/>
          </w:tcPr>
          <w:p w14:paraId="20F52208"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People Republic of China</w:t>
            </w:r>
          </w:p>
        </w:tc>
        <w:tc>
          <w:tcPr>
            <w:tcW w:w="1134" w:type="dxa"/>
          </w:tcPr>
          <w:p w14:paraId="77274506"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Myanmar</w:t>
            </w:r>
          </w:p>
        </w:tc>
        <w:tc>
          <w:tcPr>
            <w:tcW w:w="1417" w:type="dxa"/>
          </w:tcPr>
          <w:p w14:paraId="388FF942"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People Republic of China</w:t>
            </w:r>
          </w:p>
        </w:tc>
        <w:tc>
          <w:tcPr>
            <w:tcW w:w="1508" w:type="dxa"/>
          </w:tcPr>
          <w:p w14:paraId="065A190B"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Myanmar</w:t>
            </w:r>
          </w:p>
        </w:tc>
      </w:tr>
      <w:tr w:rsidR="00004C8C" w:rsidRPr="00F3010B" w14:paraId="4479476A" w14:textId="77777777" w:rsidTr="00004C8C">
        <w:tc>
          <w:tcPr>
            <w:tcW w:w="1980" w:type="dxa"/>
          </w:tcPr>
          <w:p w14:paraId="3A7B7596"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Investment Type</w:t>
            </w:r>
          </w:p>
        </w:tc>
        <w:tc>
          <w:tcPr>
            <w:tcW w:w="1701" w:type="dxa"/>
          </w:tcPr>
          <w:p w14:paraId="2D5ABBEF"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 xml:space="preserve">Sole </w:t>
            </w:r>
          </w:p>
        </w:tc>
        <w:tc>
          <w:tcPr>
            <w:tcW w:w="1276" w:type="dxa"/>
          </w:tcPr>
          <w:p w14:paraId="0CE87B65"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Foreign Joint Venture</w:t>
            </w:r>
          </w:p>
        </w:tc>
        <w:tc>
          <w:tcPr>
            <w:tcW w:w="1134" w:type="dxa"/>
          </w:tcPr>
          <w:p w14:paraId="4DD294AD"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Sole</w:t>
            </w:r>
          </w:p>
        </w:tc>
        <w:tc>
          <w:tcPr>
            <w:tcW w:w="1417" w:type="dxa"/>
          </w:tcPr>
          <w:p w14:paraId="229E9986"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Foreign Joint Venture</w:t>
            </w:r>
          </w:p>
        </w:tc>
        <w:tc>
          <w:tcPr>
            <w:tcW w:w="1508" w:type="dxa"/>
          </w:tcPr>
          <w:p w14:paraId="39747A01"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Sole</w:t>
            </w:r>
          </w:p>
        </w:tc>
      </w:tr>
      <w:tr w:rsidR="00004C8C" w:rsidRPr="00F3010B" w14:paraId="275DDA51" w14:textId="77777777" w:rsidTr="00004C8C">
        <w:tc>
          <w:tcPr>
            <w:tcW w:w="1980" w:type="dxa"/>
          </w:tcPr>
          <w:p w14:paraId="7BB5792F"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Commission Year</w:t>
            </w:r>
          </w:p>
        </w:tc>
        <w:tc>
          <w:tcPr>
            <w:tcW w:w="1701" w:type="dxa"/>
          </w:tcPr>
          <w:p w14:paraId="7BF6EB71"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2010</w:t>
            </w:r>
          </w:p>
        </w:tc>
        <w:tc>
          <w:tcPr>
            <w:tcW w:w="1276" w:type="dxa"/>
          </w:tcPr>
          <w:p w14:paraId="4AB3597E"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2009</w:t>
            </w:r>
          </w:p>
        </w:tc>
        <w:tc>
          <w:tcPr>
            <w:tcW w:w="1134" w:type="dxa"/>
          </w:tcPr>
          <w:p w14:paraId="5D7D11F6"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2005</w:t>
            </w:r>
          </w:p>
        </w:tc>
        <w:tc>
          <w:tcPr>
            <w:tcW w:w="1417" w:type="dxa"/>
          </w:tcPr>
          <w:p w14:paraId="2226E662"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2011</w:t>
            </w:r>
          </w:p>
        </w:tc>
        <w:tc>
          <w:tcPr>
            <w:tcW w:w="1508" w:type="dxa"/>
          </w:tcPr>
          <w:p w14:paraId="4960F32D"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2014</w:t>
            </w:r>
          </w:p>
        </w:tc>
      </w:tr>
      <w:tr w:rsidR="00004C8C" w:rsidRPr="00F3010B" w14:paraId="2D9DAD9D" w14:textId="77777777" w:rsidTr="00004C8C">
        <w:tc>
          <w:tcPr>
            <w:tcW w:w="1980" w:type="dxa"/>
          </w:tcPr>
          <w:p w14:paraId="568D2E84"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System Design</w:t>
            </w:r>
          </w:p>
        </w:tc>
        <w:tc>
          <w:tcPr>
            <w:tcW w:w="1701" w:type="dxa"/>
          </w:tcPr>
          <w:p w14:paraId="013E56AC"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Run-of-River</w:t>
            </w:r>
          </w:p>
        </w:tc>
        <w:tc>
          <w:tcPr>
            <w:tcW w:w="1276" w:type="dxa"/>
          </w:tcPr>
          <w:p w14:paraId="4F8FBA5B"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Run-of-River</w:t>
            </w:r>
          </w:p>
        </w:tc>
        <w:tc>
          <w:tcPr>
            <w:tcW w:w="1134" w:type="dxa"/>
          </w:tcPr>
          <w:p w14:paraId="57ED25E7"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Run-of-River</w:t>
            </w:r>
          </w:p>
        </w:tc>
        <w:tc>
          <w:tcPr>
            <w:tcW w:w="1417" w:type="dxa"/>
          </w:tcPr>
          <w:p w14:paraId="3FD3E2FD"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Run-of-River</w:t>
            </w:r>
          </w:p>
        </w:tc>
        <w:tc>
          <w:tcPr>
            <w:tcW w:w="1508" w:type="dxa"/>
          </w:tcPr>
          <w:p w14:paraId="3EB7D61B"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Run-of-River</w:t>
            </w:r>
          </w:p>
        </w:tc>
      </w:tr>
      <w:tr w:rsidR="00004C8C" w:rsidRPr="00F3010B" w14:paraId="2583AACC" w14:textId="77777777" w:rsidTr="00004C8C">
        <w:tc>
          <w:tcPr>
            <w:tcW w:w="1980" w:type="dxa"/>
          </w:tcPr>
          <w:p w14:paraId="151A37C7"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Installed Capacity (MW)</w:t>
            </w:r>
          </w:p>
        </w:tc>
        <w:tc>
          <w:tcPr>
            <w:tcW w:w="1701" w:type="dxa"/>
          </w:tcPr>
          <w:p w14:paraId="29DA9BAB"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790</w:t>
            </w:r>
          </w:p>
        </w:tc>
        <w:tc>
          <w:tcPr>
            <w:tcW w:w="1276" w:type="dxa"/>
          </w:tcPr>
          <w:p w14:paraId="4292C8CF"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600</w:t>
            </w:r>
          </w:p>
        </w:tc>
        <w:tc>
          <w:tcPr>
            <w:tcW w:w="1134" w:type="dxa"/>
          </w:tcPr>
          <w:p w14:paraId="142E974D"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280</w:t>
            </w:r>
          </w:p>
        </w:tc>
        <w:tc>
          <w:tcPr>
            <w:tcW w:w="1417" w:type="dxa"/>
          </w:tcPr>
          <w:p w14:paraId="5A6F203D"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240</w:t>
            </w:r>
          </w:p>
        </w:tc>
        <w:tc>
          <w:tcPr>
            <w:tcW w:w="1508" w:type="dxa"/>
          </w:tcPr>
          <w:p w14:paraId="7434B7FF"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120</w:t>
            </w:r>
          </w:p>
        </w:tc>
      </w:tr>
      <w:tr w:rsidR="00004C8C" w:rsidRPr="00F3010B" w14:paraId="57725E6D" w14:textId="77777777" w:rsidTr="00004C8C">
        <w:tc>
          <w:tcPr>
            <w:tcW w:w="1980" w:type="dxa"/>
          </w:tcPr>
          <w:p w14:paraId="473C2302"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Domestic Use (MW)</w:t>
            </w:r>
          </w:p>
        </w:tc>
        <w:tc>
          <w:tcPr>
            <w:tcW w:w="1701" w:type="dxa"/>
          </w:tcPr>
          <w:p w14:paraId="6917E7D4"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790</w:t>
            </w:r>
          </w:p>
        </w:tc>
        <w:tc>
          <w:tcPr>
            <w:tcW w:w="1276" w:type="dxa"/>
          </w:tcPr>
          <w:p w14:paraId="5525A3A1"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400</w:t>
            </w:r>
          </w:p>
        </w:tc>
        <w:tc>
          <w:tcPr>
            <w:tcW w:w="1134" w:type="dxa"/>
          </w:tcPr>
          <w:p w14:paraId="20033BBF"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280</w:t>
            </w:r>
          </w:p>
        </w:tc>
        <w:tc>
          <w:tcPr>
            <w:tcW w:w="1417" w:type="dxa"/>
          </w:tcPr>
          <w:p w14:paraId="3717C336"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19</w:t>
            </w:r>
          </w:p>
        </w:tc>
        <w:tc>
          <w:tcPr>
            <w:tcW w:w="1508" w:type="dxa"/>
          </w:tcPr>
          <w:p w14:paraId="25A8CAA2"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120</w:t>
            </w:r>
          </w:p>
        </w:tc>
      </w:tr>
      <w:tr w:rsidR="00004C8C" w:rsidRPr="00F3010B" w14:paraId="62F79293" w14:textId="77777777" w:rsidTr="00004C8C">
        <w:tc>
          <w:tcPr>
            <w:tcW w:w="1980" w:type="dxa"/>
          </w:tcPr>
          <w:p w14:paraId="599D5091"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Export</w:t>
            </w:r>
          </w:p>
        </w:tc>
        <w:tc>
          <w:tcPr>
            <w:tcW w:w="1701" w:type="dxa"/>
          </w:tcPr>
          <w:p w14:paraId="0328A3C5"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0</w:t>
            </w:r>
          </w:p>
        </w:tc>
        <w:tc>
          <w:tcPr>
            <w:tcW w:w="1276" w:type="dxa"/>
          </w:tcPr>
          <w:p w14:paraId="491F6EEB"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200</w:t>
            </w:r>
          </w:p>
        </w:tc>
        <w:tc>
          <w:tcPr>
            <w:tcW w:w="1134" w:type="dxa"/>
          </w:tcPr>
          <w:p w14:paraId="55EF099C"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0</w:t>
            </w:r>
          </w:p>
        </w:tc>
        <w:tc>
          <w:tcPr>
            <w:tcW w:w="1417" w:type="dxa"/>
          </w:tcPr>
          <w:p w14:paraId="4E508727"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221</w:t>
            </w:r>
          </w:p>
        </w:tc>
        <w:tc>
          <w:tcPr>
            <w:tcW w:w="1508" w:type="dxa"/>
          </w:tcPr>
          <w:p w14:paraId="025DC913"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0</w:t>
            </w:r>
          </w:p>
        </w:tc>
      </w:tr>
      <w:tr w:rsidR="00004C8C" w:rsidRPr="00F3010B" w14:paraId="1B39146A" w14:textId="77777777" w:rsidTr="00004C8C">
        <w:tc>
          <w:tcPr>
            <w:tcW w:w="1980" w:type="dxa"/>
          </w:tcPr>
          <w:p w14:paraId="4EBF05D8"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Annual Generation (GWh)</w:t>
            </w:r>
          </w:p>
        </w:tc>
        <w:tc>
          <w:tcPr>
            <w:tcW w:w="1701" w:type="dxa"/>
          </w:tcPr>
          <w:p w14:paraId="1150044A"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3550</w:t>
            </w:r>
          </w:p>
        </w:tc>
        <w:tc>
          <w:tcPr>
            <w:tcW w:w="1276" w:type="dxa"/>
          </w:tcPr>
          <w:p w14:paraId="45C15609"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4022</w:t>
            </w:r>
          </w:p>
        </w:tc>
        <w:tc>
          <w:tcPr>
            <w:tcW w:w="1134" w:type="dxa"/>
          </w:tcPr>
          <w:p w14:paraId="250E783B"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911</w:t>
            </w:r>
          </w:p>
        </w:tc>
        <w:tc>
          <w:tcPr>
            <w:tcW w:w="1417" w:type="dxa"/>
          </w:tcPr>
          <w:p w14:paraId="3727248F"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1065</w:t>
            </w:r>
          </w:p>
        </w:tc>
        <w:tc>
          <w:tcPr>
            <w:tcW w:w="1508" w:type="dxa"/>
          </w:tcPr>
          <w:p w14:paraId="73B25378"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604</w:t>
            </w:r>
          </w:p>
        </w:tc>
      </w:tr>
      <w:tr w:rsidR="00004C8C" w:rsidRPr="00F3010B" w14:paraId="05F1B9CD" w14:textId="77777777" w:rsidTr="00004C8C">
        <w:tc>
          <w:tcPr>
            <w:tcW w:w="1980" w:type="dxa"/>
          </w:tcPr>
          <w:p w14:paraId="77D0D6AF"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Firm Power (MW)</w:t>
            </w:r>
          </w:p>
        </w:tc>
        <w:tc>
          <w:tcPr>
            <w:tcW w:w="1701" w:type="dxa"/>
          </w:tcPr>
          <w:p w14:paraId="21C8EFE9"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175</w:t>
            </w:r>
          </w:p>
        </w:tc>
        <w:tc>
          <w:tcPr>
            <w:tcW w:w="1276" w:type="dxa"/>
          </w:tcPr>
          <w:p w14:paraId="34A88CB2"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175</w:t>
            </w:r>
          </w:p>
        </w:tc>
        <w:tc>
          <w:tcPr>
            <w:tcW w:w="1134" w:type="dxa"/>
          </w:tcPr>
          <w:p w14:paraId="412A5458"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104</w:t>
            </w:r>
          </w:p>
        </w:tc>
        <w:tc>
          <w:tcPr>
            <w:tcW w:w="1417" w:type="dxa"/>
          </w:tcPr>
          <w:p w14:paraId="0FF278FB"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30</w:t>
            </w:r>
          </w:p>
        </w:tc>
        <w:tc>
          <w:tcPr>
            <w:tcW w:w="1508" w:type="dxa"/>
          </w:tcPr>
          <w:p w14:paraId="6417F3D2"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101</w:t>
            </w:r>
          </w:p>
        </w:tc>
      </w:tr>
      <w:tr w:rsidR="00004C8C" w:rsidRPr="00F3010B" w14:paraId="15356E97" w14:textId="77777777" w:rsidTr="00004C8C">
        <w:tc>
          <w:tcPr>
            <w:tcW w:w="1980" w:type="dxa"/>
          </w:tcPr>
          <w:p w14:paraId="2571A047"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Dam Type</w:t>
            </w:r>
          </w:p>
        </w:tc>
        <w:tc>
          <w:tcPr>
            <w:tcW w:w="1701" w:type="dxa"/>
          </w:tcPr>
          <w:p w14:paraId="131E7D1E" w14:textId="77777777" w:rsidR="00004C8C" w:rsidRPr="00F3010B" w:rsidRDefault="00004C8C" w:rsidP="004F2BB1">
            <w:pPr>
              <w:rPr>
                <w:rFonts w:ascii="Times New Roman" w:hAnsi="Times New Roman" w:cs="Times New Roman"/>
                <w:sz w:val="16"/>
                <w:szCs w:val="16"/>
              </w:rPr>
            </w:pPr>
            <w:r>
              <w:rPr>
                <w:rFonts w:ascii="Times New Roman" w:hAnsi="Times New Roman" w:cs="Times New Roman"/>
                <w:sz w:val="16"/>
                <w:szCs w:val="16"/>
              </w:rPr>
              <w:t>Roller-Compacted-Concrete (</w:t>
            </w:r>
            <w:r w:rsidRPr="00F3010B">
              <w:rPr>
                <w:rFonts w:ascii="Times New Roman" w:hAnsi="Times New Roman" w:cs="Times New Roman"/>
                <w:sz w:val="16"/>
                <w:szCs w:val="16"/>
              </w:rPr>
              <w:t>RCC</w:t>
            </w:r>
            <w:r>
              <w:rPr>
                <w:rFonts w:ascii="Times New Roman" w:hAnsi="Times New Roman" w:cs="Times New Roman"/>
                <w:sz w:val="16"/>
                <w:szCs w:val="16"/>
              </w:rPr>
              <w:t>)</w:t>
            </w:r>
          </w:p>
        </w:tc>
        <w:tc>
          <w:tcPr>
            <w:tcW w:w="1276" w:type="dxa"/>
          </w:tcPr>
          <w:p w14:paraId="13B299A7" w14:textId="77777777" w:rsidR="00004C8C" w:rsidRPr="00F3010B" w:rsidRDefault="00004C8C" w:rsidP="004F2BB1">
            <w:pPr>
              <w:rPr>
                <w:rFonts w:ascii="Times New Roman" w:hAnsi="Times New Roman" w:cs="Times New Roman"/>
                <w:sz w:val="16"/>
                <w:szCs w:val="16"/>
              </w:rPr>
            </w:pPr>
            <w:r>
              <w:rPr>
                <w:rFonts w:ascii="Times New Roman" w:hAnsi="Times New Roman" w:cs="Times New Roman"/>
                <w:sz w:val="16"/>
                <w:szCs w:val="16"/>
              </w:rPr>
              <w:t>Roller-Compacted-Concrete (</w:t>
            </w:r>
            <w:r w:rsidRPr="00F3010B">
              <w:rPr>
                <w:rFonts w:ascii="Times New Roman" w:hAnsi="Times New Roman" w:cs="Times New Roman"/>
                <w:sz w:val="16"/>
                <w:szCs w:val="16"/>
              </w:rPr>
              <w:t>RCC</w:t>
            </w:r>
            <w:r>
              <w:rPr>
                <w:rFonts w:ascii="Times New Roman" w:hAnsi="Times New Roman" w:cs="Times New Roman"/>
                <w:sz w:val="16"/>
                <w:szCs w:val="16"/>
              </w:rPr>
              <w:t>)</w:t>
            </w:r>
          </w:p>
        </w:tc>
        <w:tc>
          <w:tcPr>
            <w:tcW w:w="1134" w:type="dxa"/>
          </w:tcPr>
          <w:p w14:paraId="45BD6685" w14:textId="77777777" w:rsidR="00004C8C" w:rsidRPr="00F3010B" w:rsidRDefault="00004C8C" w:rsidP="004F2BB1">
            <w:pPr>
              <w:rPr>
                <w:rFonts w:ascii="Times New Roman" w:hAnsi="Times New Roman" w:cs="Times New Roman"/>
                <w:sz w:val="16"/>
                <w:szCs w:val="16"/>
              </w:rPr>
            </w:pPr>
            <w:r>
              <w:rPr>
                <w:rFonts w:ascii="Times New Roman" w:hAnsi="Times New Roman" w:cs="Times New Roman"/>
                <w:sz w:val="16"/>
                <w:szCs w:val="16"/>
              </w:rPr>
              <w:t>Roller-Compacted-Concrete (</w:t>
            </w:r>
            <w:r w:rsidRPr="00F3010B">
              <w:rPr>
                <w:rFonts w:ascii="Times New Roman" w:hAnsi="Times New Roman" w:cs="Times New Roman"/>
                <w:sz w:val="16"/>
                <w:szCs w:val="16"/>
              </w:rPr>
              <w:t>RCC</w:t>
            </w:r>
            <w:r>
              <w:rPr>
                <w:rFonts w:ascii="Times New Roman" w:hAnsi="Times New Roman" w:cs="Times New Roman"/>
                <w:sz w:val="16"/>
                <w:szCs w:val="16"/>
              </w:rPr>
              <w:t>)</w:t>
            </w:r>
          </w:p>
        </w:tc>
        <w:tc>
          <w:tcPr>
            <w:tcW w:w="1417" w:type="dxa"/>
          </w:tcPr>
          <w:p w14:paraId="0E12E7C4"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Concrete</w:t>
            </w:r>
          </w:p>
        </w:tc>
        <w:tc>
          <w:tcPr>
            <w:tcW w:w="1508" w:type="dxa"/>
          </w:tcPr>
          <w:p w14:paraId="06520FD1"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Earth</w:t>
            </w:r>
          </w:p>
        </w:tc>
      </w:tr>
      <w:tr w:rsidR="00004C8C" w:rsidRPr="00F3010B" w14:paraId="60F839CC" w14:textId="77777777" w:rsidTr="00004C8C">
        <w:tc>
          <w:tcPr>
            <w:tcW w:w="1980" w:type="dxa"/>
          </w:tcPr>
          <w:p w14:paraId="3DE04A08" w14:textId="77777777" w:rsidR="00004C8C" w:rsidRPr="00F3010B" w:rsidRDefault="00004C8C" w:rsidP="004F2BB1">
            <w:pPr>
              <w:rPr>
                <w:rFonts w:ascii="Times New Roman" w:hAnsi="Times New Roman" w:cs="Times New Roman"/>
                <w:sz w:val="16"/>
                <w:szCs w:val="16"/>
              </w:rPr>
            </w:pPr>
            <w:r>
              <w:rPr>
                <w:rFonts w:ascii="Times New Roman" w:hAnsi="Times New Roman" w:cs="Times New Roman"/>
                <w:sz w:val="16"/>
                <w:szCs w:val="16"/>
              </w:rPr>
              <w:t>Dam Height (m)</w:t>
            </w:r>
          </w:p>
        </w:tc>
        <w:tc>
          <w:tcPr>
            <w:tcW w:w="1701" w:type="dxa"/>
          </w:tcPr>
          <w:p w14:paraId="6084F111" w14:textId="77777777" w:rsidR="00004C8C" w:rsidRDefault="00004C8C" w:rsidP="004F2BB1">
            <w:pPr>
              <w:rPr>
                <w:rFonts w:ascii="Times New Roman" w:hAnsi="Times New Roman" w:cs="Times New Roman"/>
                <w:sz w:val="16"/>
                <w:szCs w:val="16"/>
              </w:rPr>
            </w:pPr>
            <w:r>
              <w:rPr>
                <w:rFonts w:ascii="Times New Roman" w:hAnsi="Times New Roman" w:cs="Times New Roman"/>
                <w:sz w:val="16"/>
                <w:szCs w:val="16"/>
              </w:rPr>
              <w:t>132</w:t>
            </w:r>
          </w:p>
        </w:tc>
        <w:tc>
          <w:tcPr>
            <w:tcW w:w="1276" w:type="dxa"/>
          </w:tcPr>
          <w:p w14:paraId="6721030C" w14:textId="77777777" w:rsidR="00004C8C" w:rsidRDefault="00004C8C" w:rsidP="004F2BB1">
            <w:pPr>
              <w:rPr>
                <w:rFonts w:ascii="Times New Roman" w:hAnsi="Times New Roman" w:cs="Times New Roman"/>
                <w:sz w:val="16"/>
                <w:szCs w:val="16"/>
              </w:rPr>
            </w:pPr>
            <w:r>
              <w:rPr>
                <w:rFonts w:ascii="Times New Roman" w:hAnsi="Times New Roman" w:cs="Times New Roman"/>
                <w:sz w:val="16"/>
                <w:szCs w:val="16"/>
              </w:rPr>
              <w:t>47</w:t>
            </w:r>
          </w:p>
        </w:tc>
        <w:tc>
          <w:tcPr>
            <w:tcW w:w="1134" w:type="dxa"/>
          </w:tcPr>
          <w:p w14:paraId="787ED672" w14:textId="77777777" w:rsidR="00004C8C" w:rsidRDefault="00004C8C" w:rsidP="004F2BB1">
            <w:pPr>
              <w:rPr>
                <w:rFonts w:ascii="Times New Roman" w:hAnsi="Times New Roman" w:cs="Times New Roman"/>
                <w:sz w:val="16"/>
                <w:szCs w:val="16"/>
              </w:rPr>
            </w:pPr>
            <w:r>
              <w:rPr>
                <w:rFonts w:ascii="Times New Roman" w:hAnsi="Times New Roman" w:cs="Times New Roman"/>
                <w:sz w:val="16"/>
                <w:szCs w:val="16"/>
              </w:rPr>
              <w:t>131</w:t>
            </w:r>
          </w:p>
        </w:tc>
        <w:tc>
          <w:tcPr>
            <w:tcW w:w="1417" w:type="dxa"/>
          </w:tcPr>
          <w:p w14:paraId="34F5D39E" w14:textId="77777777" w:rsidR="00004C8C" w:rsidRPr="00F3010B" w:rsidRDefault="00004C8C" w:rsidP="004F2BB1">
            <w:pPr>
              <w:rPr>
                <w:rFonts w:ascii="Times New Roman" w:hAnsi="Times New Roman" w:cs="Times New Roman"/>
                <w:sz w:val="16"/>
                <w:szCs w:val="16"/>
              </w:rPr>
            </w:pPr>
            <w:r>
              <w:rPr>
                <w:rFonts w:ascii="Times New Roman" w:hAnsi="Times New Roman" w:cs="Times New Roman"/>
                <w:sz w:val="16"/>
                <w:szCs w:val="16"/>
              </w:rPr>
              <w:t>46</w:t>
            </w:r>
          </w:p>
        </w:tc>
        <w:tc>
          <w:tcPr>
            <w:tcW w:w="1508" w:type="dxa"/>
          </w:tcPr>
          <w:p w14:paraId="55C42625" w14:textId="77777777" w:rsidR="00004C8C" w:rsidRPr="00F3010B" w:rsidRDefault="00004C8C" w:rsidP="004F2BB1">
            <w:pPr>
              <w:rPr>
                <w:rFonts w:ascii="Times New Roman" w:hAnsi="Times New Roman" w:cs="Times New Roman"/>
                <w:sz w:val="16"/>
                <w:szCs w:val="16"/>
              </w:rPr>
            </w:pPr>
            <w:r>
              <w:rPr>
                <w:rFonts w:ascii="Times New Roman" w:hAnsi="Times New Roman" w:cs="Times New Roman"/>
                <w:sz w:val="16"/>
                <w:szCs w:val="16"/>
              </w:rPr>
              <w:t>94</w:t>
            </w:r>
          </w:p>
        </w:tc>
      </w:tr>
      <w:tr w:rsidR="00004C8C" w:rsidRPr="00F3010B" w14:paraId="50FFDD5C" w14:textId="77777777" w:rsidTr="00004C8C">
        <w:tc>
          <w:tcPr>
            <w:tcW w:w="1980" w:type="dxa"/>
          </w:tcPr>
          <w:p w14:paraId="2DCE3794" w14:textId="77777777" w:rsidR="00004C8C" w:rsidRPr="00F3010B" w:rsidRDefault="00004C8C" w:rsidP="004F2BB1">
            <w:pPr>
              <w:rPr>
                <w:rFonts w:ascii="Times New Roman" w:hAnsi="Times New Roman" w:cs="Times New Roman"/>
                <w:sz w:val="16"/>
                <w:szCs w:val="16"/>
              </w:rPr>
            </w:pPr>
            <w:bookmarkStart w:id="1" w:name="_Hlk40383453"/>
            <w:r w:rsidRPr="00F3010B">
              <w:rPr>
                <w:rFonts w:ascii="Times New Roman" w:hAnsi="Times New Roman" w:cs="Times New Roman"/>
                <w:sz w:val="16"/>
                <w:szCs w:val="16"/>
              </w:rPr>
              <w:t>Catchment Area (km</w:t>
            </w:r>
            <w:r w:rsidRPr="00D63049">
              <w:rPr>
                <w:rFonts w:ascii="Times New Roman" w:hAnsi="Times New Roman" w:cs="Times New Roman"/>
                <w:sz w:val="16"/>
                <w:szCs w:val="16"/>
                <w:vertAlign w:val="superscript"/>
              </w:rPr>
              <w:t>2</w:t>
            </w:r>
            <w:r w:rsidRPr="00F3010B">
              <w:rPr>
                <w:rFonts w:ascii="Times New Roman" w:hAnsi="Times New Roman" w:cs="Times New Roman"/>
                <w:sz w:val="16"/>
                <w:szCs w:val="16"/>
              </w:rPr>
              <w:t>)</w:t>
            </w:r>
          </w:p>
        </w:tc>
        <w:tc>
          <w:tcPr>
            <w:tcW w:w="1701" w:type="dxa"/>
          </w:tcPr>
          <w:p w14:paraId="5B36F4E4"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28,206</w:t>
            </w:r>
          </w:p>
          <w:p w14:paraId="665DBDA5" w14:textId="77777777" w:rsidR="00004C8C" w:rsidRPr="00F3010B" w:rsidRDefault="00004C8C" w:rsidP="004F2BB1">
            <w:pPr>
              <w:rPr>
                <w:rFonts w:ascii="Times New Roman" w:hAnsi="Times New Roman" w:cs="Times New Roman"/>
                <w:sz w:val="16"/>
                <w:szCs w:val="16"/>
              </w:rPr>
            </w:pPr>
          </w:p>
        </w:tc>
        <w:tc>
          <w:tcPr>
            <w:tcW w:w="1276" w:type="dxa"/>
          </w:tcPr>
          <w:p w14:paraId="35415595"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12,597</w:t>
            </w:r>
          </w:p>
          <w:p w14:paraId="267D0B86" w14:textId="77777777" w:rsidR="00004C8C" w:rsidRPr="00F3010B" w:rsidRDefault="00004C8C" w:rsidP="004F2BB1">
            <w:pPr>
              <w:rPr>
                <w:rFonts w:ascii="Times New Roman" w:hAnsi="Times New Roman" w:cs="Times New Roman"/>
                <w:sz w:val="16"/>
                <w:szCs w:val="16"/>
              </w:rPr>
            </w:pPr>
          </w:p>
        </w:tc>
        <w:tc>
          <w:tcPr>
            <w:tcW w:w="1134" w:type="dxa"/>
          </w:tcPr>
          <w:p w14:paraId="262FD7B7"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4,381</w:t>
            </w:r>
          </w:p>
          <w:p w14:paraId="14735EA0" w14:textId="77777777" w:rsidR="00004C8C" w:rsidRPr="00F3010B" w:rsidRDefault="00004C8C" w:rsidP="004F2BB1">
            <w:pPr>
              <w:rPr>
                <w:rFonts w:ascii="Times New Roman" w:hAnsi="Times New Roman" w:cs="Times New Roman"/>
                <w:sz w:val="16"/>
                <w:szCs w:val="16"/>
              </w:rPr>
            </w:pPr>
          </w:p>
        </w:tc>
        <w:tc>
          <w:tcPr>
            <w:tcW w:w="1417" w:type="dxa"/>
          </w:tcPr>
          <w:p w14:paraId="2901DD1E"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6,002</w:t>
            </w:r>
          </w:p>
          <w:p w14:paraId="478C9C31" w14:textId="77777777" w:rsidR="00004C8C" w:rsidRPr="00F3010B" w:rsidRDefault="00004C8C" w:rsidP="004F2BB1">
            <w:pPr>
              <w:rPr>
                <w:rFonts w:ascii="Times New Roman" w:hAnsi="Times New Roman" w:cs="Times New Roman"/>
                <w:sz w:val="16"/>
                <w:szCs w:val="16"/>
              </w:rPr>
            </w:pPr>
          </w:p>
        </w:tc>
        <w:tc>
          <w:tcPr>
            <w:tcW w:w="1508" w:type="dxa"/>
          </w:tcPr>
          <w:p w14:paraId="7850EAE6"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2,175</w:t>
            </w:r>
          </w:p>
          <w:p w14:paraId="5350775C" w14:textId="77777777" w:rsidR="00004C8C" w:rsidRPr="00F3010B" w:rsidRDefault="00004C8C" w:rsidP="004F2BB1">
            <w:pPr>
              <w:rPr>
                <w:rFonts w:ascii="Times New Roman" w:hAnsi="Times New Roman" w:cs="Times New Roman"/>
                <w:sz w:val="16"/>
                <w:szCs w:val="16"/>
              </w:rPr>
            </w:pPr>
          </w:p>
        </w:tc>
      </w:tr>
      <w:tr w:rsidR="00004C8C" w:rsidRPr="00F3010B" w14:paraId="13642931" w14:textId="77777777" w:rsidTr="00D52A5C">
        <w:tc>
          <w:tcPr>
            <w:tcW w:w="1980" w:type="dxa"/>
            <w:tcBorders>
              <w:bottom w:val="nil"/>
            </w:tcBorders>
          </w:tcPr>
          <w:p w14:paraId="02DC0391" w14:textId="49ABF3BA" w:rsidR="00004C8C" w:rsidRPr="00642D13" w:rsidRDefault="00004C8C" w:rsidP="004F2BB1">
            <w:pPr>
              <w:rPr>
                <w:rFonts w:ascii="Times New Roman" w:hAnsi="Times New Roman" w:cs="Times New Roman"/>
                <w:sz w:val="16"/>
                <w:szCs w:val="16"/>
              </w:rPr>
            </w:pPr>
            <w:r w:rsidRPr="00642D13">
              <w:rPr>
                <w:rFonts w:ascii="Times New Roman" w:hAnsi="Times New Roman" w:cs="Times New Roman"/>
                <w:sz w:val="16"/>
                <w:szCs w:val="16"/>
              </w:rPr>
              <w:t>Catchment Annual Rainfall</w:t>
            </w:r>
            <w:r w:rsidR="00C82029">
              <w:rPr>
                <w:rFonts w:ascii="Times New Roman" w:hAnsi="Times New Roman" w:cs="Times New Roman"/>
                <w:sz w:val="16"/>
                <w:szCs w:val="16"/>
              </w:rPr>
              <w:t xml:space="preserve"> (mm)</w:t>
            </w:r>
          </w:p>
        </w:tc>
        <w:tc>
          <w:tcPr>
            <w:tcW w:w="1701" w:type="dxa"/>
            <w:tcBorders>
              <w:bottom w:val="nil"/>
            </w:tcBorders>
          </w:tcPr>
          <w:p w14:paraId="4D818FCA"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838</w:t>
            </w:r>
          </w:p>
          <w:p w14:paraId="7E762879" w14:textId="77777777" w:rsidR="00004C8C" w:rsidRPr="00F3010B" w:rsidRDefault="00004C8C" w:rsidP="004F2BB1">
            <w:pPr>
              <w:rPr>
                <w:rFonts w:ascii="Times New Roman" w:hAnsi="Times New Roman" w:cs="Times New Roman"/>
                <w:sz w:val="16"/>
                <w:szCs w:val="16"/>
              </w:rPr>
            </w:pPr>
          </w:p>
        </w:tc>
        <w:tc>
          <w:tcPr>
            <w:tcW w:w="1276" w:type="dxa"/>
            <w:tcBorders>
              <w:bottom w:val="nil"/>
            </w:tcBorders>
          </w:tcPr>
          <w:p w14:paraId="15FBB6FA"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1,418</w:t>
            </w:r>
          </w:p>
          <w:p w14:paraId="74A74299" w14:textId="77777777" w:rsidR="00004C8C" w:rsidRPr="00F3010B" w:rsidRDefault="00004C8C" w:rsidP="004F2BB1">
            <w:pPr>
              <w:rPr>
                <w:rFonts w:ascii="Times New Roman" w:hAnsi="Times New Roman" w:cs="Times New Roman"/>
                <w:sz w:val="16"/>
                <w:szCs w:val="16"/>
              </w:rPr>
            </w:pPr>
          </w:p>
        </w:tc>
        <w:tc>
          <w:tcPr>
            <w:tcW w:w="1134" w:type="dxa"/>
            <w:tcBorders>
              <w:bottom w:val="nil"/>
            </w:tcBorders>
          </w:tcPr>
          <w:p w14:paraId="4FB2E71C"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1,650</w:t>
            </w:r>
          </w:p>
          <w:p w14:paraId="1D58FD02" w14:textId="77777777" w:rsidR="00004C8C" w:rsidRPr="00F3010B" w:rsidRDefault="00004C8C" w:rsidP="004F2BB1">
            <w:pPr>
              <w:rPr>
                <w:rFonts w:ascii="Times New Roman" w:hAnsi="Times New Roman" w:cs="Times New Roman"/>
                <w:sz w:val="16"/>
                <w:szCs w:val="16"/>
              </w:rPr>
            </w:pPr>
          </w:p>
        </w:tc>
        <w:tc>
          <w:tcPr>
            <w:tcW w:w="1417" w:type="dxa"/>
            <w:tcBorders>
              <w:bottom w:val="nil"/>
            </w:tcBorders>
          </w:tcPr>
          <w:p w14:paraId="79EEF56A"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1,330</w:t>
            </w:r>
          </w:p>
          <w:p w14:paraId="5F49CC7B" w14:textId="77777777" w:rsidR="00004C8C" w:rsidRPr="00F3010B" w:rsidRDefault="00004C8C" w:rsidP="004F2BB1">
            <w:pPr>
              <w:rPr>
                <w:rFonts w:ascii="Times New Roman" w:hAnsi="Times New Roman" w:cs="Times New Roman"/>
                <w:sz w:val="16"/>
                <w:szCs w:val="16"/>
              </w:rPr>
            </w:pPr>
          </w:p>
        </w:tc>
        <w:tc>
          <w:tcPr>
            <w:tcW w:w="1508" w:type="dxa"/>
            <w:tcBorders>
              <w:bottom w:val="nil"/>
            </w:tcBorders>
          </w:tcPr>
          <w:p w14:paraId="2D3676F5"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2,692</w:t>
            </w:r>
          </w:p>
          <w:p w14:paraId="1D7E5A8A" w14:textId="77777777" w:rsidR="00004C8C" w:rsidRPr="00F3010B" w:rsidRDefault="00004C8C" w:rsidP="004F2BB1">
            <w:pPr>
              <w:rPr>
                <w:rFonts w:ascii="Times New Roman" w:hAnsi="Times New Roman" w:cs="Times New Roman"/>
                <w:sz w:val="16"/>
                <w:szCs w:val="16"/>
              </w:rPr>
            </w:pPr>
          </w:p>
        </w:tc>
      </w:tr>
      <w:tr w:rsidR="00004C8C" w:rsidRPr="00F3010B" w14:paraId="2A2C55CB" w14:textId="77777777" w:rsidTr="00D52A5C">
        <w:tc>
          <w:tcPr>
            <w:tcW w:w="1980" w:type="dxa"/>
            <w:tcBorders>
              <w:top w:val="nil"/>
            </w:tcBorders>
          </w:tcPr>
          <w:p w14:paraId="048CF41A" w14:textId="7D14CA9A" w:rsidR="00004C8C" w:rsidRPr="00642D13" w:rsidRDefault="00004C8C" w:rsidP="004F2BB1">
            <w:pPr>
              <w:rPr>
                <w:rFonts w:ascii="Times New Roman" w:hAnsi="Times New Roman" w:cs="Times New Roman"/>
                <w:sz w:val="16"/>
                <w:szCs w:val="16"/>
              </w:rPr>
            </w:pPr>
            <w:r w:rsidRPr="00642D13">
              <w:rPr>
                <w:rFonts w:ascii="Times New Roman" w:hAnsi="Times New Roman" w:cs="Times New Roman"/>
                <w:sz w:val="16"/>
                <w:szCs w:val="16"/>
              </w:rPr>
              <w:t>Mean Annual Inflow into Reservoir</w:t>
            </w:r>
            <w:r w:rsidR="00A24AA5">
              <w:rPr>
                <w:rFonts w:ascii="Times New Roman" w:hAnsi="Times New Roman" w:cs="Times New Roman"/>
                <w:sz w:val="16"/>
                <w:szCs w:val="16"/>
              </w:rPr>
              <w:t xml:space="preserve"> (m</w:t>
            </w:r>
            <w:r w:rsidR="00A24AA5" w:rsidRPr="00D63049">
              <w:rPr>
                <w:rFonts w:ascii="Times New Roman" w:hAnsi="Times New Roman" w:cs="Times New Roman"/>
                <w:sz w:val="16"/>
                <w:szCs w:val="16"/>
                <w:vertAlign w:val="superscript"/>
              </w:rPr>
              <w:t>3</w:t>
            </w:r>
            <w:r w:rsidR="00A24AA5">
              <w:rPr>
                <w:rFonts w:ascii="Times New Roman" w:hAnsi="Times New Roman" w:cs="Times New Roman"/>
                <w:sz w:val="16"/>
                <w:szCs w:val="16"/>
              </w:rPr>
              <w:t>/s)</w:t>
            </w:r>
          </w:p>
        </w:tc>
        <w:tc>
          <w:tcPr>
            <w:tcW w:w="1701" w:type="dxa"/>
            <w:tcBorders>
              <w:top w:val="nil"/>
            </w:tcBorders>
          </w:tcPr>
          <w:p w14:paraId="2E7D3EDF"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483.0</w:t>
            </w:r>
          </w:p>
          <w:p w14:paraId="15E1B80C" w14:textId="77777777" w:rsidR="00004C8C" w:rsidRPr="00F3010B" w:rsidRDefault="00004C8C" w:rsidP="004F2BB1">
            <w:pPr>
              <w:rPr>
                <w:rFonts w:ascii="Times New Roman" w:hAnsi="Times New Roman" w:cs="Times New Roman"/>
                <w:sz w:val="16"/>
                <w:szCs w:val="16"/>
              </w:rPr>
            </w:pPr>
          </w:p>
        </w:tc>
        <w:tc>
          <w:tcPr>
            <w:tcW w:w="1276" w:type="dxa"/>
            <w:tcBorders>
              <w:top w:val="nil"/>
            </w:tcBorders>
          </w:tcPr>
          <w:p w14:paraId="0F5E5F55"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400.0</w:t>
            </w:r>
          </w:p>
          <w:p w14:paraId="327BF17C" w14:textId="77777777" w:rsidR="00004C8C" w:rsidRPr="00F3010B" w:rsidRDefault="00004C8C" w:rsidP="004F2BB1">
            <w:pPr>
              <w:rPr>
                <w:rFonts w:ascii="Times New Roman" w:hAnsi="Times New Roman" w:cs="Times New Roman"/>
                <w:sz w:val="16"/>
                <w:szCs w:val="16"/>
              </w:rPr>
            </w:pPr>
          </w:p>
        </w:tc>
        <w:tc>
          <w:tcPr>
            <w:tcW w:w="1134" w:type="dxa"/>
            <w:tcBorders>
              <w:top w:val="nil"/>
            </w:tcBorders>
          </w:tcPr>
          <w:p w14:paraId="57EBDEF6"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128.0</w:t>
            </w:r>
          </w:p>
          <w:p w14:paraId="0ED5770F" w14:textId="77777777" w:rsidR="00004C8C" w:rsidRPr="00F3010B" w:rsidRDefault="00004C8C" w:rsidP="004F2BB1">
            <w:pPr>
              <w:rPr>
                <w:rFonts w:ascii="Times New Roman" w:hAnsi="Times New Roman" w:cs="Times New Roman"/>
                <w:sz w:val="16"/>
                <w:szCs w:val="16"/>
              </w:rPr>
            </w:pPr>
          </w:p>
        </w:tc>
        <w:tc>
          <w:tcPr>
            <w:tcW w:w="1417" w:type="dxa"/>
            <w:tcBorders>
              <w:top w:val="nil"/>
            </w:tcBorders>
          </w:tcPr>
          <w:p w14:paraId="2E453F4F"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319.0</w:t>
            </w:r>
          </w:p>
          <w:p w14:paraId="319A90C4" w14:textId="77777777" w:rsidR="00004C8C" w:rsidRPr="00F3010B" w:rsidRDefault="00004C8C" w:rsidP="004F2BB1">
            <w:pPr>
              <w:rPr>
                <w:rFonts w:ascii="Times New Roman" w:hAnsi="Times New Roman" w:cs="Times New Roman"/>
                <w:sz w:val="16"/>
                <w:szCs w:val="16"/>
              </w:rPr>
            </w:pPr>
          </w:p>
        </w:tc>
        <w:tc>
          <w:tcPr>
            <w:tcW w:w="1508" w:type="dxa"/>
            <w:tcBorders>
              <w:top w:val="nil"/>
            </w:tcBorders>
          </w:tcPr>
          <w:p w14:paraId="11B08B98"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50.5</w:t>
            </w:r>
          </w:p>
          <w:p w14:paraId="3CE7F845" w14:textId="77777777" w:rsidR="00004C8C" w:rsidRPr="00F3010B" w:rsidRDefault="00004C8C" w:rsidP="004F2BB1">
            <w:pPr>
              <w:rPr>
                <w:rFonts w:ascii="Times New Roman" w:hAnsi="Times New Roman" w:cs="Times New Roman"/>
                <w:sz w:val="16"/>
                <w:szCs w:val="16"/>
              </w:rPr>
            </w:pPr>
          </w:p>
        </w:tc>
      </w:tr>
      <w:tr w:rsidR="00004C8C" w:rsidRPr="00F3010B" w14:paraId="4F577D67" w14:textId="77777777" w:rsidTr="00D52A5C">
        <w:tc>
          <w:tcPr>
            <w:tcW w:w="1980" w:type="dxa"/>
            <w:tcBorders>
              <w:top w:val="nil"/>
            </w:tcBorders>
          </w:tcPr>
          <w:p w14:paraId="01E427B7" w14:textId="0CDD8D5D"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Reservoir Area (</w:t>
            </w:r>
            <w:r w:rsidR="00D266D7">
              <w:rPr>
                <w:rFonts w:ascii="Times New Roman" w:hAnsi="Times New Roman" w:cs="Times New Roman"/>
                <w:sz w:val="16"/>
                <w:szCs w:val="16"/>
              </w:rPr>
              <w:t>km</w:t>
            </w:r>
            <w:r w:rsidR="00F26DA4" w:rsidRPr="00D63049">
              <w:rPr>
                <w:rFonts w:ascii="Times New Roman" w:hAnsi="Times New Roman" w:cs="Times New Roman"/>
                <w:sz w:val="16"/>
                <w:szCs w:val="16"/>
                <w:vertAlign w:val="superscript"/>
              </w:rPr>
              <w:t>2</w:t>
            </w:r>
            <w:r w:rsidRPr="00F3010B">
              <w:rPr>
                <w:rFonts w:ascii="Times New Roman" w:hAnsi="Times New Roman" w:cs="Times New Roman"/>
                <w:sz w:val="16"/>
                <w:szCs w:val="16"/>
              </w:rPr>
              <w:t>)</w:t>
            </w:r>
          </w:p>
        </w:tc>
        <w:tc>
          <w:tcPr>
            <w:tcW w:w="1701" w:type="dxa"/>
            <w:tcBorders>
              <w:top w:val="nil"/>
            </w:tcBorders>
          </w:tcPr>
          <w:p w14:paraId="28D4383A"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59.0</w:t>
            </w:r>
          </w:p>
          <w:p w14:paraId="707DCB02" w14:textId="77777777" w:rsidR="00004C8C" w:rsidRPr="00F3010B" w:rsidRDefault="00004C8C" w:rsidP="004F2BB1">
            <w:pPr>
              <w:rPr>
                <w:rFonts w:ascii="Times New Roman" w:hAnsi="Times New Roman" w:cs="Times New Roman"/>
                <w:sz w:val="16"/>
                <w:szCs w:val="16"/>
              </w:rPr>
            </w:pPr>
          </w:p>
        </w:tc>
        <w:tc>
          <w:tcPr>
            <w:tcW w:w="1276" w:type="dxa"/>
            <w:tcBorders>
              <w:top w:val="nil"/>
            </w:tcBorders>
          </w:tcPr>
          <w:p w14:paraId="24E1F694"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1.1</w:t>
            </w:r>
          </w:p>
          <w:p w14:paraId="0BBD4025" w14:textId="77777777" w:rsidR="00004C8C" w:rsidRPr="00F3010B" w:rsidRDefault="00004C8C" w:rsidP="004F2BB1">
            <w:pPr>
              <w:rPr>
                <w:rFonts w:ascii="Times New Roman" w:hAnsi="Times New Roman" w:cs="Times New Roman"/>
                <w:sz w:val="16"/>
                <w:szCs w:val="16"/>
              </w:rPr>
            </w:pPr>
          </w:p>
        </w:tc>
        <w:tc>
          <w:tcPr>
            <w:tcW w:w="1134" w:type="dxa"/>
            <w:tcBorders>
              <w:top w:val="nil"/>
            </w:tcBorders>
          </w:tcPr>
          <w:p w14:paraId="76527DA4"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17.0</w:t>
            </w:r>
          </w:p>
          <w:p w14:paraId="55AAF13E" w14:textId="77777777" w:rsidR="00004C8C" w:rsidRPr="00F3010B" w:rsidRDefault="00004C8C" w:rsidP="004F2BB1">
            <w:pPr>
              <w:rPr>
                <w:rFonts w:ascii="Times New Roman" w:hAnsi="Times New Roman" w:cs="Times New Roman"/>
                <w:sz w:val="16"/>
                <w:szCs w:val="16"/>
              </w:rPr>
            </w:pPr>
          </w:p>
        </w:tc>
        <w:tc>
          <w:tcPr>
            <w:tcW w:w="1417" w:type="dxa"/>
            <w:tcBorders>
              <w:top w:val="nil"/>
            </w:tcBorders>
          </w:tcPr>
          <w:p w14:paraId="19F5AA52"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0.4</w:t>
            </w:r>
          </w:p>
          <w:p w14:paraId="0093DA9E" w14:textId="77777777" w:rsidR="00004C8C" w:rsidRPr="00F3010B" w:rsidRDefault="00004C8C" w:rsidP="004F2BB1">
            <w:pPr>
              <w:rPr>
                <w:rFonts w:ascii="Times New Roman" w:hAnsi="Times New Roman" w:cs="Times New Roman"/>
                <w:sz w:val="16"/>
                <w:szCs w:val="16"/>
              </w:rPr>
            </w:pPr>
          </w:p>
        </w:tc>
        <w:tc>
          <w:tcPr>
            <w:tcW w:w="1508" w:type="dxa"/>
            <w:tcBorders>
              <w:top w:val="nil"/>
            </w:tcBorders>
          </w:tcPr>
          <w:p w14:paraId="4336962C"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13.8</w:t>
            </w:r>
          </w:p>
          <w:p w14:paraId="202BE75C" w14:textId="77777777" w:rsidR="00004C8C" w:rsidRPr="00F3010B" w:rsidRDefault="00004C8C" w:rsidP="004F2BB1">
            <w:pPr>
              <w:rPr>
                <w:rFonts w:ascii="Times New Roman" w:hAnsi="Times New Roman" w:cs="Times New Roman"/>
                <w:sz w:val="16"/>
                <w:szCs w:val="16"/>
              </w:rPr>
            </w:pPr>
          </w:p>
        </w:tc>
      </w:tr>
      <w:bookmarkEnd w:id="1"/>
      <w:tr w:rsidR="00004C8C" w:rsidRPr="00F3010B" w14:paraId="44C16A13" w14:textId="77777777" w:rsidTr="00D52A5C">
        <w:tc>
          <w:tcPr>
            <w:tcW w:w="1980" w:type="dxa"/>
            <w:tcBorders>
              <w:top w:val="nil"/>
              <w:bottom w:val="single" w:sz="4" w:space="0" w:color="auto"/>
            </w:tcBorders>
          </w:tcPr>
          <w:p w14:paraId="6A72AF1C"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Power House Type</w:t>
            </w:r>
          </w:p>
        </w:tc>
        <w:tc>
          <w:tcPr>
            <w:tcW w:w="1701" w:type="dxa"/>
            <w:tcBorders>
              <w:top w:val="nil"/>
              <w:bottom w:val="single" w:sz="4" w:space="0" w:color="auto"/>
            </w:tcBorders>
          </w:tcPr>
          <w:p w14:paraId="4CB4A514"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Above Ground</w:t>
            </w:r>
          </w:p>
        </w:tc>
        <w:tc>
          <w:tcPr>
            <w:tcW w:w="1276" w:type="dxa"/>
            <w:tcBorders>
              <w:top w:val="nil"/>
              <w:bottom w:val="single" w:sz="4" w:space="0" w:color="auto"/>
            </w:tcBorders>
          </w:tcPr>
          <w:p w14:paraId="492DDD49"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Above Ground</w:t>
            </w:r>
          </w:p>
        </w:tc>
        <w:tc>
          <w:tcPr>
            <w:tcW w:w="1134" w:type="dxa"/>
            <w:tcBorders>
              <w:top w:val="nil"/>
              <w:bottom w:val="single" w:sz="4" w:space="0" w:color="auto"/>
            </w:tcBorders>
          </w:tcPr>
          <w:p w14:paraId="7F8F1E5F"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Above Ground</w:t>
            </w:r>
          </w:p>
        </w:tc>
        <w:tc>
          <w:tcPr>
            <w:tcW w:w="1417" w:type="dxa"/>
            <w:tcBorders>
              <w:top w:val="nil"/>
              <w:bottom w:val="single" w:sz="4" w:space="0" w:color="auto"/>
            </w:tcBorders>
          </w:tcPr>
          <w:p w14:paraId="308D0F16"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Above Ground</w:t>
            </w:r>
          </w:p>
        </w:tc>
        <w:tc>
          <w:tcPr>
            <w:tcW w:w="1508" w:type="dxa"/>
            <w:tcBorders>
              <w:top w:val="nil"/>
              <w:bottom w:val="single" w:sz="4" w:space="0" w:color="auto"/>
            </w:tcBorders>
          </w:tcPr>
          <w:p w14:paraId="2E887A1D" w14:textId="77777777" w:rsidR="00004C8C" w:rsidRPr="00F3010B" w:rsidRDefault="00004C8C" w:rsidP="004F2BB1">
            <w:pPr>
              <w:rPr>
                <w:rFonts w:ascii="Times New Roman" w:hAnsi="Times New Roman" w:cs="Times New Roman"/>
                <w:sz w:val="16"/>
                <w:szCs w:val="16"/>
              </w:rPr>
            </w:pPr>
            <w:r w:rsidRPr="00F3010B">
              <w:rPr>
                <w:rFonts w:ascii="Times New Roman" w:hAnsi="Times New Roman" w:cs="Times New Roman"/>
                <w:sz w:val="16"/>
                <w:szCs w:val="16"/>
              </w:rPr>
              <w:t>Above Ground</w:t>
            </w:r>
          </w:p>
        </w:tc>
      </w:tr>
    </w:tbl>
    <w:p w14:paraId="4B0F35F1" w14:textId="77777777" w:rsidR="00004C8C" w:rsidRPr="00C37306" w:rsidRDefault="00C37306" w:rsidP="004F2BB1">
      <w:pPr>
        <w:spacing w:line="240" w:lineRule="auto"/>
        <w:rPr>
          <w:rFonts w:ascii="Times New Roman" w:hAnsi="Times New Roman" w:cs="Times New Roman"/>
          <w:sz w:val="16"/>
          <w:szCs w:val="16"/>
        </w:rPr>
      </w:pPr>
      <w:r w:rsidRPr="00C37306">
        <w:rPr>
          <w:rFonts w:ascii="Times New Roman" w:hAnsi="Times New Roman" w:cs="Times New Roman"/>
          <w:sz w:val="16"/>
          <w:szCs w:val="16"/>
        </w:rPr>
        <w:t xml:space="preserve">Table </w:t>
      </w:r>
      <w:r w:rsidR="003D17AC">
        <w:rPr>
          <w:rFonts w:ascii="Times New Roman" w:hAnsi="Times New Roman" w:cs="Times New Roman"/>
          <w:sz w:val="16"/>
          <w:szCs w:val="16"/>
        </w:rPr>
        <w:t>2</w:t>
      </w:r>
      <w:r w:rsidRPr="00C37306">
        <w:rPr>
          <w:rFonts w:ascii="Times New Roman" w:hAnsi="Times New Roman" w:cs="Times New Roman"/>
          <w:sz w:val="16"/>
          <w:szCs w:val="16"/>
        </w:rPr>
        <w:t xml:space="preserve">: </w:t>
      </w:r>
      <w:r>
        <w:rPr>
          <w:rFonts w:ascii="Times New Roman" w:hAnsi="Times New Roman" w:cs="Times New Roman"/>
          <w:sz w:val="16"/>
          <w:szCs w:val="16"/>
        </w:rPr>
        <w:t>Project description of the five hydropower plants in Myanmar</w:t>
      </w:r>
    </w:p>
    <w:p w14:paraId="4FC66407" w14:textId="77777777" w:rsidR="008C6A50" w:rsidRDefault="00827B02" w:rsidP="008C6A50">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142CFDF" wp14:editId="4B2D58D4">
            <wp:extent cx="3977640" cy="514794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 Area map.png"/>
                    <pic:cNvPicPr/>
                  </pic:nvPicPr>
                  <pic:blipFill>
                    <a:blip r:embed="rId11">
                      <a:extLst>
                        <a:ext uri="{28A0092B-C50C-407E-A947-70E740481C1C}">
                          <a14:useLocalDpi xmlns:a14="http://schemas.microsoft.com/office/drawing/2010/main" val="0"/>
                        </a:ext>
                      </a:extLst>
                    </a:blip>
                    <a:stretch>
                      <a:fillRect/>
                    </a:stretch>
                  </pic:blipFill>
                  <pic:spPr>
                    <a:xfrm>
                      <a:off x="0" y="0"/>
                      <a:ext cx="3977640" cy="5147945"/>
                    </a:xfrm>
                    <a:prstGeom prst="rect">
                      <a:avLst/>
                    </a:prstGeom>
                  </pic:spPr>
                </pic:pic>
              </a:graphicData>
            </a:graphic>
          </wp:inline>
        </w:drawing>
      </w:r>
    </w:p>
    <w:p w14:paraId="72DDDA4D" w14:textId="6EE7DAEB" w:rsidR="00E06EF0" w:rsidRPr="008E7F17" w:rsidRDefault="00901DFC" w:rsidP="008C6A50">
      <w:pPr>
        <w:spacing w:line="240" w:lineRule="auto"/>
        <w:rPr>
          <w:rFonts w:ascii="Times New Roman" w:hAnsi="Times New Roman" w:cs="Times New Roman"/>
          <w:sz w:val="24"/>
          <w:szCs w:val="24"/>
        </w:rPr>
      </w:pPr>
      <w:r w:rsidRPr="00901DFC">
        <w:rPr>
          <w:rFonts w:ascii="Times New Roman" w:hAnsi="Times New Roman" w:cs="Times New Roman"/>
          <w:sz w:val="16"/>
          <w:szCs w:val="16"/>
        </w:rPr>
        <w:t xml:space="preserve">Figure </w:t>
      </w:r>
      <w:r w:rsidR="00B11159">
        <w:rPr>
          <w:rFonts w:ascii="Times New Roman" w:hAnsi="Times New Roman" w:cs="Times New Roman"/>
          <w:sz w:val="16"/>
          <w:szCs w:val="16"/>
        </w:rPr>
        <w:t>1</w:t>
      </w:r>
      <w:r w:rsidRPr="00901DFC">
        <w:rPr>
          <w:rFonts w:ascii="Times New Roman" w:hAnsi="Times New Roman" w:cs="Times New Roman"/>
          <w:sz w:val="16"/>
          <w:szCs w:val="16"/>
        </w:rPr>
        <w:t xml:space="preserve">: Location map of the </w:t>
      </w:r>
      <w:r w:rsidR="00C8637C">
        <w:rPr>
          <w:rFonts w:ascii="Times New Roman" w:hAnsi="Times New Roman" w:cs="Times New Roman"/>
          <w:sz w:val="16"/>
          <w:szCs w:val="16"/>
        </w:rPr>
        <w:t>five hydropower plants in Myanmar</w:t>
      </w:r>
    </w:p>
    <w:p w14:paraId="2A1C0430" w14:textId="5137DB08" w:rsidR="0068607E" w:rsidRDefault="0068607E" w:rsidP="004F2BB1">
      <w:pPr>
        <w:spacing w:line="240" w:lineRule="auto"/>
        <w:rPr>
          <w:rFonts w:ascii="Times New Roman" w:hAnsi="Times New Roman" w:cs="Times New Roman"/>
          <w:i/>
          <w:sz w:val="24"/>
          <w:szCs w:val="24"/>
        </w:rPr>
      </w:pPr>
    </w:p>
    <w:p w14:paraId="440CB68E" w14:textId="22657A92" w:rsidR="005F2A75" w:rsidRPr="005F2A75" w:rsidRDefault="005F2A75" w:rsidP="004F2BB1">
      <w:pPr>
        <w:spacing w:line="240" w:lineRule="auto"/>
        <w:rPr>
          <w:rFonts w:ascii="Times New Roman" w:hAnsi="Times New Roman" w:cs="Times New Roman"/>
          <w:i/>
          <w:sz w:val="24"/>
          <w:szCs w:val="24"/>
        </w:rPr>
      </w:pPr>
      <w:r w:rsidRPr="005F2A75">
        <w:rPr>
          <w:rFonts w:ascii="Times New Roman" w:hAnsi="Times New Roman" w:cs="Times New Roman"/>
          <w:i/>
          <w:sz w:val="24"/>
          <w:szCs w:val="24"/>
        </w:rPr>
        <w:t>System Boundaries</w:t>
      </w:r>
    </w:p>
    <w:p w14:paraId="36C445B8" w14:textId="719FB497" w:rsidR="006717CD" w:rsidRDefault="006717CD" w:rsidP="004F2BB1">
      <w:pPr>
        <w:spacing w:line="240" w:lineRule="auto"/>
        <w:rPr>
          <w:rFonts w:ascii="Times New Roman" w:hAnsi="Times New Roman" w:cs="Times New Roman"/>
          <w:sz w:val="24"/>
          <w:szCs w:val="24"/>
        </w:rPr>
      </w:pPr>
      <w:r w:rsidRPr="009C078C">
        <w:rPr>
          <w:rFonts w:ascii="Times New Roman" w:hAnsi="Times New Roman" w:cs="Times New Roman"/>
          <w:sz w:val="24"/>
          <w:szCs w:val="24"/>
        </w:rPr>
        <w:t xml:space="preserve">Following the recommendation of Ribeiro &amp; da Silva (2010), the </w:t>
      </w:r>
      <w:r w:rsidR="0071613D">
        <w:rPr>
          <w:rFonts w:ascii="Times New Roman" w:hAnsi="Times New Roman" w:cs="Times New Roman"/>
          <w:sz w:val="24"/>
          <w:szCs w:val="24"/>
        </w:rPr>
        <w:t xml:space="preserve">assumed </w:t>
      </w:r>
      <w:r w:rsidRPr="009C078C">
        <w:rPr>
          <w:rFonts w:ascii="Times New Roman" w:hAnsi="Times New Roman" w:cs="Times New Roman"/>
          <w:sz w:val="24"/>
          <w:szCs w:val="24"/>
        </w:rPr>
        <w:t xml:space="preserve">life span of </w:t>
      </w:r>
      <w:r w:rsidR="00EC64BD">
        <w:rPr>
          <w:rFonts w:ascii="Times New Roman" w:hAnsi="Times New Roman" w:cs="Times New Roman"/>
          <w:sz w:val="24"/>
          <w:szCs w:val="24"/>
        </w:rPr>
        <w:t>hydro</w:t>
      </w:r>
      <w:r w:rsidRPr="009C078C">
        <w:rPr>
          <w:rFonts w:ascii="Times New Roman" w:hAnsi="Times New Roman" w:cs="Times New Roman"/>
          <w:sz w:val="24"/>
          <w:szCs w:val="24"/>
        </w:rPr>
        <w:t>power plant</w:t>
      </w:r>
      <w:r w:rsidR="0071613D">
        <w:rPr>
          <w:rFonts w:ascii="Times New Roman" w:hAnsi="Times New Roman" w:cs="Times New Roman"/>
          <w:sz w:val="24"/>
          <w:szCs w:val="24"/>
        </w:rPr>
        <w:t>s</w:t>
      </w:r>
      <w:r w:rsidRPr="009C078C">
        <w:rPr>
          <w:rFonts w:ascii="Times New Roman" w:hAnsi="Times New Roman" w:cs="Times New Roman"/>
          <w:sz w:val="24"/>
          <w:szCs w:val="24"/>
        </w:rPr>
        <w:t xml:space="preserve"> is 100 years</w:t>
      </w:r>
      <w:r>
        <w:rPr>
          <w:rFonts w:ascii="Times New Roman" w:hAnsi="Times New Roman" w:cs="Times New Roman"/>
          <w:sz w:val="24"/>
          <w:szCs w:val="24"/>
        </w:rPr>
        <w:t xml:space="preserve">. </w:t>
      </w:r>
      <w:r w:rsidRPr="009C078C">
        <w:rPr>
          <w:rFonts w:ascii="Times New Roman" w:hAnsi="Times New Roman" w:cs="Times New Roman"/>
          <w:sz w:val="24"/>
          <w:szCs w:val="24"/>
        </w:rPr>
        <w:t>As illustrated in Fig.</w:t>
      </w:r>
      <w:r w:rsidR="00EC64BD">
        <w:rPr>
          <w:rFonts w:ascii="Times New Roman" w:hAnsi="Times New Roman" w:cs="Times New Roman"/>
          <w:sz w:val="24"/>
          <w:szCs w:val="24"/>
        </w:rPr>
        <w:t xml:space="preserve"> </w:t>
      </w:r>
      <w:r w:rsidR="00DE1B4C">
        <w:rPr>
          <w:rFonts w:ascii="Times New Roman" w:hAnsi="Times New Roman" w:cs="Times New Roman"/>
          <w:sz w:val="24"/>
          <w:szCs w:val="24"/>
        </w:rPr>
        <w:t>2</w:t>
      </w:r>
      <w:r w:rsidRPr="009C078C">
        <w:rPr>
          <w:rFonts w:ascii="Times New Roman" w:hAnsi="Times New Roman" w:cs="Times New Roman"/>
          <w:sz w:val="24"/>
          <w:szCs w:val="24"/>
        </w:rPr>
        <w:t>, the operation</w:t>
      </w:r>
      <w:r>
        <w:rPr>
          <w:rFonts w:ascii="Times New Roman" w:hAnsi="Times New Roman" w:cs="Times New Roman"/>
          <w:sz w:val="24"/>
          <w:szCs w:val="24"/>
        </w:rPr>
        <w:t>al</w:t>
      </w:r>
      <w:r w:rsidRPr="009C078C">
        <w:rPr>
          <w:rFonts w:ascii="Times New Roman" w:hAnsi="Times New Roman" w:cs="Times New Roman"/>
          <w:sz w:val="24"/>
          <w:szCs w:val="24"/>
        </w:rPr>
        <w:t xml:space="preserve"> stages and the system boundar</w:t>
      </w:r>
      <w:r>
        <w:rPr>
          <w:rFonts w:ascii="Times New Roman" w:hAnsi="Times New Roman" w:cs="Times New Roman"/>
          <w:sz w:val="24"/>
          <w:szCs w:val="24"/>
        </w:rPr>
        <w:t>ies</w:t>
      </w:r>
      <w:r w:rsidRPr="009C078C">
        <w:rPr>
          <w:rFonts w:ascii="Times New Roman" w:hAnsi="Times New Roman" w:cs="Times New Roman"/>
          <w:sz w:val="24"/>
          <w:szCs w:val="24"/>
        </w:rPr>
        <w:t xml:space="preserve"> of the life-cycle of the plants cover construction (</w:t>
      </w:r>
      <w:r w:rsidR="0071613D">
        <w:rPr>
          <w:rFonts w:ascii="Times New Roman" w:hAnsi="Times New Roman" w:cs="Times New Roman"/>
          <w:sz w:val="24"/>
          <w:szCs w:val="24"/>
        </w:rPr>
        <w:t xml:space="preserve">e.g. </w:t>
      </w:r>
      <w:r w:rsidRPr="009C078C">
        <w:rPr>
          <w:rFonts w:ascii="Times New Roman" w:hAnsi="Times New Roman" w:cs="Times New Roman"/>
          <w:sz w:val="24"/>
          <w:szCs w:val="24"/>
        </w:rPr>
        <w:t>main dam, powerhouse, spillway, equipment installation), operation and maintenance (electricity generation and overall maintenance activities through the power plants’ end-of-life), and decommissioning stage</w:t>
      </w:r>
      <w:r>
        <w:rPr>
          <w:rFonts w:ascii="Times New Roman" w:hAnsi="Times New Roman" w:cs="Times New Roman"/>
          <w:sz w:val="24"/>
          <w:szCs w:val="24"/>
        </w:rPr>
        <w:t>s</w:t>
      </w:r>
      <w:r w:rsidRPr="009C078C">
        <w:rPr>
          <w:rFonts w:ascii="Times New Roman" w:hAnsi="Times New Roman" w:cs="Times New Roman"/>
          <w:sz w:val="24"/>
          <w:szCs w:val="24"/>
        </w:rPr>
        <w:t xml:space="preserve">. </w:t>
      </w:r>
      <w:r w:rsidR="0071613D">
        <w:rPr>
          <w:rFonts w:ascii="Times New Roman" w:hAnsi="Times New Roman" w:cs="Times New Roman"/>
          <w:sz w:val="24"/>
          <w:szCs w:val="24"/>
        </w:rPr>
        <w:t xml:space="preserve">Activities </w:t>
      </w:r>
      <w:r w:rsidRPr="009C078C">
        <w:rPr>
          <w:rFonts w:ascii="Times New Roman" w:hAnsi="Times New Roman" w:cs="Times New Roman"/>
          <w:sz w:val="24"/>
          <w:szCs w:val="24"/>
        </w:rPr>
        <w:t xml:space="preserve">before the construction and transportation of material also </w:t>
      </w:r>
      <w:r w:rsidR="0071613D">
        <w:rPr>
          <w:rFonts w:ascii="Times New Roman" w:hAnsi="Times New Roman" w:cs="Times New Roman"/>
          <w:sz w:val="24"/>
          <w:szCs w:val="24"/>
        </w:rPr>
        <w:t xml:space="preserve">need to be </w:t>
      </w:r>
      <w:r w:rsidRPr="009C078C">
        <w:rPr>
          <w:rFonts w:ascii="Times New Roman" w:hAnsi="Times New Roman" w:cs="Times New Roman"/>
          <w:sz w:val="24"/>
          <w:szCs w:val="24"/>
        </w:rPr>
        <w:t>considered. Hydropower plants are designed to capture the energy of rivers to generate electricity. The dams are constructed to raise water level</w:t>
      </w:r>
      <w:r w:rsidR="0071613D">
        <w:rPr>
          <w:rFonts w:ascii="Times New Roman" w:hAnsi="Times New Roman" w:cs="Times New Roman"/>
          <w:sz w:val="24"/>
          <w:szCs w:val="24"/>
        </w:rPr>
        <w:t>s</w:t>
      </w:r>
      <w:r w:rsidRPr="009C078C">
        <w:rPr>
          <w:rFonts w:ascii="Times New Roman" w:hAnsi="Times New Roman" w:cs="Times New Roman"/>
          <w:sz w:val="24"/>
          <w:szCs w:val="24"/>
        </w:rPr>
        <w:t xml:space="preserve"> of river</w:t>
      </w:r>
      <w:r w:rsidR="0071613D">
        <w:rPr>
          <w:rFonts w:ascii="Times New Roman" w:hAnsi="Times New Roman" w:cs="Times New Roman"/>
          <w:sz w:val="24"/>
          <w:szCs w:val="24"/>
        </w:rPr>
        <w:t>s</w:t>
      </w:r>
      <w:r w:rsidRPr="009C078C">
        <w:rPr>
          <w:rFonts w:ascii="Times New Roman" w:hAnsi="Times New Roman" w:cs="Times New Roman"/>
          <w:sz w:val="24"/>
          <w:szCs w:val="24"/>
        </w:rPr>
        <w:t xml:space="preserve"> and control the water flow, and the reservoir is formed to store energy. The water then flows into turbines installed in the powerhouse through a penstock. </w:t>
      </w:r>
      <w:r w:rsidR="0071613D">
        <w:rPr>
          <w:rFonts w:ascii="Times New Roman" w:hAnsi="Times New Roman" w:cs="Times New Roman"/>
          <w:sz w:val="24"/>
          <w:szCs w:val="24"/>
        </w:rPr>
        <w:t>T</w:t>
      </w:r>
      <w:r w:rsidRPr="009C078C">
        <w:rPr>
          <w:rFonts w:ascii="Times New Roman" w:hAnsi="Times New Roman" w:cs="Times New Roman"/>
          <w:sz w:val="24"/>
          <w:szCs w:val="24"/>
        </w:rPr>
        <w:t>urbine</w:t>
      </w:r>
      <w:r w:rsidR="0071613D">
        <w:rPr>
          <w:rFonts w:ascii="Times New Roman" w:hAnsi="Times New Roman" w:cs="Times New Roman"/>
          <w:sz w:val="24"/>
          <w:szCs w:val="24"/>
        </w:rPr>
        <w:t>s</w:t>
      </w:r>
      <w:r w:rsidRPr="009C078C">
        <w:rPr>
          <w:rFonts w:ascii="Times New Roman" w:hAnsi="Times New Roman" w:cs="Times New Roman"/>
          <w:sz w:val="24"/>
          <w:szCs w:val="24"/>
        </w:rPr>
        <w:t xml:space="preserve"> convert the kinetic energy of water into mechanical energy before the generator converts </w:t>
      </w:r>
      <w:r w:rsidR="0071613D">
        <w:rPr>
          <w:rFonts w:ascii="Times New Roman" w:hAnsi="Times New Roman" w:cs="Times New Roman"/>
          <w:sz w:val="24"/>
          <w:szCs w:val="24"/>
        </w:rPr>
        <w:t xml:space="preserve">this </w:t>
      </w:r>
      <w:r w:rsidRPr="009C078C">
        <w:rPr>
          <w:rFonts w:ascii="Times New Roman" w:hAnsi="Times New Roman" w:cs="Times New Roman"/>
          <w:sz w:val="24"/>
          <w:szCs w:val="24"/>
        </w:rPr>
        <w:t xml:space="preserve">into electrical energy. Finally, the transmission lines </w:t>
      </w:r>
      <w:r>
        <w:rPr>
          <w:rFonts w:ascii="Times New Roman" w:hAnsi="Times New Roman" w:cs="Times New Roman"/>
          <w:sz w:val="24"/>
          <w:szCs w:val="24"/>
        </w:rPr>
        <w:t>transport</w:t>
      </w:r>
      <w:r w:rsidRPr="009C078C">
        <w:rPr>
          <w:rFonts w:ascii="Times New Roman" w:hAnsi="Times New Roman" w:cs="Times New Roman"/>
          <w:sz w:val="24"/>
          <w:szCs w:val="24"/>
        </w:rPr>
        <w:t xml:space="preserve"> electricity from hydropower plants to local and foreign grids. </w:t>
      </w:r>
    </w:p>
    <w:p w14:paraId="22B37F69" w14:textId="77777777" w:rsidR="001F6847" w:rsidRDefault="001F6847" w:rsidP="004F2BB1">
      <w:pPr>
        <w:spacing w:line="240" w:lineRule="auto"/>
        <w:rPr>
          <w:rFonts w:ascii="Times New Roman" w:hAnsi="Times New Roman" w:cs="Times New Roman"/>
          <w:sz w:val="24"/>
          <w:szCs w:val="24"/>
        </w:rPr>
      </w:pPr>
    </w:p>
    <w:p w14:paraId="5B2B9145" w14:textId="77777777" w:rsidR="00D806C3" w:rsidRDefault="001157E7" w:rsidP="004F2BB1">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5B5AD69" wp14:editId="515B8D79">
            <wp:extent cx="5672250" cy="4254500"/>
            <wp:effectExtent l="0" t="0" r="508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 drawing (1).png"/>
                    <pic:cNvPicPr/>
                  </pic:nvPicPr>
                  <pic:blipFill>
                    <a:blip r:embed="rId12" cstate="print">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22251" cy="4292003"/>
                    </a:xfrm>
                    <a:prstGeom prst="rect">
                      <a:avLst/>
                    </a:prstGeom>
                  </pic:spPr>
                </pic:pic>
              </a:graphicData>
            </a:graphic>
          </wp:inline>
        </w:drawing>
      </w:r>
    </w:p>
    <w:p w14:paraId="3170F1C3" w14:textId="77777777" w:rsidR="00132E18" w:rsidRPr="006717CD" w:rsidRDefault="00D806C3" w:rsidP="004F2BB1">
      <w:pPr>
        <w:spacing w:line="240" w:lineRule="auto"/>
        <w:rPr>
          <w:rFonts w:ascii="Times New Roman" w:hAnsi="Times New Roman" w:cs="Times New Roman"/>
          <w:sz w:val="16"/>
          <w:szCs w:val="16"/>
        </w:rPr>
      </w:pPr>
      <w:r w:rsidRPr="00901DFC">
        <w:rPr>
          <w:rFonts w:ascii="Times New Roman" w:hAnsi="Times New Roman" w:cs="Times New Roman"/>
          <w:sz w:val="16"/>
          <w:szCs w:val="16"/>
        </w:rPr>
        <w:t xml:space="preserve">Figure </w:t>
      </w:r>
      <w:r w:rsidR="006717CD">
        <w:rPr>
          <w:rFonts w:ascii="Times New Roman" w:hAnsi="Times New Roman" w:cs="Times New Roman"/>
          <w:sz w:val="16"/>
          <w:szCs w:val="16"/>
        </w:rPr>
        <w:t>2</w:t>
      </w:r>
      <w:r w:rsidRPr="00901DFC">
        <w:rPr>
          <w:rFonts w:ascii="Times New Roman" w:hAnsi="Times New Roman" w:cs="Times New Roman"/>
          <w:sz w:val="16"/>
          <w:szCs w:val="16"/>
        </w:rPr>
        <w:t xml:space="preserve">: </w:t>
      </w:r>
      <w:r>
        <w:rPr>
          <w:rFonts w:ascii="Times New Roman" w:hAnsi="Times New Roman" w:cs="Times New Roman"/>
          <w:sz w:val="16"/>
          <w:szCs w:val="16"/>
        </w:rPr>
        <w:t>Simplified Product System Boundary for Hydropower plants in Myanmar</w:t>
      </w:r>
    </w:p>
    <w:p w14:paraId="54F79CAE" w14:textId="77777777" w:rsidR="001B461A" w:rsidRDefault="001B461A" w:rsidP="004F2BB1">
      <w:pPr>
        <w:spacing w:line="240" w:lineRule="auto"/>
        <w:rPr>
          <w:rFonts w:ascii="Times New Roman" w:hAnsi="Times New Roman" w:cs="Times New Roman"/>
          <w:i/>
          <w:sz w:val="24"/>
          <w:szCs w:val="24"/>
        </w:rPr>
      </w:pPr>
      <w:r w:rsidRPr="001B461A">
        <w:rPr>
          <w:rFonts w:ascii="Times New Roman" w:hAnsi="Times New Roman" w:cs="Times New Roman"/>
          <w:i/>
          <w:sz w:val="24"/>
          <w:szCs w:val="24"/>
        </w:rPr>
        <w:t>Functional Unit</w:t>
      </w:r>
    </w:p>
    <w:p w14:paraId="3A42AD0E" w14:textId="737C52B2" w:rsidR="00294864" w:rsidRDefault="00294864" w:rsidP="004F2BB1">
      <w:pPr>
        <w:spacing w:line="240" w:lineRule="auto"/>
        <w:rPr>
          <w:rFonts w:ascii="Times New Roman" w:hAnsi="Times New Roman" w:cs="Times New Roman"/>
          <w:sz w:val="24"/>
          <w:szCs w:val="24"/>
        </w:rPr>
      </w:pPr>
      <w:r w:rsidRPr="008925BF">
        <w:rPr>
          <w:rFonts w:ascii="Times New Roman" w:hAnsi="Times New Roman" w:cs="Times New Roman"/>
          <w:sz w:val="24"/>
          <w:szCs w:val="24"/>
        </w:rPr>
        <w:t xml:space="preserve">The functional unit (FU) </w:t>
      </w:r>
      <w:r>
        <w:rPr>
          <w:rFonts w:ascii="Times New Roman" w:hAnsi="Times New Roman" w:cs="Times New Roman"/>
          <w:sz w:val="24"/>
          <w:szCs w:val="24"/>
        </w:rPr>
        <w:t xml:space="preserve">in the project underlying this paper </w:t>
      </w:r>
      <w:r w:rsidRPr="008925BF">
        <w:rPr>
          <w:rFonts w:ascii="Times New Roman" w:hAnsi="Times New Roman" w:cs="Times New Roman"/>
          <w:sz w:val="24"/>
          <w:szCs w:val="24"/>
        </w:rPr>
        <w:t xml:space="preserve">is defined as 1 MWh of net electricity production from a hydropower plant in Myanmar in </w:t>
      </w:r>
      <w:r w:rsidR="00E34C4A">
        <w:rPr>
          <w:rFonts w:ascii="Times New Roman" w:hAnsi="Times New Roman" w:cs="Times New Roman"/>
          <w:sz w:val="24"/>
          <w:szCs w:val="24"/>
        </w:rPr>
        <w:t xml:space="preserve">a </w:t>
      </w:r>
      <w:r>
        <w:rPr>
          <w:rFonts w:ascii="Times New Roman" w:hAnsi="Times New Roman" w:cs="Times New Roman"/>
          <w:sz w:val="24"/>
          <w:szCs w:val="24"/>
        </w:rPr>
        <w:t>100</w:t>
      </w:r>
      <w:r w:rsidRPr="008925BF">
        <w:rPr>
          <w:rFonts w:ascii="Times New Roman" w:hAnsi="Times New Roman" w:cs="Times New Roman"/>
          <w:sz w:val="24"/>
          <w:szCs w:val="24"/>
        </w:rPr>
        <w:t xml:space="preserve"> year</w:t>
      </w:r>
      <w:r w:rsidR="00E34C4A">
        <w:rPr>
          <w:rFonts w:ascii="Times New Roman" w:hAnsi="Times New Roman" w:cs="Times New Roman"/>
          <w:sz w:val="24"/>
          <w:szCs w:val="24"/>
        </w:rPr>
        <w:t xml:space="preserve"> </w:t>
      </w:r>
      <w:r w:rsidR="00E34C4A" w:rsidRPr="008925BF">
        <w:rPr>
          <w:rFonts w:ascii="Times New Roman" w:hAnsi="Times New Roman" w:cs="Times New Roman"/>
          <w:sz w:val="24"/>
          <w:szCs w:val="24"/>
        </w:rPr>
        <w:t>life span</w:t>
      </w:r>
      <w:r w:rsidRPr="008925BF">
        <w:rPr>
          <w:rFonts w:ascii="Times New Roman" w:hAnsi="Times New Roman" w:cs="Times New Roman"/>
          <w:sz w:val="24"/>
          <w:szCs w:val="24"/>
        </w:rPr>
        <w:t xml:space="preserve">. The life-cycle environmental impacts of plants are expressed quantitatively based on </w:t>
      </w:r>
      <w:r w:rsidR="00E34C4A">
        <w:rPr>
          <w:rFonts w:ascii="Times New Roman" w:hAnsi="Times New Roman" w:cs="Times New Roman"/>
          <w:sz w:val="24"/>
          <w:szCs w:val="24"/>
        </w:rPr>
        <w:t xml:space="preserve">this </w:t>
      </w:r>
      <w:r w:rsidRPr="008925BF">
        <w:rPr>
          <w:rFonts w:ascii="Times New Roman" w:hAnsi="Times New Roman" w:cs="Times New Roman"/>
          <w:sz w:val="24"/>
          <w:szCs w:val="24"/>
        </w:rPr>
        <w:t>unit.</w:t>
      </w:r>
    </w:p>
    <w:p w14:paraId="2AF5D6DE" w14:textId="77777777" w:rsidR="007F10B4" w:rsidRDefault="007F10B4" w:rsidP="004F2BB1">
      <w:pPr>
        <w:spacing w:line="240" w:lineRule="auto"/>
        <w:rPr>
          <w:rFonts w:ascii="Times New Roman" w:hAnsi="Times New Roman" w:cs="Times New Roman"/>
          <w:i/>
          <w:sz w:val="24"/>
          <w:szCs w:val="24"/>
        </w:rPr>
      </w:pPr>
      <w:r w:rsidRPr="001B461A">
        <w:rPr>
          <w:rFonts w:ascii="Times New Roman" w:hAnsi="Times New Roman" w:cs="Times New Roman"/>
          <w:i/>
          <w:sz w:val="24"/>
          <w:szCs w:val="24"/>
        </w:rPr>
        <w:t>Goal and Scope Definition</w:t>
      </w:r>
    </w:p>
    <w:p w14:paraId="3440C1E4" w14:textId="005121E0" w:rsidR="00924547" w:rsidRDefault="00924547" w:rsidP="004F2BB1">
      <w:pPr>
        <w:spacing w:line="240" w:lineRule="auto"/>
        <w:rPr>
          <w:rFonts w:ascii="Times New Roman" w:hAnsi="Times New Roman" w:cs="Times New Roman"/>
          <w:sz w:val="24"/>
          <w:szCs w:val="24"/>
        </w:rPr>
      </w:pPr>
      <w:r w:rsidRPr="008925BF">
        <w:rPr>
          <w:rFonts w:ascii="Times New Roman" w:hAnsi="Times New Roman" w:cs="Times New Roman"/>
          <w:sz w:val="24"/>
          <w:szCs w:val="24"/>
        </w:rPr>
        <w:t>The goal of th</w:t>
      </w:r>
      <w:r w:rsidR="00E34C4A">
        <w:rPr>
          <w:rFonts w:ascii="Times New Roman" w:hAnsi="Times New Roman" w:cs="Times New Roman"/>
          <w:sz w:val="24"/>
          <w:szCs w:val="24"/>
        </w:rPr>
        <w:t>e</w:t>
      </w:r>
      <w:r w:rsidRPr="008925BF">
        <w:rPr>
          <w:rFonts w:ascii="Times New Roman" w:hAnsi="Times New Roman" w:cs="Times New Roman"/>
          <w:sz w:val="24"/>
          <w:szCs w:val="24"/>
        </w:rPr>
        <w:t xml:space="preserve"> </w:t>
      </w:r>
      <w:r>
        <w:rPr>
          <w:rFonts w:ascii="Times New Roman" w:hAnsi="Times New Roman" w:cs="Times New Roman"/>
          <w:sz w:val="24"/>
          <w:szCs w:val="24"/>
        </w:rPr>
        <w:t>project underlying this paper was</w:t>
      </w:r>
      <w:r w:rsidRPr="008925BF">
        <w:rPr>
          <w:rFonts w:ascii="Times New Roman" w:hAnsi="Times New Roman" w:cs="Times New Roman"/>
          <w:sz w:val="24"/>
          <w:szCs w:val="24"/>
        </w:rPr>
        <w:t xml:space="preserve"> to </w:t>
      </w:r>
      <w:r>
        <w:rPr>
          <w:rFonts w:ascii="Times New Roman" w:hAnsi="Times New Roman" w:cs="Times New Roman"/>
          <w:sz w:val="24"/>
          <w:szCs w:val="24"/>
        </w:rPr>
        <w:t xml:space="preserve">generate detailed life-cycle inventory data and </w:t>
      </w:r>
      <w:r w:rsidRPr="008925BF">
        <w:rPr>
          <w:rFonts w:ascii="Times New Roman" w:hAnsi="Times New Roman" w:cs="Times New Roman"/>
          <w:sz w:val="24"/>
          <w:szCs w:val="24"/>
        </w:rPr>
        <w:t xml:space="preserve">quantify the environmental impacts of </w:t>
      </w:r>
      <w:r>
        <w:rPr>
          <w:rFonts w:ascii="Times New Roman" w:hAnsi="Times New Roman" w:cs="Times New Roman"/>
          <w:sz w:val="24"/>
          <w:szCs w:val="24"/>
        </w:rPr>
        <w:t xml:space="preserve">the </w:t>
      </w:r>
      <w:r w:rsidRPr="008925BF">
        <w:rPr>
          <w:rFonts w:ascii="Times New Roman" w:hAnsi="Times New Roman" w:cs="Times New Roman"/>
          <w:sz w:val="24"/>
          <w:szCs w:val="24"/>
        </w:rPr>
        <w:t xml:space="preserve">existing </w:t>
      </w:r>
      <w:r>
        <w:rPr>
          <w:rFonts w:ascii="Times New Roman" w:hAnsi="Times New Roman" w:cs="Times New Roman"/>
          <w:sz w:val="24"/>
          <w:szCs w:val="24"/>
        </w:rPr>
        <w:t xml:space="preserve">five </w:t>
      </w:r>
      <w:r w:rsidRPr="008925BF">
        <w:rPr>
          <w:rFonts w:ascii="Times New Roman" w:hAnsi="Times New Roman" w:cs="Times New Roman"/>
          <w:sz w:val="24"/>
          <w:szCs w:val="24"/>
        </w:rPr>
        <w:t>hydropower plants in Myanmar. The plants are evaluated based on the process-based LCA methodology</w:t>
      </w:r>
      <w:r w:rsidR="00EC64BD">
        <w:rPr>
          <w:rFonts w:ascii="Times New Roman" w:hAnsi="Times New Roman" w:cs="Times New Roman"/>
          <w:sz w:val="24"/>
          <w:szCs w:val="24"/>
        </w:rPr>
        <w:t>,</w:t>
      </w:r>
      <w:r w:rsidRPr="008925BF">
        <w:rPr>
          <w:rFonts w:ascii="Times New Roman" w:hAnsi="Times New Roman" w:cs="Times New Roman"/>
          <w:sz w:val="24"/>
          <w:szCs w:val="24"/>
        </w:rPr>
        <w:t xml:space="preserve"> following ISO 140</w:t>
      </w:r>
      <w:r>
        <w:rPr>
          <w:rFonts w:ascii="Times New Roman" w:hAnsi="Times New Roman" w:cs="Times New Roman"/>
          <w:sz w:val="24"/>
          <w:szCs w:val="24"/>
        </w:rPr>
        <w:t>40</w:t>
      </w:r>
      <w:r w:rsidRPr="008925BF">
        <w:rPr>
          <w:rFonts w:ascii="Times New Roman" w:hAnsi="Times New Roman" w:cs="Times New Roman"/>
          <w:sz w:val="24"/>
          <w:szCs w:val="24"/>
        </w:rPr>
        <w:t xml:space="preserve"> and ISO 14044. The </w:t>
      </w:r>
      <w:r w:rsidR="00EC64BD">
        <w:rPr>
          <w:rFonts w:ascii="Times New Roman" w:hAnsi="Times New Roman" w:cs="Times New Roman"/>
          <w:sz w:val="24"/>
          <w:szCs w:val="24"/>
        </w:rPr>
        <w:t>approach</w:t>
      </w:r>
      <w:r w:rsidR="00EC64BD" w:rsidRPr="008925BF">
        <w:rPr>
          <w:rFonts w:ascii="Times New Roman" w:hAnsi="Times New Roman" w:cs="Times New Roman"/>
          <w:sz w:val="24"/>
          <w:szCs w:val="24"/>
        </w:rPr>
        <w:t xml:space="preserve"> </w:t>
      </w:r>
      <w:r w:rsidRPr="008925BF">
        <w:rPr>
          <w:rFonts w:ascii="Times New Roman" w:hAnsi="Times New Roman" w:cs="Times New Roman"/>
          <w:sz w:val="24"/>
          <w:szCs w:val="24"/>
        </w:rPr>
        <w:t xml:space="preserve">of the </w:t>
      </w:r>
      <w:r>
        <w:rPr>
          <w:rFonts w:ascii="Times New Roman" w:hAnsi="Times New Roman" w:cs="Times New Roman"/>
          <w:sz w:val="24"/>
          <w:szCs w:val="24"/>
        </w:rPr>
        <w:t>project</w:t>
      </w:r>
      <w:r w:rsidRPr="008925BF">
        <w:rPr>
          <w:rFonts w:ascii="Times New Roman" w:hAnsi="Times New Roman" w:cs="Times New Roman"/>
          <w:sz w:val="24"/>
          <w:szCs w:val="24"/>
        </w:rPr>
        <w:t xml:space="preserve"> is cradle-to-grave </w:t>
      </w:r>
      <w:r>
        <w:rPr>
          <w:rFonts w:ascii="Times New Roman" w:hAnsi="Times New Roman" w:cs="Times New Roman"/>
          <w:sz w:val="24"/>
          <w:szCs w:val="24"/>
        </w:rPr>
        <w:t xml:space="preserve">assessment, </w:t>
      </w:r>
      <w:r w:rsidRPr="008925BF">
        <w:rPr>
          <w:rFonts w:ascii="Times New Roman" w:hAnsi="Times New Roman" w:cs="Times New Roman"/>
          <w:sz w:val="24"/>
          <w:szCs w:val="24"/>
        </w:rPr>
        <w:t>including all aspects of the hydropower plant life-cycle from the raw material and energy resource consumption, transportation and deterioration of electric equipment to the handling of waste from the demolition of the plant.</w:t>
      </w:r>
    </w:p>
    <w:p w14:paraId="69377B34" w14:textId="77777777" w:rsidR="006853E2" w:rsidRDefault="006853E2" w:rsidP="004F2BB1">
      <w:pPr>
        <w:spacing w:line="240" w:lineRule="auto"/>
        <w:rPr>
          <w:rFonts w:ascii="Times New Roman" w:hAnsi="Times New Roman" w:cs="Times New Roman"/>
          <w:sz w:val="24"/>
          <w:szCs w:val="24"/>
        </w:rPr>
      </w:pPr>
    </w:p>
    <w:p w14:paraId="335B06FE" w14:textId="77777777" w:rsidR="007F10B4" w:rsidRDefault="007F10B4" w:rsidP="004F2BB1">
      <w:pPr>
        <w:spacing w:line="240" w:lineRule="auto"/>
        <w:rPr>
          <w:rFonts w:ascii="Times New Roman" w:hAnsi="Times New Roman" w:cs="Times New Roman"/>
          <w:i/>
          <w:sz w:val="24"/>
          <w:szCs w:val="24"/>
        </w:rPr>
      </w:pPr>
      <w:r w:rsidRPr="007A1F8D">
        <w:rPr>
          <w:rFonts w:ascii="Times New Roman" w:hAnsi="Times New Roman" w:cs="Times New Roman"/>
          <w:i/>
          <w:sz w:val="24"/>
          <w:szCs w:val="24"/>
        </w:rPr>
        <w:t>Life-cycle Inventory Analysis</w:t>
      </w:r>
    </w:p>
    <w:p w14:paraId="46281CD5" w14:textId="438D3F27" w:rsidR="00924547" w:rsidRDefault="00924547" w:rsidP="004F2BB1">
      <w:pPr>
        <w:spacing w:line="240" w:lineRule="auto"/>
        <w:ind w:firstLine="720"/>
        <w:rPr>
          <w:rFonts w:ascii="Times New Roman" w:hAnsi="Times New Roman" w:cs="Times New Roman"/>
          <w:sz w:val="24"/>
          <w:szCs w:val="24"/>
        </w:rPr>
      </w:pPr>
      <w:r w:rsidRPr="00DD5A0A">
        <w:rPr>
          <w:rFonts w:ascii="Times New Roman" w:hAnsi="Times New Roman" w:cs="Times New Roman"/>
          <w:sz w:val="24"/>
          <w:szCs w:val="24"/>
        </w:rPr>
        <w:t xml:space="preserve">The lifecycle inventory (LCI) analysis consists of the collection of all relative inputs (raw material, fuel, water, energy) and outputs (product, emission, waste) </w:t>
      </w:r>
      <w:r w:rsidR="00C30E48" w:rsidRPr="00DD5A0A">
        <w:rPr>
          <w:rFonts w:ascii="Times New Roman" w:hAnsi="Times New Roman" w:cs="Times New Roman"/>
          <w:sz w:val="24"/>
          <w:szCs w:val="24"/>
        </w:rPr>
        <w:t>throughout</w:t>
      </w:r>
      <w:r w:rsidRPr="00DD5A0A">
        <w:rPr>
          <w:rFonts w:ascii="Times New Roman" w:hAnsi="Times New Roman" w:cs="Times New Roman"/>
          <w:sz w:val="24"/>
          <w:szCs w:val="24"/>
        </w:rPr>
        <w:t xml:space="preserve"> the lifecycle of </w:t>
      </w:r>
      <w:r w:rsidR="00E34C4A">
        <w:rPr>
          <w:rFonts w:ascii="Times New Roman" w:hAnsi="Times New Roman" w:cs="Times New Roman"/>
          <w:sz w:val="24"/>
          <w:szCs w:val="24"/>
        </w:rPr>
        <w:t>the dams</w:t>
      </w:r>
      <w:r w:rsidRPr="00DD5A0A">
        <w:rPr>
          <w:rFonts w:ascii="Times New Roman" w:hAnsi="Times New Roman" w:cs="Times New Roman"/>
          <w:sz w:val="24"/>
          <w:szCs w:val="24"/>
        </w:rPr>
        <w:t>. LCI requires both</w:t>
      </w:r>
      <w:r>
        <w:rPr>
          <w:rFonts w:ascii="Times New Roman" w:hAnsi="Times New Roman" w:cs="Times New Roman"/>
          <w:sz w:val="24"/>
          <w:szCs w:val="24"/>
        </w:rPr>
        <w:t>,</w:t>
      </w:r>
      <w:r w:rsidRPr="00DD5A0A">
        <w:rPr>
          <w:rFonts w:ascii="Times New Roman" w:hAnsi="Times New Roman" w:cs="Times New Roman"/>
          <w:sz w:val="24"/>
          <w:szCs w:val="24"/>
        </w:rPr>
        <w:t xml:space="preserve"> primary (local level) and secondary (global level) inventory data </w:t>
      </w:r>
      <w:r w:rsidR="006B1558">
        <w:rPr>
          <w:rFonts w:ascii="Times New Roman" w:hAnsi="Times New Roman" w:cs="Times New Roman"/>
          <w:sz w:val="24"/>
          <w:szCs w:val="24"/>
        </w:rPr>
        <w:fldChar w:fldCharType="begin" w:fldLock="1"/>
      </w:r>
      <w:r w:rsidR="00547D0C">
        <w:rPr>
          <w:rFonts w:ascii="Times New Roman" w:hAnsi="Times New Roman" w:cs="Times New Roman"/>
          <w:sz w:val="24"/>
          <w:szCs w:val="24"/>
        </w:rPr>
        <w:instrText>ADDIN CSL_CITATION {"citationItems":[{"id":"ITEM-1","itemData":{"DOI":"DOI 10.1007/s11367-015-0878-7","author":[{"dropping-particle":"","family":"Pang","given":"Mingyue;","non-dropping-particle":"","parse-names":false,"suffix":""},{"dropping-particle":"","family":"Zhang, Lixiao; Wang, Changbo &amp; Liu","given":"Gengyuan","non-dropping-particle":"","parse-names":false,"suffix":""}],"container-title":"Int J Life Cycle Assess","id":"ITEM-1","issue":"20","issued":{"date-parts":[["2015"]]},"page":"796-806","title":"Environmental life cycle assessment of a small hydropower plant in China","type":"article-journal"},"uris":["http://www.mendeley.com/documents/?uuid=5c796f13-37e3-4183-a3ef-7b990e426fdc"]}],"mendeley":{"formattedCitation":"(Pang &amp; Zhang, Lixiao; Wang, Changbo &amp; Liu, 2015)","manualFormatting":"(Pang et al., 2015)","plainTextFormattedCitation":"(Pang &amp; Zhang, Lixiao; Wang, Changbo &amp; Liu, 2015)","previouslyFormattedCitation":"(Pang &amp; Zhang, Lixiao; Wang, Changbo &amp; Liu, 2015)"},"properties":{"noteIndex":0},"schema":"https://github.com/citation-style-language/schema/raw/master/csl-citation.json"}</w:instrText>
      </w:r>
      <w:r w:rsidR="006B1558">
        <w:rPr>
          <w:rFonts w:ascii="Times New Roman" w:hAnsi="Times New Roman" w:cs="Times New Roman"/>
          <w:sz w:val="24"/>
          <w:szCs w:val="24"/>
        </w:rPr>
        <w:fldChar w:fldCharType="separate"/>
      </w:r>
      <w:r w:rsidR="006B1558" w:rsidRPr="00DD3838">
        <w:rPr>
          <w:rFonts w:ascii="Times New Roman" w:hAnsi="Times New Roman" w:cs="Times New Roman"/>
          <w:noProof/>
          <w:sz w:val="24"/>
          <w:szCs w:val="24"/>
        </w:rPr>
        <w:t xml:space="preserve">(Pang </w:t>
      </w:r>
      <w:r w:rsidR="006B1558">
        <w:rPr>
          <w:rFonts w:ascii="Times New Roman" w:hAnsi="Times New Roman" w:cs="Times New Roman"/>
          <w:noProof/>
          <w:sz w:val="24"/>
          <w:szCs w:val="24"/>
        </w:rPr>
        <w:t>et al.</w:t>
      </w:r>
      <w:r w:rsidR="006B1558" w:rsidRPr="00DD3838">
        <w:rPr>
          <w:rFonts w:ascii="Times New Roman" w:hAnsi="Times New Roman" w:cs="Times New Roman"/>
          <w:noProof/>
          <w:sz w:val="24"/>
          <w:szCs w:val="24"/>
        </w:rPr>
        <w:t>, 2015)</w:t>
      </w:r>
      <w:r w:rsidR="006B1558">
        <w:rPr>
          <w:rFonts w:ascii="Times New Roman" w:hAnsi="Times New Roman" w:cs="Times New Roman"/>
          <w:sz w:val="24"/>
          <w:szCs w:val="24"/>
        </w:rPr>
        <w:fldChar w:fldCharType="end"/>
      </w:r>
      <w:r>
        <w:rPr>
          <w:rFonts w:ascii="Times New Roman" w:hAnsi="Times New Roman" w:cs="Times New Roman"/>
          <w:sz w:val="24"/>
          <w:szCs w:val="24"/>
        </w:rPr>
        <w:t xml:space="preserve">. </w:t>
      </w:r>
      <w:r w:rsidR="00627475">
        <w:rPr>
          <w:rFonts w:ascii="Times New Roman" w:hAnsi="Times New Roman" w:cs="Times New Roman"/>
          <w:sz w:val="24"/>
          <w:szCs w:val="24"/>
        </w:rPr>
        <w:t>P</w:t>
      </w:r>
      <w:r w:rsidRPr="00DD5A0A">
        <w:rPr>
          <w:rFonts w:ascii="Times New Roman" w:hAnsi="Times New Roman" w:cs="Times New Roman"/>
          <w:sz w:val="24"/>
          <w:szCs w:val="24"/>
        </w:rPr>
        <w:t>rimary data</w:t>
      </w:r>
      <w:r>
        <w:rPr>
          <w:rFonts w:ascii="Times New Roman" w:hAnsi="Times New Roman" w:cs="Times New Roman"/>
          <w:sz w:val="24"/>
          <w:szCs w:val="24"/>
        </w:rPr>
        <w:t xml:space="preserve"> </w:t>
      </w:r>
      <w:r w:rsidR="00627475">
        <w:rPr>
          <w:rFonts w:ascii="Times New Roman" w:hAnsi="Times New Roman" w:cs="Times New Roman"/>
          <w:sz w:val="24"/>
          <w:szCs w:val="24"/>
        </w:rPr>
        <w:t xml:space="preserve">for </w:t>
      </w:r>
      <w:r>
        <w:rPr>
          <w:rFonts w:ascii="Times New Roman" w:hAnsi="Times New Roman" w:cs="Times New Roman"/>
          <w:sz w:val="24"/>
          <w:szCs w:val="24"/>
        </w:rPr>
        <w:t>inputs and outputs</w:t>
      </w:r>
      <w:r w:rsidRPr="00DD5A0A">
        <w:rPr>
          <w:rFonts w:ascii="Times New Roman" w:hAnsi="Times New Roman" w:cs="Times New Roman"/>
          <w:sz w:val="24"/>
          <w:szCs w:val="24"/>
        </w:rPr>
        <w:t xml:space="preserve"> were gathered from the engineering plants and design reports provided by the Myanmar Ministry of Electricity and Energy (MOEE)</w:t>
      </w:r>
      <w:r>
        <w:rPr>
          <w:rFonts w:ascii="Times New Roman" w:hAnsi="Times New Roman" w:cs="Times New Roman"/>
          <w:sz w:val="24"/>
          <w:szCs w:val="24"/>
        </w:rPr>
        <w:t>.</w:t>
      </w:r>
      <w:r w:rsidRPr="00DD5A0A">
        <w:rPr>
          <w:rFonts w:ascii="Times New Roman" w:hAnsi="Times New Roman" w:cs="Times New Roman"/>
          <w:sz w:val="24"/>
          <w:szCs w:val="24"/>
        </w:rPr>
        <w:t xml:space="preserve"> </w:t>
      </w:r>
      <w:r>
        <w:rPr>
          <w:rFonts w:ascii="Times New Roman" w:hAnsi="Times New Roman" w:cs="Times New Roman"/>
          <w:sz w:val="24"/>
          <w:szCs w:val="24"/>
        </w:rPr>
        <w:t>I</w:t>
      </w:r>
      <w:r w:rsidRPr="00DD5A0A">
        <w:rPr>
          <w:rFonts w:ascii="Times New Roman" w:hAnsi="Times New Roman" w:cs="Times New Roman"/>
          <w:sz w:val="24"/>
          <w:szCs w:val="24"/>
        </w:rPr>
        <w:t xml:space="preserve">nterviews with the professionals involved in the construction from China </w:t>
      </w:r>
      <w:r w:rsidRPr="00DD5A0A">
        <w:rPr>
          <w:rFonts w:ascii="Times New Roman" w:hAnsi="Times New Roman" w:cs="Times New Roman"/>
          <w:sz w:val="24"/>
          <w:szCs w:val="24"/>
        </w:rPr>
        <w:lastRenderedPageBreak/>
        <w:t>and Myanmar and site visits</w:t>
      </w:r>
      <w:r>
        <w:rPr>
          <w:rFonts w:ascii="Times New Roman" w:hAnsi="Times New Roman" w:cs="Times New Roman"/>
          <w:sz w:val="24"/>
          <w:szCs w:val="24"/>
        </w:rPr>
        <w:t xml:space="preserve"> were </w:t>
      </w:r>
      <w:r w:rsidR="00627475">
        <w:rPr>
          <w:rFonts w:ascii="Times New Roman" w:hAnsi="Times New Roman" w:cs="Times New Roman"/>
          <w:sz w:val="24"/>
          <w:szCs w:val="24"/>
        </w:rPr>
        <w:t xml:space="preserve">also </w:t>
      </w:r>
      <w:r>
        <w:rPr>
          <w:rFonts w:ascii="Times New Roman" w:hAnsi="Times New Roman" w:cs="Times New Roman"/>
          <w:sz w:val="24"/>
          <w:szCs w:val="24"/>
        </w:rPr>
        <w:t>conducted</w:t>
      </w:r>
      <w:r w:rsidRPr="00DD5A0A">
        <w:rPr>
          <w:rFonts w:ascii="Times New Roman" w:hAnsi="Times New Roman" w:cs="Times New Roman"/>
          <w:sz w:val="24"/>
          <w:szCs w:val="24"/>
        </w:rPr>
        <w:t>.</w:t>
      </w:r>
      <w:r>
        <w:rPr>
          <w:rFonts w:ascii="Times New Roman" w:hAnsi="Times New Roman" w:cs="Times New Roman"/>
          <w:sz w:val="24"/>
          <w:szCs w:val="24"/>
        </w:rPr>
        <w:t xml:space="preserve"> </w:t>
      </w:r>
      <w:r w:rsidR="006F66FD">
        <w:rPr>
          <w:rFonts w:ascii="Times New Roman" w:hAnsi="Times New Roman" w:cs="Times New Roman"/>
          <w:sz w:val="24"/>
          <w:szCs w:val="24"/>
        </w:rPr>
        <w:t xml:space="preserve">This </w:t>
      </w:r>
      <w:r>
        <w:rPr>
          <w:rFonts w:ascii="Times New Roman" w:hAnsi="Times New Roman" w:cs="Times New Roman"/>
          <w:sz w:val="24"/>
          <w:szCs w:val="24"/>
        </w:rPr>
        <w:t xml:space="preserve">was supplemented </w:t>
      </w:r>
      <w:r w:rsidR="00EC64BD">
        <w:rPr>
          <w:rFonts w:ascii="Times New Roman" w:hAnsi="Times New Roman" w:cs="Times New Roman"/>
          <w:sz w:val="24"/>
          <w:szCs w:val="24"/>
        </w:rPr>
        <w:t xml:space="preserve">by </w:t>
      </w:r>
      <w:r>
        <w:rPr>
          <w:rFonts w:ascii="Times New Roman" w:hAnsi="Times New Roman" w:cs="Times New Roman"/>
          <w:sz w:val="24"/>
          <w:szCs w:val="24"/>
        </w:rPr>
        <w:t xml:space="preserve">a comprehensive review </w:t>
      </w:r>
      <w:r w:rsidR="006F66FD">
        <w:rPr>
          <w:rFonts w:ascii="Times New Roman" w:hAnsi="Times New Roman" w:cs="Times New Roman"/>
          <w:sz w:val="24"/>
          <w:szCs w:val="24"/>
        </w:rPr>
        <w:t xml:space="preserve">of </w:t>
      </w:r>
      <w:r>
        <w:rPr>
          <w:rFonts w:ascii="Times New Roman" w:hAnsi="Times New Roman" w:cs="Times New Roman"/>
          <w:sz w:val="24"/>
          <w:szCs w:val="24"/>
        </w:rPr>
        <w:t>construction reports and project design documents of the power plants, detailed lists of the material</w:t>
      </w:r>
      <w:r w:rsidR="006F66FD">
        <w:rPr>
          <w:rFonts w:ascii="Times New Roman" w:hAnsi="Times New Roman" w:cs="Times New Roman"/>
          <w:sz w:val="24"/>
          <w:szCs w:val="24"/>
        </w:rPr>
        <w:t>s</w:t>
      </w:r>
      <w:r>
        <w:rPr>
          <w:rFonts w:ascii="Times New Roman" w:hAnsi="Times New Roman" w:cs="Times New Roman"/>
          <w:sz w:val="24"/>
          <w:szCs w:val="24"/>
        </w:rPr>
        <w:t xml:space="preserve"> and equipment, and </w:t>
      </w:r>
      <w:r w:rsidR="006F66FD">
        <w:rPr>
          <w:rFonts w:ascii="Times New Roman" w:hAnsi="Times New Roman" w:cs="Times New Roman"/>
          <w:sz w:val="24"/>
          <w:szCs w:val="24"/>
        </w:rPr>
        <w:t xml:space="preserve">other </w:t>
      </w:r>
      <w:r>
        <w:rPr>
          <w:rFonts w:ascii="Times New Roman" w:hAnsi="Times New Roman" w:cs="Times New Roman"/>
          <w:sz w:val="24"/>
          <w:szCs w:val="24"/>
        </w:rPr>
        <w:t xml:space="preserve">reports. </w:t>
      </w:r>
      <w:r w:rsidR="006F66FD">
        <w:rPr>
          <w:rFonts w:ascii="Times New Roman" w:hAnsi="Times New Roman" w:cs="Times New Roman"/>
          <w:sz w:val="24"/>
          <w:szCs w:val="24"/>
        </w:rPr>
        <w:t>S</w:t>
      </w:r>
      <w:r w:rsidRPr="00DD5A0A">
        <w:rPr>
          <w:rFonts w:ascii="Times New Roman" w:hAnsi="Times New Roman" w:cs="Times New Roman"/>
          <w:sz w:val="24"/>
          <w:szCs w:val="24"/>
        </w:rPr>
        <w:t>econdary data</w:t>
      </w:r>
      <w:r>
        <w:rPr>
          <w:rFonts w:ascii="Times New Roman" w:hAnsi="Times New Roman" w:cs="Times New Roman"/>
          <w:sz w:val="24"/>
          <w:szCs w:val="24"/>
        </w:rPr>
        <w:t xml:space="preserve"> for the inputs</w:t>
      </w:r>
      <w:r w:rsidRPr="00DD5A0A">
        <w:rPr>
          <w:rFonts w:ascii="Times New Roman" w:hAnsi="Times New Roman" w:cs="Times New Roman"/>
          <w:sz w:val="24"/>
          <w:szCs w:val="24"/>
        </w:rPr>
        <w:t xml:space="preserve"> </w:t>
      </w:r>
      <w:r w:rsidR="006F66FD">
        <w:rPr>
          <w:rFonts w:ascii="Times New Roman" w:hAnsi="Times New Roman" w:cs="Times New Roman"/>
          <w:sz w:val="24"/>
          <w:szCs w:val="24"/>
        </w:rPr>
        <w:t xml:space="preserve">of </w:t>
      </w:r>
      <w:r>
        <w:rPr>
          <w:rFonts w:ascii="Times New Roman" w:hAnsi="Times New Roman" w:cs="Times New Roman"/>
          <w:sz w:val="24"/>
          <w:szCs w:val="24"/>
        </w:rPr>
        <w:t xml:space="preserve">the background process </w:t>
      </w:r>
      <w:r w:rsidRPr="00DD5A0A">
        <w:rPr>
          <w:rFonts w:ascii="Times New Roman" w:hAnsi="Times New Roman" w:cs="Times New Roman"/>
          <w:sz w:val="24"/>
          <w:szCs w:val="24"/>
        </w:rPr>
        <w:t>(life</w:t>
      </w:r>
      <w:r>
        <w:rPr>
          <w:rFonts w:ascii="Times New Roman" w:hAnsi="Times New Roman" w:cs="Times New Roman"/>
          <w:sz w:val="24"/>
          <w:szCs w:val="24"/>
        </w:rPr>
        <w:t>-</w:t>
      </w:r>
      <w:r w:rsidRPr="00DD5A0A">
        <w:rPr>
          <w:rFonts w:ascii="Times New Roman" w:hAnsi="Times New Roman" w:cs="Times New Roman"/>
          <w:sz w:val="24"/>
          <w:szCs w:val="24"/>
        </w:rPr>
        <w:t xml:space="preserve">cycle burden of equipment manufacturing, electricity </w:t>
      </w:r>
      <w:r>
        <w:rPr>
          <w:rFonts w:ascii="Times New Roman" w:hAnsi="Times New Roman" w:cs="Times New Roman"/>
          <w:sz w:val="24"/>
          <w:szCs w:val="24"/>
        </w:rPr>
        <w:t>consumption</w:t>
      </w:r>
      <w:r w:rsidRPr="00DD5A0A">
        <w:rPr>
          <w:rFonts w:ascii="Times New Roman" w:hAnsi="Times New Roman" w:cs="Times New Roman"/>
          <w:sz w:val="24"/>
          <w:szCs w:val="24"/>
        </w:rPr>
        <w:t xml:space="preserve"> and transportation) were collected from the Ecoinvent 3.5</w:t>
      </w:r>
      <w:r>
        <w:rPr>
          <w:rFonts w:ascii="Times New Roman" w:hAnsi="Times New Roman" w:cs="Times New Roman"/>
          <w:sz w:val="24"/>
          <w:szCs w:val="24"/>
        </w:rPr>
        <w:t xml:space="preserve"> LCA</w:t>
      </w:r>
      <w:r w:rsidRPr="00DD5A0A">
        <w:rPr>
          <w:rFonts w:ascii="Times New Roman" w:hAnsi="Times New Roman" w:cs="Times New Roman"/>
          <w:sz w:val="24"/>
          <w:szCs w:val="24"/>
        </w:rPr>
        <w:t xml:space="preserve"> database for hydropower projects. </w:t>
      </w:r>
      <w:r>
        <w:rPr>
          <w:rFonts w:ascii="Times New Roman" w:hAnsi="Times New Roman" w:cs="Times New Roman"/>
          <w:sz w:val="24"/>
          <w:szCs w:val="24"/>
        </w:rPr>
        <w:t>D</w:t>
      </w:r>
      <w:r w:rsidRPr="00DD5A0A">
        <w:rPr>
          <w:rFonts w:ascii="Times New Roman" w:hAnsi="Times New Roman" w:cs="Times New Roman"/>
          <w:sz w:val="24"/>
          <w:szCs w:val="24"/>
        </w:rPr>
        <w:t>ata from the Ecoinvent ha</w:t>
      </w:r>
      <w:r>
        <w:rPr>
          <w:rFonts w:ascii="Times New Roman" w:hAnsi="Times New Roman" w:cs="Times New Roman"/>
          <w:sz w:val="24"/>
          <w:szCs w:val="24"/>
        </w:rPr>
        <w:t xml:space="preserve">ve </w:t>
      </w:r>
      <w:r w:rsidRPr="00DD5A0A">
        <w:rPr>
          <w:rFonts w:ascii="Times New Roman" w:hAnsi="Times New Roman" w:cs="Times New Roman"/>
          <w:sz w:val="24"/>
          <w:szCs w:val="24"/>
        </w:rPr>
        <w:t xml:space="preserve">been adapted to reflect local conditions, such as </w:t>
      </w:r>
      <w:r>
        <w:rPr>
          <w:rFonts w:ascii="Times New Roman" w:hAnsi="Times New Roman" w:cs="Times New Roman"/>
          <w:sz w:val="24"/>
          <w:szCs w:val="24"/>
        </w:rPr>
        <w:t xml:space="preserve">the </w:t>
      </w:r>
      <w:r w:rsidRPr="00DD5A0A">
        <w:rPr>
          <w:rFonts w:ascii="Times New Roman" w:hAnsi="Times New Roman" w:cs="Times New Roman"/>
          <w:sz w:val="24"/>
          <w:szCs w:val="24"/>
        </w:rPr>
        <w:t>fuel composition and disposal method</w:t>
      </w:r>
      <w:r>
        <w:rPr>
          <w:rFonts w:ascii="Times New Roman" w:hAnsi="Times New Roman" w:cs="Times New Roman"/>
          <w:sz w:val="24"/>
          <w:szCs w:val="24"/>
        </w:rPr>
        <w:t>s</w:t>
      </w:r>
      <w:r w:rsidRPr="00DD5A0A">
        <w:rPr>
          <w:rFonts w:ascii="Times New Roman" w:hAnsi="Times New Roman" w:cs="Times New Roman"/>
          <w:sz w:val="24"/>
          <w:szCs w:val="24"/>
        </w:rPr>
        <w:t xml:space="preserve"> in Myanmar.</w:t>
      </w:r>
      <w:r>
        <w:rPr>
          <w:rFonts w:ascii="Times New Roman" w:hAnsi="Times New Roman" w:cs="Times New Roman"/>
          <w:sz w:val="24"/>
          <w:szCs w:val="24"/>
        </w:rPr>
        <w:t xml:space="preserve"> </w:t>
      </w:r>
    </w:p>
    <w:p w14:paraId="73E2C058" w14:textId="7A96E965" w:rsidR="008C236F" w:rsidRDefault="006F66FD" w:rsidP="004F2BB1">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There are no </w:t>
      </w:r>
      <w:r w:rsidR="00924547">
        <w:rPr>
          <w:rFonts w:ascii="Times New Roman" w:hAnsi="Times New Roman" w:cs="Times New Roman"/>
          <w:sz w:val="24"/>
          <w:szCs w:val="24"/>
        </w:rPr>
        <w:t xml:space="preserve">official data </w:t>
      </w:r>
      <w:r>
        <w:rPr>
          <w:rFonts w:ascii="Times New Roman" w:hAnsi="Times New Roman" w:cs="Times New Roman"/>
          <w:sz w:val="24"/>
          <w:szCs w:val="24"/>
        </w:rPr>
        <w:t xml:space="preserve">that would allow </w:t>
      </w:r>
      <w:r w:rsidR="00924547">
        <w:rPr>
          <w:rFonts w:ascii="Times New Roman" w:hAnsi="Times New Roman" w:cs="Times New Roman"/>
          <w:sz w:val="24"/>
          <w:szCs w:val="24"/>
        </w:rPr>
        <w:t xml:space="preserve">to estimate GHG </w:t>
      </w:r>
      <w:r>
        <w:rPr>
          <w:rFonts w:ascii="Times New Roman" w:hAnsi="Times New Roman" w:cs="Times New Roman"/>
          <w:sz w:val="24"/>
          <w:szCs w:val="24"/>
        </w:rPr>
        <w:t xml:space="preserve">and </w:t>
      </w:r>
      <w:r w:rsidR="00924547">
        <w:rPr>
          <w:rFonts w:ascii="Times New Roman" w:hAnsi="Times New Roman" w:cs="Times New Roman"/>
          <w:sz w:val="24"/>
          <w:szCs w:val="24"/>
        </w:rPr>
        <w:t>biomass-related emission factors from the decommissioning of dams. Previous hydropower plants</w:t>
      </w:r>
      <w:r>
        <w:rPr>
          <w:rFonts w:ascii="Times New Roman" w:hAnsi="Times New Roman" w:cs="Times New Roman"/>
          <w:sz w:val="24"/>
          <w:szCs w:val="24"/>
        </w:rPr>
        <w:t xml:space="preserve">’ LCAs </w:t>
      </w:r>
      <w:r w:rsidR="00924547">
        <w:rPr>
          <w:rFonts w:ascii="Times New Roman" w:hAnsi="Times New Roman" w:cs="Times New Roman"/>
          <w:sz w:val="24"/>
          <w:szCs w:val="24"/>
        </w:rPr>
        <w:t xml:space="preserve">that included GHG emissions relied primarily on the data directly obtained from hydropower companies </w:t>
      </w:r>
      <w:r w:rsidR="00924547">
        <w:rPr>
          <w:rFonts w:ascii="Times New Roman" w:hAnsi="Times New Roman" w:cs="Times New Roman"/>
          <w:sz w:val="24"/>
          <w:szCs w:val="24"/>
        </w:rPr>
        <w:fldChar w:fldCharType="begin" w:fldLock="1"/>
      </w:r>
      <w:r w:rsidR="00924547">
        <w:rPr>
          <w:rFonts w:ascii="Times New Roman" w:hAnsi="Times New Roman" w:cs="Times New Roman"/>
          <w:sz w:val="24"/>
          <w:szCs w:val="24"/>
        </w:rPr>
        <w:instrText>ADDIN CSL_CITATION {"citationItems":[{"id":"ITEM-1","itemData":{"DOI":"10.1007/s11367-018-01579-2","ISSN":"16147502","abstract":"Purpose: Low-carbon emissions are usually related to hydropower energy, making it an attractive option for nations with hydropower potential as it enables them to meet increasing electricity demand without relying on burning fossil fuels. In fact, the new wave of hydropower plant construction is occurring mainly in tropical areas where an additional environmental impact must be considered: biogenic greenhouse gas (GHG) emissions due to the degradation of biogenic carbon in reservoirs. Peru is planning to install up to 2000 MW in hydropower until 2021, but the input and output flows, as well as the environmental impacts that these generate, have not been explored. Hence, a set of three hydropower plants built in the past decade located in the Peruvian Andes were analyzed from a life cycle perspective. The main objective of the study is to generate detailed life cycle inventories for each of these three hydropower plants with the aim of obtaining specific information for current conditions in Peru. Methods: The life cycle assessment methodology was applied to compute the environmental impacts. Data collection was based mainly on primary data obtained directly from the hydropower companies, although biogenic emissions were modeled considering local net primary productivity conditions and other site-specific conditions. Although the calculation of GHG emissions related to hydropower plants was a priority, considering the important policy implications of decarbonizing the Peruvian electricity grid, other environmental categories, such as eutrophication or the depletion of abiotic resources, were also considered. The IPCC method was used to calculate GHG emissions, whereas a set of eight additional impact categories were computed using the ReCiPe 2016 method. Results and discussion: Results show that GHG emissions per unit of electricity generated were in the lower range of emissions observed in the literature, in all three cases below 3 g CO2eq/kWh. Biogenic emissions represented less than 5% of the total GHG emissions despite their location in a tropical nation, due to the arid conditions of the landscape in the Andean Highlands, as well as the mild temperatures that are present in the reservoirs. In terms of stratospheric ozone depletion, a GHG with ozone depletion properties, N2O, was the main source of impact. Conclusions: The results are intended to be of utility for an array of applications, including relevance in decision-making in the energy sector a…","author":[{"dropping-particle":"","family":"Verán-Leigh","given":"Daniel","non-dropping-particle":"","parse-names":false,"suffix":""},{"dropping-particle":"","family":"Vázquez-Rowe","given":"Ian","non-dropping-particle":"","parse-names":false,"suffix":""}],"container-title":"International Journal of Life Cycle Assessment","id":"ITEM-1","issue":"8","issued":{"date-parts":[["2019"]]},"page":"1376-1395","publisher":"The International Journal of Life Cycle Assessment","title":"Life cycle assessment of run-of-river hydropower plants in the Peruvian Andes: a policy support perspective","type":"article-journal","volume":"24"},"uris":["http://www.mendeley.com/documents/?uuid=a7e92a44-b865-496c-8db6-35ba1ebb416e"]}],"mendeley":{"formattedCitation":"(Verán-Leigh &amp; Vázquez-Rowe, 2019)","plainTextFormattedCitation":"(Verán-Leigh &amp; Vázquez-Rowe, 2019)","previouslyFormattedCitation":"(Verán-Leigh &amp; Vázquez-Rowe, 2019)"},"properties":{"noteIndex":0},"schema":"https://github.com/citation-style-language/schema/raw/master/csl-citation.json"}</w:instrText>
      </w:r>
      <w:r w:rsidR="00924547">
        <w:rPr>
          <w:rFonts w:ascii="Times New Roman" w:hAnsi="Times New Roman" w:cs="Times New Roman"/>
          <w:sz w:val="24"/>
          <w:szCs w:val="24"/>
        </w:rPr>
        <w:fldChar w:fldCharType="separate"/>
      </w:r>
      <w:r w:rsidR="00924547" w:rsidRPr="001457F9">
        <w:rPr>
          <w:rFonts w:ascii="Times New Roman" w:hAnsi="Times New Roman" w:cs="Times New Roman"/>
          <w:noProof/>
          <w:sz w:val="24"/>
          <w:szCs w:val="24"/>
        </w:rPr>
        <w:t>(Verán-Leigh &amp; Vázquez-Rowe, 2019)</w:t>
      </w:r>
      <w:r w:rsidR="00924547">
        <w:rPr>
          <w:rFonts w:ascii="Times New Roman" w:hAnsi="Times New Roman" w:cs="Times New Roman"/>
          <w:sz w:val="24"/>
          <w:szCs w:val="24"/>
        </w:rPr>
        <w:fldChar w:fldCharType="end"/>
      </w:r>
      <w:r w:rsidR="00924547">
        <w:rPr>
          <w:rFonts w:ascii="Times New Roman" w:hAnsi="Times New Roman" w:cs="Times New Roman"/>
          <w:sz w:val="24"/>
          <w:szCs w:val="24"/>
        </w:rPr>
        <w:t>. We were unable to obtain such data</w:t>
      </w:r>
      <w:r>
        <w:rPr>
          <w:rFonts w:ascii="Times New Roman" w:hAnsi="Times New Roman" w:cs="Times New Roman"/>
          <w:sz w:val="24"/>
          <w:szCs w:val="24"/>
        </w:rPr>
        <w:t xml:space="preserve"> and</w:t>
      </w:r>
      <w:r w:rsidR="00924547">
        <w:rPr>
          <w:rFonts w:ascii="Times New Roman" w:hAnsi="Times New Roman" w:cs="Times New Roman"/>
          <w:sz w:val="24"/>
          <w:szCs w:val="24"/>
        </w:rPr>
        <w:t xml:space="preserve"> relevant secondary databases are also not representative. In most hydropower LCA research, data quality for GHG emissions is often problematic due to uncertainties </w:t>
      </w:r>
      <w:r w:rsidR="00924547">
        <w:rPr>
          <w:rFonts w:ascii="Times New Roman" w:hAnsi="Times New Roman" w:cs="Times New Roman"/>
          <w:sz w:val="24"/>
          <w:szCs w:val="24"/>
        </w:rPr>
        <w:fldChar w:fldCharType="begin" w:fldLock="1"/>
      </w:r>
      <w:r w:rsidR="00924547">
        <w:rPr>
          <w:rFonts w:ascii="Times New Roman" w:hAnsi="Times New Roman" w:cs="Times New Roman"/>
          <w:sz w:val="24"/>
          <w:szCs w:val="24"/>
        </w:rPr>
        <w:instrText>ADDIN CSL_CITATION {"citationItems":[{"id":"ITEM-1","itemData":{"DOI":"10.1016/j.jclepro.2009.09.006","ISSN":"09596526","abstract":"Representative Life-Cycle Inventories (LCIs) are essential for Life-Cycle Assessments (LCAs) quality and readiness. Because energy is such an important element of LCAs, appropriate LCIs on energy are crucial, and due to the prevalence of hydropower on Brazilian electricity mix, the frequently used LCIs are not representative of the Brazilian conditions. The present study developed a LCI of the Itaipu Hydropower Plant, the major hydropower plant in the world, responsible for producing 23.8% of Brazil's electricity consumption. Focused on the capital investments to construct and operate the dam, the LCI was designed to serve as a database for the LCAs of Brazilian hydroelectricity production. The life-cycle boundaries encompass the construction and operation of the dam, as well as the life-cycles of the most important material and energy consumptions (cement, steel, copper, diesel oil, lubricant oil), as well as construction site operation, emissions from reservoir flooding, material and workers transportation, and earthworks. As a result, besides the presented inventory, it was possible to determine the following processes, and respective environmental burdens as the most important life-cycle hotspots: reservoir filling (CO 2 and CH 4 emission; land use); steel life-cycle (water and energy consumption; CO, particulates, SO x and NO x emissions); cement life-cycle (water and energy consumption; CO 2 and particulate emissions); and operation of civil construction machines (diesel consumption; NO x emissions). Compared with another hydropower studies, the LCI showed magnitude adequacy, with better results than small hydropower, which reveals a scale economy for material and energy exchanges in the case of Itaipu Power Plant. © 2009 Elsevier Ltd. All rights reserved.","author":[{"dropping-particle":"","family":"Ribeiro","given":"Flávio de Miranda","non-dropping-particle":"","parse-names":false,"suffix":""},{"dropping-particle":"","family":"Silva","given":"Gil Anderi","non-dropping-particle":"da","parse-names":false,"suffix":""}],"container-title":"Journal of Cleaner Production","id":"ITEM-1","issue":"1","issued":{"date-parts":[["2010"]]},"page":"44-54","title":"Life-cycle inventory for hydroelectric generation: a Brazilian case study","type":"article-journal","volume":"18"},"uris":["http://www.mendeley.com/documents/?uuid=e347eea3-346d-4ea9-9c65-91421038eba0"]}],"mendeley":{"formattedCitation":"(Ribeiro &amp; da Silva, 2010)","plainTextFormattedCitation":"(Ribeiro &amp; da Silva, 2010)","previouslyFormattedCitation":"(Ribeiro &amp; da Silva, 2010)"},"properties":{"noteIndex":0},"schema":"https://github.com/citation-style-language/schema/raw/master/csl-citation.json"}</w:instrText>
      </w:r>
      <w:r w:rsidR="00924547">
        <w:rPr>
          <w:rFonts w:ascii="Times New Roman" w:hAnsi="Times New Roman" w:cs="Times New Roman"/>
          <w:sz w:val="24"/>
          <w:szCs w:val="24"/>
        </w:rPr>
        <w:fldChar w:fldCharType="separate"/>
      </w:r>
      <w:r w:rsidR="00924547" w:rsidRPr="008D100B">
        <w:rPr>
          <w:rFonts w:ascii="Times New Roman" w:hAnsi="Times New Roman" w:cs="Times New Roman"/>
          <w:noProof/>
          <w:sz w:val="24"/>
          <w:szCs w:val="24"/>
        </w:rPr>
        <w:t>(Ribeiro &amp; da Silva, 2010)</w:t>
      </w:r>
      <w:r w:rsidR="00924547">
        <w:rPr>
          <w:rFonts w:ascii="Times New Roman" w:hAnsi="Times New Roman" w:cs="Times New Roman"/>
          <w:sz w:val="24"/>
          <w:szCs w:val="24"/>
        </w:rPr>
        <w:fldChar w:fldCharType="end"/>
      </w:r>
      <w:r w:rsidR="00924547">
        <w:rPr>
          <w:rFonts w:ascii="Times New Roman" w:hAnsi="Times New Roman" w:cs="Times New Roman"/>
          <w:sz w:val="24"/>
          <w:szCs w:val="24"/>
        </w:rPr>
        <w:t xml:space="preserve">. </w:t>
      </w:r>
      <w:r w:rsidR="008C236F">
        <w:rPr>
          <w:rFonts w:ascii="Times New Roman" w:hAnsi="Times New Roman" w:cs="Times New Roman"/>
          <w:sz w:val="24"/>
          <w:szCs w:val="24"/>
        </w:rPr>
        <w:t>D</w:t>
      </w:r>
      <w:r w:rsidR="00924547" w:rsidRPr="00DD5A0A">
        <w:rPr>
          <w:rFonts w:ascii="Times New Roman" w:hAnsi="Times New Roman" w:cs="Times New Roman"/>
          <w:sz w:val="24"/>
          <w:szCs w:val="24"/>
        </w:rPr>
        <w:t xml:space="preserve">etailed lifecycle inventory data for the production of 1 MWh net electricity by hydropower plants in Myanmar are shown in Table </w:t>
      </w:r>
      <w:r w:rsidR="00547D0C">
        <w:rPr>
          <w:rFonts w:ascii="Times New Roman" w:hAnsi="Times New Roman" w:cs="Times New Roman"/>
          <w:sz w:val="24"/>
          <w:szCs w:val="24"/>
        </w:rPr>
        <w:t>3</w:t>
      </w:r>
      <w:r w:rsidR="00924547" w:rsidRPr="00DD5A0A">
        <w:rPr>
          <w:rFonts w:ascii="Times New Roman" w:hAnsi="Times New Roman" w:cs="Times New Roman"/>
          <w:sz w:val="24"/>
          <w:szCs w:val="24"/>
        </w:rPr>
        <w:t xml:space="preserve">. The hydropower construction phase includes inputs and outputs from land preparation, construction of the foundation formwork, reinforced concrete structure dam, penstock, powerhouse, tailrace and substation, and equipment installation. </w:t>
      </w:r>
      <w:r w:rsidR="001C090B">
        <w:rPr>
          <w:rFonts w:ascii="Times New Roman" w:hAnsi="Times New Roman" w:cs="Times New Roman"/>
          <w:sz w:val="24"/>
          <w:szCs w:val="24"/>
        </w:rPr>
        <w:t>E</w:t>
      </w:r>
      <w:r w:rsidR="00924547" w:rsidRPr="00DD5A0A">
        <w:rPr>
          <w:rFonts w:ascii="Times New Roman" w:hAnsi="Times New Roman" w:cs="Times New Roman"/>
          <w:sz w:val="24"/>
          <w:szCs w:val="24"/>
        </w:rPr>
        <w:t>nergy consumption (electricity and diesel fuel) and materials flow</w:t>
      </w:r>
      <w:r w:rsidR="001C090B">
        <w:rPr>
          <w:rFonts w:ascii="Times New Roman" w:hAnsi="Times New Roman" w:cs="Times New Roman"/>
          <w:sz w:val="24"/>
          <w:szCs w:val="24"/>
        </w:rPr>
        <w:t>s</w:t>
      </w:r>
      <w:r w:rsidR="00924547" w:rsidRPr="00DD5A0A">
        <w:rPr>
          <w:rFonts w:ascii="Times New Roman" w:hAnsi="Times New Roman" w:cs="Times New Roman"/>
          <w:sz w:val="24"/>
          <w:szCs w:val="24"/>
        </w:rPr>
        <w:t xml:space="preserve"> (steel, stainless steel, iron and aluminium) are included </w:t>
      </w:r>
      <w:r w:rsidR="00924547">
        <w:rPr>
          <w:rFonts w:ascii="Times New Roman" w:hAnsi="Times New Roman" w:cs="Times New Roman"/>
          <w:sz w:val="24"/>
          <w:szCs w:val="24"/>
        </w:rPr>
        <w:t>at</w:t>
      </w:r>
      <w:r w:rsidR="00924547" w:rsidRPr="00DD5A0A">
        <w:rPr>
          <w:rFonts w:ascii="Times New Roman" w:hAnsi="Times New Roman" w:cs="Times New Roman"/>
          <w:sz w:val="24"/>
          <w:szCs w:val="24"/>
        </w:rPr>
        <w:t xml:space="preserve"> this stage. The energy used for the manufacturing of the equipment is beyond the scope of the study and is excluded from the LCIA. Extraction and smelting of metal materials account for the majority of the environmental impacts associated with equipment manufacturing</w:t>
      </w:r>
      <w:r w:rsidR="00DD3838">
        <w:rPr>
          <w:rFonts w:ascii="Times New Roman" w:hAnsi="Times New Roman" w:cs="Times New Roman"/>
          <w:sz w:val="24"/>
          <w:szCs w:val="24"/>
        </w:rPr>
        <w:t xml:space="preserve"> </w:t>
      </w:r>
      <w:r w:rsidR="00DD3838">
        <w:rPr>
          <w:rFonts w:ascii="Times New Roman" w:hAnsi="Times New Roman" w:cs="Times New Roman"/>
          <w:sz w:val="24"/>
          <w:szCs w:val="24"/>
        </w:rPr>
        <w:fldChar w:fldCharType="begin" w:fldLock="1"/>
      </w:r>
      <w:r w:rsidR="00547D0C">
        <w:rPr>
          <w:rFonts w:ascii="Times New Roman" w:hAnsi="Times New Roman" w:cs="Times New Roman"/>
          <w:sz w:val="24"/>
          <w:szCs w:val="24"/>
        </w:rPr>
        <w:instrText>ADDIN CSL_CITATION {"citationItems":[{"id":"ITEM-1","itemData":{"DOI":"DOI 10.1007/s11367-015-0878-7","author":[{"dropping-particle":"","family":"Pang","given":"Mingyue;","non-dropping-particle":"","parse-names":false,"suffix":""},{"dropping-particle":"","family":"Zhang, Lixiao; Wang, Changbo &amp; Liu","given":"Gengyuan","non-dropping-particle":"","parse-names":false,"suffix":""}],"container-title":"Int J Life Cycle Assess","id":"ITEM-1","issue":"20","issued":{"date-parts":[["2015"]]},"page":"796-806","title":"Environmental life cycle assessment of a small hydropower plant in China","type":"article-journal"},"uris":["http://www.mendeley.com/documents/?uuid=5c796f13-37e3-4183-a3ef-7b990e426fdc"]}],"mendeley":{"formattedCitation":"(Pang &amp; Zhang, Lixiao; Wang, Changbo &amp; Liu, 2015)","manualFormatting":"(Pang et al., 2015)","plainTextFormattedCitation":"(Pang &amp; Zhang, Lixiao; Wang, Changbo &amp; Liu, 2015)","previouslyFormattedCitation":"(Pang &amp; Zhang, Lixiao; Wang, Changbo &amp; Liu, 2015)"},"properties":{"noteIndex":0},"schema":"https://github.com/citation-style-language/schema/raw/master/csl-citation.json"}</w:instrText>
      </w:r>
      <w:r w:rsidR="00DD3838">
        <w:rPr>
          <w:rFonts w:ascii="Times New Roman" w:hAnsi="Times New Roman" w:cs="Times New Roman"/>
          <w:sz w:val="24"/>
          <w:szCs w:val="24"/>
        </w:rPr>
        <w:fldChar w:fldCharType="separate"/>
      </w:r>
      <w:r w:rsidR="00DD3838" w:rsidRPr="00DD3838">
        <w:rPr>
          <w:rFonts w:ascii="Times New Roman" w:hAnsi="Times New Roman" w:cs="Times New Roman"/>
          <w:noProof/>
          <w:sz w:val="24"/>
          <w:szCs w:val="24"/>
        </w:rPr>
        <w:t xml:space="preserve">(Pang </w:t>
      </w:r>
      <w:r w:rsidR="00DD3838">
        <w:rPr>
          <w:rFonts w:ascii="Times New Roman" w:hAnsi="Times New Roman" w:cs="Times New Roman"/>
          <w:noProof/>
          <w:sz w:val="24"/>
          <w:szCs w:val="24"/>
        </w:rPr>
        <w:t>et al.</w:t>
      </w:r>
      <w:r w:rsidR="00DD3838" w:rsidRPr="00DD3838">
        <w:rPr>
          <w:rFonts w:ascii="Times New Roman" w:hAnsi="Times New Roman" w:cs="Times New Roman"/>
          <w:noProof/>
          <w:sz w:val="24"/>
          <w:szCs w:val="24"/>
        </w:rPr>
        <w:t>, 2015)</w:t>
      </w:r>
      <w:r w:rsidR="00DD3838">
        <w:rPr>
          <w:rFonts w:ascii="Times New Roman" w:hAnsi="Times New Roman" w:cs="Times New Roman"/>
          <w:sz w:val="24"/>
          <w:szCs w:val="24"/>
        </w:rPr>
        <w:fldChar w:fldCharType="end"/>
      </w:r>
      <w:r w:rsidR="00924547" w:rsidRPr="00DD5A0A">
        <w:rPr>
          <w:rFonts w:ascii="Times New Roman" w:hAnsi="Times New Roman" w:cs="Times New Roman"/>
          <w:sz w:val="24"/>
          <w:szCs w:val="24"/>
        </w:rPr>
        <w:t xml:space="preserve">. </w:t>
      </w:r>
    </w:p>
    <w:p w14:paraId="1D13F861" w14:textId="0A84C221" w:rsidR="00A8453C" w:rsidRDefault="00924547" w:rsidP="00F36E3D">
      <w:pPr>
        <w:spacing w:line="240" w:lineRule="auto"/>
        <w:ind w:firstLine="720"/>
        <w:rPr>
          <w:rFonts w:ascii="Times New Roman" w:hAnsi="Times New Roman" w:cs="Times New Roman"/>
          <w:sz w:val="24"/>
          <w:szCs w:val="24"/>
        </w:rPr>
      </w:pPr>
      <w:r w:rsidRPr="00DD5A0A">
        <w:rPr>
          <w:rFonts w:ascii="Times New Roman" w:hAnsi="Times New Roman" w:cs="Times New Roman"/>
          <w:sz w:val="24"/>
          <w:szCs w:val="24"/>
        </w:rPr>
        <w:t xml:space="preserve">Transportation of construction materials and equipment to the plant sites were also inventoried </w:t>
      </w:r>
      <w:r w:rsidR="001C090B">
        <w:rPr>
          <w:rFonts w:ascii="Times New Roman" w:hAnsi="Times New Roman" w:cs="Times New Roman"/>
          <w:sz w:val="24"/>
          <w:szCs w:val="24"/>
        </w:rPr>
        <w:t>(</w:t>
      </w:r>
      <w:r w:rsidRPr="00DD5A0A">
        <w:rPr>
          <w:rFonts w:ascii="Times New Roman" w:hAnsi="Times New Roman" w:cs="Times New Roman"/>
          <w:sz w:val="24"/>
          <w:szCs w:val="24"/>
        </w:rPr>
        <w:t>in-country and overseas</w:t>
      </w:r>
      <w:r w:rsidR="001C090B">
        <w:rPr>
          <w:rFonts w:ascii="Times New Roman" w:hAnsi="Times New Roman" w:cs="Times New Roman"/>
          <w:sz w:val="24"/>
          <w:szCs w:val="24"/>
        </w:rPr>
        <w:t xml:space="preserve">, i.e. </w:t>
      </w:r>
      <w:r w:rsidRPr="00DD5A0A">
        <w:rPr>
          <w:rFonts w:ascii="Times New Roman" w:hAnsi="Times New Roman" w:cs="Times New Roman"/>
          <w:sz w:val="24"/>
          <w:szCs w:val="24"/>
        </w:rPr>
        <w:t>China). Most of the explosive, wood and diesel fuel were purchased and transported locally by road</w:t>
      </w:r>
      <w:r w:rsidR="001C090B">
        <w:rPr>
          <w:rFonts w:ascii="Times New Roman" w:hAnsi="Times New Roman" w:cs="Times New Roman"/>
          <w:sz w:val="24"/>
          <w:szCs w:val="24"/>
        </w:rPr>
        <w:t>,</w:t>
      </w:r>
      <w:r w:rsidRPr="00DD5A0A">
        <w:rPr>
          <w:rFonts w:ascii="Times New Roman" w:hAnsi="Times New Roman" w:cs="Times New Roman"/>
          <w:sz w:val="24"/>
          <w:szCs w:val="24"/>
        </w:rPr>
        <w:t xml:space="preserve"> whereas cement, steel, transformer</w:t>
      </w:r>
      <w:r w:rsidR="001C090B">
        <w:rPr>
          <w:rFonts w:ascii="Times New Roman" w:hAnsi="Times New Roman" w:cs="Times New Roman"/>
          <w:sz w:val="24"/>
          <w:szCs w:val="24"/>
        </w:rPr>
        <w:t>s</w:t>
      </w:r>
      <w:r w:rsidRPr="00DD5A0A">
        <w:rPr>
          <w:rFonts w:ascii="Times New Roman" w:hAnsi="Times New Roman" w:cs="Times New Roman"/>
          <w:sz w:val="24"/>
          <w:szCs w:val="24"/>
        </w:rPr>
        <w:t xml:space="preserve"> and crane</w:t>
      </w:r>
      <w:r w:rsidR="001C090B">
        <w:rPr>
          <w:rFonts w:ascii="Times New Roman" w:hAnsi="Times New Roman" w:cs="Times New Roman"/>
          <w:sz w:val="24"/>
          <w:szCs w:val="24"/>
        </w:rPr>
        <w:t>s</w:t>
      </w:r>
      <w:r w:rsidRPr="00DD5A0A">
        <w:rPr>
          <w:rFonts w:ascii="Times New Roman" w:hAnsi="Times New Roman" w:cs="Times New Roman"/>
          <w:sz w:val="24"/>
          <w:szCs w:val="24"/>
        </w:rPr>
        <w:t xml:space="preserve"> were transported from the manufacturers in China by road and ship. The inventory data for this stage consist of the transportation of materials for the construction to demolition stage of the plants.</w:t>
      </w:r>
      <w:r w:rsidR="005B0617">
        <w:rPr>
          <w:rFonts w:ascii="Times New Roman" w:hAnsi="Times New Roman" w:cs="Times New Roman"/>
          <w:sz w:val="24"/>
          <w:szCs w:val="24"/>
        </w:rPr>
        <w:t xml:space="preserve"> The distances for this stage</w:t>
      </w:r>
      <w:r w:rsidR="00F36E3D">
        <w:rPr>
          <w:rFonts w:ascii="Times New Roman" w:hAnsi="Times New Roman" w:cs="Times New Roman"/>
          <w:sz w:val="24"/>
          <w:szCs w:val="24"/>
        </w:rPr>
        <w:t xml:space="preserve">, including transportation of materials for construction and maintenance stage, and recyclable materials transported to recycling facilities by truck, </w:t>
      </w:r>
      <w:r w:rsidR="005B0617">
        <w:rPr>
          <w:rFonts w:ascii="Times New Roman" w:hAnsi="Times New Roman" w:cs="Times New Roman"/>
          <w:sz w:val="24"/>
          <w:szCs w:val="24"/>
        </w:rPr>
        <w:t>were estimated from</w:t>
      </w:r>
      <w:r w:rsidR="00F36E3D" w:rsidRPr="00F36E3D">
        <w:rPr>
          <w:rFonts w:ascii="Times New Roman" w:hAnsi="Times New Roman" w:cs="Times New Roman"/>
          <w:sz w:val="24"/>
          <w:szCs w:val="24"/>
        </w:rPr>
        <w:t xml:space="preserve"> </w:t>
      </w:r>
      <w:r w:rsidR="00F36E3D">
        <w:rPr>
          <w:rFonts w:ascii="Times New Roman" w:hAnsi="Times New Roman" w:cs="Times New Roman"/>
          <w:sz w:val="24"/>
          <w:szCs w:val="24"/>
        </w:rPr>
        <w:t>Google Earth Pro (</w:t>
      </w:r>
      <w:hyperlink r:id="rId14" w:anchor="earth-pro" w:history="1">
        <w:r w:rsidR="00F36E3D">
          <w:rPr>
            <w:rStyle w:val="Hyperlink"/>
          </w:rPr>
          <w:t>https://www.google.com/earth/versions/#earth-pro</w:t>
        </w:r>
      </w:hyperlink>
      <w:r w:rsidR="00F36E3D">
        <w:rPr>
          <w:rFonts w:ascii="Times New Roman" w:hAnsi="Times New Roman" w:cs="Times New Roman"/>
          <w:sz w:val="24"/>
          <w:szCs w:val="24"/>
        </w:rPr>
        <w:t>).</w:t>
      </w:r>
      <w:r w:rsidR="005B0617">
        <w:rPr>
          <w:rFonts w:ascii="Times New Roman" w:hAnsi="Times New Roman" w:cs="Times New Roman"/>
          <w:sz w:val="24"/>
          <w:szCs w:val="24"/>
        </w:rPr>
        <w:t xml:space="preserve"> </w:t>
      </w:r>
      <w:r w:rsidR="00F36E3D">
        <w:rPr>
          <w:rFonts w:ascii="Times New Roman" w:hAnsi="Times New Roman" w:cs="Times New Roman"/>
          <w:sz w:val="24"/>
          <w:szCs w:val="24"/>
        </w:rPr>
        <w:t>S</w:t>
      </w:r>
      <w:r w:rsidR="005B0617">
        <w:rPr>
          <w:rFonts w:ascii="Times New Roman" w:hAnsi="Times New Roman" w:cs="Times New Roman"/>
          <w:sz w:val="24"/>
          <w:szCs w:val="24"/>
        </w:rPr>
        <w:t>hip transportation calculator (</w:t>
      </w:r>
      <w:hyperlink r:id="rId15" w:history="1">
        <w:r w:rsidR="005B0617">
          <w:rPr>
            <w:rStyle w:val="Hyperlink"/>
          </w:rPr>
          <w:t>http://ports.com/sea-route/port-of-shanghai,china/port-of-yangon,myanmar/</w:t>
        </w:r>
      </w:hyperlink>
      <w:r w:rsidR="005B0617">
        <w:rPr>
          <w:rFonts w:ascii="Times New Roman" w:hAnsi="Times New Roman" w:cs="Times New Roman"/>
          <w:sz w:val="24"/>
          <w:szCs w:val="24"/>
        </w:rPr>
        <w:t>)</w:t>
      </w:r>
      <w:r w:rsidR="00F36E3D">
        <w:rPr>
          <w:rFonts w:ascii="Times New Roman" w:hAnsi="Times New Roman" w:cs="Times New Roman"/>
          <w:sz w:val="24"/>
          <w:szCs w:val="24"/>
        </w:rPr>
        <w:t xml:space="preserve"> was used to estimate transoceanic shipments</w:t>
      </w:r>
      <w:r w:rsidR="005B0617">
        <w:rPr>
          <w:rFonts w:ascii="Times New Roman" w:hAnsi="Times New Roman" w:cs="Times New Roman"/>
          <w:sz w:val="24"/>
          <w:szCs w:val="24"/>
        </w:rPr>
        <w:t xml:space="preserve">. </w:t>
      </w:r>
      <w:r w:rsidRPr="00DD5A0A">
        <w:rPr>
          <w:rFonts w:ascii="Times New Roman" w:hAnsi="Times New Roman" w:cs="Times New Roman"/>
          <w:sz w:val="24"/>
          <w:szCs w:val="24"/>
        </w:rPr>
        <w:t xml:space="preserve">The main resource inputs for the operation and maintenance phase of the hydropower plant is </w:t>
      </w:r>
      <w:r w:rsidR="001C38C8">
        <w:rPr>
          <w:rFonts w:ascii="Times New Roman" w:hAnsi="Times New Roman" w:cs="Times New Roman"/>
          <w:sz w:val="24"/>
          <w:szCs w:val="24"/>
        </w:rPr>
        <w:t xml:space="preserve">the </w:t>
      </w:r>
      <w:r w:rsidRPr="00DD5A0A">
        <w:rPr>
          <w:rFonts w:ascii="Times New Roman" w:hAnsi="Times New Roman" w:cs="Times New Roman"/>
          <w:sz w:val="24"/>
          <w:szCs w:val="24"/>
        </w:rPr>
        <w:t xml:space="preserve">natural water flows needed for electricity generation </w:t>
      </w:r>
      <w:r w:rsidR="001C38C8">
        <w:rPr>
          <w:rFonts w:ascii="Times New Roman" w:hAnsi="Times New Roman" w:cs="Times New Roman"/>
          <w:sz w:val="24"/>
          <w:szCs w:val="24"/>
        </w:rPr>
        <w:t>as well as</w:t>
      </w:r>
      <w:r w:rsidR="001C38C8" w:rsidRPr="00DD5A0A">
        <w:rPr>
          <w:rFonts w:ascii="Times New Roman" w:hAnsi="Times New Roman" w:cs="Times New Roman"/>
          <w:sz w:val="24"/>
          <w:szCs w:val="24"/>
        </w:rPr>
        <w:t xml:space="preserve"> </w:t>
      </w:r>
      <w:r w:rsidRPr="00DD5A0A">
        <w:rPr>
          <w:rFonts w:ascii="Times New Roman" w:hAnsi="Times New Roman" w:cs="Times New Roman"/>
          <w:sz w:val="24"/>
          <w:szCs w:val="24"/>
        </w:rPr>
        <w:t>electricity used over the operation</w:t>
      </w:r>
      <w:r>
        <w:rPr>
          <w:rFonts w:ascii="Times New Roman" w:hAnsi="Times New Roman" w:cs="Times New Roman"/>
          <w:sz w:val="24"/>
          <w:szCs w:val="24"/>
        </w:rPr>
        <w:t>al</w:t>
      </w:r>
      <w:r w:rsidRPr="00DD5A0A">
        <w:rPr>
          <w:rFonts w:ascii="Times New Roman" w:hAnsi="Times New Roman" w:cs="Times New Roman"/>
          <w:sz w:val="24"/>
          <w:szCs w:val="24"/>
        </w:rPr>
        <w:t xml:space="preserve"> life of the plant. At the maintenance stage, the upstream production of materials are the main </w:t>
      </w:r>
      <w:r w:rsidR="00ED1F0F">
        <w:rPr>
          <w:rFonts w:ascii="Times New Roman" w:hAnsi="Times New Roman" w:cs="Times New Roman"/>
          <w:sz w:val="24"/>
          <w:szCs w:val="24"/>
        </w:rPr>
        <w:t xml:space="preserve">reasons for </w:t>
      </w:r>
      <w:r w:rsidRPr="00DD5A0A">
        <w:rPr>
          <w:rFonts w:ascii="Times New Roman" w:hAnsi="Times New Roman" w:cs="Times New Roman"/>
          <w:sz w:val="24"/>
          <w:szCs w:val="24"/>
        </w:rPr>
        <w:t>environmental impacts. The replacement of turbine</w:t>
      </w:r>
      <w:r w:rsidR="00ED1F0F">
        <w:rPr>
          <w:rFonts w:ascii="Times New Roman" w:hAnsi="Times New Roman" w:cs="Times New Roman"/>
          <w:sz w:val="24"/>
          <w:szCs w:val="24"/>
        </w:rPr>
        <w:t>s</w:t>
      </w:r>
      <w:r w:rsidRPr="00DD5A0A">
        <w:rPr>
          <w:rFonts w:ascii="Times New Roman" w:hAnsi="Times New Roman" w:cs="Times New Roman"/>
          <w:sz w:val="24"/>
          <w:szCs w:val="24"/>
        </w:rPr>
        <w:t xml:space="preserve">, spear tips, nozzles, seal plates and lubricant oil are </w:t>
      </w:r>
      <w:r w:rsidR="00ED1F0F">
        <w:rPr>
          <w:rFonts w:ascii="Times New Roman" w:hAnsi="Times New Roman" w:cs="Times New Roman"/>
          <w:sz w:val="24"/>
          <w:szCs w:val="24"/>
        </w:rPr>
        <w:t xml:space="preserve">also </w:t>
      </w:r>
      <w:r w:rsidRPr="00DD5A0A">
        <w:rPr>
          <w:rFonts w:ascii="Times New Roman" w:hAnsi="Times New Roman" w:cs="Times New Roman"/>
          <w:sz w:val="24"/>
          <w:szCs w:val="24"/>
        </w:rPr>
        <w:t xml:space="preserve">included. </w:t>
      </w:r>
    </w:p>
    <w:p w14:paraId="137B18F2" w14:textId="5916C8C1" w:rsidR="00924547" w:rsidRDefault="007A5D2F" w:rsidP="00255680">
      <w:pPr>
        <w:spacing w:line="240" w:lineRule="auto"/>
        <w:ind w:firstLine="720"/>
        <w:rPr>
          <w:rFonts w:ascii="Times New Roman" w:hAnsi="Times New Roman" w:cs="Times New Roman"/>
          <w:sz w:val="24"/>
          <w:szCs w:val="24"/>
        </w:rPr>
      </w:pPr>
      <w:bookmarkStart w:id="2" w:name="_Hlk40383263"/>
      <w:r>
        <w:rPr>
          <w:rFonts w:ascii="Times New Roman" w:hAnsi="Times New Roman" w:cs="Times New Roman"/>
          <w:sz w:val="24"/>
          <w:szCs w:val="24"/>
        </w:rPr>
        <w:t>E</w:t>
      </w:r>
      <w:r w:rsidR="00924547">
        <w:rPr>
          <w:rFonts w:ascii="Times New Roman" w:hAnsi="Times New Roman" w:cs="Times New Roman"/>
          <w:sz w:val="24"/>
          <w:szCs w:val="24"/>
        </w:rPr>
        <w:t>mission</w:t>
      </w:r>
      <w:r w:rsidR="006D3039">
        <w:rPr>
          <w:rFonts w:ascii="Times New Roman" w:hAnsi="Times New Roman" w:cs="Times New Roman"/>
          <w:sz w:val="24"/>
          <w:szCs w:val="24"/>
        </w:rPr>
        <w:t>s</w:t>
      </w:r>
      <w:r w:rsidR="00924547">
        <w:rPr>
          <w:rFonts w:ascii="Times New Roman" w:hAnsi="Times New Roman" w:cs="Times New Roman"/>
          <w:sz w:val="24"/>
          <w:szCs w:val="24"/>
        </w:rPr>
        <w:t xml:space="preserve"> from reservoir flooding </w:t>
      </w:r>
      <w:r w:rsidR="006D3039">
        <w:rPr>
          <w:rFonts w:ascii="Times New Roman" w:hAnsi="Times New Roman" w:cs="Times New Roman"/>
          <w:sz w:val="24"/>
          <w:szCs w:val="24"/>
        </w:rPr>
        <w:t xml:space="preserve">are </w:t>
      </w:r>
      <w:r w:rsidR="00924547">
        <w:rPr>
          <w:rFonts w:ascii="Times New Roman" w:hAnsi="Times New Roman" w:cs="Times New Roman"/>
          <w:sz w:val="24"/>
          <w:szCs w:val="24"/>
        </w:rPr>
        <w:t>considered to be a significant source of GHG emission</w:t>
      </w:r>
      <w:r w:rsidR="001C38C8">
        <w:rPr>
          <w:rFonts w:ascii="Times New Roman" w:hAnsi="Times New Roman" w:cs="Times New Roman"/>
          <w:sz w:val="24"/>
          <w:szCs w:val="24"/>
        </w:rPr>
        <w:t>s</w:t>
      </w:r>
      <w:r w:rsidR="00924547">
        <w:rPr>
          <w:rFonts w:ascii="Times New Roman" w:hAnsi="Times New Roman" w:cs="Times New Roman"/>
          <w:sz w:val="24"/>
          <w:szCs w:val="24"/>
        </w:rPr>
        <w:t xml:space="preserve"> generated from hydropower plants</w:t>
      </w:r>
      <w:r>
        <w:rPr>
          <w:rFonts w:ascii="Times New Roman" w:hAnsi="Times New Roman" w:cs="Times New Roman"/>
          <w:sz w:val="24"/>
          <w:szCs w:val="24"/>
        </w:rPr>
        <w:t>. Although</w:t>
      </w:r>
      <w:r w:rsidR="00924547">
        <w:rPr>
          <w:rFonts w:ascii="Times New Roman" w:hAnsi="Times New Roman" w:cs="Times New Roman"/>
          <w:sz w:val="24"/>
          <w:szCs w:val="24"/>
        </w:rPr>
        <w:t xml:space="preserve"> </w:t>
      </w:r>
      <w:r w:rsidR="006D3039">
        <w:rPr>
          <w:rFonts w:ascii="Times New Roman" w:hAnsi="Times New Roman" w:cs="Times New Roman"/>
          <w:sz w:val="24"/>
          <w:szCs w:val="24"/>
        </w:rPr>
        <w:t xml:space="preserve">the </w:t>
      </w:r>
      <w:r w:rsidR="00924547">
        <w:rPr>
          <w:rFonts w:ascii="Times New Roman" w:hAnsi="Times New Roman" w:cs="Times New Roman"/>
          <w:sz w:val="24"/>
          <w:szCs w:val="24"/>
        </w:rPr>
        <w:t xml:space="preserve">lack of </w:t>
      </w:r>
      <w:r>
        <w:rPr>
          <w:rFonts w:ascii="Times New Roman" w:hAnsi="Times New Roman" w:cs="Times New Roman"/>
          <w:sz w:val="24"/>
          <w:szCs w:val="24"/>
        </w:rPr>
        <w:t xml:space="preserve">readily </w:t>
      </w:r>
      <w:r w:rsidR="00924547">
        <w:rPr>
          <w:rFonts w:ascii="Times New Roman" w:hAnsi="Times New Roman" w:cs="Times New Roman"/>
          <w:sz w:val="24"/>
          <w:szCs w:val="24"/>
        </w:rPr>
        <w:t>available data for the system under study</w:t>
      </w:r>
      <w:r>
        <w:rPr>
          <w:rFonts w:ascii="Times New Roman" w:hAnsi="Times New Roman" w:cs="Times New Roman"/>
          <w:sz w:val="24"/>
          <w:szCs w:val="24"/>
        </w:rPr>
        <w:t xml:space="preserve"> presents significant challenges </w:t>
      </w:r>
      <w:r w:rsidR="006D3039">
        <w:rPr>
          <w:rFonts w:ascii="Times New Roman" w:hAnsi="Times New Roman" w:cs="Times New Roman"/>
          <w:sz w:val="24"/>
          <w:szCs w:val="24"/>
        </w:rPr>
        <w:t>for the</w:t>
      </w:r>
      <w:r>
        <w:rPr>
          <w:rFonts w:ascii="Times New Roman" w:hAnsi="Times New Roman" w:cs="Times New Roman"/>
          <w:sz w:val="24"/>
          <w:szCs w:val="24"/>
        </w:rPr>
        <w:t xml:space="preserve"> life-cycle inventory, we used alternative well-established approaches to calculate </w:t>
      </w:r>
      <w:r w:rsidR="00924547">
        <w:rPr>
          <w:rFonts w:ascii="Times New Roman" w:hAnsi="Times New Roman" w:cs="Times New Roman"/>
          <w:sz w:val="24"/>
          <w:szCs w:val="24"/>
        </w:rPr>
        <w:t>t</w:t>
      </w:r>
      <w:r w:rsidR="00924547" w:rsidRPr="00DD5A0A">
        <w:rPr>
          <w:rFonts w:ascii="Times New Roman" w:hAnsi="Times New Roman" w:cs="Times New Roman"/>
          <w:sz w:val="24"/>
          <w:szCs w:val="24"/>
        </w:rPr>
        <w:t>he emission</w:t>
      </w:r>
      <w:r w:rsidR="001C38C8">
        <w:rPr>
          <w:rFonts w:ascii="Times New Roman" w:hAnsi="Times New Roman" w:cs="Times New Roman"/>
          <w:sz w:val="24"/>
          <w:szCs w:val="24"/>
        </w:rPr>
        <w:t>s</w:t>
      </w:r>
      <w:r w:rsidR="00924547" w:rsidRPr="00DD5A0A">
        <w:rPr>
          <w:rFonts w:ascii="Times New Roman" w:hAnsi="Times New Roman" w:cs="Times New Roman"/>
          <w:sz w:val="24"/>
          <w:szCs w:val="24"/>
        </w:rPr>
        <w:t xml:space="preserve"> from the reservoir.</w:t>
      </w:r>
      <w:r w:rsidR="00255680">
        <w:rPr>
          <w:rFonts w:ascii="Times New Roman" w:hAnsi="Times New Roman" w:cs="Times New Roman"/>
          <w:sz w:val="24"/>
          <w:szCs w:val="24"/>
        </w:rPr>
        <w:t xml:space="preserve"> </w:t>
      </w:r>
      <w:r w:rsidR="00924547">
        <w:rPr>
          <w:rFonts w:ascii="Times New Roman" w:hAnsi="Times New Roman" w:cs="Times New Roman"/>
          <w:sz w:val="24"/>
          <w:szCs w:val="24"/>
        </w:rPr>
        <w:t xml:space="preserve">It is important to note that emissions from the decaying biomass from land flooded by the reservoir </w:t>
      </w:r>
      <w:r w:rsidR="00ED1F0F">
        <w:rPr>
          <w:rFonts w:ascii="Times New Roman" w:hAnsi="Times New Roman" w:cs="Times New Roman"/>
          <w:sz w:val="24"/>
          <w:szCs w:val="24"/>
        </w:rPr>
        <w:t xml:space="preserve">depends on </w:t>
      </w:r>
      <w:r w:rsidR="00924547">
        <w:rPr>
          <w:rFonts w:ascii="Times New Roman" w:hAnsi="Times New Roman" w:cs="Times New Roman"/>
          <w:sz w:val="24"/>
          <w:szCs w:val="24"/>
        </w:rPr>
        <w:t xml:space="preserve">the size of the reservoir. </w:t>
      </w:r>
      <w:r w:rsidR="00255680">
        <w:rPr>
          <w:rFonts w:ascii="Times New Roman" w:hAnsi="Times New Roman" w:cs="Times New Roman"/>
          <w:sz w:val="24"/>
          <w:szCs w:val="24"/>
        </w:rPr>
        <w:t xml:space="preserve">Despite the fact that </w:t>
      </w:r>
      <w:r w:rsidR="00924547">
        <w:rPr>
          <w:rFonts w:ascii="Times New Roman" w:hAnsi="Times New Roman" w:cs="Times New Roman"/>
          <w:sz w:val="24"/>
          <w:szCs w:val="24"/>
        </w:rPr>
        <w:t>Run-of-river (ROR) plants do not produce notable GHG</w:t>
      </w:r>
      <w:r w:rsidR="00ED1F0F">
        <w:rPr>
          <w:rFonts w:ascii="Times New Roman" w:hAnsi="Times New Roman" w:cs="Times New Roman"/>
          <w:sz w:val="24"/>
          <w:szCs w:val="24"/>
        </w:rPr>
        <w:t>s</w:t>
      </w:r>
      <w:r w:rsidR="00924547">
        <w:rPr>
          <w:rFonts w:ascii="Times New Roman" w:hAnsi="Times New Roman" w:cs="Times New Roman"/>
          <w:sz w:val="24"/>
          <w:szCs w:val="24"/>
        </w:rPr>
        <w:t xml:space="preserve"> </w:t>
      </w:r>
      <w:r w:rsidR="00924547">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{"citationItems":[{"id":"ITEM-1","itemData":{"author":[{"dropping-particle":"","family":"Gagnon","given":"Luc","non-dropping-particle":"","parse-names":false,"suffix":""}],"id":"ITEM-1","issue":"I","issued":{"date-parts":[["1997"]]},"page":"7-13","title":"Greenhouse gas emissions from hydropower The state of research in 1996","type":"article-journal","volume":"25"},"uris":["http://www.mendeley.com/documents/?uuid=477b7a5a-5930-44c7-a346-001c00d69b58"]},{"id":"ITEM-2","itemData":{"abstract":"All around the globe the consumption of raw materials by the construction industries is accumulating day by day resulting with an depletion of natural resources, increasing the environmental impacts and CO2 emissions all over the surroundings. Today steel and concrete are widely used and are dominating construction materials in construction industry. These two construction materials are different products and have distinct production flow with significant impact on the environment. The amount of embodied energy and operational energy which is consumed in the process of production, recycling and reuse are becoming increasingly more important in the construction industries due to the potential shortage of natural resources in the near by future and due to the inflation in the energy prices.","author":[{"dropping-particle":"","family":"Kare","given":"Sridhar","non-dropping-particle":"","parse-names":false,"suffix":""},{"dropping-particle":"","family":"Lomite","given":"Heera","non-dropping-particle":"","parse-names":false,"suffix":""}],"id":"ITEM-2","issue":"1","issued":{"date-parts":[["2009"]]},"number-of-pages":"66","title":"Impact of Construction Material on Environment-(Steel &amp; Concrete)","type":"report"},"uris":["http://www.mendeley.com/documents/?uuid=61e2de27-3f61-47ed-8efc-0ed5750492de"]},{"id":"ITEM-3","itemData":{"author":[{"dropping-particle":"","family":"Koch","given":"Frans H","non-dropping-particle":"","parse-names":false,"suffix":""}],"id":"ITEM-3","issued":{"date-parts":[["2002"]]},"page":"1207-1213","title":"Hydropower — the politics of water and energy : Introduction and overview","type":"article-journal","volume":"30"},"uris":["http://www.mendeley.com/documents/?uuid=71f911f0-57fa-4fc9-b34a-e0c669d12e1c"]},{"id":"ITEM-4","itemData":{"DOI":"10.1016/j.rser.2013.08.013","ISSN":"1364-0321","author":[{"dropping-particle":"","family":"Turconi","given":"Roberto","non-dropping-particle":"","parse-names":false,"suffix":""},{"dropping-particle":"","family":"Boldrin","given":"Alessio","non-dropping-particle":"","parse-names":false,"suffix":""},{"dropping-particle":"","family":"Astrup","given":"Thomas","non-dropping-particle":"","parse-names":false,"suffix":""}],"container-title":"Renewable and Sustainable Energy Reviews","id":"ITEM-4","issued":{"date-parts":[["2013"]]},"page":"555-565","publisher":"Elsevier","title":"Life cycle assessment ( LCA ) of electricity generation technologies : Overview , comparability and limitations","type":"article-journal","volume":"28"},"uris":["http://www.mendeley.com/documents/?uuid=84c73539-86ad-4fee-a4c9-446b93c3e1c2"]}],"mendeley":{"formattedCitation":"(Gagnon, 1997; Kare &amp; Lomite, 2009; Koch, 2002; Turconi et al., 2013)","manualFormatting":"(Gagnon, 1997; Koch, 2002; Turconi, Boldrin, &amp; Astrup, 2013)","plainTextFormattedCitation":"(Gagnon, 1997; Kare &amp; Lomite, 2009; Koch, 2002; Turconi et al., 2013)","previouslyFormattedCitation":"(Gagnon, 1997; Kare &amp; Lomite, 2009; Koch, 2002; Turconi et al., 2013)"},"properties":{"noteIndex":0},"schema":"https://github.com/citation-style-language/schema/raw/master/csl-citation.json"}</w:instrText>
      </w:r>
      <w:r w:rsidR="00924547">
        <w:rPr>
          <w:rFonts w:ascii="Times New Roman" w:hAnsi="Times New Roman" w:cs="Times New Roman"/>
          <w:sz w:val="24"/>
          <w:szCs w:val="24"/>
        </w:rPr>
        <w:fldChar w:fldCharType="separate"/>
      </w:r>
      <w:r w:rsidR="00924547" w:rsidRPr="00BC5239">
        <w:rPr>
          <w:rFonts w:ascii="Times New Roman" w:hAnsi="Times New Roman" w:cs="Times New Roman"/>
          <w:noProof/>
          <w:sz w:val="24"/>
          <w:szCs w:val="24"/>
        </w:rPr>
        <w:t>(Gagnon, 1997; Koch, 2002; Turconi, Boldrin, &amp; Astrup, 2013)</w:t>
      </w:r>
      <w:r w:rsidR="00924547">
        <w:rPr>
          <w:rFonts w:ascii="Times New Roman" w:hAnsi="Times New Roman" w:cs="Times New Roman"/>
          <w:sz w:val="24"/>
          <w:szCs w:val="24"/>
        </w:rPr>
        <w:fldChar w:fldCharType="end"/>
      </w:r>
      <w:r w:rsidR="00924547">
        <w:rPr>
          <w:rFonts w:ascii="Times New Roman" w:hAnsi="Times New Roman" w:cs="Times New Roman"/>
          <w:sz w:val="24"/>
          <w:szCs w:val="24"/>
        </w:rPr>
        <w:t xml:space="preserve"> , Myanmar </w:t>
      </w:r>
      <w:r w:rsidR="001C38C8">
        <w:rPr>
          <w:rFonts w:ascii="Times New Roman" w:hAnsi="Times New Roman" w:cs="Times New Roman"/>
          <w:sz w:val="24"/>
          <w:szCs w:val="24"/>
        </w:rPr>
        <w:t>a</w:t>
      </w:r>
      <w:r w:rsidR="00924547">
        <w:rPr>
          <w:rFonts w:ascii="Times New Roman" w:hAnsi="Times New Roman" w:cs="Times New Roman"/>
          <w:sz w:val="24"/>
          <w:szCs w:val="24"/>
        </w:rPr>
        <w:t xml:space="preserve">s a humid tropical country has </w:t>
      </w:r>
      <w:r w:rsidR="006D3039">
        <w:rPr>
          <w:rFonts w:ascii="Times New Roman" w:hAnsi="Times New Roman" w:cs="Times New Roman"/>
          <w:sz w:val="24"/>
          <w:szCs w:val="24"/>
        </w:rPr>
        <w:t xml:space="preserve">the </w:t>
      </w:r>
      <w:r w:rsidR="00924547">
        <w:rPr>
          <w:rFonts w:ascii="Times New Roman" w:hAnsi="Times New Roman" w:cs="Times New Roman"/>
          <w:sz w:val="24"/>
          <w:szCs w:val="24"/>
        </w:rPr>
        <w:t>potential for higher GHG emissions than countries with a colder climate</w:t>
      </w:r>
      <w:r w:rsidR="006D3039">
        <w:rPr>
          <w:rFonts w:ascii="Times New Roman" w:hAnsi="Times New Roman" w:cs="Times New Roman"/>
          <w:sz w:val="24"/>
          <w:szCs w:val="24"/>
        </w:rPr>
        <w:t xml:space="preserve"> because</w:t>
      </w:r>
      <w:r w:rsidR="00305105">
        <w:rPr>
          <w:rFonts w:ascii="Times New Roman" w:hAnsi="Times New Roman" w:cs="Times New Roman"/>
          <w:sz w:val="24"/>
          <w:szCs w:val="24"/>
        </w:rPr>
        <w:t xml:space="preserve"> </w:t>
      </w:r>
      <w:r w:rsidR="006D3039">
        <w:rPr>
          <w:rFonts w:ascii="Times New Roman" w:hAnsi="Times New Roman" w:cs="Times New Roman"/>
          <w:sz w:val="24"/>
          <w:szCs w:val="24"/>
        </w:rPr>
        <w:t>h</w:t>
      </w:r>
      <w:r w:rsidR="00305105">
        <w:rPr>
          <w:rFonts w:ascii="Times New Roman" w:hAnsi="Times New Roman" w:cs="Times New Roman"/>
          <w:sz w:val="24"/>
          <w:szCs w:val="24"/>
        </w:rPr>
        <w:t xml:space="preserve">ydroelectric dams in tropical areas </w:t>
      </w:r>
      <w:r w:rsidR="005F1D2A">
        <w:rPr>
          <w:rFonts w:ascii="Times New Roman" w:hAnsi="Times New Roman" w:cs="Times New Roman"/>
          <w:sz w:val="24"/>
          <w:szCs w:val="24"/>
        </w:rPr>
        <w:t xml:space="preserve">generally </w:t>
      </w:r>
      <w:r w:rsidR="00305105">
        <w:rPr>
          <w:rFonts w:ascii="Times New Roman" w:hAnsi="Times New Roman" w:cs="Times New Roman"/>
          <w:sz w:val="24"/>
          <w:szCs w:val="24"/>
        </w:rPr>
        <w:t xml:space="preserve">emit </w:t>
      </w:r>
      <w:r w:rsidR="00462414">
        <w:rPr>
          <w:rFonts w:ascii="Times New Roman" w:hAnsi="Times New Roman" w:cs="Times New Roman"/>
          <w:sz w:val="24"/>
          <w:szCs w:val="24"/>
        </w:rPr>
        <w:t xml:space="preserve">more </w:t>
      </w:r>
      <w:r w:rsidR="00305105">
        <w:rPr>
          <w:rFonts w:ascii="Times New Roman" w:hAnsi="Times New Roman" w:cs="Times New Roman"/>
          <w:sz w:val="24"/>
          <w:szCs w:val="24"/>
        </w:rPr>
        <w:t>greenhouse gases than those</w:t>
      </w:r>
      <w:r w:rsidR="005F1D2A">
        <w:rPr>
          <w:rFonts w:ascii="Times New Roman" w:hAnsi="Times New Roman" w:cs="Times New Roman"/>
          <w:sz w:val="24"/>
          <w:szCs w:val="24"/>
        </w:rPr>
        <w:t xml:space="preserve"> in temperate or boreal areas</w:t>
      </w:r>
      <w:r w:rsidR="00924547">
        <w:rPr>
          <w:rFonts w:ascii="Times New Roman" w:hAnsi="Times New Roman" w:cs="Times New Roman"/>
          <w:sz w:val="24"/>
          <w:szCs w:val="24"/>
        </w:rPr>
        <w:t xml:space="preserve"> </w:t>
      </w:r>
      <w:r w:rsidR="00924D59">
        <w:rPr>
          <w:rFonts w:ascii="Times New Roman" w:hAnsi="Times New Roman" w:cs="Times New Roman"/>
          <w:sz w:val="24"/>
          <w:szCs w:val="24"/>
        </w:rPr>
        <w:t>due to increased emission</w:t>
      </w:r>
      <w:r w:rsidR="00ED1F0F">
        <w:rPr>
          <w:rFonts w:ascii="Times New Roman" w:hAnsi="Times New Roman" w:cs="Times New Roman"/>
          <w:sz w:val="24"/>
          <w:szCs w:val="24"/>
        </w:rPr>
        <w:t>s</w:t>
      </w:r>
      <w:r w:rsidR="00924D59">
        <w:rPr>
          <w:rFonts w:ascii="Times New Roman" w:hAnsi="Times New Roman" w:cs="Times New Roman"/>
          <w:sz w:val="24"/>
          <w:szCs w:val="24"/>
        </w:rPr>
        <w:t xml:space="preserve"> of N</w:t>
      </w:r>
      <w:r w:rsidR="00924D59" w:rsidRPr="00924D59">
        <w:rPr>
          <w:rFonts w:ascii="Times New Roman" w:hAnsi="Times New Roman" w:cs="Times New Roman"/>
          <w:sz w:val="24"/>
          <w:szCs w:val="24"/>
          <w:vertAlign w:val="subscript"/>
        </w:rPr>
        <w:t>2</w:t>
      </w:r>
      <w:r w:rsidR="00924D59">
        <w:rPr>
          <w:rFonts w:ascii="Times New Roman" w:hAnsi="Times New Roman" w:cs="Times New Roman"/>
          <w:sz w:val="24"/>
          <w:szCs w:val="24"/>
        </w:rPr>
        <w:t>O and CH</w:t>
      </w:r>
      <w:r w:rsidR="00924D59" w:rsidRPr="00924D59">
        <w:rPr>
          <w:rFonts w:ascii="Times New Roman" w:hAnsi="Times New Roman" w:cs="Times New Roman"/>
          <w:sz w:val="24"/>
          <w:szCs w:val="24"/>
          <w:vertAlign w:val="subscript"/>
        </w:rPr>
        <w:t>4</w:t>
      </w:r>
      <w:r w:rsidR="00924D59">
        <w:rPr>
          <w:rFonts w:ascii="Times New Roman" w:hAnsi="Times New Roman" w:cs="Times New Roman"/>
          <w:sz w:val="24"/>
          <w:szCs w:val="24"/>
        </w:rPr>
        <w:t xml:space="preserve"> </w:t>
      </w:r>
      <w:r w:rsidR="00924D59">
        <w:rPr>
          <w:rFonts w:ascii="Times New Roman" w:hAnsi="Times New Roman" w:cs="Times New Roman"/>
          <w:sz w:val="24"/>
          <w:szCs w:val="24"/>
        </w:rPr>
        <w:fldChar w:fldCharType="begin" w:fldLock="1"/>
      </w:r>
      <w:r w:rsidR="00B92A16">
        <w:rPr>
          <w:rFonts w:ascii="Times New Roman" w:hAnsi="Times New Roman" w:cs="Times New Roman"/>
          <w:sz w:val="24"/>
          <w:szCs w:val="24"/>
        </w:rPr>
        <w:instrText>ADDIN CSL_CITATION {"citationItems":[{"id":"ITEM-1","itemData":{"author":[{"dropping-particle":"","family":"Gagnon","given":"Luc","non-dropping-particle":"","parse-names":false,"suffix":""}],"id":"ITEM-1","issue":"I","issued":{"date-parts":[["1997"]]},"page":"7-13","title":"Greenhouse gas emissions from hydropower The state of research in 1996","type":"article-journal","volume":"25"},"uris":["http://www.mendeley.com/documents/?uuid=477b7a5a-5930-44c7-a346-001c00d69b58"]},{"id":"ITEM-2","itemData":{"abstract":"All around the globe the consumption of raw materials by the construction industries is accumulating day by day resulting with an depletion of natural resources, increasing the environmental impacts and CO2 emissions all over the surroundings. Today steel and concrete are widely used and are dominating construction materials in construction industry. These two construction materials are different products and have distinct production flow with significant impact on the environment. The amount of embodied energy and operational energy which is consumed in the process of production, recycling and reuse are becoming increasingly more important in the construction industries due to the potential shortage of natural resources in the near by future and due to the inflation in the energy prices.","author":[{"dropping-particle":"","family":"Kare","given":"Sridhar","non-dropping-particle":"","parse-names":false,"suffix":""},{"dropping-particle":"","family":"Lomite","given":"Heera","non-dropping-particle":"","parse-names":false,"suffix":""}],"id":"ITEM-2","issue":"1","issued":{"date-parts":[["2009"]]},"number-of-pages":"66","title":"Impact of Construction Material on Environment-(Steel &amp; Concrete)","type":"report"},"uris":["http://www.mendeley.com/documents/?uuid=61e2de27-3f61-47ed-8efc-0ed5750492de"]},{"id":"ITEM-3","itemData":{"author":[{"dropping-particle":"","family":"Koch","given":"Frans H","non-dropping-particle":"","parse-names":false,"suffix":""}],"id":"ITEM-3","issued":{"date-parts":[["2002"]]},"page":"1207-1213","title":"Hydropower — the politics of water and energy : Introduction and overview","type":"article-journal","volume":"30"},"uris":["http://www.mendeley.com/documents/?uuid=71f911f0-57fa-4fc9-b34a-e0c669d12e1c"]},{"id":"ITEM-4","itemData":{"DOI":"10.1016/j.rser.2013.08.013","ISSN":"1364-0321","author":[{"dropping-particle":"","family":"Turconi","given":"Roberto","non-dropping-particle":"","parse-names":false,"suffix":""},{"dropping-particle":"","family":"Boldrin","given":"Alessio","non-dropping-particle":"","parse-names":false,"suffix":""},{"dropping-particle":"","family":"Astrup","given":"Thomas","non-dropping-particle":"","parse-names":false,"suffix":""}],"container-title":"Renewable and Sustainable Energy Reviews","id":"ITEM-4","issued":{"date-parts":[["2013"]]},"page":"555-565","publisher":"Elsevier","title":"Life cycle assessment ( LCA ) of electricity generation technologies : Overview , comparability and limitations","type":"article-journal","volume":"28"},"uris":["http://www.mendeley.com/documents/?uuid=84c73539-86ad-4fee-a4c9-446b93c3e1c2"]},{"id":"ITEM-5","itemData":{"abstract":"TREMBLAY, A.; VARFALVY, L.; ROEHM, C.; GARNEAU, M. (eds.) Greenhouse gas emissions – fluxes and processes: Hydroelectric reservoirs and natural environments</w:instrText>
      </w:r>
      <w:r w:rsidR="00B92A16">
        <w:rPr>
          <w:rFonts w:ascii="Times New Roman" w:hAnsi="Times New Roman" w:cs="Times New Roman" w:hint="eastAsia"/>
          <w:sz w:val="24"/>
          <w:szCs w:val="24"/>
        </w:rPr>
        <w:instrText>, 732 pp. Berlin: Springer</w:instrText>
      </w:r>
      <w:r w:rsidR="00B92A16">
        <w:rPr>
          <w:rFonts w:ascii="Times New Roman" w:hAnsi="Times New Roman" w:cs="Times New Roman" w:hint="eastAsia"/>
          <w:sz w:val="24"/>
          <w:szCs w:val="24"/>
        </w:rPr>
        <w:instrText>‐</w:instrText>
      </w:r>
      <w:r w:rsidR="00B92A16">
        <w:rPr>
          <w:rFonts w:ascii="Times New Roman" w:hAnsi="Times New Roman" w:cs="Times New Roman" w:hint="eastAsia"/>
          <w:sz w:val="24"/>
          <w:szCs w:val="24"/>
        </w:rPr>
        <w:instrText>Verlag. c2005","author":[{"dropping-particle":"","family":"Tremblay","given":"Alain","non-dropping-particle":"","parse-names":false,"suffix":""}],"container-title":"Environmental Science Series","id":"ITEM-5","issued":{"date-par</w:instrText>
      </w:r>
      <w:r w:rsidR="00B92A16">
        <w:rPr>
          <w:rFonts w:ascii="Times New Roman" w:hAnsi="Times New Roman" w:cs="Times New Roman"/>
          <w:sz w:val="24"/>
          <w:szCs w:val="24"/>
        </w:rPr>
        <w:instrText>ts":[["2005"]]},"title":"Greenhouse gas emissions – fluxes and processes: Hydroelectric reservoirs and natural environments.","type":"book"},"uris":["http://www.mendeley.com/documents/?uuid=fcabb25b-be43-4403-8a84-69c969dcdb10","http://www.mendeley.com/documents/?uuid=33acf57d-f45d-4d96-824a-9ce1058bfcaf"]},{"id":"ITEM-6","itemData":{"DOI":"10.1002/9781119066354.ch42","ISBN":"9781119066354","abstract":"Tropical hydroelectric dams emit substantial amounts of greenhouse gases. A major source of emission is the carbon released from above-water decay of the trees that are killed by flooding. The water in the reservoir emits carbon dioxide (CO2), either through bubbling or diffusion through the reservoir surface or from the water being released through the turbines and spillways. Nitrous oxide (N2O) is a greenhouse gas with a contribution from reservoirs. Methane (CH4) emission is also a major contribution of hydroelectric dams to global warming. The value of time is crucial in comparing the global warming impact of hydropower and fossil fuels or other energy sources. Carbon credit that is currently granted to hydropower projects through the Clean Development Mechanism (CDM) is one of the most controversial aspects of efforts to mitigate global warming under the United Nations Framework Convention on Climate Change (UNFCCC).","author":[{"dropping-particle":"","family":"Fearnside","given":"Philip M.","non-dropping-particle":"","parse-names":false,"suffix":""}],"container-title":"Alternative Energy and Shale Gas Encyclopedia","id":"ITEM-6","issue":"April 2016","issued":{"date-parts":[["2016"]]},"page":"426-436","title":"Greenhouse Gas Emissions From Hydroelectric Dams in Tropical Forests","type":"article-journal"},"uris":["http://www.mendeley.com/documents/?uuid=27a6e075-79aa-41f7-8bb2-1bc2293dd36a"]}],"mendeley":{"formattedCitation":"(Fearnside, 2016b; Gagnon, 1997; Kare &amp; Lomite, 2009; Koch, 2002; Tremblay, 2005; Turconi et al., 2013)","manualFormatting":"(Fearnside, 2016b; Gagnon, 1997; Kare &amp; Lomite, 2009; Koch, 2002; Tremblay, 2005; Turconi et al., 2014)","plainTextFormattedCitation":"(Fearnside, 2016b; Gagnon, 1997; Kare &amp; Lomite, 2009; Koch, 2002; Tremblay, 2005; Turconi et al., 2013)","previouslyFormattedCitation":"(Fearnside, 2016b; Gagnon, 1997; Kare &amp; Lomite, 2009; Koch, 2002; Tremblay, 2005; Turconi et al., 2013)"},"properties":{"noteIndex":0},"schema":"https://github.com/citation-style-language/schema/raw/master/csl-citation.json"}</w:instrText>
      </w:r>
      <w:r w:rsidR="00924D59">
        <w:rPr>
          <w:rFonts w:ascii="Times New Roman" w:hAnsi="Times New Roman" w:cs="Times New Roman"/>
          <w:sz w:val="24"/>
          <w:szCs w:val="24"/>
        </w:rPr>
        <w:fldChar w:fldCharType="separate"/>
      </w:r>
      <w:r w:rsidR="00504216" w:rsidRPr="00504216">
        <w:rPr>
          <w:rFonts w:ascii="Times New Roman" w:hAnsi="Times New Roman" w:cs="Times New Roman"/>
          <w:noProof/>
          <w:sz w:val="24"/>
          <w:szCs w:val="24"/>
        </w:rPr>
        <w:t xml:space="preserve">(Fearnside, 2016b; Gagnon, 1997; Kare &amp; Lomite, 2009; Koch, </w:t>
      </w:r>
      <w:r w:rsidR="00504216" w:rsidRPr="00504216">
        <w:rPr>
          <w:rFonts w:ascii="Times New Roman" w:hAnsi="Times New Roman" w:cs="Times New Roman"/>
          <w:noProof/>
          <w:sz w:val="24"/>
          <w:szCs w:val="24"/>
        </w:rPr>
        <w:lastRenderedPageBreak/>
        <w:t>2002; Tremblay, 2005; Turconi et al., 201</w:t>
      </w:r>
      <w:r w:rsidR="00C30E48">
        <w:rPr>
          <w:rFonts w:ascii="Times New Roman" w:hAnsi="Times New Roman" w:cs="Times New Roman"/>
          <w:noProof/>
          <w:sz w:val="24"/>
          <w:szCs w:val="24"/>
        </w:rPr>
        <w:t>4</w:t>
      </w:r>
      <w:r w:rsidR="00504216" w:rsidRPr="00504216">
        <w:rPr>
          <w:rFonts w:ascii="Times New Roman" w:hAnsi="Times New Roman" w:cs="Times New Roman"/>
          <w:noProof/>
          <w:sz w:val="24"/>
          <w:szCs w:val="24"/>
        </w:rPr>
        <w:t>)</w:t>
      </w:r>
      <w:r w:rsidR="00924D59">
        <w:rPr>
          <w:rFonts w:ascii="Times New Roman" w:hAnsi="Times New Roman" w:cs="Times New Roman"/>
          <w:sz w:val="24"/>
          <w:szCs w:val="24"/>
        </w:rPr>
        <w:fldChar w:fldCharType="end"/>
      </w:r>
      <w:r w:rsidR="00924D59">
        <w:rPr>
          <w:rFonts w:ascii="Times New Roman" w:hAnsi="Times New Roman" w:cs="Times New Roman"/>
          <w:sz w:val="24"/>
          <w:szCs w:val="24"/>
        </w:rPr>
        <w:t>.</w:t>
      </w:r>
      <w:r w:rsidR="005D257A">
        <w:rPr>
          <w:rFonts w:ascii="Times New Roman" w:hAnsi="Times New Roman" w:cs="Times New Roman"/>
          <w:sz w:val="24"/>
          <w:szCs w:val="24"/>
        </w:rPr>
        <w:t xml:space="preserve"> </w:t>
      </w:r>
      <w:r w:rsidR="00ED1F0F">
        <w:rPr>
          <w:rFonts w:ascii="Times New Roman" w:hAnsi="Times New Roman" w:cs="Times New Roman"/>
          <w:sz w:val="24"/>
          <w:szCs w:val="24"/>
        </w:rPr>
        <w:t xml:space="preserve">This </w:t>
      </w:r>
      <w:r w:rsidR="00504216">
        <w:rPr>
          <w:rFonts w:ascii="Times New Roman" w:hAnsi="Times New Roman" w:cs="Times New Roman"/>
          <w:sz w:val="24"/>
          <w:szCs w:val="24"/>
        </w:rPr>
        <w:t>can be explained by water column</w:t>
      </w:r>
      <w:r w:rsidR="00ED1F0F">
        <w:rPr>
          <w:rFonts w:ascii="Times New Roman" w:hAnsi="Times New Roman" w:cs="Times New Roman"/>
          <w:sz w:val="24"/>
          <w:szCs w:val="24"/>
        </w:rPr>
        <w:t>s</w:t>
      </w:r>
      <w:r w:rsidR="00504216">
        <w:rPr>
          <w:rFonts w:ascii="Times New Roman" w:hAnsi="Times New Roman" w:cs="Times New Roman"/>
          <w:sz w:val="24"/>
          <w:szCs w:val="24"/>
        </w:rPr>
        <w:t xml:space="preserve"> in reservoirs </w:t>
      </w:r>
      <w:r w:rsidR="00ED1F0F">
        <w:rPr>
          <w:rFonts w:ascii="Times New Roman" w:hAnsi="Times New Roman" w:cs="Times New Roman"/>
          <w:sz w:val="24"/>
          <w:szCs w:val="24"/>
        </w:rPr>
        <w:t xml:space="preserve">being </w:t>
      </w:r>
      <w:r w:rsidR="00504216">
        <w:rPr>
          <w:rFonts w:ascii="Times New Roman" w:hAnsi="Times New Roman" w:cs="Times New Roman"/>
          <w:sz w:val="24"/>
          <w:szCs w:val="24"/>
        </w:rPr>
        <w:t>stratified by temperature</w:t>
      </w:r>
      <w:r w:rsidR="006D3039">
        <w:rPr>
          <w:rFonts w:ascii="Times New Roman" w:hAnsi="Times New Roman" w:cs="Times New Roman"/>
          <w:sz w:val="24"/>
          <w:szCs w:val="24"/>
        </w:rPr>
        <w:t>. Furthermore,</w:t>
      </w:r>
      <w:r w:rsidR="00504216">
        <w:rPr>
          <w:rFonts w:ascii="Times New Roman" w:hAnsi="Times New Roman" w:cs="Times New Roman"/>
          <w:sz w:val="24"/>
          <w:szCs w:val="24"/>
        </w:rPr>
        <w:t xml:space="preserve"> oxygen </w:t>
      </w:r>
      <w:r w:rsidR="00ED1F0F">
        <w:rPr>
          <w:rFonts w:ascii="Times New Roman" w:hAnsi="Times New Roman" w:cs="Times New Roman"/>
          <w:sz w:val="24"/>
          <w:szCs w:val="24"/>
        </w:rPr>
        <w:t xml:space="preserve">at </w:t>
      </w:r>
      <w:r w:rsidR="00504216">
        <w:rPr>
          <w:rFonts w:ascii="Times New Roman" w:hAnsi="Times New Roman" w:cs="Times New Roman"/>
          <w:sz w:val="24"/>
          <w:szCs w:val="24"/>
        </w:rPr>
        <w:t>the bottom of the water is quickly exhausted in warmer climate</w:t>
      </w:r>
      <w:r w:rsidR="00ED1F0F">
        <w:rPr>
          <w:rFonts w:ascii="Times New Roman" w:hAnsi="Times New Roman" w:cs="Times New Roman"/>
          <w:sz w:val="24"/>
          <w:szCs w:val="24"/>
        </w:rPr>
        <w:t>s</w:t>
      </w:r>
      <w:r w:rsidR="00504216">
        <w:rPr>
          <w:rFonts w:ascii="Times New Roman" w:hAnsi="Times New Roman" w:cs="Times New Roman"/>
          <w:sz w:val="24"/>
          <w:szCs w:val="24"/>
        </w:rPr>
        <w:t>. This leads to the decomposition of organic matter and formation of CH</w:t>
      </w:r>
      <w:r w:rsidR="00504216" w:rsidRPr="00504216">
        <w:rPr>
          <w:rFonts w:ascii="Times New Roman" w:hAnsi="Times New Roman" w:cs="Times New Roman"/>
          <w:sz w:val="24"/>
          <w:szCs w:val="24"/>
          <w:vertAlign w:val="subscript"/>
        </w:rPr>
        <w:t>4</w:t>
      </w:r>
      <w:r w:rsidR="00504216">
        <w:rPr>
          <w:rFonts w:ascii="Times New Roman" w:hAnsi="Times New Roman" w:cs="Times New Roman"/>
          <w:sz w:val="24"/>
          <w:szCs w:val="24"/>
          <w:vertAlign w:val="subscript"/>
        </w:rPr>
        <w:t xml:space="preserve"> </w:t>
      </w:r>
      <w:r w:rsidR="00504216">
        <w:rPr>
          <w:rFonts w:ascii="Times New Roman" w:hAnsi="Times New Roman" w:cs="Times New Roman"/>
          <w:sz w:val="24"/>
          <w:szCs w:val="24"/>
          <w:vertAlign w:val="subscript"/>
        </w:rPr>
        <w:fldChar w:fldCharType="begin" w:fldLock="1"/>
      </w:r>
      <w:r w:rsidR="00B92A16">
        <w:rPr>
          <w:rFonts w:ascii="Times New Roman" w:hAnsi="Times New Roman" w:cs="Times New Roman"/>
          <w:sz w:val="24"/>
          <w:szCs w:val="24"/>
          <w:vertAlign w:val="subscript"/>
        </w:rPr>
        <w:instrText>ADDIN CSL_CITATION {"citationItems":[{"id":"ITEM-1","itemData":{"DOI":"10.1088/1748-9326/11/1/011002","ISSN":"17489326","abstract":"Tropical dams are often falsely portrayed as 'clean' emissions-free energy sources. The letter by de Faria et al (2015 Environ. Res. Lett. 10 124019) adds to evidence questioning this myth. Calculations are made for 18 dams that are planned or under construction in Brazilian Amazonia and show that emissions from storage hydroelectric dams would exceed those from electricity generation based on fossil fuels. Fossil fuels need not be the alternative, because Brazil has vast potential for wind and solar power as well as opportunities for energy conservation. Because dam-building is rapidly shifting to humid tropical areas, where emissions are higher than in other climatic zones, the impact of these emissions needs to be given proper weight in energy-policy decisions.","author":[{"dropping-particle":"","family":"Fearnside","given":"Philip M.","non-dropping-particle":"","parse-names":false,"suffix":""}],"container-title":"Environmental Research Letters","id":"ITEM-1","issue":"1","issued":{"date-parts":[["2016"]]},"publisher":"IOP Publishing","title":"Greenhouse gas emissions from Brazil's Amazonian hydroelectric dams","type":"article-journal","volume":"11"},"uris":["http://www.mendeley.com/documents/?uuid=f4c72275-3d7c-47c3-8437-51407d70baf3"]}],"mendeley":{"formattedCitation":"(Fearnside, 2016a)","plainTextFormattedCitation":"(Fearnside, 2016a)","previouslyFormattedCitation":"(Fearnside, 2016a)"},"properties":{"noteIndex":0},"schema":"https://github.com/citation-style-language/schema/raw/master/csl-citation.json"}</w:instrText>
      </w:r>
      <w:r w:rsidR="00504216">
        <w:rPr>
          <w:rFonts w:ascii="Times New Roman" w:hAnsi="Times New Roman" w:cs="Times New Roman"/>
          <w:sz w:val="24"/>
          <w:szCs w:val="24"/>
          <w:vertAlign w:val="subscript"/>
        </w:rPr>
        <w:fldChar w:fldCharType="separate"/>
      </w:r>
      <w:r w:rsidR="00504216" w:rsidRPr="00504216">
        <w:rPr>
          <w:rFonts w:ascii="Times New Roman" w:hAnsi="Times New Roman" w:cs="Times New Roman"/>
          <w:noProof/>
          <w:sz w:val="24"/>
          <w:szCs w:val="24"/>
        </w:rPr>
        <w:t>(Fearnside, 2016a)</w:t>
      </w:r>
      <w:r w:rsidR="00504216">
        <w:rPr>
          <w:rFonts w:ascii="Times New Roman" w:hAnsi="Times New Roman" w:cs="Times New Roman"/>
          <w:sz w:val="24"/>
          <w:szCs w:val="24"/>
          <w:vertAlign w:val="subscript"/>
        </w:rPr>
        <w:fldChar w:fldCharType="end"/>
      </w:r>
      <w:r w:rsidR="00504216">
        <w:rPr>
          <w:rFonts w:ascii="Times New Roman" w:hAnsi="Times New Roman" w:cs="Times New Roman"/>
          <w:sz w:val="24"/>
          <w:szCs w:val="24"/>
        </w:rPr>
        <w:t xml:space="preserve">. </w:t>
      </w:r>
      <w:r w:rsidR="006D3039">
        <w:rPr>
          <w:rFonts w:ascii="Times New Roman" w:hAnsi="Times New Roman" w:cs="Times New Roman"/>
          <w:sz w:val="24"/>
          <w:szCs w:val="24"/>
        </w:rPr>
        <w:t>If w</w:t>
      </w:r>
      <w:r w:rsidR="00112C3B">
        <w:rPr>
          <w:rFonts w:ascii="Times New Roman" w:hAnsi="Times New Roman" w:cs="Times New Roman"/>
          <w:sz w:val="24"/>
          <w:szCs w:val="24"/>
        </w:rPr>
        <w:t xml:space="preserve">ater moves at sufficient speed stratification in the ROR dams </w:t>
      </w:r>
      <w:r w:rsidR="006D3039">
        <w:rPr>
          <w:rFonts w:ascii="Times New Roman" w:hAnsi="Times New Roman" w:cs="Times New Roman"/>
          <w:sz w:val="24"/>
          <w:szCs w:val="24"/>
        </w:rPr>
        <w:t xml:space="preserve">is prevented. This is the case </w:t>
      </w:r>
      <w:r w:rsidR="00112C3B">
        <w:rPr>
          <w:rFonts w:ascii="Times New Roman" w:hAnsi="Times New Roman" w:cs="Times New Roman"/>
          <w:sz w:val="24"/>
          <w:szCs w:val="24"/>
        </w:rPr>
        <w:t xml:space="preserve">where reservoir volume is small and river stream flow is large.  </w:t>
      </w:r>
    </w:p>
    <w:p w14:paraId="637741E2" w14:textId="410434F3" w:rsidR="00A92B6E" w:rsidRDefault="00405930" w:rsidP="00A92B6E">
      <w:pPr>
        <w:ind w:firstLine="720"/>
        <w:rPr>
          <w:rFonts w:ascii="Times New Roman" w:hAnsi="Times New Roman" w:cs="Times New Roman"/>
          <w:sz w:val="24"/>
          <w:szCs w:val="24"/>
        </w:rPr>
      </w:pPr>
      <w:r>
        <w:rPr>
          <w:rFonts w:ascii="Times New Roman" w:hAnsi="Times New Roman" w:cs="Times New Roman"/>
          <w:sz w:val="24"/>
          <w:szCs w:val="24"/>
        </w:rPr>
        <w:t>E</w:t>
      </w:r>
      <w:r w:rsidR="007A7B5F" w:rsidRPr="00FD7D0D">
        <w:rPr>
          <w:rFonts w:ascii="Times New Roman" w:hAnsi="Times New Roman" w:cs="Times New Roman"/>
          <w:sz w:val="24"/>
          <w:szCs w:val="24"/>
        </w:rPr>
        <w:t xml:space="preserve">stimation of the biogenic emission inventory and the calculation of emissions generated by the biogenic decay in the reservoirs were conducted following the method of </w:t>
      </w:r>
      <w:r w:rsidR="007A7B5F" w:rsidRPr="00FD7D0D">
        <w:rPr>
          <w:rFonts w:ascii="Times New Roman" w:hAnsi="Times New Roman" w:cs="Times New Roman"/>
          <w:sz w:val="24"/>
          <w:szCs w:val="24"/>
        </w:rPr>
        <w:fldChar w:fldCharType="begin" w:fldLock="1"/>
      </w:r>
      <w:r w:rsidR="007A7B5F">
        <w:rPr>
          <w:rFonts w:ascii="Times New Roman" w:hAnsi="Times New Roman" w:cs="Times New Roman"/>
          <w:sz w:val="24"/>
          <w:szCs w:val="24"/>
        </w:rPr>
        <w:instrText>ADDIN CSL_CITATION {"citationItems":[{"id":"ITEM-1","itemData":{"DOI":"10.1007/s11367-018-01579-2","ISSN":"16147502","abstract":"Purpose: Low-carbon emissions are usually related to hydropower energy, making it an attractive option for nations with hydropower potential as it enables them to meet increasing electricity demand without relying on burning fossil fuels. In fact, the new wave of hydropower plant construction is occurring mainly in tropical areas where an additional environmental impact must be considered: biogenic greenhouse gas (GHG) emissions due to the degradation of biogenic carbon in reservoirs. Peru is planning to install up to 2000 MW in hydropower until 2021, but the input and output flows, as well as the environmental impacts that these generate, have not been explored. Hence, a set of three hydropower plants built in the past decade located in the Peruvian Andes were analyzed from a life cycle perspective. The main objective of the study is to generate detailed life cycle inventories for each of these three hydropower plants with the aim of obtaining specific information for current conditions in Peru. Methods: The life cycle assessment methodology was applied to compute the environmental impacts. Data collection was based mainly on primary data obtained directly from the hydropower companies, although biogenic emissions were modeled considering local net primary productivity conditions and other site-specific conditions. Although the calculation of GHG emissions related to hydropower plants was a priority, considering the important policy implications of decarbonizing the Peruvian electricity grid, other environmental categories, such as eutrophication or the depletion of abiotic resources, were also considered. The IPCC method was used to calculate GHG emissions, whereas a set of eight additional impact categories were computed using the ReCiPe 2016 method. Results and discussion: Results show that GHG emissions per unit of electricity generated were in the lower range of emissions observed in the literature, in all three cases below 3 g CO2eq/kWh. Biogenic emissions represented less than 5% of the total GHG emissions despite their location in a tropical nation, due to the arid conditions of the landscape in the Andean Highlands, as well as the mild temperatures that are present in the reservoirs. In terms of stratospheric ozone depletion, a GHG with ozone depletion properties, N2O, was the main source of impact. Conclusions: The results are intended to be of utility for an array of applications, including relevance in decision-making in the energy sector a…","author":[{"dropping-particle":"","family":"Verán-Leigh","given":"Daniel","non-dropping-particle":"","parse-names":false,"suffix":""},{"dropping-particle":"","family":"Vázquez-Rowe","given":"Ian","non-dropping-particle":"","parse-names":false,"suffix":""}],"container-title":"International Journal of Life Cycle Assessment","id":"ITEM-1","issue":"8","issued":{"date-parts":[["2019"]]},"page":"1376-1395","publisher":"The International Journal of Life Cycle Assessment","title":"Life cycle assessment of run-of-river hydropower plants in the Peruvian Andes: a policy support perspective","type":"article-journal","volume":"24"},"uris":["http://www.mendeley.com/documents/?uuid=a7e92a44-b865-496c-8db6-35ba1ebb416e"]}],"mendeley":{"formattedCitation":"(Verán-Leigh &amp; Vázquez-Rowe, 2019)","manualFormatting":"Verán-Leigh &amp; Vázquez-Rowe, (2019)","plainTextFormattedCitation":"(Verán-Leigh &amp; Vázquez-Rowe, 2019)","previouslyFormattedCitation":"(Verán-Leigh &amp; Vázquez-Rowe, 2019)"},"properties":{"noteIndex":0},"schema":"https://github.com/citation-style-language/schema/raw/master/csl-citation.json"}</w:instrText>
      </w:r>
      <w:r w:rsidR="007A7B5F" w:rsidRPr="00FD7D0D">
        <w:rPr>
          <w:rFonts w:ascii="Times New Roman" w:hAnsi="Times New Roman" w:cs="Times New Roman"/>
          <w:sz w:val="24"/>
          <w:szCs w:val="24"/>
        </w:rPr>
        <w:fldChar w:fldCharType="separate"/>
      </w:r>
      <w:r w:rsidR="007A7B5F" w:rsidRPr="00FD7D0D">
        <w:rPr>
          <w:rFonts w:ascii="Times New Roman" w:hAnsi="Times New Roman" w:cs="Times New Roman"/>
          <w:noProof/>
          <w:sz w:val="24"/>
          <w:szCs w:val="24"/>
        </w:rPr>
        <w:t>Verán-Leigh &amp; Vázquez-Rowe, (2019)</w:t>
      </w:r>
      <w:r w:rsidR="007A7B5F" w:rsidRPr="00FD7D0D">
        <w:rPr>
          <w:rFonts w:ascii="Times New Roman" w:hAnsi="Times New Roman" w:cs="Times New Roman"/>
          <w:sz w:val="24"/>
          <w:szCs w:val="24"/>
        </w:rPr>
        <w:fldChar w:fldCharType="end"/>
      </w:r>
      <w:r w:rsidR="007A7B5F" w:rsidRPr="00FD7D0D">
        <w:rPr>
          <w:rFonts w:ascii="Times New Roman" w:hAnsi="Times New Roman" w:cs="Times New Roman"/>
          <w:sz w:val="24"/>
          <w:szCs w:val="24"/>
        </w:rPr>
        <w:t xml:space="preserve"> adapted from </w:t>
      </w:r>
      <w:r w:rsidR="007A7B5F" w:rsidRPr="00FD7D0D">
        <w:rPr>
          <w:rFonts w:ascii="Times New Roman" w:hAnsi="Times New Roman" w:cs="Times New Roman"/>
          <w:sz w:val="24"/>
          <w:szCs w:val="24"/>
        </w:rPr>
        <w:fldChar w:fldCharType="begin" w:fldLock="1"/>
      </w:r>
      <w:r w:rsidR="007A7B5F" w:rsidRPr="00FD7D0D">
        <w:rPr>
          <w:rFonts w:ascii="Times New Roman" w:hAnsi="Times New Roman" w:cs="Times New Roman"/>
          <w:sz w:val="24"/>
          <w:szCs w:val="24"/>
        </w:rPr>
        <w:instrText>ADDIN CSL_CITATION {"citationItems":[{"id":"ITEM-1","itemData":{"DOI":"10.1021/es401820p","ISSN":"0013936X","abstract":"The ability of hydropower to contribute to climate change mitigation is sometimes questioned, citing emissions of methane and carbon dioxide resulting from the degradation of biogenic carbon in hydropower reservoirs. These emissions are, however, not always addressed in life cycle assessment, leading to a bias in technology comparisons, and often misunderstood. The objective of this paper is to review and analyze the generation of greenhouse gas emissions from reservoirs for the purpose of technology assessment, relating established emission measurements to power generation. A literature review, data collection, and statistical analysis of methane and CO2 emissions are conducted. In a sample of 82 measurements, methane emissions per kWh hydropower generated are log-normally distributed, ranging from micrograms to 10s of kg. A multivariate regression analysis shows that the reservoir area per kWh electricity is the most important explanatory variable. Methane emissions flux per reservoir area are correlated with the natural net primary production of the area, the age of the power plant, and the inclusion of bubbling emissions in the measurement. Even together, these factors fail to explain most of the variation in the methane flux. The global average emissions from hydropower are estimated to be 85 gCO2/kWh and 3 gCH4/kWh, with a multiplicative uncertainty factor of 2. GHG emissions from hydropower can be largely avoided by ceasing to build hydropower plants with high land use per unit of electricity generated.","author":[{"dropping-particle":"","family":"Hertwich","given":"Edgar G.","non-dropping-particle":"","parse-names":false,"suffix":""}],"container-title":"Environmental Science and Technology","id":"ITEM-1","issued":{"date-parts":[["2013"]]},"title":"Addressing biogenic greenhouse gas emissions from hydropower in LCA","type":"article-journal"},"uris":["http://www.mendeley.com/documents/?uuid=0c8046ac-53b4-4ee6-b77b-ec3e1d6ba276"]}],"mendeley":{"formattedCitation":"(Hertwich, 2013)","manualFormatting":"Hertwich (2013)","plainTextFormattedCitation":"(Hertwich, 2013)","previouslyFormattedCitation":"(Hertwich, 2013)"},"properties":{"noteIndex":0},"schema":"https://github.com/citation-style-language/schema/raw/master/csl-citation.json"}</w:instrText>
      </w:r>
      <w:r w:rsidR="007A7B5F" w:rsidRPr="00FD7D0D">
        <w:rPr>
          <w:rFonts w:ascii="Times New Roman" w:hAnsi="Times New Roman" w:cs="Times New Roman"/>
          <w:sz w:val="24"/>
          <w:szCs w:val="24"/>
        </w:rPr>
        <w:fldChar w:fldCharType="separate"/>
      </w:r>
      <w:r w:rsidR="007A7B5F" w:rsidRPr="00FD7D0D">
        <w:rPr>
          <w:rFonts w:ascii="Times New Roman" w:hAnsi="Times New Roman" w:cs="Times New Roman"/>
          <w:noProof/>
          <w:sz w:val="24"/>
          <w:szCs w:val="24"/>
        </w:rPr>
        <w:t>Hertwich (2013)</w:t>
      </w:r>
      <w:r w:rsidR="007A7B5F" w:rsidRPr="00FD7D0D">
        <w:rPr>
          <w:rFonts w:ascii="Times New Roman" w:hAnsi="Times New Roman" w:cs="Times New Roman"/>
          <w:sz w:val="24"/>
          <w:szCs w:val="24"/>
        </w:rPr>
        <w:fldChar w:fldCharType="end"/>
      </w:r>
      <w:r w:rsidR="007A7B5F" w:rsidRPr="00FD7D0D">
        <w:rPr>
          <w:rFonts w:ascii="Times New Roman" w:hAnsi="Times New Roman" w:cs="Times New Roman"/>
          <w:sz w:val="24"/>
          <w:szCs w:val="24"/>
        </w:rPr>
        <w:t xml:space="preserve">. </w:t>
      </w:r>
      <w:r w:rsidR="008A2252">
        <w:rPr>
          <w:rFonts w:ascii="Times New Roman" w:hAnsi="Times New Roman" w:cs="Times New Roman"/>
          <w:sz w:val="24"/>
          <w:szCs w:val="24"/>
        </w:rPr>
        <w:fldChar w:fldCharType="begin" w:fldLock="1"/>
      </w:r>
      <w:r w:rsidR="00576B60">
        <w:rPr>
          <w:rFonts w:ascii="Times New Roman" w:hAnsi="Times New Roman" w:cs="Times New Roman"/>
          <w:sz w:val="24"/>
          <w:szCs w:val="24"/>
        </w:rPr>
        <w:instrText>ADDIN CSL_CITATION {"citationItems":[{"id":"ITEM-1","itemData":{"DOI":"10.1016/j.renene.2017.05.047","ISSN":"18790682","abstract":"Hydropower is one of most important considered renewable technologies to provide electricity generation worldwide. Bearing in mind the lack of LCA studies and the development of several hydroelectric projects in Ecuador, the purpose of this paper is to present a complete environmental performance of two hydropower schemes (dam and run-of-river) located in this country, through the life cycle assessment combined with reservoir GHG emissions approach. The run-of-river scheme had better environmental performance than the dam scheme. Very high emissions were found, being 547 Kg CO2-eq/MWh for dam scheme, which most of those emissions were originated in the reservoir, while the run-of-river scheme only score 2.6 Kg CO2-eq/MWh. However, comparing with fossil fuel power plants, hydropower dam case still has lower emissions in its entire life cycle. The paper remark that the majority of LCA studies which focus on dam hydropower scheme only consider the emissions of the construction, putting aside the loss of the ecosystem and the emissions caused by the impoundment. Moreover, the analysis also included the impact associated to water uses since reservoirs are usually devoted to several purposes (flood lamination, irrigation, ecological flow, power generation).","author":[{"dropping-particle":"","family":"Briones Hidrovo","given":"Andrei","non-dropping-particle":"","parse-names":false,"suffix":""},{"dropping-particle":"","family":"Uche","given":"Javier","non-dropping-particle":"","parse-names":false,"suffix":""},{"dropping-particle":"","family":"Martínez-Gracia","given":"Amaya","non-dropping-particle":"","parse-names":false,"suffix":""}],"container-title":"Renewable Energy","id":"ITEM-1","issued":{"date-parts":[["2017"]]},"page":"209-221","title":"Accounting for GHG net reservoir emissions of hydropower in Ecuador","type":"article-journal","volume":"112"},"uris":["http://www.mendeley.com/documents/?uuid=0ea7c1ea-c20b-4c9a-9a00-56727909b99f"]}],"mendeley":{"formattedCitation":"(Briones Hidrovo et al., 2017)","manualFormatting":"Briones Hidrovo et al. (2017)","plainTextFormattedCitation":"(Briones Hidrovo et al., 2017)","previouslyFormattedCitation":"(Briones Hidrovo et al., 2017)"},"properties":{"noteIndex":0},"schema":"https://github.com/citation-style-language/schema/raw/master/csl-citation.json"}</w:instrText>
      </w:r>
      <w:r w:rsidR="008A2252">
        <w:rPr>
          <w:rFonts w:ascii="Times New Roman" w:hAnsi="Times New Roman" w:cs="Times New Roman"/>
          <w:sz w:val="24"/>
          <w:szCs w:val="24"/>
        </w:rPr>
        <w:fldChar w:fldCharType="separate"/>
      </w:r>
      <w:r w:rsidR="008A2252" w:rsidRPr="008A2252">
        <w:rPr>
          <w:rFonts w:ascii="Times New Roman" w:hAnsi="Times New Roman" w:cs="Times New Roman"/>
          <w:noProof/>
          <w:sz w:val="24"/>
          <w:szCs w:val="24"/>
        </w:rPr>
        <w:t xml:space="preserve">Briones Hidrovo et al. </w:t>
      </w:r>
      <w:r w:rsidR="008A2252">
        <w:rPr>
          <w:rFonts w:ascii="Times New Roman" w:hAnsi="Times New Roman" w:cs="Times New Roman"/>
          <w:noProof/>
          <w:sz w:val="24"/>
          <w:szCs w:val="24"/>
        </w:rPr>
        <w:t>(</w:t>
      </w:r>
      <w:r w:rsidR="008A2252" w:rsidRPr="008A2252">
        <w:rPr>
          <w:rFonts w:ascii="Times New Roman" w:hAnsi="Times New Roman" w:cs="Times New Roman"/>
          <w:noProof/>
          <w:sz w:val="24"/>
          <w:szCs w:val="24"/>
        </w:rPr>
        <w:t>2017)</w:t>
      </w:r>
      <w:r w:rsidR="008A2252">
        <w:rPr>
          <w:rFonts w:ascii="Times New Roman" w:hAnsi="Times New Roman" w:cs="Times New Roman"/>
          <w:sz w:val="24"/>
          <w:szCs w:val="24"/>
        </w:rPr>
        <w:fldChar w:fldCharType="end"/>
      </w:r>
      <w:r w:rsidR="008A2252">
        <w:rPr>
          <w:rFonts w:ascii="Times New Roman" w:hAnsi="Times New Roman" w:cs="Times New Roman"/>
          <w:sz w:val="24"/>
          <w:szCs w:val="24"/>
        </w:rPr>
        <w:t xml:space="preserve"> also applied </w:t>
      </w:r>
      <w:r>
        <w:rPr>
          <w:rFonts w:ascii="Times New Roman" w:hAnsi="Times New Roman" w:cs="Times New Roman"/>
          <w:sz w:val="24"/>
          <w:szCs w:val="24"/>
        </w:rPr>
        <w:t xml:space="preserve">a </w:t>
      </w:r>
      <w:r w:rsidR="008A2252">
        <w:rPr>
          <w:rFonts w:ascii="Times New Roman" w:hAnsi="Times New Roman" w:cs="Times New Roman"/>
          <w:sz w:val="24"/>
          <w:szCs w:val="24"/>
        </w:rPr>
        <w:t>similar method to assess GHG reservoir emissions in hydropower plants.</w:t>
      </w:r>
      <w:r w:rsidR="00506FC0">
        <w:rPr>
          <w:rFonts w:ascii="Times New Roman" w:hAnsi="Times New Roman" w:cs="Times New Roman"/>
          <w:sz w:val="24"/>
          <w:szCs w:val="24"/>
        </w:rPr>
        <w:t xml:space="preserve"> </w:t>
      </w:r>
      <w:r w:rsidR="007A7B5F" w:rsidRPr="00FD7D0D">
        <w:rPr>
          <w:rFonts w:ascii="Times New Roman" w:hAnsi="Times New Roman" w:cs="Times New Roman"/>
          <w:sz w:val="24"/>
          <w:szCs w:val="24"/>
        </w:rPr>
        <w:t xml:space="preserve">This method allows to calculate biogenic emissions per unit of power generated by using energy production, land use, net primary production (NPP) and the age of the powerplant as variables. </w:t>
      </w:r>
      <w:r w:rsidR="007A7B5F">
        <w:rPr>
          <w:rFonts w:ascii="Times New Roman" w:hAnsi="Times New Roman" w:cs="Times New Roman"/>
          <w:sz w:val="24"/>
          <w:szCs w:val="24"/>
        </w:rPr>
        <w:t>First, this study focuses on CO</w:t>
      </w:r>
      <w:r w:rsidR="007A7B5F" w:rsidRPr="00A35AF4">
        <w:rPr>
          <w:rFonts w:ascii="Times New Roman" w:hAnsi="Times New Roman" w:cs="Times New Roman"/>
          <w:sz w:val="24"/>
          <w:szCs w:val="24"/>
          <w:vertAlign w:val="subscript"/>
        </w:rPr>
        <w:t>2</w:t>
      </w:r>
      <w:r w:rsidR="007A7B5F">
        <w:rPr>
          <w:rFonts w:ascii="Times New Roman" w:hAnsi="Times New Roman" w:cs="Times New Roman"/>
          <w:sz w:val="24"/>
          <w:szCs w:val="24"/>
        </w:rPr>
        <w:t xml:space="preserve"> and CH</w:t>
      </w:r>
      <w:r w:rsidR="007A7B5F" w:rsidRPr="00A35AF4">
        <w:rPr>
          <w:rFonts w:ascii="Times New Roman" w:hAnsi="Times New Roman" w:cs="Times New Roman"/>
          <w:sz w:val="24"/>
          <w:szCs w:val="24"/>
          <w:vertAlign w:val="subscript"/>
        </w:rPr>
        <w:t>4</w:t>
      </w:r>
      <w:r w:rsidR="007A7B5F">
        <w:rPr>
          <w:rFonts w:ascii="Times New Roman" w:hAnsi="Times New Roman" w:cs="Times New Roman"/>
          <w:sz w:val="24"/>
          <w:szCs w:val="24"/>
        </w:rPr>
        <w:t xml:space="preserve"> emissions as greenhouse gases (GHGs). The emissions associated with the energy requirements are usually calculated from the process chain by multiplying the amount of energy inputs by its emission </w:t>
      </w:r>
      <w:r w:rsidR="007A7B5F" w:rsidRPr="00FD6DCA">
        <w:rPr>
          <w:rFonts w:ascii="Times New Roman" w:hAnsi="Times New Roman" w:cs="Times New Roman"/>
          <w:sz w:val="24"/>
          <w:szCs w:val="24"/>
        </w:rPr>
        <w:t>factor</w:t>
      </w:r>
      <w:r w:rsidR="007A7B5F" w:rsidRPr="008519B6">
        <w:rPr>
          <w:rFonts w:ascii="Times New Roman" w:hAnsi="Times New Roman" w:cs="Times New Roman"/>
          <w:noProof/>
          <w:sz w:val="24"/>
          <w:szCs w:val="24"/>
        </w:rPr>
        <w:t xml:space="preserve"> </w:t>
      </w:r>
      <w:r w:rsidR="007A7B5F">
        <w:rPr>
          <w:rFonts w:ascii="Times New Roman" w:hAnsi="Times New Roman" w:cs="Times New Roman"/>
          <w:noProof/>
          <w:sz w:val="24"/>
          <w:szCs w:val="24"/>
        </w:rPr>
        <w:t>(</w:t>
      </w:r>
      <w:r w:rsidR="007A7B5F" w:rsidRPr="0018321D">
        <w:rPr>
          <w:rFonts w:ascii="Times New Roman" w:hAnsi="Times New Roman" w:cs="Times New Roman"/>
          <w:noProof/>
          <w:sz w:val="24"/>
          <w:szCs w:val="24"/>
        </w:rPr>
        <w:t>Hondo</w:t>
      </w:r>
      <w:r w:rsidR="007A7B5F">
        <w:rPr>
          <w:rFonts w:ascii="Times New Roman" w:hAnsi="Times New Roman" w:cs="Times New Roman"/>
          <w:noProof/>
          <w:sz w:val="24"/>
          <w:szCs w:val="24"/>
        </w:rPr>
        <w:t xml:space="preserve">, </w:t>
      </w:r>
      <w:r w:rsidR="007A7B5F" w:rsidRPr="0018321D">
        <w:rPr>
          <w:rFonts w:ascii="Times New Roman" w:hAnsi="Times New Roman" w:cs="Times New Roman"/>
          <w:noProof/>
          <w:sz w:val="24"/>
          <w:szCs w:val="24"/>
        </w:rPr>
        <w:t>2005</w:t>
      </w:r>
      <w:r w:rsidR="007A7B5F">
        <w:rPr>
          <w:rFonts w:ascii="Times New Roman" w:hAnsi="Times New Roman" w:cs="Times New Roman"/>
          <w:noProof/>
          <w:sz w:val="24"/>
          <w:szCs w:val="24"/>
        </w:rPr>
        <w:t>)</w:t>
      </w:r>
      <w:r w:rsidR="007A7B5F" w:rsidRPr="00FD6DCA">
        <w:rPr>
          <w:rFonts w:ascii="Times New Roman" w:hAnsi="Times New Roman" w:cs="Times New Roman"/>
          <w:sz w:val="24"/>
          <w:szCs w:val="24"/>
        </w:rPr>
        <w:t xml:space="preserve">. </w:t>
      </w:r>
      <w:r w:rsidR="007A7B5F">
        <w:rPr>
          <w:rFonts w:ascii="Times New Roman" w:hAnsi="Times New Roman" w:cs="Times New Roman"/>
          <w:sz w:val="24"/>
          <w:szCs w:val="24"/>
        </w:rPr>
        <w:t xml:space="preserve">Some previous studies adopted </w:t>
      </w:r>
      <w:r>
        <w:rPr>
          <w:rFonts w:ascii="Times New Roman" w:hAnsi="Times New Roman" w:cs="Times New Roman"/>
          <w:sz w:val="24"/>
          <w:szCs w:val="24"/>
        </w:rPr>
        <w:t xml:space="preserve">an </w:t>
      </w:r>
      <w:r w:rsidR="007A7B5F">
        <w:rPr>
          <w:rFonts w:ascii="Times New Roman" w:hAnsi="Times New Roman" w:cs="Times New Roman"/>
          <w:sz w:val="24"/>
          <w:szCs w:val="24"/>
        </w:rPr>
        <w:t xml:space="preserve">economic input-output approach to calculate GHG emissions associated with material manufacturing </w:t>
      </w:r>
      <w:r w:rsidR="00AE02EE">
        <w:rPr>
          <w:rFonts w:ascii="Times New Roman" w:hAnsi="Times New Roman" w:cs="Times New Roman"/>
          <w:sz w:val="24"/>
          <w:szCs w:val="24"/>
        </w:rPr>
        <w:fldChar w:fldCharType="begin" w:fldLock="1"/>
      </w:r>
      <w:r w:rsidR="00280228">
        <w:rPr>
          <w:rFonts w:ascii="Times New Roman" w:hAnsi="Times New Roman" w:cs="Times New Roman"/>
          <w:sz w:val="24"/>
          <w:szCs w:val="24"/>
        </w:rPr>
        <w:instrText>ADDIN CSL_CITATION {"citationItems":[{"id":"ITEM-1","itemData":{"DOI":"10.1007/s11367-018-01579-2","ISSN":"16147502","abstract":"Purpose: Low-carbon emissions are usually related to hydropower energy, making it an attractive option for nations with hydropower potential as it enables them to meet increasing electricity demand without relying on burning fossil fuels. In fact, the new wave of hydropower plant construction is occurring mainly in tropical areas where an additional environmental impact must be considered: biogenic greenhouse gas (GHG) emissions due to the degradation of biogenic carbon in reservoirs. Peru is planning to install up to 2000 MW in hydropower until 2021, but the input and output flows, as well as the environmental impacts that these generate, have not been explored. Hence, a set of three hydropower plants built in the past decade located in the Peruvian Andes were analyzed from a life cycle perspective. The main objective of the study is to generate detailed life cycle inventories for each of these three hydropower plants with the aim of obtaining specific information for current conditions in Peru. Methods: The life cycle assessment methodology was applied to compute the environmental impacts. Data collection was based mainly on primary data obtained directly from the hydropower companies, although biogenic emissions were modeled considering local net primary productivity conditions and other site-specific conditions. Although the calculation of GHG emissions related to hydropower plants was a priority, considering the important policy implications of decarbonizing the Peruvian electricity grid, other environmental categories, such as eutrophication or the depletion of abiotic resources, were also considered. The IPCC method was used to calculate GHG emissions, whereas a set of eight additional impact categories were computed using the ReCiPe 2016 method. Results and discussion: Results show that GHG emissions per unit of electricity generated were in the lower range of emissions observed in the literature, in all three cases below 3 g CO2eq/kWh. Biogenic emissions represented less than 5% of the total GHG emissions despite their location in a tropical nation, due to the arid conditions of the landscape in the Andean Highlands, as well as the mild temperatures that are present in the reservoirs. In terms of stratospheric ozone depletion, a GHG with ozone depletion properties, N2O, was the main source of impact. Conclusions: The results are intended to be of utility for an array of applications, including relevance in decision-making in the energy sector a…","author":[{"dropping-particle":"","family":"Verán-Leigh","given":"Daniel","non-dropping-particle":"","parse-names":false,"suffix":""},{"dropping-particle":"","family":"Vázquez-Rowe","given":"Ian","non-dropping-particle":"","parse-names":false,"suffix":""}],"container-title":"International Journal of Life Cycle Assessment","id":"ITEM-1","issue":"8","issued":{"date-parts":[["2019"]]},"page":"1376-1395","publisher":"The International Journal of Life Cycle Assessment","title":"Life cycle assessment of run-of-river hydropower plants in the Peruvian Andes: a policy support perspective","type":"article-journal","volume":"24"},"uris":["http://www.mendeley.com/documents/?uuid=a7e92a44-b865-496c-8db6-35ba1ebb416e"]},{"id":"ITEM-2","itemData":{"DOI":"10.1061/(ASCE)1076-0342(2007)13:4(271)","ISSN":"10760342","abstract":"Two different sized hydropower projects in China, one with a capacity of 44 MW and the other of 3,600 MW, were examined through life-cycle assessment (LCA) from the perspective of both sustainability and environmental impact and the influence of project scale. Using the economic input-output based LCA approach, energy use and greenhouse gas (GHG) emissions were quantified. The resulting energy payback ratios were found to be 7 and 48, whereas the normalized GHG emissions were 44 and 6 g CO2 equivalent per kW h of electricity production, both in favor of the larger project. Compared with published data on other renewable and nonrenewable pptions, temperate hydropower, particularly large hydropower, is indicated as an efficient electrical source with relatively low GHG emissions. © 2007 ASCE.","author":[{"dropping-particle":"","family":"Zhang","given":"Qinfen","non-dropping-particle":"","parse-names":false,"suffix":""},{"dropping-particle":"","family":"Karney","given":"Bryan","non-dropping-particle":"","parse-names":false,"suffix":""},{"dropping-particle":"","family":"MacLean","given":"Heather L.","non-dropping-particle":"","parse-names":false,"suffix":""},{"dropping-particle":"","family":"Feng","given":"Jingchun","non-dropping-particle":"","parse-names":false,"suffix":""}],"container-title":"Journal of Infrastructure Systems","id":"ITEM-2","issue":"4","issued":{"date-parts":[["2007"]]},"page":"271-279","title":"Life-cycle inventory of energy use and greenhouse gas emissions for two hydropower projects in China","type":"article-journal","volume":"13"},"uris":["http://www.mendeley.com/documents/?uuid=d1a3dcc3-7214-4e8a-8ed5-3ed9f5ef4e0d"]},{"id":"ITEM-3","itemData":{"DOI":"10.1016/j.energy.2004.07.020","ISSN":"03605442","abstract":"This study presents the results of a life cycle analysis (LCA) of greenhouse gas emissions from power generation systems in order to understand the characteristics of these systems from the perspective of global warming. Nine different types of power generation systems were examined: coal-fired, oil-fired, LNG-fired, LNG-combined cycle, nuclear, hydropower, geothermal, wind power and solar-photovoltaic (PV). Life cycle greenhouse gas (GHG) emission per kW h of electricity generated was estimated for the systems using a combined method of process analysis and input-output analysis. First, average power generation systems reflecting the current status in Japan were examined as base cases. Second, the impacts of emerging and future nuclear, wind power and PV technologies were analyzed. Finally, uncertainties associated with some assumptions were examined to help clarify interpretation of the results. © 2004 Published by Elsevier Ltd.","author":[{"dropping-particle":"","family":"Hondo","given":"Hiroki","non-dropping-particle":"","parse-names":false,"suffix":""}],"container-title":"Energy","id":"ITEM-3","issued":{"date-parts":[["2005"]]},"title":"Life cycle GHG emission analysis of power generation systems: Japanese case","type":"paper-conference"},"uris":["http://www.mendeley.com/documents/?uuid=58baab9c-2536-4348-9737-2f6ae818e416"]},{"id":"ITEM-4","itemData":{"DOI":"10.1016/j.energy.2012.05.052","ISSN":"03605442","abstract":"This paper presents for the first time correlations for greenhouse gas (GHG) emissions from small hydropower schemes in India. In this paper an attempt has been made to develop life cycle GHG emissions correlations for three different types of small hydropower schemes (run-of river, canal based and dam-toe) in India. It has been found out that GHG emissions depend on the head and capacity of the small hydropower project. The results obtained from correlations show good agreement with the estimated results using EIO-LCA (Economic Input-Output-Life Cycle Assessment) technique. These correlations may be useful for the development of new small hydropower (SHP) schemes, as they can be used to predict life cycle GHG emissions based on capacity, head and type of SHP schemes. © 2012 Elsevier Ltd.","author":[{"dropping-particle":"","family":"Varun","given":"","non-dropping-particle":"","parse-names":false,"suffix":""},{"dropping-particle":"","family":"Prakash","given":"Ravi","non-dropping-particle":"","parse-names":false,"suffix":""},{"dropping-particle":"","family":"Bhat","given":"I. K.","non-dropping-particle":"","parse-names":false,"suffix":""}],"container-title":"Energy","id":"ITEM-4","issue":"1","issued":{"date-parts":[["2012"]]},"page":"498-508","publisher":"Elsevier","title":"Life cycle greenhouse gas emissions estimation for small hydropower schemes in India","type":"article-journal","volume":"44"},"uris":["http://www.mendeley.com/documents/?uuid=ed2720ac-8b1c-427d-909b-b7e232362600"]}],"mendeley":{"formattedCitation":"(Hondo, 2005; Varun et al., 2012; Verán-Leigh &amp; Vázquez-Rowe, 2019; Q. Zhang et al., 2007)","plainTextFormattedCitation":"(Hondo, 2005; Varun et al., 2012; Verán-Leigh &amp; Vázquez-Rowe, 2019; Q. Zhang et al., 2007)","previouslyFormattedCitation":"(Hondo, 2005; Varun et al., 2012; Verán-Leigh &amp; Vázquez-Rowe, 2019; Q. Zhang et al., 2007)"},"properties":{"noteIndex":0},"schema":"https://github.com/citation-style-language/schema/raw/master/csl-citation.json"}</w:instrText>
      </w:r>
      <w:r w:rsidR="00AE02EE">
        <w:rPr>
          <w:rFonts w:ascii="Times New Roman" w:hAnsi="Times New Roman" w:cs="Times New Roman"/>
          <w:sz w:val="24"/>
          <w:szCs w:val="24"/>
        </w:rPr>
        <w:fldChar w:fldCharType="separate"/>
      </w:r>
      <w:r w:rsidR="00280228" w:rsidRPr="00280228">
        <w:rPr>
          <w:rFonts w:ascii="Times New Roman" w:hAnsi="Times New Roman" w:cs="Times New Roman"/>
          <w:noProof/>
          <w:sz w:val="24"/>
          <w:szCs w:val="24"/>
        </w:rPr>
        <w:t>(Hondo, 2005; Varun et al., 2012; Verán-Leigh &amp; Vázquez-Rowe, 2019; Q. Zhang et al., 2007)</w:t>
      </w:r>
      <w:r w:rsidR="00AE02EE">
        <w:rPr>
          <w:rFonts w:ascii="Times New Roman" w:hAnsi="Times New Roman" w:cs="Times New Roman"/>
          <w:sz w:val="24"/>
          <w:szCs w:val="24"/>
        </w:rPr>
        <w:fldChar w:fldCharType="end"/>
      </w:r>
      <w:r w:rsidR="007A7B5F">
        <w:rPr>
          <w:rFonts w:ascii="Times New Roman" w:hAnsi="Times New Roman" w:cs="Times New Roman"/>
          <w:sz w:val="24"/>
          <w:szCs w:val="24"/>
        </w:rPr>
        <w:t>.  Due to the unavailability of economic data, it was not possible to conduct input-output analysis for the calculation of emissions from resource extraction and manufacturing. In this study, the quantification of the NPP for each powerplants</w:t>
      </w:r>
      <w:r>
        <w:rPr>
          <w:rFonts w:ascii="Times New Roman" w:hAnsi="Times New Roman" w:cs="Times New Roman"/>
          <w:sz w:val="24"/>
          <w:szCs w:val="24"/>
        </w:rPr>
        <w:t xml:space="preserve"> </w:t>
      </w:r>
      <w:r w:rsidR="007A7B5F">
        <w:rPr>
          <w:rFonts w:ascii="Times New Roman" w:hAnsi="Times New Roman" w:cs="Times New Roman"/>
          <w:sz w:val="24"/>
          <w:szCs w:val="24"/>
        </w:rPr>
        <w:t xml:space="preserve">was done based on the data from </w:t>
      </w:r>
      <w:r>
        <w:rPr>
          <w:rFonts w:ascii="Times New Roman" w:hAnsi="Times New Roman" w:cs="Times New Roman"/>
          <w:sz w:val="24"/>
          <w:szCs w:val="24"/>
        </w:rPr>
        <w:t xml:space="preserve">the </w:t>
      </w:r>
      <w:r w:rsidR="007A7B5F" w:rsidRPr="0026538A">
        <w:rPr>
          <w:rFonts w:ascii="Times New Roman" w:hAnsi="Times New Roman" w:cs="Times New Roman"/>
          <w:sz w:val="24"/>
          <w:szCs w:val="24"/>
        </w:rPr>
        <w:t>Department of Meteorology and Hydrology (Myanmar)</w:t>
      </w:r>
      <w:r w:rsidR="007A7B5F">
        <w:rPr>
          <w:rFonts w:ascii="Times New Roman" w:hAnsi="Times New Roman" w:cs="Times New Roman"/>
          <w:sz w:val="24"/>
          <w:szCs w:val="24"/>
        </w:rPr>
        <w:t xml:space="preserve">, Koppen-Geiger climate zones classification of Myanmar </w:t>
      </w:r>
      <w:r w:rsidR="007A7B5F">
        <w:rPr>
          <w:rFonts w:ascii="Times New Roman" w:hAnsi="Times New Roman" w:cs="Times New Roman"/>
          <w:sz w:val="24"/>
          <w:szCs w:val="24"/>
        </w:rPr>
        <w:fldChar w:fldCharType="begin" w:fldLock="1"/>
      </w:r>
      <w:r w:rsidR="007A7B5F">
        <w:rPr>
          <w:rFonts w:ascii="Times New Roman" w:hAnsi="Times New Roman" w:cs="Times New Roman"/>
          <w:sz w:val="24"/>
          <w:szCs w:val="24"/>
        </w:rPr>
        <w:instrText>ADDIN CSL_CITATION {"citationItems":[{"id":"ITEM-1","itemData":{"author":[{"dropping-particle":"","family":"Myanmar Information Management Unit","given":"","non-dropping-particle":"","parse-names":false,"suffix":""}],"id":"ITEM-1","issued":{"date-parts":[["2010"]]},"number-of-pages":"2010","title":"Koppen-Geiger Climate Zones of Myanmar (1986-2010) 90°","type":"report"},"uris":["http://www.mendeley.com/documents/?uuid=c1bbde93-61db-464a-80eb-61de49d99e56"]}],"mendeley":{"formattedCitation":"(Myanmar Information Management Unit, 2010)","plainTextFormattedCitation":"(Myanmar Information Management Unit, 2010)","previouslyFormattedCitation":"(Myanmar Information Management Unit, 2010)"},"properties":{"noteIndex":0},"schema":"https://github.com/citation-style-language/schema/raw/master/csl-citation.json"}</w:instrText>
      </w:r>
      <w:r w:rsidR="007A7B5F">
        <w:rPr>
          <w:rFonts w:ascii="Times New Roman" w:hAnsi="Times New Roman" w:cs="Times New Roman"/>
          <w:sz w:val="24"/>
          <w:szCs w:val="24"/>
        </w:rPr>
        <w:fldChar w:fldCharType="separate"/>
      </w:r>
      <w:r w:rsidR="007A7B5F" w:rsidRPr="0026538A">
        <w:rPr>
          <w:rFonts w:ascii="Times New Roman" w:hAnsi="Times New Roman" w:cs="Times New Roman"/>
          <w:noProof/>
          <w:sz w:val="24"/>
          <w:szCs w:val="24"/>
        </w:rPr>
        <w:t>(Myanmar Information Management Unit, 2010)</w:t>
      </w:r>
      <w:r w:rsidR="007A7B5F">
        <w:rPr>
          <w:rFonts w:ascii="Times New Roman" w:hAnsi="Times New Roman" w:cs="Times New Roman"/>
          <w:sz w:val="24"/>
          <w:szCs w:val="24"/>
        </w:rPr>
        <w:fldChar w:fldCharType="end"/>
      </w:r>
      <w:r w:rsidR="007A7B5F">
        <w:rPr>
          <w:rFonts w:ascii="Times New Roman" w:hAnsi="Times New Roman" w:cs="Times New Roman"/>
          <w:sz w:val="24"/>
          <w:szCs w:val="24"/>
        </w:rPr>
        <w:t xml:space="preserve"> and the NPP satellite data made available by Google Earth Engine data </w:t>
      </w:r>
      <w:r w:rsidR="00790C9D">
        <w:rPr>
          <w:rFonts w:ascii="Times New Roman" w:hAnsi="Times New Roman" w:cs="Times New Roman"/>
          <w:sz w:val="24"/>
          <w:szCs w:val="24"/>
        </w:rPr>
        <w:t>catalogue</w:t>
      </w:r>
      <w:r w:rsidR="007A7B5F">
        <w:rPr>
          <w:rFonts w:ascii="Times New Roman" w:hAnsi="Times New Roman" w:cs="Times New Roman"/>
          <w:sz w:val="24"/>
          <w:szCs w:val="24"/>
        </w:rPr>
        <w:t xml:space="preserve"> </w:t>
      </w:r>
      <w:r w:rsidR="007A7B5F">
        <w:rPr>
          <w:rFonts w:ascii="Times New Roman" w:hAnsi="Times New Roman" w:cs="Times New Roman"/>
          <w:sz w:val="24"/>
          <w:szCs w:val="24"/>
        </w:rPr>
        <w:fldChar w:fldCharType="begin" w:fldLock="1"/>
      </w:r>
      <w:r w:rsidR="007A7B5F">
        <w:rPr>
          <w:rFonts w:ascii="Times New Roman" w:hAnsi="Times New Roman" w:cs="Times New Roman"/>
          <w:sz w:val="24"/>
          <w:szCs w:val="24"/>
        </w:rPr>
        <w:instrText>ADDIN CSL_CITATION {"citationItems":[{"id":"ITEM-1","itemData":{"URL":"https://developers.google.com/earth-engine/datasets/catalog/MODIS_006_MOD17A3H","accessed":{"date-parts":[["2020","5","12"]]},"author":[{"dropping-particle":"","family":"NASA LP DAAC","given":"","non-dropping-particle":"","parse-names":false,"suffix":""}],"id":"ITEM-1","issued":{"date-parts":[["2000"]]},"title":"MOD17A3H.006: Terra Net Primary Production Yearly Global 500m","type":"webpage"},"uris":["http://www.mendeley.com/documents/?uuid=e5513762-76bb-3f49-85d0-2d0530eae529"]}],"mendeley":{"formattedCitation":"(NASA LP DAAC, 2000)","plainTextFormattedCitation":"(NASA LP DAAC, 2000)","previouslyFormattedCitation":"(NASA LP DAAC, 2000)"},"properties":{"noteIndex":0},"schema":"https://github.com/citation-style-language/schema/raw/master/csl-citation.json"}</w:instrText>
      </w:r>
      <w:r w:rsidR="007A7B5F">
        <w:rPr>
          <w:rFonts w:ascii="Times New Roman" w:hAnsi="Times New Roman" w:cs="Times New Roman"/>
          <w:sz w:val="24"/>
          <w:szCs w:val="24"/>
        </w:rPr>
        <w:fldChar w:fldCharType="separate"/>
      </w:r>
      <w:r w:rsidR="007A7B5F" w:rsidRPr="008B137B">
        <w:rPr>
          <w:rFonts w:ascii="Times New Roman" w:hAnsi="Times New Roman" w:cs="Times New Roman"/>
          <w:noProof/>
          <w:sz w:val="24"/>
          <w:szCs w:val="24"/>
        </w:rPr>
        <w:t>(NASA LP DAAC, 2000)</w:t>
      </w:r>
      <w:r w:rsidR="007A7B5F">
        <w:rPr>
          <w:rFonts w:ascii="Times New Roman" w:hAnsi="Times New Roman" w:cs="Times New Roman"/>
          <w:sz w:val="24"/>
          <w:szCs w:val="24"/>
        </w:rPr>
        <w:fldChar w:fldCharType="end"/>
      </w:r>
      <w:r w:rsidR="007A7B5F">
        <w:rPr>
          <w:rFonts w:ascii="Times New Roman" w:hAnsi="Times New Roman" w:cs="Times New Roman"/>
          <w:sz w:val="24"/>
          <w:szCs w:val="24"/>
        </w:rPr>
        <w:t xml:space="preserve"> </w:t>
      </w:r>
      <w:r w:rsidR="007A7B5F">
        <w:rPr>
          <w:rFonts w:ascii="Times New Roman" w:hAnsi="Times New Roman" w:cs="Times New Roman"/>
          <w:sz w:val="24"/>
          <w:szCs w:val="24"/>
        </w:rPr>
        <w:fldChar w:fldCharType="begin" w:fldLock="1"/>
      </w:r>
      <w:r w:rsidR="007A7B5F">
        <w:rPr>
          <w:rFonts w:ascii="Times New Roman" w:hAnsi="Times New Roman" w:cs="Times New Roman"/>
          <w:sz w:val="24"/>
          <w:szCs w:val="24"/>
        </w:rPr>
        <w:instrText>ADDIN CSL_CITATION {"citationItems":[{"id":"ITEM-1","itemData":{"DOI":"10.1073/pnas.0704243104","ISSN":"00278424","PMID":"17616580","abstract":"Human appropriation of net primary production (HANPP), the aggregate impact of land use on biomass available each year in ecosystems, is a prominent measure of the human domination of the biosphere. We present a comprehensive assessment of global HANPP based on vegetation modeling, agricultural and forestry statistics, and geographical information systems data on land use, land cover, and soil degradation that localizes human impact on ecosystems. We found an aggregate global HANPP value of 15.6 Pg C/yr or 23.8% of potential net primary productivity, of which 53% was contributed by harvest, 40% by land-use-induced productivity changes, and 7% by human-induced fires. This is a remarkable impact on the biosphere caused by just one species. We present maps quantifying human-induced changes in trophic energy flows in ecosystems that illustrate spatial patterns in the human domination of ecosystems, thus emphasizing land use as a pervasive factor of global importance. Land use transforms earth's terrestrial surface, resulting in changes in biogeochemical cycles and in the ability of ecosystems to deliver services critical to human well being. The results suggest that large-scale schemes to substitute biomass for fossil fuels should be viewed cautiously because massive additional pressures on ecosystems might result from increased biomass harvest. © 2007 by The National Academy of Sciences of the USA.","author":[{"dropping-particle":"","family":"Haberl","given":"Helmut","non-dropping-particle":"","parse-names":false,"suffix":""},{"dropping-particle":"","family":"Erb","given":"K. Heinz","non-dropping-particle":"","parse-names":false,"suffix":""},{"dropping-particle":"","family":"Krausmann","given":"Fridolin","non-dropping-particle":"","parse-names":false,"suffix":""},{"dropping-particle":"","family":"Gaube","given":"Veronika","non-dropping-particle":"","parse-names":false,"suffix":""},{"dropping-particle":"","family":"Bondeau","given":"Alberte","non-dropping-particle":"","parse-names":false,"suffix":""},{"dropping-particle":"","family":"Plutzar","given":"Christoph","non-dropping-particle":"","parse-names":false,"suffix":""},{"dropping-particle":"","family":"Gingrich","given":"Simone","non-dropping-particle":"","parse-names":false,"suffix":""},{"dropping-particle":"","family":"Lucht","given":"Wolfgang","non-dropping-particle":"","parse-names":false,"suffix":""},{"dropping-particle":"","family":"Fischer-Kowalski","given":"Marina","non-dropping-particle":"","parse-names":false,"suffix":""}],"container-title":"Proceedings of the National Academy of Sciences of the United States of America","id":"ITEM-1","issue":"31","issued":{"date-parts":[["2007"]]},"page":"12942-12947","title":"Quantifying and mapping the human appropriation of net primary production in earth's terrestrial ecosystems","type":"article-journal","volume":"104"},"uris":["http://www.mendeley.com/documents/?uuid=70fe6dc8-ec2e-46b3-9e8e-5886f9155e3c"]}],"mendeley":{"formattedCitation":"(Haberl et al., 2007)","plainTextFormattedCitation":"(Haberl et al., 2007)","previouslyFormattedCitation":"(Haberl et al., 2007)"},"properties":{"noteIndex":0},"schema":"https://github.com/citation-style-language/schema/raw/master/csl-citation.json"}</w:instrText>
      </w:r>
      <w:r w:rsidR="007A7B5F">
        <w:rPr>
          <w:rFonts w:ascii="Times New Roman" w:hAnsi="Times New Roman" w:cs="Times New Roman"/>
          <w:sz w:val="24"/>
          <w:szCs w:val="24"/>
        </w:rPr>
        <w:fldChar w:fldCharType="separate"/>
      </w:r>
      <w:r w:rsidR="007A7B5F" w:rsidRPr="003A1F77">
        <w:rPr>
          <w:rFonts w:ascii="Times New Roman" w:hAnsi="Times New Roman" w:cs="Times New Roman"/>
          <w:noProof/>
          <w:sz w:val="24"/>
          <w:szCs w:val="24"/>
        </w:rPr>
        <w:t>(Haberl et al., 2007)</w:t>
      </w:r>
      <w:r w:rsidR="007A7B5F">
        <w:rPr>
          <w:rFonts w:ascii="Times New Roman" w:hAnsi="Times New Roman" w:cs="Times New Roman"/>
          <w:sz w:val="24"/>
          <w:szCs w:val="24"/>
        </w:rPr>
        <w:fldChar w:fldCharType="end"/>
      </w:r>
      <w:r w:rsidR="007A7B5F">
        <w:rPr>
          <w:rFonts w:ascii="Times New Roman" w:hAnsi="Times New Roman" w:cs="Times New Roman"/>
          <w:sz w:val="24"/>
          <w:szCs w:val="24"/>
        </w:rPr>
        <w:t xml:space="preserve">. NPP represents the amount of atmospheric carbon fixed by plants and accumulated as biomass </w:t>
      </w:r>
      <w:r w:rsidR="007A7B5F">
        <w:rPr>
          <w:rFonts w:ascii="Times New Roman" w:hAnsi="Times New Roman" w:cs="Times New Roman"/>
          <w:sz w:val="24"/>
          <w:szCs w:val="24"/>
        </w:rPr>
        <w:fldChar w:fldCharType="begin" w:fldLock="1"/>
      </w:r>
      <w:r w:rsidR="007A7B5F">
        <w:rPr>
          <w:rFonts w:ascii="Times New Roman" w:hAnsi="Times New Roman" w:cs="Times New Roman"/>
          <w:sz w:val="24"/>
          <w:szCs w:val="24"/>
        </w:rPr>
        <w:instrText>ADDIN CSL_CITATION {"citationItems":[{"id":"ITEM-1","itemData":{"DOI":"10.1016/j.scitotenv.2016.09.033","ISSN":"18791026","PMID":"27623528","abstract":"Carbon sequestration by terrestrial ecosystems can offset emissions and thereby offers an alternative way of achieving the target of reducing the concentration of CO2 in the atmosphere. Net primary production (NPP) is the first step in the sequestration of carbon by terrestrial ecosystems. This study quantifies moderate-resolution imaging spectroradiometer (MODIS) NPP from 2000 to 2014 at the country level along with its response to drought and land cover change. Our results indicate that the combined NPP for 53 countries represents &gt; 90% of global NPP. From 2000 to 2014, 29 of these 53 countries had increasing NPP trends, most notably the Central African Republic (23 g C/m2/y). The top three and top 12 countries accounted for 30% and 60% of total global NPP, respectively, whereas the mean national NPP per unit area in the countries with the 12 lowest values was only around ~ 300 g C/m2/y - the exception to this was Brazil, which had an NPP of 850 g C/m2/y. Large areas of Russia, Argentina, Peru and several countries in southeast Asia showed a marked decrease in NPP (~ 15 g C/m2/y). About 37% of the NPP decrease was caused by drought while ~ 55% of NPP variability was attributed to changes in water availability. Land cover change explained about 20% of the NPP variability. Our findings support the idea that government policies should aim primarily to improve water management in drought-afflicted countries; land use/land cover change policy could also be used as an alternative method of increasing NPP.","author":[{"dropping-particle":"","family":"Peng","given":"Dailiang","non-dropping-particle":"","parse-names":false,"suffix":""},{"dropping-particle":"","family":"Zhang","given":"Bing","non-dropping-particle":"","parse-names":false,"suffix":""},{"dropping-particle":"","family":"Wu","given":"Chaoyang","non-dropping-particle":"","parse-names":false,"suffix":""},{"dropping-particle":"","family":"Huete","given":"Alfredo R.","non-dropping-particle":"","parse-names":false,"suffix":""},{"dropping-particle":"","family":"Gonsamo","given":"Alemu","non-dropping-particle":"","parse-names":false,"suffix":""},{"dropping-particle":"","family":"Lei","given":"Liping","non-dropping-particle":"","parse-names":false,"suffix":""},{"dropping-particle":"","family":"Ponce-Campos","given":"Guillermo E.","non-dropping-particle":"","parse-names":false,"suffix":""},{"dropping-particle":"","family":"Liu","given":"Xinjie","non-dropping-particle":"","parse-names":false,"suffix":""},{"dropping-particle":"","family":"Wu","given":"Yanhong","non-dropping-particle":"","parse-names":false,"suffix":""}],"container-title":"Science of the Total Environment","id":"ITEM-1","issued":{"date-parts":[["2017"]]},"page":"65-77","publisher":"Elsevier B.V.","title":"Country-level net primary production distribution and response to drought and land cover change","type":"article-journal","volume":"574"},"uris":["http://www.mendeley.com/documents/?uuid=714fb731-e2ae-4fe2-9ebf-a5afc0827065"]}],"mendeley":{"formattedCitation":"(Peng et al., 2017)","plainTextFormattedCitation":"(Peng et al., 2017)","previouslyFormattedCitation":"(Peng et al., 2017)"},"properties":{"noteIndex":0},"schema":"https://github.com/citation-style-language/schema/raw/master/csl-citation.json"}</w:instrText>
      </w:r>
      <w:r w:rsidR="007A7B5F">
        <w:rPr>
          <w:rFonts w:ascii="Times New Roman" w:hAnsi="Times New Roman" w:cs="Times New Roman"/>
          <w:sz w:val="24"/>
          <w:szCs w:val="24"/>
        </w:rPr>
        <w:fldChar w:fldCharType="separate"/>
      </w:r>
      <w:r w:rsidR="007A7B5F" w:rsidRPr="003B03C1">
        <w:rPr>
          <w:rFonts w:ascii="Times New Roman" w:hAnsi="Times New Roman" w:cs="Times New Roman"/>
          <w:noProof/>
          <w:sz w:val="24"/>
          <w:szCs w:val="24"/>
        </w:rPr>
        <w:t>(Peng et al., 2017)</w:t>
      </w:r>
      <w:r w:rsidR="007A7B5F">
        <w:rPr>
          <w:rFonts w:ascii="Times New Roman" w:hAnsi="Times New Roman" w:cs="Times New Roman"/>
          <w:sz w:val="24"/>
          <w:szCs w:val="24"/>
        </w:rPr>
        <w:fldChar w:fldCharType="end"/>
      </w:r>
      <w:r w:rsidR="007A7B5F">
        <w:rPr>
          <w:rFonts w:ascii="Times New Roman" w:hAnsi="Times New Roman" w:cs="Times New Roman"/>
          <w:sz w:val="24"/>
          <w:szCs w:val="24"/>
        </w:rPr>
        <w:t>. In other words, NPP is the rate at which an ecosystem accumulates energy minus the energy i</w:t>
      </w:r>
      <w:r w:rsidR="00DC47B1">
        <w:rPr>
          <w:rFonts w:ascii="Times New Roman" w:hAnsi="Times New Roman" w:cs="Times New Roman"/>
          <w:sz w:val="24"/>
          <w:szCs w:val="24"/>
        </w:rPr>
        <w:t>t</w:t>
      </w:r>
      <w:r w:rsidR="007A7B5F">
        <w:rPr>
          <w:rFonts w:ascii="Times New Roman" w:hAnsi="Times New Roman" w:cs="Times New Roman"/>
          <w:sz w:val="24"/>
          <w:szCs w:val="24"/>
        </w:rPr>
        <w:t xml:space="preserve"> uses for the process of respiration </w:t>
      </w:r>
      <w:r w:rsidR="007A7B5F">
        <w:rPr>
          <w:rFonts w:ascii="Times New Roman" w:hAnsi="Times New Roman" w:cs="Times New Roman"/>
          <w:sz w:val="24"/>
          <w:szCs w:val="24"/>
        </w:rPr>
        <w:fldChar w:fldCharType="begin" w:fldLock="1"/>
      </w:r>
      <w:r w:rsidR="007A7B5F">
        <w:rPr>
          <w:rFonts w:ascii="Times New Roman" w:hAnsi="Times New Roman" w:cs="Times New Roman"/>
          <w:sz w:val="24"/>
          <w:szCs w:val="24"/>
        </w:rPr>
        <w:instrText>ADDIN CSL_CITATION {"citationItems":[{"id":"ITEM-1","itemData":{"DOI":"10.1186/1750-0680-8-9","ISSN":"17500680","abstract":"Background: The objective of this study was to demonstrate a new, cost-effective method to define the sustainable amounts of harvested wood products in Southeast Asian countries case studies, while avoiding degradation (net loss) of total wood carbon stocks. Satellite remote sensing from the MODIS sensor was used in the CASA (Carnegie Ames Stanford Approach) carbon cycle model to map forest production for the Southeast Asia region from 2000 to 2010. These CASA model results have been designed to be spatially detailed enough to support carbon cycle assessments in different wooded land cover classes, e.g., open woodlands, wetlands, and forest areas.Results: The country with the highest average forest net primary production (NPP greater than 950 g C m-2 yr-1) over the period was the Philippines, followed by Malaysia and Indonesia. Myanmar and Vietnam had the lowest average forest NPP among the region's countries at less than 815 g C m-2 yr-1. Case studies from throughout the Southeast Asia region for the maximum harvested wood products amount that could be sustainably extracted per year were generated using the CASA model NPP predictions.Conclusions: The method of using CASA model's estimated annual change in forest carbon on a yearly basis can conservatively define the upper limit for the amount of harvested wood products that can be removed and still avoid degradation (net loss) of the total wood carbon stock over that same time period. © 2013 Potter et al.; licensee BioMed Central Ltd.","author":[{"dropping-particle":"","family":"Potter","given":"Christopher","non-dropping-particle":"","parse-names":false,"suffix":""},{"dropping-particle":"","family":"Klooster","given":"Steven","non-dropping-particle":"","parse-names":false,"suffix":""},{"dropping-particle":"","family":"Genovese","given":"Vanessa","non-dropping-particle":"","parse-names":false,"suffix":""},{"dropping-particle":"","family":"Hiatt","given":"Cyrus","non-dropping-particle":"","parse-names":false,"suffix":""}],"container-title":"Carbon Balance and Management","id":"ITEM-1","issue":"1","issued":{"date-parts":[["2013"]]},"page":"1","publisher":"Carbon Balance and Management","title":"Forest production predicted from satellite image analysis for the Southeast Asia region","type":"article-journal","volume":"8"},"uris":["http://www.mendeley.com/documents/?uuid=5c55a038-82e7-41fe-a631-0026eccdb734"]}],"mendeley":{"formattedCitation":"(Potter et al., 2013)","plainTextFormattedCitation":"(Potter et al., 2013)","previouslyFormattedCitation":"(Potter et al., 2013)"},"properties":{"noteIndex":0},"schema":"https://github.com/citation-style-language/schema/raw/master/csl-citation.json"}</w:instrText>
      </w:r>
      <w:r w:rsidR="007A7B5F">
        <w:rPr>
          <w:rFonts w:ascii="Times New Roman" w:hAnsi="Times New Roman" w:cs="Times New Roman"/>
          <w:sz w:val="24"/>
          <w:szCs w:val="24"/>
        </w:rPr>
        <w:fldChar w:fldCharType="separate"/>
      </w:r>
      <w:r w:rsidR="007A7B5F" w:rsidRPr="003B03C1">
        <w:rPr>
          <w:rFonts w:ascii="Times New Roman" w:hAnsi="Times New Roman" w:cs="Times New Roman"/>
          <w:noProof/>
          <w:sz w:val="24"/>
          <w:szCs w:val="24"/>
        </w:rPr>
        <w:t>(Potter et al., 2013)</w:t>
      </w:r>
      <w:r w:rsidR="007A7B5F">
        <w:rPr>
          <w:rFonts w:ascii="Times New Roman" w:hAnsi="Times New Roman" w:cs="Times New Roman"/>
          <w:sz w:val="24"/>
          <w:szCs w:val="24"/>
        </w:rPr>
        <w:fldChar w:fldCharType="end"/>
      </w:r>
      <w:r w:rsidR="007A7B5F">
        <w:rPr>
          <w:rFonts w:ascii="Times New Roman" w:hAnsi="Times New Roman" w:cs="Times New Roman"/>
          <w:sz w:val="24"/>
          <w:szCs w:val="24"/>
        </w:rPr>
        <w:t xml:space="preserve">. We also cross-validated the NPP results with Myanmar countrywide NPP data </w:t>
      </w:r>
      <w:r w:rsidR="007A7B5F">
        <w:rPr>
          <w:rFonts w:ascii="Times New Roman" w:hAnsi="Times New Roman" w:cs="Times New Roman"/>
          <w:sz w:val="24"/>
          <w:szCs w:val="24"/>
        </w:rPr>
        <w:fldChar w:fldCharType="begin" w:fldLock="1"/>
      </w:r>
      <w:r w:rsidR="007A7B5F">
        <w:rPr>
          <w:rFonts w:ascii="Times New Roman" w:hAnsi="Times New Roman" w:cs="Times New Roman"/>
          <w:sz w:val="24"/>
          <w:szCs w:val="24"/>
        </w:rPr>
        <w:instrText>ADDIN CSL_CITATION {"citationItems":[{"id":"ITEM-1","itemData":{"DOI":"10.1007/978-3-030-03362-0_3","ISBN":"9783030033620","abstract":"Myanmar is rich in forest resources. Deforestation and forest degradation in Myanmar have recently attracted much attention worldwide. This Chapter explores spatio-temporal patterns of deforestation and forest degradation, and assesses forest carbon release in Myanmar between 2000 and 2010 using Moderate Resolution Imaging Spectroradiometer (MODIS) satellite imagery. Results suggest that the total deforestation area during the study period was 82,426 km2 with an annual deforestation rate of 2.07%. The total forest degradation area was 85.5 km2 with an annual degradation rate of 0.002%. Evergreen broadleaf forests had the largest deforestation area, and the highest deforestation rate was found for deciduous broadleaf forests. Evergreen needleleaf forests had the highest degradation rate, and mixed forests had the largest degradation area. The total forest carbon release was 18.5 million tons with an annual rate of 0.45%. Mixed forests released the largest amount of carbon, and evergreen needleleaf forests had the highest carbon release rate. No carbon sequestration has been found for any type of forest in this study.","author":[{"dropping-particle":"","family":"Wang","given":"Chuyuan","non-dropping-particle":"","parse-names":false,"suffix":""},{"dropping-particle":"","family":"Myint","given":"Soe W.","non-dropping-particle":"","parse-names":false,"suffix":""},{"dropping-particle":"","family":"Hutchins","given":"Maya","non-dropping-particle":"","parse-names":false,"suffix":""}],"container-title":"Environmental Change in the Himalayan Region: Twelve Case Studies","id":"ITEM-1","issued":{"date-parts":[["2019"]]},"number-of-pages":"47-64","publisher":"Springer","title":"The assessment of deforestation, forest degradation, and carbon release in myanmar 2000-2010","type":"book"},"uris":["http://www.mendeley.com/documents/?uuid=2758dd55-2bac-4594-a8d0-5b4047f1f5ea"]}],"mendeley":{"formattedCitation":"(Wang et al., 2019)","plainTextFormattedCitation":"(Wang et al., 2019)","previouslyFormattedCitation":"(Wang et al., 2019)"},"properties":{"noteIndex":0},"schema":"https://github.com/citation-style-language/schema/raw/master/csl-citation.json"}</w:instrText>
      </w:r>
      <w:r w:rsidR="007A7B5F">
        <w:rPr>
          <w:rFonts w:ascii="Times New Roman" w:hAnsi="Times New Roman" w:cs="Times New Roman"/>
          <w:sz w:val="24"/>
          <w:szCs w:val="24"/>
        </w:rPr>
        <w:fldChar w:fldCharType="separate"/>
      </w:r>
      <w:r w:rsidR="007A7B5F" w:rsidRPr="008A66F7">
        <w:rPr>
          <w:rFonts w:ascii="Times New Roman" w:hAnsi="Times New Roman" w:cs="Times New Roman"/>
          <w:noProof/>
          <w:sz w:val="24"/>
          <w:szCs w:val="24"/>
        </w:rPr>
        <w:t>(Wang et al., 2019)</w:t>
      </w:r>
      <w:r w:rsidR="007A7B5F">
        <w:rPr>
          <w:rFonts w:ascii="Times New Roman" w:hAnsi="Times New Roman" w:cs="Times New Roman"/>
          <w:sz w:val="24"/>
          <w:szCs w:val="24"/>
        </w:rPr>
        <w:fldChar w:fldCharType="end"/>
      </w:r>
      <w:r w:rsidR="007A7B5F">
        <w:rPr>
          <w:rFonts w:ascii="Times New Roman" w:hAnsi="Times New Roman" w:cs="Times New Roman"/>
          <w:sz w:val="24"/>
          <w:szCs w:val="24"/>
        </w:rPr>
        <w:t xml:space="preserve">. For more information about the use the Earth Engine public geospatial data </w:t>
      </w:r>
      <w:r w:rsidR="006B3F60">
        <w:rPr>
          <w:rFonts w:ascii="Times New Roman" w:hAnsi="Times New Roman" w:cs="Times New Roman"/>
          <w:sz w:val="24"/>
          <w:szCs w:val="24"/>
        </w:rPr>
        <w:t>catalogue</w:t>
      </w:r>
      <w:r w:rsidR="007A7B5F">
        <w:rPr>
          <w:rFonts w:ascii="Times New Roman" w:hAnsi="Times New Roman" w:cs="Times New Roman"/>
          <w:sz w:val="24"/>
          <w:szCs w:val="24"/>
        </w:rPr>
        <w:t xml:space="preserve">, see </w:t>
      </w:r>
      <w:r w:rsidR="007A7B5F">
        <w:rPr>
          <w:rFonts w:ascii="Times New Roman" w:hAnsi="Times New Roman" w:cs="Times New Roman"/>
          <w:sz w:val="24"/>
          <w:szCs w:val="24"/>
        </w:rPr>
        <w:fldChar w:fldCharType="begin" w:fldLock="1"/>
      </w:r>
      <w:r w:rsidR="007A7B5F">
        <w:rPr>
          <w:rFonts w:ascii="Times New Roman" w:hAnsi="Times New Roman" w:cs="Times New Roman"/>
          <w:sz w:val="24"/>
          <w:szCs w:val="24"/>
        </w:rPr>
        <w:instrText>ADDIN CSL_CITATION {"citationItems":[{"id":"ITEM-1","itemData":{"DOI":"10.1016/j.rse.2017.06.031","ISSN":"00344257","abstract":"Google Earth Engine is a cloud-based platform for planetary-scale geospatial analysis that brings Google's massive computational capabilities to bear on a variety of high-impact societal issues including deforestation, drought, disaster, disease, food security, water management, climate monitoring and environmental protection. It is unique in the field as an integrated platform designed to empower not only traditional remote sensing scientists, but also a much wider audience that lacks the technical capacity needed to utilize traditional supercomputers or large-scale commodity cloud computing resources.","author":[{"dropping-particle":"","family":"Gorelick","given":"Noel","non-dropping-particle":"","parse-names":false,"suffix":""},{"dropping-particle":"","family":"Hancher","given":"Matt","non-dropping-particle":"","parse-names":false,"suffix":""},{"dropping-particle":"","family":"Dixon","given":"Mike","non-dropping-particle":"","parse-names":false,"suffix":""},{"dropping-particle":"","family":"Ilyushchenko","given":"Simon","non-dropping-particle":"","parse-names":false,"suffix":""},{"dropping-particle":"","family":"Thau","given":"David","non-dropping-particle":"","parse-names":false,"suffix":""},{"dropping-particle":"","family":"Moore","given":"Rebecca","non-dropping-particle":"","parse-names":false,"suffix":""}],"container-title":"Remote Sensing of Environment","id":"ITEM-1","issued":{"date-parts":[["2017"]]},"page":"18-27","publisher":"The Author(s)","title":"Google Earth Engine: Planetary-scale geospatial analysis for everyone","type":"article-journal","volume":"202"},"uris":["http://www.mendeley.com/documents/?uuid=dc4fb21c-87c9-4384-839b-ea4afa010b57"]}],"mendeley":{"formattedCitation":"(Gorelick et al., 2017)","plainTextFormattedCitation":"(Gorelick et al., 2017)","previouslyFormattedCitation":"(Gorelick et al., 2017)"},"properties":{"noteIndex":0},"schema":"https://github.com/citation-style-language/schema/raw/master/csl-citation.json"}</w:instrText>
      </w:r>
      <w:r w:rsidR="007A7B5F">
        <w:rPr>
          <w:rFonts w:ascii="Times New Roman" w:hAnsi="Times New Roman" w:cs="Times New Roman"/>
          <w:sz w:val="24"/>
          <w:szCs w:val="24"/>
        </w:rPr>
        <w:fldChar w:fldCharType="separate"/>
      </w:r>
      <w:r w:rsidR="007A7B5F" w:rsidRPr="002B37B4">
        <w:rPr>
          <w:rFonts w:ascii="Times New Roman" w:hAnsi="Times New Roman" w:cs="Times New Roman"/>
          <w:noProof/>
          <w:sz w:val="24"/>
          <w:szCs w:val="24"/>
        </w:rPr>
        <w:t>(Gorelick et al., 2017)</w:t>
      </w:r>
      <w:r w:rsidR="007A7B5F">
        <w:rPr>
          <w:rFonts w:ascii="Times New Roman" w:hAnsi="Times New Roman" w:cs="Times New Roman"/>
          <w:sz w:val="24"/>
          <w:szCs w:val="24"/>
        </w:rPr>
        <w:fldChar w:fldCharType="end"/>
      </w:r>
      <w:r w:rsidR="007A7B5F">
        <w:rPr>
          <w:rFonts w:ascii="Times New Roman" w:hAnsi="Times New Roman" w:cs="Times New Roman"/>
          <w:sz w:val="24"/>
          <w:szCs w:val="24"/>
        </w:rPr>
        <w:t>. At the final step, we calculate</w:t>
      </w:r>
      <w:r w:rsidR="00DC47B1">
        <w:rPr>
          <w:rFonts w:ascii="Times New Roman" w:hAnsi="Times New Roman" w:cs="Times New Roman"/>
          <w:sz w:val="24"/>
          <w:szCs w:val="24"/>
        </w:rPr>
        <w:t>d</w:t>
      </w:r>
      <w:r w:rsidR="007A7B5F">
        <w:rPr>
          <w:rFonts w:ascii="Times New Roman" w:hAnsi="Times New Roman" w:cs="Times New Roman"/>
          <w:sz w:val="24"/>
          <w:szCs w:val="24"/>
        </w:rPr>
        <w:t xml:space="preserve"> the total biogenic emissions</w:t>
      </w:r>
      <w:r w:rsidR="00DC47B1">
        <w:rPr>
          <w:rFonts w:ascii="Times New Roman" w:hAnsi="Times New Roman" w:cs="Times New Roman"/>
          <w:sz w:val="24"/>
          <w:szCs w:val="24"/>
        </w:rPr>
        <w:t>,</w:t>
      </w:r>
      <w:r w:rsidR="007A7B5F">
        <w:rPr>
          <w:rFonts w:ascii="Times New Roman" w:hAnsi="Times New Roman" w:cs="Times New Roman"/>
          <w:sz w:val="24"/>
          <w:szCs w:val="24"/>
        </w:rPr>
        <w:t xml:space="preserve"> using the following equation. </w:t>
      </w:r>
    </w:p>
    <w:p w14:paraId="1A1FCB16" w14:textId="3FA100C3" w:rsidR="00A92B6E" w:rsidRPr="00D63049" w:rsidRDefault="00A92B6E">
      <w:pPr>
        <w:ind w:firstLine="720"/>
        <w:rPr>
          <w:rFonts w:ascii="Times New Roman" w:hAnsi="Times New Roman" w:cs="Times New Roman"/>
        </w:rPr>
      </w:pPr>
      <m:oMath>
        <m:r>
          <w:rPr>
            <w:rFonts w:ascii="Cambria Math" w:hAnsi="Cambria Math" w:cs="Times New Roman"/>
          </w:rPr>
          <m:t>InE=const+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landuse</m:t>
            </m:r>
          </m:sub>
        </m:sSub>
        <m:r>
          <m:rPr>
            <m:sty m:val="p"/>
          </m:rPr>
          <w:rPr>
            <w:rFonts w:ascii="Cambria Math" w:hAnsi="Cambria Math" w:cs="Times New Roman"/>
          </w:rPr>
          <m:t>×</m:t>
        </m:r>
        <m:d>
          <m:dPr>
            <m:ctrlPr>
              <w:rPr>
                <w:rFonts w:ascii="Cambria Math" w:hAnsi="Cambria Math" w:cs="Times New Roman"/>
                <w:i/>
              </w:rPr>
            </m:ctrlPr>
          </m:dPr>
          <m:e>
            <m:r>
              <w:rPr>
                <w:rFonts w:ascii="Cambria Math" w:hAnsi="Cambria Math" w:cs="Times New Roman"/>
              </w:rPr>
              <m:t>landuse</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age</m:t>
            </m:r>
          </m:sub>
        </m:sSub>
        <m:r>
          <m:rPr>
            <m:sty m:val="p"/>
          </m:rPr>
          <w:rPr>
            <w:rFonts w:ascii="Cambria Math" w:hAnsi="Cambria Math" w:cs="Times New Roman"/>
          </w:rPr>
          <m:t>×</m:t>
        </m:r>
        <m:r>
          <w:rPr>
            <w:rFonts w:ascii="Cambria Math" w:hAnsi="Cambria Math" w:cs="Times New Roman"/>
          </w:rPr>
          <m:t>Age+</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NPP</m:t>
            </m:r>
          </m:sub>
        </m:sSub>
        <m:r>
          <m:rPr>
            <m:sty m:val="p"/>
          </m:rPr>
          <w:rPr>
            <w:rFonts w:ascii="Cambria Math" w:hAnsi="Cambria Math" w:cs="Times New Roman"/>
          </w:rPr>
          <m:t>×</m:t>
        </m:r>
        <m:r>
          <w:rPr>
            <w:rFonts w:ascii="Cambria Math" w:hAnsi="Cambria Math" w:cs="Times New Roman"/>
          </w:rPr>
          <m:t>In</m:t>
        </m:r>
        <m:d>
          <m:dPr>
            <m:ctrlPr>
              <w:rPr>
                <w:rFonts w:ascii="Cambria Math" w:hAnsi="Cambria Math" w:cs="Times New Roman"/>
                <w:i/>
              </w:rPr>
            </m:ctrlPr>
          </m:dPr>
          <m:e>
            <m:r>
              <w:rPr>
                <w:rFonts w:ascii="Cambria Math" w:hAnsi="Cambria Math" w:cs="Times New Roman"/>
              </w:rPr>
              <m:t>NPP</m:t>
            </m:r>
          </m:e>
        </m:d>
      </m:oMath>
      <w:r w:rsidR="00833122">
        <w:rPr>
          <w:rFonts w:ascii="Times New Roman" w:hAnsi="Times New Roman" w:cs="Times New Roman"/>
        </w:rPr>
        <w:t>---------------(1)</w:t>
      </w:r>
    </w:p>
    <w:p w14:paraId="5AAE2F6A" w14:textId="7D2139BA" w:rsidR="00286D8D" w:rsidRPr="00A42F81" w:rsidRDefault="0059761C" w:rsidP="00D63049">
      <w:pPr>
        <w:rPr>
          <w:rFonts w:ascii="Times New Roman" w:hAnsi="Times New Roman" w:cs="Times New Roman"/>
          <w:sz w:val="24"/>
          <w:szCs w:val="24"/>
        </w:rPr>
      </w:pPr>
      <w:r>
        <w:rPr>
          <w:rFonts w:ascii="Times New Roman" w:hAnsi="Times New Roman" w:cs="Times New Roman"/>
          <w:sz w:val="24"/>
          <w:szCs w:val="24"/>
        </w:rPr>
        <w:t>Where E</w:t>
      </w:r>
      <w:r w:rsidR="006C2076">
        <w:rPr>
          <w:rFonts w:ascii="Times New Roman" w:hAnsi="Times New Roman" w:cs="Times New Roman"/>
          <w:sz w:val="24"/>
          <w:szCs w:val="24"/>
        </w:rPr>
        <w:t xml:space="preserve"> indicates </w:t>
      </w:r>
      <w:r w:rsidR="00DC47B1">
        <w:rPr>
          <w:rFonts w:ascii="Times New Roman" w:hAnsi="Times New Roman" w:cs="Times New Roman"/>
          <w:sz w:val="24"/>
          <w:szCs w:val="24"/>
        </w:rPr>
        <w:t xml:space="preserve">the </w:t>
      </w:r>
      <w:r>
        <w:rPr>
          <w:rFonts w:ascii="Times New Roman" w:hAnsi="Times New Roman" w:cs="Times New Roman"/>
          <w:sz w:val="24"/>
          <w:szCs w:val="24"/>
        </w:rPr>
        <w:t>final estimated amount of emissions, land use refers to the total flooded area of</w:t>
      </w:r>
      <w:r w:rsidR="00DC47B1">
        <w:rPr>
          <w:rFonts w:ascii="Times New Roman" w:hAnsi="Times New Roman" w:cs="Times New Roman"/>
          <w:sz w:val="24"/>
          <w:szCs w:val="24"/>
        </w:rPr>
        <w:t xml:space="preserve"> the</w:t>
      </w:r>
      <w:r>
        <w:rPr>
          <w:rFonts w:ascii="Times New Roman" w:hAnsi="Times New Roman" w:cs="Times New Roman"/>
          <w:sz w:val="24"/>
          <w:szCs w:val="24"/>
        </w:rPr>
        <w:t xml:space="preserve"> reservoir, age is the current </w:t>
      </w:r>
      <w:r w:rsidR="00881C52">
        <w:rPr>
          <w:rFonts w:ascii="Times New Roman" w:hAnsi="Times New Roman" w:cs="Times New Roman"/>
          <w:sz w:val="24"/>
          <w:szCs w:val="24"/>
        </w:rPr>
        <w:t>lifetime</w:t>
      </w:r>
      <w:r>
        <w:rPr>
          <w:rFonts w:ascii="Times New Roman" w:hAnsi="Times New Roman" w:cs="Times New Roman"/>
          <w:sz w:val="24"/>
          <w:szCs w:val="24"/>
        </w:rPr>
        <w:t xml:space="preserve"> of the plant since construction and NPP is the net primary production.</w:t>
      </w:r>
      <w:r w:rsidR="00881C52">
        <w:rPr>
          <w:rFonts w:ascii="Times New Roman" w:hAnsi="Times New Roman" w:cs="Times New Roman"/>
          <w:sz w:val="24"/>
          <w:szCs w:val="24"/>
        </w:rPr>
        <w:t xml:space="preserve"> The equation allows to predict CO</w:t>
      </w:r>
      <w:r w:rsidR="00881C52" w:rsidRPr="00A35AF4">
        <w:rPr>
          <w:rFonts w:ascii="Times New Roman" w:hAnsi="Times New Roman" w:cs="Times New Roman"/>
          <w:sz w:val="24"/>
          <w:szCs w:val="24"/>
          <w:vertAlign w:val="subscript"/>
        </w:rPr>
        <w:t>2</w:t>
      </w:r>
      <w:r w:rsidR="00881C52">
        <w:rPr>
          <w:rFonts w:ascii="Times New Roman" w:hAnsi="Times New Roman" w:cs="Times New Roman"/>
          <w:sz w:val="24"/>
          <w:szCs w:val="24"/>
        </w:rPr>
        <w:t xml:space="preserve"> and CH</w:t>
      </w:r>
      <w:r w:rsidR="00881C52" w:rsidRPr="00A35AF4">
        <w:rPr>
          <w:rFonts w:ascii="Times New Roman" w:hAnsi="Times New Roman" w:cs="Times New Roman"/>
          <w:sz w:val="24"/>
          <w:szCs w:val="24"/>
          <w:vertAlign w:val="subscript"/>
        </w:rPr>
        <w:t>4</w:t>
      </w:r>
      <w:r w:rsidR="00881C52">
        <w:rPr>
          <w:rFonts w:ascii="Times New Roman" w:hAnsi="Times New Roman" w:cs="Times New Roman"/>
          <w:sz w:val="24"/>
          <w:szCs w:val="24"/>
        </w:rPr>
        <w:t xml:space="preserve"> emission factors by considering the logarithms of land use, NPP and age of the powerplants. For more details about the r</w:t>
      </w:r>
      <w:r w:rsidR="00881C52" w:rsidRPr="00DB6465">
        <w:rPr>
          <w:rFonts w:ascii="Times New Roman" w:hAnsi="Times New Roman" w:cs="Times New Roman"/>
          <w:sz w:val="24"/>
          <w:szCs w:val="24"/>
        </w:rPr>
        <w:t>egression coefficients and statistics parameters</w:t>
      </w:r>
      <w:r w:rsidR="00881C52">
        <w:rPr>
          <w:rFonts w:ascii="Times New Roman" w:hAnsi="Times New Roman" w:cs="Times New Roman"/>
          <w:sz w:val="24"/>
          <w:szCs w:val="24"/>
        </w:rPr>
        <w:t xml:space="preserve">, refer to </w:t>
      </w:r>
      <w:r w:rsidR="00881C52" w:rsidRPr="00FD7D0D">
        <w:rPr>
          <w:rFonts w:ascii="Times New Roman" w:hAnsi="Times New Roman" w:cs="Times New Roman"/>
          <w:sz w:val="24"/>
          <w:szCs w:val="24"/>
        </w:rPr>
        <w:fldChar w:fldCharType="begin" w:fldLock="1"/>
      </w:r>
      <w:r w:rsidR="00881C52" w:rsidRPr="00FD7D0D">
        <w:rPr>
          <w:rFonts w:ascii="Times New Roman" w:hAnsi="Times New Roman" w:cs="Times New Roman"/>
          <w:sz w:val="24"/>
          <w:szCs w:val="24"/>
        </w:rPr>
        <w:instrText>ADDIN CSL_CITATION {"citationItems":[{"id":"ITEM-1","itemData":{"DOI":"10.1021/es401820p","ISSN":"0013936X","abstract":"The ability of hydropower to contribute to climate change mitigation is sometimes questioned, citing emissions of methane and carbon dioxide resulting from the degradation of biogenic carbon in hydropower reservoirs. These emissions are, however, not always addressed in life cycle assessment, leading to a bias in technology comparisons, and often misunderstood. The objective of this paper is to review and analyze the generation of greenhouse gas emissions from reservoirs for the purpose of technology assessment, relating established emission measurements to power generation. A literature review, data collection, and statistical analysis of methane and CO2 emissions are conducted. In a sample of 82 measurements, methane emissions per kWh hydropower generated are log-normally distributed, ranging from micrograms to 10s of kg. A multivariate regression analysis shows that the reservoir area per kWh electricity is the most important explanatory variable. Methane emissions flux per reservoir area are correlated with the natural net primary production of the area, the age of the power plant, and the inclusion of bubbling emissions in the measurement. Even together, these factors fail to explain most of the variation in the methane flux. The global average emissions from hydropower are estimated to be 85 gCO2/kWh and 3 gCH4/kWh, with a multiplicative uncertainty factor of 2. GHG emissions from hydropower can be largely avoided by ceasing to build hydropower plants with high land use per unit of electricity generated.","author":[{"dropping-particle":"","family":"Hertwich","given":"Edgar G.","non-dropping-particle":"","parse-names":false,"suffix":""}],"container-title":"Environmental Science and Technology","id":"ITEM-1","issued":{"date-parts":[["2013"]]},"title":"Addressing biogenic greenhouse gas emissions from hydropower in LCA","type":"article-journal"},"uris":["http://www.mendeley.com/documents/?uuid=0c8046ac-53b4-4ee6-b77b-ec3e1d6ba276"]}],"mendeley":{"formattedCitation":"(Hertwich, 2013)","manualFormatting":"Hertwich (2013)","plainTextFormattedCitation":"(Hertwich, 2013)","previouslyFormattedCitation":"(Hertwich, 2013)"},"properties":{"noteIndex":0},"schema":"https://github.com/citation-style-language/schema/raw/master/csl-citation.json"}</w:instrText>
      </w:r>
      <w:r w:rsidR="00881C52" w:rsidRPr="00FD7D0D">
        <w:rPr>
          <w:rFonts w:ascii="Times New Roman" w:hAnsi="Times New Roman" w:cs="Times New Roman"/>
          <w:sz w:val="24"/>
          <w:szCs w:val="24"/>
        </w:rPr>
        <w:fldChar w:fldCharType="separate"/>
      </w:r>
      <w:r w:rsidR="00881C52" w:rsidRPr="00FD7D0D">
        <w:rPr>
          <w:rFonts w:ascii="Times New Roman" w:hAnsi="Times New Roman" w:cs="Times New Roman"/>
          <w:noProof/>
          <w:sz w:val="24"/>
          <w:szCs w:val="24"/>
        </w:rPr>
        <w:t>Hertwich (2013)</w:t>
      </w:r>
      <w:r w:rsidR="00881C52" w:rsidRPr="00FD7D0D">
        <w:rPr>
          <w:rFonts w:ascii="Times New Roman" w:hAnsi="Times New Roman" w:cs="Times New Roman"/>
          <w:sz w:val="24"/>
          <w:szCs w:val="24"/>
        </w:rPr>
        <w:fldChar w:fldCharType="end"/>
      </w:r>
      <w:r w:rsidR="00881C52">
        <w:rPr>
          <w:rFonts w:ascii="Times New Roman" w:hAnsi="Times New Roman" w:cs="Times New Roman"/>
          <w:sz w:val="24"/>
          <w:szCs w:val="24"/>
        </w:rPr>
        <w:t xml:space="preserve">. </w:t>
      </w:r>
      <w:r w:rsidR="00881C52" w:rsidRPr="00087A87">
        <w:rPr>
          <w:rFonts w:ascii="Times New Roman" w:hAnsi="Times New Roman" w:cs="Times New Roman"/>
          <w:sz w:val="24"/>
          <w:szCs w:val="24"/>
        </w:rPr>
        <w:t>CO</w:t>
      </w:r>
      <w:r w:rsidR="00881C52" w:rsidRPr="00087A87">
        <w:rPr>
          <w:rFonts w:ascii="Times New Roman" w:hAnsi="Times New Roman" w:cs="Times New Roman"/>
          <w:sz w:val="24"/>
          <w:szCs w:val="24"/>
          <w:vertAlign w:val="subscript"/>
        </w:rPr>
        <w:t>2</w:t>
      </w:r>
      <w:r w:rsidR="00881C52" w:rsidRPr="00087A87">
        <w:rPr>
          <w:rFonts w:ascii="Times New Roman" w:hAnsi="Times New Roman" w:cs="Times New Roman"/>
          <w:sz w:val="24"/>
          <w:szCs w:val="24"/>
        </w:rPr>
        <w:t xml:space="preserve"> equivalent was calculated </w:t>
      </w:r>
      <w:r w:rsidR="00881C52">
        <w:rPr>
          <w:rFonts w:ascii="Times New Roman" w:hAnsi="Times New Roman" w:cs="Times New Roman"/>
          <w:sz w:val="24"/>
          <w:szCs w:val="24"/>
        </w:rPr>
        <w:t xml:space="preserve">on </w:t>
      </w:r>
      <w:r w:rsidR="00881C52" w:rsidRPr="00087A87">
        <w:rPr>
          <w:rFonts w:ascii="Times New Roman" w:hAnsi="Times New Roman" w:cs="Times New Roman"/>
          <w:sz w:val="24"/>
          <w:szCs w:val="24"/>
        </w:rPr>
        <w:t>the</w:t>
      </w:r>
      <w:r w:rsidR="00881C52">
        <w:rPr>
          <w:rFonts w:ascii="Times New Roman" w:hAnsi="Times New Roman" w:cs="Times New Roman"/>
          <w:sz w:val="24"/>
          <w:szCs w:val="24"/>
        </w:rPr>
        <w:t xml:space="preserve"> basis of</w:t>
      </w:r>
      <w:r w:rsidR="00881C52" w:rsidRPr="00087A87">
        <w:rPr>
          <w:rFonts w:ascii="Times New Roman" w:hAnsi="Times New Roman" w:cs="Times New Roman"/>
          <w:sz w:val="24"/>
          <w:szCs w:val="24"/>
        </w:rPr>
        <w:t xml:space="preserve"> IPCC 2013 100-year method</w:t>
      </w:r>
      <w:r w:rsidR="00881C52">
        <w:rPr>
          <w:rFonts w:ascii="Times New Roman" w:hAnsi="Times New Roman" w:cs="Times New Roman"/>
          <w:sz w:val="24"/>
          <w:szCs w:val="24"/>
        </w:rPr>
        <w:t xml:space="preserve"> </w:t>
      </w:r>
      <w:r w:rsidR="00881C52">
        <w:rPr>
          <w:rFonts w:ascii="Times New Roman" w:hAnsi="Times New Roman" w:cs="Times New Roman"/>
          <w:sz w:val="24"/>
          <w:szCs w:val="24"/>
        </w:rPr>
        <w:fldChar w:fldCharType="begin" w:fldLock="1"/>
      </w:r>
      <w:r w:rsidR="00881C52">
        <w:rPr>
          <w:rFonts w:ascii="Times New Roman" w:hAnsi="Times New Roman" w:cs="Times New Roman"/>
          <w:sz w:val="24"/>
          <w:szCs w:val="24"/>
        </w:rPr>
        <w:instrText>ADDIN CSL_CITATION {"citationItems":[{"id":"ITEM-1","itemData":{"DOI":"10.1038/ngeo1211","ISSN":"17520894","abstract":"Hydroelectric reservoirs cover an area of 3.4× 105 km 2 and comprise about 20% of all reservoirs. In addition, they contain large stores of formerly terrestrial organic carbon. Significant amounts of greenhouse gases are emitted, especially in the early years following reservoir creation, but the global extent of these emissions is poorly known. Previous estimates of emissions from all types of reservoir indicate that these human-made systems emit 321Tg of carbon per year (ref.). Here we assess the emissions of carbon dioxide and methane from hydroelectric reservoirs, on the basis of data from 85 globally distributed hydroelectric reservoirs that account for 20% of the global area of these systems. We relate the emissions to reservoir age, location biome, morphometric features and chemical status. We estimate that hydroelectric reservoirs emit about 48TgC as CO 2 and 3TgC as CH 4, corresponding to 4% of global carbon emissions from inland waters. Our estimates are smaller than previous estimates on the basis of more limited data. Carbon emissions are correlated to reservoir age and latitude, with the highest emission rates from the tropical Amazon region. We conclude that future emissions will be highly dependent on the geographic location of new hydroelectric reservoirs. © 2011 Macmillan Publishers Limited. All rights reserved.","author":[{"dropping-particle":"","family":"Barros","given":"Nathan","non-dropping-particle":"","parse-names":false,"suffix":""},{"dropping-particle":"","family":"Cole","given":"Jonathan J.","non-dropping-particle":"","parse-names":false,"suffix":""},{"dropping-particle":"","family":"Tranvik","given":"Lars J.","non-dropping-particle":"","parse-names":false,"suffix":""},{"dropping-particle":"","family":"Prairie","given":"Yves T.","non-dropping-particle":"","parse-names":false,"suffix":""},{"dropping-particle":"","family":"Bastviken","given":"David","non-dropping-particle":"","parse-names":false,"suffix":""},{"dropping-particle":"","family":"Huszar","given":"Vera L.M.","non-dropping-particle":"","parse-names":false,"suffix":""},{"dropping-particle":"","family":"Giorgio","given":"Paul","non-dropping-particle":"Del","parse-names":false,"suffix":""},{"dropping-particle":"","family":"Roland","given":"Fábio","non-dropping-particle":"","parse-names":false,"suffix":""}],"container-title":"Nature Geoscience","id":"ITEM-1","issue":"9","issued":{"date-parts":[["2011"]]},"page":"593-596","publisher":"Nature Publishing Group","title":"Carbon emission from hydroelectric reservoirs linked to reservoir age and latitude","type":"article-journal","volume":"4"},"uris":["http://www.mendeley.com/documents/?uuid=ca344d88-ed8b-4002-9f9f-742028bb3731"]}],"mendeley":{"formattedCitation":"(Barros et al., 2011)","plainTextFormattedCitation":"(Barros et al., 2011)","previouslyFormattedCitation":"(Barros et al., 2011)"},"properties":{"noteIndex":0},"schema":"https://github.com/citation-style-language/schema/raw/master/csl-citation.json"}</w:instrText>
      </w:r>
      <w:r w:rsidR="00881C52">
        <w:rPr>
          <w:rFonts w:ascii="Times New Roman" w:hAnsi="Times New Roman" w:cs="Times New Roman"/>
          <w:sz w:val="24"/>
          <w:szCs w:val="24"/>
        </w:rPr>
        <w:fldChar w:fldCharType="separate"/>
      </w:r>
      <w:r w:rsidR="00881C52" w:rsidRPr="00B51DC3">
        <w:rPr>
          <w:rFonts w:ascii="Times New Roman" w:hAnsi="Times New Roman" w:cs="Times New Roman"/>
          <w:noProof/>
          <w:sz w:val="24"/>
          <w:szCs w:val="24"/>
        </w:rPr>
        <w:t>(Barros et al., 2011)</w:t>
      </w:r>
      <w:r w:rsidR="00881C52">
        <w:rPr>
          <w:rFonts w:ascii="Times New Roman" w:hAnsi="Times New Roman" w:cs="Times New Roman"/>
          <w:sz w:val="24"/>
          <w:szCs w:val="24"/>
        </w:rPr>
        <w:fldChar w:fldCharType="end"/>
      </w:r>
      <w:r w:rsidR="00881C52">
        <w:rPr>
          <w:rFonts w:ascii="Times New Roman" w:hAnsi="Times New Roman" w:cs="Times New Roman"/>
          <w:sz w:val="24"/>
          <w:szCs w:val="24"/>
        </w:rPr>
        <w:t>.</w:t>
      </w:r>
    </w:p>
    <w:p w14:paraId="161AA744" w14:textId="5A9D471E" w:rsidR="007D05BC" w:rsidRPr="007D05BC" w:rsidRDefault="00286D8D" w:rsidP="00D63049">
      <w:pPr>
        <w:ind w:firstLine="720"/>
        <w:rPr>
          <w:rFonts w:ascii="Times New Roman" w:hAnsi="Times New Roman" w:cs="Times New Roman"/>
          <w:sz w:val="24"/>
          <w:szCs w:val="24"/>
        </w:rPr>
      </w:pPr>
      <w:bookmarkStart w:id="3" w:name="_GoBack"/>
      <w:bookmarkEnd w:id="2"/>
      <w:r>
        <w:rPr>
          <w:rFonts w:ascii="Times New Roman" w:hAnsi="Times New Roman" w:cs="Times New Roman"/>
          <w:sz w:val="24"/>
          <w:szCs w:val="24"/>
        </w:rPr>
        <w:t>T</w:t>
      </w:r>
      <w:r w:rsidR="00047E49">
        <w:rPr>
          <w:rFonts w:ascii="Times New Roman" w:hAnsi="Times New Roman" w:cs="Times New Roman"/>
          <w:sz w:val="24"/>
          <w:szCs w:val="24"/>
        </w:rPr>
        <w:t>he next</w:t>
      </w:r>
      <w:r w:rsidR="00924547">
        <w:rPr>
          <w:rFonts w:ascii="Times New Roman" w:hAnsi="Times New Roman" w:cs="Times New Roman"/>
          <w:sz w:val="24"/>
          <w:szCs w:val="24"/>
        </w:rPr>
        <w:t xml:space="preserve"> </w:t>
      </w:r>
      <w:r w:rsidR="00ED1F0F">
        <w:rPr>
          <w:rFonts w:ascii="Times New Roman" w:hAnsi="Times New Roman" w:cs="Times New Roman"/>
          <w:sz w:val="24"/>
          <w:szCs w:val="24"/>
        </w:rPr>
        <w:t xml:space="preserve">main </w:t>
      </w:r>
      <w:r w:rsidR="00924547">
        <w:rPr>
          <w:rFonts w:ascii="Times New Roman" w:hAnsi="Times New Roman" w:cs="Times New Roman"/>
          <w:sz w:val="24"/>
          <w:szCs w:val="24"/>
        </w:rPr>
        <w:t xml:space="preserve">focus is on the environmental impacts associated with the primary </w:t>
      </w:r>
      <w:bookmarkEnd w:id="3"/>
      <w:r w:rsidR="00924547">
        <w:rPr>
          <w:rFonts w:ascii="Times New Roman" w:hAnsi="Times New Roman" w:cs="Times New Roman"/>
          <w:sz w:val="24"/>
          <w:szCs w:val="24"/>
        </w:rPr>
        <w:t>flow</w:t>
      </w:r>
      <w:r w:rsidR="00861799">
        <w:rPr>
          <w:rFonts w:ascii="Times New Roman" w:hAnsi="Times New Roman" w:cs="Times New Roman"/>
          <w:sz w:val="24"/>
          <w:szCs w:val="24"/>
        </w:rPr>
        <w:t>s</w:t>
      </w:r>
      <w:r w:rsidR="00924547">
        <w:rPr>
          <w:rFonts w:ascii="Times New Roman" w:hAnsi="Times New Roman" w:cs="Times New Roman"/>
          <w:sz w:val="24"/>
          <w:szCs w:val="24"/>
        </w:rPr>
        <w:t xml:space="preserve"> of material and energy during the life-cycle of plants. </w:t>
      </w:r>
      <w:r w:rsidR="00924547" w:rsidRPr="00DD5A0A">
        <w:rPr>
          <w:rFonts w:ascii="Times New Roman" w:hAnsi="Times New Roman" w:cs="Times New Roman"/>
          <w:sz w:val="24"/>
          <w:szCs w:val="24"/>
        </w:rPr>
        <w:t xml:space="preserve">The decommission </w:t>
      </w:r>
      <w:r w:rsidR="00861799">
        <w:rPr>
          <w:rFonts w:ascii="Times New Roman" w:hAnsi="Times New Roman" w:cs="Times New Roman"/>
          <w:sz w:val="24"/>
          <w:szCs w:val="24"/>
        </w:rPr>
        <w:t>/</w:t>
      </w:r>
      <w:r w:rsidR="00861799" w:rsidRPr="00DD5A0A">
        <w:rPr>
          <w:rFonts w:ascii="Times New Roman" w:hAnsi="Times New Roman" w:cs="Times New Roman"/>
          <w:sz w:val="24"/>
          <w:szCs w:val="24"/>
        </w:rPr>
        <w:t xml:space="preserve"> </w:t>
      </w:r>
      <w:r w:rsidR="00924547" w:rsidRPr="00DD5A0A">
        <w:rPr>
          <w:rFonts w:ascii="Times New Roman" w:hAnsi="Times New Roman" w:cs="Times New Roman"/>
          <w:sz w:val="24"/>
          <w:szCs w:val="24"/>
        </w:rPr>
        <w:t>demolition phase</w:t>
      </w:r>
      <w:r w:rsidR="00861799">
        <w:rPr>
          <w:rFonts w:ascii="Times New Roman" w:hAnsi="Times New Roman" w:cs="Times New Roman"/>
          <w:sz w:val="24"/>
          <w:szCs w:val="24"/>
        </w:rPr>
        <w:t>s</w:t>
      </w:r>
      <w:r w:rsidR="00924547" w:rsidRPr="00DD5A0A">
        <w:rPr>
          <w:rFonts w:ascii="Times New Roman" w:hAnsi="Times New Roman" w:cs="Times New Roman"/>
          <w:sz w:val="24"/>
          <w:szCs w:val="24"/>
        </w:rPr>
        <w:t xml:space="preserve"> of hydropower plant</w:t>
      </w:r>
      <w:r w:rsidR="00861799">
        <w:rPr>
          <w:rFonts w:ascii="Times New Roman" w:hAnsi="Times New Roman" w:cs="Times New Roman"/>
          <w:sz w:val="24"/>
          <w:szCs w:val="24"/>
        </w:rPr>
        <w:t>s</w:t>
      </w:r>
      <w:r w:rsidR="00924547" w:rsidRPr="00DD5A0A">
        <w:rPr>
          <w:rFonts w:ascii="Times New Roman" w:hAnsi="Times New Roman" w:cs="Times New Roman"/>
          <w:sz w:val="24"/>
          <w:szCs w:val="24"/>
        </w:rPr>
        <w:t xml:space="preserve"> consist of deconstruction, material disposal and material recycling at the end of life of a plant. </w:t>
      </w:r>
      <w:r w:rsidR="00861799">
        <w:rPr>
          <w:rFonts w:ascii="Times New Roman" w:hAnsi="Times New Roman" w:cs="Times New Roman"/>
          <w:sz w:val="24"/>
          <w:szCs w:val="24"/>
        </w:rPr>
        <w:t xml:space="preserve">Here, </w:t>
      </w:r>
      <w:r w:rsidR="00924547" w:rsidRPr="00DD5A0A">
        <w:rPr>
          <w:rFonts w:ascii="Times New Roman" w:hAnsi="Times New Roman" w:cs="Times New Roman"/>
          <w:sz w:val="24"/>
          <w:szCs w:val="24"/>
        </w:rPr>
        <w:t>all chosen hydropower plants are in the operation</w:t>
      </w:r>
      <w:r w:rsidR="00924547">
        <w:rPr>
          <w:rFonts w:ascii="Times New Roman" w:hAnsi="Times New Roman" w:cs="Times New Roman"/>
          <w:sz w:val="24"/>
          <w:szCs w:val="24"/>
        </w:rPr>
        <w:t>al</w:t>
      </w:r>
      <w:r w:rsidR="00924547" w:rsidRPr="00DD5A0A">
        <w:rPr>
          <w:rFonts w:ascii="Times New Roman" w:hAnsi="Times New Roman" w:cs="Times New Roman"/>
          <w:sz w:val="24"/>
          <w:szCs w:val="24"/>
        </w:rPr>
        <w:t xml:space="preserve"> phase of </w:t>
      </w:r>
      <w:r w:rsidR="00CE092F">
        <w:rPr>
          <w:rFonts w:ascii="Times New Roman" w:hAnsi="Times New Roman" w:cs="Times New Roman"/>
          <w:sz w:val="24"/>
          <w:szCs w:val="24"/>
        </w:rPr>
        <w:t>their</w:t>
      </w:r>
      <w:r w:rsidR="00CE092F" w:rsidRPr="00DD5A0A">
        <w:rPr>
          <w:rFonts w:ascii="Times New Roman" w:hAnsi="Times New Roman" w:cs="Times New Roman"/>
          <w:sz w:val="24"/>
          <w:szCs w:val="24"/>
        </w:rPr>
        <w:t xml:space="preserve"> </w:t>
      </w:r>
      <w:r w:rsidR="00924547" w:rsidRPr="00DD5A0A">
        <w:rPr>
          <w:rFonts w:ascii="Times New Roman" w:hAnsi="Times New Roman" w:cs="Times New Roman"/>
          <w:sz w:val="24"/>
          <w:szCs w:val="24"/>
        </w:rPr>
        <w:t>lifecycle</w:t>
      </w:r>
      <w:r w:rsidR="00CE092F">
        <w:rPr>
          <w:rFonts w:ascii="Times New Roman" w:hAnsi="Times New Roman" w:cs="Times New Roman"/>
          <w:sz w:val="24"/>
          <w:szCs w:val="24"/>
        </w:rPr>
        <w:t>s</w:t>
      </w:r>
      <w:r w:rsidR="00924547" w:rsidRPr="00DD5A0A">
        <w:rPr>
          <w:rFonts w:ascii="Times New Roman" w:hAnsi="Times New Roman" w:cs="Times New Roman"/>
          <w:sz w:val="24"/>
          <w:szCs w:val="24"/>
        </w:rPr>
        <w:t xml:space="preserve">. </w:t>
      </w:r>
      <w:r w:rsidR="00924547" w:rsidRPr="00D24D3A">
        <w:rPr>
          <w:rFonts w:ascii="Times New Roman" w:hAnsi="Times New Roman" w:cs="Times New Roman"/>
          <w:sz w:val="24"/>
          <w:szCs w:val="24"/>
        </w:rPr>
        <w:t xml:space="preserve">Therefore, the primary information regarding this phase is minimal. </w:t>
      </w:r>
      <w:r w:rsidR="00924547" w:rsidRPr="0042595F">
        <w:rPr>
          <w:rFonts w:ascii="Times New Roman" w:hAnsi="Times New Roman" w:cs="Times New Roman"/>
          <w:sz w:val="24"/>
          <w:szCs w:val="24"/>
        </w:rPr>
        <w:t>In previous</w:t>
      </w:r>
      <w:r w:rsidR="00924547" w:rsidRPr="00D24D3A">
        <w:rPr>
          <w:rFonts w:ascii="Times New Roman" w:hAnsi="Times New Roman" w:cs="Times New Roman"/>
          <w:sz w:val="24"/>
          <w:szCs w:val="24"/>
        </w:rPr>
        <w:t xml:space="preserve"> </w:t>
      </w:r>
      <w:r w:rsidR="00924547" w:rsidRPr="0042595F">
        <w:rPr>
          <w:rFonts w:ascii="Times New Roman" w:hAnsi="Times New Roman" w:cs="Times New Roman"/>
          <w:sz w:val="24"/>
          <w:szCs w:val="24"/>
        </w:rPr>
        <w:t>hydropower LCA research conducted in China and Thailand</w:t>
      </w:r>
      <w:r w:rsidR="00924547" w:rsidRPr="00D24D3A">
        <w:rPr>
          <w:rFonts w:ascii="Times New Roman" w:hAnsi="Times New Roman" w:cs="Times New Roman"/>
          <w:sz w:val="24"/>
          <w:szCs w:val="24"/>
        </w:rPr>
        <w:t xml:space="preserve">, it </w:t>
      </w:r>
      <w:r w:rsidR="00924547" w:rsidRPr="0042595F">
        <w:rPr>
          <w:rFonts w:ascii="Times New Roman" w:hAnsi="Times New Roman" w:cs="Times New Roman"/>
          <w:sz w:val="24"/>
          <w:szCs w:val="24"/>
        </w:rPr>
        <w:t>was</w:t>
      </w:r>
      <w:r w:rsidR="00924547" w:rsidRPr="00D24D3A">
        <w:rPr>
          <w:rFonts w:ascii="Times New Roman" w:hAnsi="Times New Roman" w:cs="Times New Roman"/>
          <w:sz w:val="24"/>
          <w:szCs w:val="24"/>
        </w:rPr>
        <w:t xml:space="preserve"> </w:t>
      </w:r>
      <w:r w:rsidR="00924547" w:rsidRPr="00D24D3A">
        <w:rPr>
          <w:rFonts w:ascii="Times New Roman" w:hAnsi="Times New Roman" w:cs="Times New Roman"/>
          <w:sz w:val="24"/>
          <w:szCs w:val="24"/>
        </w:rPr>
        <w:lastRenderedPageBreak/>
        <w:t>assumed that 20% of the mate</w:t>
      </w:r>
      <w:r w:rsidR="00924547" w:rsidRPr="001242A7">
        <w:rPr>
          <w:rFonts w:ascii="Times New Roman" w:hAnsi="Times New Roman" w:cs="Times New Roman"/>
          <w:sz w:val="24"/>
          <w:szCs w:val="24"/>
        </w:rPr>
        <w:t>rials, such as steel, stainless steel, iron and copper, are recycled, and about 2% of the initial weight is reduced due to corrosion</w:t>
      </w:r>
      <w:r w:rsidR="00924547" w:rsidRPr="00DD5A0A">
        <w:rPr>
          <w:rFonts w:ascii="Times New Roman" w:hAnsi="Times New Roman" w:cs="Times New Roman"/>
          <w:sz w:val="24"/>
          <w:szCs w:val="24"/>
        </w:rPr>
        <w:t xml:space="preserve"> (Pang</w:t>
      </w:r>
      <w:r w:rsidR="00924547">
        <w:rPr>
          <w:rFonts w:ascii="Times New Roman" w:hAnsi="Times New Roman" w:cs="Times New Roman"/>
          <w:sz w:val="24"/>
          <w:szCs w:val="24"/>
        </w:rPr>
        <w:t xml:space="preserve"> et al</w:t>
      </w:r>
      <w:r w:rsidR="00924547" w:rsidRPr="00DD5A0A">
        <w:rPr>
          <w:rFonts w:ascii="Times New Roman" w:hAnsi="Times New Roman" w:cs="Times New Roman"/>
          <w:sz w:val="24"/>
          <w:szCs w:val="24"/>
        </w:rPr>
        <w:t xml:space="preserve">, 2015; Suwanit &amp; Gheewala, 2011; </w:t>
      </w:r>
      <w:r w:rsidR="00B40087">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{"citationItems":[{"id":"ITEM-1","itemData":{"DOI":"10.13044/j.sdewes.2016.04.0029","abstract":"© 2016, International Centre for Sustainable Development of Energy, Water and Environment Systems SDEWES. All rights reserved. Brazil as well as the rest of the world, faces a major challenge related to the electricity sector, to meet the growing demand with energy production from renewable sources. Many hydroelectric plants are being implemented, especially in the northern region of Brazil, but its environmental impacts are yet unknown. Energy produced by hydropower plants has been considered totally renewable and clean, but more recent studies describe analysis pointing to the existence of emissions by hydroelectric plants, especially if a lifecycle approach is considered. Thus, the objective of this study is the investigation of environmental impacts of the construction, operation and decommissioning of a hydroelectric power station based on life cycle assessment. The main focus is the Curuá-Una hydropower plant that is located in the Amazon forest in northern Brazil, in Santarém municipality (Pará state).","author":[{"dropping-particle":"","family":"Geller","given":"Marla","non-dropping-particle":"","parse-names":false,"suffix":""},{"dropping-particle":"","family":"Meneses","given":"Anderson Alvarenga De Moura","non-dropping-particle":"","parse-names":false,"suffix":""}],"container-title":"Journal of Sustainable Development of Energy, Water and Environment Systems","id":"ITEM-1","issued":{"date-parts":[["2016"]]},"title":"Life Cycle Assessment of a Small Hydropower Plant in the Brazilian Amazon","type":"article-journal"},"uris":["http://www.mendeley.com/documents/?uuid=9231e5a4-266b-4642-9a59-c6fab82352ef"]}],"mendeley":{"formattedCitation":"(Geller &amp; Meneses, 2016)","manualFormatting":"Geller &amp; Meneses, 2016)","plainTextFormattedCitation":"(Geller &amp; Meneses, 2016)","previouslyFormattedCitation":"(Geller &amp; Meneses, 2016)"},"properties":{"noteIndex":0},"schema":"https://github.com/citation-style-language/schema/raw/master/csl-citation.json"}</w:instrText>
      </w:r>
      <w:r w:rsidR="00B40087">
        <w:rPr>
          <w:rFonts w:ascii="Times New Roman" w:hAnsi="Times New Roman" w:cs="Times New Roman"/>
          <w:sz w:val="24"/>
          <w:szCs w:val="24"/>
        </w:rPr>
        <w:fldChar w:fldCharType="separate"/>
      </w:r>
      <w:r w:rsidR="00B40087" w:rsidRPr="00B40087">
        <w:rPr>
          <w:rFonts w:ascii="Times New Roman" w:hAnsi="Times New Roman" w:cs="Times New Roman"/>
          <w:noProof/>
          <w:sz w:val="24"/>
          <w:szCs w:val="24"/>
        </w:rPr>
        <w:t>Geller &amp; Meneses, 2016)</w:t>
      </w:r>
      <w:r w:rsidR="00B40087">
        <w:rPr>
          <w:rFonts w:ascii="Times New Roman" w:hAnsi="Times New Roman" w:cs="Times New Roman"/>
          <w:sz w:val="24"/>
          <w:szCs w:val="24"/>
        </w:rPr>
        <w:fldChar w:fldCharType="end"/>
      </w:r>
      <w:r w:rsidR="00B40087">
        <w:rPr>
          <w:rFonts w:ascii="Times New Roman" w:hAnsi="Times New Roman" w:cs="Times New Roman"/>
          <w:sz w:val="24"/>
          <w:szCs w:val="24"/>
        </w:rPr>
        <w:t xml:space="preserve">. </w:t>
      </w:r>
      <w:r w:rsidR="00924547">
        <w:rPr>
          <w:rFonts w:ascii="Times New Roman" w:hAnsi="Times New Roman" w:cs="Times New Roman"/>
          <w:sz w:val="24"/>
          <w:szCs w:val="24"/>
        </w:rPr>
        <w:t>However, in our study, based on the conditions in Myanmar,</w:t>
      </w:r>
      <w:r w:rsidR="00924547" w:rsidRPr="00301E79">
        <w:rPr>
          <w:rFonts w:ascii="Times New Roman" w:hAnsi="Times New Roman" w:cs="Times New Roman"/>
          <w:sz w:val="24"/>
          <w:szCs w:val="24"/>
        </w:rPr>
        <w:t xml:space="preserve"> </w:t>
      </w:r>
      <w:r w:rsidR="00924547">
        <w:rPr>
          <w:rFonts w:ascii="Times New Roman" w:hAnsi="Times New Roman" w:cs="Times New Roman"/>
          <w:sz w:val="24"/>
          <w:szCs w:val="24"/>
        </w:rPr>
        <w:t xml:space="preserve">we assumed that only about 15% of the materials can be recycled. Waste management and recycling in Myanmar currently suffers from weak technology, infrastructure, regulatory framework and human capacity </w:t>
      </w:r>
      <w:r w:rsidR="00924547">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{"citationItems":[{"id":"ITEM-1","itemData":{"abstract":"This baseline report, supported by the IGES Centre Collaborating with UNEP on Environmental Technologies (CCET) and prepared in advance of Myanmar's First National/ City-level Workshops on Waste Management Strategy Development held 13-17 June 2016, focuses on three main objectives: i) to review the scope and effectiveness of Myanmar’s current waste management system, ii) to identify existing constraints and areas for improvement towards meeting the country’s desired level of performance, and iii) to analyse gaps in present waste management policy and practice. The subsequent findings were used to provide appropriate data for guiding the drafting of Myanmar's national/ city level waste management strategies with a view towards addressing waste issues in a holistic and integrated manner.","author":[{"dropping-particle":"","family":"Premakumara","given":"Dickella Gamaralalage Jagath","non-dropping-particle":"","parse-names":false,"suffix":""},{"dropping-particle":"","family":"Hengesbaugh","given":"Matthew","non-dropping-particle":"","parse-names":false,"suffix":""},{"dropping-particle":"","family":"Hlaing","given":"Ohnmar May Tin","non-dropping-particle":"","parse-names":false,"suffix":""}],"container-title":"First National/City Workshops for Developing National/City Waste Management Strategies in Myanmar","id":"ITEM-1","issue":"June","issued":{"date-parts":[["2016"]]},"page":"13-17","title":"Quick Study on Waste Management in Myanmar","type":"article-journal"},"uris":["http://www.mendeley.com/documents/?uuid=a096c222-66d3-419c-a329-6d182d6e0ada"]}],"mendeley":{"formattedCitation":"(Premakumara et al., 2016)","manualFormatting":"(Premakumara et al., 2016)","plainTextFormattedCitation":"(Premakumara et al., 2016)","previouslyFormattedCitation":"(Premakumara et al., 2016)"},"properties":{"noteIndex":0},"schema":"https://github.com/citation-style-language/schema/raw/master/csl-citation.json"}</w:instrText>
      </w:r>
      <w:r w:rsidR="00924547">
        <w:rPr>
          <w:rFonts w:ascii="Times New Roman" w:hAnsi="Times New Roman" w:cs="Times New Roman"/>
          <w:sz w:val="24"/>
          <w:szCs w:val="24"/>
        </w:rPr>
        <w:fldChar w:fldCharType="separate"/>
      </w:r>
      <w:r w:rsidR="00924547" w:rsidRPr="001B71E2">
        <w:rPr>
          <w:rFonts w:ascii="Times New Roman" w:hAnsi="Times New Roman" w:cs="Times New Roman"/>
          <w:noProof/>
          <w:sz w:val="24"/>
          <w:szCs w:val="24"/>
        </w:rPr>
        <w:t>(Premakumara</w:t>
      </w:r>
      <w:r w:rsidR="00924547">
        <w:rPr>
          <w:rFonts w:ascii="Times New Roman" w:hAnsi="Times New Roman" w:cs="Times New Roman"/>
          <w:noProof/>
          <w:sz w:val="24"/>
          <w:szCs w:val="24"/>
        </w:rPr>
        <w:t xml:space="preserve"> et al.</w:t>
      </w:r>
      <w:r w:rsidR="00924547" w:rsidRPr="001B71E2">
        <w:rPr>
          <w:rFonts w:ascii="Times New Roman" w:hAnsi="Times New Roman" w:cs="Times New Roman"/>
          <w:noProof/>
          <w:sz w:val="24"/>
          <w:szCs w:val="24"/>
        </w:rPr>
        <w:t>, 2016)</w:t>
      </w:r>
      <w:r w:rsidR="00924547">
        <w:rPr>
          <w:rFonts w:ascii="Times New Roman" w:hAnsi="Times New Roman" w:cs="Times New Roman"/>
          <w:sz w:val="24"/>
          <w:szCs w:val="24"/>
        </w:rPr>
        <w:fldChar w:fldCharType="end"/>
      </w:r>
      <w:r w:rsidR="00924547">
        <w:rPr>
          <w:rFonts w:ascii="Times New Roman" w:hAnsi="Times New Roman" w:cs="Times New Roman"/>
          <w:sz w:val="24"/>
          <w:szCs w:val="24"/>
        </w:rPr>
        <w:t>.</w:t>
      </w:r>
      <w:r w:rsidR="00924547" w:rsidRPr="00DD5A0A">
        <w:rPr>
          <w:rFonts w:ascii="Times New Roman" w:hAnsi="Times New Roman" w:cs="Times New Roman"/>
          <w:sz w:val="24"/>
          <w:szCs w:val="24"/>
        </w:rPr>
        <w:t xml:space="preserve"> The inventory data for the environmental burdens of metal waste recycling </w:t>
      </w:r>
      <w:r w:rsidR="00924547">
        <w:rPr>
          <w:rFonts w:ascii="Times New Roman" w:hAnsi="Times New Roman" w:cs="Times New Roman"/>
          <w:sz w:val="24"/>
          <w:szCs w:val="24"/>
        </w:rPr>
        <w:t>were</w:t>
      </w:r>
      <w:r w:rsidR="00924547" w:rsidRPr="00DD5A0A">
        <w:rPr>
          <w:rFonts w:ascii="Times New Roman" w:hAnsi="Times New Roman" w:cs="Times New Roman"/>
          <w:sz w:val="24"/>
          <w:szCs w:val="24"/>
        </w:rPr>
        <w:t xml:space="preserve"> obtained from the Ecoinvent database.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5"/>
        <w:gridCol w:w="701"/>
        <w:gridCol w:w="680"/>
        <w:gridCol w:w="722"/>
        <w:gridCol w:w="680"/>
        <w:gridCol w:w="722"/>
        <w:gridCol w:w="680"/>
        <w:gridCol w:w="722"/>
        <w:gridCol w:w="680"/>
        <w:gridCol w:w="722"/>
        <w:gridCol w:w="680"/>
        <w:gridCol w:w="722"/>
      </w:tblGrid>
      <w:tr w:rsidR="006C0FD6" w:rsidRPr="006C0FD6" w14:paraId="0F6E84D3" w14:textId="77777777" w:rsidTr="006C0FD6">
        <w:trPr>
          <w:trHeight w:val="300"/>
        </w:trPr>
        <w:tc>
          <w:tcPr>
            <w:tcW w:w="2672" w:type="dxa"/>
            <w:tcBorders>
              <w:top w:val="single" w:sz="4" w:space="0" w:color="auto"/>
              <w:bottom w:val="single" w:sz="4" w:space="0" w:color="auto"/>
            </w:tcBorders>
            <w:noWrap/>
            <w:hideMark/>
          </w:tcPr>
          <w:p w14:paraId="06813CE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Item</w:t>
            </w:r>
          </w:p>
        </w:tc>
        <w:tc>
          <w:tcPr>
            <w:tcW w:w="1300" w:type="dxa"/>
            <w:tcBorders>
              <w:top w:val="single" w:sz="4" w:space="0" w:color="auto"/>
              <w:bottom w:val="single" w:sz="4" w:space="0" w:color="auto"/>
            </w:tcBorders>
            <w:noWrap/>
            <w:hideMark/>
          </w:tcPr>
          <w:p w14:paraId="270988D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 xml:space="preserve">Unit </w:t>
            </w:r>
          </w:p>
        </w:tc>
        <w:tc>
          <w:tcPr>
            <w:tcW w:w="2600" w:type="dxa"/>
            <w:gridSpan w:val="2"/>
            <w:tcBorders>
              <w:top w:val="single" w:sz="4" w:space="0" w:color="auto"/>
              <w:bottom w:val="single" w:sz="4" w:space="0" w:color="auto"/>
            </w:tcBorders>
            <w:noWrap/>
            <w:hideMark/>
          </w:tcPr>
          <w:p w14:paraId="33D25DD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Yeywa</w:t>
            </w:r>
          </w:p>
        </w:tc>
        <w:tc>
          <w:tcPr>
            <w:tcW w:w="2600" w:type="dxa"/>
            <w:gridSpan w:val="2"/>
            <w:tcBorders>
              <w:top w:val="single" w:sz="4" w:space="0" w:color="auto"/>
              <w:bottom w:val="single" w:sz="4" w:space="0" w:color="auto"/>
            </w:tcBorders>
            <w:noWrap/>
            <w:hideMark/>
          </w:tcPr>
          <w:p w14:paraId="2865F4F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Shweli 1</w:t>
            </w:r>
          </w:p>
        </w:tc>
        <w:tc>
          <w:tcPr>
            <w:tcW w:w="2600" w:type="dxa"/>
            <w:gridSpan w:val="2"/>
            <w:tcBorders>
              <w:top w:val="single" w:sz="4" w:space="0" w:color="auto"/>
              <w:bottom w:val="single" w:sz="4" w:space="0" w:color="auto"/>
            </w:tcBorders>
            <w:noWrap/>
            <w:hideMark/>
          </w:tcPr>
          <w:p w14:paraId="6A74747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Paung Laung (lower)</w:t>
            </w:r>
          </w:p>
        </w:tc>
        <w:tc>
          <w:tcPr>
            <w:tcW w:w="2600" w:type="dxa"/>
            <w:gridSpan w:val="2"/>
            <w:tcBorders>
              <w:top w:val="single" w:sz="4" w:space="0" w:color="auto"/>
              <w:bottom w:val="single" w:sz="4" w:space="0" w:color="auto"/>
            </w:tcBorders>
            <w:noWrap/>
            <w:hideMark/>
          </w:tcPr>
          <w:p w14:paraId="10A5AC7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Dapein 1</w:t>
            </w:r>
          </w:p>
        </w:tc>
        <w:tc>
          <w:tcPr>
            <w:tcW w:w="2600" w:type="dxa"/>
            <w:gridSpan w:val="2"/>
            <w:tcBorders>
              <w:top w:val="single" w:sz="4" w:space="0" w:color="auto"/>
              <w:bottom w:val="single" w:sz="4" w:space="0" w:color="auto"/>
            </w:tcBorders>
            <w:noWrap/>
            <w:hideMark/>
          </w:tcPr>
          <w:p w14:paraId="3ED5140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Thuk Ye Khat 2</w:t>
            </w:r>
          </w:p>
        </w:tc>
      </w:tr>
      <w:tr w:rsidR="006C0FD6" w:rsidRPr="006C0FD6" w14:paraId="2418E06E" w14:textId="77777777" w:rsidTr="006C0FD6">
        <w:trPr>
          <w:trHeight w:val="300"/>
        </w:trPr>
        <w:tc>
          <w:tcPr>
            <w:tcW w:w="2672" w:type="dxa"/>
            <w:tcBorders>
              <w:top w:val="single" w:sz="4" w:space="0" w:color="auto"/>
              <w:bottom w:val="single" w:sz="4" w:space="0" w:color="auto"/>
            </w:tcBorders>
            <w:noWrap/>
            <w:hideMark/>
          </w:tcPr>
          <w:p w14:paraId="1DEA472E" w14:textId="77777777" w:rsidR="006C0FD6" w:rsidRPr="006C0FD6" w:rsidRDefault="006C0FD6" w:rsidP="004F2BB1">
            <w:pPr>
              <w:rPr>
                <w:rFonts w:ascii="Times New Roman" w:hAnsi="Times New Roman" w:cs="Times New Roman"/>
                <w:sz w:val="15"/>
                <w:szCs w:val="15"/>
              </w:rPr>
            </w:pPr>
          </w:p>
        </w:tc>
        <w:tc>
          <w:tcPr>
            <w:tcW w:w="1300" w:type="dxa"/>
            <w:tcBorders>
              <w:top w:val="single" w:sz="4" w:space="0" w:color="auto"/>
              <w:bottom w:val="single" w:sz="4" w:space="0" w:color="auto"/>
            </w:tcBorders>
            <w:noWrap/>
            <w:hideMark/>
          </w:tcPr>
          <w:p w14:paraId="3FB96FDA"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4804C44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Unit</w:t>
            </w:r>
            <w:r w:rsidR="007B1AD4">
              <w:rPr>
                <w:rFonts w:ascii="Times New Roman" w:hAnsi="Times New Roman" w:cs="Times New Roman"/>
                <w:sz w:val="15"/>
                <w:szCs w:val="15"/>
              </w:rPr>
              <w:t>*</w:t>
            </w:r>
            <w:r w:rsidRPr="006C0FD6">
              <w:rPr>
                <w:rFonts w:ascii="Times New Roman" w:hAnsi="Times New Roman" w:cs="Times New Roman"/>
                <w:sz w:val="15"/>
                <w:szCs w:val="15"/>
              </w:rPr>
              <w:t xml:space="preserve"> Input</w:t>
            </w:r>
          </w:p>
        </w:tc>
        <w:tc>
          <w:tcPr>
            <w:tcW w:w="1348" w:type="dxa"/>
            <w:tcBorders>
              <w:top w:val="single" w:sz="4" w:space="0" w:color="auto"/>
              <w:bottom w:val="single" w:sz="4" w:space="0" w:color="auto"/>
            </w:tcBorders>
            <w:noWrap/>
            <w:hideMark/>
          </w:tcPr>
          <w:p w14:paraId="79E9C515" w14:textId="77777777" w:rsidR="007B1AD4"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Total</w:t>
            </w:r>
            <w:r w:rsidR="007B1AD4">
              <w:rPr>
                <w:rFonts w:ascii="Times New Roman" w:hAnsi="Times New Roman" w:cs="Times New Roman"/>
                <w:sz w:val="15"/>
                <w:szCs w:val="15"/>
              </w:rPr>
              <w:t>*</w:t>
            </w:r>
          </w:p>
          <w:p w14:paraId="183A9DC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 xml:space="preserve">Input </w:t>
            </w:r>
          </w:p>
        </w:tc>
        <w:tc>
          <w:tcPr>
            <w:tcW w:w="1252" w:type="dxa"/>
            <w:tcBorders>
              <w:top w:val="single" w:sz="4" w:space="0" w:color="auto"/>
              <w:bottom w:val="single" w:sz="4" w:space="0" w:color="auto"/>
            </w:tcBorders>
            <w:noWrap/>
            <w:hideMark/>
          </w:tcPr>
          <w:p w14:paraId="1BC4C65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Unit Input</w:t>
            </w:r>
          </w:p>
        </w:tc>
        <w:tc>
          <w:tcPr>
            <w:tcW w:w="1348" w:type="dxa"/>
            <w:tcBorders>
              <w:top w:val="single" w:sz="4" w:space="0" w:color="auto"/>
              <w:bottom w:val="single" w:sz="4" w:space="0" w:color="auto"/>
            </w:tcBorders>
            <w:noWrap/>
            <w:hideMark/>
          </w:tcPr>
          <w:p w14:paraId="66F9138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 xml:space="preserve">Total Input </w:t>
            </w:r>
          </w:p>
        </w:tc>
        <w:tc>
          <w:tcPr>
            <w:tcW w:w="1252" w:type="dxa"/>
            <w:tcBorders>
              <w:top w:val="single" w:sz="4" w:space="0" w:color="auto"/>
              <w:bottom w:val="single" w:sz="4" w:space="0" w:color="auto"/>
            </w:tcBorders>
            <w:noWrap/>
            <w:hideMark/>
          </w:tcPr>
          <w:p w14:paraId="7C6DFBE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Unit Input</w:t>
            </w:r>
          </w:p>
        </w:tc>
        <w:tc>
          <w:tcPr>
            <w:tcW w:w="1348" w:type="dxa"/>
            <w:tcBorders>
              <w:top w:val="single" w:sz="4" w:space="0" w:color="auto"/>
              <w:bottom w:val="single" w:sz="4" w:space="0" w:color="auto"/>
            </w:tcBorders>
            <w:noWrap/>
            <w:hideMark/>
          </w:tcPr>
          <w:p w14:paraId="2266988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 xml:space="preserve">Total Input </w:t>
            </w:r>
          </w:p>
        </w:tc>
        <w:tc>
          <w:tcPr>
            <w:tcW w:w="1252" w:type="dxa"/>
            <w:tcBorders>
              <w:top w:val="single" w:sz="4" w:space="0" w:color="auto"/>
              <w:bottom w:val="single" w:sz="4" w:space="0" w:color="auto"/>
            </w:tcBorders>
            <w:noWrap/>
            <w:hideMark/>
          </w:tcPr>
          <w:p w14:paraId="54F730F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Unit Input</w:t>
            </w:r>
          </w:p>
        </w:tc>
        <w:tc>
          <w:tcPr>
            <w:tcW w:w="1348" w:type="dxa"/>
            <w:tcBorders>
              <w:top w:val="single" w:sz="4" w:space="0" w:color="auto"/>
              <w:bottom w:val="single" w:sz="4" w:space="0" w:color="auto"/>
            </w:tcBorders>
            <w:noWrap/>
            <w:hideMark/>
          </w:tcPr>
          <w:p w14:paraId="2A1E421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 xml:space="preserve">Total Input </w:t>
            </w:r>
          </w:p>
        </w:tc>
        <w:tc>
          <w:tcPr>
            <w:tcW w:w="1252" w:type="dxa"/>
            <w:tcBorders>
              <w:top w:val="single" w:sz="4" w:space="0" w:color="auto"/>
              <w:bottom w:val="single" w:sz="4" w:space="0" w:color="auto"/>
            </w:tcBorders>
            <w:noWrap/>
            <w:hideMark/>
          </w:tcPr>
          <w:p w14:paraId="65DADF7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Unit Input</w:t>
            </w:r>
          </w:p>
        </w:tc>
        <w:tc>
          <w:tcPr>
            <w:tcW w:w="1348" w:type="dxa"/>
            <w:tcBorders>
              <w:top w:val="single" w:sz="4" w:space="0" w:color="auto"/>
              <w:bottom w:val="single" w:sz="4" w:space="0" w:color="auto"/>
            </w:tcBorders>
            <w:noWrap/>
            <w:hideMark/>
          </w:tcPr>
          <w:p w14:paraId="18BCF53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 xml:space="preserve">Total Input </w:t>
            </w:r>
          </w:p>
        </w:tc>
      </w:tr>
      <w:tr w:rsidR="006C0FD6" w:rsidRPr="006C0FD6" w14:paraId="715444B5" w14:textId="77777777" w:rsidTr="006C0FD6">
        <w:trPr>
          <w:trHeight w:val="133"/>
        </w:trPr>
        <w:tc>
          <w:tcPr>
            <w:tcW w:w="3972" w:type="dxa"/>
            <w:gridSpan w:val="2"/>
            <w:tcBorders>
              <w:top w:val="single" w:sz="4" w:space="0" w:color="auto"/>
              <w:bottom w:val="single" w:sz="4" w:space="0" w:color="auto"/>
            </w:tcBorders>
            <w:noWrap/>
            <w:hideMark/>
          </w:tcPr>
          <w:p w14:paraId="6966A96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Construction Stage</w:t>
            </w:r>
          </w:p>
        </w:tc>
        <w:tc>
          <w:tcPr>
            <w:tcW w:w="1252" w:type="dxa"/>
            <w:tcBorders>
              <w:top w:val="single" w:sz="4" w:space="0" w:color="auto"/>
              <w:bottom w:val="single" w:sz="4" w:space="0" w:color="auto"/>
            </w:tcBorders>
            <w:noWrap/>
            <w:hideMark/>
          </w:tcPr>
          <w:p w14:paraId="227F007C"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7D4263DE"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76FE3F25"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12C96641"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5364902C"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53FBC98A"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7D6FA000"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3E5A1D48"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2222219C"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127017F8" w14:textId="77777777" w:rsidR="006C0FD6" w:rsidRPr="006C0FD6" w:rsidRDefault="006C0FD6" w:rsidP="004F2BB1">
            <w:pPr>
              <w:rPr>
                <w:rFonts w:ascii="Times New Roman" w:hAnsi="Times New Roman" w:cs="Times New Roman"/>
                <w:sz w:val="15"/>
                <w:szCs w:val="15"/>
              </w:rPr>
            </w:pPr>
          </w:p>
        </w:tc>
      </w:tr>
      <w:tr w:rsidR="006C0FD6" w:rsidRPr="006C0FD6" w14:paraId="30C456B1" w14:textId="77777777" w:rsidTr="006C0FD6">
        <w:trPr>
          <w:trHeight w:val="93"/>
        </w:trPr>
        <w:tc>
          <w:tcPr>
            <w:tcW w:w="2672" w:type="dxa"/>
            <w:tcBorders>
              <w:top w:val="single" w:sz="4" w:space="0" w:color="auto"/>
              <w:bottom w:val="single" w:sz="4" w:space="0" w:color="auto"/>
            </w:tcBorders>
            <w:noWrap/>
            <w:hideMark/>
          </w:tcPr>
          <w:p w14:paraId="48DCB5C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Material</w:t>
            </w:r>
          </w:p>
        </w:tc>
        <w:tc>
          <w:tcPr>
            <w:tcW w:w="1300" w:type="dxa"/>
            <w:tcBorders>
              <w:top w:val="single" w:sz="4" w:space="0" w:color="auto"/>
              <w:bottom w:val="single" w:sz="4" w:space="0" w:color="auto"/>
            </w:tcBorders>
            <w:noWrap/>
            <w:hideMark/>
          </w:tcPr>
          <w:p w14:paraId="5635C3CB"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67A5274C"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45E185AC"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77D1E302"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49FEC786"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4E394D00"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074BD35E"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02F872E0"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105BB7EC"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29AB8339"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33D5EBD0" w14:textId="77777777" w:rsidR="006C0FD6" w:rsidRPr="006C0FD6" w:rsidRDefault="006C0FD6" w:rsidP="004F2BB1">
            <w:pPr>
              <w:rPr>
                <w:rFonts w:ascii="Times New Roman" w:hAnsi="Times New Roman" w:cs="Times New Roman"/>
                <w:sz w:val="15"/>
                <w:szCs w:val="15"/>
              </w:rPr>
            </w:pPr>
          </w:p>
        </w:tc>
      </w:tr>
      <w:tr w:rsidR="006C0FD6" w:rsidRPr="006C0FD6" w14:paraId="264D793E" w14:textId="77777777" w:rsidTr="006C0FD6">
        <w:trPr>
          <w:trHeight w:val="300"/>
        </w:trPr>
        <w:tc>
          <w:tcPr>
            <w:tcW w:w="2672" w:type="dxa"/>
            <w:tcBorders>
              <w:top w:val="single" w:sz="4" w:space="0" w:color="auto"/>
            </w:tcBorders>
            <w:noWrap/>
            <w:hideMark/>
          </w:tcPr>
          <w:p w14:paraId="773E8CC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Cement</w:t>
            </w:r>
          </w:p>
        </w:tc>
        <w:tc>
          <w:tcPr>
            <w:tcW w:w="1300" w:type="dxa"/>
            <w:tcBorders>
              <w:top w:val="single" w:sz="4" w:space="0" w:color="auto"/>
            </w:tcBorders>
            <w:noWrap/>
            <w:hideMark/>
          </w:tcPr>
          <w:p w14:paraId="35AABAC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tcBorders>
              <w:top w:val="single" w:sz="4" w:space="0" w:color="auto"/>
            </w:tcBorders>
            <w:noWrap/>
            <w:hideMark/>
          </w:tcPr>
          <w:p w14:paraId="71CB54A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2.88E-01</w:t>
            </w:r>
          </w:p>
        </w:tc>
        <w:tc>
          <w:tcPr>
            <w:tcW w:w="1348" w:type="dxa"/>
            <w:tcBorders>
              <w:top w:val="single" w:sz="4" w:space="0" w:color="auto"/>
            </w:tcBorders>
            <w:noWrap/>
            <w:hideMark/>
          </w:tcPr>
          <w:p w14:paraId="207B830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2.28E+04</w:t>
            </w:r>
          </w:p>
        </w:tc>
        <w:tc>
          <w:tcPr>
            <w:tcW w:w="1252" w:type="dxa"/>
            <w:tcBorders>
              <w:top w:val="single" w:sz="4" w:space="0" w:color="auto"/>
            </w:tcBorders>
            <w:noWrap/>
            <w:hideMark/>
          </w:tcPr>
          <w:p w14:paraId="3D5D8C6A"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2.94E-01</w:t>
            </w:r>
          </w:p>
        </w:tc>
        <w:tc>
          <w:tcPr>
            <w:tcW w:w="1348" w:type="dxa"/>
            <w:tcBorders>
              <w:top w:val="single" w:sz="4" w:space="0" w:color="auto"/>
            </w:tcBorders>
            <w:noWrap/>
            <w:hideMark/>
          </w:tcPr>
          <w:p w14:paraId="48E08A2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1.76E+04</w:t>
            </w:r>
          </w:p>
        </w:tc>
        <w:tc>
          <w:tcPr>
            <w:tcW w:w="1252" w:type="dxa"/>
            <w:tcBorders>
              <w:top w:val="single" w:sz="4" w:space="0" w:color="auto"/>
            </w:tcBorders>
            <w:noWrap/>
            <w:hideMark/>
          </w:tcPr>
          <w:p w14:paraId="6922187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3.30E-01</w:t>
            </w:r>
          </w:p>
        </w:tc>
        <w:tc>
          <w:tcPr>
            <w:tcW w:w="1348" w:type="dxa"/>
            <w:tcBorders>
              <w:top w:val="single" w:sz="4" w:space="0" w:color="auto"/>
            </w:tcBorders>
            <w:noWrap/>
            <w:hideMark/>
          </w:tcPr>
          <w:p w14:paraId="5C10B26A"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9.23E+03</w:t>
            </w:r>
          </w:p>
        </w:tc>
        <w:tc>
          <w:tcPr>
            <w:tcW w:w="1252" w:type="dxa"/>
            <w:tcBorders>
              <w:top w:val="single" w:sz="4" w:space="0" w:color="auto"/>
            </w:tcBorders>
            <w:noWrap/>
            <w:hideMark/>
          </w:tcPr>
          <w:p w14:paraId="0799870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2.72E-01</w:t>
            </w:r>
          </w:p>
        </w:tc>
        <w:tc>
          <w:tcPr>
            <w:tcW w:w="1348" w:type="dxa"/>
            <w:tcBorders>
              <w:top w:val="single" w:sz="4" w:space="0" w:color="auto"/>
            </w:tcBorders>
            <w:noWrap/>
            <w:hideMark/>
          </w:tcPr>
          <w:p w14:paraId="27DD7D9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6.52E+03</w:t>
            </w:r>
          </w:p>
        </w:tc>
        <w:tc>
          <w:tcPr>
            <w:tcW w:w="1252" w:type="dxa"/>
            <w:tcBorders>
              <w:top w:val="single" w:sz="4" w:space="0" w:color="auto"/>
            </w:tcBorders>
            <w:noWrap/>
            <w:hideMark/>
          </w:tcPr>
          <w:p w14:paraId="7728F61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1.94E-01</w:t>
            </w:r>
          </w:p>
        </w:tc>
        <w:tc>
          <w:tcPr>
            <w:tcW w:w="1348" w:type="dxa"/>
            <w:tcBorders>
              <w:top w:val="single" w:sz="4" w:space="0" w:color="auto"/>
            </w:tcBorders>
            <w:noWrap/>
            <w:hideMark/>
          </w:tcPr>
          <w:p w14:paraId="79755BB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2.33E+03</w:t>
            </w:r>
          </w:p>
        </w:tc>
      </w:tr>
      <w:tr w:rsidR="006C0FD6" w:rsidRPr="006C0FD6" w14:paraId="228EB91D" w14:textId="77777777" w:rsidTr="006C0FD6">
        <w:trPr>
          <w:trHeight w:val="300"/>
        </w:trPr>
        <w:tc>
          <w:tcPr>
            <w:tcW w:w="2672" w:type="dxa"/>
            <w:noWrap/>
            <w:hideMark/>
          </w:tcPr>
          <w:p w14:paraId="053104B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Construction minerals</w:t>
            </w:r>
          </w:p>
        </w:tc>
        <w:tc>
          <w:tcPr>
            <w:tcW w:w="1300" w:type="dxa"/>
            <w:noWrap/>
            <w:hideMark/>
          </w:tcPr>
          <w:p w14:paraId="448D7A2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0293F61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9.80E-01</w:t>
            </w:r>
          </w:p>
        </w:tc>
        <w:tc>
          <w:tcPr>
            <w:tcW w:w="1348" w:type="dxa"/>
            <w:noWrap/>
            <w:hideMark/>
          </w:tcPr>
          <w:p w14:paraId="0153EA7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7.74E+04</w:t>
            </w:r>
          </w:p>
        </w:tc>
        <w:tc>
          <w:tcPr>
            <w:tcW w:w="1252" w:type="dxa"/>
            <w:noWrap/>
            <w:hideMark/>
          </w:tcPr>
          <w:p w14:paraId="0B563CC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9.80E-01</w:t>
            </w:r>
          </w:p>
        </w:tc>
        <w:tc>
          <w:tcPr>
            <w:tcW w:w="1348" w:type="dxa"/>
            <w:noWrap/>
            <w:hideMark/>
          </w:tcPr>
          <w:p w14:paraId="0666B0E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5.88E+04</w:t>
            </w:r>
          </w:p>
        </w:tc>
        <w:tc>
          <w:tcPr>
            <w:tcW w:w="1252" w:type="dxa"/>
            <w:noWrap/>
            <w:hideMark/>
          </w:tcPr>
          <w:p w14:paraId="2C9E268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9.89E-01</w:t>
            </w:r>
          </w:p>
        </w:tc>
        <w:tc>
          <w:tcPr>
            <w:tcW w:w="1348" w:type="dxa"/>
            <w:noWrap/>
            <w:hideMark/>
          </w:tcPr>
          <w:p w14:paraId="4A380DE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2.77E+04</w:t>
            </w:r>
          </w:p>
        </w:tc>
        <w:tc>
          <w:tcPr>
            <w:tcW w:w="1252" w:type="dxa"/>
            <w:noWrap/>
            <w:hideMark/>
          </w:tcPr>
          <w:p w14:paraId="637AC15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9.23E-01</w:t>
            </w:r>
          </w:p>
        </w:tc>
        <w:tc>
          <w:tcPr>
            <w:tcW w:w="1348" w:type="dxa"/>
            <w:noWrap/>
            <w:hideMark/>
          </w:tcPr>
          <w:p w14:paraId="77591A8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2.22E+04</w:t>
            </w:r>
          </w:p>
        </w:tc>
        <w:tc>
          <w:tcPr>
            <w:tcW w:w="1252" w:type="dxa"/>
            <w:noWrap/>
            <w:hideMark/>
          </w:tcPr>
          <w:p w14:paraId="305C602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6.60E-01</w:t>
            </w:r>
          </w:p>
        </w:tc>
        <w:tc>
          <w:tcPr>
            <w:tcW w:w="1348" w:type="dxa"/>
            <w:noWrap/>
            <w:hideMark/>
          </w:tcPr>
          <w:p w14:paraId="62E266C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7.93E+03</w:t>
            </w:r>
          </w:p>
        </w:tc>
      </w:tr>
      <w:tr w:rsidR="006C0FD6" w:rsidRPr="006C0FD6" w14:paraId="649B9E03" w14:textId="77777777" w:rsidTr="006C0FD6">
        <w:trPr>
          <w:trHeight w:val="300"/>
        </w:trPr>
        <w:tc>
          <w:tcPr>
            <w:tcW w:w="2672" w:type="dxa"/>
            <w:noWrap/>
            <w:hideMark/>
          </w:tcPr>
          <w:p w14:paraId="586063E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Steel</w:t>
            </w:r>
          </w:p>
        </w:tc>
        <w:tc>
          <w:tcPr>
            <w:tcW w:w="1300" w:type="dxa"/>
            <w:noWrap/>
            <w:hideMark/>
          </w:tcPr>
          <w:p w14:paraId="04E6658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15D09048"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1.38E-02</w:t>
            </w:r>
          </w:p>
        </w:tc>
        <w:tc>
          <w:tcPr>
            <w:tcW w:w="1348" w:type="dxa"/>
            <w:noWrap/>
            <w:hideMark/>
          </w:tcPr>
          <w:p w14:paraId="7D3BD72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1.09E+03</w:t>
            </w:r>
          </w:p>
        </w:tc>
        <w:tc>
          <w:tcPr>
            <w:tcW w:w="1252" w:type="dxa"/>
            <w:noWrap/>
            <w:hideMark/>
          </w:tcPr>
          <w:p w14:paraId="7BB9A11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1.41E-02</w:t>
            </w:r>
          </w:p>
        </w:tc>
        <w:tc>
          <w:tcPr>
            <w:tcW w:w="1348" w:type="dxa"/>
            <w:noWrap/>
            <w:hideMark/>
          </w:tcPr>
          <w:p w14:paraId="1B66234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8.46E+02</w:t>
            </w:r>
          </w:p>
        </w:tc>
        <w:tc>
          <w:tcPr>
            <w:tcW w:w="1252" w:type="dxa"/>
            <w:noWrap/>
            <w:hideMark/>
          </w:tcPr>
          <w:p w14:paraId="3863797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1.37E-02</w:t>
            </w:r>
          </w:p>
        </w:tc>
        <w:tc>
          <w:tcPr>
            <w:tcW w:w="1348" w:type="dxa"/>
            <w:noWrap/>
            <w:hideMark/>
          </w:tcPr>
          <w:p w14:paraId="5B377F9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3.85E+02</w:t>
            </w:r>
          </w:p>
        </w:tc>
        <w:tc>
          <w:tcPr>
            <w:tcW w:w="1252" w:type="dxa"/>
            <w:noWrap/>
            <w:hideMark/>
          </w:tcPr>
          <w:p w14:paraId="7B26373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1.29E-02</w:t>
            </w:r>
          </w:p>
        </w:tc>
        <w:tc>
          <w:tcPr>
            <w:tcW w:w="1348" w:type="dxa"/>
            <w:noWrap/>
            <w:hideMark/>
          </w:tcPr>
          <w:p w14:paraId="0420384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3.10E+02</w:t>
            </w:r>
          </w:p>
        </w:tc>
        <w:tc>
          <w:tcPr>
            <w:tcW w:w="1252" w:type="dxa"/>
            <w:noWrap/>
            <w:hideMark/>
          </w:tcPr>
          <w:p w14:paraId="631AED5A"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9.32E-03</w:t>
            </w:r>
          </w:p>
        </w:tc>
        <w:tc>
          <w:tcPr>
            <w:tcW w:w="1348" w:type="dxa"/>
            <w:noWrap/>
            <w:hideMark/>
          </w:tcPr>
          <w:p w14:paraId="1B108A7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1.12E+02</w:t>
            </w:r>
          </w:p>
        </w:tc>
      </w:tr>
      <w:tr w:rsidR="006C0FD6" w:rsidRPr="006C0FD6" w14:paraId="499E2559" w14:textId="77777777" w:rsidTr="006C0FD6">
        <w:trPr>
          <w:trHeight w:val="300"/>
        </w:trPr>
        <w:tc>
          <w:tcPr>
            <w:tcW w:w="2672" w:type="dxa"/>
            <w:noWrap/>
            <w:hideMark/>
          </w:tcPr>
          <w:p w14:paraId="4109C33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Timber</w:t>
            </w:r>
          </w:p>
        </w:tc>
        <w:tc>
          <w:tcPr>
            <w:tcW w:w="1300" w:type="dxa"/>
            <w:noWrap/>
            <w:hideMark/>
          </w:tcPr>
          <w:p w14:paraId="2E91EA1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m3/MWh</w:t>
            </w:r>
          </w:p>
        </w:tc>
        <w:tc>
          <w:tcPr>
            <w:tcW w:w="1252" w:type="dxa"/>
            <w:noWrap/>
            <w:hideMark/>
          </w:tcPr>
          <w:p w14:paraId="2ECD820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8.07E-03</w:t>
            </w:r>
          </w:p>
        </w:tc>
        <w:tc>
          <w:tcPr>
            <w:tcW w:w="1348" w:type="dxa"/>
            <w:noWrap/>
            <w:hideMark/>
          </w:tcPr>
          <w:p w14:paraId="1D01A64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6.37E+02</w:t>
            </w:r>
          </w:p>
        </w:tc>
        <w:tc>
          <w:tcPr>
            <w:tcW w:w="1252" w:type="dxa"/>
            <w:noWrap/>
            <w:hideMark/>
          </w:tcPr>
          <w:p w14:paraId="6353B41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8.23E-06</w:t>
            </w:r>
          </w:p>
        </w:tc>
        <w:tc>
          <w:tcPr>
            <w:tcW w:w="1348" w:type="dxa"/>
            <w:noWrap/>
            <w:hideMark/>
          </w:tcPr>
          <w:p w14:paraId="1D301A0A"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4.94E-01</w:t>
            </w:r>
          </w:p>
        </w:tc>
        <w:tc>
          <w:tcPr>
            <w:tcW w:w="1252" w:type="dxa"/>
            <w:noWrap/>
            <w:hideMark/>
          </w:tcPr>
          <w:p w14:paraId="5963C30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8.24E-06</w:t>
            </w:r>
          </w:p>
        </w:tc>
        <w:tc>
          <w:tcPr>
            <w:tcW w:w="1348" w:type="dxa"/>
            <w:noWrap/>
            <w:hideMark/>
          </w:tcPr>
          <w:p w14:paraId="633CE13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2.31E-01</w:t>
            </w:r>
          </w:p>
        </w:tc>
        <w:tc>
          <w:tcPr>
            <w:tcW w:w="1252" w:type="dxa"/>
            <w:noWrap/>
            <w:hideMark/>
          </w:tcPr>
          <w:p w14:paraId="3199E63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7.60E-06</w:t>
            </w:r>
          </w:p>
        </w:tc>
        <w:tc>
          <w:tcPr>
            <w:tcW w:w="1348" w:type="dxa"/>
            <w:noWrap/>
            <w:hideMark/>
          </w:tcPr>
          <w:p w14:paraId="7822560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1.82E-01</w:t>
            </w:r>
          </w:p>
        </w:tc>
        <w:tc>
          <w:tcPr>
            <w:tcW w:w="1252" w:type="dxa"/>
            <w:noWrap/>
            <w:hideMark/>
          </w:tcPr>
          <w:p w14:paraId="584C0AC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5.44E-06</w:t>
            </w:r>
          </w:p>
        </w:tc>
        <w:tc>
          <w:tcPr>
            <w:tcW w:w="1348" w:type="dxa"/>
            <w:noWrap/>
            <w:hideMark/>
          </w:tcPr>
          <w:p w14:paraId="7846A7B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6.53E-02</w:t>
            </w:r>
          </w:p>
        </w:tc>
      </w:tr>
      <w:tr w:rsidR="006C0FD6" w:rsidRPr="006C0FD6" w14:paraId="72ABEA71" w14:textId="77777777" w:rsidTr="006C0FD6">
        <w:trPr>
          <w:trHeight w:val="300"/>
        </w:trPr>
        <w:tc>
          <w:tcPr>
            <w:tcW w:w="2672" w:type="dxa"/>
            <w:noWrap/>
            <w:hideMark/>
          </w:tcPr>
          <w:p w14:paraId="530BB4F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Explosive</w:t>
            </w:r>
          </w:p>
        </w:tc>
        <w:tc>
          <w:tcPr>
            <w:tcW w:w="1300" w:type="dxa"/>
            <w:noWrap/>
            <w:hideMark/>
          </w:tcPr>
          <w:p w14:paraId="0329C48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7464C78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8.65E-04</w:t>
            </w:r>
          </w:p>
        </w:tc>
        <w:tc>
          <w:tcPr>
            <w:tcW w:w="1348" w:type="dxa"/>
            <w:noWrap/>
            <w:hideMark/>
          </w:tcPr>
          <w:p w14:paraId="594876F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6.83E+01</w:t>
            </w:r>
          </w:p>
        </w:tc>
        <w:tc>
          <w:tcPr>
            <w:tcW w:w="1252" w:type="dxa"/>
            <w:noWrap/>
            <w:hideMark/>
          </w:tcPr>
          <w:p w14:paraId="4C09C81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8.23E-04</w:t>
            </w:r>
          </w:p>
        </w:tc>
        <w:tc>
          <w:tcPr>
            <w:tcW w:w="1348" w:type="dxa"/>
            <w:noWrap/>
            <w:hideMark/>
          </w:tcPr>
          <w:p w14:paraId="2E4ED23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4.94E+01</w:t>
            </w:r>
          </w:p>
        </w:tc>
        <w:tc>
          <w:tcPr>
            <w:tcW w:w="1252" w:type="dxa"/>
            <w:noWrap/>
            <w:hideMark/>
          </w:tcPr>
          <w:p w14:paraId="20E314A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8.79E-04</w:t>
            </w:r>
          </w:p>
        </w:tc>
        <w:tc>
          <w:tcPr>
            <w:tcW w:w="1348" w:type="dxa"/>
            <w:noWrap/>
            <w:hideMark/>
          </w:tcPr>
          <w:p w14:paraId="429BCC2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2.46E+01</w:t>
            </w:r>
          </w:p>
        </w:tc>
        <w:tc>
          <w:tcPr>
            <w:tcW w:w="1252" w:type="dxa"/>
            <w:noWrap/>
            <w:hideMark/>
          </w:tcPr>
          <w:p w14:paraId="6DF4595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9.32E-04</w:t>
            </w:r>
          </w:p>
        </w:tc>
        <w:tc>
          <w:tcPr>
            <w:tcW w:w="1348" w:type="dxa"/>
            <w:noWrap/>
            <w:hideMark/>
          </w:tcPr>
          <w:p w14:paraId="521583DA"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2.24E+01</w:t>
            </w:r>
          </w:p>
        </w:tc>
        <w:tc>
          <w:tcPr>
            <w:tcW w:w="1252" w:type="dxa"/>
            <w:noWrap/>
            <w:hideMark/>
          </w:tcPr>
          <w:p w14:paraId="1E70233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5.83E-04</w:t>
            </w:r>
          </w:p>
        </w:tc>
        <w:tc>
          <w:tcPr>
            <w:tcW w:w="1348" w:type="dxa"/>
            <w:noWrap/>
            <w:hideMark/>
          </w:tcPr>
          <w:p w14:paraId="4F044A8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6.99E+00</w:t>
            </w:r>
          </w:p>
        </w:tc>
      </w:tr>
      <w:tr w:rsidR="006C0FD6" w:rsidRPr="006C0FD6" w14:paraId="44E3BE8E" w14:textId="77777777" w:rsidTr="006C0FD6">
        <w:trPr>
          <w:trHeight w:val="300"/>
        </w:trPr>
        <w:tc>
          <w:tcPr>
            <w:tcW w:w="2672" w:type="dxa"/>
            <w:noWrap/>
            <w:hideMark/>
          </w:tcPr>
          <w:p w14:paraId="484DE33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Diesel Fuel</w:t>
            </w:r>
          </w:p>
        </w:tc>
        <w:tc>
          <w:tcPr>
            <w:tcW w:w="1300" w:type="dxa"/>
            <w:noWrap/>
            <w:hideMark/>
          </w:tcPr>
          <w:p w14:paraId="6F13947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5D339C5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3.63E-03</w:t>
            </w:r>
          </w:p>
        </w:tc>
        <w:tc>
          <w:tcPr>
            <w:tcW w:w="1348" w:type="dxa"/>
            <w:noWrap/>
            <w:hideMark/>
          </w:tcPr>
          <w:p w14:paraId="2002241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2.87E+02</w:t>
            </w:r>
          </w:p>
        </w:tc>
        <w:tc>
          <w:tcPr>
            <w:tcW w:w="1252" w:type="dxa"/>
            <w:noWrap/>
            <w:hideMark/>
          </w:tcPr>
          <w:p w14:paraId="0D2FD98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3.68E-03</w:t>
            </w:r>
          </w:p>
        </w:tc>
        <w:tc>
          <w:tcPr>
            <w:tcW w:w="1348" w:type="dxa"/>
            <w:noWrap/>
            <w:hideMark/>
          </w:tcPr>
          <w:p w14:paraId="7FB7FE7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2.21E+02</w:t>
            </w:r>
          </w:p>
        </w:tc>
        <w:tc>
          <w:tcPr>
            <w:tcW w:w="1252" w:type="dxa"/>
            <w:noWrap/>
            <w:hideMark/>
          </w:tcPr>
          <w:p w14:paraId="50A9AB1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4.34E-03</w:t>
            </w:r>
          </w:p>
        </w:tc>
        <w:tc>
          <w:tcPr>
            <w:tcW w:w="1348" w:type="dxa"/>
            <w:noWrap/>
            <w:hideMark/>
          </w:tcPr>
          <w:p w14:paraId="181664D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1.22E+02</w:t>
            </w:r>
          </w:p>
        </w:tc>
        <w:tc>
          <w:tcPr>
            <w:tcW w:w="1252" w:type="dxa"/>
            <w:noWrap/>
            <w:hideMark/>
          </w:tcPr>
          <w:p w14:paraId="2E27FFE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3.42E-03</w:t>
            </w:r>
          </w:p>
        </w:tc>
        <w:tc>
          <w:tcPr>
            <w:tcW w:w="1348" w:type="dxa"/>
            <w:noWrap/>
            <w:hideMark/>
          </w:tcPr>
          <w:p w14:paraId="4F91DCD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8.21E+01</w:t>
            </w:r>
          </w:p>
        </w:tc>
        <w:tc>
          <w:tcPr>
            <w:tcW w:w="1252" w:type="dxa"/>
            <w:noWrap/>
            <w:hideMark/>
          </w:tcPr>
          <w:p w14:paraId="29D1473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2.45E-03</w:t>
            </w:r>
          </w:p>
        </w:tc>
        <w:tc>
          <w:tcPr>
            <w:tcW w:w="1348" w:type="dxa"/>
            <w:noWrap/>
            <w:hideMark/>
          </w:tcPr>
          <w:p w14:paraId="5CA51A0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2.94E+01</w:t>
            </w:r>
          </w:p>
        </w:tc>
      </w:tr>
      <w:tr w:rsidR="006C0FD6" w:rsidRPr="006C0FD6" w14:paraId="6A0C629E" w14:textId="77777777" w:rsidTr="006C0FD6">
        <w:trPr>
          <w:trHeight w:val="300"/>
        </w:trPr>
        <w:tc>
          <w:tcPr>
            <w:tcW w:w="2672" w:type="dxa"/>
            <w:noWrap/>
            <w:hideMark/>
          </w:tcPr>
          <w:p w14:paraId="701222C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Electricity</w:t>
            </w:r>
          </w:p>
        </w:tc>
        <w:tc>
          <w:tcPr>
            <w:tcW w:w="1300" w:type="dxa"/>
            <w:noWrap/>
            <w:hideMark/>
          </w:tcPr>
          <w:p w14:paraId="02CD1A4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kWh/MWh</w:t>
            </w:r>
          </w:p>
        </w:tc>
        <w:tc>
          <w:tcPr>
            <w:tcW w:w="1252" w:type="dxa"/>
            <w:noWrap/>
            <w:hideMark/>
          </w:tcPr>
          <w:p w14:paraId="1176553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2.13E-02</w:t>
            </w:r>
          </w:p>
        </w:tc>
        <w:tc>
          <w:tcPr>
            <w:tcW w:w="1348" w:type="dxa"/>
            <w:noWrap/>
            <w:hideMark/>
          </w:tcPr>
          <w:p w14:paraId="03B0BC2A"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1.68E+03</w:t>
            </w:r>
          </w:p>
        </w:tc>
        <w:tc>
          <w:tcPr>
            <w:tcW w:w="1252" w:type="dxa"/>
            <w:noWrap/>
            <w:hideMark/>
          </w:tcPr>
          <w:p w14:paraId="2E2F47D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2.16E-02</w:t>
            </w:r>
          </w:p>
        </w:tc>
        <w:tc>
          <w:tcPr>
            <w:tcW w:w="1348" w:type="dxa"/>
            <w:noWrap/>
            <w:hideMark/>
          </w:tcPr>
          <w:p w14:paraId="66E2C50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1.29E+03</w:t>
            </w:r>
          </w:p>
        </w:tc>
        <w:tc>
          <w:tcPr>
            <w:tcW w:w="1252" w:type="dxa"/>
            <w:noWrap/>
            <w:hideMark/>
          </w:tcPr>
          <w:p w14:paraId="24ACE4C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2.09E-02</w:t>
            </w:r>
          </w:p>
        </w:tc>
        <w:tc>
          <w:tcPr>
            <w:tcW w:w="1348" w:type="dxa"/>
            <w:noWrap/>
            <w:hideMark/>
          </w:tcPr>
          <w:p w14:paraId="17D0595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5.85E+02</w:t>
            </w:r>
          </w:p>
        </w:tc>
        <w:tc>
          <w:tcPr>
            <w:tcW w:w="1252" w:type="dxa"/>
            <w:noWrap/>
            <w:hideMark/>
          </w:tcPr>
          <w:p w14:paraId="2F0126C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2.01E-02</w:t>
            </w:r>
          </w:p>
        </w:tc>
        <w:tc>
          <w:tcPr>
            <w:tcW w:w="1348" w:type="dxa"/>
            <w:noWrap/>
            <w:hideMark/>
          </w:tcPr>
          <w:p w14:paraId="5A3A03B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4.82E+02</w:t>
            </w:r>
          </w:p>
        </w:tc>
        <w:tc>
          <w:tcPr>
            <w:tcW w:w="1252" w:type="dxa"/>
            <w:noWrap/>
            <w:hideMark/>
          </w:tcPr>
          <w:p w14:paraId="7EACCE9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1.44E-02</w:t>
            </w:r>
          </w:p>
        </w:tc>
        <w:tc>
          <w:tcPr>
            <w:tcW w:w="1348" w:type="dxa"/>
            <w:noWrap/>
            <w:hideMark/>
          </w:tcPr>
          <w:p w14:paraId="467DFAD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1.72E+02</w:t>
            </w:r>
          </w:p>
        </w:tc>
      </w:tr>
      <w:tr w:rsidR="006C0FD6" w:rsidRPr="006C0FD6" w14:paraId="2D92BBEB" w14:textId="77777777" w:rsidTr="006C0FD6">
        <w:trPr>
          <w:trHeight w:val="300"/>
        </w:trPr>
        <w:tc>
          <w:tcPr>
            <w:tcW w:w="2672" w:type="dxa"/>
            <w:tcBorders>
              <w:bottom w:val="single" w:sz="4" w:space="0" w:color="auto"/>
            </w:tcBorders>
            <w:noWrap/>
            <w:hideMark/>
          </w:tcPr>
          <w:p w14:paraId="78302BC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Land use</w:t>
            </w:r>
          </w:p>
        </w:tc>
        <w:tc>
          <w:tcPr>
            <w:tcW w:w="1300" w:type="dxa"/>
            <w:tcBorders>
              <w:bottom w:val="single" w:sz="4" w:space="0" w:color="auto"/>
            </w:tcBorders>
            <w:noWrap/>
            <w:hideMark/>
          </w:tcPr>
          <w:p w14:paraId="6B0D4098"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m2/MWh</w:t>
            </w:r>
          </w:p>
        </w:tc>
        <w:tc>
          <w:tcPr>
            <w:tcW w:w="1252" w:type="dxa"/>
            <w:tcBorders>
              <w:bottom w:val="single" w:sz="4" w:space="0" w:color="auto"/>
            </w:tcBorders>
            <w:noWrap/>
            <w:hideMark/>
          </w:tcPr>
          <w:p w14:paraId="7674016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2.51E+02</w:t>
            </w:r>
          </w:p>
        </w:tc>
        <w:tc>
          <w:tcPr>
            <w:tcW w:w="1348" w:type="dxa"/>
            <w:tcBorders>
              <w:bottom w:val="single" w:sz="4" w:space="0" w:color="auto"/>
            </w:tcBorders>
            <w:noWrap/>
            <w:hideMark/>
          </w:tcPr>
          <w:p w14:paraId="5B67965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1.98E+07</w:t>
            </w:r>
          </w:p>
        </w:tc>
        <w:tc>
          <w:tcPr>
            <w:tcW w:w="1252" w:type="dxa"/>
            <w:tcBorders>
              <w:bottom w:val="single" w:sz="4" w:space="0" w:color="auto"/>
            </w:tcBorders>
            <w:noWrap/>
            <w:hideMark/>
          </w:tcPr>
          <w:p w14:paraId="2FFEE55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1.70E-02</w:t>
            </w:r>
          </w:p>
        </w:tc>
        <w:tc>
          <w:tcPr>
            <w:tcW w:w="1348" w:type="dxa"/>
            <w:tcBorders>
              <w:bottom w:val="single" w:sz="4" w:space="0" w:color="auto"/>
            </w:tcBorders>
            <w:noWrap/>
            <w:hideMark/>
          </w:tcPr>
          <w:p w14:paraId="60B1FA3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1.02E+03</w:t>
            </w:r>
          </w:p>
        </w:tc>
        <w:tc>
          <w:tcPr>
            <w:tcW w:w="1252" w:type="dxa"/>
            <w:tcBorders>
              <w:bottom w:val="single" w:sz="4" w:space="0" w:color="auto"/>
            </w:tcBorders>
            <w:noWrap/>
            <w:hideMark/>
          </w:tcPr>
          <w:p w14:paraId="26DA3E7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1.52E-02</w:t>
            </w:r>
          </w:p>
        </w:tc>
        <w:tc>
          <w:tcPr>
            <w:tcW w:w="1348" w:type="dxa"/>
            <w:tcBorders>
              <w:bottom w:val="single" w:sz="4" w:space="0" w:color="auto"/>
            </w:tcBorders>
            <w:noWrap/>
            <w:hideMark/>
          </w:tcPr>
          <w:p w14:paraId="1D9A630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4.26E+02</w:t>
            </w:r>
          </w:p>
        </w:tc>
        <w:tc>
          <w:tcPr>
            <w:tcW w:w="1252" w:type="dxa"/>
            <w:tcBorders>
              <w:bottom w:val="single" w:sz="4" w:space="0" w:color="auto"/>
            </w:tcBorders>
            <w:noWrap/>
            <w:hideMark/>
          </w:tcPr>
          <w:p w14:paraId="46D68FB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2.23E-02</w:t>
            </w:r>
          </w:p>
        </w:tc>
        <w:tc>
          <w:tcPr>
            <w:tcW w:w="1348" w:type="dxa"/>
            <w:tcBorders>
              <w:bottom w:val="single" w:sz="4" w:space="0" w:color="auto"/>
            </w:tcBorders>
            <w:noWrap/>
            <w:hideMark/>
          </w:tcPr>
          <w:p w14:paraId="3054167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5.36E+02</w:t>
            </w:r>
          </w:p>
        </w:tc>
        <w:tc>
          <w:tcPr>
            <w:tcW w:w="1252" w:type="dxa"/>
            <w:tcBorders>
              <w:bottom w:val="single" w:sz="4" w:space="0" w:color="auto"/>
            </w:tcBorders>
            <w:noWrap/>
            <w:hideMark/>
          </w:tcPr>
          <w:p w14:paraId="24EF2C9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6.14E-03</w:t>
            </w:r>
          </w:p>
        </w:tc>
        <w:tc>
          <w:tcPr>
            <w:tcW w:w="1348" w:type="dxa"/>
            <w:tcBorders>
              <w:bottom w:val="single" w:sz="4" w:space="0" w:color="auto"/>
            </w:tcBorders>
            <w:noWrap/>
            <w:hideMark/>
          </w:tcPr>
          <w:p w14:paraId="068EC11A"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7.37E+01</w:t>
            </w:r>
          </w:p>
        </w:tc>
      </w:tr>
      <w:tr w:rsidR="006C0FD6" w:rsidRPr="006C0FD6" w14:paraId="045B629A" w14:textId="77777777" w:rsidTr="006C0FD6">
        <w:trPr>
          <w:trHeight w:val="121"/>
        </w:trPr>
        <w:tc>
          <w:tcPr>
            <w:tcW w:w="2672" w:type="dxa"/>
            <w:tcBorders>
              <w:top w:val="single" w:sz="4" w:space="0" w:color="auto"/>
              <w:bottom w:val="single" w:sz="4" w:space="0" w:color="auto"/>
            </w:tcBorders>
            <w:noWrap/>
            <w:hideMark/>
          </w:tcPr>
          <w:p w14:paraId="713FE60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Equipment</w:t>
            </w:r>
          </w:p>
        </w:tc>
        <w:tc>
          <w:tcPr>
            <w:tcW w:w="1300" w:type="dxa"/>
            <w:tcBorders>
              <w:top w:val="single" w:sz="4" w:space="0" w:color="auto"/>
              <w:bottom w:val="single" w:sz="4" w:space="0" w:color="auto"/>
            </w:tcBorders>
            <w:noWrap/>
            <w:hideMark/>
          </w:tcPr>
          <w:p w14:paraId="3B69B66D"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61883981"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4212F5C3"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6C6B02E4"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605AE8DA"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1AA3CF23"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194E2053"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653AC2E0"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1A530A75"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7EC4E060"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61E0B3B7" w14:textId="77777777" w:rsidR="006C0FD6" w:rsidRPr="006C0FD6" w:rsidRDefault="006C0FD6" w:rsidP="004F2BB1">
            <w:pPr>
              <w:rPr>
                <w:rFonts w:ascii="Times New Roman" w:hAnsi="Times New Roman" w:cs="Times New Roman"/>
                <w:sz w:val="15"/>
                <w:szCs w:val="15"/>
              </w:rPr>
            </w:pPr>
          </w:p>
        </w:tc>
      </w:tr>
      <w:tr w:rsidR="006C0FD6" w:rsidRPr="006C0FD6" w14:paraId="642605D0" w14:textId="77777777" w:rsidTr="00F77BBE">
        <w:trPr>
          <w:trHeight w:val="82"/>
        </w:trPr>
        <w:tc>
          <w:tcPr>
            <w:tcW w:w="2672" w:type="dxa"/>
            <w:tcBorders>
              <w:top w:val="single" w:sz="4" w:space="0" w:color="auto"/>
              <w:bottom w:val="single" w:sz="4" w:space="0" w:color="auto"/>
            </w:tcBorders>
            <w:noWrap/>
            <w:hideMark/>
          </w:tcPr>
          <w:p w14:paraId="40E26FB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Turbine</w:t>
            </w:r>
          </w:p>
        </w:tc>
        <w:tc>
          <w:tcPr>
            <w:tcW w:w="1300" w:type="dxa"/>
            <w:tcBorders>
              <w:top w:val="single" w:sz="4" w:space="0" w:color="auto"/>
              <w:bottom w:val="single" w:sz="4" w:space="0" w:color="auto"/>
            </w:tcBorders>
            <w:noWrap/>
            <w:hideMark/>
          </w:tcPr>
          <w:p w14:paraId="49E54534"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7B9CC7C9"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48A95970"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23D8FB6D"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563240FD"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60F4132F"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0E90D3C9"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65197419"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1C87D81F"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227AEC77"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60CE447B" w14:textId="77777777" w:rsidR="006C0FD6" w:rsidRPr="006C0FD6" w:rsidRDefault="006C0FD6" w:rsidP="004F2BB1">
            <w:pPr>
              <w:rPr>
                <w:rFonts w:ascii="Times New Roman" w:hAnsi="Times New Roman" w:cs="Times New Roman"/>
                <w:sz w:val="15"/>
                <w:szCs w:val="15"/>
              </w:rPr>
            </w:pPr>
          </w:p>
        </w:tc>
      </w:tr>
      <w:tr w:rsidR="006C0FD6" w:rsidRPr="006C0FD6" w14:paraId="5BA541E9" w14:textId="77777777" w:rsidTr="006C0FD6">
        <w:trPr>
          <w:trHeight w:val="300"/>
        </w:trPr>
        <w:tc>
          <w:tcPr>
            <w:tcW w:w="2672" w:type="dxa"/>
            <w:tcBorders>
              <w:top w:val="single" w:sz="4" w:space="0" w:color="auto"/>
            </w:tcBorders>
            <w:noWrap/>
            <w:hideMark/>
          </w:tcPr>
          <w:p w14:paraId="21B9E25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steel</w:t>
            </w:r>
          </w:p>
        </w:tc>
        <w:tc>
          <w:tcPr>
            <w:tcW w:w="1300" w:type="dxa"/>
            <w:tcBorders>
              <w:top w:val="single" w:sz="4" w:space="0" w:color="auto"/>
            </w:tcBorders>
            <w:noWrap/>
            <w:hideMark/>
          </w:tcPr>
          <w:p w14:paraId="732C0A8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tcBorders>
              <w:top w:val="single" w:sz="4" w:space="0" w:color="auto"/>
            </w:tcBorders>
            <w:noWrap/>
            <w:hideMark/>
          </w:tcPr>
          <w:p w14:paraId="7B9CB35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2.36E-03</w:t>
            </w:r>
          </w:p>
        </w:tc>
        <w:tc>
          <w:tcPr>
            <w:tcW w:w="1348" w:type="dxa"/>
            <w:tcBorders>
              <w:top w:val="single" w:sz="4" w:space="0" w:color="auto"/>
            </w:tcBorders>
            <w:noWrap/>
            <w:hideMark/>
          </w:tcPr>
          <w:p w14:paraId="4599B3DA"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1.87E+02</w:t>
            </w:r>
          </w:p>
        </w:tc>
        <w:tc>
          <w:tcPr>
            <w:tcW w:w="1252" w:type="dxa"/>
            <w:tcBorders>
              <w:top w:val="single" w:sz="4" w:space="0" w:color="auto"/>
            </w:tcBorders>
            <w:noWrap/>
            <w:hideMark/>
          </w:tcPr>
          <w:p w14:paraId="34958D8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2.41E-03</w:t>
            </w:r>
          </w:p>
        </w:tc>
        <w:tc>
          <w:tcPr>
            <w:tcW w:w="1348" w:type="dxa"/>
            <w:tcBorders>
              <w:top w:val="single" w:sz="4" w:space="0" w:color="auto"/>
            </w:tcBorders>
            <w:noWrap/>
            <w:hideMark/>
          </w:tcPr>
          <w:p w14:paraId="6863845A"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1.45E+02</w:t>
            </w:r>
          </w:p>
        </w:tc>
        <w:tc>
          <w:tcPr>
            <w:tcW w:w="1252" w:type="dxa"/>
            <w:tcBorders>
              <w:top w:val="single" w:sz="4" w:space="0" w:color="auto"/>
            </w:tcBorders>
            <w:noWrap/>
            <w:hideMark/>
          </w:tcPr>
          <w:p w14:paraId="4CD96AC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2.42E-03</w:t>
            </w:r>
          </w:p>
        </w:tc>
        <w:tc>
          <w:tcPr>
            <w:tcW w:w="1348" w:type="dxa"/>
            <w:tcBorders>
              <w:top w:val="single" w:sz="4" w:space="0" w:color="auto"/>
            </w:tcBorders>
            <w:noWrap/>
            <w:hideMark/>
          </w:tcPr>
          <w:p w14:paraId="4BE143D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6.77E+01</w:t>
            </w:r>
          </w:p>
        </w:tc>
        <w:tc>
          <w:tcPr>
            <w:tcW w:w="1252" w:type="dxa"/>
            <w:tcBorders>
              <w:top w:val="single" w:sz="4" w:space="0" w:color="auto"/>
            </w:tcBorders>
            <w:noWrap/>
            <w:hideMark/>
          </w:tcPr>
          <w:p w14:paraId="1BF4146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2.23E-03</w:t>
            </w:r>
          </w:p>
        </w:tc>
        <w:tc>
          <w:tcPr>
            <w:tcW w:w="1348" w:type="dxa"/>
            <w:tcBorders>
              <w:top w:val="single" w:sz="4" w:space="0" w:color="auto"/>
            </w:tcBorders>
            <w:noWrap/>
            <w:hideMark/>
          </w:tcPr>
          <w:p w14:paraId="7DC06F7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5.34E+01</w:t>
            </w:r>
          </w:p>
        </w:tc>
        <w:tc>
          <w:tcPr>
            <w:tcW w:w="1252" w:type="dxa"/>
            <w:tcBorders>
              <w:top w:val="single" w:sz="4" w:space="0" w:color="auto"/>
            </w:tcBorders>
            <w:noWrap/>
            <w:hideMark/>
          </w:tcPr>
          <w:p w14:paraId="5A81083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1.59E-03</w:t>
            </w:r>
          </w:p>
        </w:tc>
        <w:tc>
          <w:tcPr>
            <w:tcW w:w="1348" w:type="dxa"/>
            <w:tcBorders>
              <w:top w:val="single" w:sz="4" w:space="0" w:color="auto"/>
            </w:tcBorders>
            <w:noWrap/>
            <w:hideMark/>
          </w:tcPr>
          <w:p w14:paraId="2324F3A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1.91E+01</w:t>
            </w:r>
          </w:p>
        </w:tc>
      </w:tr>
      <w:tr w:rsidR="006C0FD6" w:rsidRPr="006C0FD6" w14:paraId="0B34460D" w14:textId="77777777" w:rsidTr="006C0FD6">
        <w:trPr>
          <w:trHeight w:val="300"/>
        </w:trPr>
        <w:tc>
          <w:tcPr>
            <w:tcW w:w="2672" w:type="dxa"/>
            <w:noWrap/>
            <w:hideMark/>
          </w:tcPr>
          <w:p w14:paraId="6DDE707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Stainless Steel</w:t>
            </w:r>
          </w:p>
        </w:tc>
        <w:tc>
          <w:tcPr>
            <w:tcW w:w="1300" w:type="dxa"/>
            <w:noWrap/>
            <w:hideMark/>
          </w:tcPr>
          <w:p w14:paraId="098D89D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15EE5D8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7.49E-04</w:t>
            </w:r>
          </w:p>
        </w:tc>
        <w:tc>
          <w:tcPr>
            <w:tcW w:w="1348" w:type="dxa"/>
            <w:noWrap/>
            <w:hideMark/>
          </w:tcPr>
          <w:p w14:paraId="74866B5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5.92E+01</w:t>
            </w:r>
          </w:p>
        </w:tc>
        <w:tc>
          <w:tcPr>
            <w:tcW w:w="1252" w:type="dxa"/>
            <w:noWrap/>
            <w:hideMark/>
          </w:tcPr>
          <w:p w14:paraId="63CFDE8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7.64E-05</w:t>
            </w:r>
          </w:p>
        </w:tc>
        <w:tc>
          <w:tcPr>
            <w:tcW w:w="1348" w:type="dxa"/>
            <w:noWrap/>
            <w:hideMark/>
          </w:tcPr>
          <w:p w14:paraId="38982A9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4.58E+00</w:t>
            </w:r>
          </w:p>
        </w:tc>
        <w:tc>
          <w:tcPr>
            <w:tcW w:w="1252" w:type="dxa"/>
            <w:noWrap/>
            <w:hideMark/>
          </w:tcPr>
          <w:p w14:paraId="40A5FAD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7.69E-05</w:t>
            </w:r>
          </w:p>
        </w:tc>
        <w:tc>
          <w:tcPr>
            <w:tcW w:w="1348" w:type="dxa"/>
            <w:noWrap/>
            <w:hideMark/>
          </w:tcPr>
          <w:p w14:paraId="3A9578E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2.15E+00</w:t>
            </w:r>
          </w:p>
        </w:tc>
        <w:tc>
          <w:tcPr>
            <w:tcW w:w="1252" w:type="dxa"/>
            <w:noWrap/>
            <w:hideMark/>
          </w:tcPr>
          <w:p w14:paraId="134C0B7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7.06E-05</w:t>
            </w:r>
          </w:p>
        </w:tc>
        <w:tc>
          <w:tcPr>
            <w:tcW w:w="1348" w:type="dxa"/>
            <w:noWrap/>
            <w:hideMark/>
          </w:tcPr>
          <w:p w14:paraId="67617E8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1.69E+00</w:t>
            </w:r>
          </w:p>
        </w:tc>
        <w:tc>
          <w:tcPr>
            <w:tcW w:w="1252" w:type="dxa"/>
            <w:noWrap/>
            <w:hideMark/>
          </w:tcPr>
          <w:p w14:paraId="223F926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5.05E-05</w:t>
            </w:r>
          </w:p>
        </w:tc>
        <w:tc>
          <w:tcPr>
            <w:tcW w:w="1348" w:type="dxa"/>
            <w:noWrap/>
            <w:hideMark/>
          </w:tcPr>
          <w:p w14:paraId="7BE13ED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6.06E-01</w:t>
            </w:r>
          </w:p>
        </w:tc>
      </w:tr>
      <w:tr w:rsidR="006C0FD6" w:rsidRPr="006C0FD6" w14:paraId="6603066F" w14:textId="77777777" w:rsidTr="006C0FD6">
        <w:trPr>
          <w:trHeight w:val="300"/>
        </w:trPr>
        <w:tc>
          <w:tcPr>
            <w:tcW w:w="2672" w:type="dxa"/>
            <w:noWrap/>
            <w:hideMark/>
          </w:tcPr>
          <w:p w14:paraId="6F701E1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Iron</w:t>
            </w:r>
          </w:p>
        </w:tc>
        <w:tc>
          <w:tcPr>
            <w:tcW w:w="1300" w:type="dxa"/>
            <w:noWrap/>
            <w:hideMark/>
          </w:tcPr>
          <w:p w14:paraId="3B3F292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0119A9A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4.21E-05</w:t>
            </w:r>
          </w:p>
        </w:tc>
        <w:tc>
          <w:tcPr>
            <w:tcW w:w="1348" w:type="dxa"/>
            <w:noWrap/>
            <w:hideMark/>
          </w:tcPr>
          <w:p w14:paraId="508D931A"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3.32E+00</w:t>
            </w:r>
          </w:p>
        </w:tc>
        <w:tc>
          <w:tcPr>
            <w:tcW w:w="1252" w:type="dxa"/>
            <w:noWrap/>
            <w:hideMark/>
          </w:tcPr>
          <w:p w14:paraId="625131D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4.29E-05</w:t>
            </w:r>
          </w:p>
        </w:tc>
        <w:tc>
          <w:tcPr>
            <w:tcW w:w="1348" w:type="dxa"/>
            <w:noWrap/>
            <w:hideMark/>
          </w:tcPr>
          <w:p w14:paraId="5FF147B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2.57E+00</w:t>
            </w:r>
          </w:p>
        </w:tc>
        <w:tc>
          <w:tcPr>
            <w:tcW w:w="1252" w:type="dxa"/>
            <w:noWrap/>
            <w:hideMark/>
          </w:tcPr>
          <w:p w14:paraId="465A009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4.07E-05</w:t>
            </w:r>
          </w:p>
        </w:tc>
        <w:tc>
          <w:tcPr>
            <w:tcW w:w="1348" w:type="dxa"/>
            <w:noWrap/>
            <w:hideMark/>
          </w:tcPr>
          <w:p w14:paraId="05D48B8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1.14E+00</w:t>
            </w:r>
          </w:p>
        </w:tc>
        <w:tc>
          <w:tcPr>
            <w:tcW w:w="1252" w:type="dxa"/>
            <w:noWrap/>
            <w:hideMark/>
          </w:tcPr>
          <w:p w14:paraId="45F96D2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3.96E-05</w:t>
            </w:r>
          </w:p>
        </w:tc>
        <w:tc>
          <w:tcPr>
            <w:tcW w:w="1348" w:type="dxa"/>
            <w:noWrap/>
            <w:hideMark/>
          </w:tcPr>
          <w:p w14:paraId="0CDCF9A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9.52E-01</w:t>
            </w:r>
          </w:p>
        </w:tc>
        <w:tc>
          <w:tcPr>
            <w:tcW w:w="1252" w:type="dxa"/>
            <w:noWrap/>
            <w:hideMark/>
          </w:tcPr>
          <w:p w14:paraId="1461A9D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2.84E-05</w:t>
            </w:r>
          </w:p>
        </w:tc>
        <w:tc>
          <w:tcPr>
            <w:tcW w:w="1348" w:type="dxa"/>
            <w:noWrap/>
            <w:hideMark/>
          </w:tcPr>
          <w:p w14:paraId="01BDB63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3.40E-01</w:t>
            </w:r>
          </w:p>
        </w:tc>
      </w:tr>
      <w:tr w:rsidR="006C0FD6" w:rsidRPr="006C0FD6" w14:paraId="4E144DB5" w14:textId="77777777" w:rsidTr="006C0FD6">
        <w:trPr>
          <w:trHeight w:val="300"/>
        </w:trPr>
        <w:tc>
          <w:tcPr>
            <w:tcW w:w="2672" w:type="dxa"/>
            <w:tcBorders>
              <w:bottom w:val="single" w:sz="4" w:space="0" w:color="auto"/>
            </w:tcBorders>
            <w:noWrap/>
            <w:hideMark/>
          </w:tcPr>
          <w:p w14:paraId="1D1AB69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Aluminium</w:t>
            </w:r>
          </w:p>
        </w:tc>
        <w:tc>
          <w:tcPr>
            <w:tcW w:w="1300" w:type="dxa"/>
            <w:tcBorders>
              <w:bottom w:val="single" w:sz="4" w:space="0" w:color="auto"/>
            </w:tcBorders>
            <w:noWrap/>
            <w:hideMark/>
          </w:tcPr>
          <w:p w14:paraId="24DC207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tcBorders>
              <w:bottom w:val="single" w:sz="4" w:space="0" w:color="auto"/>
            </w:tcBorders>
            <w:noWrap/>
            <w:hideMark/>
          </w:tcPr>
          <w:p w14:paraId="2BD64C0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3.11E-06</w:t>
            </w:r>
          </w:p>
        </w:tc>
        <w:tc>
          <w:tcPr>
            <w:tcW w:w="1348" w:type="dxa"/>
            <w:tcBorders>
              <w:bottom w:val="single" w:sz="4" w:space="0" w:color="auto"/>
            </w:tcBorders>
            <w:noWrap/>
            <w:hideMark/>
          </w:tcPr>
          <w:p w14:paraId="572E5C8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2.46E-01</w:t>
            </w:r>
          </w:p>
        </w:tc>
        <w:tc>
          <w:tcPr>
            <w:tcW w:w="1252" w:type="dxa"/>
            <w:tcBorders>
              <w:bottom w:val="single" w:sz="4" w:space="0" w:color="auto"/>
            </w:tcBorders>
            <w:noWrap/>
            <w:hideMark/>
          </w:tcPr>
          <w:p w14:paraId="289FF67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3.17E-06</w:t>
            </w:r>
          </w:p>
        </w:tc>
        <w:tc>
          <w:tcPr>
            <w:tcW w:w="1348" w:type="dxa"/>
            <w:tcBorders>
              <w:bottom w:val="single" w:sz="4" w:space="0" w:color="auto"/>
            </w:tcBorders>
            <w:noWrap/>
            <w:hideMark/>
          </w:tcPr>
          <w:p w14:paraId="1BBFFEA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1.90E-01</w:t>
            </w:r>
          </w:p>
        </w:tc>
        <w:tc>
          <w:tcPr>
            <w:tcW w:w="1252" w:type="dxa"/>
            <w:tcBorders>
              <w:bottom w:val="single" w:sz="4" w:space="0" w:color="auto"/>
            </w:tcBorders>
            <w:noWrap/>
            <w:hideMark/>
          </w:tcPr>
          <w:p w14:paraId="2F989C4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3.02E-06</w:t>
            </w:r>
          </w:p>
        </w:tc>
        <w:tc>
          <w:tcPr>
            <w:tcW w:w="1348" w:type="dxa"/>
            <w:tcBorders>
              <w:bottom w:val="single" w:sz="4" w:space="0" w:color="auto"/>
            </w:tcBorders>
            <w:noWrap/>
            <w:hideMark/>
          </w:tcPr>
          <w:p w14:paraId="0CAFA98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8.46E-02</w:t>
            </w:r>
          </w:p>
        </w:tc>
        <w:tc>
          <w:tcPr>
            <w:tcW w:w="1252" w:type="dxa"/>
            <w:tcBorders>
              <w:bottom w:val="single" w:sz="4" w:space="0" w:color="auto"/>
            </w:tcBorders>
            <w:noWrap/>
            <w:hideMark/>
          </w:tcPr>
          <w:p w14:paraId="4A069AA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2.93E-06</w:t>
            </w:r>
          </w:p>
        </w:tc>
        <w:tc>
          <w:tcPr>
            <w:tcW w:w="1348" w:type="dxa"/>
            <w:tcBorders>
              <w:bottom w:val="single" w:sz="4" w:space="0" w:color="auto"/>
            </w:tcBorders>
            <w:noWrap/>
            <w:hideMark/>
          </w:tcPr>
          <w:p w14:paraId="7A688608"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7.04E-02</w:t>
            </w:r>
          </w:p>
        </w:tc>
        <w:tc>
          <w:tcPr>
            <w:tcW w:w="1252" w:type="dxa"/>
            <w:tcBorders>
              <w:bottom w:val="single" w:sz="4" w:space="0" w:color="auto"/>
            </w:tcBorders>
            <w:noWrap/>
            <w:hideMark/>
          </w:tcPr>
          <w:p w14:paraId="16EAE10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3.36E-06</w:t>
            </w:r>
          </w:p>
        </w:tc>
        <w:tc>
          <w:tcPr>
            <w:tcW w:w="1348" w:type="dxa"/>
            <w:tcBorders>
              <w:bottom w:val="single" w:sz="4" w:space="0" w:color="auto"/>
            </w:tcBorders>
            <w:noWrap/>
            <w:hideMark/>
          </w:tcPr>
          <w:p w14:paraId="4BC7E11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4.03E-02</w:t>
            </w:r>
          </w:p>
        </w:tc>
      </w:tr>
      <w:tr w:rsidR="006C0FD6" w:rsidRPr="006C0FD6" w14:paraId="44721C7A" w14:textId="77777777" w:rsidTr="006C0FD6">
        <w:trPr>
          <w:trHeight w:val="220"/>
        </w:trPr>
        <w:tc>
          <w:tcPr>
            <w:tcW w:w="2672" w:type="dxa"/>
            <w:tcBorders>
              <w:top w:val="single" w:sz="4" w:space="0" w:color="auto"/>
              <w:bottom w:val="single" w:sz="4" w:space="0" w:color="auto"/>
            </w:tcBorders>
            <w:noWrap/>
            <w:hideMark/>
          </w:tcPr>
          <w:p w14:paraId="7BF604B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Generator</w:t>
            </w:r>
          </w:p>
        </w:tc>
        <w:tc>
          <w:tcPr>
            <w:tcW w:w="1300" w:type="dxa"/>
            <w:tcBorders>
              <w:top w:val="single" w:sz="4" w:space="0" w:color="auto"/>
              <w:bottom w:val="single" w:sz="4" w:space="0" w:color="auto"/>
            </w:tcBorders>
            <w:noWrap/>
            <w:hideMark/>
          </w:tcPr>
          <w:p w14:paraId="28202398"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740257C1"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18ED89A4"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6BC61C3C"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2A362AD3"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7B15B265"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0A69D36B"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18E053C4"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70FA39E7"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4A8C397F"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00868A3E" w14:textId="77777777" w:rsidR="006C0FD6" w:rsidRPr="006C0FD6" w:rsidRDefault="006C0FD6" w:rsidP="004F2BB1">
            <w:pPr>
              <w:rPr>
                <w:rFonts w:ascii="Times New Roman" w:hAnsi="Times New Roman" w:cs="Times New Roman"/>
                <w:sz w:val="15"/>
                <w:szCs w:val="15"/>
              </w:rPr>
            </w:pPr>
          </w:p>
        </w:tc>
      </w:tr>
      <w:tr w:rsidR="006C0FD6" w:rsidRPr="006C0FD6" w14:paraId="539D6B31" w14:textId="77777777" w:rsidTr="006C0FD6">
        <w:trPr>
          <w:trHeight w:val="300"/>
        </w:trPr>
        <w:tc>
          <w:tcPr>
            <w:tcW w:w="2672" w:type="dxa"/>
            <w:tcBorders>
              <w:top w:val="single" w:sz="4" w:space="0" w:color="auto"/>
            </w:tcBorders>
            <w:noWrap/>
            <w:hideMark/>
          </w:tcPr>
          <w:p w14:paraId="68BB57C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Steel</w:t>
            </w:r>
          </w:p>
        </w:tc>
        <w:tc>
          <w:tcPr>
            <w:tcW w:w="1300" w:type="dxa"/>
            <w:tcBorders>
              <w:top w:val="single" w:sz="4" w:space="0" w:color="auto"/>
            </w:tcBorders>
            <w:noWrap/>
            <w:hideMark/>
          </w:tcPr>
          <w:p w14:paraId="7622477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tcBorders>
              <w:top w:val="single" w:sz="4" w:space="0" w:color="auto"/>
            </w:tcBorders>
            <w:noWrap/>
            <w:hideMark/>
          </w:tcPr>
          <w:p w14:paraId="1C1CEE4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1.73E-03</w:t>
            </w:r>
          </w:p>
        </w:tc>
        <w:tc>
          <w:tcPr>
            <w:tcW w:w="1348" w:type="dxa"/>
            <w:tcBorders>
              <w:top w:val="single" w:sz="4" w:space="0" w:color="auto"/>
            </w:tcBorders>
            <w:noWrap/>
            <w:hideMark/>
          </w:tcPr>
          <w:p w14:paraId="1CEE2DC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1.37E+02</w:t>
            </w:r>
          </w:p>
        </w:tc>
        <w:tc>
          <w:tcPr>
            <w:tcW w:w="1252" w:type="dxa"/>
            <w:tcBorders>
              <w:top w:val="single" w:sz="4" w:space="0" w:color="auto"/>
            </w:tcBorders>
            <w:noWrap/>
            <w:hideMark/>
          </w:tcPr>
          <w:p w14:paraId="785EFB2A"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1.76E-03</w:t>
            </w:r>
          </w:p>
        </w:tc>
        <w:tc>
          <w:tcPr>
            <w:tcW w:w="1348" w:type="dxa"/>
            <w:tcBorders>
              <w:top w:val="single" w:sz="4" w:space="0" w:color="auto"/>
            </w:tcBorders>
            <w:noWrap/>
            <w:hideMark/>
          </w:tcPr>
          <w:p w14:paraId="6ED66C3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1.06E+02</w:t>
            </w:r>
          </w:p>
        </w:tc>
        <w:tc>
          <w:tcPr>
            <w:tcW w:w="1252" w:type="dxa"/>
            <w:tcBorders>
              <w:top w:val="single" w:sz="4" w:space="0" w:color="auto"/>
            </w:tcBorders>
            <w:noWrap/>
            <w:hideMark/>
          </w:tcPr>
          <w:p w14:paraId="3302AB3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1.70E-03</w:t>
            </w:r>
          </w:p>
        </w:tc>
        <w:tc>
          <w:tcPr>
            <w:tcW w:w="1348" w:type="dxa"/>
            <w:tcBorders>
              <w:top w:val="single" w:sz="4" w:space="0" w:color="auto"/>
            </w:tcBorders>
            <w:noWrap/>
            <w:hideMark/>
          </w:tcPr>
          <w:p w14:paraId="086E1A3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4.77E+01</w:t>
            </w:r>
          </w:p>
        </w:tc>
        <w:tc>
          <w:tcPr>
            <w:tcW w:w="1252" w:type="dxa"/>
            <w:tcBorders>
              <w:top w:val="single" w:sz="4" w:space="0" w:color="auto"/>
            </w:tcBorders>
            <w:noWrap/>
            <w:hideMark/>
          </w:tcPr>
          <w:p w14:paraId="02F1932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1.63E-03</w:t>
            </w:r>
          </w:p>
        </w:tc>
        <w:tc>
          <w:tcPr>
            <w:tcW w:w="1348" w:type="dxa"/>
            <w:tcBorders>
              <w:top w:val="single" w:sz="4" w:space="0" w:color="auto"/>
            </w:tcBorders>
            <w:noWrap/>
            <w:hideMark/>
          </w:tcPr>
          <w:p w14:paraId="08A6A50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3.91E+01</w:t>
            </w:r>
          </w:p>
        </w:tc>
        <w:tc>
          <w:tcPr>
            <w:tcW w:w="1252" w:type="dxa"/>
            <w:tcBorders>
              <w:top w:val="single" w:sz="4" w:space="0" w:color="auto"/>
            </w:tcBorders>
            <w:noWrap/>
            <w:hideMark/>
          </w:tcPr>
          <w:p w14:paraId="7C157B98"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1.17E-03</w:t>
            </w:r>
          </w:p>
        </w:tc>
        <w:tc>
          <w:tcPr>
            <w:tcW w:w="1348" w:type="dxa"/>
            <w:tcBorders>
              <w:top w:val="single" w:sz="4" w:space="0" w:color="auto"/>
            </w:tcBorders>
            <w:noWrap/>
            <w:hideMark/>
          </w:tcPr>
          <w:p w14:paraId="5F3371B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1.40E+01</w:t>
            </w:r>
          </w:p>
        </w:tc>
      </w:tr>
      <w:tr w:rsidR="006C0FD6" w:rsidRPr="006C0FD6" w14:paraId="2B9856C3" w14:textId="77777777" w:rsidTr="006C0FD6">
        <w:trPr>
          <w:trHeight w:val="300"/>
        </w:trPr>
        <w:tc>
          <w:tcPr>
            <w:tcW w:w="2672" w:type="dxa"/>
            <w:noWrap/>
            <w:hideMark/>
          </w:tcPr>
          <w:p w14:paraId="5926131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Cooper</w:t>
            </w:r>
          </w:p>
        </w:tc>
        <w:tc>
          <w:tcPr>
            <w:tcW w:w="1300" w:type="dxa"/>
            <w:noWrap/>
            <w:hideMark/>
          </w:tcPr>
          <w:p w14:paraId="24B810F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44705808"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1.21E-03</w:t>
            </w:r>
          </w:p>
        </w:tc>
        <w:tc>
          <w:tcPr>
            <w:tcW w:w="1348" w:type="dxa"/>
            <w:noWrap/>
            <w:hideMark/>
          </w:tcPr>
          <w:p w14:paraId="24EE057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9.56E+01</w:t>
            </w:r>
          </w:p>
        </w:tc>
        <w:tc>
          <w:tcPr>
            <w:tcW w:w="1252" w:type="dxa"/>
            <w:noWrap/>
            <w:hideMark/>
          </w:tcPr>
          <w:p w14:paraId="5A55A3C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1.23E-03</w:t>
            </w:r>
          </w:p>
        </w:tc>
        <w:tc>
          <w:tcPr>
            <w:tcW w:w="1348" w:type="dxa"/>
            <w:noWrap/>
            <w:hideMark/>
          </w:tcPr>
          <w:p w14:paraId="22786CB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7.41E+01</w:t>
            </w:r>
          </w:p>
        </w:tc>
        <w:tc>
          <w:tcPr>
            <w:tcW w:w="1252" w:type="dxa"/>
            <w:noWrap/>
            <w:hideMark/>
          </w:tcPr>
          <w:p w14:paraId="00F0AD5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1.15E-03</w:t>
            </w:r>
          </w:p>
        </w:tc>
        <w:tc>
          <w:tcPr>
            <w:tcW w:w="1348" w:type="dxa"/>
            <w:noWrap/>
            <w:hideMark/>
          </w:tcPr>
          <w:p w14:paraId="2C37715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3.23E+01</w:t>
            </w:r>
          </w:p>
        </w:tc>
        <w:tc>
          <w:tcPr>
            <w:tcW w:w="1252" w:type="dxa"/>
            <w:noWrap/>
            <w:hideMark/>
          </w:tcPr>
          <w:p w14:paraId="66033AE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1.09E-03</w:t>
            </w:r>
          </w:p>
        </w:tc>
        <w:tc>
          <w:tcPr>
            <w:tcW w:w="1348" w:type="dxa"/>
            <w:noWrap/>
            <w:hideMark/>
          </w:tcPr>
          <w:p w14:paraId="24F73BF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2.61E+01</w:t>
            </w:r>
          </w:p>
        </w:tc>
        <w:tc>
          <w:tcPr>
            <w:tcW w:w="1252" w:type="dxa"/>
            <w:noWrap/>
            <w:hideMark/>
          </w:tcPr>
          <w:p w14:paraId="3BC37F7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8.16E-04</w:t>
            </w:r>
          </w:p>
        </w:tc>
        <w:tc>
          <w:tcPr>
            <w:tcW w:w="1348" w:type="dxa"/>
            <w:noWrap/>
            <w:hideMark/>
          </w:tcPr>
          <w:p w14:paraId="55FED0A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9.79E+00</w:t>
            </w:r>
          </w:p>
        </w:tc>
      </w:tr>
      <w:tr w:rsidR="006C0FD6" w:rsidRPr="006C0FD6" w14:paraId="64F882FC" w14:textId="77777777" w:rsidTr="006C0FD6">
        <w:trPr>
          <w:trHeight w:val="300"/>
        </w:trPr>
        <w:tc>
          <w:tcPr>
            <w:tcW w:w="2672" w:type="dxa"/>
            <w:noWrap/>
            <w:hideMark/>
          </w:tcPr>
          <w:p w14:paraId="0E454F7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Speed governor</w:t>
            </w:r>
          </w:p>
        </w:tc>
        <w:tc>
          <w:tcPr>
            <w:tcW w:w="1300" w:type="dxa"/>
            <w:noWrap/>
            <w:hideMark/>
          </w:tcPr>
          <w:p w14:paraId="1406F6F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6A3CBD3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2.71E-04</w:t>
            </w:r>
          </w:p>
        </w:tc>
        <w:tc>
          <w:tcPr>
            <w:tcW w:w="1348" w:type="dxa"/>
            <w:noWrap/>
            <w:hideMark/>
          </w:tcPr>
          <w:p w14:paraId="3734BBC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2.14E+01</w:t>
            </w:r>
          </w:p>
        </w:tc>
        <w:tc>
          <w:tcPr>
            <w:tcW w:w="1252" w:type="dxa"/>
            <w:noWrap/>
            <w:hideMark/>
          </w:tcPr>
          <w:p w14:paraId="7D13B8D8"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2.76E-04</w:t>
            </w:r>
          </w:p>
        </w:tc>
        <w:tc>
          <w:tcPr>
            <w:tcW w:w="1348" w:type="dxa"/>
            <w:noWrap/>
            <w:hideMark/>
          </w:tcPr>
          <w:p w14:paraId="78A73F9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1.66E+01</w:t>
            </w:r>
          </w:p>
        </w:tc>
        <w:tc>
          <w:tcPr>
            <w:tcW w:w="1252" w:type="dxa"/>
            <w:noWrap/>
            <w:hideMark/>
          </w:tcPr>
          <w:p w14:paraId="433F46E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2.58E-04</w:t>
            </w:r>
          </w:p>
        </w:tc>
        <w:tc>
          <w:tcPr>
            <w:tcW w:w="1348" w:type="dxa"/>
            <w:noWrap/>
            <w:hideMark/>
          </w:tcPr>
          <w:p w14:paraId="6D906EB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7.23E+00</w:t>
            </w:r>
          </w:p>
        </w:tc>
        <w:tc>
          <w:tcPr>
            <w:tcW w:w="1252" w:type="dxa"/>
            <w:noWrap/>
            <w:hideMark/>
          </w:tcPr>
          <w:p w14:paraId="58F4A8B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2.55E-04</w:t>
            </w:r>
          </w:p>
        </w:tc>
        <w:tc>
          <w:tcPr>
            <w:tcW w:w="1348" w:type="dxa"/>
            <w:noWrap/>
            <w:hideMark/>
          </w:tcPr>
          <w:p w14:paraId="3CFA4C7A"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6.13E+00</w:t>
            </w:r>
          </w:p>
        </w:tc>
        <w:tc>
          <w:tcPr>
            <w:tcW w:w="1252" w:type="dxa"/>
            <w:noWrap/>
            <w:hideMark/>
          </w:tcPr>
          <w:p w14:paraId="6954BAC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1.83E-04</w:t>
            </w:r>
          </w:p>
        </w:tc>
        <w:tc>
          <w:tcPr>
            <w:tcW w:w="1348" w:type="dxa"/>
            <w:noWrap/>
            <w:hideMark/>
          </w:tcPr>
          <w:p w14:paraId="728EA26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2.19E+00</w:t>
            </w:r>
          </w:p>
        </w:tc>
      </w:tr>
      <w:tr w:rsidR="006C0FD6" w:rsidRPr="006C0FD6" w14:paraId="46AA302C" w14:textId="77777777" w:rsidTr="006C0FD6">
        <w:trPr>
          <w:trHeight w:val="300"/>
        </w:trPr>
        <w:tc>
          <w:tcPr>
            <w:tcW w:w="2672" w:type="dxa"/>
            <w:noWrap/>
            <w:hideMark/>
          </w:tcPr>
          <w:p w14:paraId="2CC5E14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Exciter (Steel)</w:t>
            </w:r>
          </w:p>
        </w:tc>
        <w:tc>
          <w:tcPr>
            <w:tcW w:w="1300" w:type="dxa"/>
            <w:noWrap/>
            <w:hideMark/>
          </w:tcPr>
          <w:p w14:paraId="3E60319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0B5A5A2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2.77E-05</w:t>
            </w:r>
          </w:p>
        </w:tc>
        <w:tc>
          <w:tcPr>
            <w:tcW w:w="1348" w:type="dxa"/>
            <w:noWrap/>
            <w:hideMark/>
          </w:tcPr>
          <w:p w14:paraId="2442234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2.19E+00</w:t>
            </w:r>
          </w:p>
        </w:tc>
        <w:tc>
          <w:tcPr>
            <w:tcW w:w="1252" w:type="dxa"/>
            <w:noWrap/>
            <w:hideMark/>
          </w:tcPr>
          <w:p w14:paraId="1851083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2.82E-05</w:t>
            </w:r>
          </w:p>
        </w:tc>
        <w:tc>
          <w:tcPr>
            <w:tcW w:w="1348" w:type="dxa"/>
            <w:noWrap/>
            <w:hideMark/>
          </w:tcPr>
          <w:p w14:paraId="77B58F4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1.69E+00</w:t>
            </w:r>
          </w:p>
        </w:tc>
        <w:tc>
          <w:tcPr>
            <w:tcW w:w="1252" w:type="dxa"/>
            <w:noWrap/>
            <w:hideMark/>
          </w:tcPr>
          <w:p w14:paraId="0B47954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2.69E-05</w:t>
            </w:r>
          </w:p>
        </w:tc>
        <w:tc>
          <w:tcPr>
            <w:tcW w:w="1348" w:type="dxa"/>
            <w:noWrap/>
            <w:hideMark/>
          </w:tcPr>
          <w:p w14:paraId="54378F7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7.54E-01</w:t>
            </w:r>
          </w:p>
        </w:tc>
        <w:tc>
          <w:tcPr>
            <w:tcW w:w="1252" w:type="dxa"/>
            <w:noWrap/>
            <w:hideMark/>
          </w:tcPr>
          <w:p w14:paraId="72871ED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2.61E-05</w:t>
            </w:r>
          </w:p>
        </w:tc>
        <w:tc>
          <w:tcPr>
            <w:tcW w:w="1348" w:type="dxa"/>
            <w:noWrap/>
            <w:hideMark/>
          </w:tcPr>
          <w:p w14:paraId="44B820A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6.26E-01</w:t>
            </w:r>
          </w:p>
        </w:tc>
        <w:tc>
          <w:tcPr>
            <w:tcW w:w="1252" w:type="dxa"/>
            <w:noWrap/>
            <w:hideMark/>
          </w:tcPr>
          <w:p w14:paraId="66C9D08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1.86E-05</w:t>
            </w:r>
          </w:p>
        </w:tc>
        <w:tc>
          <w:tcPr>
            <w:tcW w:w="1348" w:type="dxa"/>
            <w:noWrap/>
            <w:hideMark/>
          </w:tcPr>
          <w:p w14:paraId="6751C2C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2.24E-01</w:t>
            </w:r>
          </w:p>
        </w:tc>
      </w:tr>
      <w:tr w:rsidR="006C0FD6" w:rsidRPr="006C0FD6" w14:paraId="37A91260" w14:textId="77777777" w:rsidTr="006C0FD6">
        <w:trPr>
          <w:trHeight w:val="300"/>
        </w:trPr>
        <w:tc>
          <w:tcPr>
            <w:tcW w:w="2672" w:type="dxa"/>
            <w:noWrap/>
            <w:hideMark/>
          </w:tcPr>
          <w:p w14:paraId="0A06E6B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King valve (steel)</w:t>
            </w:r>
          </w:p>
        </w:tc>
        <w:tc>
          <w:tcPr>
            <w:tcW w:w="1300" w:type="dxa"/>
            <w:noWrap/>
            <w:hideMark/>
          </w:tcPr>
          <w:p w14:paraId="45CD04E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6542856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5.76E-04</w:t>
            </w:r>
          </w:p>
        </w:tc>
        <w:tc>
          <w:tcPr>
            <w:tcW w:w="1348" w:type="dxa"/>
            <w:noWrap/>
            <w:hideMark/>
          </w:tcPr>
          <w:p w14:paraId="4405D9E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4.55E+01</w:t>
            </w:r>
          </w:p>
        </w:tc>
        <w:tc>
          <w:tcPr>
            <w:tcW w:w="1252" w:type="dxa"/>
            <w:noWrap/>
            <w:hideMark/>
          </w:tcPr>
          <w:p w14:paraId="2F853FF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5.88E-04</w:t>
            </w:r>
          </w:p>
        </w:tc>
        <w:tc>
          <w:tcPr>
            <w:tcW w:w="1348" w:type="dxa"/>
            <w:noWrap/>
            <w:hideMark/>
          </w:tcPr>
          <w:p w14:paraId="25F2F64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3.53E+01</w:t>
            </w:r>
          </w:p>
        </w:tc>
        <w:tc>
          <w:tcPr>
            <w:tcW w:w="1252" w:type="dxa"/>
            <w:noWrap/>
            <w:hideMark/>
          </w:tcPr>
          <w:p w14:paraId="74DE4FE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6.04E-04</w:t>
            </w:r>
          </w:p>
        </w:tc>
        <w:tc>
          <w:tcPr>
            <w:tcW w:w="1348" w:type="dxa"/>
            <w:noWrap/>
            <w:hideMark/>
          </w:tcPr>
          <w:p w14:paraId="0FABB8B8"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1.69E+01</w:t>
            </w:r>
          </w:p>
        </w:tc>
        <w:tc>
          <w:tcPr>
            <w:tcW w:w="1252" w:type="dxa"/>
            <w:noWrap/>
            <w:hideMark/>
          </w:tcPr>
          <w:p w14:paraId="49DA2B0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5.43E-04</w:t>
            </w:r>
          </w:p>
        </w:tc>
        <w:tc>
          <w:tcPr>
            <w:tcW w:w="1348" w:type="dxa"/>
            <w:noWrap/>
            <w:hideMark/>
          </w:tcPr>
          <w:p w14:paraId="51B2AB7A"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1.30E+01</w:t>
            </w:r>
          </w:p>
        </w:tc>
        <w:tc>
          <w:tcPr>
            <w:tcW w:w="1252" w:type="dxa"/>
            <w:noWrap/>
            <w:hideMark/>
          </w:tcPr>
          <w:p w14:paraId="4E6936A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3.89E-05</w:t>
            </w:r>
          </w:p>
        </w:tc>
        <w:tc>
          <w:tcPr>
            <w:tcW w:w="1348" w:type="dxa"/>
            <w:noWrap/>
            <w:hideMark/>
          </w:tcPr>
          <w:p w14:paraId="356325A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4.66E-01</w:t>
            </w:r>
          </w:p>
        </w:tc>
      </w:tr>
      <w:tr w:rsidR="006C0FD6" w:rsidRPr="006C0FD6" w14:paraId="715604E9" w14:textId="77777777" w:rsidTr="006C0FD6">
        <w:trPr>
          <w:trHeight w:val="300"/>
        </w:trPr>
        <w:tc>
          <w:tcPr>
            <w:tcW w:w="2672" w:type="dxa"/>
            <w:noWrap/>
            <w:hideMark/>
          </w:tcPr>
          <w:p w14:paraId="6C32AD0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Crane (steel)</w:t>
            </w:r>
          </w:p>
        </w:tc>
        <w:tc>
          <w:tcPr>
            <w:tcW w:w="1300" w:type="dxa"/>
            <w:noWrap/>
            <w:hideMark/>
          </w:tcPr>
          <w:p w14:paraId="6F24388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5B98CD2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7.49E-04</w:t>
            </w:r>
          </w:p>
        </w:tc>
        <w:tc>
          <w:tcPr>
            <w:tcW w:w="1348" w:type="dxa"/>
            <w:noWrap/>
            <w:hideMark/>
          </w:tcPr>
          <w:p w14:paraId="10027F9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5.92E+01</w:t>
            </w:r>
          </w:p>
        </w:tc>
        <w:tc>
          <w:tcPr>
            <w:tcW w:w="1252" w:type="dxa"/>
            <w:noWrap/>
            <w:hideMark/>
          </w:tcPr>
          <w:p w14:paraId="4AE4E54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7.64E-04</w:t>
            </w:r>
          </w:p>
        </w:tc>
        <w:tc>
          <w:tcPr>
            <w:tcW w:w="1348" w:type="dxa"/>
            <w:noWrap/>
            <w:hideMark/>
          </w:tcPr>
          <w:p w14:paraId="4A3D659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4.58E+01</w:t>
            </w:r>
          </w:p>
        </w:tc>
        <w:tc>
          <w:tcPr>
            <w:tcW w:w="1252" w:type="dxa"/>
            <w:noWrap/>
            <w:hideMark/>
          </w:tcPr>
          <w:p w14:paraId="306FD2B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7.69E-04</w:t>
            </w:r>
          </w:p>
        </w:tc>
        <w:tc>
          <w:tcPr>
            <w:tcW w:w="1348" w:type="dxa"/>
            <w:noWrap/>
            <w:hideMark/>
          </w:tcPr>
          <w:p w14:paraId="4CF35D1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2.15E+01</w:t>
            </w:r>
          </w:p>
        </w:tc>
        <w:tc>
          <w:tcPr>
            <w:tcW w:w="1252" w:type="dxa"/>
            <w:noWrap/>
            <w:hideMark/>
          </w:tcPr>
          <w:p w14:paraId="2F4643E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7.06E-04</w:t>
            </w:r>
          </w:p>
        </w:tc>
        <w:tc>
          <w:tcPr>
            <w:tcW w:w="1348" w:type="dxa"/>
            <w:noWrap/>
            <w:hideMark/>
          </w:tcPr>
          <w:p w14:paraId="35A87A0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1.69E+01</w:t>
            </w:r>
          </w:p>
        </w:tc>
        <w:tc>
          <w:tcPr>
            <w:tcW w:w="1252" w:type="dxa"/>
            <w:noWrap/>
            <w:hideMark/>
          </w:tcPr>
          <w:p w14:paraId="1B5ED28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5.05E-04</w:t>
            </w:r>
          </w:p>
        </w:tc>
        <w:tc>
          <w:tcPr>
            <w:tcW w:w="1348" w:type="dxa"/>
            <w:noWrap/>
            <w:hideMark/>
          </w:tcPr>
          <w:p w14:paraId="1FBEAF4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6.06E+00</w:t>
            </w:r>
          </w:p>
        </w:tc>
      </w:tr>
      <w:tr w:rsidR="006C0FD6" w:rsidRPr="006C0FD6" w14:paraId="57D25B1E" w14:textId="77777777" w:rsidTr="006C0FD6">
        <w:trPr>
          <w:trHeight w:val="300"/>
        </w:trPr>
        <w:tc>
          <w:tcPr>
            <w:tcW w:w="2672" w:type="dxa"/>
            <w:noWrap/>
            <w:hideMark/>
          </w:tcPr>
          <w:p w14:paraId="0C07569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Water gate and screen (steel)</w:t>
            </w:r>
          </w:p>
        </w:tc>
        <w:tc>
          <w:tcPr>
            <w:tcW w:w="1300" w:type="dxa"/>
            <w:noWrap/>
            <w:hideMark/>
          </w:tcPr>
          <w:p w14:paraId="10924AC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574C9A2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1.27E-03</w:t>
            </w:r>
          </w:p>
        </w:tc>
        <w:tc>
          <w:tcPr>
            <w:tcW w:w="1348" w:type="dxa"/>
            <w:noWrap/>
            <w:hideMark/>
          </w:tcPr>
          <w:p w14:paraId="30C2916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1.00E+02</w:t>
            </w:r>
          </w:p>
        </w:tc>
        <w:tc>
          <w:tcPr>
            <w:tcW w:w="1252" w:type="dxa"/>
            <w:noWrap/>
            <w:hideMark/>
          </w:tcPr>
          <w:p w14:paraId="3351D27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1.29E-03</w:t>
            </w:r>
          </w:p>
        </w:tc>
        <w:tc>
          <w:tcPr>
            <w:tcW w:w="1348" w:type="dxa"/>
            <w:noWrap/>
            <w:hideMark/>
          </w:tcPr>
          <w:p w14:paraId="6504378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7.76E+01</w:t>
            </w:r>
          </w:p>
        </w:tc>
        <w:tc>
          <w:tcPr>
            <w:tcW w:w="1252" w:type="dxa"/>
            <w:noWrap/>
            <w:hideMark/>
          </w:tcPr>
          <w:p w14:paraId="6DD44D5A"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1.26E-03</w:t>
            </w:r>
          </w:p>
        </w:tc>
        <w:tc>
          <w:tcPr>
            <w:tcW w:w="1348" w:type="dxa"/>
            <w:noWrap/>
            <w:hideMark/>
          </w:tcPr>
          <w:p w14:paraId="04A85ED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3.54E+01</w:t>
            </w:r>
          </w:p>
        </w:tc>
        <w:tc>
          <w:tcPr>
            <w:tcW w:w="1252" w:type="dxa"/>
            <w:noWrap/>
            <w:hideMark/>
          </w:tcPr>
          <w:p w14:paraId="4A4A722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1.19E-03</w:t>
            </w:r>
          </w:p>
        </w:tc>
        <w:tc>
          <w:tcPr>
            <w:tcW w:w="1348" w:type="dxa"/>
            <w:noWrap/>
            <w:hideMark/>
          </w:tcPr>
          <w:p w14:paraId="2509660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2.87E+01</w:t>
            </w:r>
          </w:p>
        </w:tc>
        <w:tc>
          <w:tcPr>
            <w:tcW w:w="1252" w:type="dxa"/>
            <w:noWrap/>
            <w:hideMark/>
          </w:tcPr>
          <w:p w14:paraId="749B248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8.55E-04</w:t>
            </w:r>
          </w:p>
        </w:tc>
        <w:tc>
          <w:tcPr>
            <w:tcW w:w="1348" w:type="dxa"/>
            <w:noWrap/>
            <w:hideMark/>
          </w:tcPr>
          <w:p w14:paraId="7ED54C0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1.03E+01</w:t>
            </w:r>
          </w:p>
        </w:tc>
      </w:tr>
      <w:tr w:rsidR="006C0FD6" w:rsidRPr="006C0FD6" w14:paraId="3F13681F" w14:textId="77777777" w:rsidTr="006C0FD6">
        <w:trPr>
          <w:trHeight w:val="300"/>
        </w:trPr>
        <w:tc>
          <w:tcPr>
            <w:tcW w:w="2672" w:type="dxa"/>
            <w:noWrap/>
            <w:hideMark/>
          </w:tcPr>
          <w:p w14:paraId="3BFE7F1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Penstock(steel)</w:t>
            </w:r>
          </w:p>
        </w:tc>
        <w:tc>
          <w:tcPr>
            <w:tcW w:w="1300" w:type="dxa"/>
            <w:noWrap/>
            <w:hideMark/>
          </w:tcPr>
          <w:p w14:paraId="2D5F66F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3FFE9728"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3.75E-03</w:t>
            </w:r>
          </w:p>
        </w:tc>
        <w:tc>
          <w:tcPr>
            <w:tcW w:w="1348" w:type="dxa"/>
            <w:noWrap/>
            <w:hideMark/>
          </w:tcPr>
          <w:p w14:paraId="24F9A98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2.96E+02</w:t>
            </w:r>
          </w:p>
        </w:tc>
        <w:tc>
          <w:tcPr>
            <w:tcW w:w="1252" w:type="dxa"/>
            <w:noWrap/>
            <w:hideMark/>
          </w:tcPr>
          <w:p w14:paraId="18EA862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3.82E-03</w:t>
            </w:r>
          </w:p>
        </w:tc>
        <w:tc>
          <w:tcPr>
            <w:tcW w:w="1348" w:type="dxa"/>
            <w:noWrap/>
            <w:hideMark/>
          </w:tcPr>
          <w:p w14:paraId="782855C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2.29E+02</w:t>
            </w:r>
          </w:p>
        </w:tc>
        <w:tc>
          <w:tcPr>
            <w:tcW w:w="1252" w:type="dxa"/>
            <w:noWrap/>
            <w:hideMark/>
          </w:tcPr>
          <w:p w14:paraId="3E6FE9E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3.63E-03</w:t>
            </w:r>
          </w:p>
        </w:tc>
        <w:tc>
          <w:tcPr>
            <w:tcW w:w="1348" w:type="dxa"/>
            <w:noWrap/>
            <w:hideMark/>
          </w:tcPr>
          <w:p w14:paraId="666CC2F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1.02E+02</w:t>
            </w:r>
          </w:p>
        </w:tc>
        <w:tc>
          <w:tcPr>
            <w:tcW w:w="1252" w:type="dxa"/>
            <w:noWrap/>
            <w:hideMark/>
          </w:tcPr>
          <w:p w14:paraId="75816B1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3.53E-03</w:t>
            </w:r>
          </w:p>
        </w:tc>
        <w:tc>
          <w:tcPr>
            <w:tcW w:w="1348" w:type="dxa"/>
            <w:noWrap/>
            <w:hideMark/>
          </w:tcPr>
          <w:p w14:paraId="00F5D22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8.47E+01</w:t>
            </w:r>
          </w:p>
        </w:tc>
        <w:tc>
          <w:tcPr>
            <w:tcW w:w="1252" w:type="dxa"/>
            <w:noWrap/>
            <w:hideMark/>
          </w:tcPr>
          <w:p w14:paraId="718D088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2.53E-03</w:t>
            </w:r>
          </w:p>
        </w:tc>
        <w:tc>
          <w:tcPr>
            <w:tcW w:w="1348" w:type="dxa"/>
            <w:noWrap/>
            <w:hideMark/>
          </w:tcPr>
          <w:p w14:paraId="4A8DDAE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3.03E+01</w:t>
            </w:r>
          </w:p>
        </w:tc>
      </w:tr>
      <w:tr w:rsidR="006C0FD6" w:rsidRPr="006C0FD6" w14:paraId="38D49C75" w14:textId="77777777" w:rsidTr="00126890">
        <w:trPr>
          <w:trHeight w:val="300"/>
        </w:trPr>
        <w:tc>
          <w:tcPr>
            <w:tcW w:w="2672" w:type="dxa"/>
            <w:tcBorders>
              <w:bottom w:val="single" w:sz="4" w:space="0" w:color="auto"/>
            </w:tcBorders>
            <w:noWrap/>
            <w:hideMark/>
          </w:tcPr>
          <w:p w14:paraId="668E3A7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Transformer</w:t>
            </w:r>
          </w:p>
        </w:tc>
        <w:tc>
          <w:tcPr>
            <w:tcW w:w="1300" w:type="dxa"/>
            <w:tcBorders>
              <w:bottom w:val="single" w:sz="4" w:space="0" w:color="auto"/>
            </w:tcBorders>
            <w:noWrap/>
            <w:hideMark/>
          </w:tcPr>
          <w:p w14:paraId="7964B7F8"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tcBorders>
              <w:bottom w:val="single" w:sz="4" w:space="0" w:color="auto"/>
            </w:tcBorders>
            <w:noWrap/>
            <w:hideMark/>
          </w:tcPr>
          <w:p w14:paraId="27F2AAC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5.53E-04</w:t>
            </w:r>
          </w:p>
        </w:tc>
        <w:tc>
          <w:tcPr>
            <w:tcW w:w="1348" w:type="dxa"/>
            <w:tcBorders>
              <w:bottom w:val="single" w:sz="4" w:space="0" w:color="auto"/>
            </w:tcBorders>
            <w:noWrap/>
            <w:hideMark/>
          </w:tcPr>
          <w:p w14:paraId="238DFCD8"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4.37E+01</w:t>
            </w:r>
          </w:p>
        </w:tc>
        <w:tc>
          <w:tcPr>
            <w:tcW w:w="1252" w:type="dxa"/>
            <w:tcBorders>
              <w:bottom w:val="single" w:sz="4" w:space="0" w:color="auto"/>
            </w:tcBorders>
            <w:noWrap/>
            <w:hideMark/>
          </w:tcPr>
          <w:p w14:paraId="1929A39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5.64E-04</w:t>
            </w:r>
          </w:p>
        </w:tc>
        <w:tc>
          <w:tcPr>
            <w:tcW w:w="1348" w:type="dxa"/>
            <w:tcBorders>
              <w:bottom w:val="single" w:sz="4" w:space="0" w:color="auto"/>
            </w:tcBorders>
            <w:noWrap/>
            <w:hideMark/>
          </w:tcPr>
          <w:p w14:paraId="6D74B4E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3.39E+01</w:t>
            </w:r>
          </w:p>
        </w:tc>
        <w:tc>
          <w:tcPr>
            <w:tcW w:w="1252" w:type="dxa"/>
            <w:tcBorders>
              <w:bottom w:val="single" w:sz="4" w:space="0" w:color="auto"/>
            </w:tcBorders>
            <w:noWrap/>
            <w:hideMark/>
          </w:tcPr>
          <w:p w14:paraId="314C3FA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5.33E-04</w:t>
            </w:r>
          </w:p>
        </w:tc>
        <w:tc>
          <w:tcPr>
            <w:tcW w:w="1348" w:type="dxa"/>
            <w:tcBorders>
              <w:bottom w:val="single" w:sz="4" w:space="0" w:color="auto"/>
            </w:tcBorders>
            <w:noWrap/>
            <w:hideMark/>
          </w:tcPr>
          <w:p w14:paraId="5533E08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1.49E+01</w:t>
            </w:r>
          </w:p>
        </w:tc>
        <w:tc>
          <w:tcPr>
            <w:tcW w:w="1252" w:type="dxa"/>
            <w:tcBorders>
              <w:bottom w:val="single" w:sz="4" w:space="0" w:color="auto"/>
            </w:tcBorders>
            <w:noWrap/>
            <w:hideMark/>
          </w:tcPr>
          <w:p w14:paraId="4239B7F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5.21E-04</w:t>
            </w:r>
          </w:p>
        </w:tc>
        <w:tc>
          <w:tcPr>
            <w:tcW w:w="1348" w:type="dxa"/>
            <w:tcBorders>
              <w:bottom w:val="single" w:sz="4" w:space="0" w:color="auto"/>
            </w:tcBorders>
            <w:noWrap/>
            <w:hideMark/>
          </w:tcPr>
          <w:p w14:paraId="3B52800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1.25E+01</w:t>
            </w:r>
          </w:p>
        </w:tc>
        <w:tc>
          <w:tcPr>
            <w:tcW w:w="1252" w:type="dxa"/>
            <w:tcBorders>
              <w:bottom w:val="single" w:sz="4" w:space="0" w:color="auto"/>
            </w:tcBorders>
            <w:noWrap/>
            <w:hideMark/>
          </w:tcPr>
          <w:p w14:paraId="6706607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3.73E-04</w:t>
            </w:r>
          </w:p>
        </w:tc>
        <w:tc>
          <w:tcPr>
            <w:tcW w:w="1348" w:type="dxa"/>
            <w:tcBorders>
              <w:bottom w:val="single" w:sz="4" w:space="0" w:color="auto"/>
            </w:tcBorders>
            <w:noWrap/>
            <w:hideMark/>
          </w:tcPr>
          <w:p w14:paraId="7AAF797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4.48E+00</w:t>
            </w:r>
          </w:p>
        </w:tc>
      </w:tr>
      <w:tr w:rsidR="006C0FD6" w:rsidRPr="006C0FD6" w14:paraId="640B115F" w14:textId="77777777" w:rsidTr="00126890">
        <w:trPr>
          <w:trHeight w:val="300"/>
        </w:trPr>
        <w:tc>
          <w:tcPr>
            <w:tcW w:w="3972" w:type="dxa"/>
            <w:gridSpan w:val="2"/>
            <w:tcBorders>
              <w:top w:val="single" w:sz="4" w:space="0" w:color="auto"/>
              <w:bottom w:val="single" w:sz="4" w:space="0" w:color="auto"/>
            </w:tcBorders>
            <w:noWrap/>
            <w:hideMark/>
          </w:tcPr>
          <w:p w14:paraId="4F830BA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Transportation stage</w:t>
            </w:r>
          </w:p>
        </w:tc>
        <w:tc>
          <w:tcPr>
            <w:tcW w:w="1252" w:type="dxa"/>
            <w:tcBorders>
              <w:top w:val="single" w:sz="4" w:space="0" w:color="auto"/>
              <w:bottom w:val="single" w:sz="4" w:space="0" w:color="auto"/>
            </w:tcBorders>
            <w:noWrap/>
            <w:hideMark/>
          </w:tcPr>
          <w:p w14:paraId="71629C4B"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6F12E3E7"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42BDFC18"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0D7D0335"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0FF0BD9B"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21A6A360"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10D658F8"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0A1FD353"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01FAD798"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0F2D9DCA" w14:textId="77777777" w:rsidR="006C0FD6" w:rsidRPr="006C0FD6" w:rsidRDefault="006C0FD6" w:rsidP="004F2BB1">
            <w:pPr>
              <w:rPr>
                <w:rFonts w:ascii="Times New Roman" w:hAnsi="Times New Roman" w:cs="Times New Roman"/>
                <w:sz w:val="15"/>
                <w:szCs w:val="15"/>
              </w:rPr>
            </w:pPr>
          </w:p>
        </w:tc>
      </w:tr>
      <w:tr w:rsidR="006C0FD6" w:rsidRPr="006C0FD6" w14:paraId="0F77DB7A" w14:textId="77777777" w:rsidTr="00126890">
        <w:trPr>
          <w:trHeight w:val="300"/>
        </w:trPr>
        <w:tc>
          <w:tcPr>
            <w:tcW w:w="2672" w:type="dxa"/>
            <w:tcBorders>
              <w:top w:val="single" w:sz="4" w:space="0" w:color="auto"/>
              <w:bottom w:val="single" w:sz="4" w:space="0" w:color="auto"/>
            </w:tcBorders>
            <w:noWrap/>
            <w:hideMark/>
          </w:tcPr>
          <w:p w14:paraId="25C11B09" w14:textId="6F32D1BA" w:rsidR="006C0FD6" w:rsidRDefault="006C0FD6" w:rsidP="004F2BB1">
            <w:pPr>
              <w:rPr>
                <w:rFonts w:ascii="Times New Roman" w:hAnsi="Times New Roman" w:cs="Times New Roman"/>
                <w:sz w:val="15"/>
                <w:szCs w:val="15"/>
              </w:rPr>
            </w:pPr>
            <w:bookmarkStart w:id="4" w:name="_Hlk40383643"/>
            <w:bookmarkStart w:id="5" w:name="_Hlk40383662"/>
            <w:r w:rsidRPr="006C0FD6">
              <w:rPr>
                <w:rFonts w:ascii="Times New Roman" w:hAnsi="Times New Roman" w:cs="Times New Roman"/>
                <w:sz w:val="15"/>
                <w:szCs w:val="15"/>
              </w:rPr>
              <w:t>Truck transport</w:t>
            </w:r>
            <w:r w:rsidR="008E78D8">
              <w:rPr>
                <w:rFonts w:ascii="Times New Roman" w:hAnsi="Times New Roman" w:cs="Times New Roman"/>
                <w:sz w:val="15"/>
                <w:szCs w:val="15"/>
              </w:rPr>
              <w:t xml:space="preserve"> (20-t)</w:t>
            </w:r>
          </w:p>
          <w:bookmarkEnd w:id="4"/>
          <w:p w14:paraId="62CC3B33" w14:textId="77777777" w:rsidR="00666062" w:rsidRDefault="00666062" w:rsidP="004F2BB1">
            <w:pPr>
              <w:rPr>
                <w:rFonts w:ascii="Times New Roman" w:hAnsi="Times New Roman" w:cs="Times New Roman"/>
                <w:sz w:val="15"/>
                <w:szCs w:val="15"/>
              </w:rPr>
            </w:pPr>
          </w:p>
          <w:p w14:paraId="17A642D4" w14:textId="1D7C755F" w:rsidR="00666062" w:rsidRPr="006C0FD6" w:rsidRDefault="00666062" w:rsidP="004F2BB1">
            <w:pPr>
              <w:rPr>
                <w:rFonts w:ascii="Times New Roman" w:hAnsi="Times New Roman" w:cs="Times New Roman"/>
                <w:sz w:val="15"/>
                <w:szCs w:val="15"/>
              </w:rPr>
            </w:pPr>
            <w:r>
              <w:rPr>
                <w:rFonts w:ascii="Times New Roman" w:hAnsi="Times New Roman" w:cs="Times New Roman"/>
                <w:sz w:val="15"/>
                <w:szCs w:val="15"/>
              </w:rPr>
              <w:t>Ship</w:t>
            </w:r>
          </w:p>
        </w:tc>
        <w:tc>
          <w:tcPr>
            <w:tcW w:w="1300" w:type="dxa"/>
            <w:tcBorders>
              <w:top w:val="single" w:sz="4" w:space="0" w:color="auto"/>
              <w:bottom w:val="single" w:sz="4" w:space="0" w:color="auto"/>
            </w:tcBorders>
            <w:noWrap/>
            <w:hideMark/>
          </w:tcPr>
          <w:p w14:paraId="4799EB11" w14:textId="77777777" w:rsid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tkm/MWh</w:t>
            </w:r>
          </w:p>
          <w:p w14:paraId="605E8645" w14:textId="3E86A192" w:rsidR="00666062" w:rsidRPr="006C0FD6" w:rsidRDefault="00666062" w:rsidP="004F2BB1">
            <w:pPr>
              <w:rPr>
                <w:rFonts w:ascii="Times New Roman" w:hAnsi="Times New Roman" w:cs="Times New Roman"/>
                <w:sz w:val="15"/>
                <w:szCs w:val="15"/>
              </w:rPr>
            </w:pPr>
            <w:r w:rsidRPr="006C0FD6">
              <w:rPr>
                <w:rFonts w:ascii="Times New Roman" w:hAnsi="Times New Roman" w:cs="Times New Roman"/>
                <w:sz w:val="15"/>
                <w:szCs w:val="15"/>
              </w:rPr>
              <w:t>tkm/MWh</w:t>
            </w:r>
          </w:p>
        </w:tc>
        <w:tc>
          <w:tcPr>
            <w:tcW w:w="1252" w:type="dxa"/>
            <w:tcBorders>
              <w:top w:val="single" w:sz="4" w:space="0" w:color="auto"/>
              <w:bottom w:val="single" w:sz="4" w:space="0" w:color="auto"/>
            </w:tcBorders>
            <w:noWrap/>
            <w:hideMark/>
          </w:tcPr>
          <w:p w14:paraId="47323FC6" w14:textId="77777777" w:rsid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3.40E-02</w:t>
            </w:r>
          </w:p>
          <w:p w14:paraId="2551FB4E" w14:textId="4F6055DF" w:rsidR="00711454" w:rsidRPr="006C0FD6" w:rsidRDefault="00711454" w:rsidP="004F2BB1">
            <w:pPr>
              <w:rPr>
                <w:rFonts w:ascii="Times New Roman" w:hAnsi="Times New Roman" w:cs="Times New Roman"/>
                <w:sz w:val="15"/>
                <w:szCs w:val="15"/>
              </w:rPr>
            </w:pPr>
            <w:r w:rsidRPr="00842D4C">
              <w:rPr>
                <w:rFonts w:ascii="Times New Roman" w:hAnsi="Times New Roman" w:cs="Times New Roman"/>
                <w:sz w:val="15"/>
                <w:szCs w:val="15"/>
              </w:rPr>
              <w:t>4.00E+00</w:t>
            </w:r>
          </w:p>
        </w:tc>
        <w:tc>
          <w:tcPr>
            <w:tcW w:w="1348" w:type="dxa"/>
            <w:tcBorders>
              <w:top w:val="single" w:sz="4" w:space="0" w:color="auto"/>
              <w:bottom w:val="single" w:sz="4" w:space="0" w:color="auto"/>
            </w:tcBorders>
            <w:noWrap/>
            <w:hideMark/>
          </w:tcPr>
          <w:p w14:paraId="30DBAE1C" w14:textId="77777777" w:rsid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2.69E+03</w:t>
            </w:r>
          </w:p>
          <w:p w14:paraId="28C1D9FB" w14:textId="2FDC369B" w:rsidR="00711454" w:rsidRDefault="00711454" w:rsidP="004F2BB1">
            <w:pPr>
              <w:rPr>
                <w:rFonts w:ascii="Times New Roman" w:hAnsi="Times New Roman" w:cs="Times New Roman"/>
                <w:sz w:val="15"/>
                <w:szCs w:val="15"/>
              </w:rPr>
            </w:pPr>
            <w:r>
              <w:rPr>
                <w:rFonts w:ascii="Times New Roman" w:hAnsi="Times New Roman" w:cs="Times New Roman"/>
                <w:sz w:val="15"/>
                <w:szCs w:val="15"/>
              </w:rPr>
              <w:t>1.42E+07</w:t>
            </w:r>
          </w:p>
          <w:p w14:paraId="5522AAF0" w14:textId="1A4373E5" w:rsidR="00711454" w:rsidRPr="006C0FD6" w:rsidRDefault="00711454"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43E46DBC" w14:textId="77777777" w:rsid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3.47E-02</w:t>
            </w:r>
          </w:p>
          <w:p w14:paraId="2E049D98" w14:textId="56DAC5F0" w:rsidR="00711454" w:rsidRPr="006C0FD6" w:rsidRDefault="00711454" w:rsidP="004F2BB1">
            <w:pPr>
              <w:rPr>
                <w:rFonts w:ascii="Times New Roman" w:hAnsi="Times New Roman" w:cs="Times New Roman"/>
                <w:sz w:val="15"/>
                <w:szCs w:val="15"/>
              </w:rPr>
            </w:pPr>
            <w:r w:rsidRPr="00842D4C">
              <w:rPr>
                <w:rFonts w:ascii="Times New Roman" w:hAnsi="Times New Roman" w:cs="Times New Roman"/>
                <w:sz w:val="15"/>
                <w:szCs w:val="15"/>
              </w:rPr>
              <w:t>3.38E+00</w:t>
            </w:r>
          </w:p>
        </w:tc>
        <w:tc>
          <w:tcPr>
            <w:tcW w:w="1348" w:type="dxa"/>
            <w:tcBorders>
              <w:top w:val="single" w:sz="4" w:space="0" w:color="auto"/>
              <w:bottom w:val="single" w:sz="4" w:space="0" w:color="auto"/>
            </w:tcBorders>
            <w:noWrap/>
            <w:hideMark/>
          </w:tcPr>
          <w:p w14:paraId="3BB1485B" w14:textId="77777777" w:rsid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2.08E+03</w:t>
            </w:r>
          </w:p>
          <w:p w14:paraId="021E92FC" w14:textId="1B319C49" w:rsidR="00711454" w:rsidRPr="006C0FD6" w:rsidRDefault="00711454" w:rsidP="004F2BB1">
            <w:pPr>
              <w:rPr>
                <w:rFonts w:ascii="Times New Roman" w:hAnsi="Times New Roman" w:cs="Times New Roman"/>
                <w:sz w:val="15"/>
                <w:szCs w:val="15"/>
              </w:rPr>
            </w:pPr>
            <w:r w:rsidRPr="00842D4C">
              <w:rPr>
                <w:rFonts w:ascii="Times New Roman" w:hAnsi="Times New Roman" w:cs="Times New Roman"/>
                <w:sz w:val="15"/>
                <w:szCs w:val="15"/>
              </w:rPr>
              <w:t>1.36E+07</w:t>
            </w:r>
          </w:p>
        </w:tc>
        <w:tc>
          <w:tcPr>
            <w:tcW w:w="1252" w:type="dxa"/>
            <w:tcBorders>
              <w:top w:val="single" w:sz="4" w:space="0" w:color="auto"/>
              <w:bottom w:val="single" w:sz="4" w:space="0" w:color="auto"/>
            </w:tcBorders>
            <w:noWrap/>
            <w:hideMark/>
          </w:tcPr>
          <w:p w14:paraId="52D2B105" w14:textId="77777777" w:rsid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3.30E-02</w:t>
            </w:r>
          </w:p>
          <w:p w14:paraId="69F97AF4" w14:textId="77DDE00F" w:rsidR="00711454" w:rsidRPr="006C0FD6" w:rsidRDefault="00711454" w:rsidP="004F2BB1">
            <w:pPr>
              <w:rPr>
                <w:rFonts w:ascii="Times New Roman" w:hAnsi="Times New Roman" w:cs="Times New Roman"/>
                <w:sz w:val="15"/>
                <w:szCs w:val="15"/>
              </w:rPr>
            </w:pPr>
            <w:r w:rsidRPr="00842D4C">
              <w:rPr>
                <w:rFonts w:ascii="Times New Roman" w:hAnsi="Times New Roman" w:cs="Times New Roman"/>
                <w:sz w:val="15"/>
                <w:szCs w:val="15"/>
              </w:rPr>
              <w:t>1.71E+01</w:t>
            </w:r>
          </w:p>
        </w:tc>
        <w:tc>
          <w:tcPr>
            <w:tcW w:w="1348" w:type="dxa"/>
            <w:tcBorders>
              <w:top w:val="single" w:sz="4" w:space="0" w:color="auto"/>
              <w:bottom w:val="single" w:sz="4" w:space="0" w:color="auto"/>
            </w:tcBorders>
            <w:noWrap/>
            <w:hideMark/>
          </w:tcPr>
          <w:p w14:paraId="1F4EAFCD" w14:textId="77777777" w:rsid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9.23E+02</w:t>
            </w:r>
          </w:p>
          <w:p w14:paraId="22EEBF55" w14:textId="28BB05C5" w:rsidR="00711454" w:rsidRPr="006C0FD6" w:rsidRDefault="00711454" w:rsidP="004F2BB1">
            <w:pPr>
              <w:rPr>
                <w:rFonts w:ascii="Times New Roman" w:hAnsi="Times New Roman" w:cs="Times New Roman"/>
                <w:sz w:val="15"/>
                <w:szCs w:val="15"/>
              </w:rPr>
            </w:pPr>
            <w:r w:rsidRPr="00842D4C">
              <w:rPr>
                <w:rFonts w:ascii="Times New Roman" w:hAnsi="Times New Roman" w:cs="Times New Roman"/>
                <w:sz w:val="15"/>
                <w:szCs w:val="15"/>
              </w:rPr>
              <w:t>1.56E+07</w:t>
            </w:r>
          </w:p>
        </w:tc>
        <w:tc>
          <w:tcPr>
            <w:tcW w:w="1252" w:type="dxa"/>
            <w:tcBorders>
              <w:top w:val="single" w:sz="4" w:space="0" w:color="auto"/>
              <w:bottom w:val="single" w:sz="4" w:space="0" w:color="auto"/>
            </w:tcBorders>
            <w:noWrap/>
            <w:hideMark/>
          </w:tcPr>
          <w:p w14:paraId="6DE06BC5" w14:textId="77777777" w:rsid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3.20E-02</w:t>
            </w:r>
          </w:p>
          <w:p w14:paraId="3C2EDE72" w14:textId="5593601F" w:rsidR="00711454" w:rsidRPr="006C0FD6" w:rsidRDefault="00711454" w:rsidP="004F2BB1">
            <w:pPr>
              <w:rPr>
                <w:rFonts w:ascii="Times New Roman" w:hAnsi="Times New Roman" w:cs="Times New Roman"/>
                <w:sz w:val="15"/>
                <w:szCs w:val="15"/>
              </w:rPr>
            </w:pPr>
            <w:r w:rsidRPr="00842D4C">
              <w:rPr>
                <w:rFonts w:ascii="Times New Roman" w:hAnsi="Times New Roman" w:cs="Times New Roman"/>
                <w:sz w:val="15"/>
                <w:szCs w:val="15"/>
              </w:rPr>
              <w:t>1.08E+01</w:t>
            </w:r>
          </w:p>
        </w:tc>
        <w:tc>
          <w:tcPr>
            <w:tcW w:w="1348" w:type="dxa"/>
            <w:tcBorders>
              <w:top w:val="single" w:sz="4" w:space="0" w:color="auto"/>
              <w:bottom w:val="single" w:sz="4" w:space="0" w:color="auto"/>
            </w:tcBorders>
            <w:noWrap/>
            <w:hideMark/>
          </w:tcPr>
          <w:p w14:paraId="18D0A8D1" w14:textId="77777777" w:rsid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7.69E+02</w:t>
            </w:r>
          </w:p>
          <w:p w14:paraId="6D188896" w14:textId="17E91B7E" w:rsidR="00711454" w:rsidRPr="006C0FD6" w:rsidRDefault="00711454" w:rsidP="004F2BB1">
            <w:pPr>
              <w:rPr>
                <w:rFonts w:ascii="Times New Roman" w:hAnsi="Times New Roman" w:cs="Times New Roman"/>
                <w:sz w:val="15"/>
                <w:szCs w:val="15"/>
              </w:rPr>
            </w:pPr>
            <w:r w:rsidRPr="00842D4C">
              <w:rPr>
                <w:rFonts w:ascii="Times New Roman" w:hAnsi="Times New Roman" w:cs="Times New Roman"/>
                <w:sz w:val="15"/>
                <w:szCs w:val="15"/>
              </w:rPr>
              <w:t>1.15E+07</w:t>
            </w:r>
          </w:p>
        </w:tc>
        <w:tc>
          <w:tcPr>
            <w:tcW w:w="1252" w:type="dxa"/>
            <w:tcBorders>
              <w:top w:val="single" w:sz="4" w:space="0" w:color="auto"/>
              <w:bottom w:val="single" w:sz="4" w:space="0" w:color="auto"/>
            </w:tcBorders>
            <w:noWrap/>
            <w:hideMark/>
          </w:tcPr>
          <w:p w14:paraId="4A392457" w14:textId="77777777" w:rsid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2.29E-02</w:t>
            </w:r>
          </w:p>
          <w:p w14:paraId="613CE624" w14:textId="73ECBFA2" w:rsidR="00711454" w:rsidRPr="006C0FD6" w:rsidRDefault="00711454" w:rsidP="004F2BB1">
            <w:pPr>
              <w:rPr>
                <w:rFonts w:ascii="Times New Roman" w:hAnsi="Times New Roman" w:cs="Times New Roman"/>
                <w:sz w:val="15"/>
                <w:szCs w:val="15"/>
              </w:rPr>
            </w:pPr>
            <w:r w:rsidRPr="00842D4C">
              <w:rPr>
                <w:rFonts w:ascii="Times New Roman" w:hAnsi="Times New Roman" w:cs="Times New Roman"/>
                <w:sz w:val="15"/>
                <w:szCs w:val="15"/>
              </w:rPr>
              <w:t>1.67E+01</w:t>
            </w:r>
          </w:p>
        </w:tc>
        <w:tc>
          <w:tcPr>
            <w:tcW w:w="1348" w:type="dxa"/>
            <w:tcBorders>
              <w:top w:val="single" w:sz="4" w:space="0" w:color="auto"/>
              <w:bottom w:val="single" w:sz="4" w:space="0" w:color="auto"/>
            </w:tcBorders>
            <w:noWrap/>
            <w:hideMark/>
          </w:tcPr>
          <w:p w14:paraId="38796716" w14:textId="77777777" w:rsid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2.75E+02</w:t>
            </w:r>
          </w:p>
          <w:p w14:paraId="7855D275" w14:textId="24749567" w:rsidR="00711454" w:rsidRPr="006C0FD6" w:rsidRDefault="00711454" w:rsidP="004F2BB1">
            <w:pPr>
              <w:rPr>
                <w:rFonts w:ascii="Times New Roman" w:hAnsi="Times New Roman" w:cs="Times New Roman"/>
                <w:sz w:val="15"/>
                <w:szCs w:val="15"/>
              </w:rPr>
            </w:pPr>
            <w:r w:rsidRPr="00842D4C">
              <w:rPr>
                <w:rFonts w:ascii="Times New Roman" w:hAnsi="Times New Roman" w:cs="Times New Roman"/>
                <w:sz w:val="15"/>
                <w:szCs w:val="15"/>
              </w:rPr>
              <w:t>1.01E+07</w:t>
            </w:r>
          </w:p>
        </w:tc>
      </w:tr>
      <w:bookmarkEnd w:id="5"/>
      <w:tr w:rsidR="006C0FD6" w:rsidRPr="006C0FD6" w14:paraId="44EFCF93" w14:textId="77777777" w:rsidTr="006C0FD6">
        <w:trPr>
          <w:trHeight w:val="208"/>
        </w:trPr>
        <w:tc>
          <w:tcPr>
            <w:tcW w:w="5224" w:type="dxa"/>
            <w:gridSpan w:val="3"/>
            <w:tcBorders>
              <w:top w:val="single" w:sz="4" w:space="0" w:color="auto"/>
              <w:bottom w:val="single" w:sz="4" w:space="0" w:color="auto"/>
            </w:tcBorders>
            <w:noWrap/>
            <w:hideMark/>
          </w:tcPr>
          <w:p w14:paraId="042B8C4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Operation and Maintenances Stage</w:t>
            </w:r>
          </w:p>
        </w:tc>
        <w:tc>
          <w:tcPr>
            <w:tcW w:w="1348" w:type="dxa"/>
            <w:tcBorders>
              <w:top w:val="single" w:sz="4" w:space="0" w:color="auto"/>
              <w:bottom w:val="single" w:sz="4" w:space="0" w:color="auto"/>
            </w:tcBorders>
            <w:noWrap/>
            <w:hideMark/>
          </w:tcPr>
          <w:p w14:paraId="15B20333"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693168DB"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279095A4"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70C9869F"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7E3E7DFD"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3E745968"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1096C66C"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0346D655"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4F993E17" w14:textId="77777777" w:rsidR="006C0FD6" w:rsidRPr="006C0FD6" w:rsidRDefault="006C0FD6" w:rsidP="004F2BB1">
            <w:pPr>
              <w:rPr>
                <w:rFonts w:ascii="Times New Roman" w:hAnsi="Times New Roman" w:cs="Times New Roman"/>
                <w:sz w:val="15"/>
                <w:szCs w:val="15"/>
              </w:rPr>
            </w:pPr>
          </w:p>
        </w:tc>
      </w:tr>
      <w:tr w:rsidR="006C0FD6" w:rsidRPr="006C0FD6" w14:paraId="589B9307" w14:textId="77777777" w:rsidTr="006C0FD6">
        <w:trPr>
          <w:trHeight w:val="300"/>
        </w:trPr>
        <w:tc>
          <w:tcPr>
            <w:tcW w:w="2672" w:type="dxa"/>
            <w:tcBorders>
              <w:top w:val="single" w:sz="4" w:space="0" w:color="auto"/>
            </w:tcBorders>
            <w:noWrap/>
            <w:hideMark/>
          </w:tcPr>
          <w:p w14:paraId="3EFB155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Electricity</w:t>
            </w:r>
          </w:p>
        </w:tc>
        <w:tc>
          <w:tcPr>
            <w:tcW w:w="1300" w:type="dxa"/>
            <w:tcBorders>
              <w:top w:val="single" w:sz="4" w:space="0" w:color="auto"/>
            </w:tcBorders>
            <w:noWrap/>
            <w:hideMark/>
          </w:tcPr>
          <w:p w14:paraId="416F7E41" w14:textId="59AAA37D" w:rsidR="006C0FD6" w:rsidRPr="006C0FD6" w:rsidRDefault="00C35785" w:rsidP="004F2BB1">
            <w:pPr>
              <w:rPr>
                <w:rFonts w:ascii="Times New Roman" w:hAnsi="Times New Roman" w:cs="Times New Roman"/>
                <w:sz w:val="15"/>
                <w:szCs w:val="15"/>
              </w:rPr>
            </w:pPr>
            <w:r>
              <w:rPr>
                <w:rFonts w:ascii="Times New Roman" w:hAnsi="Times New Roman" w:cs="Times New Roman"/>
                <w:sz w:val="15"/>
                <w:szCs w:val="15"/>
              </w:rPr>
              <w:t>K</w:t>
            </w:r>
            <w:r w:rsidR="006C0FD6" w:rsidRPr="006C0FD6">
              <w:rPr>
                <w:rFonts w:ascii="Times New Roman" w:hAnsi="Times New Roman" w:cs="Times New Roman"/>
                <w:sz w:val="15"/>
                <w:szCs w:val="15"/>
              </w:rPr>
              <w:t>Wh/MWh</w:t>
            </w:r>
          </w:p>
        </w:tc>
        <w:tc>
          <w:tcPr>
            <w:tcW w:w="1252" w:type="dxa"/>
            <w:tcBorders>
              <w:top w:val="single" w:sz="4" w:space="0" w:color="auto"/>
            </w:tcBorders>
            <w:noWrap/>
            <w:hideMark/>
          </w:tcPr>
          <w:p w14:paraId="6D4B6BE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8.07E-03</w:t>
            </w:r>
          </w:p>
        </w:tc>
        <w:tc>
          <w:tcPr>
            <w:tcW w:w="1348" w:type="dxa"/>
            <w:tcBorders>
              <w:top w:val="single" w:sz="4" w:space="0" w:color="auto"/>
            </w:tcBorders>
            <w:noWrap/>
            <w:hideMark/>
          </w:tcPr>
          <w:p w14:paraId="0177C3D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6.37E+02</w:t>
            </w:r>
          </w:p>
        </w:tc>
        <w:tc>
          <w:tcPr>
            <w:tcW w:w="1252" w:type="dxa"/>
            <w:tcBorders>
              <w:top w:val="single" w:sz="4" w:space="0" w:color="auto"/>
            </w:tcBorders>
            <w:noWrap/>
            <w:hideMark/>
          </w:tcPr>
          <w:p w14:paraId="6AA165E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8.23E-03</w:t>
            </w:r>
          </w:p>
        </w:tc>
        <w:tc>
          <w:tcPr>
            <w:tcW w:w="1348" w:type="dxa"/>
            <w:tcBorders>
              <w:top w:val="single" w:sz="4" w:space="0" w:color="auto"/>
            </w:tcBorders>
            <w:noWrap/>
            <w:hideMark/>
          </w:tcPr>
          <w:p w14:paraId="4CD005D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4.94E+02</w:t>
            </w:r>
          </w:p>
        </w:tc>
        <w:tc>
          <w:tcPr>
            <w:tcW w:w="1252" w:type="dxa"/>
            <w:tcBorders>
              <w:top w:val="single" w:sz="4" w:space="0" w:color="auto"/>
            </w:tcBorders>
            <w:noWrap/>
            <w:hideMark/>
          </w:tcPr>
          <w:p w14:paraId="637E19F8"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8.24E-03</w:t>
            </w:r>
          </w:p>
        </w:tc>
        <w:tc>
          <w:tcPr>
            <w:tcW w:w="1348" w:type="dxa"/>
            <w:tcBorders>
              <w:top w:val="single" w:sz="4" w:space="0" w:color="auto"/>
            </w:tcBorders>
            <w:noWrap/>
            <w:hideMark/>
          </w:tcPr>
          <w:p w14:paraId="77B736C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2.31E+02</w:t>
            </w:r>
          </w:p>
        </w:tc>
        <w:tc>
          <w:tcPr>
            <w:tcW w:w="1252" w:type="dxa"/>
            <w:tcBorders>
              <w:top w:val="single" w:sz="4" w:space="0" w:color="auto"/>
            </w:tcBorders>
            <w:noWrap/>
            <w:hideMark/>
          </w:tcPr>
          <w:p w14:paraId="4ABC670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7.60E-03</w:t>
            </w:r>
          </w:p>
        </w:tc>
        <w:tc>
          <w:tcPr>
            <w:tcW w:w="1348" w:type="dxa"/>
            <w:tcBorders>
              <w:top w:val="single" w:sz="4" w:space="0" w:color="auto"/>
            </w:tcBorders>
            <w:noWrap/>
            <w:hideMark/>
          </w:tcPr>
          <w:p w14:paraId="38C9340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1.82E+02</w:t>
            </w:r>
          </w:p>
        </w:tc>
        <w:tc>
          <w:tcPr>
            <w:tcW w:w="1252" w:type="dxa"/>
            <w:tcBorders>
              <w:top w:val="single" w:sz="4" w:space="0" w:color="auto"/>
            </w:tcBorders>
            <w:noWrap/>
            <w:hideMark/>
          </w:tcPr>
          <w:p w14:paraId="19DD20F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5.44E-03</w:t>
            </w:r>
          </w:p>
        </w:tc>
        <w:tc>
          <w:tcPr>
            <w:tcW w:w="1348" w:type="dxa"/>
            <w:tcBorders>
              <w:top w:val="single" w:sz="4" w:space="0" w:color="auto"/>
            </w:tcBorders>
            <w:noWrap/>
            <w:hideMark/>
          </w:tcPr>
          <w:p w14:paraId="5346A7A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6.53E+01</w:t>
            </w:r>
          </w:p>
        </w:tc>
      </w:tr>
      <w:tr w:rsidR="006C0FD6" w:rsidRPr="006C0FD6" w14:paraId="72292B63" w14:textId="77777777" w:rsidTr="006C0FD6">
        <w:trPr>
          <w:trHeight w:val="300"/>
        </w:trPr>
        <w:tc>
          <w:tcPr>
            <w:tcW w:w="2672" w:type="dxa"/>
            <w:noWrap/>
            <w:hideMark/>
          </w:tcPr>
          <w:p w14:paraId="6364650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Lubricant oil</w:t>
            </w:r>
          </w:p>
        </w:tc>
        <w:tc>
          <w:tcPr>
            <w:tcW w:w="1300" w:type="dxa"/>
            <w:noWrap/>
            <w:hideMark/>
          </w:tcPr>
          <w:p w14:paraId="1D85D16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31BF5E4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3.46E-04</w:t>
            </w:r>
          </w:p>
        </w:tc>
        <w:tc>
          <w:tcPr>
            <w:tcW w:w="1348" w:type="dxa"/>
            <w:noWrap/>
            <w:hideMark/>
          </w:tcPr>
          <w:p w14:paraId="15904E9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2.73E+01</w:t>
            </w:r>
          </w:p>
        </w:tc>
        <w:tc>
          <w:tcPr>
            <w:tcW w:w="1252" w:type="dxa"/>
            <w:noWrap/>
            <w:hideMark/>
          </w:tcPr>
          <w:p w14:paraId="5C23C24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3.76E-04</w:t>
            </w:r>
          </w:p>
        </w:tc>
        <w:tc>
          <w:tcPr>
            <w:tcW w:w="1348" w:type="dxa"/>
            <w:noWrap/>
            <w:hideMark/>
          </w:tcPr>
          <w:p w14:paraId="62E2272A"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2.26E+01</w:t>
            </w:r>
          </w:p>
        </w:tc>
        <w:tc>
          <w:tcPr>
            <w:tcW w:w="1252" w:type="dxa"/>
            <w:noWrap/>
            <w:hideMark/>
          </w:tcPr>
          <w:p w14:paraId="190567A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3.35E-04</w:t>
            </w:r>
          </w:p>
        </w:tc>
        <w:tc>
          <w:tcPr>
            <w:tcW w:w="1348" w:type="dxa"/>
            <w:noWrap/>
            <w:hideMark/>
          </w:tcPr>
          <w:p w14:paraId="7F65382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9.38E+00</w:t>
            </w:r>
          </w:p>
        </w:tc>
        <w:tc>
          <w:tcPr>
            <w:tcW w:w="1252" w:type="dxa"/>
            <w:noWrap/>
            <w:hideMark/>
          </w:tcPr>
          <w:p w14:paraId="6927C72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3.26E-04</w:t>
            </w:r>
          </w:p>
        </w:tc>
        <w:tc>
          <w:tcPr>
            <w:tcW w:w="1348" w:type="dxa"/>
            <w:noWrap/>
            <w:hideMark/>
          </w:tcPr>
          <w:p w14:paraId="3610B3D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7.82E+00</w:t>
            </w:r>
          </w:p>
        </w:tc>
        <w:tc>
          <w:tcPr>
            <w:tcW w:w="1252" w:type="dxa"/>
            <w:noWrap/>
            <w:hideMark/>
          </w:tcPr>
          <w:p w14:paraId="39CFCBD8"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2.33E-04</w:t>
            </w:r>
          </w:p>
        </w:tc>
        <w:tc>
          <w:tcPr>
            <w:tcW w:w="1348" w:type="dxa"/>
            <w:noWrap/>
            <w:hideMark/>
          </w:tcPr>
          <w:p w14:paraId="73CBF2A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2.80E+00</w:t>
            </w:r>
          </w:p>
        </w:tc>
      </w:tr>
      <w:tr w:rsidR="006C0FD6" w:rsidRPr="006C0FD6" w14:paraId="51F17945" w14:textId="77777777" w:rsidTr="006C0FD6">
        <w:trPr>
          <w:trHeight w:val="300"/>
        </w:trPr>
        <w:tc>
          <w:tcPr>
            <w:tcW w:w="2672" w:type="dxa"/>
            <w:tcBorders>
              <w:bottom w:val="single" w:sz="4" w:space="0" w:color="auto"/>
            </w:tcBorders>
            <w:noWrap/>
            <w:hideMark/>
          </w:tcPr>
          <w:p w14:paraId="307267A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Water flow</w:t>
            </w:r>
          </w:p>
        </w:tc>
        <w:tc>
          <w:tcPr>
            <w:tcW w:w="1300" w:type="dxa"/>
            <w:tcBorders>
              <w:bottom w:val="single" w:sz="4" w:space="0" w:color="auto"/>
            </w:tcBorders>
            <w:noWrap/>
            <w:hideMark/>
          </w:tcPr>
          <w:p w14:paraId="30005BA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m3/MWh</w:t>
            </w:r>
          </w:p>
        </w:tc>
        <w:tc>
          <w:tcPr>
            <w:tcW w:w="1252" w:type="dxa"/>
            <w:tcBorders>
              <w:bottom w:val="single" w:sz="4" w:space="0" w:color="auto"/>
            </w:tcBorders>
            <w:noWrap/>
            <w:hideMark/>
          </w:tcPr>
          <w:p w14:paraId="18C8B63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3.92E-04</w:t>
            </w:r>
          </w:p>
        </w:tc>
        <w:tc>
          <w:tcPr>
            <w:tcW w:w="1348" w:type="dxa"/>
            <w:tcBorders>
              <w:bottom w:val="single" w:sz="4" w:space="0" w:color="auto"/>
            </w:tcBorders>
            <w:noWrap/>
            <w:hideMark/>
          </w:tcPr>
          <w:p w14:paraId="670222D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3.10E+01</w:t>
            </w:r>
          </w:p>
        </w:tc>
        <w:tc>
          <w:tcPr>
            <w:tcW w:w="1252" w:type="dxa"/>
            <w:tcBorders>
              <w:bottom w:val="single" w:sz="4" w:space="0" w:color="auto"/>
            </w:tcBorders>
            <w:noWrap/>
            <w:hideMark/>
          </w:tcPr>
          <w:p w14:paraId="57FF259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4.00E+02</w:t>
            </w:r>
          </w:p>
        </w:tc>
        <w:tc>
          <w:tcPr>
            <w:tcW w:w="1348" w:type="dxa"/>
            <w:tcBorders>
              <w:bottom w:val="single" w:sz="4" w:space="0" w:color="auto"/>
            </w:tcBorders>
            <w:noWrap/>
            <w:hideMark/>
          </w:tcPr>
          <w:p w14:paraId="7251CE0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2.40E+07</w:t>
            </w:r>
          </w:p>
        </w:tc>
        <w:tc>
          <w:tcPr>
            <w:tcW w:w="1252" w:type="dxa"/>
            <w:tcBorders>
              <w:bottom w:val="single" w:sz="4" w:space="0" w:color="auto"/>
            </w:tcBorders>
            <w:noWrap/>
            <w:hideMark/>
          </w:tcPr>
          <w:p w14:paraId="4759908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3.79E+02</w:t>
            </w:r>
          </w:p>
        </w:tc>
        <w:tc>
          <w:tcPr>
            <w:tcW w:w="1348" w:type="dxa"/>
            <w:tcBorders>
              <w:bottom w:val="single" w:sz="4" w:space="0" w:color="auto"/>
            </w:tcBorders>
            <w:noWrap/>
            <w:hideMark/>
          </w:tcPr>
          <w:p w14:paraId="520B391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1.06E+07</w:t>
            </w:r>
          </w:p>
        </w:tc>
        <w:tc>
          <w:tcPr>
            <w:tcW w:w="1252" w:type="dxa"/>
            <w:tcBorders>
              <w:bottom w:val="single" w:sz="4" w:space="0" w:color="auto"/>
            </w:tcBorders>
            <w:noWrap/>
            <w:hideMark/>
          </w:tcPr>
          <w:p w14:paraId="1399958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2.31E+02</w:t>
            </w:r>
          </w:p>
        </w:tc>
        <w:tc>
          <w:tcPr>
            <w:tcW w:w="1348" w:type="dxa"/>
            <w:tcBorders>
              <w:bottom w:val="single" w:sz="4" w:space="0" w:color="auto"/>
            </w:tcBorders>
            <w:noWrap/>
            <w:hideMark/>
          </w:tcPr>
          <w:p w14:paraId="060A06A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5.54E+06</w:t>
            </w:r>
          </w:p>
        </w:tc>
        <w:tc>
          <w:tcPr>
            <w:tcW w:w="1252" w:type="dxa"/>
            <w:tcBorders>
              <w:bottom w:val="single" w:sz="4" w:space="0" w:color="auto"/>
            </w:tcBorders>
            <w:noWrap/>
            <w:hideMark/>
          </w:tcPr>
          <w:p w14:paraId="49AF024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2.64E+02</w:t>
            </w:r>
          </w:p>
        </w:tc>
        <w:tc>
          <w:tcPr>
            <w:tcW w:w="1348" w:type="dxa"/>
            <w:tcBorders>
              <w:bottom w:val="single" w:sz="4" w:space="0" w:color="auto"/>
            </w:tcBorders>
            <w:noWrap/>
            <w:hideMark/>
          </w:tcPr>
          <w:p w14:paraId="59F61E3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3.17E+06</w:t>
            </w:r>
          </w:p>
        </w:tc>
      </w:tr>
      <w:tr w:rsidR="006C0FD6" w:rsidRPr="006C0FD6" w14:paraId="660ACA8A" w14:textId="77777777" w:rsidTr="006C0FD6">
        <w:trPr>
          <w:trHeight w:val="226"/>
        </w:trPr>
        <w:tc>
          <w:tcPr>
            <w:tcW w:w="3972" w:type="dxa"/>
            <w:gridSpan w:val="2"/>
            <w:tcBorders>
              <w:top w:val="single" w:sz="4" w:space="0" w:color="auto"/>
              <w:bottom w:val="single" w:sz="4" w:space="0" w:color="auto"/>
            </w:tcBorders>
            <w:noWrap/>
            <w:hideMark/>
          </w:tcPr>
          <w:p w14:paraId="37C637BD" w14:textId="77777777" w:rsidR="006C0FD6" w:rsidRPr="006C0FD6" w:rsidRDefault="004D2345" w:rsidP="004F2BB1">
            <w:pPr>
              <w:rPr>
                <w:rFonts w:ascii="Times New Roman" w:hAnsi="Times New Roman" w:cs="Times New Roman"/>
                <w:sz w:val="15"/>
                <w:szCs w:val="15"/>
              </w:rPr>
            </w:pPr>
            <w:r>
              <w:rPr>
                <w:rFonts w:ascii="Times New Roman" w:hAnsi="Times New Roman" w:cs="Times New Roman"/>
                <w:sz w:val="15"/>
                <w:szCs w:val="15"/>
              </w:rPr>
              <w:lastRenderedPageBreak/>
              <w:t>Demolition</w:t>
            </w:r>
            <w:r w:rsidR="006C0FD6" w:rsidRPr="006C0FD6">
              <w:rPr>
                <w:rFonts w:ascii="Times New Roman" w:hAnsi="Times New Roman" w:cs="Times New Roman"/>
                <w:sz w:val="15"/>
                <w:szCs w:val="15"/>
              </w:rPr>
              <w:t xml:space="preserve"> Stage</w:t>
            </w:r>
          </w:p>
        </w:tc>
        <w:tc>
          <w:tcPr>
            <w:tcW w:w="1252" w:type="dxa"/>
            <w:tcBorders>
              <w:top w:val="single" w:sz="4" w:space="0" w:color="auto"/>
              <w:bottom w:val="single" w:sz="4" w:space="0" w:color="auto"/>
            </w:tcBorders>
            <w:noWrap/>
            <w:hideMark/>
          </w:tcPr>
          <w:p w14:paraId="4A55282C"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3FF30A02"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69D3C963"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7CE1D2EC"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7E65A084"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1BCBE0AA"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7776A535"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1DACDF16" w14:textId="77777777" w:rsidR="006C0FD6" w:rsidRPr="006C0FD6" w:rsidRDefault="006C0FD6" w:rsidP="004F2BB1">
            <w:pPr>
              <w:rPr>
                <w:rFonts w:ascii="Times New Roman" w:hAnsi="Times New Roman" w:cs="Times New Roman"/>
                <w:sz w:val="15"/>
                <w:szCs w:val="15"/>
              </w:rPr>
            </w:pPr>
          </w:p>
        </w:tc>
        <w:tc>
          <w:tcPr>
            <w:tcW w:w="1252" w:type="dxa"/>
            <w:tcBorders>
              <w:top w:val="single" w:sz="4" w:space="0" w:color="auto"/>
              <w:bottom w:val="single" w:sz="4" w:space="0" w:color="auto"/>
            </w:tcBorders>
            <w:noWrap/>
            <w:hideMark/>
          </w:tcPr>
          <w:p w14:paraId="0BF71A26" w14:textId="77777777" w:rsidR="006C0FD6" w:rsidRPr="006C0FD6" w:rsidRDefault="006C0FD6" w:rsidP="004F2BB1">
            <w:pPr>
              <w:rPr>
                <w:rFonts w:ascii="Times New Roman" w:hAnsi="Times New Roman" w:cs="Times New Roman"/>
                <w:sz w:val="15"/>
                <w:szCs w:val="15"/>
              </w:rPr>
            </w:pPr>
          </w:p>
        </w:tc>
        <w:tc>
          <w:tcPr>
            <w:tcW w:w="1348" w:type="dxa"/>
            <w:tcBorders>
              <w:top w:val="single" w:sz="4" w:space="0" w:color="auto"/>
              <w:bottom w:val="single" w:sz="4" w:space="0" w:color="auto"/>
            </w:tcBorders>
            <w:noWrap/>
            <w:hideMark/>
          </w:tcPr>
          <w:p w14:paraId="21B2DE67" w14:textId="77777777" w:rsidR="006C0FD6" w:rsidRPr="006C0FD6" w:rsidRDefault="006C0FD6" w:rsidP="004F2BB1">
            <w:pPr>
              <w:rPr>
                <w:rFonts w:ascii="Times New Roman" w:hAnsi="Times New Roman" w:cs="Times New Roman"/>
                <w:sz w:val="15"/>
                <w:szCs w:val="15"/>
              </w:rPr>
            </w:pPr>
          </w:p>
        </w:tc>
      </w:tr>
      <w:tr w:rsidR="006C0FD6" w:rsidRPr="006C0FD6" w14:paraId="53EE8BB7" w14:textId="77777777" w:rsidTr="006C0FD6">
        <w:trPr>
          <w:trHeight w:val="300"/>
        </w:trPr>
        <w:tc>
          <w:tcPr>
            <w:tcW w:w="2672" w:type="dxa"/>
            <w:tcBorders>
              <w:top w:val="single" w:sz="4" w:space="0" w:color="auto"/>
            </w:tcBorders>
            <w:noWrap/>
            <w:hideMark/>
          </w:tcPr>
          <w:p w14:paraId="4709080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Steel landfill</w:t>
            </w:r>
          </w:p>
        </w:tc>
        <w:tc>
          <w:tcPr>
            <w:tcW w:w="1300" w:type="dxa"/>
            <w:tcBorders>
              <w:top w:val="single" w:sz="4" w:space="0" w:color="auto"/>
            </w:tcBorders>
            <w:noWrap/>
            <w:hideMark/>
          </w:tcPr>
          <w:p w14:paraId="4085734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tcBorders>
              <w:top w:val="single" w:sz="4" w:space="0" w:color="auto"/>
            </w:tcBorders>
            <w:noWrap/>
            <w:hideMark/>
          </w:tcPr>
          <w:p w14:paraId="5AA3F488"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1.04E-02</w:t>
            </w:r>
          </w:p>
        </w:tc>
        <w:tc>
          <w:tcPr>
            <w:tcW w:w="1348" w:type="dxa"/>
            <w:tcBorders>
              <w:top w:val="single" w:sz="4" w:space="0" w:color="auto"/>
            </w:tcBorders>
            <w:noWrap/>
            <w:hideMark/>
          </w:tcPr>
          <w:p w14:paraId="5EE8F6C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8.20E+02</w:t>
            </w:r>
          </w:p>
        </w:tc>
        <w:tc>
          <w:tcPr>
            <w:tcW w:w="1252" w:type="dxa"/>
            <w:tcBorders>
              <w:top w:val="single" w:sz="4" w:space="0" w:color="auto"/>
            </w:tcBorders>
            <w:noWrap/>
            <w:hideMark/>
          </w:tcPr>
          <w:p w14:paraId="2A4FDCF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1.06E-02</w:t>
            </w:r>
          </w:p>
        </w:tc>
        <w:tc>
          <w:tcPr>
            <w:tcW w:w="1348" w:type="dxa"/>
            <w:tcBorders>
              <w:top w:val="single" w:sz="4" w:space="0" w:color="auto"/>
            </w:tcBorders>
            <w:noWrap/>
            <w:hideMark/>
          </w:tcPr>
          <w:p w14:paraId="54DC3A0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6.35E+02</w:t>
            </w:r>
          </w:p>
        </w:tc>
        <w:tc>
          <w:tcPr>
            <w:tcW w:w="1252" w:type="dxa"/>
            <w:tcBorders>
              <w:top w:val="single" w:sz="4" w:space="0" w:color="auto"/>
            </w:tcBorders>
            <w:noWrap/>
            <w:hideMark/>
          </w:tcPr>
          <w:p w14:paraId="1FAA2F8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1.04E-02</w:t>
            </w:r>
          </w:p>
        </w:tc>
        <w:tc>
          <w:tcPr>
            <w:tcW w:w="1348" w:type="dxa"/>
            <w:tcBorders>
              <w:top w:val="single" w:sz="4" w:space="0" w:color="auto"/>
            </w:tcBorders>
            <w:noWrap/>
            <w:hideMark/>
          </w:tcPr>
          <w:p w14:paraId="5EED13F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2.92E+02</w:t>
            </w:r>
          </w:p>
        </w:tc>
        <w:tc>
          <w:tcPr>
            <w:tcW w:w="1252" w:type="dxa"/>
            <w:tcBorders>
              <w:top w:val="single" w:sz="4" w:space="0" w:color="auto"/>
            </w:tcBorders>
            <w:noWrap/>
            <w:hideMark/>
          </w:tcPr>
          <w:p w14:paraId="4824F6F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9.78E-03</w:t>
            </w:r>
          </w:p>
        </w:tc>
        <w:tc>
          <w:tcPr>
            <w:tcW w:w="1348" w:type="dxa"/>
            <w:tcBorders>
              <w:top w:val="single" w:sz="4" w:space="0" w:color="auto"/>
            </w:tcBorders>
            <w:noWrap/>
            <w:hideMark/>
          </w:tcPr>
          <w:p w14:paraId="4D22B5E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2.35E+02</w:t>
            </w:r>
          </w:p>
        </w:tc>
        <w:tc>
          <w:tcPr>
            <w:tcW w:w="1252" w:type="dxa"/>
            <w:tcBorders>
              <w:top w:val="single" w:sz="4" w:space="0" w:color="auto"/>
            </w:tcBorders>
            <w:noWrap/>
            <w:hideMark/>
          </w:tcPr>
          <w:p w14:paraId="47A9086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6.99E-04</w:t>
            </w:r>
          </w:p>
        </w:tc>
        <w:tc>
          <w:tcPr>
            <w:tcW w:w="1348" w:type="dxa"/>
            <w:tcBorders>
              <w:top w:val="single" w:sz="4" w:space="0" w:color="auto"/>
            </w:tcBorders>
            <w:noWrap/>
            <w:hideMark/>
          </w:tcPr>
          <w:p w14:paraId="3AB52F9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8.39E+00</w:t>
            </w:r>
          </w:p>
        </w:tc>
      </w:tr>
      <w:tr w:rsidR="006C0FD6" w:rsidRPr="006C0FD6" w14:paraId="4633704C" w14:textId="77777777" w:rsidTr="006C0FD6">
        <w:trPr>
          <w:trHeight w:val="300"/>
        </w:trPr>
        <w:tc>
          <w:tcPr>
            <w:tcW w:w="2672" w:type="dxa"/>
            <w:noWrap/>
            <w:hideMark/>
          </w:tcPr>
          <w:p w14:paraId="0172D49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Iron landfill</w:t>
            </w:r>
          </w:p>
        </w:tc>
        <w:tc>
          <w:tcPr>
            <w:tcW w:w="1300" w:type="dxa"/>
            <w:noWrap/>
            <w:hideMark/>
          </w:tcPr>
          <w:p w14:paraId="2D53121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66E965F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4.09E-05</w:t>
            </w:r>
          </w:p>
        </w:tc>
        <w:tc>
          <w:tcPr>
            <w:tcW w:w="1348" w:type="dxa"/>
            <w:noWrap/>
            <w:hideMark/>
          </w:tcPr>
          <w:p w14:paraId="22F91B1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3.23E+00</w:t>
            </w:r>
          </w:p>
        </w:tc>
        <w:tc>
          <w:tcPr>
            <w:tcW w:w="1252" w:type="dxa"/>
            <w:noWrap/>
            <w:hideMark/>
          </w:tcPr>
          <w:p w14:paraId="4990400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4.17E-05</w:t>
            </w:r>
          </w:p>
        </w:tc>
        <w:tc>
          <w:tcPr>
            <w:tcW w:w="1348" w:type="dxa"/>
            <w:noWrap/>
            <w:hideMark/>
          </w:tcPr>
          <w:p w14:paraId="3DF5391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2.50E+00</w:t>
            </w:r>
          </w:p>
        </w:tc>
        <w:tc>
          <w:tcPr>
            <w:tcW w:w="1252" w:type="dxa"/>
            <w:noWrap/>
            <w:hideMark/>
          </w:tcPr>
          <w:p w14:paraId="039CEEF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3.96E-05</w:t>
            </w:r>
          </w:p>
        </w:tc>
        <w:tc>
          <w:tcPr>
            <w:tcW w:w="1348" w:type="dxa"/>
            <w:noWrap/>
            <w:hideMark/>
          </w:tcPr>
          <w:p w14:paraId="3687727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1.11E+00</w:t>
            </w:r>
          </w:p>
        </w:tc>
        <w:tc>
          <w:tcPr>
            <w:tcW w:w="1252" w:type="dxa"/>
            <w:noWrap/>
            <w:hideMark/>
          </w:tcPr>
          <w:p w14:paraId="053FDE3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3.86E-05</w:t>
            </w:r>
          </w:p>
        </w:tc>
        <w:tc>
          <w:tcPr>
            <w:tcW w:w="1348" w:type="dxa"/>
            <w:noWrap/>
            <w:hideMark/>
          </w:tcPr>
          <w:p w14:paraId="7E3C64F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9.25E-01</w:t>
            </w:r>
          </w:p>
        </w:tc>
        <w:tc>
          <w:tcPr>
            <w:tcW w:w="1252" w:type="dxa"/>
            <w:noWrap/>
            <w:hideMark/>
          </w:tcPr>
          <w:p w14:paraId="6DF9CC5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2.76E-05</w:t>
            </w:r>
          </w:p>
        </w:tc>
        <w:tc>
          <w:tcPr>
            <w:tcW w:w="1348" w:type="dxa"/>
            <w:noWrap/>
            <w:hideMark/>
          </w:tcPr>
          <w:p w14:paraId="23210E6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3.31E-01</w:t>
            </w:r>
          </w:p>
        </w:tc>
      </w:tr>
      <w:tr w:rsidR="006C0FD6" w:rsidRPr="006C0FD6" w14:paraId="5D14C34A" w14:textId="77777777" w:rsidTr="006C0FD6">
        <w:trPr>
          <w:trHeight w:val="300"/>
        </w:trPr>
        <w:tc>
          <w:tcPr>
            <w:tcW w:w="2672" w:type="dxa"/>
            <w:noWrap/>
            <w:hideMark/>
          </w:tcPr>
          <w:p w14:paraId="3E67E16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Aluminium landfill</w:t>
            </w:r>
          </w:p>
        </w:tc>
        <w:tc>
          <w:tcPr>
            <w:tcW w:w="1300" w:type="dxa"/>
            <w:noWrap/>
            <w:hideMark/>
          </w:tcPr>
          <w:p w14:paraId="323E5B4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1D404AC6"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3.00E-05</w:t>
            </w:r>
          </w:p>
        </w:tc>
        <w:tc>
          <w:tcPr>
            <w:tcW w:w="1348" w:type="dxa"/>
            <w:noWrap/>
            <w:hideMark/>
          </w:tcPr>
          <w:p w14:paraId="4681463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2.37E+00</w:t>
            </w:r>
          </w:p>
        </w:tc>
        <w:tc>
          <w:tcPr>
            <w:tcW w:w="1252" w:type="dxa"/>
            <w:noWrap/>
            <w:hideMark/>
          </w:tcPr>
          <w:p w14:paraId="686EFC2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3.06E-06</w:t>
            </w:r>
          </w:p>
        </w:tc>
        <w:tc>
          <w:tcPr>
            <w:tcW w:w="1348" w:type="dxa"/>
            <w:noWrap/>
            <w:hideMark/>
          </w:tcPr>
          <w:p w14:paraId="04CD2889"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1.83E-01</w:t>
            </w:r>
          </w:p>
        </w:tc>
        <w:tc>
          <w:tcPr>
            <w:tcW w:w="1252" w:type="dxa"/>
            <w:noWrap/>
            <w:hideMark/>
          </w:tcPr>
          <w:p w14:paraId="4D98CF9C"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2.91E-06</w:t>
            </w:r>
          </w:p>
        </w:tc>
        <w:tc>
          <w:tcPr>
            <w:tcW w:w="1348" w:type="dxa"/>
            <w:noWrap/>
            <w:hideMark/>
          </w:tcPr>
          <w:p w14:paraId="7A616437"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8.15E-02</w:t>
            </w:r>
          </w:p>
        </w:tc>
        <w:tc>
          <w:tcPr>
            <w:tcW w:w="1252" w:type="dxa"/>
            <w:noWrap/>
            <w:hideMark/>
          </w:tcPr>
          <w:p w14:paraId="054E9C4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2.82E-06</w:t>
            </w:r>
          </w:p>
        </w:tc>
        <w:tc>
          <w:tcPr>
            <w:tcW w:w="1348" w:type="dxa"/>
            <w:noWrap/>
            <w:hideMark/>
          </w:tcPr>
          <w:p w14:paraId="33CEF57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6.78E-02</w:t>
            </w:r>
          </w:p>
        </w:tc>
        <w:tc>
          <w:tcPr>
            <w:tcW w:w="1252" w:type="dxa"/>
            <w:noWrap/>
            <w:hideMark/>
          </w:tcPr>
          <w:p w14:paraId="25AA9DC2"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2.02E-06</w:t>
            </w:r>
          </w:p>
        </w:tc>
        <w:tc>
          <w:tcPr>
            <w:tcW w:w="1348" w:type="dxa"/>
            <w:noWrap/>
            <w:hideMark/>
          </w:tcPr>
          <w:p w14:paraId="1D72EDA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2.42E-02</w:t>
            </w:r>
          </w:p>
        </w:tc>
      </w:tr>
      <w:tr w:rsidR="006C0FD6" w:rsidRPr="006C0FD6" w14:paraId="3E32FA89" w14:textId="77777777" w:rsidTr="006C0FD6">
        <w:trPr>
          <w:trHeight w:val="300"/>
        </w:trPr>
        <w:tc>
          <w:tcPr>
            <w:tcW w:w="2672" w:type="dxa"/>
            <w:noWrap/>
            <w:hideMark/>
          </w:tcPr>
          <w:p w14:paraId="0094C5A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Stainless Steel landfill</w:t>
            </w:r>
          </w:p>
        </w:tc>
        <w:tc>
          <w:tcPr>
            <w:tcW w:w="1300" w:type="dxa"/>
            <w:noWrap/>
            <w:hideMark/>
          </w:tcPr>
          <w:p w14:paraId="666E597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326C5D3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7.49E-05</w:t>
            </w:r>
          </w:p>
        </w:tc>
        <w:tc>
          <w:tcPr>
            <w:tcW w:w="1348" w:type="dxa"/>
            <w:noWrap/>
            <w:hideMark/>
          </w:tcPr>
          <w:p w14:paraId="023FF00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5.92E+00</w:t>
            </w:r>
          </w:p>
        </w:tc>
        <w:tc>
          <w:tcPr>
            <w:tcW w:w="1252" w:type="dxa"/>
            <w:noWrap/>
            <w:hideMark/>
          </w:tcPr>
          <w:p w14:paraId="69E7099D"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7.64E-05</w:t>
            </w:r>
          </w:p>
        </w:tc>
        <w:tc>
          <w:tcPr>
            <w:tcW w:w="1348" w:type="dxa"/>
            <w:noWrap/>
            <w:hideMark/>
          </w:tcPr>
          <w:p w14:paraId="5F68AF2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4.58E+00</w:t>
            </w:r>
          </w:p>
        </w:tc>
        <w:tc>
          <w:tcPr>
            <w:tcW w:w="1252" w:type="dxa"/>
            <w:noWrap/>
            <w:hideMark/>
          </w:tcPr>
          <w:p w14:paraId="4E14DB0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7.69E-05</w:t>
            </w:r>
          </w:p>
        </w:tc>
        <w:tc>
          <w:tcPr>
            <w:tcW w:w="1348" w:type="dxa"/>
            <w:noWrap/>
            <w:hideMark/>
          </w:tcPr>
          <w:p w14:paraId="1122EC7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2.15E+00</w:t>
            </w:r>
          </w:p>
        </w:tc>
        <w:tc>
          <w:tcPr>
            <w:tcW w:w="1252" w:type="dxa"/>
            <w:noWrap/>
            <w:hideMark/>
          </w:tcPr>
          <w:p w14:paraId="03D74E8E"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7.06E-05</w:t>
            </w:r>
          </w:p>
        </w:tc>
        <w:tc>
          <w:tcPr>
            <w:tcW w:w="1348" w:type="dxa"/>
            <w:noWrap/>
            <w:hideMark/>
          </w:tcPr>
          <w:p w14:paraId="75ED5A9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1.69E+00</w:t>
            </w:r>
          </w:p>
        </w:tc>
        <w:tc>
          <w:tcPr>
            <w:tcW w:w="1252" w:type="dxa"/>
            <w:noWrap/>
            <w:hideMark/>
          </w:tcPr>
          <w:p w14:paraId="2DB8B410"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5.05E-05</w:t>
            </w:r>
          </w:p>
        </w:tc>
        <w:tc>
          <w:tcPr>
            <w:tcW w:w="1348" w:type="dxa"/>
            <w:noWrap/>
            <w:hideMark/>
          </w:tcPr>
          <w:p w14:paraId="21E08AA1"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6.06E-01</w:t>
            </w:r>
          </w:p>
        </w:tc>
      </w:tr>
      <w:tr w:rsidR="006C0FD6" w:rsidRPr="006C0FD6" w14:paraId="2EEED800" w14:textId="77777777" w:rsidTr="006C0FD6">
        <w:trPr>
          <w:trHeight w:val="300"/>
        </w:trPr>
        <w:tc>
          <w:tcPr>
            <w:tcW w:w="2672" w:type="dxa"/>
            <w:noWrap/>
            <w:hideMark/>
          </w:tcPr>
          <w:p w14:paraId="44C22E8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Copper landfill</w:t>
            </w:r>
          </w:p>
        </w:tc>
        <w:tc>
          <w:tcPr>
            <w:tcW w:w="1300" w:type="dxa"/>
            <w:noWrap/>
            <w:hideMark/>
          </w:tcPr>
          <w:p w14:paraId="687F4223"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kg/MWh</w:t>
            </w:r>
          </w:p>
        </w:tc>
        <w:tc>
          <w:tcPr>
            <w:tcW w:w="1252" w:type="dxa"/>
            <w:noWrap/>
            <w:hideMark/>
          </w:tcPr>
          <w:p w14:paraId="75191DCA"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1.21E-03</w:t>
            </w:r>
          </w:p>
        </w:tc>
        <w:tc>
          <w:tcPr>
            <w:tcW w:w="1348" w:type="dxa"/>
            <w:noWrap/>
            <w:hideMark/>
          </w:tcPr>
          <w:p w14:paraId="5F98CFD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9.56E+01</w:t>
            </w:r>
          </w:p>
        </w:tc>
        <w:tc>
          <w:tcPr>
            <w:tcW w:w="1252" w:type="dxa"/>
            <w:noWrap/>
            <w:hideMark/>
          </w:tcPr>
          <w:p w14:paraId="046AFFF8"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1.23E-03</w:t>
            </w:r>
          </w:p>
        </w:tc>
        <w:tc>
          <w:tcPr>
            <w:tcW w:w="1348" w:type="dxa"/>
            <w:noWrap/>
            <w:hideMark/>
          </w:tcPr>
          <w:p w14:paraId="17EA86C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7.41E+01</w:t>
            </w:r>
          </w:p>
        </w:tc>
        <w:tc>
          <w:tcPr>
            <w:tcW w:w="1252" w:type="dxa"/>
            <w:noWrap/>
            <w:hideMark/>
          </w:tcPr>
          <w:p w14:paraId="1B41C7FB"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1.21E-03</w:t>
            </w:r>
          </w:p>
        </w:tc>
        <w:tc>
          <w:tcPr>
            <w:tcW w:w="1348" w:type="dxa"/>
            <w:noWrap/>
            <w:hideMark/>
          </w:tcPr>
          <w:p w14:paraId="45A19E6F"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3.38E+01</w:t>
            </w:r>
          </w:p>
        </w:tc>
        <w:tc>
          <w:tcPr>
            <w:tcW w:w="1252" w:type="dxa"/>
            <w:noWrap/>
            <w:hideMark/>
          </w:tcPr>
          <w:p w14:paraId="6447CF48"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1.14E-03</w:t>
            </w:r>
          </w:p>
        </w:tc>
        <w:tc>
          <w:tcPr>
            <w:tcW w:w="1348" w:type="dxa"/>
            <w:noWrap/>
            <w:hideMark/>
          </w:tcPr>
          <w:p w14:paraId="31E7D785"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2.74E+01</w:t>
            </w:r>
          </w:p>
        </w:tc>
        <w:tc>
          <w:tcPr>
            <w:tcW w:w="1252" w:type="dxa"/>
            <w:noWrap/>
            <w:hideMark/>
          </w:tcPr>
          <w:p w14:paraId="2643E568"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8.16E-04</w:t>
            </w:r>
          </w:p>
        </w:tc>
        <w:tc>
          <w:tcPr>
            <w:tcW w:w="1348" w:type="dxa"/>
            <w:noWrap/>
            <w:hideMark/>
          </w:tcPr>
          <w:p w14:paraId="15C48354" w14:textId="77777777" w:rsidR="006C0FD6" w:rsidRPr="006C0FD6" w:rsidRDefault="006C0FD6" w:rsidP="004F2BB1">
            <w:pPr>
              <w:rPr>
                <w:rFonts w:ascii="Times New Roman" w:hAnsi="Times New Roman" w:cs="Times New Roman"/>
                <w:sz w:val="15"/>
                <w:szCs w:val="15"/>
              </w:rPr>
            </w:pPr>
            <w:r w:rsidRPr="006C0FD6">
              <w:rPr>
                <w:rFonts w:ascii="Times New Roman" w:hAnsi="Times New Roman" w:cs="Times New Roman"/>
                <w:sz w:val="15"/>
                <w:szCs w:val="15"/>
              </w:rPr>
              <w:t>9.79E+00</w:t>
            </w:r>
          </w:p>
        </w:tc>
      </w:tr>
    </w:tbl>
    <w:p w14:paraId="1BE15178" w14:textId="77777777" w:rsidR="00262FE5" w:rsidRDefault="00426023" w:rsidP="004F2BB1">
      <w:pPr>
        <w:spacing w:line="240" w:lineRule="auto"/>
        <w:rPr>
          <w:rFonts w:ascii="Times New Roman" w:hAnsi="Times New Roman" w:cs="Times New Roman"/>
          <w:sz w:val="16"/>
          <w:szCs w:val="16"/>
        </w:rPr>
      </w:pPr>
      <w:r>
        <w:rPr>
          <w:rFonts w:ascii="Times New Roman" w:hAnsi="Times New Roman" w:cs="Times New Roman"/>
          <w:sz w:val="16"/>
          <w:szCs w:val="16"/>
        </w:rPr>
        <w:t>Table</w:t>
      </w:r>
      <w:r w:rsidRPr="00901DFC">
        <w:rPr>
          <w:rFonts w:ascii="Times New Roman" w:hAnsi="Times New Roman" w:cs="Times New Roman"/>
          <w:sz w:val="16"/>
          <w:szCs w:val="16"/>
        </w:rPr>
        <w:t xml:space="preserve"> </w:t>
      </w:r>
      <w:r w:rsidR="0033706B">
        <w:rPr>
          <w:rFonts w:ascii="Times New Roman" w:hAnsi="Times New Roman" w:cs="Times New Roman"/>
          <w:sz w:val="16"/>
          <w:szCs w:val="16"/>
        </w:rPr>
        <w:t>3</w:t>
      </w:r>
      <w:r>
        <w:rPr>
          <w:rFonts w:ascii="Times New Roman" w:hAnsi="Times New Roman" w:cs="Times New Roman"/>
          <w:sz w:val="16"/>
          <w:szCs w:val="16"/>
        </w:rPr>
        <w:t>: The inventory dat</w:t>
      </w:r>
      <w:r w:rsidR="00CB2F91">
        <w:rPr>
          <w:rFonts w:ascii="Times New Roman" w:hAnsi="Times New Roman" w:cs="Times New Roman"/>
          <w:sz w:val="16"/>
          <w:szCs w:val="16"/>
        </w:rPr>
        <w:t xml:space="preserve">a </w:t>
      </w:r>
      <w:r w:rsidR="00BD3C7A">
        <w:rPr>
          <w:rFonts w:ascii="Times New Roman" w:hAnsi="Times New Roman" w:cs="Times New Roman"/>
          <w:sz w:val="16"/>
          <w:szCs w:val="16"/>
        </w:rPr>
        <w:t xml:space="preserve">for </w:t>
      </w:r>
      <w:r w:rsidR="00CB2F91">
        <w:rPr>
          <w:rFonts w:ascii="Times New Roman" w:hAnsi="Times New Roman" w:cs="Times New Roman"/>
          <w:sz w:val="16"/>
          <w:szCs w:val="16"/>
        </w:rPr>
        <w:t>the</w:t>
      </w:r>
      <w:r w:rsidR="00BD3C7A">
        <w:rPr>
          <w:rFonts w:ascii="Times New Roman" w:hAnsi="Times New Roman" w:cs="Times New Roman"/>
          <w:sz w:val="16"/>
          <w:szCs w:val="16"/>
        </w:rPr>
        <w:t xml:space="preserve"> selected</w:t>
      </w:r>
      <w:r w:rsidR="00CB2F91">
        <w:rPr>
          <w:rFonts w:ascii="Times New Roman" w:hAnsi="Times New Roman" w:cs="Times New Roman"/>
          <w:sz w:val="16"/>
          <w:szCs w:val="16"/>
        </w:rPr>
        <w:t xml:space="preserve"> </w:t>
      </w:r>
      <w:r>
        <w:rPr>
          <w:rFonts w:ascii="Times New Roman" w:hAnsi="Times New Roman" w:cs="Times New Roman"/>
          <w:sz w:val="16"/>
          <w:szCs w:val="16"/>
        </w:rPr>
        <w:t>hydropower plants in Myanmar</w:t>
      </w:r>
      <w:r w:rsidR="00CB2F91">
        <w:rPr>
          <w:rFonts w:ascii="Times New Roman" w:hAnsi="Times New Roman" w:cs="Times New Roman"/>
          <w:sz w:val="16"/>
          <w:szCs w:val="16"/>
        </w:rPr>
        <w:t xml:space="preserve">                                                                                                                          </w:t>
      </w:r>
      <w:r w:rsidR="00A86519">
        <w:rPr>
          <w:rFonts w:ascii="Times New Roman" w:hAnsi="Times New Roman" w:cs="Times New Roman"/>
          <w:sz w:val="16"/>
          <w:szCs w:val="16"/>
        </w:rPr>
        <w:t>*</w:t>
      </w:r>
      <w:r w:rsidR="00CB2F91">
        <w:rPr>
          <w:rFonts w:ascii="Times New Roman" w:hAnsi="Times New Roman" w:cs="Times New Roman"/>
          <w:sz w:val="16"/>
          <w:szCs w:val="16"/>
        </w:rPr>
        <w:t xml:space="preserve">Unit input is the amount of material needed per functional unit (1MW of hydroelectricity produced)                                                                             </w:t>
      </w:r>
      <w:r w:rsidR="00A86519">
        <w:rPr>
          <w:rFonts w:ascii="Times New Roman" w:hAnsi="Times New Roman" w:cs="Times New Roman"/>
          <w:sz w:val="16"/>
          <w:szCs w:val="16"/>
        </w:rPr>
        <w:t>*</w:t>
      </w:r>
      <w:r w:rsidR="00CB2F91">
        <w:rPr>
          <w:rFonts w:ascii="Times New Roman" w:hAnsi="Times New Roman" w:cs="Times New Roman"/>
          <w:sz w:val="16"/>
          <w:szCs w:val="16"/>
        </w:rPr>
        <w:t>Total input is the total amount of material used in the plants during the lifespan of 100 years</w:t>
      </w:r>
    </w:p>
    <w:p w14:paraId="1FF4DDC8" w14:textId="54356E8B" w:rsidR="007D05BC" w:rsidRPr="00080768" w:rsidRDefault="007D05BC" w:rsidP="004F2BB1">
      <w:pPr>
        <w:spacing w:line="240" w:lineRule="auto"/>
        <w:rPr>
          <w:rFonts w:ascii="Times New Roman" w:hAnsi="Times New Roman" w:cs="Times New Roman"/>
          <w:sz w:val="24"/>
          <w:szCs w:val="24"/>
          <w:lang w:val="en-US"/>
        </w:rPr>
      </w:pPr>
      <w:r>
        <w:rPr>
          <w:rFonts w:ascii="Times New Roman" w:hAnsi="Times New Roman" w:cs="Times New Roman"/>
          <w:sz w:val="24"/>
          <w:szCs w:val="24"/>
        </w:rPr>
        <w:t>The quality of the inventory data was validated</w:t>
      </w:r>
      <w:r w:rsidR="002C4E72">
        <w:rPr>
          <w:rFonts w:ascii="Times New Roman" w:hAnsi="Times New Roman" w:cs="Times New Roman"/>
          <w:sz w:val="24"/>
          <w:szCs w:val="24"/>
        </w:rPr>
        <w:t xml:space="preserve">, </w:t>
      </w:r>
      <w:r>
        <w:rPr>
          <w:rFonts w:ascii="Times New Roman" w:hAnsi="Times New Roman" w:cs="Times New Roman"/>
          <w:sz w:val="24"/>
          <w:szCs w:val="24"/>
        </w:rPr>
        <w:t xml:space="preserve">using the Pedigree matrix proposed by </w:t>
      </w:r>
      <w:r>
        <w:rPr>
          <w:rFonts w:ascii="Times New Roman" w:hAnsi="Times New Roman" w:cs="Times New Roman"/>
          <w:sz w:val="24"/>
          <w:szCs w:val="24"/>
          <w:lang w:val="en-US"/>
        </w:rPr>
        <w:fldChar w:fldCharType="begin" w:fldLock="1"/>
      </w:r>
      <w:r w:rsidR="00924D59">
        <w:rPr>
          <w:rFonts w:ascii="Times New Roman" w:hAnsi="Times New Roman" w:cs="Times New Roman"/>
          <w:sz w:val="24"/>
          <w:szCs w:val="24"/>
          <w:lang w:val="en-US"/>
        </w:rPr>
        <w:instrText>ADDIN CSL_CITATION {"citationItems":[{"id":"ITEM-1","itemData":{"author":[{"dropping-particle":"","family":"Weidema, B.P., Wesnæs","given":"M.S.","non-dropping-particle":"","parse-names":false,"suffix":""}],"container-title":"Journal of Cleaner Production","id":"ITEM-1","issued":{"date-parts":[["1996"]]},"page":"167–174.","title":"Data quality management for life cycle inventories — an example of using data quality indicators.","type":"article-journal","volume":"4"},"uris":["http://www.mendeley.com/documents/?uuid=96da2940-abdc-4b90-be39-c1b0ce66ae0d"]}],"mendeley":{"formattedCitation":"(Weidema, B.P., Wesnæs, 1996)","manualFormatting":"Weidema, and Wesnaes (1996)","plainTextFormattedCitation":"(Weidema, B.P., Wesnæs, 1996)","previouslyFormattedCitation":"(Weidema, B.P., Wesnæs, 1996)"},"properties":{"noteIndex":0},"schema":"https://github.com/citation-style-language/schema/raw/master/csl-citation.json"}</w:instrText>
      </w:r>
      <w:r>
        <w:rPr>
          <w:rFonts w:ascii="Times New Roman" w:hAnsi="Times New Roman" w:cs="Times New Roman"/>
          <w:sz w:val="24"/>
          <w:szCs w:val="24"/>
          <w:lang w:val="en-US"/>
        </w:rPr>
        <w:fldChar w:fldCharType="separate"/>
      </w:r>
      <w:r w:rsidRPr="00ED18B9">
        <w:rPr>
          <w:rFonts w:ascii="Times New Roman" w:hAnsi="Times New Roman" w:cs="Times New Roman"/>
          <w:noProof/>
          <w:sz w:val="24"/>
          <w:szCs w:val="24"/>
          <w:lang w:val="en-US"/>
        </w:rPr>
        <w:t xml:space="preserve">Weidema, </w:t>
      </w:r>
      <w:r>
        <w:rPr>
          <w:rFonts w:ascii="Times New Roman" w:hAnsi="Times New Roman" w:cs="Times New Roman"/>
          <w:noProof/>
          <w:sz w:val="24"/>
          <w:szCs w:val="24"/>
          <w:lang w:val="en-US"/>
        </w:rPr>
        <w:t xml:space="preserve">and </w:t>
      </w:r>
      <w:r w:rsidRPr="00ED18B9">
        <w:rPr>
          <w:rFonts w:ascii="Times New Roman" w:hAnsi="Times New Roman" w:cs="Times New Roman"/>
          <w:noProof/>
          <w:sz w:val="24"/>
          <w:szCs w:val="24"/>
          <w:lang w:val="en-US"/>
        </w:rPr>
        <w:t>Wesn</w:t>
      </w:r>
      <w:r>
        <w:rPr>
          <w:rFonts w:ascii="Times New Roman" w:hAnsi="Times New Roman" w:cs="Times New Roman"/>
          <w:noProof/>
          <w:sz w:val="24"/>
          <w:szCs w:val="24"/>
          <w:lang w:val="en-US"/>
        </w:rPr>
        <w:t>ae</w:t>
      </w:r>
      <w:r w:rsidRPr="00ED18B9">
        <w:rPr>
          <w:rFonts w:ascii="Times New Roman" w:hAnsi="Times New Roman" w:cs="Times New Roman"/>
          <w:noProof/>
          <w:sz w:val="24"/>
          <w:szCs w:val="24"/>
          <w:lang w:val="en-US"/>
        </w:rPr>
        <w:t>s</w:t>
      </w:r>
      <w:r>
        <w:rPr>
          <w:rFonts w:ascii="Times New Roman" w:hAnsi="Times New Roman" w:cs="Times New Roman"/>
          <w:noProof/>
          <w:sz w:val="24"/>
          <w:szCs w:val="24"/>
          <w:lang w:val="en-US"/>
        </w:rPr>
        <w:t xml:space="preserve"> (</w:t>
      </w:r>
      <w:r w:rsidRPr="00ED18B9">
        <w:rPr>
          <w:rFonts w:ascii="Times New Roman" w:hAnsi="Times New Roman" w:cs="Times New Roman"/>
          <w:noProof/>
          <w:sz w:val="24"/>
          <w:szCs w:val="24"/>
          <w:lang w:val="en-US"/>
        </w:rPr>
        <w:t>1996)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 Pedigree matrix is based on five indicators, </w:t>
      </w:r>
      <w:r w:rsidR="002C4E72">
        <w:rPr>
          <w:rFonts w:ascii="Times New Roman" w:hAnsi="Times New Roman" w:cs="Times New Roman"/>
          <w:sz w:val="24"/>
          <w:szCs w:val="24"/>
          <w:lang w:val="en-US"/>
        </w:rPr>
        <w:t xml:space="preserve">including </w:t>
      </w:r>
      <w:r>
        <w:rPr>
          <w:rFonts w:ascii="Times New Roman" w:hAnsi="Times New Roman" w:cs="Times New Roman"/>
          <w:sz w:val="24"/>
          <w:szCs w:val="24"/>
          <w:lang w:val="en-US"/>
        </w:rPr>
        <w:t>reliability, completeness, temporal correlation, geographical differences and further technological differences. Table 4 shows uncertainty factors with</w:t>
      </w:r>
      <w:r w:rsidR="002C4E72">
        <w:rPr>
          <w:rFonts w:ascii="Times New Roman" w:hAnsi="Times New Roman" w:cs="Times New Roman"/>
          <w:sz w:val="24"/>
          <w:szCs w:val="24"/>
          <w:lang w:val="en-US"/>
        </w:rPr>
        <w:t>in</w:t>
      </w:r>
      <w:r>
        <w:rPr>
          <w:rFonts w:ascii="Times New Roman" w:hAnsi="Times New Roman" w:cs="Times New Roman"/>
          <w:sz w:val="24"/>
          <w:szCs w:val="24"/>
          <w:lang w:val="en-US"/>
        </w:rPr>
        <w:t xml:space="preserve"> the pedigree matrix. The numerical values are the data quality indicator (DQI) scores </w:t>
      </w:r>
      <w:r w:rsidR="002C4E72">
        <w:rPr>
          <w:rFonts w:ascii="Times New Roman" w:hAnsi="Times New Roman" w:cs="Times New Roman"/>
          <w:sz w:val="24"/>
          <w:szCs w:val="24"/>
          <w:lang w:val="en-US"/>
        </w:rPr>
        <w:t>(</w:t>
      </w:r>
      <w:r>
        <w:rPr>
          <w:rFonts w:ascii="Times New Roman" w:hAnsi="Times New Roman" w:cs="Times New Roman"/>
          <w:sz w:val="24"/>
          <w:szCs w:val="24"/>
          <w:lang w:val="en-US"/>
        </w:rPr>
        <w:t>1 to 5</w:t>
      </w:r>
      <w:r w:rsidR="002C4E72">
        <w:rPr>
          <w:rFonts w:ascii="Times New Roman" w:hAnsi="Times New Roman" w:cs="Times New Roman"/>
          <w:sz w:val="24"/>
          <w:szCs w:val="24"/>
          <w:lang w:val="en-US"/>
        </w:rPr>
        <w:t>)</w:t>
      </w:r>
      <w:r w:rsidR="000E34AE">
        <w:rPr>
          <w:rFonts w:ascii="Times New Roman" w:hAnsi="Times New Roman" w:cs="Times New Roman"/>
          <w:sz w:val="24"/>
          <w:szCs w:val="24"/>
          <w:lang w:val="en-US"/>
        </w:rPr>
        <w:t xml:space="preserve">. </w:t>
      </w:r>
      <w:r w:rsidR="002C4E72">
        <w:rPr>
          <w:rFonts w:ascii="Times New Roman" w:hAnsi="Times New Roman" w:cs="Times New Roman"/>
          <w:sz w:val="24"/>
          <w:szCs w:val="24"/>
          <w:lang w:val="en-US"/>
        </w:rPr>
        <w:t>S</w:t>
      </w:r>
      <w:r>
        <w:rPr>
          <w:rFonts w:ascii="Times New Roman" w:hAnsi="Times New Roman" w:cs="Times New Roman"/>
          <w:sz w:val="24"/>
          <w:szCs w:val="24"/>
          <w:lang w:val="en-US"/>
        </w:rPr>
        <w:t xml:space="preserve">cores do not necessarily indicate good or bad data. Rather, they indicate how well the data relate to the intended goal and scope of the study </w:t>
      </w:r>
      <w:r>
        <w:rPr>
          <w:rFonts w:ascii="Times New Roman" w:hAnsi="Times New Roman" w:cs="Times New Roman"/>
          <w:sz w:val="24"/>
          <w:szCs w:val="24"/>
          <w:lang w:val="en-US"/>
        </w:rPr>
        <w:fldChar w:fldCharType="begin" w:fldLock="1"/>
      </w:r>
      <w:r w:rsidR="00924D59">
        <w:rPr>
          <w:rFonts w:ascii="Times New Roman" w:hAnsi="Times New Roman" w:cs="Times New Roman"/>
          <w:sz w:val="24"/>
          <w:szCs w:val="24"/>
          <w:lang w:val="en-US"/>
        </w:rPr>
        <w:instrText>ADDIN CSL_CITATION {"citationItems":[{"id":"ITEM-1","itemData":{"ISBN":"EPA/600/R-16/096","ISSN":"0306-4522","PMID":"12559107","abstract":"test abstract","author":[{"dropping-particle":"","family":"Edelen","given":"Ashley","non-dropping-particle":"","parse-names":false,"suffix":""},{"dropping-particle":"","family":"Ingwersen","given":"Wesley","non-dropping-particle":"","parse-names":false,"suffix":""}],"id":"ITEM-1","issue":"June","issued":{"date-parts":[["2016"]]},"number-of-pages":"47","title":"Guidance on Data Quality Assessment for Life Cycle Inventory Data","type":"report"},"uris":["http://www.mendeley.com/documents/?uuid=4f0245a8-c5fb-482d-8848-0cba8959e64a"]}],"mendeley":{"formattedCitation":"(Edelen &amp; Ingwersen, 2016)","plainTextFormattedCitation":"(Edelen &amp; Ingwersen, 2016)","previouslyFormattedCitation":"(Edelen &amp; Ingwersen, 2016)"},"properties":{"noteIndex":0},"schema":"https://github.com/citation-style-language/schema/raw/master/csl-citation.json"}</w:instrText>
      </w:r>
      <w:r>
        <w:rPr>
          <w:rFonts w:ascii="Times New Roman" w:hAnsi="Times New Roman" w:cs="Times New Roman"/>
          <w:sz w:val="24"/>
          <w:szCs w:val="24"/>
          <w:lang w:val="en-US"/>
        </w:rPr>
        <w:fldChar w:fldCharType="separate"/>
      </w:r>
      <w:r w:rsidRPr="00107C1E">
        <w:rPr>
          <w:rFonts w:ascii="Times New Roman" w:hAnsi="Times New Roman" w:cs="Times New Roman"/>
          <w:noProof/>
          <w:sz w:val="24"/>
          <w:szCs w:val="24"/>
          <w:lang w:val="en-US"/>
        </w:rPr>
        <w:t>(Edelen &amp; Ingwersen, 2016)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tbl>
      <w:tblPr>
        <w:tblStyle w:val="TableGrid"/>
        <w:tblW w:w="923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9"/>
        <w:gridCol w:w="1250"/>
        <w:gridCol w:w="1250"/>
        <w:gridCol w:w="1250"/>
        <w:gridCol w:w="1250"/>
        <w:gridCol w:w="1250"/>
      </w:tblGrid>
      <w:tr w:rsidR="00347C65" w:rsidRPr="00347C65" w14:paraId="16BB27A7" w14:textId="77777777" w:rsidTr="008A0100">
        <w:trPr>
          <w:trHeight w:val="224"/>
          <w:jc w:val="center"/>
        </w:trPr>
        <w:tc>
          <w:tcPr>
            <w:tcW w:w="2989" w:type="dxa"/>
            <w:tcBorders>
              <w:top w:val="single" w:sz="4" w:space="0" w:color="auto"/>
              <w:bottom w:val="single" w:sz="4" w:space="0" w:color="auto"/>
            </w:tcBorders>
            <w:vAlign w:val="center"/>
          </w:tcPr>
          <w:p w14:paraId="2E32783B"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Indicator score</w:t>
            </w:r>
          </w:p>
        </w:tc>
        <w:tc>
          <w:tcPr>
            <w:tcW w:w="1250" w:type="dxa"/>
            <w:tcBorders>
              <w:top w:val="single" w:sz="4" w:space="0" w:color="auto"/>
              <w:bottom w:val="single" w:sz="4" w:space="0" w:color="auto"/>
            </w:tcBorders>
            <w:vAlign w:val="center"/>
          </w:tcPr>
          <w:p w14:paraId="613B3BC9"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w:t>
            </w:r>
          </w:p>
        </w:tc>
        <w:tc>
          <w:tcPr>
            <w:tcW w:w="1250" w:type="dxa"/>
            <w:tcBorders>
              <w:top w:val="single" w:sz="4" w:space="0" w:color="auto"/>
              <w:bottom w:val="single" w:sz="4" w:space="0" w:color="auto"/>
            </w:tcBorders>
            <w:vAlign w:val="center"/>
          </w:tcPr>
          <w:p w14:paraId="38716B62"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2</w:t>
            </w:r>
          </w:p>
        </w:tc>
        <w:tc>
          <w:tcPr>
            <w:tcW w:w="1250" w:type="dxa"/>
            <w:tcBorders>
              <w:top w:val="single" w:sz="4" w:space="0" w:color="auto"/>
              <w:bottom w:val="single" w:sz="4" w:space="0" w:color="auto"/>
            </w:tcBorders>
            <w:vAlign w:val="center"/>
          </w:tcPr>
          <w:p w14:paraId="72314E83"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3</w:t>
            </w:r>
          </w:p>
        </w:tc>
        <w:tc>
          <w:tcPr>
            <w:tcW w:w="1250" w:type="dxa"/>
            <w:tcBorders>
              <w:top w:val="single" w:sz="4" w:space="0" w:color="auto"/>
              <w:bottom w:val="single" w:sz="4" w:space="0" w:color="auto"/>
            </w:tcBorders>
            <w:vAlign w:val="center"/>
          </w:tcPr>
          <w:p w14:paraId="689DF578"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4</w:t>
            </w:r>
          </w:p>
        </w:tc>
        <w:tc>
          <w:tcPr>
            <w:tcW w:w="1250" w:type="dxa"/>
            <w:tcBorders>
              <w:top w:val="single" w:sz="4" w:space="0" w:color="auto"/>
              <w:bottom w:val="single" w:sz="4" w:space="0" w:color="auto"/>
            </w:tcBorders>
            <w:vAlign w:val="center"/>
          </w:tcPr>
          <w:p w14:paraId="0EDEDC6E"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5</w:t>
            </w:r>
          </w:p>
        </w:tc>
      </w:tr>
      <w:tr w:rsidR="00347C65" w:rsidRPr="00347C65" w14:paraId="4448EBFE" w14:textId="77777777" w:rsidTr="008A0100">
        <w:trPr>
          <w:trHeight w:val="333"/>
          <w:jc w:val="center"/>
        </w:trPr>
        <w:tc>
          <w:tcPr>
            <w:tcW w:w="2989" w:type="dxa"/>
            <w:tcBorders>
              <w:top w:val="single" w:sz="4" w:space="0" w:color="auto"/>
            </w:tcBorders>
            <w:vAlign w:val="center"/>
          </w:tcPr>
          <w:p w14:paraId="24ECF448"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Reliability</w:t>
            </w:r>
          </w:p>
        </w:tc>
        <w:tc>
          <w:tcPr>
            <w:tcW w:w="1250" w:type="dxa"/>
            <w:tcBorders>
              <w:top w:val="single" w:sz="4" w:space="0" w:color="auto"/>
            </w:tcBorders>
            <w:vAlign w:val="center"/>
          </w:tcPr>
          <w:p w14:paraId="316433FE"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w:t>
            </w:r>
          </w:p>
        </w:tc>
        <w:tc>
          <w:tcPr>
            <w:tcW w:w="1250" w:type="dxa"/>
            <w:tcBorders>
              <w:top w:val="single" w:sz="4" w:space="0" w:color="auto"/>
            </w:tcBorders>
            <w:vAlign w:val="center"/>
          </w:tcPr>
          <w:p w14:paraId="6C2B55D6"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1.05</w:t>
            </w:r>
          </w:p>
        </w:tc>
        <w:tc>
          <w:tcPr>
            <w:tcW w:w="1250" w:type="dxa"/>
            <w:tcBorders>
              <w:top w:val="single" w:sz="4" w:space="0" w:color="auto"/>
            </w:tcBorders>
            <w:vAlign w:val="center"/>
          </w:tcPr>
          <w:p w14:paraId="5588E648"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1.10</w:t>
            </w:r>
          </w:p>
        </w:tc>
        <w:tc>
          <w:tcPr>
            <w:tcW w:w="1250" w:type="dxa"/>
            <w:tcBorders>
              <w:top w:val="single" w:sz="4" w:space="0" w:color="auto"/>
            </w:tcBorders>
            <w:vAlign w:val="center"/>
          </w:tcPr>
          <w:p w14:paraId="7FF73597"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1.20</w:t>
            </w:r>
          </w:p>
        </w:tc>
        <w:tc>
          <w:tcPr>
            <w:tcW w:w="1250" w:type="dxa"/>
            <w:tcBorders>
              <w:top w:val="single" w:sz="4" w:space="0" w:color="auto"/>
            </w:tcBorders>
            <w:vAlign w:val="center"/>
          </w:tcPr>
          <w:p w14:paraId="49CFCF1A"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1.50</w:t>
            </w:r>
          </w:p>
        </w:tc>
      </w:tr>
      <w:tr w:rsidR="00347C65" w:rsidRPr="00347C65" w14:paraId="2B0BD6DB" w14:textId="77777777" w:rsidTr="008A0100">
        <w:trPr>
          <w:trHeight w:val="343"/>
          <w:jc w:val="center"/>
        </w:trPr>
        <w:tc>
          <w:tcPr>
            <w:tcW w:w="2989" w:type="dxa"/>
            <w:vAlign w:val="center"/>
          </w:tcPr>
          <w:p w14:paraId="3C92370E"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Completeness</w:t>
            </w:r>
          </w:p>
        </w:tc>
        <w:tc>
          <w:tcPr>
            <w:tcW w:w="1250" w:type="dxa"/>
            <w:vAlign w:val="center"/>
          </w:tcPr>
          <w:p w14:paraId="5056EE60"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w:t>
            </w:r>
          </w:p>
        </w:tc>
        <w:tc>
          <w:tcPr>
            <w:tcW w:w="1250" w:type="dxa"/>
            <w:vAlign w:val="center"/>
          </w:tcPr>
          <w:p w14:paraId="3203ADFF"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1.02</w:t>
            </w:r>
          </w:p>
        </w:tc>
        <w:tc>
          <w:tcPr>
            <w:tcW w:w="1250" w:type="dxa"/>
            <w:vAlign w:val="center"/>
          </w:tcPr>
          <w:p w14:paraId="5236D04D"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1.05</w:t>
            </w:r>
          </w:p>
        </w:tc>
        <w:tc>
          <w:tcPr>
            <w:tcW w:w="1250" w:type="dxa"/>
            <w:vAlign w:val="center"/>
          </w:tcPr>
          <w:p w14:paraId="1BE1EA73"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1.10</w:t>
            </w:r>
          </w:p>
        </w:tc>
        <w:tc>
          <w:tcPr>
            <w:tcW w:w="1250" w:type="dxa"/>
            <w:vAlign w:val="center"/>
          </w:tcPr>
          <w:p w14:paraId="44EBF466"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1.20</w:t>
            </w:r>
          </w:p>
        </w:tc>
      </w:tr>
      <w:tr w:rsidR="00347C65" w:rsidRPr="00347C65" w14:paraId="145B8106" w14:textId="77777777" w:rsidTr="008A0100">
        <w:trPr>
          <w:trHeight w:val="343"/>
          <w:jc w:val="center"/>
        </w:trPr>
        <w:tc>
          <w:tcPr>
            <w:tcW w:w="2989" w:type="dxa"/>
            <w:vAlign w:val="center"/>
          </w:tcPr>
          <w:p w14:paraId="003E5552"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Temporal correlation</w:t>
            </w:r>
          </w:p>
        </w:tc>
        <w:tc>
          <w:tcPr>
            <w:tcW w:w="1250" w:type="dxa"/>
            <w:vAlign w:val="center"/>
          </w:tcPr>
          <w:p w14:paraId="725BE262"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w:t>
            </w:r>
          </w:p>
        </w:tc>
        <w:tc>
          <w:tcPr>
            <w:tcW w:w="1250" w:type="dxa"/>
            <w:vAlign w:val="center"/>
          </w:tcPr>
          <w:p w14:paraId="4A08C143"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1.03</w:t>
            </w:r>
          </w:p>
        </w:tc>
        <w:tc>
          <w:tcPr>
            <w:tcW w:w="1250" w:type="dxa"/>
            <w:vAlign w:val="center"/>
          </w:tcPr>
          <w:p w14:paraId="4CEB12B6"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1.10</w:t>
            </w:r>
          </w:p>
        </w:tc>
        <w:tc>
          <w:tcPr>
            <w:tcW w:w="1250" w:type="dxa"/>
            <w:vAlign w:val="center"/>
          </w:tcPr>
          <w:p w14:paraId="7139B51E"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1.20</w:t>
            </w:r>
          </w:p>
        </w:tc>
        <w:tc>
          <w:tcPr>
            <w:tcW w:w="1250" w:type="dxa"/>
            <w:vAlign w:val="center"/>
          </w:tcPr>
          <w:p w14:paraId="4DE63A68"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1.50</w:t>
            </w:r>
          </w:p>
        </w:tc>
      </w:tr>
      <w:tr w:rsidR="00347C65" w:rsidRPr="00347C65" w14:paraId="30747911" w14:textId="77777777" w:rsidTr="008A0100">
        <w:trPr>
          <w:trHeight w:val="333"/>
          <w:jc w:val="center"/>
        </w:trPr>
        <w:tc>
          <w:tcPr>
            <w:tcW w:w="2989" w:type="dxa"/>
            <w:vAlign w:val="center"/>
          </w:tcPr>
          <w:p w14:paraId="15718379"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Geographical correlation</w:t>
            </w:r>
          </w:p>
        </w:tc>
        <w:tc>
          <w:tcPr>
            <w:tcW w:w="1250" w:type="dxa"/>
            <w:vAlign w:val="center"/>
          </w:tcPr>
          <w:p w14:paraId="3ECD6697"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w:t>
            </w:r>
          </w:p>
        </w:tc>
        <w:tc>
          <w:tcPr>
            <w:tcW w:w="1250" w:type="dxa"/>
            <w:vAlign w:val="center"/>
          </w:tcPr>
          <w:p w14:paraId="68E57A15"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1.01</w:t>
            </w:r>
          </w:p>
        </w:tc>
        <w:tc>
          <w:tcPr>
            <w:tcW w:w="1250" w:type="dxa"/>
            <w:vAlign w:val="center"/>
          </w:tcPr>
          <w:p w14:paraId="46895F8E"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1.02</w:t>
            </w:r>
          </w:p>
        </w:tc>
        <w:tc>
          <w:tcPr>
            <w:tcW w:w="1250" w:type="dxa"/>
            <w:vAlign w:val="center"/>
          </w:tcPr>
          <w:p w14:paraId="1F23A1F4" w14:textId="77777777" w:rsidR="00347C65" w:rsidRPr="00347C65" w:rsidRDefault="00A4419D" w:rsidP="004F2BB1">
            <w:pPr>
              <w:spacing w:after="160"/>
              <w:rPr>
                <w:rFonts w:ascii="Times New Roman" w:hAnsi="Times New Roman" w:cs="Times New Roman"/>
                <w:bCs/>
                <w:sz w:val="16"/>
                <w:szCs w:val="16"/>
                <w:lang w:val="en-US"/>
              </w:rPr>
            </w:pPr>
            <w:r>
              <w:rPr>
                <w:rFonts w:ascii="Times New Roman" w:hAnsi="Times New Roman" w:cs="Times New Roman"/>
                <w:bCs/>
                <w:sz w:val="16"/>
                <w:szCs w:val="16"/>
                <w:lang w:val="en-US"/>
              </w:rPr>
              <w:t>1.05</w:t>
            </w:r>
          </w:p>
        </w:tc>
        <w:tc>
          <w:tcPr>
            <w:tcW w:w="1250" w:type="dxa"/>
            <w:vAlign w:val="center"/>
          </w:tcPr>
          <w:p w14:paraId="3508DF8A"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1.10</w:t>
            </w:r>
          </w:p>
        </w:tc>
      </w:tr>
      <w:tr w:rsidR="00347C65" w:rsidRPr="00347C65" w14:paraId="7E0E7CBA" w14:textId="77777777" w:rsidTr="008A0100">
        <w:trPr>
          <w:trHeight w:val="343"/>
          <w:jc w:val="center"/>
        </w:trPr>
        <w:tc>
          <w:tcPr>
            <w:tcW w:w="2989" w:type="dxa"/>
            <w:vAlign w:val="center"/>
          </w:tcPr>
          <w:p w14:paraId="7F554309"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Further technological correlation</w:t>
            </w:r>
          </w:p>
        </w:tc>
        <w:tc>
          <w:tcPr>
            <w:tcW w:w="1250" w:type="dxa"/>
            <w:vAlign w:val="center"/>
          </w:tcPr>
          <w:p w14:paraId="04F9A383"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w:t>
            </w:r>
          </w:p>
        </w:tc>
        <w:tc>
          <w:tcPr>
            <w:tcW w:w="1250" w:type="dxa"/>
            <w:vAlign w:val="center"/>
          </w:tcPr>
          <w:p w14:paraId="78029A26" w14:textId="77777777" w:rsidR="00347C65" w:rsidRPr="00347C65" w:rsidRDefault="00A4419D" w:rsidP="004F2BB1">
            <w:pPr>
              <w:spacing w:after="160"/>
              <w:rPr>
                <w:rFonts w:ascii="Times New Roman" w:hAnsi="Times New Roman" w:cs="Times New Roman"/>
                <w:bCs/>
                <w:sz w:val="16"/>
                <w:szCs w:val="16"/>
                <w:lang w:val="en-US"/>
              </w:rPr>
            </w:pPr>
            <w:r>
              <w:rPr>
                <w:rFonts w:ascii="Times New Roman" w:hAnsi="Times New Roman" w:cs="Times New Roman"/>
                <w:bCs/>
                <w:sz w:val="16"/>
                <w:szCs w:val="16"/>
                <w:lang w:val="en-US"/>
              </w:rPr>
              <w:t>1.05</w:t>
            </w:r>
          </w:p>
        </w:tc>
        <w:tc>
          <w:tcPr>
            <w:tcW w:w="1250" w:type="dxa"/>
            <w:vAlign w:val="center"/>
          </w:tcPr>
          <w:p w14:paraId="16E0A18A"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1.20</w:t>
            </w:r>
          </w:p>
        </w:tc>
        <w:tc>
          <w:tcPr>
            <w:tcW w:w="1250" w:type="dxa"/>
            <w:vAlign w:val="center"/>
          </w:tcPr>
          <w:p w14:paraId="42A1D6D1"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1.50</w:t>
            </w:r>
          </w:p>
        </w:tc>
        <w:tc>
          <w:tcPr>
            <w:tcW w:w="1250" w:type="dxa"/>
            <w:vAlign w:val="center"/>
          </w:tcPr>
          <w:p w14:paraId="55BAE5CB" w14:textId="77777777" w:rsidR="00347C65" w:rsidRPr="00347C65" w:rsidRDefault="00347C65" w:rsidP="004F2BB1">
            <w:pPr>
              <w:spacing w:after="160"/>
              <w:rPr>
                <w:rFonts w:ascii="Times New Roman" w:hAnsi="Times New Roman" w:cs="Times New Roman"/>
                <w:bCs/>
                <w:sz w:val="16"/>
                <w:szCs w:val="16"/>
                <w:lang w:val="en-US"/>
              </w:rPr>
            </w:pPr>
            <w:r w:rsidRPr="00347C65">
              <w:rPr>
                <w:rFonts w:ascii="Times New Roman" w:hAnsi="Times New Roman" w:cs="Times New Roman"/>
                <w:bCs/>
                <w:sz w:val="16"/>
                <w:szCs w:val="16"/>
                <w:lang w:val="en-US"/>
              </w:rPr>
              <w:t>2.00</w:t>
            </w:r>
          </w:p>
        </w:tc>
      </w:tr>
    </w:tbl>
    <w:p w14:paraId="0CD3DF90" w14:textId="77777777" w:rsidR="00CB2F91" w:rsidRPr="00CB2F91" w:rsidRDefault="00A4419D" w:rsidP="004F2BB1">
      <w:pPr>
        <w:spacing w:line="240" w:lineRule="auto"/>
        <w:rPr>
          <w:rFonts w:ascii="Times New Roman" w:hAnsi="Times New Roman" w:cs="Times New Roman"/>
          <w:sz w:val="16"/>
          <w:szCs w:val="16"/>
        </w:rPr>
      </w:pPr>
      <w:r>
        <w:rPr>
          <w:rFonts w:ascii="Times New Roman" w:hAnsi="Times New Roman" w:cs="Times New Roman"/>
          <w:sz w:val="16"/>
          <w:szCs w:val="16"/>
        </w:rPr>
        <w:t xml:space="preserve">Table 4: </w:t>
      </w:r>
      <w:r w:rsidR="00F72D7C">
        <w:rPr>
          <w:rFonts w:ascii="Times New Roman" w:hAnsi="Times New Roman" w:cs="Times New Roman"/>
          <w:sz w:val="16"/>
          <w:szCs w:val="16"/>
        </w:rPr>
        <w:t>Uncertainty factors applied together with the</w:t>
      </w:r>
      <w:r w:rsidR="00EF7CBB">
        <w:rPr>
          <w:rFonts w:ascii="Times New Roman" w:hAnsi="Times New Roman" w:cs="Times New Roman"/>
          <w:sz w:val="16"/>
          <w:szCs w:val="16"/>
        </w:rPr>
        <w:t xml:space="preserve"> </w:t>
      </w:r>
      <w:r>
        <w:rPr>
          <w:rFonts w:ascii="Times New Roman" w:hAnsi="Times New Roman" w:cs="Times New Roman"/>
          <w:sz w:val="16"/>
          <w:szCs w:val="16"/>
        </w:rPr>
        <w:t>Pedigree Matrix Score</w:t>
      </w:r>
    </w:p>
    <w:p w14:paraId="373451AF" w14:textId="77777777" w:rsidR="001976F8" w:rsidRDefault="001976F8" w:rsidP="004F2BB1">
      <w:pPr>
        <w:spacing w:line="240" w:lineRule="auto"/>
        <w:rPr>
          <w:rFonts w:ascii="Times New Roman" w:hAnsi="Times New Roman" w:cs="Times New Roman"/>
          <w:i/>
          <w:sz w:val="24"/>
          <w:szCs w:val="24"/>
        </w:rPr>
      </w:pPr>
      <w:r w:rsidRPr="001976F8">
        <w:rPr>
          <w:rFonts w:ascii="Times New Roman" w:hAnsi="Times New Roman" w:cs="Times New Roman"/>
          <w:i/>
          <w:sz w:val="24"/>
          <w:szCs w:val="24"/>
        </w:rPr>
        <w:t>Impact Assessment</w:t>
      </w:r>
    </w:p>
    <w:p w14:paraId="3356B6BB" w14:textId="1983FB35" w:rsidR="008D5D56" w:rsidRDefault="00A22764" w:rsidP="004F2BB1">
      <w:pPr>
        <w:spacing w:line="240" w:lineRule="auto"/>
        <w:rPr>
          <w:rFonts w:ascii="Times New Roman" w:hAnsi="Times New Roman" w:cs="Times New Roman"/>
          <w:sz w:val="24"/>
          <w:szCs w:val="24"/>
        </w:rPr>
      </w:pPr>
      <w:r w:rsidRPr="000D58FC">
        <w:rPr>
          <w:rFonts w:ascii="Times New Roman" w:hAnsi="Times New Roman" w:cs="Times New Roman"/>
          <w:sz w:val="24"/>
          <w:szCs w:val="24"/>
        </w:rPr>
        <w:t xml:space="preserve">At this phase, results from the inventory analysis are </w:t>
      </w:r>
      <w:r>
        <w:rPr>
          <w:rFonts w:ascii="Times New Roman" w:hAnsi="Times New Roman" w:cs="Times New Roman"/>
          <w:sz w:val="24"/>
          <w:szCs w:val="24"/>
        </w:rPr>
        <w:t>portrayed</w:t>
      </w:r>
      <w:r w:rsidR="000E34AE">
        <w:rPr>
          <w:rFonts w:ascii="Times New Roman" w:hAnsi="Times New Roman" w:cs="Times New Roman"/>
          <w:sz w:val="24"/>
          <w:szCs w:val="24"/>
        </w:rPr>
        <w:t>,</w:t>
      </w:r>
      <w:r>
        <w:rPr>
          <w:rFonts w:ascii="Times New Roman" w:hAnsi="Times New Roman" w:cs="Times New Roman"/>
          <w:sz w:val="24"/>
          <w:szCs w:val="24"/>
        </w:rPr>
        <w:t xml:space="preserve"> </w:t>
      </w:r>
      <w:r w:rsidRPr="000D58FC">
        <w:rPr>
          <w:rFonts w:ascii="Times New Roman" w:hAnsi="Times New Roman" w:cs="Times New Roman"/>
          <w:sz w:val="24"/>
          <w:szCs w:val="24"/>
        </w:rPr>
        <w:t>based on characterization models (CF)</w:t>
      </w:r>
      <w:r w:rsidR="003E553C">
        <w:rPr>
          <w:rFonts w:ascii="Times New Roman" w:hAnsi="Times New Roman" w:cs="Times New Roman"/>
          <w:sz w:val="24"/>
          <w:szCs w:val="24"/>
        </w:rPr>
        <w:t>,</w:t>
      </w:r>
      <w:r w:rsidRPr="000D58FC">
        <w:rPr>
          <w:rFonts w:ascii="Times New Roman" w:hAnsi="Times New Roman" w:cs="Times New Roman"/>
          <w:sz w:val="24"/>
          <w:szCs w:val="24"/>
        </w:rPr>
        <w:t xml:space="preserve"> evaluat</w:t>
      </w:r>
      <w:r w:rsidR="003E553C">
        <w:rPr>
          <w:rFonts w:ascii="Times New Roman" w:hAnsi="Times New Roman" w:cs="Times New Roman"/>
          <w:sz w:val="24"/>
          <w:szCs w:val="24"/>
        </w:rPr>
        <w:t>ing</w:t>
      </w:r>
      <w:r w:rsidRPr="000D58FC">
        <w:rPr>
          <w:rFonts w:ascii="Times New Roman" w:hAnsi="Times New Roman" w:cs="Times New Roman"/>
          <w:sz w:val="24"/>
          <w:szCs w:val="24"/>
        </w:rPr>
        <w:t xml:space="preserve"> potential environmental impacts and significant impact pathways. </w:t>
      </w:r>
      <w:r w:rsidR="003E553C">
        <w:rPr>
          <w:rFonts w:ascii="Times New Roman" w:hAnsi="Times New Roman" w:cs="Times New Roman"/>
          <w:sz w:val="24"/>
          <w:szCs w:val="24"/>
        </w:rPr>
        <w:t>I</w:t>
      </w:r>
      <w:r w:rsidRPr="000D58FC">
        <w:rPr>
          <w:rFonts w:ascii="Times New Roman" w:hAnsi="Times New Roman" w:cs="Times New Roman"/>
          <w:sz w:val="24"/>
          <w:szCs w:val="24"/>
        </w:rPr>
        <w:t xml:space="preserve">mpact pathways are </w:t>
      </w:r>
      <w:r w:rsidR="003E553C">
        <w:rPr>
          <w:rFonts w:ascii="Times New Roman" w:hAnsi="Times New Roman" w:cs="Times New Roman"/>
          <w:sz w:val="24"/>
          <w:szCs w:val="24"/>
        </w:rPr>
        <w:t xml:space="preserve">treated </w:t>
      </w:r>
      <w:r w:rsidRPr="000D58FC">
        <w:rPr>
          <w:rFonts w:ascii="Times New Roman" w:hAnsi="Times New Roman" w:cs="Times New Roman"/>
          <w:sz w:val="24"/>
          <w:szCs w:val="24"/>
        </w:rPr>
        <w:t>as the resource</w:t>
      </w:r>
      <w:r w:rsidR="003E553C">
        <w:rPr>
          <w:rFonts w:ascii="Times New Roman" w:hAnsi="Times New Roman" w:cs="Times New Roman"/>
          <w:sz w:val="24"/>
          <w:szCs w:val="24"/>
        </w:rPr>
        <w:t>.</w:t>
      </w:r>
      <w:r w:rsidRPr="000D58FC">
        <w:rPr>
          <w:rFonts w:ascii="Times New Roman" w:hAnsi="Times New Roman" w:cs="Times New Roman"/>
          <w:sz w:val="24"/>
          <w:szCs w:val="24"/>
        </w:rPr>
        <w:t xml:space="preserve"> </w:t>
      </w:r>
      <w:r w:rsidR="003E553C">
        <w:rPr>
          <w:rFonts w:ascii="Times New Roman" w:hAnsi="Times New Roman" w:cs="Times New Roman"/>
          <w:sz w:val="24"/>
          <w:szCs w:val="24"/>
        </w:rPr>
        <w:t>E</w:t>
      </w:r>
      <w:r w:rsidRPr="000D58FC">
        <w:rPr>
          <w:rFonts w:ascii="Times New Roman" w:hAnsi="Times New Roman" w:cs="Times New Roman"/>
          <w:sz w:val="24"/>
          <w:szCs w:val="24"/>
        </w:rPr>
        <w:t>nergy and materials used throughout the life cycle of hydropower plants have the most substantial influence on overall environmental impact</w:t>
      </w:r>
      <w:r w:rsidR="003E553C">
        <w:rPr>
          <w:rFonts w:ascii="Times New Roman" w:hAnsi="Times New Roman" w:cs="Times New Roman"/>
          <w:sz w:val="24"/>
          <w:szCs w:val="24"/>
        </w:rPr>
        <w:t>s</w:t>
      </w:r>
      <w:r w:rsidRPr="000D58FC">
        <w:rPr>
          <w:rFonts w:ascii="Times New Roman" w:hAnsi="Times New Roman" w:cs="Times New Roman"/>
          <w:sz w:val="24"/>
          <w:szCs w:val="24"/>
        </w:rPr>
        <w:t xml:space="preserve">. Among several characterization factors, this study applies the CML 2001 baseline impact category (midpoint) to calculate the life-cycle environmental impact. This method was previously used for assessing mini-hydropower plants in several countries such as Thailand, Brazil, Tanzania, Mexico and China (Geller &amp; Meneses, 2016; </w:t>
      </w:r>
      <w:r w:rsidR="009543F5">
        <w:rPr>
          <w:rFonts w:ascii="Times New Roman" w:hAnsi="Times New Roman" w:cs="Times New Roman"/>
          <w:sz w:val="24"/>
          <w:szCs w:val="24"/>
        </w:rPr>
        <w:fldChar w:fldCharType="begin" w:fldLock="1"/>
      </w:r>
      <w:r w:rsidR="00547D0C">
        <w:rPr>
          <w:rFonts w:ascii="Times New Roman" w:hAnsi="Times New Roman" w:cs="Times New Roman"/>
          <w:sz w:val="24"/>
          <w:szCs w:val="24"/>
        </w:rPr>
        <w:instrText>ADDIN CSL_CITATION {"citationItems":[{"id":"ITEM-1","itemData":{"DOI":"DOI 10.1007/s11367-015-0878-7","author":[{"dropping-particle":"","family":"Pang","given":"Mingyue;","non-dropping-particle":"","parse-names":false,"suffix":""},{"dropping-particle":"","family":"Zhang, Lixiao; Wang, Changbo &amp; Liu","given":"Gengyuan","non-dropping-particle":"","parse-names":false,"suffix":""}],"container-title":"Int J Life Cycle Assess","id":"ITEM-1","issue":"20","issued":{"date-parts":[["2015"]]},"page":"796-806","title":"Environmental life cycle assessment of a small hydropower plant in China","type":"article-journal"},"uris":["http://www.mendeley.com/documents/?uuid=5c796f13-37e3-4183-a3ef-7b990e426fdc"]}],"mendeley":{"formattedCitation":"(Pang &amp; Zhang, Lixiao; Wang, Changbo &amp; Liu, 2015)","manualFormatting":"Pang et al., 2015","plainTextFormattedCitation":"(Pang &amp; Zhang, Lixiao; Wang, Changbo &amp; Liu, 2015)","previouslyFormattedCitation":"(Pang &amp; Zhang, Lixiao; Wang, Changbo &amp; Liu, 2015)"},"properties":{"noteIndex":0},"schema":"https://github.com/citation-style-language/schema/raw/master/csl-citation.json"}</w:instrText>
      </w:r>
      <w:r w:rsidR="009543F5">
        <w:rPr>
          <w:rFonts w:ascii="Times New Roman" w:hAnsi="Times New Roman" w:cs="Times New Roman"/>
          <w:sz w:val="24"/>
          <w:szCs w:val="24"/>
        </w:rPr>
        <w:fldChar w:fldCharType="separate"/>
      </w:r>
      <w:r w:rsidR="009543F5" w:rsidRPr="00DD3838">
        <w:rPr>
          <w:rFonts w:ascii="Times New Roman" w:hAnsi="Times New Roman" w:cs="Times New Roman"/>
          <w:noProof/>
          <w:sz w:val="24"/>
          <w:szCs w:val="24"/>
        </w:rPr>
        <w:t xml:space="preserve">Pang </w:t>
      </w:r>
      <w:r w:rsidR="009543F5">
        <w:rPr>
          <w:rFonts w:ascii="Times New Roman" w:hAnsi="Times New Roman" w:cs="Times New Roman"/>
          <w:noProof/>
          <w:sz w:val="24"/>
          <w:szCs w:val="24"/>
        </w:rPr>
        <w:t>et al.</w:t>
      </w:r>
      <w:r w:rsidR="009543F5" w:rsidRPr="00DD3838">
        <w:rPr>
          <w:rFonts w:ascii="Times New Roman" w:hAnsi="Times New Roman" w:cs="Times New Roman"/>
          <w:noProof/>
          <w:sz w:val="24"/>
          <w:szCs w:val="24"/>
        </w:rPr>
        <w:t>, 2015</w:t>
      </w:r>
      <w:r w:rsidR="009543F5">
        <w:rPr>
          <w:rFonts w:ascii="Times New Roman" w:hAnsi="Times New Roman" w:cs="Times New Roman"/>
          <w:sz w:val="24"/>
          <w:szCs w:val="24"/>
        </w:rPr>
        <w:fldChar w:fldCharType="end"/>
      </w:r>
      <w:r w:rsidRPr="000D58FC">
        <w:rPr>
          <w:rFonts w:ascii="Times New Roman" w:hAnsi="Times New Roman" w:cs="Times New Roman"/>
          <w:sz w:val="24"/>
          <w:szCs w:val="24"/>
        </w:rPr>
        <w:t>; Santoyo-Castelazo</w:t>
      </w:r>
      <w:r w:rsidR="00E61884" w:rsidRPr="00E61884">
        <w:rPr>
          <w:rFonts w:ascii="Times New Roman" w:hAnsi="Times New Roman" w:cs="Times New Roman"/>
          <w:sz w:val="24"/>
          <w:szCs w:val="24"/>
        </w:rPr>
        <w:t xml:space="preserve"> </w:t>
      </w:r>
      <w:r w:rsidR="00E61884" w:rsidRPr="00CF0124">
        <w:rPr>
          <w:rFonts w:ascii="Times New Roman" w:hAnsi="Times New Roman" w:cs="Times New Roman"/>
          <w:sz w:val="24"/>
          <w:szCs w:val="24"/>
        </w:rPr>
        <w:t xml:space="preserve">et al., </w:t>
      </w:r>
      <w:r w:rsidRPr="000D58FC">
        <w:rPr>
          <w:rFonts w:ascii="Times New Roman" w:hAnsi="Times New Roman" w:cs="Times New Roman"/>
          <w:sz w:val="24"/>
          <w:szCs w:val="24"/>
        </w:rPr>
        <w:t xml:space="preserve"> 2011; Suwanit &amp; Gheewala, 2011; Felix &amp; Gheewala, 2012; Pascale</w:t>
      </w:r>
      <w:r w:rsidR="00E61884" w:rsidRPr="00E61884">
        <w:rPr>
          <w:rFonts w:ascii="Times New Roman" w:hAnsi="Times New Roman" w:cs="Times New Roman"/>
          <w:sz w:val="24"/>
          <w:szCs w:val="24"/>
        </w:rPr>
        <w:t xml:space="preserve"> </w:t>
      </w:r>
      <w:r w:rsidR="00E61884" w:rsidRPr="00CF0124">
        <w:rPr>
          <w:rFonts w:ascii="Times New Roman" w:hAnsi="Times New Roman" w:cs="Times New Roman"/>
          <w:sz w:val="24"/>
          <w:szCs w:val="24"/>
        </w:rPr>
        <w:t>et al.,</w:t>
      </w:r>
      <w:r w:rsidR="00E61884">
        <w:rPr>
          <w:rFonts w:ascii="Times New Roman" w:hAnsi="Times New Roman" w:cs="Times New Roman"/>
          <w:sz w:val="24"/>
          <w:szCs w:val="24"/>
        </w:rPr>
        <w:t xml:space="preserve"> </w:t>
      </w:r>
      <w:r w:rsidRPr="000D58FC">
        <w:rPr>
          <w:rFonts w:ascii="Times New Roman" w:hAnsi="Times New Roman" w:cs="Times New Roman"/>
          <w:sz w:val="24"/>
          <w:szCs w:val="24"/>
        </w:rPr>
        <w:t>2011).</w:t>
      </w:r>
      <w:r>
        <w:rPr>
          <w:rFonts w:ascii="Times New Roman" w:hAnsi="Times New Roman" w:cs="Times New Roman"/>
          <w:sz w:val="24"/>
          <w:szCs w:val="24"/>
        </w:rPr>
        <w:t xml:space="preserve"> </w:t>
      </w:r>
      <w:r w:rsidR="002C2EED">
        <w:rPr>
          <w:rFonts w:ascii="Times New Roman" w:hAnsi="Times New Roman" w:cs="Times New Roman"/>
          <w:sz w:val="24"/>
          <w:szCs w:val="24"/>
        </w:rPr>
        <w:t xml:space="preserve">Table </w:t>
      </w:r>
      <w:r w:rsidR="00B25FAB">
        <w:rPr>
          <w:rFonts w:ascii="Times New Roman" w:hAnsi="Times New Roman" w:cs="Times New Roman"/>
          <w:sz w:val="24"/>
          <w:szCs w:val="24"/>
        </w:rPr>
        <w:t>S</w:t>
      </w:r>
      <w:r w:rsidR="002C2EED">
        <w:rPr>
          <w:rFonts w:ascii="Times New Roman" w:hAnsi="Times New Roman" w:cs="Times New Roman"/>
          <w:sz w:val="24"/>
          <w:szCs w:val="24"/>
        </w:rPr>
        <w:t>2 in the supplementary material</w:t>
      </w:r>
      <w:r>
        <w:rPr>
          <w:rFonts w:ascii="Times New Roman" w:hAnsi="Times New Roman" w:cs="Times New Roman"/>
          <w:sz w:val="24"/>
          <w:szCs w:val="24"/>
        </w:rPr>
        <w:t xml:space="preserve"> summarizes the s</w:t>
      </w:r>
      <w:r w:rsidRPr="00B47E13">
        <w:rPr>
          <w:rFonts w:ascii="Times New Roman" w:hAnsi="Times New Roman" w:cs="Times New Roman"/>
          <w:sz w:val="24"/>
          <w:szCs w:val="24"/>
        </w:rPr>
        <w:t>elected LCA studies involving hydropower electricity generation</w:t>
      </w:r>
      <w:r>
        <w:rPr>
          <w:rFonts w:ascii="Times New Roman" w:hAnsi="Times New Roman" w:cs="Times New Roman"/>
          <w:sz w:val="24"/>
          <w:szCs w:val="24"/>
        </w:rPr>
        <w:t>.</w:t>
      </w:r>
      <w:r w:rsidRPr="00B47E13">
        <w:rPr>
          <w:rFonts w:ascii="Times New Roman" w:hAnsi="Times New Roman" w:cs="Times New Roman"/>
          <w:sz w:val="24"/>
          <w:szCs w:val="24"/>
        </w:rPr>
        <w:t xml:space="preserve"> </w:t>
      </w:r>
      <w:r w:rsidR="003E553C">
        <w:rPr>
          <w:rFonts w:ascii="Times New Roman" w:hAnsi="Times New Roman" w:cs="Times New Roman"/>
          <w:sz w:val="24"/>
          <w:szCs w:val="24"/>
        </w:rPr>
        <w:t>Here, l</w:t>
      </w:r>
      <w:r w:rsidRPr="000D58FC">
        <w:rPr>
          <w:rFonts w:ascii="Times New Roman" w:hAnsi="Times New Roman" w:cs="Times New Roman"/>
          <w:sz w:val="24"/>
          <w:szCs w:val="24"/>
        </w:rPr>
        <w:t xml:space="preserve">arge-scale hydropower plants </w:t>
      </w:r>
      <w:r>
        <w:rPr>
          <w:rFonts w:ascii="Times New Roman" w:hAnsi="Times New Roman" w:cs="Times New Roman"/>
          <w:sz w:val="24"/>
          <w:szCs w:val="24"/>
        </w:rPr>
        <w:t xml:space="preserve">were analysed </w:t>
      </w:r>
      <w:r w:rsidRPr="000D58FC">
        <w:rPr>
          <w:rFonts w:ascii="Times New Roman" w:hAnsi="Times New Roman" w:cs="Times New Roman"/>
          <w:sz w:val="24"/>
          <w:szCs w:val="24"/>
        </w:rPr>
        <w:t>using CML 2001</w:t>
      </w:r>
      <w:r>
        <w:rPr>
          <w:rFonts w:ascii="Times New Roman" w:hAnsi="Times New Roman" w:cs="Times New Roman"/>
          <w:sz w:val="24"/>
          <w:szCs w:val="24"/>
        </w:rPr>
        <w:t xml:space="preserve"> and generat</w:t>
      </w:r>
      <w:r w:rsidR="003E553C">
        <w:rPr>
          <w:rFonts w:ascii="Times New Roman" w:hAnsi="Times New Roman" w:cs="Times New Roman"/>
          <w:sz w:val="24"/>
          <w:szCs w:val="24"/>
        </w:rPr>
        <w:t>ing</w:t>
      </w:r>
      <w:r>
        <w:rPr>
          <w:rFonts w:ascii="Times New Roman" w:hAnsi="Times New Roman" w:cs="Times New Roman"/>
          <w:sz w:val="24"/>
          <w:szCs w:val="24"/>
        </w:rPr>
        <w:t xml:space="preserve"> site-specific life cycle inventories</w:t>
      </w:r>
      <w:r w:rsidRPr="000D58FC">
        <w:rPr>
          <w:rFonts w:ascii="Times New Roman" w:hAnsi="Times New Roman" w:cs="Times New Roman"/>
          <w:sz w:val="24"/>
          <w:szCs w:val="24"/>
        </w:rPr>
        <w:t xml:space="preserve">. The impact categories in this method include global warming potential, acidification potential, </w:t>
      </w:r>
      <w:r w:rsidR="00ED055F">
        <w:rPr>
          <w:rFonts w:ascii="Times New Roman" w:hAnsi="Times New Roman" w:cs="Times New Roman"/>
          <w:sz w:val="24"/>
          <w:szCs w:val="24"/>
        </w:rPr>
        <w:t xml:space="preserve">mineral resource </w:t>
      </w:r>
      <w:r w:rsidRPr="000D58FC">
        <w:rPr>
          <w:rFonts w:ascii="Times New Roman" w:hAnsi="Times New Roman" w:cs="Times New Roman"/>
          <w:sz w:val="24"/>
          <w:szCs w:val="24"/>
        </w:rPr>
        <w:t>depletion potential, freshwater aquatic ecotoxicity potential, human toxicity potential, photochemical ozone creation potential and fossil fuel resource depletion potential, expressed based on the functional unit (Table.</w:t>
      </w:r>
      <w:r w:rsidR="00124B10">
        <w:rPr>
          <w:rFonts w:ascii="Times New Roman" w:hAnsi="Times New Roman" w:cs="Times New Roman"/>
          <w:sz w:val="24"/>
          <w:szCs w:val="24"/>
        </w:rPr>
        <w:t>5</w:t>
      </w:r>
      <w:r w:rsidRPr="000D58FC">
        <w:rPr>
          <w:rFonts w:ascii="Times New Roman" w:hAnsi="Times New Roman" w:cs="Times New Roman"/>
          <w:sz w:val="24"/>
          <w:szCs w:val="24"/>
        </w:rPr>
        <w:t>). The study used freely available Open LCA 1.8 software to calculate and compare LCIA results for the five hydropower plants.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1055"/>
        <w:gridCol w:w="1091"/>
        <w:gridCol w:w="4559"/>
      </w:tblGrid>
      <w:tr w:rsidR="001330D4" w:rsidRPr="00FB4AF2" w14:paraId="76420575" w14:textId="77777777" w:rsidTr="004D575E">
        <w:trPr>
          <w:trHeight w:val="300"/>
        </w:trPr>
        <w:tc>
          <w:tcPr>
            <w:tcW w:w="2221" w:type="dxa"/>
            <w:tcBorders>
              <w:top w:val="single" w:sz="4" w:space="0" w:color="auto"/>
              <w:bottom w:val="single" w:sz="4" w:space="0" w:color="auto"/>
            </w:tcBorders>
            <w:hideMark/>
          </w:tcPr>
          <w:p w14:paraId="20ACE366" w14:textId="77777777" w:rsidR="001330D4" w:rsidRPr="00FB4AF2" w:rsidRDefault="001330D4" w:rsidP="004F2BB1">
            <w:pPr>
              <w:rPr>
                <w:rFonts w:ascii="Times New Roman" w:hAnsi="Times New Roman" w:cs="Times New Roman"/>
                <w:sz w:val="16"/>
                <w:szCs w:val="16"/>
              </w:rPr>
            </w:pPr>
            <w:r w:rsidRPr="00FB4AF2">
              <w:rPr>
                <w:rFonts w:ascii="Times New Roman" w:hAnsi="Times New Roman" w:cs="Times New Roman"/>
                <w:sz w:val="16"/>
                <w:szCs w:val="16"/>
              </w:rPr>
              <w:t>Impact Category</w:t>
            </w:r>
          </w:p>
        </w:tc>
        <w:tc>
          <w:tcPr>
            <w:tcW w:w="1055" w:type="dxa"/>
            <w:tcBorders>
              <w:top w:val="single" w:sz="4" w:space="0" w:color="auto"/>
              <w:bottom w:val="single" w:sz="4" w:space="0" w:color="auto"/>
            </w:tcBorders>
            <w:noWrap/>
            <w:hideMark/>
          </w:tcPr>
          <w:p w14:paraId="239C9420" w14:textId="77777777" w:rsidR="001330D4" w:rsidRPr="00FB4AF2" w:rsidRDefault="001330D4" w:rsidP="004F2BB1">
            <w:pPr>
              <w:rPr>
                <w:rFonts w:ascii="Times New Roman" w:hAnsi="Times New Roman" w:cs="Times New Roman"/>
                <w:sz w:val="16"/>
                <w:szCs w:val="16"/>
              </w:rPr>
            </w:pPr>
            <w:r>
              <w:rPr>
                <w:rFonts w:ascii="Times New Roman" w:hAnsi="Times New Roman" w:cs="Times New Roman"/>
                <w:sz w:val="16"/>
                <w:szCs w:val="16"/>
              </w:rPr>
              <w:t>Symbol</w:t>
            </w:r>
          </w:p>
        </w:tc>
        <w:tc>
          <w:tcPr>
            <w:tcW w:w="1091" w:type="dxa"/>
            <w:tcBorders>
              <w:top w:val="single" w:sz="4" w:space="0" w:color="auto"/>
              <w:bottom w:val="single" w:sz="4" w:space="0" w:color="auto"/>
            </w:tcBorders>
            <w:noWrap/>
            <w:hideMark/>
          </w:tcPr>
          <w:p w14:paraId="48EB61D2" w14:textId="77777777" w:rsidR="001330D4" w:rsidRPr="00FB4AF2" w:rsidRDefault="001330D4" w:rsidP="004F2BB1">
            <w:pPr>
              <w:rPr>
                <w:rFonts w:ascii="Times New Roman" w:hAnsi="Times New Roman" w:cs="Times New Roman"/>
                <w:sz w:val="16"/>
                <w:szCs w:val="16"/>
              </w:rPr>
            </w:pPr>
            <w:r w:rsidRPr="00FB4AF2">
              <w:rPr>
                <w:rFonts w:ascii="Times New Roman" w:hAnsi="Times New Roman" w:cs="Times New Roman"/>
                <w:sz w:val="16"/>
                <w:szCs w:val="16"/>
              </w:rPr>
              <w:t>Unit</w:t>
            </w:r>
          </w:p>
        </w:tc>
        <w:tc>
          <w:tcPr>
            <w:tcW w:w="4559" w:type="dxa"/>
            <w:tcBorders>
              <w:top w:val="single" w:sz="4" w:space="0" w:color="auto"/>
              <w:bottom w:val="single" w:sz="4" w:space="0" w:color="auto"/>
            </w:tcBorders>
            <w:noWrap/>
            <w:hideMark/>
          </w:tcPr>
          <w:p w14:paraId="09149919" w14:textId="77777777" w:rsidR="001330D4" w:rsidRPr="00FB4AF2" w:rsidRDefault="001330D4" w:rsidP="004F2BB1">
            <w:pPr>
              <w:rPr>
                <w:rFonts w:ascii="Times New Roman" w:hAnsi="Times New Roman" w:cs="Times New Roman"/>
                <w:sz w:val="16"/>
                <w:szCs w:val="16"/>
              </w:rPr>
            </w:pPr>
            <w:r>
              <w:rPr>
                <w:rFonts w:ascii="Times New Roman" w:hAnsi="Times New Roman" w:cs="Times New Roman"/>
                <w:sz w:val="16"/>
                <w:szCs w:val="16"/>
              </w:rPr>
              <w:t>Description</w:t>
            </w:r>
          </w:p>
        </w:tc>
      </w:tr>
      <w:tr w:rsidR="001330D4" w:rsidRPr="00FB4AF2" w14:paraId="63A5476A" w14:textId="77777777" w:rsidTr="004D575E">
        <w:trPr>
          <w:trHeight w:val="300"/>
        </w:trPr>
        <w:tc>
          <w:tcPr>
            <w:tcW w:w="2221" w:type="dxa"/>
            <w:tcBorders>
              <w:top w:val="single" w:sz="4" w:space="0" w:color="auto"/>
            </w:tcBorders>
            <w:noWrap/>
            <w:hideMark/>
          </w:tcPr>
          <w:p w14:paraId="5DD84E3E" w14:textId="77777777" w:rsidR="001330D4" w:rsidRPr="00FB4AF2" w:rsidRDefault="001330D4" w:rsidP="004F2BB1">
            <w:pPr>
              <w:rPr>
                <w:rFonts w:ascii="Times New Roman" w:hAnsi="Times New Roman" w:cs="Times New Roman"/>
                <w:sz w:val="16"/>
                <w:szCs w:val="16"/>
              </w:rPr>
            </w:pPr>
            <w:r w:rsidRPr="00FB4AF2">
              <w:rPr>
                <w:rFonts w:ascii="Times New Roman" w:hAnsi="Times New Roman" w:cs="Times New Roman"/>
                <w:sz w:val="16"/>
                <w:szCs w:val="16"/>
              </w:rPr>
              <w:t>Global Warming Potential (100</w:t>
            </w:r>
            <w:r>
              <w:rPr>
                <w:rFonts w:ascii="Times New Roman" w:hAnsi="Times New Roman" w:cs="Times New Roman"/>
                <w:sz w:val="16"/>
                <w:szCs w:val="16"/>
              </w:rPr>
              <w:t xml:space="preserve"> years</w:t>
            </w:r>
            <w:r w:rsidRPr="00FB4AF2">
              <w:rPr>
                <w:rFonts w:ascii="Times New Roman" w:hAnsi="Times New Roman" w:cs="Times New Roman"/>
                <w:sz w:val="16"/>
                <w:szCs w:val="16"/>
              </w:rPr>
              <w:t>)</w:t>
            </w:r>
          </w:p>
        </w:tc>
        <w:tc>
          <w:tcPr>
            <w:tcW w:w="1055" w:type="dxa"/>
            <w:tcBorders>
              <w:top w:val="single" w:sz="4" w:space="0" w:color="auto"/>
            </w:tcBorders>
            <w:noWrap/>
          </w:tcPr>
          <w:p w14:paraId="4E3E7A5D" w14:textId="77777777" w:rsidR="001330D4" w:rsidRPr="00FB4AF2" w:rsidRDefault="001330D4" w:rsidP="004F2BB1">
            <w:pPr>
              <w:rPr>
                <w:rFonts w:ascii="Times New Roman" w:hAnsi="Times New Roman" w:cs="Times New Roman"/>
                <w:sz w:val="16"/>
                <w:szCs w:val="16"/>
              </w:rPr>
            </w:pPr>
            <w:r>
              <w:rPr>
                <w:rFonts w:ascii="Times New Roman" w:hAnsi="Times New Roman" w:cs="Times New Roman"/>
                <w:sz w:val="16"/>
                <w:szCs w:val="16"/>
              </w:rPr>
              <w:t>GWP</w:t>
            </w:r>
          </w:p>
        </w:tc>
        <w:tc>
          <w:tcPr>
            <w:tcW w:w="1091" w:type="dxa"/>
            <w:tcBorders>
              <w:top w:val="single" w:sz="4" w:space="0" w:color="auto"/>
            </w:tcBorders>
            <w:noWrap/>
            <w:hideMark/>
          </w:tcPr>
          <w:p w14:paraId="4DE91375" w14:textId="77777777" w:rsidR="001330D4" w:rsidRPr="00FB4AF2" w:rsidRDefault="001330D4" w:rsidP="004F2BB1">
            <w:pPr>
              <w:rPr>
                <w:rFonts w:ascii="Times New Roman" w:hAnsi="Times New Roman" w:cs="Times New Roman"/>
                <w:sz w:val="16"/>
                <w:szCs w:val="16"/>
              </w:rPr>
            </w:pPr>
            <w:r w:rsidRPr="00FB4AF2">
              <w:rPr>
                <w:rFonts w:ascii="Times New Roman" w:hAnsi="Times New Roman" w:cs="Times New Roman"/>
                <w:sz w:val="16"/>
                <w:szCs w:val="16"/>
              </w:rPr>
              <w:t>kgCO</w:t>
            </w:r>
            <w:r w:rsidRPr="007110BF">
              <w:rPr>
                <w:rFonts w:ascii="Times New Roman" w:hAnsi="Times New Roman" w:cs="Times New Roman"/>
                <w:sz w:val="16"/>
                <w:szCs w:val="16"/>
                <w:vertAlign w:val="subscript"/>
              </w:rPr>
              <w:t>2</w:t>
            </w:r>
            <w:r w:rsidRPr="00FB4AF2">
              <w:rPr>
                <w:rFonts w:ascii="Times New Roman" w:hAnsi="Times New Roman" w:cs="Times New Roman"/>
                <w:sz w:val="16"/>
                <w:szCs w:val="16"/>
              </w:rPr>
              <w:t>-eq</w:t>
            </w:r>
          </w:p>
        </w:tc>
        <w:tc>
          <w:tcPr>
            <w:tcW w:w="4559" w:type="dxa"/>
            <w:tcBorders>
              <w:top w:val="single" w:sz="4" w:space="0" w:color="auto"/>
            </w:tcBorders>
            <w:noWrap/>
          </w:tcPr>
          <w:p w14:paraId="019C48E6" w14:textId="77777777" w:rsidR="001330D4" w:rsidRPr="00FB4AF2" w:rsidRDefault="001330D4" w:rsidP="004F2BB1">
            <w:pPr>
              <w:rPr>
                <w:rFonts w:ascii="Times New Roman" w:hAnsi="Times New Roman" w:cs="Times New Roman"/>
                <w:sz w:val="16"/>
                <w:szCs w:val="16"/>
              </w:rPr>
            </w:pPr>
            <w:r>
              <w:rPr>
                <w:rFonts w:ascii="Times New Roman" w:hAnsi="Times New Roman" w:cs="Times New Roman"/>
                <w:sz w:val="16"/>
                <w:szCs w:val="16"/>
              </w:rPr>
              <w:t>The potential global warming caused by the emission of greenhouse gases (CO2, CO, N2O, CH4)</w:t>
            </w:r>
          </w:p>
        </w:tc>
      </w:tr>
      <w:tr w:rsidR="001330D4" w:rsidRPr="00FB4AF2" w14:paraId="208ADFAE" w14:textId="77777777" w:rsidTr="004D575E">
        <w:trPr>
          <w:trHeight w:val="300"/>
        </w:trPr>
        <w:tc>
          <w:tcPr>
            <w:tcW w:w="2221" w:type="dxa"/>
            <w:noWrap/>
            <w:hideMark/>
          </w:tcPr>
          <w:p w14:paraId="56B19FA0" w14:textId="7748EACE" w:rsidR="001330D4" w:rsidRPr="00FB4AF2" w:rsidRDefault="00ED055F" w:rsidP="004F2BB1">
            <w:pPr>
              <w:rPr>
                <w:rFonts w:ascii="Times New Roman" w:hAnsi="Times New Roman" w:cs="Times New Roman"/>
                <w:sz w:val="16"/>
                <w:szCs w:val="16"/>
              </w:rPr>
            </w:pPr>
            <w:r>
              <w:rPr>
                <w:rFonts w:ascii="Times New Roman" w:hAnsi="Times New Roman" w:cs="Times New Roman"/>
                <w:sz w:val="16"/>
                <w:szCs w:val="16"/>
              </w:rPr>
              <w:t>Mineral Resource</w:t>
            </w:r>
            <w:r w:rsidRPr="00FB4AF2">
              <w:rPr>
                <w:rFonts w:ascii="Times New Roman" w:hAnsi="Times New Roman" w:cs="Times New Roman"/>
                <w:sz w:val="16"/>
                <w:szCs w:val="16"/>
              </w:rPr>
              <w:t xml:space="preserve"> </w:t>
            </w:r>
            <w:r w:rsidR="001330D4" w:rsidRPr="00FB4AF2">
              <w:rPr>
                <w:rFonts w:ascii="Times New Roman" w:hAnsi="Times New Roman" w:cs="Times New Roman"/>
                <w:sz w:val="16"/>
                <w:szCs w:val="16"/>
              </w:rPr>
              <w:t>Depletion Potential</w:t>
            </w:r>
          </w:p>
        </w:tc>
        <w:tc>
          <w:tcPr>
            <w:tcW w:w="1055" w:type="dxa"/>
            <w:noWrap/>
          </w:tcPr>
          <w:p w14:paraId="77459490" w14:textId="4364D6C6" w:rsidR="001330D4" w:rsidRPr="00FB4AF2" w:rsidRDefault="00FA6897" w:rsidP="004F2BB1">
            <w:pPr>
              <w:rPr>
                <w:rFonts w:ascii="Times New Roman" w:hAnsi="Times New Roman" w:cs="Times New Roman"/>
                <w:sz w:val="16"/>
                <w:szCs w:val="16"/>
              </w:rPr>
            </w:pPr>
            <w:r>
              <w:rPr>
                <w:rFonts w:ascii="Times New Roman" w:hAnsi="Times New Roman" w:cs="Times New Roman"/>
                <w:sz w:val="16"/>
                <w:szCs w:val="16"/>
              </w:rPr>
              <w:t>MR</w:t>
            </w:r>
            <w:r w:rsidR="001330D4">
              <w:rPr>
                <w:rFonts w:ascii="Times New Roman" w:hAnsi="Times New Roman" w:cs="Times New Roman"/>
                <w:sz w:val="16"/>
                <w:szCs w:val="16"/>
              </w:rPr>
              <w:t>DP</w:t>
            </w:r>
          </w:p>
        </w:tc>
        <w:tc>
          <w:tcPr>
            <w:tcW w:w="1091" w:type="dxa"/>
            <w:noWrap/>
            <w:hideMark/>
          </w:tcPr>
          <w:p w14:paraId="4361578A" w14:textId="77777777" w:rsidR="001330D4" w:rsidRPr="00FB4AF2" w:rsidRDefault="001330D4" w:rsidP="004F2BB1">
            <w:pPr>
              <w:rPr>
                <w:rFonts w:ascii="Times New Roman" w:hAnsi="Times New Roman" w:cs="Times New Roman"/>
                <w:sz w:val="16"/>
                <w:szCs w:val="16"/>
              </w:rPr>
            </w:pPr>
            <w:r w:rsidRPr="00FB4AF2">
              <w:rPr>
                <w:rFonts w:ascii="Times New Roman" w:hAnsi="Times New Roman" w:cs="Times New Roman"/>
                <w:sz w:val="16"/>
                <w:szCs w:val="16"/>
              </w:rPr>
              <w:t>g Sb-eq</w:t>
            </w:r>
          </w:p>
        </w:tc>
        <w:tc>
          <w:tcPr>
            <w:tcW w:w="4559" w:type="dxa"/>
            <w:noWrap/>
          </w:tcPr>
          <w:p w14:paraId="08683376" w14:textId="77777777" w:rsidR="001330D4" w:rsidRPr="00FB4AF2" w:rsidRDefault="001330D4" w:rsidP="004F2BB1">
            <w:pPr>
              <w:rPr>
                <w:rFonts w:ascii="Times New Roman" w:hAnsi="Times New Roman" w:cs="Times New Roman"/>
                <w:sz w:val="16"/>
                <w:szCs w:val="16"/>
              </w:rPr>
            </w:pPr>
            <w:r>
              <w:rPr>
                <w:rFonts w:ascii="Times New Roman" w:hAnsi="Times New Roman" w:cs="Times New Roman"/>
                <w:sz w:val="16"/>
                <w:szCs w:val="16"/>
              </w:rPr>
              <w:t>Non- living resource depletion</w:t>
            </w:r>
          </w:p>
        </w:tc>
      </w:tr>
      <w:tr w:rsidR="001330D4" w:rsidRPr="00FB4AF2" w14:paraId="779AE48A" w14:textId="77777777" w:rsidTr="004D575E">
        <w:trPr>
          <w:trHeight w:val="300"/>
        </w:trPr>
        <w:tc>
          <w:tcPr>
            <w:tcW w:w="2221" w:type="dxa"/>
            <w:noWrap/>
            <w:hideMark/>
          </w:tcPr>
          <w:p w14:paraId="0AB3D754" w14:textId="77777777" w:rsidR="001330D4" w:rsidRPr="00FB4AF2" w:rsidRDefault="001330D4" w:rsidP="004F2BB1">
            <w:pPr>
              <w:rPr>
                <w:rFonts w:ascii="Times New Roman" w:hAnsi="Times New Roman" w:cs="Times New Roman"/>
                <w:sz w:val="16"/>
                <w:szCs w:val="16"/>
              </w:rPr>
            </w:pPr>
            <w:r w:rsidRPr="00FB4AF2">
              <w:rPr>
                <w:rFonts w:ascii="Times New Roman" w:hAnsi="Times New Roman" w:cs="Times New Roman"/>
                <w:sz w:val="16"/>
                <w:szCs w:val="16"/>
              </w:rPr>
              <w:t>Acidification Potential</w:t>
            </w:r>
          </w:p>
        </w:tc>
        <w:tc>
          <w:tcPr>
            <w:tcW w:w="1055" w:type="dxa"/>
            <w:noWrap/>
          </w:tcPr>
          <w:p w14:paraId="30585F13" w14:textId="77777777" w:rsidR="001330D4" w:rsidRPr="00FB4AF2" w:rsidRDefault="001330D4" w:rsidP="004F2BB1">
            <w:pPr>
              <w:rPr>
                <w:rFonts w:ascii="Times New Roman" w:hAnsi="Times New Roman" w:cs="Times New Roman"/>
                <w:sz w:val="16"/>
                <w:szCs w:val="16"/>
              </w:rPr>
            </w:pPr>
            <w:r>
              <w:rPr>
                <w:rFonts w:ascii="Times New Roman" w:hAnsi="Times New Roman" w:cs="Times New Roman"/>
                <w:sz w:val="16"/>
                <w:szCs w:val="16"/>
              </w:rPr>
              <w:t>A</w:t>
            </w:r>
            <w:r w:rsidR="00F6466A">
              <w:rPr>
                <w:rFonts w:ascii="Times New Roman" w:hAnsi="Times New Roman" w:cs="Times New Roman"/>
                <w:sz w:val="16"/>
                <w:szCs w:val="16"/>
              </w:rPr>
              <w:t>C</w:t>
            </w:r>
            <w:r>
              <w:rPr>
                <w:rFonts w:ascii="Times New Roman" w:hAnsi="Times New Roman" w:cs="Times New Roman"/>
                <w:sz w:val="16"/>
                <w:szCs w:val="16"/>
              </w:rPr>
              <w:t>P</w:t>
            </w:r>
          </w:p>
        </w:tc>
        <w:tc>
          <w:tcPr>
            <w:tcW w:w="1091" w:type="dxa"/>
            <w:noWrap/>
            <w:hideMark/>
          </w:tcPr>
          <w:p w14:paraId="49442029" w14:textId="77777777" w:rsidR="001330D4" w:rsidRPr="00FB4AF2" w:rsidRDefault="001330D4" w:rsidP="004F2BB1">
            <w:pPr>
              <w:rPr>
                <w:rFonts w:ascii="Times New Roman" w:hAnsi="Times New Roman" w:cs="Times New Roman"/>
                <w:sz w:val="16"/>
                <w:szCs w:val="16"/>
              </w:rPr>
            </w:pPr>
            <w:r w:rsidRPr="00FB4AF2">
              <w:rPr>
                <w:rFonts w:ascii="Times New Roman" w:hAnsi="Times New Roman" w:cs="Times New Roman"/>
                <w:sz w:val="16"/>
                <w:szCs w:val="16"/>
              </w:rPr>
              <w:t>g SO</w:t>
            </w:r>
            <w:r w:rsidRPr="007110BF">
              <w:rPr>
                <w:rFonts w:ascii="Times New Roman" w:hAnsi="Times New Roman" w:cs="Times New Roman"/>
                <w:sz w:val="16"/>
                <w:szCs w:val="16"/>
                <w:vertAlign w:val="subscript"/>
              </w:rPr>
              <w:t>2</w:t>
            </w:r>
            <w:r w:rsidRPr="00FB4AF2">
              <w:rPr>
                <w:rFonts w:ascii="Times New Roman" w:hAnsi="Times New Roman" w:cs="Times New Roman"/>
                <w:sz w:val="16"/>
                <w:szCs w:val="16"/>
              </w:rPr>
              <w:t>-eq</w:t>
            </w:r>
          </w:p>
        </w:tc>
        <w:tc>
          <w:tcPr>
            <w:tcW w:w="4559" w:type="dxa"/>
            <w:noWrap/>
          </w:tcPr>
          <w:p w14:paraId="5592B0F1" w14:textId="77777777" w:rsidR="001330D4" w:rsidRPr="00FB4AF2" w:rsidRDefault="001330D4" w:rsidP="004F2BB1">
            <w:pPr>
              <w:rPr>
                <w:rFonts w:ascii="Times New Roman" w:hAnsi="Times New Roman" w:cs="Times New Roman"/>
                <w:sz w:val="16"/>
                <w:szCs w:val="16"/>
              </w:rPr>
            </w:pPr>
            <w:r>
              <w:rPr>
                <w:rFonts w:ascii="Times New Roman" w:hAnsi="Times New Roman" w:cs="Times New Roman"/>
                <w:sz w:val="16"/>
                <w:szCs w:val="16"/>
              </w:rPr>
              <w:t>A</w:t>
            </w:r>
            <w:r w:rsidRPr="006238E1">
              <w:rPr>
                <w:rFonts w:ascii="Times New Roman" w:hAnsi="Times New Roman" w:cs="Times New Roman"/>
                <w:sz w:val="16"/>
                <w:szCs w:val="16"/>
              </w:rPr>
              <w:t>tmospheric pollution arising from acid</w:t>
            </w:r>
            <w:r w:rsidR="005C3B5E">
              <w:rPr>
                <w:rFonts w:ascii="Times New Roman" w:hAnsi="Times New Roman" w:cs="Times New Roman"/>
                <w:sz w:val="16"/>
                <w:szCs w:val="16"/>
              </w:rPr>
              <w:t>ifying gases</w:t>
            </w:r>
            <w:r w:rsidRPr="006238E1">
              <w:rPr>
                <w:rFonts w:ascii="Times New Roman" w:hAnsi="Times New Roman" w:cs="Times New Roman"/>
                <w:sz w:val="16"/>
                <w:szCs w:val="16"/>
              </w:rPr>
              <w:t xml:space="preserve"> being emitted to the atmosphere</w:t>
            </w:r>
            <w:r>
              <w:rPr>
                <w:rFonts w:ascii="Times New Roman" w:hAnsi="Times New Roman" w:cs="Times New Roman"/>
                <w:sz w:val="16"/>
                <w:szCs w:val="16"/>
              </w:rPr>
              <w:t xml:space="preserve"> (SOx, NOx, N</w:t>
            </w:r>
            <w:r w:rsidRPr="00712C44">
              <w:rPr>
                <w:rFonts w:ascii="Times New Roman" w:hAnsi="Times New Roman" w:cs="Times New Roman"/>
                <w:sz w:val="16"/>
                <w:szCs w:val="16"/>
                <w:vertAlign w:val="subscript"/>
              </w:rPr>
              <w:t>2</w:t>
            </w:r>
            <w:r>
              <w:rPr>
                <w:rFonts w:ascii="Times New Roman" w:hAnsi="Times New Roman" w:cs="Times New Roman"/>
                <w:sz w:val="16"/>
                <w:szCs w:val="16"/>
              </w:rPr>
              <w:t>O)</w:t>
            </w:r>
          </w:p>
        </w:tc>
      </w:tr>
      <w:tr w:rsidR="001330D4" w:rsidRPr="00FB4AF2" w14:paraId="447BAE23" w14:textId="77777777" w:rsidTr="004D575E">
        <w:trPr>
          <w:trHeight w:val="300"/>
        </w:trPr>
        <w:tc>
          <w:tcPr>
            <w:tcW w:w="2221" w:type="dxa"/>
            <w:noWrap/>
            <w:hideMark/>
          </w:tcPr>
          <w:p w14:paraId="0C3E7DEB" w14:textId="77777777" w:rsidR="001330D4" w:rsidRPr="00FB4AF2" w:rsidRDefault="001330D4" w:rsidP="004F2BB1">
            <w:pPr>
              <w:rPr>
                <w:rFonts w:ascii="Times New Roman" w:hAnsi="Times New Roman" w:cs="Times New Roman"/>
                <w:sz w:val="16"/>
                <w:szCs w:val="16"/>
              </w:rPr>
            </w:pPr>
            <w:r w:rsidRPr="00FB4AF2">
              <w:rPr>
                <w:rFonts w:ascii="Times New Roman" w:hAnsi="Times New Roman" w:cs="Times New Roman"/>
                <w:sz w:val="16"/>
                <w:szCs w:val="16"/>
              </w:rPr>
              <w:lastRenderedPageBreak/>
              <w:t>Freshwater Aquatic Ecotoxicity Potential</w:t>
            </w:r>
          </w:p>
        </w:tc>
        <w:tc>
          <w:tcPr>
            <w:tcW w:w="1055" w:type="dxa"/>
            <w:noWrap/>
          </w:tcPr>
          <w:p w14:paraId="5471568B" w14:textId="77777777" w:rsidR="001330D4" w:rsidRPr="00FB4AF2" w:rsidRDefault="001330D4" w:rsidP="004F2BB1">
            <w:pPr>
              <w:rPr>
                <w:rFonts w:ascii="Times New Roman" w:hAnsi="Times New Roman" w:cs="Times New Roman"/>
                <w:sz w:val="16"/>
                <w:szCs w:val="16"/>
              </w:rPr>
            </w:pPr>
            <w:r>
              <w:rPr>
                <w:rFonts w:ascii="Times New Roman" w:hAnsi="Times New Roman" w:cs="Times New Roman"/>
                <w:sz w:val="16"/>
                <w:szCs w:val="16"/>
              </w:rPr>
              <w:t>F</w:t>
            </w:r>
            <w:r w:rsidR="00814F7E">
              <w:rPr>
                <w:rFonts w:ascii="Times New Roman" w:hAnsi="Times New Roman" w:cs="Times New Roman"/>
                <w:sz w:val="16"/>
                <w:szCs w:val="16"/>
              </w:rPr>
              <w:t>WA</w:t>
            </w:r>
            <w:r>
              <w:rPr>
                <w:rFonts w:ascii="Times New Roman" w:hAnsi="Times New Roman" w:cs="Times New Roman"/>
                <w:sz w:val="16"/>
                <w:szCs w:val="16"/>
              </w:rPr>
              <w:t>P</w:t>
            </w:r>
          </w:p>
        </w:tc>
        <w:tc>
          <w:tcPr>
            <w:tcW w:w="1091" w:type="dxa"/>
            <w:noWrap/>
            <w:hideMark/>
          </w:tcPr>
          <w:p w14:paraId="1B11F8DA" w14:textId="77777777" w:rsidR="001330D4" w:rsidRPr="00FB4AF2" w:rsidRDefault="001330D4" w:rsidP="004F2BB1">
            <w:pPr>
              <w:rPr>
                <w:rFonts w:ascii="Times New Roman" w:hAnsi="Times New Roman" w:cs="Times New Roman"/>
                <w:sz w:val="16"/>
                <w:szCs w:val="16"/>
              </w:rPr>
            </w:pPr>
            <w:r w:rsidRPr="00FB4AF2">
              <w:rPr>
                <w:rFonts w:ascii="Times New Roman" w:hAnsi="Times New Roman" w:cs="Times New Roman"/>
                <w:sz w:val="16"/>
                <w:szCs w:val="16"/>
              </w:rPr>
              <w:t>kg DCB-eq</w:t>
            </w:r>
          </w:p>
        </w:tc>
        <w:tc>
          <w:tcPr>
            <w:tcW w:w="4559" w:type="dxa"/>
            <w:noWrap/>
          </w:tcPr>
          <w:p w14:paraId="1B847B52" w14:textId="77777777" w:rsidR="001330D4" w:rsidRPr="00FB4AF2" w:rsidRDefault="001330D4" w:rsidP="004F2BB1">
            <w:pPr>
              <w:rPr>
                <w:rFonts w:ascii="Times New Roman" w:hAnsi="Times New Roman" w:cs="Times New Roman"/>
                <w:sz w:val="16"/>
                <w:szCs w:val="16"/>
              </w:rPr>
            </w:pPr>
            <w:r>
              <w:rPr>
                <w:rFonts w:ascii="Times New Roman" w:hAnsi="Times New Roman" w:cs="Times New Roman"/>
                <w:sz w:val="16"/>
                <w:szCs w:val="16"/>
              </w:rPr>
              <w:t>T</w:t>
            </w:r>
            <w:r w:rsidRPr="00991BEF">
              <w:rPr>
                <w:rFonts w:ascii="Times New Roman" w:hAnsi="Times New Roman" w:cs="Times New Roman"/>
                <w:sz w:val="16"/>
                <w:szCs w:val="16"/>
              </w:rPr>
              <w:t>he effects of toxic substances on the</w:t>
            </w:r>
            <w:r w:rsidRPr="00FB4AF2">
              <w:rPr>
                <w:rFonts w:ascii="Times New Roman" w:hAnsi="Times New Roman" w:cs="Times New Roman"/>
                <w:sz w:val="16"/>
                <w:szCs w:val="16"/>
              </w:rPr>
              <w:t xml:space="preserve"> </w:t>
            </w:r>
            <w:r>
              <w:rPr>
                <w:rFonts w:ascii="Times New Roman" w:hAnsi="Times New Roman" w:cs="Times New Roman"/>
                <w:sz w:val="16"/>
                <w:szCs w:val="16"/>
              </w:rPr>
              <w:t>f</w:t>
            </w:r>
            <w:r w:rsidRPr="00FB4AF2">
              <w:rPr>
                <w:rFonts w:ascii="Times New Roman" w:hAnsi="Times New Roman" w:cs="Times New Roman"/>
                <w:sz w:val="16"/>
                <w:szCs w:val="16"/>
              </w:rPr>
              <w:t xml:space="preserve">reshwater </w:t>
            </w:r>
            <w:r>
              <w:rPr>
                <w:rFonts w:ascii="Times New Roman" w:hAnsi="Times New Roman" w:cs="Times New Roman"/>
                <w:sz w:val="16"/>
                <w:szCs w:val="16"/>
              </w:rPr>
              <w:t>a</w:t>
            </w:r>
            <w:r w:rsidRPr="00FB4AF2">
              <w:rPr>
                <w:rFonts w:ascii="Times New Roman" w:hAnsi="Times New Roman" w:cs="Times New Roman"/>
                <w:sz w:val="16"/>
                <w:szCs w:val="16"/>
              </w:rPr>
              <w:t>quatic</w:t>
            </w:r>
            <w:r>
              <w:rPr>
                <w:rFonts w:ascii="Times New Roman" w:hAnsi="Times New Roman" w:cs="Times New Roman"/>
                <w:sz w:val="16"/>
                <w:szCs w:val="16"/>
              </w:rPr>
              <w:t xml:space="preserve"> ecosystem (Heavy metal substances)</w:t>
            </w:r>
          </w:p>
        </w:tc>
      </w:tr>
      <w:tr w:rsidR="001330D4" w:rsidRPr="00FB4AF2" w14:paraId="0290E89F" w14:textId="77777777" w:rsidTr="004D575E">
        <w:trPr>
          <w:trHeight w:val="300"/>
        </w:trPr>
        <w:tc>
          <w:tcPr>
            <w:tcW w:w="2221" w:type="dxa"/>
            <w:noWrap/>
            <w:hideMark/>
          </w:tcPr>
          <w:p w14:paraId="57D45B24" w14:textId="77777777" w:rsidR="001330D4" w:rsidRPr="00FB4AF2" w:rsidRDefault="001330D4" w:rsidP="004F2BB1">
            <w:pPr>
              <w:rPr>
                <w:rFonts w:ascii="Times New Roman" w:hAnsi="Times New Roman" w:cs="Times New Roman"/>
                <w:sz w:val="16"/>
                <w:szCs w:val="16"/>
              </w:rPr>
            </w:pPr>
            <w:r w:rsidRPr="00FB4AF2">
              <w:rPr>
                <w:rFonts w:ascii="Times New Roman" w:hAnsi="Times New Roman" w:cs="Times New Roman"/>
                <w:sz w:val="16"/>
                <w:szCs w:val="16"/>
              </w:rPr>
              <w:t>Human Toxicity Potential</w:t>
            </w:r>
          </w:p>
        </w:tc>
        <w:tc>
          <w:tcPr>
            <w:tcW w:w="1055" w:type="dxa"/>
            <w:noWrap/>
          </w:tcPr>
          <w:p w14:paraId="08B95989" w14:textId="77777777" w:rsidR="001330D4" w:rsidRPr="00FB4AF2" w:rsidRDefault="001330D4" w:rsidP="004F2BB1">
            <w:pPr>
              <w:rPr>
                <w:rFonts w:ascii="Times New Roman" w:hAnsi="Times New Roman" w:cs="Times New Roman"/>
                <w:sz w:val="16"/>
                <w:szCs w:val="16"/>
              </w:rPr>
            </w:pPr>
            <w:r>
              <w:rPr>
                <w:rFonts w:ascii="Times New Roman" w:hAnsi="Times New Roman" w:cs="Times New Roman"/>
                <w:sz w:val="16"/>
                <w:szCs w:val="16"/>
              </w:rPr>
              <w:t>HTP</w:t>
            </w:r>
          </w:p>
        </w:tc>
        <w:tc>
          <w:tcPr>
            <w:tcW w:w="1091" w:type="dxa"/>
            <w:noWrap/>
            <w:hideMark/>
          </w:tcPr>
          <w:p w14:paraId="49AC8DFF" w14:textId="77777777" w:rsidR="001330D4" w:rsidRPr="00FB4AF2" w:rsidRDefault="001330D4" w:rsidP="004F2BB1">
            <w:pPr>
              <w:rPr>
                <w:rFonts w:ascii="Times New Roman" w:hAnsi="Times New Roman" w:cs="Times New Roman"/>
                <w:sz w:val="16"/>
                <w:szCs w:val="16"/>
              </w:rPr>
            </w:pPr>
            <w:r w:rsidRPr="00FB4AF2">
              <w:rPr>
                <w:rFonts w:ascii="Times New Roman" w:hAnsi="Times New Roman" w:cs="Times New Roman"/>
                <w:sz w:val="16"/>
                <w:szCs w:val="16"/>
              </w:rPr>
              <w:t>kg DCB-eq</w:t>
            </w:r>
          </w:p>
        </w:tc>
        <w:tc>
          <w:tcPr>
            <w:tcW w:w="4559" w:type="dxa"/>
            <w:noWrap/>
          </w:tcPr>
          <w:p w14:paraId="7BD0566F" w14:textId="77777777" w:rsidR="001330D4" w:rsidRPr="00FB4AF2" w:rsidRDefault="001330D4" w:rsidP="004F2BB1">
            <w:pPr>
              <w:rPr>
                <w:rFonts w:ascii="Times New Roman" w:hAnsi="Times New Roman" w:cs="Times New Roman"/>
                <w:sz w:val="16"/>
                <w:szCs w:val="16"/>
              </w:rPr>
            </w:pPr>
            <w:r>
              <w:rPr>
                <w:rFonts w:ascii="Times New Roman" w:hAnsi="Times New Roman" w:cs="Times New Roman"/>
                <w:sz w:val="16"/>
                <w:szCs w:val="16"/>
              </w:rPr>
              <w:t>T</w:t>
            </w:r>
            <w:r w:rsidRPr="00991BEF">
              <w:rPr>
                <w:rFonts w:ascii="Times New Roman" w:hAnsi="Times New Roman" w:cs="Times New Roman"/>
                <w:sz w:val="16"/>
                <w:szCs w:val="16"/>
              </w:rPr>
              <w:t>he effects of toxic substances on the human environment</w:t>
            </w:r>
            <w:r>
              <w:rPr>
                <w:rFonts w:ascii="Times New Roman" w:hAnsi="Times New Roman" w:cs="Times New Roman"/>
                <w:sz w:val="16"/>
                <w:szCs w:val="16"/>
              </w:rPr>
              <w:t xml:space="preserve"> (Dust, SO</w:t>
            </w:r>
            <w:r w:rsidRPr="00712C44">
              <w:rPr>
                <w:rFonts w:ascii="Times New Roman" w:hAnsi="Times New Roman" w:cs="Times New Roman"/>
                <w:sz w:val="16"/>
                <w:szCs w:val="16"/>
                <w:vertAlign w:val="subscript"/>
              </w:rPr>
              <w:t>2</w:t>
            </w:r>
            <w:r>
              <w:rPr>
                <w:rFonts w:ascii="Times New Roman" w:hAnsi="Times New Roman" w:cs="Times New Roman"/>
                <w:sz w:val="16"/>
                <w:szCs w:val="16"/>
              </w:rPr>
              <w:t>, NO</w:t>
            </w:r>
            <w:r w:rsidRPr="00712C44">
              <w:rPr>
                <w:rFonts w:ascii="Times New Roman" w:hAnsi="Times New Roman" w:cs="Times New Roman"/>
                <w:sz w:val="16"/>
                <w:szCs w:val="16"/>
                <w:vertAlign w:val="subscript"/>
              </w:rPr>
              <w:t>x</w:t>
            </w:r>
            <w:r>
              <w:rPr>
                <w:rFonts w:ascii="Times New Roman" w:hAnsi="Times New Roman" w:cs="Times New Roman"/>
                <w:sz w:val="16"/>
                <w:szCs w:val="16"/>
              </w:rPr>
              <w:t>, As, Pb, Mn, Hg, Ni, Se)</w:t>
            </w:r>
          </w:p>
        </w:tc>
      </w:tr>
      <w:tr w:rsidR="001330D4" w:rsidRPr="00FB4AF2" w14:paraId="4792E23D" w14:textId="77777777" w:rsidTr="004D575E">
        <w:trPr>
          <w:trHeight w:val="300"/>
        </w:trPr>
        <w:tc>
          <w:tcPr>
            <w:tcW w:w="2221" w:type="dxa"/>
            <w:noWrap/>
            <w:hideMark/>
          </w:tcPr>
          <w:p w14:paraId="0C38DED3" w14:textId="77777777" w:rsidR="001330D4" w:rsidRPr="00FB4AF2" w:rsidRDefault="001330D4" w:rsidP="004F2BB1">
            <w:pPr>
              <w:rPr>
                <w:rFonts w:ascii="Times New Roman" w:hAnsi="Times New Roman" w:cs="Times New Roman"/>
                <w:sz w:val="16"/>
                <w:szCs w:val="16"/>
              </w:rPr>
            </w:pPr>
            <w:r w:rsidRPr="00FB4AF2">
              <w:rPr>
                <w:rFonts w:ascii="Times New Roman" w:hAnsi="Times New Roman" w:cs="Times New Roman"/>
                <w:sz w:val="16"/>
                <w:szCs w:val="16"/>
              </w:rPr>
              <w:t>Photochemical Ozone Creation Potential</w:t>
            </w:r>
          </w:p>
        </w:tc>
        <w:tc>
          <w:tcPr>
            <w:tcW w:w="1055" w:type="dxa"/>
            <w:noWrap/>
          </w:tcPr>
          <w:p w14:paraId="7CC90DEE" w14:textId="77777777" w:rsidR="001330D4" w:rsidRPr="00FB4AF2" w:rsidRDefault="001330D4" w:rsidP="004F2BB1">
            <w:pPr>
              <w:rPr>
                <w:rFonts w:ascii="Times New Roman" w:hAnsi="Times New Roman" w:cs="Times New Roman"/>
                <w:sz w:val="16"/>
                <w:szCs w:val="16"/>
              </w:rPr>
            </w:pPr>
            <w:r>
              <w:rPr>
                <w:rFonts w:ascii="Times New Roman" w:hAnsi="Times New Roman" w:cs="Times New Roman"/>
                <w:sz w:val="16"/>
                <w:szCs w:val="16"/>
              </w:rPr>
              <w:t>POP</w:t>
            </w:r>
          </w:p>
        </w:tc>
        <w:tc>
          <w:tcPr>
            <w:tcW w:w="1091" w:type="dxa"/>
            <w:noWrap/>
            <w:hideMark/>
          </w:tcPr>
          <w:p w14:paraId="48286D05" w14:textId="77777777" w:rsidR="001330D4" w:rsidRPr="00FB4AF2" w:rsidRDefault="001330D4" w:rsidP="004F2BB1">
            <w:pPr>
              <w:rPr>
                <w:rFonts w:ascii="Times New Roman" w:hAnsi="Times New Roman" w:cs="Times New Roman"/>
                <w:sz w:val="16"/>
                <w:szCs w:val="16"/>
              </w:rPr>
            </w:pPr>
            <w:r w:rsidRPr="00FB4AF2">
              <w:rPr>
                <w:rFonts w:ascii="Times New Roman" w:hAnsi="Times New Roman" w:cs="Times New Roman"/>
                <w:sz w:val="16"/>
                <w:szCs w:val="16"/>
              </w:rPr>
              <w:t>g C</w:t>
            </w:r>
            <w:r w:rsidRPr="007110BF">
              <w:rPr>
                <w:rFonts w:ascii="Times New Roman" w:hAnsi="Times New Roman" w:cs="Times New Roman"/>
                <w:sz w:val="16"/>
                <w:szCs w:val="16"/>
                <w:vertAlign w:val="subscript"/>
              </w:rPr>
              <w:t>2</w:t>
            </w:r>
            <w:r w:rsidRPr="00FB4AF2">
              <w:rPr>
                <w:rFonts w:ascii="Times New Roman" w:hAnsi="Times New Roman" w:cs="Times New Roman"/>
                <w:sz w:val="16"/>
                <w:szCs w:val="16"/>
              </w:rPr>
              <w:t>H</w:t>
            </w:r>
            <w:r w:rsidRPr="007110BF">
              <w:rPr>
                <w:rFonts w:ascii="Times New Roman" w:hAnsi="Times New Roman" w:cs="Times New Roman"/>
                <w:sz w:val="16"/>
                <w:szCs w:val="16"/>
                <w:vertAlign w:val="subscript"/>
              </w:rPr>
              <w:t>4</w:t>
            </w:r>
            <w:r w:rsidRPr="00FB4AF2">
              <w:rPr>
                <w:rFonts w:ascii="Times New Roman" w:hAnsi="Times New Roman" w:cs="Times New Roman"/>
                <w:sz w:val="16"/>
                <w:szCs w:val="16"/>
              </w:rPr>
              <w:t>-eq</w:t>
            </w:r>
          </w:p>
        </w:tc>
        <w:tc>
          <w:tcPr>
            <w:tcW w:w="4559" w:type="dxa"/>
            <w:noWrap/>
          </w:tcPr>
          <w:p w14:paraId="51EB3667" w14:textId="77777777" w:rsidR="001330D4" w:rsidRPr="00FB4AF2" w:rsidRDefault="001330D4" w:rsidP="004F2BB1">
            <w:pPr>
              <w:rPr>
                <w:rFonts w:ascii="Times New Roman" w:hAnsi="Times New Roman" w:cs="Times New Roman"/>
                <w:sz w:val="16"/>
                <w:szCs w:val="16"/>
              </w:rPr>
            </w:pPr>
            <w:r w:rsidRPr="00CB22EC">
              <w:rPr>
                <w:rFonts w:ascii="Times New Roman" w:hAnsi="Times New Roman" w:cs="Times New Roman"/>
                <w:sz w:val="16"/>
                <w:szCs w:val="16"/>
              </w:rPr>
              <w:t>Primary air emissions forming ozone due to increase of ultraviolet UV-B radiation</w:t>
            </w:r>
          </w:p>
        </w:tc>
      </w:tr>
      <w:tr w:rsidR="001330D4" w:rsidRPr="00FB4AF2" w14:paraId="004BE240" w14:textId="77777777" w:rsidTr="004D575E">
        <w:trPr>
          <w:trHeight w:val="300"/>
        </w:trPr>
        <w:tc>
          <w:tcPr>
            <w:tcW w:w="2221" w:type="dxa"/>
            <w:noWrap/>
            <w:hideMark/>
          </w:tcPr>
          <w:p w14:paraId="68FE0950" w14:textId="77777777" w:rsidR="001330D4" w:rsidRPr="00FB4AF2" w:rsidRDefault="001330D4" w:rsidP="004F2BB1">
            <w:pPr>
              <w:rPr>
                <w:rFonts w:ascii="Times New Roman" w:hAnsi="Times New Roman" w:cs="Times New Roman"/>
                <w:sz w:val="16"/>
                <w:szCs w:val="16"/>
              </w:rPr>
            </w:pPr>
            <w:r w:rsidRPr="00FB4AF2">
              <w:rPr>
                <w:rFonts w:ascii="Times New Roman" w:hAnsi="Times New Roman" w:cs="Times New Roman"/>
                <w:sz w:val="16"/>
                <w:szCs w:val="16"/>
              </w:rPr>
              <w:t>Fossil Fuel Resource Depletion</w:t>
            </w:r>
          </w:p>
        </w:tc>
        <w:tc>
          <w:tcPr>
            <w:tcW w:w="1055" w:type="dxa"/>
            <w:noWrap/>
          </w:tcPr>
          <w:p w14:paraId="74B82304" w14:textId="77777777" w:rsidR="001330D4" w:rsidRPr="00FB4AF2" w:rsidRDefault="001330D4" w:rsidP="004F2BB1">
            <w:pPr>
              <w:rPr>
                <w:rFonts w:ascii="Times New Roman" w:hAnsi="Times New Roman" w:cs="Times New Roman"/>
                <w:sz w:val="16"/>
                <w:szCs w:val="16"/>
              </w:rPr>
            </w:pPr>
            <w:r>
              <w:rPr>
                <w:rFonts w:ascii="Times New Roman" w:hAnsi="Times New Roman" w:cs="Times New Roman"/>
                <w:sz w:val="16"/>
                <w:szCs w:val="16"/>
              </w:rPr>
              <w:t>F</w:t>
            </w:r>
            <w:r w:rsidR="001D2C14">
              <w:rPr>
                <w:rFonts w:ascii="Times New Roman" w:hAnsi="Times New Roman" w:cs="Times New Roman"/>
                <w:sz w:val="16"/>
                <w:szCs w:val="16"/>
              </w:rPr>
              <w:t>RP</w:t>
            </w:r>
          </w:p>
        </w:tc>
        <w:tc>
          <w:tcPr>
            <w:tcW w:w="1091" w:type="dxa"/>
            <w:noWrap/>
            <w:hideMark/>
          </w:tcPr>
          <w:p w14:paraId="5724524E" w14:textId="77777777" w:rsidR="001330D4" w:rsidRPr="00FB4AF2" w:rsidRDefault="001330D4" w:rsidP="004F2BB1">
            <w:pPr>
              <w:rPr>
                <w:rFonts w:ascii="Times New Roman" w:hAnsi="Times New Roman" w:cs="Times New Roman"/>
                <w:sz w:val="16"/>
                <w:szCs w:val="16"/>
              </w:rPr>
            </w:pPr>
            <w:r w:rsidRPr="00FB4AF2">
              <w:rPr>
                <w:rFonts w:ascii="Times New Roman" w:hAnsi="Times New Roman" w:cs="Times New Roman"/>
                <w:sz w:val="16"/>
                <w:szCs w:val="16"/>
              </w:rPr>
              <w:t>g Sb-eq</w:t>
            </w:r>
          </w:p>
        </w:tc>
        <w:tc>
          <w:tcPr>
            <w:tcW w:w="4559" w:type="dxa"/>
            <w:noWrap/>
          </w:tcPr>
          <w:p w14:paraId="27764BEF" w14:textId="77777777" w:rsidR="001330D4" w:rsidRPr="00FB4AF2" w:rsidRDefault="001330D4" w:rsidP="004F2BB1">
            <w:pPr>
              <w:rPr>
                <w:rFonts w:ascii="Times New Roman" w:hAnsi="Times New Roman" w:cs="Times New Roman"/>
                <w:sz w:val="16"/>
                <w:szCs w:val="16"/>
              </w:rPr>
            </w:pPr>
            <w:r>
              <w:rPr>
                <w:rFonts w:ascii="Times New Roman" w:hAnsi="Times New Roman" w:cs="Times New Roman"/>
                <w:sz w:val="16"/>
                <w:szCs w:val="16"/>
              </w:rPr>
              <w:t xml:space="preserve">Non-renewable energy depletion </w:t>
            </w:r>
          </w:p>
        </w:tc>
      </w:tr>
    </w:tbl>
    <w:p w14:paraId="1334F7D7" w14:textId="77777777" w:rsidR="004D575E" w:rsidRPr="00F6466A" w:rsidRDefault="004D575E" w:rsidP="004F2BB1">
      <w:pPr>
        <w:spacing w:line="240" w:lineRule="auto"/>
        <w:rPr>
          <w:rFonts w:ascii="Times New Roman" w:hAnsi="Times New Roman" w:cs="Times New Roman"/>
          <w:sz w:val="16"/>
          <w:szCs w:val="16"/>
        </w:rPr>
      </w:pPr>
      <w:r w:rsidRPr="003C798F">
        <w:rPr>
          <w:rFonts w:ascii="Times New Roman" w:hAnsi="Times New Roman" w:cs="Times New Roman"/>
          <w:sz w:val="16"/>
          <w:szCs w:val="16"/>
        </w:rPr>
        <w:t xml:space="preserve">Table </w:t>
      </w:r>
      <w:r>
        <w:rPr>
          <w:rFonts w:ascii="Times New Roman" w:hAnsi="Times New Roman" w:cs="Times New Roman"/>
          <w:sz w:val="16"/>
          <w:szCs w:val="16"/>
        </w:rPr>
        <w:t>5</w:t>
      </w:r>
      <w:r w:rsidRPr="003C798F">
        <w:rPr>
          <w:rFonts w:ascii="Times New Roman" w:hAnsi="Times New Roman" w:cs="Times New Roman"/>
          <w:sz w:val="16"/>
          <w:szCs w:val="16"/>
        </w:rPr>
        <w:t xml:space="preserve">: Environment Impact categories </w:t>
      </w:r>
    </w:p>
    <w:p w14:paraId="4AC87A21" w14:textId="77777777" w:rsidR="00A758D9" w:rsidRDefault="00A758D9" w:rsidP="004F2BB1">
      <w:pPr>
        <w:spacing w:line="240" w:lineRule="auto"/>
        <w:rPr>
          <w:rFonts w:ascii="Times New Roman" w:hAnsi="Times New Roman" w:cs="Times New Roman"/>
          <w:sz w:val="24"/>
          <w:szCs w:val="24"/>
        </w:rPr>
      </w:pPr>
    </w:p>
    <w:p w14:paraId="6ED0A63B" w14:textId="3DD90CAF" w:rsidR="00FA1652" w:rsidRDefault="00FA1652" w:rsidP="004F2BB1">
      <w:pPr>
        <w:spacing w:line="240" w:lineRule="auto"/>
        <w:rPr>
          <w:rFonts w:ascii="Times New Roman" w:hAnsi="Times New Roman" w:cs="Times New Roman"/>
          <w:sz w:val="24"/>
          <w:szCs w:val="24"/>
        </w:rPr>
      </w:pPr>
      <w:r>
        <w:rPr>
          <w:rFonts w:ascii="Times New Roman" w:hAnsi="Times New Roman" w:cs="Times New Roman"/>
          <w:sz w:val="24"/>
          <w:szCs w:val="24"/>
        </w:rPr>
        <w:t>Results and Discussion</w:t>
      </w:r>
    </w:p>
    <w:p w14:paraId="55861620" w14:textId="77777777" w:rsidR="00D5406E" w:rsidRDefault="00FA1652" w:rsidP="004F2BB1">
      <w:pPr>
        <w:spacing w:line="240" w:lineRule="auto"/>
        <w:rPr>
          <w:rFonts w:ascii="Times New Roman" w:hAnsi="Times New Roman" w:cs="Times New Roman"/>
          <w:i/>
          <w:sz w:val="24"/>
          <w:szCs w:val="24"/>
        </w:rPr>
      </w:pPr>
      <w:r w:rsidRPr="00E531C9">
        <w:rPr>
          <w:rFonts w:ascii="Times New Roman" w:hAnsi="Times New Roman" w:cs="Times New Roman"/>
          <w:i/>
          <w:sz w:val="24"/>
          <w:szCs w:val="24"/>
        </w:rPr>
        <w:t xml:space="preserve">Life Cycle Impact Assessment </w:t>
      </w:r>
    </w:p>
    <w:p w14:paraId="34083039" w14:textId="6FE1275D" w:rsidR="005964AE" w:rsidRDefault="005964AE" w:rsidP="004F2BB1">
      <w:pPr>
        <w:spacing w:line="240" w:lineRule="auto"/>
        <w:rPr>
          <w:rFonts w:ascii="Times New Roman" w:hAnsi="Times New Roman" w:cs="Times New Roman"/>
          <w:sz w:val="24"/>
          <w:szCs w:val="24"/>
        </w:rPr>
      </w:pPr>
      <w:r w:rsidRPr="00CF0124">
        <w:rPr>
          <w:rFonts w:ascii="Times New Roman" w:hAnsi="Times New Roman" w:cs="Times New Roman"/>
          <w:sz w:val="24"/>
          <w:szCs w:val="24"/>
        </w:rPr>
        <w:t xml:space="preserve">The LCIA characterization results per MWh electricity generation from the five hydropower plants in Myanmar are presented in Table </w:t>
      </w:r>
      <w:r>
        <w:rPr>
          <w:rFonts w:ascii="Times New Roman" w:hAnsi="Times New Roman" w:cs="Times New Roman"/>
          <w:sz w:val="24"/>
          <w:szCs w:val="24"/>
        </w:rPr>
        <w:t>6</w:t>
      </w:r>
      <w:r w:rsidRPr="00CF0124">
        <w:rPr>
          <w:rFonts w:ascii="Times New Roman" w:hAnsi="Times New Roman" w:cs="Times New Roman"/>
          <w:sz w:val="24"/>
          <w:szCs w:val="24"/>
        </w:rPr>
        <w:t>. T</w:t>
      </w:r>
      <w:r w:rsidR="00B50036">
        <w:rPr>
          <w:rFonts w:ascii="Times New Roman" w:hAnsi="Times New Roman" w:cs="Times New Roman"/>
          <w:sz w:val="24"/>
          <w:szCs w:val="24"/>
        </w:rPr>
        <w:t>able</w:t>
      </w:r>
      <w:r w:rsidR="00A7211F">
        <w:rPr>
          <w:rFonts w:ascii="Times New Roman" w:hAnsi="Times New Roman" w:cs="Times New Roman"/>
          <w:sz w:val="24"/>
          <w:szCs w:val="24"/>
        </w:rPr>
        <w:t>s</w:t>
      </w:r>
      <w:r w:rsidR="00B50036">
        <w:rPr>
          <w:rFonts w:ascii="Times New Roman" w:hAnsi="Times New Roman" w:cs="Times New Roman"/>
          <w:sz w:val="24"/>
          <w:szCs w:val="24"/>
        </w:rPr>
        <w:t xml:space="preserve"> </w:t>
      </w:r>
      <w:r w:rsidR="00A7211F">
        <w:rPr>
          <w:rFonts w:ascii="Times New Roman" w:hAnsi="Times New Roman" w:cs="Times New Roman"/>
          <w:sz w:val="24"/>
          <w:szCs w:val="24"/>
        </w:rPr>
        <w:t xml:space="preserve">3 </w:t>
      </w:r>
      <w:r w:rsidRPr="00CF0124">
        <w:rPr>
          <w:rFonts w:ascii="Times New Roman" w:hAnsi="Times New Roman" w:cs="Times New Roman"/>
          <w:sz w:val="24"/>
          <w:szCs w:val="24"/>
        </w:rPr>
        <w:t>provide</w:t>
      </w:r>
      <w:r w:rsidR="00A7211F">
        <w:rPr>
          <w:rFonts w:ascii="Times New Roman" w:hAnsi="Times New Roman" w:cs="Times New Roman"/>
          <w:sz w:val="24"/>
          <w:szCs w:val="24"/>
        </w:rPr>
        <w:t>s</w:t>
      </w:r>
      <w:r w:rsidRPr="00CF0124">
        <w:rPr>
          <w:rFonts w:ascii="Times New Roman" w:hAnsi="Times New Roman" w:cs="Times New Roman"/>
          <w:sz w:val="24"/>
          <w:szCs w:val="24"/>
        </w:rPr>
        <w:t xml:space="preserve"> </w:t>
      </w:r>
      <w:r w:rsidR="000C7E8B">
        <w:rPr>
          <w:rFonts w:ascii="Times New Roman" w:hAnsi="Times New Roman" w:cs="Times New Roman"/>
          <w:sz w:val="24"/>
          <w:szCs w:val="24"/>
        </w:rPr>
        <w:t>the contribution of each impact category</w:t>
      </w:r>
      <w:r w:rsidR="000C7E8B" w:rsidRPr="00CF0124">
        <w:rPr>
          <w:rFonts w:ascii="Times New Roman" w:hAnsi="Times New Roman" w:cs="Times New Roman"/>
          <w:sz w:val="24"/>
          <w:szCs w:val="24"/>
        </w:rPr>
        <w:t xml:space="preserve"> </w:t>
      </w:r>
      <w:r w:rsidRPr="00CF0124">
        <w:rPr>
          <w:rFonts w:ascii="Times New Roman" w:hAnsi="Times New Roman" w:cs="Times New Roman"/>
          <w:sz w:val="24"/>
          <w:szCs w:val="24"/>
        </w:rPr>
        <w:t>per MWh for the entire life-cycle of the power plants. All five hydropower plants follow a similar pattern in LCIA results</w:t>
      </w:r>
      <w:r>
        <w:rPr>
          <w:rFonts w:ascii="Times New Roman" w:hAnsi="Times New Roman" w:cs="Times New Roman"/>
          <w:sz w:val="24"/>
          <w:szCs w:val="24"/>
        </w:rPr>
        <w:t xml:space="preserve"> in terms of the contribution of life-cycle phases</w:t>
      </w:r>
      <w:r w:rsidRPr="00CF0124">
        <w:rPr>
          <w:rFonts w:ascii="Times New Roman" w:hAnsi="Times New Roman" w:cs="Times New Roman"/>
          <w:sz w:val="24"/>
          <w:szCs w:val="24"/>
        </w:rPr>
        <w:t xml:space="preserve">. The construction phase is the dominant contributor in all hydropower plants </w:t>
      </w:r>
      <w:r w:rsidR="004F1AA7">
        <w:rPr>
          <w:rFonts w:ascii="Times New Roman" w:hAnsi="Times New Roman" w:cs="Times New Roman"/>
          <w:sz w:val="24"/>
          <w:szCs w:val="24"/>
        </w:rPr>
        <w:t xml:space="preserve">and </w:t>
      </w:r>
      <w:r w:rsidRPr="00CF0124">
        <w:rPr>
          <w:rFonts w:ascii="Times New Roman" w:hAnsi="Times New Roman" w:cs="Times New Roman"/>
          <w:sz w:val="24"/>
          <w:szCs w:val="24"/>
        </w:rPr>
        <w:t>for every impact categor</w:t>
      </w:r>
      <w:r>
        <w:rPr>
          <w:rFonts w:ascii="Times New Roman" w:hAnsi="Times New Roman" w:cs="Times New Roman"/>
          <w:sz w:val="24"/>
          <w:szCs w:val="24"/>
        </w:rPr>
        <w:t>y</w:t>
      </w:r>
      <w:r w:rsidRPr="00CF0124">
        <w:rPr>
          <w:rFonts w:ascii="Times New Roman" w:hAnsi="Times New Roman" w:cs="Times New Roman"/>
          <w:sz w:val="24"/>
          <w:szCs w:val="24"/>
        </w:rPr>
        <w:t xml:space="preserve"> except for the </w:t>
      </w:r>
      <w:r>
        <w:rPr>
          <w:rFonts w:ascii="Times New Roman" w:hAnsi="Times New Roman" w:cs="Times New Roman"/>
          <w:sz w:val="24"/>
          <w:szCs w:val="24"/>
        </w:rPr>
        <w:t>FRP</w:t>
      </w:r>
      <w:r w:rsidRPr="00CF0124">
        <w:rPr>
          <w:rFonts w:ascii="Times New Roman" w:hAnsi="Times New Roman" w:cs="Times New Roman"/>
          <w:sz w:val="24"/>
          <w:szCs w:val="24"/>
        </w:rPr>
        <w:t xml:space="preserve"> where the primary source is associated with the transportation phase. The high environmental and health impacts of the construction phase of hydropower plants can be attributed to a large number of raw materials and energy resources</w:t>
      </w:r>
      <w:r w:rsidR="004F1AA7">
        <w:rPr>
          <w:rFonts w:ascii="Times New Roman" w:hAnsi="Times New Roman" w:cs="Times New Roman"/>
          <w:sz w:val="24"/>
          <w:szCs w:val="24"/>
        </w:rPr>
        <w:t>,</w:t>
      </w:r>
      <w:r w:rsidRPr="00CF0124">
        <w:rPr>
          <w:rFonts w:ascii="Times New Roman" w:hAnsi="Times New Roman" w:cs="Times New Roman"/>
          <w:sz w:val="24"/>
          <w:szCs w:val="24"/>
        </w:rPr>
        <w:t xml:space="preserve"> required for the manufacturing of cement, steel, electricity and equipment. Transportation is the second-largest source of environmental burden for </w:t>
      </w:r>
      <w:r>
        <w:rPr>
          <w:rFonts w:ascii="Times New Roman" w:hAnsi="Times New Roman" w:cs="Times New Roman"/>
          <w:sz w:val="24"/>
          <w:szCs w:val="24"/>
        </w:rPr>
        <w:t>GWP</w:t>
      </w:r>
      <w:r w:rsidRPr="00CF0124">
        <w:rPr>
          <w:rFonts w:ascii="Times New Roman" w:hAnsi="Times New Roman" w:cs="Times New Roman"/>
          <w:sz w:val="24"/>
          <w:szCs w:val="24"/>
        </w:rPr>
        <w:t xml:space="preserve">, </w:t>
      </w:r>
      <w:r>
        <w:rPr>
          <w:rFonts w:ascii="Times New Roman" w:hAnsi="Times New Roman" w:cs="Times New Roman"/>
          <w:sz w:val="24"/>
          <w:szCs w:val="24"/>
        </w:rPr>
        <w:t>ACP</w:t>
      </w:r>
      <w:r w:rsidRPr="00CF0124">
        <w:rPr>
          <w:rFonts w:ascii="Times New Roman" w:hAnsi="Times New Roman" w:cs="Times New Roman"/>
          <w:sz w:val="24"/>
          <w:szCs w:val="24"/>
        </w:rPr>
        <w:t xml:space="preserve">, </w:t>
      </w:r>
      <w:r w:rsidR="00FA6897">
        <w:rPr>
          <w:rFonts w:ascii="Times New Roman" w:hAnsi="Times New Roman" w:cs="Times New Roman"/>
          <w:sz w:val="24"/>
          <w:szCs w:val="24"/>
        </w:rPr>
        <w:t>MR</w:t>
      </w:r>
      <w:r>
        <w:rPr>
          <w:rFonts w:ascii="Times New Roman" w:hAnsi="Times New Roman" w:cs="Times New Roman"/>
          <w:sz w:val="24"/>
          <w:szCs w:val="24"/>
        </w:rPr>
        <w:t>DP</w:t>
      </w:r>
      <w:r w:rsidRPr="00CF0124">
        <w:rPr>
          <w:rFonts w:ascii="Times New Roman" w:hAnsi="Times New Roman" w:cs="Times New Roman"/>
          <w:sz w:val="24"/>
          <w:szCs w:val="24"/>
        </w:rPr>
        <w:t xml:space="preserve">, </w:t>
      </w:r>
      <w:r>
        <w:rPr>
          <w:rFonts w:ascii="Times New Roman" w:hAnsi="Times New Roman" w:cs="Times New Roman"/>
          <w:sz w:val="24"/>
          <w:szCs w:val="24"/>
        </w:rPr>
        <w:t>POP</w:t>
      </w:r>
      <w:r w:rsidRPr="00CF0124">
        <w:rPr>
          <w:rFonts w:ascii="Times New Roman" w:hAnsi="Times New Roman" w:cs="Times New Roman"/>
          <w:sz w:val="24"/>
          <w:szCs w:val="24"/>
        </w:rPr>
        <w:t xml:space="preserve"> and </w:t>
      </w:r>
      <w:r>
        <w:rPr>
          <w:rFonts w:ascii="Times New Roman" w:hAnsi="Times New Roman" w:cs="Times New Roman"/>
          <w:sz w:val="24"/>
          <w:szCs w:val="24"/>
        </w:rPr>
        <w:t>FRP</w:t>
      </w:r>
      <w:r w:rsidRPr="00CF0124">
        <w:rPr>
          <w:rFonts w:ascii="Times New Roman" w:hAnsi="Times New Roman" w:cs="Times New Roman"/>
          <w:sz w:val="24"/>
          <w:szCs w:val="24"/>
        </w:rPr>
        <w:t>. Transportation, operation and maintenance phase</w:t>
      </w:r>
      <w:r w:rsidR="004F1AA7">
        <w:rPr>
          <w:rFonts w:ascii="Times New Roman" w:hAnsi="Times New Roman" w:cs="Times New Roman"/>
          <w:sz w:val="24"/>
          <w:szCs w:val="24"/>
        </w:rPr>
        <w:t>s</w:t>
      </w:r>
      <w:r w:rsidRPr="00CF0124">
        <w:rPr>
          <w:rFonts w:ascii="Times New Roman" w:hAnsi="Times New Roman" w:cs="Times New Roman"/>
          <w:sz w:val="24"/>
          <w:szCs w:val="24"/>
        </w:rPr>
        <w:t xml:space="preserve"> contribute equally </w:t>
      </w:r>
      <w:r w:rsidR="008963BD">
        <w:rPr>
          <w:rFonts w:ascii="Times New Roman" w:hAnsi="Times New Roman" w:cs="Times New Roman"/>
          <w:sz w:val="24"/>
          <w:szCs w:val="24"/>
        </w:rPr>
        <w:t>to</w:t>
      </w:r>
      <w:r w:rsidR="008963BD" w:rsidRPr="00CF0124">
        <w:rPr>
          <w:rFonts w:ascii="Times New Roman" w:hAnsi="Times New Roman" w:cs="Times New Roman"/>
          <w:sz w:val="24"/>
          <w:szCs w:val="24"/>
        </w:rPr>
        <w:t xml:space="preserve"> </w:t>
      </w:r>
      <w:r w:rsidRPr="00CF0124">
        <w:rPr>
          <w:rFonts w:ascii="Times New Roman" w:hAnsi="Times New Roman" w:cs="Times New Roman"/>
          <w:sz w:val="24"/>
          <w:szCs w:val="24"/>
        </w:rPr>
        <w:t xml:space="preserve">the </w:t>
      </w:r>
      <w:r>
        <w:rPr>
          <w:rFonts w:ascii="Times New Roman" w:hAnsi="Times New Roman" w:cs="Times New Roman"/>
          <w:sz w:val="24"/>
          <w:szCs w:val="24"/>
        </w:rPr>
        <w:t>FWAP</w:t>
      </w:r>
      <w:r w:rsidRPr="00CF0124">
        <w:rPr>
          <w:rFonts w:ascii="Times New Roman" w:hAnsi="Times New Roman" w:cs="Times New Roman"/>
          <w:sz w:val="24"/>
          <w:szCs w:val="24"/>
        </w:rPr>
        <w:t xml:space="preserve"> and </w:t>
      </w:r>
      <w:r>
        <w:rPr>
          <w:rFonts w:ascii="Times New Roman" w:hAnsi="Times New Roman" w:cs="Times New Roman"/>
          <w:sz w:val="24"/>
          <w:szCs w:val="24"/>
        </w:rPr>
        <w:t>HTP</w:t>
      </w:r>
      <w:r w:rsidRPr="00CF0124">
        <w:rPr>
          <w:rFonts w:ascii="Times New Roman" w:hAnsi="Times New Roman" w:cs="Times New Roman"/>
          <w:sz w:val="24"/>
          <w:szCs w:val="24"/>
        </w:rPr>
        <w:t>. As the majority of the construction materials and equipment are imported from overseas, the transportation phase contribut</w:t>
      </w:r>
      <w:r w:rsidR="004F1AA7">
        <w:rPr>
          <w:rFonts w:ascii="Times New Roman" w:hAnsi="Times New Roman" w:cs="Times New Roman"/>
          <w:sz w:val="24"/>
          <w:szCs w:val="24"/>
        </w:rPr>
        <w:t>es significantly</w:t>
      </w:r>
      <w:r w:rsidRPr="00CF0124">
        <w:rPr>
          <w:rFonts w:ascii="Times New Roman" w:hAnsi="Times New Roman" w:cs="Times New Roman"/>
          <w:sz w:val="24"/>
          <w:szCs w:val="24"/>
        </w:rPr>
        <w:t>. Operation and maintenance phase</w:t>
      </w:r>
      <w:r w:rsidR="004F1AA7">
        <w:rPr>
          <w:rFonts w:ascii="Times New Roman" w:hAnsi="Times New Roman" w:cs="Times New Roman"/>
          <w:sz w:val="24"/>
          <w:szCs w:val="24"/>
        </w:rPr>
        <w:t>s</w:t>
      </w:r>
      <w:r w:rsidRPr="00CF0124">
        <w:rPr>
          <w:rFonts w:ascii="Times New Roman" w:hAnsi="Times New Roman" w:cs="Times New Roman"/>
          <w:sz w:val="24"/>
          <w:szCs w:val="24"/>
        </w:rPr>
        <w:t xml:space="preserve"> represent a large share of </w:t>
      </w:r>
      <w:r>
        <w:rPr>
          <w:rFonts w:ascii="Times New Roman" w:hAnsi="Times New Roman" w:cs="Times New Roman"/>
          <w:sz w:val="24"/>
          <w:szCs w:val="24"/>
        </w:rPr>
        <w:t>ACP</w:t>
      </w:r>
      <w:r w:rsidRPr="00CF0124">
        <w:rPr>
          <w:rFonts w:ascii="Times New Roman" w:hAnsi="Times New Roman" w:cs="Times New Roman"/>
          <w:sz w:val="24"/>
          <w:szCs w:val="24"/>
        </w:rPr>
        <w:t xml:space="preserve">, </w:t>
      </w:r>
      <w:r w:rsidR="00FA6897">
        <w:rPr>
          <w:rFonts w:ascii="Times New Roman" w:hAnsi="Times New Roman" w:cs="Times New Roman"/>
          <w:sz w:val="24"/>
          <w:szCs w:val="24"/>
        </w:rPr>
        <w:t>MR</w:t>
      </w:r>
      <w:r>
        <w:rPr>
          <w:rFonts w:ascii="Times New Roman" w:hAnsi="Times New Roman" w:cs="Times New Roman"/>
          <w:sz w:val="24"/>
          <w:szCs w:val="24"/>
        </w:rPr>
        <w:t>DP</w:t>
      </w:r>
      <w:r w:rsidRPr="00CF0124">
        <w:rPr>
          <w:rFonts w:ascii="Times New Roman" w:hAnsi="Times New Roman" w:cs="Times New Roman"/>
          <w:sz w:val="24"/>
          <w:szCs w:val="24"/>
        </w:rPr>
        <w:t xml:space="preserve"> and </w:t>
      </w:r>
      <w:r>
        <w:rPr>
          <w:rFonts w:ascii="Times New Roman" w:hAnsi="Times New Roman" w:cs="Times New Roman"/>
          <w:sz w:val="24"/>
          <w:szCs w:val="24"/>
        </w:rPr>
        <w:t>FRP</w:t>
      </w:r>
      <w:r w:rsidRPr="00CF0124">
        <w:rPr>
          <w:rFonts w:ascii="Times New Roman" w:hAnsi="Times New Roman" w:cs="Times New Roman"/>
          <w:sz w:val="24"/>
          <w:szCs w:val="24"/>
        </w:rPr>
        <w:t>, but see smaller share</w:t>
      </w:r>
      <w:r w:rsidR="002E1C4A">
        <w:rPr>
          <w:rFonts w:ascii="Times New Roman" w:hAnsi="Times New Roman" w:cs="Times New Roman"/>
          <w:sz w:val="24"/>
          <w:szCs w:val="24"/>
        </w:rPr>
        <w:t>s</w:t>
      </w:r>
      <w:r w:rsidRPr="00CF0124">
        <w:rPr>
          <w:rFonts w:ascii="Times New Roman" w:hAnsi="Times New Roman" w:cs="Times New Roman"/>
          <w:sz w:val="24"/>
          <w:szCs w:val="24"/>
        </w:rPr>
        <w:t xml:space="preserve"> in all other impact categories. The demolition phase of the hydropower plants comprises a minor percentage of all impact category results for all selected hydropower plants in Myanmar. This result </w:t>
      </w:r>
      <w:r w:rsidR="004F1AA7">
        <w:rPr>
          <w:rFonts w:ascii="Times New Roman" w:hAnsi="Times New Roman" w:cs="Times New Roman"/>
          <w:sz w:val="24"/>
          <w:szCs w:val="24"/>
        </w:rPr>
        <w:t xml:space="preserve">is connected with </w:t>
      </w:r>
      <w:r w:rsidRPr="00CF0124">
        <w:rPr>
          <w:rFonts w:ascii="Times New Roman" w:hAnsi="Times New Roman" w:cs="Times New Roman"/>
          <w:sz w:val="24"/>
          <w:szCs w:val="24"/>
        </w:rPr>
        <w:t>most of the materials remain</w:t>
      </w:r>
      <w:r w:rsidR="004F1AA7">
        <w:rPr>
          <w:rFonts w:ascii="Times New Roman" w:hAnsi="Times New Roman" w:cs="Times New Roman"/>
          <w:sz w:val="24"/>
          <w:szCs w:val="24"/>
        </w:rPr>
        <w:t>ing</w:t>
      </w:r>
      <w:r w:rsidRPr="00CF0124">
        <w:rPr>
          <w:rFonts w:ascii="Times New Roman" w:hAnsi="Times New Roman" w:cs="Times New Roman"/>
          <w:sz w:val="24"/>
          <w:szCs w:val="24"/>
        </w:rPr>
        <w:t xml:space="preserve"> on-site</w:t>
      </w:r>
      <w:r w:rsidR="004F1AA7">
        <w:rPr>
          <w:rFonts w:ascii="Times New Roman" w:hAnsi="Times New Roman" w:cs="Times New Roman"/>
          <w:sz w:val="24"/>
          <w:szCs w:val="24"/>
        </w:rPr>
        <w:t xml:space="preserve">. They can </w:t>
      </w:r>
      <w:r w:rsidRPr="00CF0124">
        <w:rPr>
          <w:rFonts w:ascii="Times New Roman" w:hAnsi="Times New Roman" w:cs="Times New Roman"/>
          <w:sz w:val="24"/>
          <w:szCs w:val="24"/>
        </w:rPr>
        <w:t xml:space="preserve">partly </w:t>
      </w:r>
      <w:r>
        <w:rPr>
          <w:rFonts w:ascii="Times New Roman" w:hAnsi="Times New Roman" w:cs="Times New Roman"/>
          <w:sz w:val="24"/>
          <w:szCs w:val="24"/>
        </w:rPr>
        <w:t xml:space="preserve">be </w:t>
      </w:r>
      <w:r w:rsidRPr="00CF0124">
        <w:rPr>
          <w:rFonts w:ascii="Times New Roman" w:hAnsi="Times New Roman" w:cs="Times New Roman"/>
          <w:sz w:val="24"/>
          <w:szCs w:val="24"/>
        </w:rPr>
        <w:t xml:space="preserve">used for recycling after the end of </w:t>
      </w:r>
      <w:r w:rsidR="008C0E53">
        <w:rPr>
          <w:rFonts w:ascii="Times New Roman" w:hAnsi="Times New Roman" w:cs="Times New Roman"/>
          <w:sz w:val="24"/>
          <w:szCs w:val="24"/>
        </w:rPr>
        <w:t>their</w:t>
      </w:r>
      <w:r>
        <w:rPr>
          <w:rFonts w:ascii="Times New Roman" w:hAnsi="Times New Roman" w:cs="Times New Roman"/>
          <w:sz w:val="24"/>
          <w:szCs w:val="24"/>
        </w:rPr>
        <w:t xml:space="preserve"> </w:t>
      </w:r>
      <w:r w:rsidRPr="00CF0124">
        <w:rPr>
          <w:rFonts w:ascii="Times New Roman" w:hAnsi="Times New Roman" w:cs="Times New Roman"/>
          <w:sz w:val="24"/>
          <w:szCs w:val="24"/>
        </w:rPr>
        <w:t>life</w:t>
      </w:r>
      <w:r>
        <w:rPr>
          <w:rFonts w:ascii="Times New Roman" w:hAnsi="Times New Roman" w:cs="Times New Roman"/>
          <w:sz w:val="24"/>
          <w:szCs w:val="24"/>
        </w:rPr>
        <w:t>time</w:t>
      </w:r>
      <w:r w:rsidRPr="00CF0124">
        <w:rPr>
          <w:rFonts w:ascii="Times New Roman" w:hAnsi="Times New Roman" w:cs="Times New Roman"/>
          <w:sz w:val="24"/>
          <w:szCs w:val="24"/>
        </w:rPr>
        <w:t>.</w:t>
      </w:r>
      <w:r>
        <w:rPr>
          <w:rFonts w:ascii="Times New Roman" w:hAnsi="Times New Roman" w:cs="Times New Roman"/>
          <w:sz w:val="24"/>
          <w:szCs w:val="24"/>
        </w:rPr>
        <w:t xml:space="preserve"> Although recycling capacity in Myanmar is lower than in many other countries, the total impacts of waste production at the demolition stage can be insignificant compared </w:t>
      </w:r>
      <w:r w:rsidR="004F1AA7">
        <w:rPr>
          <w:rFonts w:ascii="Times New Roman" w:hAnsi="Times New Roman" w:cs="Times New Roman"/>
          <w:sz w:val="24"/>
          <w:szCs w:val="24"/>
        </w:rPr>
        <w:t xml:space="preserve">with </w:t>
      </w:r>
      <w:r>
        <w:rPr>
          <w:rFonts w:ascii="Times New Roman" w:hAnsi="Times New Roman" w:cs="Times New Roman"/>
          <w:sz w:val="24"/>
          <w:szCs w:val="24"/>
        </w:rPr>
        <w:t xml:space="preserve">the impacts from the manufacturing of the materials used in the construction phase of the power plants (see table 3). </w:t>
      </w:r>
      <w:r w:rsidRPr="00CF0124">
        <w:rPr>
          <w:rFonts w:ascii="Times New Roman" w:hAnsi="Times New Roman" w:cs="Times New Roman"/>
          <w:sz w:val="24"/>
          <w:szCs w:val="24"/>
        </w:rPr>
        <w:t>However, although outside the scope of this study, CO</w:t>
      </w:r>
      <w:r w:rsidRPr="008413F3">
        <w:rPr>
          <w:rFonts w:ascii="Times New Roman" w:hAnsi="Times New Roman" w:cs="Times New Roman"/>
          <w:sz w:val="24"/>
          <w:szCs w:val="24"/>
          <w:vertAlign w:val="subscript"/>
        </w:rPr>
        <w:t>2</w:t>
      </w:r>
      <w:r w:rsidRPr="00CF0124">
        <w:rPr>
          <w:rFonts w:ascii="Times New Roman" w:hAnsi="Times New Roman" w:cs="Times New Roman"/>
          <w:sz w:val="24"/>
          <w:szCs w:val="24"/>
        </w:rPr>
        <w:t xml:space="preserve"> equivalent emissions from the accumulated sediments in the reservoir can be noticeably high</w:t>
      </w:r>
      <w:r w:rsidR="004F1AA7">
        <w:rPr>
          <w:rFonts w:ascii="Times New Roman" w:hAnsi="Times New Roman" w:cs="Times New Roman"/>
          <w:sz w:val="24"/>
          <w:szCs w:val="24"/>
        </w:rPr>
        <w:t>er</w:t>
      </w:r>
      <w:r w:rsidRPr="00CF0124">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CF0124">
        <w:rPr>
          <w:rFonts w:ascii="Times New Roman" w:hAnsi="Times New Roman" w:cs="Times New Roman"/>
          <w:sz w:val="24"/>
          <w:szCs w:val="24"/>
        </w:rPr>
        <w:t xml:space="preserve">decommissioning phase of the dam and should be considered in </w:t>
      </w:r>
      <w:r w:rsidR="002E1C4A">
        <w:rPr>
          <w:rFonts w:ascii="Times New Roman" w:hAnsi="Times New Roman" w:cs="Times New Roman"/>
          <w:sz w:val="24"/>
          <w:szCs w:val="24"/>
        </w:rPr>
        <w:t xml:space="preserve">the </w:t>
      </w:r>
      <w:r w:rsidRPr="00CF0124">
        <w:rPr>
          <w:rFonts w:ascii="Times New Roman" w:hAnsi="Times New Roman" w:cs="Times New Roman"/>
          <w:sz w:val="24"/>
          <w:szCs w:val="24"/>
        </w:rPr>
        <w:t>Global Warming Potential impact category in future studies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{"citationItems":[{"id":"ITEM-1","itemData":{"DOI":"10.1007/s10584-007-9261-4","ISSN":"01650009","abstract":"Greenhouse gas (GHG) emissions from hydroelectric dams are often portrayed as nonexistent by the hydropower industry and have been largely ignored in global comparisons of different sources of electricity. However, the life cycle assessment (LCA) of any hydroelectric plant shows that GHG emissions occur at different phases of the power plant's life. This work examines the role of decommissioning hydroelectric dams in greenhouse gas emissions. Accumulated sediments in reservoirs contain noticeable levels of carbon, which may be released to the atmosphere upon decommissioning of the dam. The rate of sediment accumulation and the sediment volume for six of the ten largest United States hydroelectric power plants is surveyed. The amount of sediments and the respective carbon content at the moment of dam decommissioning (100 years after construction) was estimated. The released carbon is partitioned into CO2and CH4emissions and converted to CO2equivalent emissions using the global warming potential (GWP) method. The global warming effect (GWE) due to dam decommissioning is normalized to the total electricity produced over the lifetime of each power plant. The estimated GWE of the power plants range from 128-380 g of CO2eq./kWh when 11% of the total available sediment organic carbon (SOC) is mineralized and between 35 and 104 g of CO2eq./kWh when 3% of the total SOC is mineralized. Though these values are below emission factors for coal power plants (890 g of CO2eq./kWh), the amount of greenhouse gases emitted by the sediments upon dam decommissioning is a notable amount that should not be ignored and must be taken into account when considering construction and relicensing of hydroelectric dams. © 2007 Springer Science+Business Media B.V.","author":[{"dropping-particle":"","family":"Pacca","given":"Sergio","non-dropping-particle":"","parse-names":false,"suffix":""}],"container-title":"Climatic Change","id":"ITEM-1","issue":"3-4","issued":{"date-parts":[["2007"]]},"page":"281-294","title":"Impacts from decommissioning of hydroelectric dams: A life cycle perspective","type":"article-journal","volume":"84"},"uris":["http://www.mendeley.com/documents/?uuid=8c2fef83-bb3b-4d5d-9627-7ef125b5f13a"]},{"id":"ITEM-2","itemData":{"DOI":"10.1016/j.esd.2012.07.006","ISSN":"09730826","abstract":"The use of fossil fuels for electricity generation contributes to local air pollution as well as to the greenhouse effect. Electricity generation technologies contribute to environmental impacts including acidification, eutrophication, resource depletion, and climate change. This paper presents the environmental assessment of the centralized grid-connected electricity production in Tanzania using a life cycle approach for the years 2000, 2015, 2020, 2026 and 2030, according to the Tanzania Electricity Supply Company Limited, TANESCO's, plans for power system expansion (power system master plan of the year 2009). The results of this study show that in all the chosen impacts categories, based on the absolute annual electricity production, environmental impacts increase significantly with time when comparing the years 2000, 2015, 2020, 2026 and 2030. © 2012 International Energy Initiative.","author":[{"dropping-particle":"","family":"Felix","given":"Mwema","non-dropping-particle":"","parse-names":false,"suffix":""},{"dropping-particle":"","family":"Gheewala","given":"Shabbir H.","non-dropping-particle":"","parse-names":false,"suffix":""}],"container-title":"Energy for Sustainable Development","id":"ITEM-2","issue":"4","issued":{"date-parts":[["2012"]]},"page":"439-447","publisher":"International Energy Initiative","title":"Environmental assessment of electricity production in Tanzania","type":"article-journal","volume":"16"},"uris":["http://www.mendeley.com/documents/?uuid=64a262a2-55d5-4b8a-8c84-5143ae25449e"]}],"mendeley":{"formattedCitation":"(Felix &amp; Gheewala, 2012; Pacca, 2007)","plainTextFormattedCitation":"(Felix &amp; Gheewala, 2012; Pacca, 2007)","previouslyFormattedCitation":"(Felix &amp; Gheewala, 2012; Pacca, 2007)"},"properties":{"noteIndex":0},"schema":"https://github.com/citation-style-language/schema/raw/master/csl-citation.json"}</w:instrText>
      </w:r>
      <w:r>
        <w:rPr>
          <w:rFonts w:ascii="Times New Roman" w:hAnsi="Times New Roman" w:cs="Times New Roman"/>
          <w:sz w:val="24"/>
          <w:szCs w:val="24"/>
        </w:rPr>
        <w:fldChar w:fldCharType="separate"/>
      </w:r>
      <w:r w:rsidRPr="008F7142">
        <w:rPr>
          <w:rFonts w:ascii="Times New Roman" w:hAnsi="Times New Roman" w:cs="Times New Roman"/>
          <w:noProof/>
          <w:sz w:val="24"/>
          <w:szCs w:val="24"/>
        </w:rPr>
        <w:t>(Felix &amp; Gheewala, 2012; Pacca, 2007)</w:t>
      </w:r>
      <w:r>
        <w:rPr>
          <w:rFonts w:ascii="Times New Roman" w:hAnsi="Times New Roman" w:cs="Times New Roman"/>
          <w:sz w:val="24"/>
          <w:szCs w:val="24"/>
        </w:rPr>
        <w:fldChar w:fldCharType="end"/>
      </w:r>
      <w:r w:rsidRPr="00CF0124">
        <w:rPr>
          <w:rFonts w:ascii="Times New Roman" w:hAnsi="Times New Roman" w:cs="Times New Roman"/>
          <w:sz w:val="24"/>
          <w:szCs w:val="24"/>
        </w:rPr>
        <w:t xml:space="preserve">. </w:t>
      </w:r>
    </w:p>
    <w:p w14:paraId="384C23AA" w14:textId="46B23333" w:rsidR="00280228" w:rsidRDefault="005964AE" w:rsidP="004F2BB1">
      <w:pPr>
        <w:spacing w:line="240" w:lineRule="auto"/>
        <w:rPr>
          <w:rFonts w:ascii="Times New Roman" w:hAnsi="Times New Roman" w:cs="Times New Roman"/>
          <w:sz w:val="24"/>
          <w:szCs w:val="24"/>
        </w:rPr>
      </w:pPr>
      <w:r>
        <w:rPr>
          <w:rFonts w:ascii="Times New Roman" w:hAnsi="Times New Roman" w:cs="Times New Roman"/>
          <w:sz w:val="24"/>
          <w:szCs w:val="24"/>
        </w:rPr>
        <w:tab/>
        <w:t>Given the similarities in dam type, local climate and material used in construction, no large variations were observed among the selected power plants for all environmental indicators, except for FRP (see Fig.</w:t>
      </w:r>
      <w:r w:rsidR="00A758D9">
        <w:rPr>
          <w:rFonts w:ascii="Times New Roman" w:hAnsi="Times New Roman" w:cs="Times New Roman"/>
          <w:sz w:val="24"/>
          <w:szCs w:val="24"/>
        </w:rPr>
        <w:t>3</w:t>
      </w:r>
      <w:r>
        <w:rPr>
          <w:rFonts w:ascii="Times New Roman" w:hAnsi="Times New Roman" w:cs="Times New Roman"/>
          <w:sz w:val="24"/>
          <w:szCs w:val="24"/>
        </w:rPr>
        <w:t>). A high variability in FRP can be due to the differences in fuel efficiency</w:t>
      </w:r>
      <w:r w:rsidR="002E1C4A">
        <w:rPr>
          <w:rFonts w:ascii="Times New Roman" w:hAnsi="Times New Roman" w:cs="Times New Roman"/>
          <w:sz w:val="24"/>
          <w:szCs w:val="24"/>
        </w:rPr>
        <w:t>,</w:t>
      </w:r>
      <w:r>
        <w:rPr>
          <w:rFonts w:ascii="Times New Roman" w:hAnsi="Times New Roman" w:cs="Times New Roman"/>
          <w:sz w:val="24"/>
          <w:szCs w:val="24"/>
        </w:rPr>
        <w:t xml:space="preserve"> depending on dam size and generation capacity of the powerplants. Based on the results, smaller plants, Dapein 1 and Thuk Ye Khat 2 have higher FRP potential than larger plants. Similar results were also found for </w:t>
      </w:r>
      <w:r w:rsidR="00FA6897">
        <w:rPr>
          <w:rFonts w:ascii="Times New Roman" w:hAnsi="Times New Roman" w:cs="Times New Roman"/>
          <w:sz w:val="24"/>
          <w:szCs w:val="24"/>
        </w:rPr>
        <w:t>MR</w:t>
      </w:r>
      <w:r>
        <w:rPr>
          <w:rFonts w:ascii="Times New Roman" w:hAnsi="Times New Roman" w:cs="Times New Roman"/>
          <w:sz w:val="24"/>
          <w:szCs w:val="24"/>
        </w:rPr>
        <w:t>DP, ACP and HTP</w:t>
      </w:r>
      <w:r w:rsidR="00696C9C">
        <w:rPr>
          <w:rFonts w:ascii="Times New Roman" w:hAnsi="Times New Roman" w:cs="Times New Roman"/>
          <w:sz w:val="24"/>
          <w:szCs w:val="24"/>
        </w:rPr>
        <w:t>,</w:t>
      </w:r>
      <w:r>
        <w:rPr>
          <w:rFonts w:ascii="Times New Roman" w:hAnsi="Times New Roman" w:cs="Times New Roman"/>
          <w:sz w:val="24"/>
          <w:szCs w:val="24"/>
        </w:rPr>
        <w:t xml:space="preserve"> where larger dams overall appear to have lower impacts. For GWP, FWAP and POP, the environmental concerns, both large and small, are similar.</w:t>
      </w:r>
      <w:r w:rsidR="00280228">
        <w:rPr>
          <w:rFonts w:ascii="Times New Roman" w:hAnsi="Times New Roman" w:cs="Times New Roman"/>
          <w:sz w:val="24"/>
          <w:szCs w:val="24"/>
        </w:rPr>
        <w:t xml:space="preserve"> </w:t>
      </w:r>
      <w:r w:rsidRPr="00CF0124">
        <w:rPr>
          <w:rFonts w:ascii="Times New Roman" w:hAnsi="Times New Roman" w:cs="Times New Roman"/>
          <w:sz w:val="24"/>
          <w:szCs w:val="24"/>
        </w:rPr>
        <w:t>The</w:t>
      </w:r>
      <w:r>
        <w:rPr>
          <w:rFonts w:ascii="Times New Roman" w:hAnsi="Times New Roman" w:cs="Times New Roman"/>
          <w:sz w:val="24"/>
          <w:szCs w:val="24"/>
        </w:rPr>
        <w:t>se</w:t>
      </w:r>
      <w:r w:rsidRPr="00CF0124">
        <w:rPr>
          <w:rFonts w:ascii="Times New Roman" w:hAnsi="Times New Roman" w:cs="Times New Roman"/>
          <w:sz w:val="24"/>
          <w:szCs w:val="24"/>
        </w:rPr>
        <w:t xml:space="preserve"> results support the observation</w:t>
      </w:r>
      <w:r>
        <w:rPr>
          <w:rFonts w:ascii="Times New Roman" w:hAnsi="Times New Roman" w:cs="Times New Roman"/>
          <w:sz w:val="24"/>
          <w:szCs w:val="24"/>
        </w:rPr>
        <w:t>s</w:t>
      </w:r>
      <w:r w:rsidRPr="00CF0124">
        <w:rPr>
          <w:rFonts w:ascii="Times New Roman" w:hAnsi="Times New Roman" w:cs="Times New Roman"/>
          <w:sz w:val="24"/>
          <w:szCs w:val="24"/>
        </w:rPr>
        <w:t xml:space="preserve"> in previous LCA studies of hydropower systems</w:t>
      </w:r>
      <w:r w:rsidR="00CA3C76">
        <w:rPr>
          <w:rFonts w:ascii="Times New Roman" w:hAnsi="Times New Roman" w:cs="Times New Roman"/>
          <w:sz w:val="24"/>
          <w:szCs w:val="24"/>
        </w:rPr>
        <w:t>, namely</w:t>
      </w:r>
      <w:r w:rsidRPr="00CF0124">
        <w:rPr>
          <w:rFonts w:ascii="Times New Roman" w:hAnsi="Times New Roman" w:cs="Times New Roman"/>
          <w:sz w:val="24"/>
          <w:szCs w:val="24"/>
        </w:rPr>
        <w:t xml:space="preserve"> that smaller hydropower plants </w:t>
      </w:r>
      <w:r>
        <w:rPr>
          <w:rFonts w:ascii="Times New Roman" w:hAnsi="Times New Roman" w:cs="Times New Roman"/>
          <w:sz w:val="24"/>
          <w:szCs w:val="24"/>
        </w:rPr>
        <w:t>can result in</w:t>
      </w:r>
      <w:r w:rsidRPr="00CF0124">
        <w:rPr>
          <w:rFonts w:ascii="Times New Roman" w:hAnsi="Times New Roman" w:cs="Times New Roman"/>
          <w:sz w:val="24"/>
          <w:szCs w:val="24"/>
        </w:rPr>
        <w:t xml:space="preserve"> higher environmental impacts per MWh (Pascale et al., 2011).</w:t>
      </w:r>
      <w:r>
        <w:rPr>
          <w:rFonts w:ascii="Times New Roman" w:hAnsi="Times New Roman" w:cs="Times New Roman"/>
          <w:sz w:val="24"/>
          <w:szCs w:val="24"/>
        </w:rPr>
        <w:t xml:space="preserve"> Larger dams are considered more environmentally sustainable than smaller dams in terms of impact per amount of electricity generated</w:t>
      </w:r>
      <w:r w:rsidRPr="0049384B">
        <w:rPr>
          <w:rFonts w:ascii="Times New Roman" w:hAnsi="Times New Roman" w:cs="Times New Roman"/>
          <w:noProof/>
          <w:sz w:val="24"/>
          <w:szCs w:val="24"/>
        </w:rPr>
        <w:t xml:space="preserve"> </w:t>
      </w:r>
      <w:r>
        <w:rPr>
          <w:rFonts w:ascii="Times New Roman" w:hAnsi="Times New Roman" w:cs="Times New Roman"/>
          <w:noProof/>
          <w:sz w:val="24"/>
          <w:szCs w:val="24"/>
        </w:rPr>
        <w:t>(</w:t>
      </w:r>
      <w:r w:rsidRPr="00862385">
        <w:rPr>
          <w:rFonts w:ascii="Times New Roman" w:hAnsi="Times New Roman" w:cs="Times New Roman"/>
          <w:noProof/>
          <w:sz w:val="24"/>
          <w:szCs w:val="24"/>
        </w:rPr>
        <w:t>Rao, 1989</w:t>
      </w:r>
      <w:r>
        <w:rPr>
          <w:rFonts w:ascii="Times New Roman" w:hAnsi="Times New Roman" w:cs="Times New Roman"/>
          <w:noProof/>
          <w:sz w:val="24"/>
          <w:szCs w:val="24"/>
        </w:rPr>
        <w:t xml:space="preserve">; </w:t>
      </w:r>
      <w:r w:rsidRPr="00BC5239">
        <w:rPr>
          <w:rFonts w:ascii="Times New Roman" w:hAnsi="Times New Roman" w:cs="Times New Roman"/>
          <w:noProof/>
          <w:sz w:val="24"/>
          <w:szCs w:val="24"/>
        </w:rPr>
        <w:t>Koch, 2002</w:t>
      </w:r>
      <w:r>
        <w:rPr>
          <w:rFonts w:ascii="Times New Roman" w:hAnsi="Times New Roman" w:cs="Times New Roman"/>
          <w:noProof/>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25FAB">
        <w:rPr>
          <w:rFonts w:ascii="Times New Roman" w:hAnsi="Times New Roman" w:cs="Times New Roman"/>
          <w:sz w:val="24"/>
          <w:szCs w:val="24"/>
        </w:rPr>
        <w:instrText>ADDIN CSL_CITATION {"citationItems":[{"id":"ITEM-1","itemData":{"DOI":"10.1002/wrcr.20243","author":[{"dropping-particle":"","family":"Kibler","given":"Kelly M","non-dropping-particle":"","parse-names":false,"suffix":""},{"dropping-particle":"","family":"Tullos","given":"Desiree D","non-dropping-particle":"","parse-names":false,"suffix":""}],"id":"ITEM-1","issue":"July 2012","issued":{"date-parts":[["2013"]]},"page":"3104-3118","title":"Cumulative biophysical impact of small and large hydropower development in Nu River , China","type":"article-journal","volume":"49"},"uris":["http://www.mendeley.com/documents/?uuid=184fdc17-8946-4448-b2b5-51235773261c"]}],"mendeley":{"formattedCitation":"(Kibler &amp; Tullos, 2013)","manualFormatting":"Kibler &amp; Tullos (2013)","plainTextFormattedCitation":"(Kibler &amp; Tullos, 2013)","previouslyFormattedCitation":"(Kibler &amp; Tullos, 2013)"},"properties":{"noteIndex":0},"schema":"https://github.com/citation-style-language/schema/raw/master/csl-citation.json"}</w:instrText>
      </w:r>
      <w:r>
        <w:rPr>
          <w:rFonts w:ascii="Times New Roman" w:hAnsi="Times New Roman" w:cs="Times New Roman"/>
          <w:sz w:val="24"/>
          <w:szCs w:val="24"/>
        </w:rPr>
        <w:fldChar w:fldCharType="separate"/>
      </w:r>
      <w:r w:rsidRPr="002A409A">
        <w:rPr>
          <w:rFonts w:ascii="Times New Roman" w:hAnsi="Times New Roman" w:cs="Times New Roman"/>
          <w:noProof/>
          <w:sz w:val="24"/>
          <w:szCs w:val="24"/>
        </w:rPr>
        <w:t>Kibler &amp; Tullos</w:t>
      </w:r>
      <w:r w:rsidR="00B25FAB">
        <w:rPr>
          <w:rFonts w:ascii="Times New Roman" w:hAnsi="Times New Roman" w:cs="Times New Roman"/>
          <w:noProof/>
          <w:sz w:val="24"/>
          <w:szCs w:val="24"/>
        </w:rPr>
        <w:t xml:space="preserve"> </w:t>
      </w:r>
      <w:r>
        <w:rPr>
          <w:rFonts w:ascii="Times New Roman" w:hAnsi="Times New Roman" w:cs="Times New Roman"/>
          <w:noProof/>
          <w:sz w:val="24"/>
          <w:szCs w:val="24"/>
        </w:rPr>
        <w:t>(</w:t>
      </w:r>
      <w:r w:rsidRPr="002A409A">
        <w:rPr>
          <w:rFonts w:ascii="Times New Roman" w:hAnsi="Times New Roman" w:cs="Times New Roman"/>
          <w:noProof/>
          <w:sz w:val="24"/>
          <w:szCs w:val="24"/>
        </w:rPr>
        <w:t>2013)</w:t>
      </w:r>
      <w:r>
        <w:rPr>
          <w:rFonts w:ascii="Times New Roman" w:hAnsi="Times New Roman" w:cs="Times New Roman"/>
          <w:sz w:val="24"/>
          <w:szCs w:val="24"/>
        </w:rPr>
        <w:fldChar w:fldCharType="end"/>
      </w:r>
      <w:r>
        <w:rPr>
          <w:rFonts w:ascii="Times New Roman" w:hAnsi="Times New Roman" w:cs="Times New Roman"/>
          <w:sz w:val="24"/>
          <w:szCs w:val="24"/>
        </w:rPr>
        <w:t xml:space="preserve"> also found that biophysical impacts of small hydropower projects can be </w:t>
      </w:r>
      <w:r w:rsidR="00CA3C76">
        <w:rPr>
          <w:rFonts w:ascii="Times New Roman" w:hAnsi="Times New Roman" w:cs="Times New Roman"/>
          <w:sz w:val="24"/>
          <w:szCs w:val="24"/>
        </w:rPr>
        <w:t xml:space="preserve">higher </w:t>
      </w:r>
      <w:r>
        <w:rPr>
          <w:rFonts w:ascii="Times New Roman" w:hAnsi="Times New Roman" w:cs="Times New Roman"/>
          <w:sz w:val="24"/>
          <w:szCs w:val="24"/>
        </w:rPr>
        <w:t xml:space="preserve">than </w:t>
      </w:r>
      <w:r w:rsidR="00CA3C76">
        <w:rPr>
          <w:rFonts w:ascii="Times New Roman" w:hAnsi="Times New Roman" w:cs="Times New Roman"/>
          <w:sz w:val="24"/>
          <w:szCs w:val="24"/>
        </w:rPr>
        <w:t xml:space="preserve">for </w:t>
      </w:r>
      <w:r>
        <w:rPr>
          <w:rFonts w:ascii="Times New Roman" w:hAnsi="Times New Roman" w:cs="Times New Roman"/>
          <w:sz w:val="24"/>
          <w:szCs w:val="24"/>
        </w:rPr>
        <w:t xml:space="preserve">larger dams. </w:t>
      </w:r>
      <w:r w:rsidR="00280228">
        <w:rPr>
          <w:rFonts w:ascii="Times New Roman" w:hAnsi="Times New Roman" w:cs="Times New Roman"/>
          <w:sz w:val="24"/>
          <w:szCs w:val="24"/>
        </w:rPr>
        <w:t>Although all the dams considered in this study can be classified as large dams (&gt;10MW)</w:t>
      </w:r>
      <w:r w:rsidR="00280228">
        <w:rPr>
          <w:rFonts w:ascii="Times New Roman" w:hAnsi="Times New Roman" w:cs="Times New Roman"/>
          <w:sz w:val="24"/>
          <w:szCs w:val="24"/>
        </w:rPr>
        <w:fldChar w:fldCharType="begin" w:fldLock="1"/>
      </w:r>
      <w:r w:rsidR="0044733B">
        <w:rPr>
          <w:rFonts w:ascii="Times New Roman" w:hAnsi="Times New Roman" w:cs="Times New Roman"/>
          <w:sz w:val="24"/>
          <w:szCs w:val="24"/>
        </w:rPr>
        <w:instrText>ADDIN CSL_CITATION {"citationItems":[{"id":"ITEM-1","itemData":{"DOI":"10.1016/j.rser.2015.04.150","ISSN":"18790690","abstract":"Both large hydropower projects (LHPs) and small hydropower projects (SHPs) have environmental and societal externalities, which have not been taken into account in their construction costs and operation benefits. These externalities are becoming an increasingly important issue in hydropower development policy making; as a result, it is essential to perform a systematic assessment of them among different hydropower patterns. The purpose of this paper was to establish a general externalities inventory for hydropower development through reviewing worldwide. This inventory allowed these externalities to be classified into three categories: externalities due to civil works, due to reservoir impoundment and due to cumulative impacts. Meanwhile, as these inventories were all related to greenhouse gas (GHG) activity, they could be transformed into the CO2 equivalent (CO2-e), either directly or indirectly. This transformation method not only enables a feasible comparison of the externalities between different hydropower patterns but also enriches the carbon footprint assessment for hydropower. In the case study of 5 LHPs (&gt;50 MW) and 10 SHPs in Tibet, China, SHPs have reduced externalities compared to LHPs, with SHPs and LHPs representing a burden of 5.1 and 29.2 gCO2-ekW h-1 on average, respectively. This extra carbon emission burden indicates that the present low-carbon potential of hydropower has been overestimated. Meanwhile, this reduced externality makes SHPs perform better in terms of environmentally friendly development and low-carbon energy than LHPs for Tibet. The externality caused by reservoir impoundment and occupation is the primary component of the total externality of a LHP; therefore, increasing the power density is an efficient way to decrease its externality.","author":[{"dropping-particle":"","family":"Zhang","given":"Jin","non-dropping-particle":"","parse-names":false,"suffix":""},{"dropping-particle":"","family":"Xu","given":"Linyu","non-dropping-particle":"","parse-names":false,"suffix":""},{"dropping-particle":"","family":"Li","given":"Xiaojin","non-dropping-particle":"","parse-names":false,"suffix":""}],"container-title":"Renewable and Sustainable Energy Reviews","id":"ITEM-1","issued":{"date-parts":[["2015"]]},"page":"176-185","publisher":"Elsevier","title":"Review on the externalities of hydropower: A comparison between large and small hydropower projects in Tibet based on the CO2 equivalent","type":"article-journal","volume":"50"},"uris":["http://www.mendeley.com/documents/?uuid=5d0e0290-b64e-4809-bd3e-253a207a4bec"]}],"mendeley":{"formattedCitation":"(J. Zhang et al., 2015)","plainTextFormattedCitation":"(J. Zhang et al., 2015)","previouslyFormattedCitation":"(J. Zhang et al., 2015)"},"properties":{"noteIndex":0},"schema":"https://github.com/citation-style-language/schema/raw/master/csl-citation.json"}</w:instrText>
      </w:r>
      <w:r w:rsidR="00280228">
        <w:rPr>
          <w:rFonts w:ascii="Times New Roman" w:hAnsi="Times New Roman" w:cs="Times New Roman"/>
          <w:sz w:val="24"/>
          <w:szCs w:val="24"/>
        </w:rPr>
        <w:fldChar w:fldCharType="separate"/>
      </w:r>
      <w:r w:rsidR="00280228" w:rsidRPr="00280228">
        <w:rPr>
          <w:rFonts w:ascii="Times New Roman" w:hAnsi="Times New Roman" w:cs="Times New Roman"/>
          <w:noProof/>
          <w:sz w:val="24"/>
          <w:szCs w:val="24"/>
        </w:rPr>
        <w:t xml:space="preserve">(J. </w:t>
      </w:r>
      <w:r w:rsidR="00280228" w:rsidRPr="00280228">
        <w:rPr>
          <w:rFonts w:ascii="Times New Roman" w:hAnsi="Times New Roman" w:cs="Times New Roman"/>
          <w:noProof/>
          <w:sz w:val="24"/>
          <w:szCs w:val="24"/>
        </w:rPr>
        <w:lastRenderedPageBreak/>
        <w:t>Zhang et al., 2015)</w:t>
      </w:r>
      <w:r w:rsidR="00280228">
        <w:rPr>
          <w:rFonts w:ascii="Times New Roman" w:hAnsi="Times New Roman" w:cs="Times New Roman"/>
          <w:sz w:val="24"/>
          <w:szCs w:val="24"/>
        </w:rPr>
        <w:fldChar w:fldCharType="end"/>
      </w:r>
      <w:r w:rsidR="00280228">
        <w:rPr>
          <w:rFonts w:ascii="Times New Roman" w:hAnsi="Times New Roman" w:cs="Times New Roman"/>
          <w:sz w:val="24"/>
          <w:szCs w:val="24"/>
        </w:rPr>
        <w:t xml:space="preserve">, these findings indicate that this observation is true even among the dams generally categorized as large. </w:t>
      </w:r>
    </w:p>
    <w:p w14:paraId="392EB839" w14:textId="3D567B17" w:rsidR="005964AE" w:rsidRDefault="005964AE" w:rsidP="00D63049">
      <w:pPr>
        <w:spacing w:line="240" w:lineRule="auto"/>
        <w:ind w:firstLine="720"/>
        <w:rPr>
          <w:rFonts w:ascii="Times New Roman" w:hAnsi="Times New Roman" w:cs="Times New Roman"/>
          <w:sz w:val="24"/>
          <w:szCs w:val="24"/>
        </w:rPr>
      </w:pPr>
      <w:r>
        <w:rPr>
          <w:rFonts w:ascii="Times New Roman" w:hAnsi="Times New Roman" w:cs="Times New Roman"/>
          <w:sz w:val="24"/>
          <w:szCs w:val="24"/>
        </w:rPr>
        <w:t>Fig.</w:t>
      </w:r>
      <w:r w:rsidR="00A758D9">
        <w:rPr>
          <w:rFonts w:ascii="Times New Roman" w:hAnsi="Times New Roman" w:cs="Times New Roman"/>
          <w:sz w:val="24"/>
          <w:szCs w:val="24"/>
        </w:rPr>
        <w:t>4</w:t>
      </w:r>
      <w:r>
        <w:rPr>
          <w:rFonts w:ascii="Times New Roman" w:hAnsi="Times New Roman" w:cs="Times New Roman"/>
          <w:sz w:val="24"/>
          <w:szCs w:val="24"/>
        </w:rPr>
        <w:t xml:space="preserve"> illustrate</w:t>
      </w:r>
      <w:r w:rsidR="00CA3C76">
        <w:rPr>
          <w:rFonts w:ascii="Times New Roman" w:hAnsi="Times New Roman" w:cs="Times New Roman"/>
          <w:sz w:val="24"/>
          <w:szCs w:val="24"/>
        </w:rPr>
        <w:t>s</w:t>
      </w:r>
      <w:r>
        <w:rPr>
          <w:rFonts w:ascii="Times New Roman" w:hAnsi="Times New Roman" w:cs="Times New Roman"/>
          <w:sz w:val="24"/>
          <w:szCs w:val="24"/>
        </w:rPr>
        <w:t xml:space="preserve"> the contribution analysis of materials and energy inputs. Cement is the biggest source of environmental burden in term</w:t>
      </w:r>
      <w:r w:rsidR="002E1C4A">
        <w:rPr>
          <w:rFonts w:ascii="Times New Roman" w:hAnsi="Times New Roman" w:cs="Times New Roman"/>
          <w:sz w:val="24"/>
          <w:szCs w:val="24"/>
        </w:rPr>
        <w:t>s</w:t>
      </w:r>
      <w:r>
        <w:rPr>
          <w:rFonts w:ascii="Times New Roman" w:hAnsi="Times New Roman" w:cs="Times New Roman"/>
          <w:sz w:val="24"/>
          <w:szCs w:val="24"/>
        </w:rPr>
        <w:t xml:space="preserve"> of GWP, </w:t>
      </w:r>
      <w:r w:rsidR="00FA6897">
        <w:rPr>
          <w:rFonts w:ascii="Times New Roman" w:hAnsi="Times New Roman" w:cs="Times New Roman"/>
          <w:sz w:val="24"/>
          <w:szCs w:val="24"/>
        </w:rPr>
        <w:t>MR</w:t>
      </w:r>
      <w:r>
        <w:rPr>
          <w:rFonts w:ascii="Times New Roman" w:hAnsi="Times New Roman" w:cs="Times New Roman"/>
          <w:sz w:val="24"/>
          <w:szCs w:val="24"/>
        </w:rPr>
        <w:t xml:space="preserve">DP, ACP and POP </w:t>
      </w:r>
      <w:r w:rsidR="003F063B">
        <w:rPr>
          <w:rFonts w:ascii="Times New Roman" w:hAnsi="Times New Roman" w:cs="Times New Roman"/>
          <w:sz w:val="24"/>
          <w:szCs w:val="24"/>
        </w:rPr>
        <w:t xml:space="preserve">of </w:t>
      </w:r>
      <w:r>
        <w:rPr>
          <w:rFonts w:ascii="Times New Roman" w:hAnsi="Times New Roman" w:cs="Times New Roman"/>
          <w:sz w:val="24"/>
          <w:szCs w:val="24"/>
        </w:rPr>
        <w:t>the two largest hydropower dams, Yeywa and Shweli 1. These two dams have an installed capacity of 790</w:t>
      </w:r>
      <w:r w:rsidR="00F400EA">
        <w:rPr>
          <w:rFonts w:ascii="Times New Roman" w:hAnsi="Times New Roman" w:cs="Times New Roman"/>
          <w:sz w:val="24"/>
          <w:szCs w:val="24"/>
        </w:rPr>
        <w:t>MW</w:t>
      </w:r>
      <w:r>
        <w:rPr>
          <w:rFonts w:ascii="Times New Roman" w:hAnsi="Times New Roman" w:cs="Times New Roman"/>
          <w:sz w:val="24"/>
          <w:szCs w:val="24"/>
        </w:rPr>
        <w:t xml:space="preserve"> and 600</w:t>
      </w:r>
      <w:r w:rsidR="00F400EA">
        <w:rPr>
          <w:rFonts w:ascii="Times New Roman" w:hAnsi="Times New Roman" w:cs="Times New Roman"/>
          <w:sz w:val="24"/>
          <w:szCs w:val="24"/>
        </w:rPr>
        <w:t>MW</w:t>
      </w:r>
      <w:r>
        <w:rPr>
          <w:rFonts w:ascii="Times New Roman" w:hAnsi="Times New Roman" w:cs="Times New Roman"/>
          <w:sz w:val="24"/>
          <w:szCs w:val="24"/>
        </w:rPr>
        <w:t>, respectively, and are almost two to three times larger than the remaining three dams. The large amount of cement used in the construction phase of the plants can result in large emissions of GHGs and other atmospheric pollution</w:t>
      </w:r>
      <w:r w:rsidR="003F063B">
        <w:rPr>
          <w:rFonts w:ascii="Times New Roman" w:hAnsi="Times New Roman" w:cs="Times New Roman"/>
          <w:sz w:val="24"/>
          <w:szCs w:val="24"/>
        </w:rPr>
        <w:t>,</w:t>
      </w:r>
      <w:r>
        <w:rPr>
          <w:rFonts w:ascii="Times New Roman" w:hAnsi="Times New Roman" w:cs="Times New Roman"/>
          <w:sz w:val="24"/>
          <w:szCs w:val="24"/>
        </w:rPr>
        <w:t xml:space="preserve"> contributing greatly to GWP, ACP and POP. From a life-cycle perspective, this can be attributed to significant emission</w:t>
      </w:r>
      <w:r w:rsidR="002E1C4A">
        <w:rPr>
          <w:rFonts w:ascii="Times New Roman" w:hAnsi="Times New Roman" w:cs="Times New Roman"/>
          <w:sz w:val="24"/>
          <w:szCs w:val="24"/>
        </w:rPr>
        <w:t>s</w:t>
      </w:r>
      <w:r>
        <w:rPr>
          <w:rFonts w:ascii="Times New Roman" w:hAnsi="Times New Roman" w:cs="Times New Roman"/>
          <w:sz w:val="24"/>
          <w:szCs w:val="24"/>
        </w:rPr>
        <w:t xml:space="preserve"> per unit of cement process</w:t>
      </w:r>
      <w:r w:rsidR="00C2695F">
        <w:rPr>
          <w:rFonts w:ascii="Times New Roman" w:hAnsi="Times New Roman" w:cs="Times New Roman"/>
          <w:sz w:val="24"/>
          <w:szCs w:val="24"/>
        </w:rPr>
        <w:t>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{"citationItems":[{"id":"ITEM-1","itemData":{"author":[{"dropping-particle":"","family":"Mahasenan","given":"Natesan; Steve Smith and Kenneth Humphrey","non-dropping-particle":"","parse-names":false,"suffix":""}],"container-title":"Greenhouse Gas Control Technologies - 6th International Conference","id":"ITEM-1","issued":{"date-parts":[["2002"]]},"publisher-place":"Kyoto, Japan","title":"The Cement Industry and Global Climate Change: Current and Potential Future Cement Industry CO2 Emissions","type":"paper-conference"},"uris":["http://www.mendeley.com/documents/?uuid=f2f4f94d-64ab-4679-9510-4d1f5582a92e"]}],"mendeley":{"formattedCitation":"(Mahasenan, 2002)","manualFormatting":"(Mahasenan et.al,2002)","plainTextFormattedCitation":"(Mahasenan, 2002)","previouslyFormattedCitation":"(Mahasenan, 2002)"},"properties":{"noteIndex":0},"schema":"https://github.com/citation-style-language/schema/raw/master/csl-citation.json"}</w:instrText>
      </w:r>
      <w:r>
        <w:rPr>
          <w:rFonts w:ascii="Times New Roman" w:hAnsi="Times New Roman" w:cs="Times New Roman"/>
          <w:sz w:val="24"/>
          <w:szCs w:val="24"/>
        </w:rPr>
        <w:fldChar w:fldCharType="separate"/>
      </w:r>
      <w:r w:rsidRPr="008D22BF">
        <w:rPr>
          <w:rFonts w:ascii="Times New Roman" w:hAnsi="Times New Roman" w:cs="Times New Roman"/>
          <w:noProof/>
          <w:sz w:val="24"/>
          <w:szCs w:val="24"/>
        </w:rPr>
        <w:t>(Mahasenan</w:t>
      </w:r>
      <w:r>
        <w:rPr>
          <w:rFonts w:ascii="Times New Roman" w:hAnsi="Times New Roman" w:cs="Times New Roman"/>
          <w:noProof/>
          <w:sz w:val="24"/>
          <w:szCs w:val="24"/>
        </w:rPr>
        <w:t xml:space="preserve"> et.al,</w:t>
      </w:r>
      <w:r w:rsidRPr="008D22BF">
        <w:rPr>
          <w:rFonts w:ascii="Times New Roman" w:hAnsi="Times New Roman" w:cs="Times New Roman"/>
          <w:noProof/>
          <w:sz w:val="24"/>
          <w:szCs w:val="24"/>
        </w:rPr>
        <w:t>2002)</w:t>
      </w:r>
      <w:r>
        <w:rPr>
          <w:rFonts w:ascii="Times New Roman" w:hAnsi="Times New Roman" w:cs="Times New Roman"/>
          <w:sz w:val="24"/>
          <w:szCs w:val="24"/>
        </w:rPr>
        <w:fldChar w:fldCharType="end"/>
      </w:r>
      <w:r>
        <w:rPr>
          <w:rFonts w:ascii="Times New Roman" w:hAnsi="Times New Roman" w:cs="Times New Roman"/>
          <w:sz w:val="24"/>
          <w:szCs w:val="24"/>
        </w:rPr>
        <w:t>. The production of cement can lead to the release of significant amount</w:t>
      </w:r>
      <w:r w:rsidR="00C2695F">
        <w:rPr>
          <w:rFonts w:ascii="Times New Roman" w:hAnsi="Times New Roman" w:cs="Times New Roman"/>
          <w:sz w:val="24"/>
          <w:szCs w:val="24"/>
        </w:rPr>
        <w:t>s</w:t>
      </w:r>
      <w:r>
        <w:rPr>
          <w:rFonts w:ascii="Times New Roman" w:hAnsi="Times New Roman" w:cs="Times New Roman"/>
          <w:sz w:val="24"/>
          <w:szCs w:val="24"/>
        </w:rPr>
        <w:t xml:space="preserve"> of GHGs and CO</w:t>
      </w:r>
      <w:r w:rsidRPr="00712C44">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fldChar w:fldCharType="begin" w:fldLock="1"/>
      </w:r>
      <w:r>
        <w:rPr>
          <w:rFonts w:ascii="Times New Roman" w:hAnsi="Times New Roman" w:cs="Times New Roman"/>
          <w:sz w:val="24"/>
          <w:szCs w:val="24"/>
          <w:vertAlign w:val="subscript"/>
        </w:rPr>
        <w:instrText>ADDIN CSL_CITATION {"citationItems":[{"id":"ITEM-1","itemData":{"DOI":"10.1680/asic.34044.0017","ISBN":"9780415446891","abstract":"Sustainability is important to the well-being of our planet, continued growth of a society, and human development. Concrete is one of the most widely used construction materials in the world. However, the production of portland cement, an essential constituent of concrete, leads to the release of significant amount of CO 2, a greenhouse gas (GHG); production of one ton of portland cement produces about one ton of CO 2 and other GHGs. The environmental issues associated with GHGs, in addition to natural resources issues, will play a leading role in the sustainable development of the cement and concrete industry during this century. For example, as the supply of good-quality limestone to produce cement decreases it will become more difficult to produce adequate amounts of portland cement for construction. There is a possibility that once there is no more limestone, say in a geographical region, and thus no portland cement, all of the employment associated with the concrete industry as well as new construction projects will be terminated. Due to limited natural resources, concern over GHGs, or, both, there are regions in the world where cement production is being curtailed, or, at least, cannot be increased to keep up with the population increase. Therefore, it is necessary to look for sustainable solutions for future concrete construction. A sustainable concrete structure is constructed in order to ensure that the total environmental impact during its life cycle, including its use, will be minimal. Sustainable concrete should have a very low inherent energy requirement, be produced with little waste, be made from some of the most plentiful resources on earth, produce durable structures, have a very high thermal mass, and be made with recycled materials. Sustainable constructions have a small impact on the environment. They use \"green\" materials, which have low energy costs, high durability, low maintenance requirements, and contain a large proportion of recycled or recyclable materials. Green materials also use less energy and resources, and can lead to highperformance cements and concrete. Concrete must keep evolving to satisfy the increasing demands of all of its users. Designing for sustainability means accounting for the short-term and long-term environmental consequences in the design. © 2007 Taylor &amp; Francis Group, London.","author":[{"dropping-particle":"","family":"Naik","given":"T. R.","non-dropping-particle":"","parse-names":false,"suffix":""}],"container-title":"Sustainable Construction Materials and Technologies - International Conference on Sustainable Construction Materials and Technologies","id":"ITEM-1","issued":{"date-parts":[["2007"]]},"page":"19-25","title":"Sustainability of the cement and concrete industries","type":"paper-conference"},"uris":["http://www.mendeley.com/documents/?uuid=e61f72db-56f9-4940-92d4-f00831e2507e"]}],"mendeley":{"formattedCitation":"(Naik, 2007)","plainTextFormattedCitation":"(Naik, 2007)","previouslyFormattedCitation":"(Naik, 2007)"},"properties":{"noteIndex":0},"schema":"https://github.com/citation-style-language/schema/raw/master/csl-citation.json"}</w:instrText>
      </w:r>
      <w:r>
        <w:rPr>
          <w:rFonts w:ascii="Times New Roman" w:hAnsi="Times New Roman" w:cs="Times New Roman"/>
          <w:sz w:val="24"/>
          <w:szCs w:val="24"/>
          <w:vertAlign w:val="subscript"/>
        </w:rPr>
        <w:fldChar w:fldCharType="separate"/>
      </w:r>
      <w:r w:rsidRPr="008D131D">
        <w:rPr>
          <w:rFonts w:ascii="Times New Roman" w:hAnsi="Times New Roman" w:cs="Times New Roman"/>
          <w:noProof/>
          <w:sz w:val="24"/>
          <w:szCs w:val="24"/>
        </w:rPr>
        <w:t>(Naik, 2007)</w:t>
      </w:r>
      <w:r>
        <w:rPr>
          <w:rFonts w:ascii="Times New Roman" w:hAnsi="Times New Roman" w:cs="Times New Roman"/>
          <w:sz w:val="24"/>
          <w:szCs w:val="24"/>
          <w:vertAlign w:val="subscript"/>
        </w:rPr>
        <w:fldChar w:fldCharType="end"/>
      </w:r>
      <w:r>
        <w:rPr>
          <w:rFonts w:ascii="Times New Roman" w:hAnsi="Times New Roman" w:cs="Times New Roman"/>
          <w:sz w:val="24"/>
          <w:szCs w:val="24"/>
        </w:rPr>
        <w:t xml:space="preserve">. The extensive </w:t>
      </w:r>
      <w:r w:rsidR="00ED055F">
        <w:rPr>
          <w:rFonts w:ascii="Times New Roman" w:hAnsi="Times New Roman" w:cs="Times New Roman"/>
          <w:sz w:val="24"/>
          <w:szCs w:val="24"/>
        </w:rPr>
        <w:t>mineral resource</w:t>
      </w:r>
      <w:r w:rsidR="00ED055F" w:rsidDel="00ED055F">
        <w:rPr>
          <w:rFonts w:ascii="Times New Roman" w:hAnsi="Times New Roman" w:cs="Times New Roman"/>
          <w:sz w:val="24"/>
          <w:szCs w:val="24"/>
        </w:rPr>
        <w:t xml:space="preserve"> </w:t>
      </w:r>
      <w:r>
        <w:rPr>
          <w:rFonts w:ascii="Times New Roman" w:hAnsi="Times New Roman" w:cs="Times New Roman"/>
          <w:sz w:val="24"/>
          <w:szCs w:val="24"/>
        </w:rPr>
        <w:t>depletion (</w:t>
      </w:r>
      <w:r w:rsidR="00ED055F">
        <w:rPr>
          <w:rFonts w:ascii="Times New Roman" w:hAnsi="Times New Roman" w:cs="Times New Roman"/>
          <w:sz w:val="24"/>
          <w:szCs w:val="24"/>
        </w:rPr>
        <w:t>MR</w:t>
      </w:r>
      <w:r w:rsidR="004D6F5F">
        <w:rPr>
          <w:rFonts w:ascii="Times New Roman" w:hAnsi="Times New Roman" w:cs="Times New Roman"/>
          <w:sz w:val="24"/>
          <w:szCs w:val="24"/>
        </w:rPr>
        <w:t>D</w:t>
      </w:r>
      <w:r>
        <w:rPr>
          <w:rFonts w:ascii="Times New Roman" w:hAnsi="Times New Roman" w:cs="Times New Roman"/>
          <w:sz w:val="24"/>
          <w:szCs w:val="24"/>
        </w:rPr>
        <w:t>P) occurr</w:t>
      </w:r>
      <w:r w:rsidR="002E1C4A">
        <w:rPr>
          <w:rFonts w:ascii="Times New Roman" w:hAnsi="Times New Roman" w:cs="Times New Roman"/>
          <w:sz w:val="24"/>
          <w:szCs w:val="24"/>
        </w:rPr>
        <w:t>s</w:t>
      </w:r>
      <w:r>
        <w:rPr>
          <w:rFonts w:ascii="Times New Roman" w:hAnsi="Times New Roman" w:cs="Times New Roman"/>
          <w:sz w:val="24"/>
          <w:szCs w:val="24"/>
        </w:rPr>
        <w:t xml:space="preserve"> due to </w:t>
      </w:r>
      <w:r w:rsidR="00C2695F">
        <w:rPr>
          <w:rFonts w:ascii="Times New Roman" w:hAnsi="Times New Roman" w:cs="Times New Roman"/>
          <w:sz w:val="24"/>
          <w:szCs w:val="24"/>
        </w:rPr>
        <w:t xml:space="preserve">using </w:t>
      </w:r>
      <w:r>
        <w:rPr>
          <w:rFonts w:ascii="Times New Roman" w:hAnsi="Times New Roman" w:cs="Times New Roman"/>
          <w:sz w:val="24"/>
          <w:szCs w:val="24"/>
        </w:rPr>
        <w:t xml:space="preserve">large </w:t>
      </w:r>
      <w:r w:rsidR="00C2695F">
        <w:rPr>
          <w:rFonts w:ascii="Times New Roman" w:hAnsi="Times New Roman" w:cs="Times New Roman"/>
          <w:sz w:val="24"/>
          <w:szCs w:val="24"/>
        </w:rPr>
        <w:t xml:space="preserve">amounts </w:t>
      </w:r>
      <w:r>
        <w:rPr>
          <w:rFonts w:ascii="Times New Roman" w:hAnsi="Times New Roman" w:cs="Times New Roman"/>
          <w:sz w:val="24"/>
          <w:szCs w:val="24"/>
        </w:rPr>
        <w:t>of raw materials</w:t>
      </w:r>
      <w:r w:rsidR="00C2695F">
        <w:rPr>
          <w:rFonts w:ascii="Times New Roman" w:hAnsi="Times New Roman" w:cs="Times New Roman"/>
          <w:sz w:val="24"/>
          <w:szCs w:val="24"/>
        </w:rPr>
        <w:t>,</w:t>
      </w:r>
      <w:r>
        <w:rPr>
          <w:rFonts w:ascii="Times New Roman" w:hAnsi="Times New Roman" w:cs="Times New Roman"/>
          <w:sz w:val="24"/>
          <w:szCs w:val="24"/>
        </w:rPr>
        <w:t xml:space="preserve"> such as limestones, clay and water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{"citationItems":[{"id":"ITEM-1","itemData":{"abstract":"All around the globe the consumption of raw materials by the construction industries is accumulating day by day resulting with an depletion of natural resources, increasing the environmental impacts and CO2 emissions all over the surroundings. Today steel and concrete are widely used and are dominating construction materials in construction industry. These two construction materials are different products and have distinct production flow with significant impact on the environment. The amount of embodied energy and operational energy which is consumed in the process of production, recycling and reuse are becoming increasingly more important in the construction industries due to the potential shortage of natural resources in the near by future and due to the inflation in the energy prices.","author":[{"dropping-particle":"","family":"Kare","given":"Sridhar","non-dropping-particle":"","parse-names":false,"suffix":""},{"dropping-particle":"","family":"Lomite","given":"Heera","non-dropping-particle":"","parse-names":false,"suffix":""}],"id":"ITEM-1","issue":"1","issued":{"date-parts":[["2009"]]},"number-of-pages":"66","title":"Impact of Construction Material on Environment-(Steel &amp; Concrete)","type":"report"},"uris":["http://www.mendeley.com/documents/?uuid=61e2de27-3f61-47ed-8efc-0ed5750492de"]}],"mendeley":{"formattedCitation":"(Kare &amp; Lomite, 2009)","plainTextFormattedCitation":"(Kare &amp; Lomite, 2009)","previouslyFormattedCitation":"(Kare &amp; Lomite, 2009)"},"properties":{"noteIndex":0},"schema":"https://github.com/citation-style-language/schema/raw/master/csl-citation.json"}</w:instrText>
      </w:r>
      <w:r>
        <w:rPr>
          <w:rFonts w:ascii="Times New Roman" w:hAnsi="Times New Roman" w:cs="Times New Roman"/>
          <w:sz w:val="24"/>
          <w:szCs w:val="24"/>
        </w:rPr>
        <w:fldChar w:fldCharType="separate"/>
      </w:r>
      <w:r w:rsidRPr="00302621">
        <w:rPr>
          <w:rFonts w:ascii="Times New Roman" w:hAnsi="Times New Roman" w:cs="Times New Roman"/>
          <w:noProof/>
          <w:sz w:val="24"/>
          <w:szCs w:val="24"/>
        </w:rPr>
        <w:t>(Kare &amp; Lomite, 2009)</w:t>
      </w:r>
      <w:r>
        <w:rPr>
          <w:rFonts w:ascii="Times New Roman" w:hAnsi="Times New Roman" w:cs="Times New Roman"/>
          <w:sz w:val="24"/>
          <w:szCs w:val="24"/>
        </w:rPr>
        <w:fldChar w:fldCharType="end"/>
      </w:r>
      <w:r>
        <w:rPr>
          <w:rFonts w:ascii="Times New Roman" w:hAnsi="Times New Roman" w:cs="Times New Roman"/>
          <w:sz w:val="24"/>
          <w:szCs w:val="24"/>
        </w:rPr>
        <w:t>. Furthermore, direct emissions from cement production, especially SO</w:t>
      </w:r>
      <w:r w:rsidRPr="00712C44">
        <w:rPr>
          <w:rFonts w:ascii="Times New Roman" w:hAnsi="Times New Roman" w:cs="Times New Roman"/>
          <w:sz w:val="24"/>
          <w:szCs w:val="24"/>
          <w:vertAlign w:val="subscript"/>
        </w:rPr>
        <w:t>x</w:t>
      </w:r>
      <w:r>
        <w:rPr>
          <w:rFonts w:ascii="Times New Roman" w:hAnsi="Times New Roman" w:cs="Times New Roman"/>
          <w:sz w:val="24"/>
          <w:szCs w:val="24"/>
        </w:rPr>
        <w:t>, NH</w:t>
      </w:r>
      <w:r w:rsidRPr="00712C44">
        <w:rPr>
          <w:rFonts w:ascii="Times New Roman" w:hAnsi="Times New Roman" w:cs="Times New Roman"/>
          <w:sz w:val="24"/>
          <w:szCs w:val="24"/>
          <w:vertAlign w:val="subscript"/>
        </w:rPr>
        <w:t>3</w:t>
      </w:r>
      <w:r>
        <w:rPr>
          <w:rFonts w:ascii="Times New Roman" w:hAnsi="Times New Roman" w:cs="Times New Roman"/>
          <w:sz w:val="24"/>
          <w:szCs w:val="24"/>
        </w:rPr>
        <w:t>, N</w:t>
      </w:r>
      <w:r w:rsidRPr="00712C44">
        <w:rPr>
          <w:rFonts w:ascii="Times New Roman" w:hAnsi="Times New Roman" w:cs="Times New Roman"/>
          <w:sz w:val="24"/>
          <w:szCs w:val="24"/>
          <w:vertAlign w:val="subscript"/>
        </w:rPr>
        <w:t>2</w:t>
      </w:r>
      <w:r>
        <w:rPr>
          <w:rFonts w:ascii="Times New Roman" w:hAnsi="Times New Roman" w:cs="Times New Roman"/>
          <w:sz w:val="24"/>
          <w:szCs w:val="24"/>
        </w:rPr>
        <w:t>O, SO</w:t>
      </w:r>
      <w:r w:rsidRPr="00712C44">
        <w:rPr>
          <w:rFonts w:ascii="Times New Roman" w:hAnsi="Times New Roman" w:cs="Times New Roman"/>
          <w:sz w:val="24"/>
          <w:szCs w:val="24"/>
          <w:vertAlign w:val="subscript"/>
        </w:rPr>
        <w:t>2</w:t>
      </w:r>
      <w:r>
        <w:rPr>
          <w:rFonts w:ascii="Times New Roman" w:hAnsi="Times New Roman" w:cs="Times New Roman"/>
          <w:sz w:val="24"/>
          <w:szCs w:val="24"/>
        </w:rPr>
        <w:t xml:space="preserve"> and NO</w:t>
      </w:r>
      <w:r w:rsidRPr="00712C44">
        <w:rPr>
          <w:rFonts w:ascii="Times New Roman" w:hAnsi="Times New Roman" w:cs="Times New Roman"/>
          <w:sz w:val="24"/>
          <w:szCs w:val="24"/>
          <w:vertAlign w:val="subscript"/>
        </w:rPr>
        <w:t>x</w:t>
      </w:r>
      <w:r>
        <w:rPr>
          <w:rFonts w:ascii="Times New Roman" w:hAnsi="Times New Roman" w:cs="Times New Roman"/>
          <w:sz w:val="24"/>
          <w:szCs w:val="24"/>
        </w:rPr>
        <w:t xml:space="preserve">, result in acidification (ACP) </w:t>
      </w:r>
      <w:r>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{"citationItems":[{"id":"ITEM-1","itemData":{"DOI":"10.1016/j.jclepro.2009.12.014","ISSN":"09596526","abstract":"This study evaluates the environmental impact of the cement production and its variations between different cement plants, using Life Cycle Impact Assessment. For that purpose, details of the cement production processes are investigated in order to show the respective part of raw materials preparation and clinker production using environmental impacts calculated with CML01 indicators. For the kiln emission data, a European pollutant emission register for French intensive industries is used to quantify the variability of indicators between cement plants. For the CML01 indicators that are controlled by kiln emissions, some of them (i.e. global warming, photochemical oxidation) show variations between cement plants between 20 and 30%, as for other (i.e. acidification, eutrophication, terrestrial ecotoxicity) variations are greater than 40% due to the lack of accurate measurements on both pollutant content and annual flow. Finally, a normalisation, using Western Europe yearly emissions is performed and permits to highlight among all the CML01 indicators which ones are the main impacts for the cement production. Abiotic depletion, global warming, acidification and marine ecotoxicity are the four identified impacts. © 2009 Elsevier Ltd. All rights reserved.","author":[{"dropping-particle":"","family":"Chen","given":"C.","non-dropping-particle":"","parse-names":false,"suffix":""},{"dropping-particle":"","family":"Habert","given":"G.","non-dropping-particle":"","parse-names":false,"suffix":""},{"dropping-particle":"","family":"Bouzidi","given":"Y.","non-dropping-particle":"","parse-names":false,"suffix":""},{"dropping-particle":"","family":"Jullien","given":"A.","non-dropping-particle":"","parse-names":false,"suffix":""}],"container-title":"Journal of Cleaner Production","id":"ITEM-1","issue":"5","issued":{"date-parts":[["2010"]]},"page":"478-485","publisher":"Elsevier Ltd","title":"Environmental impact of cement production: detail of the different processes and cement plant variability evaluation","type":"article-journal","volume":"18"},"uris":["http://www.mendeley.com/documents/?uuid=0dabfb2a-166d-40cd-a398-1584f79f63b3"]}],"mendeley":{"formattedCitation":"(Chen et al., 2010)","manualFormatting":"(Chen et al., 2010)","plainTextFormattedCitation":"(Chen et al., 2010)","previouslyFormattedCitation":"(Chen et al., 2010)"},"properties":{"noteIndex":0},"schema":"https://github.com/citation-style-language/schema/raw/master/csl-citation.json"}</w:instrText>
      </w:r>
      <w:r>
        <w:rPr>
          <w:rFonts w:ascii="Times New Roman" w:hAnsi="Times New Roman" w:cs="Times New Roman"/>
          <w:sz w:val="24"/>
          <w:szCs w:val="24"/>
        </w:rPr>
        <w:fldChar w:fldCharType="separate"/>
      </w:r>
      <w:r w:rsidRPr="000A0722">
        <w:rPr>
          <w:rFonts w:ascii="Times New Roman" w:hAnsi="Times New Roman" w:cs="Times New Roman"/>
          <w:noProof/>
          <w:sz w:val="24"/>
          <w:szCs w:val="24"/>
        </w:rPr>
        <w:t xml:space="preserve">(Chen </w:t>
      </w:r>
      <w:r>
        <w:rPr>
          <w:rFonts w:ascii="Times New Roman" w:hAnsi="Times New Roman" w:cs="Times New Roman"/>
          <w:noProof/>
          <w:sz w:val="24"/>
          <w:szCs w:val="24"/>
        </w:rPr>
        <w:t>et al.</w:t>
      </w:r>
      <w:r w:rsidRPr="000A0722">
        <w:rPr>
          <w:rFonts w:ascii="Times New Roman" w:hAnsi="Times New Roman" w:cs="Times New Roman"/>
          <w:noProof/>
          <w:sz w:val="24"/>
          <w:szCs w:val="24"/>
        </w:rPr>
        <w:t>, 2010)</w:t>
      </w:r>
      <w:r>
        <w:rPr>
          <w:rFonts w:ascii="Times New Roman" w:hAnsi="Times New Roman" w:cs="Times New Roman"/>
          <w:sz w:val="24"/>
          <w:szCs w:val="24"/>
        </w:rPr>
        <w:fldChar w:fldCharType="end"/>
      </w:r>
      <w:r>
        <w:rPr>
          <w:rFonts w:ascii="Times New Roman" w:hAnsi="Times New Roman" w:cs="Times New Roman"/>
          <w:sz w:val="24"/>
          <w:szCs w:val="24"/>
        </w:rPr>
        <w:t>. In this regard, the environmental burdens from cement use are similar in both, large and smal</w:t>
      </w:r>
      <w:r w:rsidR="00FF7E05">
        <w:rPr>
          <w:rFonts w:ascii="Times New Roman" w:hAnsi="Times New Roman" w:cs="Times New Roman"/>
          <w:sz w:val="24"/>
          <w:szCs w:val="24"/>
        </w:rPr>
        <w:t>l</w:t>
      </w:r>
      <w:r>
        <w:rPr>
          <w:rFonts w:ascii="Times New Roman" w:hAnsi="Times New Roman" w:cs="Times New Roman"/>
          <w:sz w:val="24"/>
          <w:szCs w:val="24"/>
        </w:rPr>
        <w:t xml:space="preserve"> dams, regardless of the construction complexity of larger dams. In Paung Laung</w:t>
      </w:r>
      <w:r w:rsidR="008602F9">
        <w:rPr>
          <w:rFonts w:ascii="Times New Roman" w:hAnsi="Times New Roman" w:cs="Times New Roman"/>
          <w:sz w:val="24"/>
          <w:szCs w:val="24"/>
        </w:rPr>
        <w:t xml:space="preserve"> </w:t>
      </w:r>
      <w:r>
        <w:rPr>
          <w:rFonts w:ascii="Times New Roman" w:hAnsi="Times New Roman" w:cs="Times New Roman"/>
          <w:sz w:val="24"/>
          <w:szCs w:val="24"/>
        </w:rPr>
        <w:t xml:space="preserve">(lower), Dapein 1 and Thuk Ye Khat 2, cement </w:t>
      </w:r>
      <w:r w:rsidR="00C2695F">
        <w:rPr>
          <w:rFonts w:ascii="Times New Roman" w:hAnsi="Times New Roman" w:cs="Times New Roman"/>
          <w:sz w:val="24"/>
          <w:szCs w:val="24"/>
        </w:rPr>
        <w:t xml:space="preserve">is </w:t>
      </w:r>
      <w:r>
        <w:rPr>
          <w:rFonts w:ascii="Times New Roman" w:hAnsi="Times New Roman" w:cs="Times New Roman"/>
          <w:sz w:val="24"/>
          <w:szCs w:val="24"/>
        </w:rPr>
        <w:t xml:space="preserve">mostly responsible for GWP, </w:t>
      </w:r>
      <w:r w:rsidR="00FA6897">
        <w:rPr>
          <w:rFonts w:ascii="Times New Roman" w:hAnsi="Times New Roman" w:cs="Times New Roman"/>
          <w:sz w:val="24"/>
          <w:szCs w:val="24"/>
        </w:rPr>
        <w:t>MR</w:t>
      </w:r>
      <w:r>
        <w:rPr>
          <w:rFonts w:ascii="Times New Roman" w:hAnsi="Times New Roman" w:cs="Times New Roman"/>
          <w:sz w:val="24"/>
          <w:szCs w:val="24"/>
        </w:rPr>
        <w:t>DP and ACP</w:t>
      </w:r>
      <w:r w:rsidR="00C2695F">
        <w:rPr>
          <w:rFonts w:ascii="Times New Roman" w:hAnsi="Times New Roman" w:cs="Times New Roman"/>
          <w:sz w:val="24"/>
          <w:szCs w:val="24"/>
        </w:rPr>
        <w:t>,</w:t>
      </w:r>
      <w:r>
        <w:rPr>
          <w:rFonts w:ascii="Times New Roman" w:hAnsi="Times New Roman" w:cs="Times New Roman"/>
          <w:sz w:val="24"/>
          <w:szCs w:val="24"/>
        </w:rPr>
        <w:t xml:space="preserve"> but the contribution of diesel fuel is highest for POP. This variability can be due to the lower fuel efficiency associated with smaller dams</w:t>
      </w:r>
      <w:r w:rsidR="00FF7E05">
        <w:rPr>
          <w:rFonts w:ascii="Times New Roman" w:hAnsi="Times New Roman" w:cs="Times New Roman"/>
          <w:sz w:val="24"/>
          <w:szCs w:val="24"/>
        </w:rPr>
        <w:t xml:space="preserve"> </w:t>
      </w:r>
      <w:r>
        <w:rPr>
          <w:rStyle w:val="FootnoteReference"/>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{"citationItems":[{"id":"ITEM-1","itemData":{"author":[{"dropping-particle":"","family":"Rao","given":"R. Vidyasagar","non-dropping-particle":"","parse-names":false,"suffix":""}],"container-title":"International Journal of Water Resources Development","id":"ITEM-1","issue":"2","issued":{"date-parts":[["1989"]]},"title":"Large and small dams","type":"article-journal","volume":"5"},"uris":["http://www.mendeley.com/documents/?uuid=c68b0527-35b4-49ce-a2b2-33ae42e2aa4b"]}],"mendeley":{"formattedCitation":"(Rao, 1989)","plainTextFormattedCitation":"(Rao, 1989)","previouslyFormattedCitation":"(Rao, 1989)"},"properties":{"noteIndex":0},"schema":"https://github.com/citation-style-language/schema/raw/master/csl-citation.json"}</w:instrText>
      </w:r>
      <w:r>
        <w:rPr>
          <w:rStyle w:val="FootnoteReference"/>
          <w:rFonts w:ascii="Times New Roman" w:hAnsi="Times New Roman" w:cs="Times New Roman"/>
          <w:sz w:val="24"/>
          <w:szCs w:val="24"/>
        </w:rPr>
        <w:fldChar w:fldCharType="separate"/>
      </w:r>
      <w:r w:rsidRPr="00862385">
        <w:rPr>
          <w:rFonts w:ascii="Times New Roman" w:hAnsi="Times New Roman" w:cs="Times New Roman"/>
          <w:noProof/>
          <w:sz w:val="24"/>
          <w:szCs w:val="24"/>
        </w:rPr>
        <w:t>(Rao, 1989)</w:t>
      </w:r>
      <w:r>
        <w:rPr>
          <w:rStyle w:val="FootnoteReference"/>
          <w:rFonts w:ascii="Times New Roman" w:hAnsi="Times New Roman" w:cs="Times New Roman"/>
          <w:sz w:val="24"/>
          <w:szCs w:val="24"/>
        </w:rPr>
        <w:fldChar w:fldCharType="end"/>
      </w:r>
      <w:r>
        <w:rPr>
          <w:rFonts w:ascii="Times New Roman" w:hAnsi="Times New Roman" w:cs="Times New Roman"/>
          <w:sz w:val="24"/>
          <w:szCs w:val="24"/>
        </w:rPr>
        <w:t xml:space="preserve">. </w:t>
      </w:r>
      <w:r w:rsidR="00C2695F">
        <w:rPr>
          <w:rFonts w:ascii="Times New Roman" w:hAnsi="Times New Roman" w:cs="Times New Roman"/>
          <w:sz w:val="24"/>
          <w:szCs w:val="24"/>
        </w:rPr>
        <w:t>I</w:t>
      </w:r>
      <w:r>
        <w:rPr>
          <w:rFonts w:ascii="Times New Roman" w:hAnsi="Times New Roman" w:cs="Times New Roman"/>
          <w:sz w:val="24"/>
          <w:szCs w:val="24"/>
        </w:rPr>
        <w:t>nventory data show that diesel fuel consumption in smaller dams is similar or even higher than that of the larger dams (See table 3). POP is measured in LCIA to address the “photo-oxidant formation” impact category and provide</w:t>
      </w:r>
      <w:r w:rsidR="008602F9">
        <w:rPr>
          <w:rFonts w:ascii="Times New Roman" w:hAnsi="Times New Roman" w:cs="Times New Roman"/>
          <w:sz w:val="24"/>
          <w:szCs w:val="24"/>
        </w:rPr>
        <w:t>s</w:t>
      </w:r>
      <w:r>
        <w:rPr>
          <w:rFonts w:ascii="Times New Roman" w:hAnsi="Times New Roman" w:cs="Times New Roman"/>
          <w:sz w:val="24"/>
          <w:szCs w:val="24"/>
        </w:rPr>
        <w:t xml:space="preserve"> factors for volatile organic compounds (VOC)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{"citationItems":[{"id":"ITEM-1","itemData":{"author":[{"dropping-particle":"","family":"Eric Labouze, Cécile Honoré, Lamya Moulay","given":"Bénédicte Couffignal and Matthias Beekmann","non-dropping-particle":"","parse-names":false,"suffix":""}],"container-title":"The International Journal of Life Cycle Assessment","id":"ITEM-1","issue":"3","issued":{"date-parts":[["2004"]]},"title":"Photochemical ozone creation potentials","type":"article-journal","volume":"9"},"uris":["http://www.mendeley.com/documents/?uuid=3cfccc0e-6843-44f6-b068-0b5f5ea68c4b"]}],"mendeley":{"formattedCitation":"(Eric Labouze, Cécile Honoré, Lamya Moulay, 2004)","manualFormatting":" Labouze et al., 2004)","plainTextFormattedCitation":"(Eric Labouze, Cécile Honoré, Lamya Moulay, 2004)","previouslyFormattedCitation":"(Eric Labouze, Cécile Honoré, Lamya Moulay, 2004)"},"properties":{"noteIndex":0},"schema":"https://github.com/citation-style-language/schema/raw/master/csl-citation.json"}</w:instrText>
      </w:r>
      <w:r>
        <w:rPr>
          <w:rFonts w:ascii="Times New Roman" w:hAnsi="Times New Roman" w:cs="Times New Roman"/>
          <w:sz w:val="24"/>
          <w:szCs w:val="24"/>
        </w:rPr>
        <w:fldChar w:fldCharType="separate"/>
      </w:r>
      <w:r w:rsidRPr="00294F19">
        <w:rPr>
          <w:rFonts w:ascii="Times New Roman" w:hAnsi="Times New Roman" w:cs="Times New Roman"/>
          <w:noProof/>
          <w:sz w:val="24"/>
          <w:szCs w:val="24"/>
        </w:rPr>
        <w:t xml:space="preserve"> Labouze</w:t>
      </w:r>
      <w:r>
        <w:rPr>
          <w:rFonts w:ascii="Times New Roman" w:hAnsi="Times New Roman" w:cs="Times New Roman"/>
          <w:noProof/>
          <w:sz w:val="24"/>
          <w:szCs w:val="24"/>
        </w:rPr>
        <w:t xml:space="preserve"> et al.</w:t>
      </w:r>
      <w:r w:rsidRPr="00294F19">
        <w:rPr>
          <w:rFonts w:ascii="Times New Roman" w:hAnsi="Times New Roman" w:cs="Times New Roman"/>
          <w:noProof/>
          <w:sz w:val="24"/>
          <w:szCs w:val="24"/>
        </w:rPr>
        <w:t>, 2004)</w:t>
      </w:r>
      <w:r>
        <w:rPr>
          <w:rFonts w:ascii="Times New Roman" w:hAnsi="Times New Roman" w:cs="Times New Roman"/>
          <w:sz w:val="24"/>
          <w:szCs w:val="24"/>
        </w:rPr>
        <w:fldChar w:fldCharType="end"/>
      </w:r>
      <w:r>
        <w:rPr>
          <w:rFonts w:ascii="Times New Roman" w:hAnsi="Times New Roman" w:cs="Times New Roman"/>
          <w:sz w:val="24"/>
          <w:szCs w:val="24"/>
        </w:rPr>
        <w:t xml:space="preserve">. VOC are considered an environmental concern because of their important contribution in the formation of photochemical oxidants, particularly ozone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10473289.1992.10467060","author":[{"dropping-particle":"","family":"Andersson-sköld","given":"Yvonne","non-dropping-particle":"","parse-names":false,"suffix":""},{"dropping-particle":"","family":"Grennfelt","given":"Peringe","non-dropping-particle":"","parse-names":false,"suffix":""},{"dropping-particle":"","family":"Pleijel","given":"Karin","non-dropping-particle":"","parse-names":false,"suffix":""},{"dropping-particle":"","family":"Andersson-skold","given":"Yvonne","non-dropping-particle":"","parse-names":false,"suffix":""},{"dropping-particle":"","family":"Grennfelt","given":"Peringe","non-dropping-particle":"","parse-names":false,"suffix":""},{"dropping-particle":"","family":"Pleijel","given":"Karin","non-dropping-particle":"","parse-names":false,"suffix":""}],"id":"ITEM-1","issued":{"date-parts":[["2012"]]},"title":"Photochemical Ozone Creation Potentials : A study of Different Concepts","type":"article-journal","volume":"3289"},"uris":["http://www.mendeley.com/documents/?uuid=6697bd5b-207a-4df8-80ca-3bac6501d88f"]}],"mendeley":{"formattedCitation":"(Andersson-sköld et al., 2012)","plainTextFormattedCitation":"(Andersson-sköld et al., 2012)","previouslyFormattedCitation":"(Andersson-sköld et al., 2012)"},"properties":{"noteIndex":0},"schema":"https://github.com/citation-style-language/schema/raw/master/csl-citation.json"}</w:instrText>
      </w:r>
      <w:r>
        <w:rPr>
          <w:rFonts w:ascii="Times New Roman" w:hAnsi="Times New Roman" w:cs="Times New Roman"/>
          <w:sz w:val="24"/>
          <w:szCs w:val="24"/>
        </w:rPr>
        <w:fldChar w:fldCharType="separate"/>
      </w:r>
      <w:r w:rsidRPr="00004679">
        <w:rPr>
          <w:rFonts w:ascii="Times New Roman" w:hAnsi="Times New Roman" w:cs="Times New Roman"/>
          <w:noProof/>
          <w:sz w:val="24"/>
          <w:szCs w:val="24"/>
        </w:rPr>
        <w:t>(Andersson-sköld et al., 2012)</w:t>
      </w:r>
      <w:r>
        <w:rPr>
          <w:rFonts w:ascii="Times New Roman" w:hAnsi="Times New Roman" w:cs="Times New Roman"/>
          <w:sz w:val="24"/>
          <w:szCs w:val="24"/>
        </w:rPr>
        <w:fldChar w:fldCharType="end"/>
      </w:r>
      <w:r>
        <w:rPr>
          <w:rFonts w:ascii="Times New Roman" w:hAnsi="Times New Roman" w:cs="Times New Roman"/>
          <w:sz w:val="24"/>
          <w:szCs w:val="24"/>
        </w:rPr>
        <w:t xml:space="preserve">. The combustion of diesel fuel can be significant in VOC emissions from these plants. </w:t>
      </w:r>
    </w:p>
    <w:p w14:paraId="4DD775D0" w14:textId="23480FF7" w:rsidR="00CC50F0" w:rsidRDefault="005964AE" w:rsidP="004F2BB1">
      <w:pPr>
        <w:spacing w:line="240" w:lineRule="auto"/>
        <w:rPr>
          <w:rFonts w:ascii="Times New Roman" w:hAnsi="Times New Roman" w:cs="Times New Roman"/>
          <w:iCs/>
          <w:sz w:val="24"/>
          <w:szCs w:val="24"/>
        </w:rPr>
      </w:pPr>
      <w:r>
        <w:rPr>
          <w:rFonts w:ascii="Times New Roman" w:hAnsi="Times New Roman" w:cs="Times New Roman"/>
          <w:sz w:val="24"/>
          <w:szCs w:val="24"/>
        </w:rPr>
        <w:t xml:space="preserve">Cement and diesel fuel are the main sources of ETP </w:t>
      </w:r>
      <w:r w:rsidR="000303A8">
        <w:rPr>
          <w:rFonts w:ascii="Times New Roman" w:hAnsi="Times New Roman" w:cs="Times New Roman"/>
          <w:sz w:val="24"/>
          <w:szCs w:val="24"/>
        </w:rPr>
        <w:t xml:space="preserve">of the </w:t>
      </w:r>
      <w:r>
        <w:rPr>
          <w:rFonts w:ascii="Times New Roman" w:hAnsi="Times New Roman" w:cs="Times New Roman"/>
          <w:sz w:val="24"/>
          <w:szCs w:val="24"/>
        </w:rPr>
        <w:t xml:space="preserve">Yeywa hydropower plant, whereas the environmental burden from electricity dominates HTP in </w:t>
      </w:r>
      <w:r w:rsidR="000303A8">
        <w:rPr>
          <w:rFonts w:ascii="Times New Roman" w:hAnsi="Times New Roman" w:cs="Times New Roman"/>
          <w:sz w:val="24"/>
          <w:szCs w:val="24"/>
        </w:rPr>
        <w:t xml:space="preserve">the </w:t>
      </w:r>
      <w:r>
        <w:rPr>
          <w:rFonts w:ascii="Times New Roman" w:hAnsi="Times New Roman" w:cs="Times New Roman"/>
          <w:sz w:val="24"/>
          <w:szCs w:val="24"/>
        </w:rPr>
        <w:t xml:space="preserve">other four plants. This </w:t>
      </w:r>
      <w:r w:rsidR="000303A8">
        <w:rPr>
          <w:rFonts w:ascii="Times New Roman" w:hAnsi="Times New Roman" w:cs="Times New Roman"/>
          <w:sz w:val="24"/>
          <w:szCs w:val="24"/>
        </w:rPr>
        <w:t xml:space="preserve">is </w:t>
      </w:r>
      <w:r>
        <w:rPr>
          <w:rFonts w:ascii="Times New Roman" w:hAnsi="Times New Roman" w:cs="Times New Roman"/>
          <w:sz w:val="24"/>
          <w:szCs w:val="24"/>
        </w:rPr>
        <w:t xml:space="preserve">mainly due to the differences in the sources of electricity used during construction, operation and maintenance stages. On the other hand, diesel fuel and electricity represent the largest impacts for FRP in all powerplants. The consumption of diesel fuel and electricity have </w:t>
      </w:r>
      <w:r w:rsidR="000303A8">
        <w:rPr>
          <w:rFonts w:ascii="Times New Roman" w:hAnsi="Times New Roman" w:cs="Times New Roman"/>
          <w:sz w:val="24"/>
          <w:szCs w:val="24"/>
        </w:rPr>
        <w:t xml:space="preserve">a </w:t>
      </w:r>
      <w:r>
        <w:rPr>
          <w:rFonts w:ascii="Times New Roman" w:hAnsi="Times New Roman" w:cs="Times New Roman"/>
          <w:sz w:val="24"/>
          <w:szCs w:val="24"/>
        </w:rPr>
        <w:t xml:space="preserve">direct impact on the FRP. This can be explained by the </w:t>
      </w:r>
      <w:r w:rsidR="00547DFD">
        <w:rPr>
          <w:rFonts w:ascii="Times New Roman" w:hAnsi="Times New Roman" w:cs="Times New Roman"/>
          <w:sz w:val="24"/>
          <w:szCs w:val="24"/>
        </w:rPr>
        <w:t xml:space="preserve">similar amount of </w:t>
      </w:r>
      <w:r>
        <w:rPr>
          <w:rFonts w:ascii="Times New Roman" w:hAnsi="Times New Roman" w:cs="Times New Roman"/>
          <w:sz w:val="24"/>
          <w:szCs w:val="24"/>
        </w:rPr>
        <w:t>fuel and electricity inputs in all powerplants</w:t>
      </w:r>
      <w:r w:rsidR="000303A8">
        <w:rPr>
          <w:rFonts w:ascii="Times New Roman" w:hAnsi="Times New Roman" w:cs="Times New Roman"/>
          <w:sz w:val="24"/>
          <w:szCs w:val="24"/>
        </w:rPr>
        <w:t>,</w:t>
      </w:r>
      <w:r>
        <w:rPr>
          <w:rFonts w:ascii="Times New Roman" w:hAnsi="Times New Roman" w:cs="Times New Roman"/>
          <w:sz w:val="24"/>
          <w:szCs w:val="24"/>
        </w:rPr>
        <w:t xml:space="preserve"> regardless of size. A similar pattern is observed for the emission factors. Contribution from steel is the highest for FWAP for all power plants. It might be reasonable to assume that these results are attributable to heavy metal discharges </w:t>
      </w:r>
      <w:r w:rsidR="00DC7610">
        <w:rPr>
          <w:rFonts w:ascii="Times New Roman" w:hAnsi="Times New Roman" w:cs="Times New Roman"/>
          <w:sz w:val="24"/>
          <w:szCs w:val="24"/>
        </w:rPr>
        <w:t>in</w:t>
      </w:r>
      <w:r>
        <w:rPr>
          <w:rFonts w:ascii="Times New Roman" w:hAnsi="Times New Roman" w:cs="Times New Roman"/>
          <w:sz w:val="24"/>
          <w:szCs w:val="24"/>
        </w:rPr>
        <w:t>to water typically associated with steel manufacturing. The production process of steel releases several types of heavy metals</w:t>
      </w:r>
      <w:r w:rsidR="00632CF6">
        <w:rPr>
          <w:rFonts w:ascii="Times New Roman" w:hAnsi="Times New Roman" w:cs="Times New Roman"/>
          <w:sz w:val="24"/>
          <w:szCs w:val="24"/>
        </w:rPr>
        <w:t>,</w:t>
      </w:r>
      <w:r>
        <w:rPr>
          <w:rFonts w:ascii="Times New Roman" w:hAnsi="Times New Roman" w:cs="Times New Roman"/>
          <w:sz w:val="24"/>
          <w:szCs w:val="24"/>
        </w:rPr>
        <w:t xml:space="preserve"> such as lead, chromium and copper into the water which can be toxic to aquatic ecosystem</w:t>
      </w:r>
      <w:r w:rsidR="00632CF6">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24D59">
        <w:rPr>
          <w:rFonts w:ascii="Times New Roman" w:hAnsi="Times New Roman" w:cs="Times New Roman"/>
          <w:sz w:val="24"/>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w:instrText>
      </w:r>
      <w:r w:rsidR="00924D59">
        <w:rPr>
          <w:rFonts w:ascii="Times New Roman" w:hAnsi="Times New Roman" w:cs="Times New Roman" w:hint="eastAsia"/>
          <w:sz w:val="24"/>
          <w:szCs w:val="24"/>
        </w:rPr>
        <w:instrText xml:space="preserve">ic, the success rate (RMSD </w:instrText>
      </w:r>
      <w:r w:rsidR="00924D59">
        <w:rPr>
          <w:rFonts w:ascii="Times New Roman" w:hAnsi="Times New Roman" w:cs="Times New Roman" w:hint="eastAsia"/>
          <w:sz w:val="24"/>
          <w:szCs w:val="24"/>
        </w:rPr>
        <w:instrText>≤</w:instrText>
      </w:r>
      <w:r w:rsidR="00924D59">
        <w:rPr>
          <w:rFonts w:ascii="Times New Roman" w:hAnsi="Times New Roman" w:cs="Times New Roman" w:hint="eastAsia"/>
          <w:sz w:val="24"/>
          <w:szCs w:val="24"/>
        </w:rPr>
        <w:instrText xml:space="preserve"> 2.0 Å for the interface backbone atoms) increased from 21% with default Glide SP settings to 58% with the enhanced peptide sampling and scoring protocol in the case of redocking to the native protein structure. This approaches</w:instrText>
      </w:r>
      <w:r w:rsidR="00924D59">
        <w:rPr>
          <w:rFonts w:ascii="Times New Roman" w:hAnsi="Times New Roman" w:cs="Times New Roman"/>
          <w:sz w:val="24"/>
          <w:szCs w:val="24"/>
        </w:rPr>
        <w:instrText xml:space="preserve">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approach.","author":[{"dropping-particle":"","family":"goleman, daniel; boyatzis, Richard; Mckee","given":"Annie","non-dropping-particle":"","parse-names":false,"suffix":""}],"container-title":"Journal of Chemical Information and Modeling","id":"ITEM-1","issue":"9","issued":{"date-parts":[["2019"]]},"page":"1689-1699","title":"Iron and Steel","type":"article-journal","volume":"53"},"uris":["http://www.mendeley.com/documents/?uuid=3f88d975-afdc-43a2-a7f4-ba4b19bd4861"]},{"id":"ITEM-2","itemData":{"author":[{"dropping-particle":"","family":"Zakrzewski","given":"Sigmund F.","non-dropping-particle":"","parse-names":false,"suffix":""}],"edition":"3rd","id":"ITEM-2","issued":{"date-parts":[["2002"]]},"publisher":"Oxford University Press","title":"Environmental Toxicology","type":"book"},"uris":["http://www.mendeley.com/documents/?uuid=8a5a716b-158e-4a53-8ee1-5fa5ec2d4a5d"]}],"mendeley":{"formattedCitation":"(goleman, daniel; boyatzis, Richard; Mckee, 2019; Zakrzewski, 2002)","manualFormatting":"(Goleman et al., 2019; Zakrzewski, 2002)","plainTextFormattedCitation":"(goleman, daniel; boyatzis, Richard; Mckee, 2019; Zakrzewski, 2002)","previouslyFormattedCitation":"(goleman, daniel; boyatzis, Richard; Mckee, 2019; Zakrzewski, 2002)"},"properties":{"noteIndex":0},"schema":"https://github.com/citation-style-language/schema/raw/master/csl-citation.json"}</w:instrText>
      </w:r>
      <w:r>
        <w:rPr>
          <w:rFonts w:ascii="Times New Roman" w:hAnsi="Times New Roman" w:cs="Times New Roman"/>
          <w:sz w:val="24"/>
          <w:szCs w:val="24"/>
        </w:rPr>
        <w:fldChar w:fldCharType="separate"/>
      </w:r>
      <w:r w:rsidRPr="004379F0">
        <w:rPr>
          <w:rFonts w:ascii="Times New Roman" w:hAnsi="Times New Roman" w:cs="Times New Roman"/>
          <w:noProof/>
          <w:sz w:val="24"/>
          <w:szCs w:val="24"/>
        </w:rPr>
        <w:t>(</w:t>
      </w:r>
      <w:r>
        <w:rPr>
          <w:rFonts w:ascii="Times New Roman" w:hAnsi="Times New Roman" w:cs="Times New Roman"/>
          <w:noProof/>
          <w:sz w:val="24"/>
          <w:szCs w:val="24"/>
        </w:rPr>
        <w:t>G</w:t>
      </w:r>
      <w:r w:rsidRPr="004379F0">
        <w:rPr>
          <w:rFonts w:ascii="Times New Roman" w:hAnsi="Times New Roman" w:cs="Times New Roman"/>
          <w:noProof/>
          <w:sz w:val="24"/>
          <w:szCs w:val="24"/>
        </w:rPr>
        <w:t>oleman</w:t>
      </w:r>
      <w:r>
        <w:rPr>
          <w:rFonts w:ascii="Times New Roman" w:hAnsi="Times New Roman" w:cs="Times New Roman"/>
          <w:noProof/>
          <w:sz w:val="24"/>
          <w:szCs w:val="24"/>
        </w:rPr>
        <w:t xml:space="preserve"> et al.</w:t>
      </w:r>
      <w:r w:rsidRPr="004379F0">
        <w:rPr>
          <w:rFonts w:ascii="Times New Roman" w:hAnsi="Times New Roman" w:cs="Times New Roman"/>
          <w:noProof/>
          <w:sz w:val="24"/>
          <w:szCs w:val="24"/>
        </w:rPr>
        <w:t>, 2019; Zakrzewski, 2002)</w:t>
      </w:r>
      <w:r>
        <w:rPr>
          <w:rFonts w:ascii="Times New Roman" w:hAnsi="Times New Roman" w:cs="Times New Roman"/>
          <w:sz w:val="24"/>
          <w:szCs w:val="24"/>
        </w:rPr>
        <w:fldChar w:fldCharType="end"/>
      </w:r>
      <w:r>
        <w:rPr>
          <w:rFonts w:ascii="Times New Roman" w:hAnsi="Times New Roman" w:cs="Times New Roman"/>
          <w:sz w:val="24"/>
          <w:szCs w:val="24"/>
        </w:rPr>
        <w:t xml:space="preserve">. It is also important that about 80% of the steel is estimated to be dumped in landfill for all plants (see table 3). </w:t>
      </w:r>
      <w:r w:rsidR="00632CF6">
        <w:rPr>
          <w:rFonts w:ascii="Times New Roman" w:hAnsi="Times New Roman" w:cs="Times New Roman"/>
          <w:sz w:val="24"/>
          <w:szCs w:val="24"/>
        </w:rPr>
        <w:t>A p</w:t>
      </w:r>
      <w:r>
        <w:rPr>
          <w:rFonts w:ascii="Times New Roman" w:hAnsi="Times New Roman" w:cs="Times New Roman"/>
          <w:sz w:val="24"/>
          <w:szCs w:val="24"/>
        </w:rPr>
        <w:t xml:space="preserve">ossible explanation for the large share of waste generation is </w:t>
      </w:r>
      <w:r w:rsidR="00632CF6">
        <w:rPr>
          <w:rFonts w:ascii="Times New Roman" w:hAnsi="Times New Roman" w:cs="Times New Roman"/>
          <w:sz w:val="24"/>
          <w:szCs w:val="24"/>
        </w:rPr>
        <w:t>the</w:t>
      </w:r>
      <w:r>
        <w:rPr>
          <w:rFonts w:ascii="Times New Roman" w:hAnsi="Times New Roman" w:cs="Times New Roman"/>
          <w:sz w:val="24"/>
          <w:szCs w:val="24"/>
        </w:rPr>
        <w:t xml:space="preserve"> lack of advance recycling technologies in Myanmar. Similar scenario</w:t>
      </w:r>
      <w:r w:rsidR="00DC7610">
        <w:rPr>
          <w:rFonts w:ascii="Times New Roman" w:hAnsi="Times New Roman" w:cs="Times New Roman"/>
          <w:sz w:val="24"/>
          <w:szCs w:val="24"/>
        </w:rPr>
        <w:t>s</w:t>
      </w:r>
      <w:r>
        <w:rPr>
          <w:rFonts w:ascii="Times New Roman" w:hAnsi="Times New Roman" w:cs="Times New Roman"/>
          <w:sz w:val="24"/>
          <w:szCs w:val="24"/>
        </w:rPr>
        <w:t xml:space="preserve"> can be observed for stainless steel, aluminium and copper</w:t>
      </w:r>
      <w:r w:rsidR="00DC7610">
        <w:rPr>
          <w:rFonts w:ascii="Times New Roman" w:hAnsi="Times New Roman" w:cs="Times New Roman"/>
          <w:sz w:val="24"/>
          <w:szCs w:val="24"/>
        </w:rPr>
        <w:t>,</w:t>
      </w:r>
      <w:r>
        <w:rPr>
          <w:rFonts w:ascii="Times New Roman" w:hAnsi="Times New Roman" w:cs="Times New Roman"/>
          <w:sz w:val="24"/>
          <w:szCs w:val="24"/>
        </w:rPr>
        <w:t xml:space="preserve"> although the environmental impacts from these materials are negligible in all </w:t>
      </w:r>
      <w:r w:rsidR="00DC7610">
        <w:rPr>
          <w:rFonts w:ascii="Times New Roman" w:hAnsi="Times New Roman" w:cs="Times New Roman"/>
          <w:sz w:val="24"/>
          <w:szCs w:val="24"/>
        </w:rPr>
        <w:t>cases</w:t>
      </w:r>
      <w:r>
        <w:rPr>
          <w:rFonts w:ascii="Times New Roman" w:hAnsi="Times New Roman" w:cs="Times New Roman"/>
          <w:sz w:val="24"/>
          <w:szCs w:val="24"/>
        </w:rPr>
        <w:t xml:space="preserve">.  </w:t>
      </w:r>
      <w:r w:rsidR="00C62AEE">
        <w:rPr>
          <w:rFonts w:ascii="Times New Roman" w:hAnsi="Times New Roman" w:cs="Times New Roman"/>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1480"/>
        <w:gridCol w:w="841"/>
        <w:gridCol w:w="809"/>
        <w:gridCol w:w="809"/>
        <w:gridCol w:w="1033"/>
        <w:gridCol w:w="809"/>
      </w:tblGrid>
      <w:tr w:rsidR="000B674E" w:rsidRPr="00D5092E" w14:paraId="73511510" w14:textId="77777777" w:rsidTr="0033706B">
        <w:trPr>
          <w:trHeight w:val="315"/>
        </w:trPr>
        <w:tc>
          <w:tcPr>
            <w:tcW w:w="3235" w:type="dxa"/>
            <w:tcBorders>
              <w:top w:val="single" w:sz="4" w:space="0" w:color="auto"/>
              <w:bottom w:val="single" w:sz="4" w:space="0" w:color="auto"/>
            </w:tcBorders>
            <w:noWrap/>
            <w:hideMark/>
          </w:tcPr>
          <w:p w14:paraId="5DCF7863"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Impact Category</w:t>
            </w:r>
          </w:p>
        </w:tc>
        <w:tc>
          <w:tcPr>
            <w:tcW w:w="1480" w:type="dxa"/>
            <w:tcBorders>
              <w:top w:val="single" w:sz="4" w:space="0" w:color="auto"/>
              <w:bottom w:val="single" w:sz="4" w:space="0" w:color="auto"/>
            </w:tcBorders>
            <w:noWrap/>
            <w:hideMark/>
          </w:tcPr>
          <w:p w14:paraId="7B4A6745"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Unit</w:t>
            </w:r>
          </w:p>
        </w:tc>
        <w:tc>
          <w:tcPr>
            <w:tcW w:w="841" w:type="dxa"/>
            <w:tcBorders>
              <w:top w:val="single" w:sz="4" w:space="0" w:color="auto"/>
              <w:bottom w:val="single" w:sz="4" w:space="0" w:color="auto"/>
            </w:tcBorders>
            <w:noWrap/>
            <w:hideMark/>
          </w:tcPr>
          <w:p w14:paraId="7068C530"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Yeywa</w:t>
            </w:r>
          </w:p>
        </w:tc>
        <w:tc>
          <w:tcPr>
            <w:tcW w:w="809" w:type="dxa"/>
            <w:tcBorders>
              <w:top w:val="single" w:sz="4" w:space="0" w:color="auto"/>
              <w:bottom w:val="single" w:sz="4" w:space="0" w:color="auto"/>
            </w:tcBorders>
            <w:noWrap/>
            <w:hideMark/>
          </w:tcPr>
          <w:p w14:paraId="7E61BDD7"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Shweli 1</w:t>
            </w:r>
          </w:p>
        </w:tc>
        <w:tc>
          <w:tcPr>
            <w:tcW w:w="809" w:type="dxa"/>
            <w:tcBorders>
              <w:top w:val="single" w:sz="4" w:space="0" w:color="auto"/>
              <w:bottom w:val="single" w:sz="4" w:space="0" w:color="auto"/>
            </w:tcBorders>
            <w:noWrap/>
            <w:hideMark/>
          </w:tcPr>
          <w:p w14:paraId="06BCE79B"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Paung Laung (lower)</w:t>
            </w:r>
          </w:p>
        </w:tc>
        <w:tc>
          <w:tcPr>
            <w:tcW w:w="1033" w:type="dxa"/>
            <w:tcBorders>
              <w:top w:val="single" w:sz="4" w:space="0" w:color="auto"/>
              <w:bottom w:val="single" w:sz="4" w:space="0" w:color="auto"/>
            </w:tcBorders>
            <w:noWrap/>
            <w:hideMark/>
          </w:tcPr>
          <w:p w14:paraId="180DDA96"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Dapein 1</w:t>
            </w:r>
          </w:p>
        </w:tc>
        <w:tc>
          <w:tcPr>
            <w:tcW w:w="809" w:type="dxa"/>
            <w:tcBorders>
              <w:top w:val="single" w:sz="4" w:space="0" w:color="auto"/>
              <w:bottom w:val="single" w:sz="4" w:space="0" w:color="auto"/>
            </w:tcBorders>
            <w:noWrap/>
            <w:hideMark/>
          </w:tcPr>
          <w:p w14:paraId="66876596"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Thuk Ye Khat 2</w:t>
            </w:r>
          </w:p>
        </w:tc>
      </w:tr>
      <w:tr w:rsidR="000B674E" w:rsidRPr="00D5092E" w14:paraId="758CA8A0" w14:textId="77777777" w:rsidTr="0033706B">
        <w:trPr>
          <w:trHeight w:val="300"/>
        </w:trPr>
        <w:tc>
          <w:tcPr>
            <w:tcW w:w="3235" w:type="dxa"/>
            <w:tcBorders>
              <w:top w:val="single" w:sz="4" w:space="0" w:color="auto"/>
            </w:tcBorders>
            <w:noWrap/>
            <w:hideMark/>
          </w:tcPr>
          <w:p w14:paraId="08A20465"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Global Warming Potential (GWP100)</w:t>
            </w:r>
          </w:p>
        </w:tc>
        <w:tc>
          <w:tcPr>
            <w:tcW w:w="1480" w:type="dxa"/>
            <w:tcBorders>
              <w:top w:val="single" w:sz="4" w:space="0" w:color="auto"/>
            </w:tcBorders>
            <w:noWrap/>
            <w:hideMark/>
          </w:tcPr>
          <w:p w14:paraId="4A8F5AA7"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kgCO</w:t>
            </w:r>
            <w:r w:rsidRPr="00D14E75">
              <w:rPr>
                <w:rFonts w:ascii="Times New Roman" w:hAnsi="Times New Roman" w:cs="Times New Roman"/>
                <w:sz w:val="16"/>
                <w:szCs w:val="16"/>
                <w:vertAlign w:val="subscript"/>
              </w:rPr>
              <w:t>2</w:t>
            </w:r>
            <w:r w:rsidRPr="00D5092E">
              <w:rPr>
                <w:rFonts w:ascii="Times New Roman" w:hAnsi="Times New Roman" w:cs="Times New Roman"/>
                <w:sz w:val="16"/>
                <w:szCs w:val="16"/>
              </w:rPr>
              <w:t>-eq</w:t>
            </w:r>
          </w:p>
        </w:tc>
        <w:tc>
          <w:tcPr>
            <w:tcW w:w="841" w:type="dxa"/>
            <w:tcBorders>
              <w:top w:val="single" w:sz="4" w:space="0" w:color="auto"/>
            </w:tcBorders>
            <w:noWrap/>
            <w:hideMark/>
          </w:tcPr>
          <w:p w14:paraId="789588D7" w14:textId="64B5F87F"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22.</w:t>
            </w:r>
            <w:r w:rsidR="00FA0B75">
              <w:rPr>
                <w:rFonts w:ascii="Times New Roman" w:hAnsi="Times New Roman" w:cs="Times New Roman"/>
                <w:sz w:val="16"/>
                <w:szCs w:val="16"/>
              </w:rPr>
              <w:t>81</w:t>
            </w:r>
          </w:p>
        </w:tc>
        <w:tc>
          <w:tcPr>
            <w:tcW w:w="809" w:type="dxa"/>
            <w:tcBorders>
              <w:top w:val="single" w:sz="4" w:space="0" w:color="auto"/>
            </w:tcBorders>
            <w:noWrap/>
            <w:hideMark/>
          </w:tcPr>
          <w:p w14:paraId="1BAF8796" w14:textId="251632A1"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22.8</w:t>
            </w:r>
            <w:r w:rsidR="00FA0B75">
              <w:rPr>
                <w:rFonts w:ascii="Times New Roman" w:hAnsi="Times New Roman" w:cs="Times New Roman"/>
                <w:sz w:val="16"/>
                <w:szCs w:val="16"/>
              </w:rPr>
              <w:t>0</w:t>
            </w:r>
          </w:p>
        </w:tc>
        <w:tc>
          <w:tcPr>
            <w:tcW w:w="809" w:type="dxa"/>
            <w:tcBorders>
              <w:top w:val="single" w:sz="4" w:space="0" w:color="auto"/>
            </w:tcBorders>
            <w:noWrap/>
            <w:hideMark/>
          </w:tcPr>
          <w:p w14:paraId="37F13320" w14:textId="43C7BE84"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23.0</w:t>
            </w:r>
            <w:r w:rsidR="00FA0B75">
              <w:rPr>
                <w:rFonts w:ascii="Times New Roman" w:hAnsi="Times New Roman" w:cs="Times New Roman"/>
                <w:sz w:val="16"/>
                <w:szCs w:val="16"/>
              </w:rPr>
              <w:t>9</w:t>
            </w:r>
          </w:p>
        </w:tc>
        <w:tc>
          <w:tcPr>
            <w:tcW w:w="1033" w:type="dxa"/>
            <w:tcBorders>
              <w:top w:val="single" w:sz="4" w:space="0" w:color="auto"/>
            </w:tcBorders>
            <w:noWrap/>
            <w:hideMark/>
          </w:tcPr>
          <w:p w14:paraId="3B431DDB" w14:textId="25B19EA3"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27.</w:t>
            </w:r>
            <w:r w:rsidR="00FA0B75">
              <w:rPr>
                <w:rFonts w:ascii="Times New Roman" w:hAnsi="Times New Roman" w:cs="Times New Roman"/>
                <w:sz w:val="16"/>
                <w:szCs w:val="16"/>
              </w:rPr>
              <w:t>48</w:t>
            </w:r>
          </w:p>
        </w:tc>
        <w:tc>
          <w:tcPr>
            <w:tcW w:w="809" w:type="dxa"/>
            <w:tcBorders>
              <w:top w:val="single" w:sz="4" w:space="0" w:color="auto"/>
            </w:tcBorders>
            <w:noWrap/>
            <w:hideMark/>
          </w:tcPr>
          <w:p w14:paraId="18DD1C20" w14:textId="4343EBAE"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28.</w:t>
            </w:r>
            <w:r w:rsidR="00FA0B75">
              <w:rPr>
                <w:rFonts w:ascii="Times New Roman" w:hAnsi="Times New Roman" w:cs="Times New Roman"/>
                <w:sz w:val="16"/>
                <w:szCs w:val="16"/>
              </w:rPr>
              <w:t>91</w:t>
            </w:r>
          </w:p>
        </w:tc>
      </w:tr>
      <w:tr w:rsidR="000B674E" w:rsidRPr="00D5092E" w14:paraId="0505709B" w14:textId="77777777" w:rsidTr="0033706B">
        <w:trPr>
          <w:trHeight w:val="300"/>
        </w:trPr>
        <w:tc>
          <w:tcPr>
            <w:tcW w:w="3235" w:type="dxa"/>
            <w:noWrap/>
            <w:hideMark/>
          </w:tcPr>
          <w:p w14:paraId="302DFA63" w14:textId="1E99428F" w:rsidR="000B674E" w:rsidRPr="00D5092E" w:rsidRDefault="00ED055F" w:rsidP="004F2BB1">
            <w:pPr>
              <w:rPr>
                <w:rFonts w:ascii="Times New Roman" w:hAnsi="Times New Roman" w:cs="Times New Roman"/>
                <w:sz w:val="16"/>
                <w:szCs w:val="16"/>
              </w:rPr>
            </w:pPr>
            <w:r>
              <w:rPr>
                <w:rFonts w:ascii="Times New Roman" w:hAnsi="Times New Roman" w:cs="Times New Roman"/>
                <w:sz w:val="16"/>
                <w:szCs w:val="16"/>
              </w:rPr>
              <w:t xml:space="preserve">Mineral Resource </w:t>
            </w:r>
            <w:r w:rsidR="000B674E" w:rsidRPr="00D5092E">
              <w:rPr>
                <w:rFonts w:ascii="Times New Roman" w:hAnsi="Times New Roman" w:cs="Times New Roman"/>
                <w:sz w:val="16"/>
                <w:szCs w:val="16"/>
              </w:rPr>
              <w:t>Depletion Potential</w:t>
            </w:r>
          </w:p>
        </w:tc>
        <w:tc>
          <w:tcPr>
            <w:tcW w:w="1480" w:type="dxa"/>
            <w:noWrap/>
            <w:hideMark/>
          </w:tcPr>
          <w:p w14:paraId="6EEB6FF8"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g Sb-eq</w:t>
            </w:r>
          </w:p>
        </w:tc>
        <w:tc>
          <w:tcPr>
            <w:tcW w:w="841" w:type="dxa"/>
            <w:noWrap/>
            <w:hideMark/>
          </w:tcPr>
          <w:p w14:paraId="59336C49"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92.7</w:t>
            </w:r>
          </w:p>
        </w:tc>
        <w:tc>
          <w:tcPr>
            <w:tcW w:w="809" w:type="dxa"/>
            <w:noWrap/>
            <w:hideMark/>
          </w:tcPr>
          <w:p w14:paraId="24CE1BA4"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94.29</w:t>
            </w:r>
          </w:p>
        </w:tc>
        <w:tc>
          <w:tcPr>
            <w:tcW w:w="809" w:type="dxa"/>
            <w:noWrap/>
            <w:hideMark/>
          </w:tcPr>
          <w:p w14:paraId="1207245E"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103.62</w:t>
            </w:r>
          </w:p>
        </w:tc>
        <w:tc>
          <w:tcPr>
            <w:tcW w:w="1033" w:type="dxa"/>
            <w:noWrap/>
            <w:hideMark/>
          </w:tcPr>
          <w:p w14:paraId="370AF00F"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108.86</w:t>
            </w:r>
          </w:p>
        </w:tc>
        <w:tc>
          <w:tcPr>
            <w:tcW w:w="809" w:type="dxa"/>
            <w:noWrap/>
            <w:hideMark/>
          </w:tcPr>
          <w:p w14:paraId="39A834FC"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139.29</w:t>
            </w:r>
          </w:p>
        </w:tc>
      </w:tr>
      <w:tr w:rsidR="000B674E" w:rsidRPr="00D5092E" w14:paraId="62CE98F8" w14:textId="77777777" w:rsidTr="0033706B">
        <w:trPr>
          <w:trHeight w:val="300"/>
        </w:trPr>
        <w:tc>
          <w:tcPr>
            <w:tcW w:w="3235" w:type="dxa"/>
            <w:noWrap/>
            <w:hideMark/>
          </w:tcPr>
          <w:p w14:paraId="3CBDA19B" w14:textId="77777777" w:rsidR="000B674E" w:rsidRPr="00D5092E" w:rsidRDefault="00DF5F39" w:rsidP="004F2BB1">
            <w:pPr>
              <w:rPr>
                <w:rFonts w:ascii="Times New Roman" w:hAnsi="Times New Roman" w:cs="Times New Roman"/>
                <w:sz w:val="16"/>
                <w:szCs w:val="16"/>
              </w:rPr>
            </w:pPr>
            <w:r w:rsidRPr="00D5092E">
              <w:rPr>
                <w:rFonts w:ascii="Times New Roman" w:hAnsi="Times New Roman" w:cs="Times New Roman"/>
                <w:sz w:val="16"/>
                <w:szCs w:val="16"/>
              </w:rPr>
              <w:t>Acidification</w:t>
            </w:r>
            <w:r w:rsidR="000B674E" w:rsidRPr="00D5092E">
              <w:rPr>
                <w:rFonts w:ascii="Times New Roman" w:hAnsi="Times New Roman" w:cs="Times New Roman"/>
                <w:sz w:val="16"/>
                <w:szCs w:val="16"/>
              </w:rPr>
              <w:t xml:space="preserve"> Potential</w:t>
            </w:r>
          </w:p>
        </w:tc>
        <w:tc>
          <w:tcPr>
            <w:tcW w:w="1480" w:type="dxa"/>
            <w:noWrap/>
            <w:hideMark/>
          </w:tcPr>
          <w:p w14:paraId="51ED9318"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g SO</w:t>
            </w:r>
            <w:r w:rsidRPr="00D14E75">
              <w:rPr>
                <w:rFonts w:ascii="Times New Roman" w:hAnsi="Times New Roman" w:cs="Times New Roman"/>
                <w:sz w:val="16"/>
                <w:szCs w:val="16"/>
                <w:vertAlign w:val="subscript"/>
              </w:rPr>
              <w:t>2</w:t>
            </w:r>
            <w:r w:rsidRPr="00D5092E">
              <w:rPr>
                <w:rFonts w:ascii="Times New Roman" w:hAnsi="Times New Roman" w:cs="Times New Roman"/>
                <w:sz w:val="16"/>
                <w:szCs w:val="16"/>
              </w:rPr>
              <w:t>-eq</w:t>
            </w:r>
          </w:p>
        </w:tc>
        <w:tc>
          <w:tcPr>
            <w:tcW w:w="841" w:type="dxa"/>
            <w:noWrap/>
            <w:hideMark/>
          </w:tcPr>
          <w:p w14:paraId="2230ED1E"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76.59</w:t>
            </w:r>
          </w:p>
        </w:tc>
        <w:tc>
          <w:tcPr>
            <w:tcW w:w="809" w:type="dxa"/>
            <w:noWrap/>
            <w:hideMark/>
          </w:tcPr>
          <w:p w14:paraId="4A0552DE"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82.28</w:t>
            </w:r>
          </w:p>
        </w:tc>
        <w:tc>
          <w:tcPr>
            <w:tcW w:w="809" w:type="dxa"/>
            <w:noWrap/>
            <w:hideMark/>
          </w:tcPr>
          <w:p w14:paraId="4948E69D"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110.4</w:t>
            </w:r>
          </w:p>
        </w:tc>
        <w:tc>
          <w:tcPr>
            <w:tcW w:w="1033" w:type="dxa"/>
            <w:noWrap/>
            <w:hideMark/>
          </w:tcPr>
          <w:p w14:paraId="0CC3F852"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129.3</w:t>
            </w:r>
          </w:p>
        </w:tc>
        <w:tc>
          <w:tcPr>
            <w:tcW w:w="809" w:type="dxa"/>
            <w:noWrap/>
            <w:hideMark/>
          </w:tcPr>
          <w:p w14:paraId="551A08C0"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132.29</w:t>
            </w:r>
          </w:p>
        </w:tc>
      </w:tr>
      <w:tr w:rsidR="000B674E" w:rsidRPr="00D5092E" w14:paraId="585103C3" w14:textId="77777777" w:rsidTr="0033706B">
        <w:trPr>
          <w:trHeight w:val="300"/>
        </w:trPr>
        <w:tc>
          <w:tcPr>
            <w:tcW w:w="3235" w:type="dxa"/>
            <w:noWrap/>
            <w:hideMark/>
          </w:tcPr>
          <w:p w14:paraId="2ACF5F86" w14:textId="77777777" w:rsidR="000B674E" w:rsidRPr="00D5092E" w:rsidRDefault="00DF5F39" w:rsidP="004F2BB1">
            <w:pPr>
              <w:rPr>
                <w:rFonts w:ascii="Times New Roman" w:hAnsi="Times New Roman" w:cs="Times New Roman"/>
                <w:sz w:val="16"/>
                <w:szCs w:val="16"/>
              </w:rPr>
            </w:pPr>
            <w:r w:rsidRPr="00D5092E">
              <w:rPr>
                <w:rFonts w:ascii="Times New Roman" w:hAnsi="Times New Roman" w:cs="Times New Roman"/>
                <w:sz w:val="16"/>
                <w:szCs w:val="16"/>
              </w:rPr>
              <w:lastRenderedPageBreak/>
              <w:t>Freshwater</w:t>
            </w:r>
            <w:r w:rsidR="000B674E" w:rsidRPr="00D5092E">
              <w:rPr>
                <w:rFonts w:ascii="Times New Roman" w:hAnsi="Times New Roman" w:cs="Times New Roman"/>
                <w:sz w:val="16"/>
                <w:szCs w:val="16"/>
              </w:rPr>
              <w:t xml:space="preserve"> Aquatic Ecotoxicity Potential</w:t>
            </w:r>
          </w:p>
        </w:tc>
        <w:tc>
          <w:tcPr>
            <w:tcW w:w="1480" w:type="dxa"/>
            <w:noWrap/>
            <w:hideMark/>
          </w:tcPr>
          <w:p w14:paraId="70907410"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kg DCB-eq</w:t>
            </w:r>
          </w:p>
        </w:tc>
        <w:tc>
          <w:tcPr>
            <w:tcW w:w="841" w:type="dxa"/>
            <w:noWrap/>
            <w:hideMark/>
          </w:tcPr>
          <w:p w14:paraId="70C18897"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4.2</w:t>
            </w:r>
          </w:p>
        </w:tc>
        <w:tc>
          <w:tcPr>
            <w:tcW w:w="809" w:type="dxa"/>
            <w:noWrap/>
            <w:hideMark/>
          </w:tcPr>
          <w:p w14:paraId="4BA1EF95"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6.87</w:t>
            </w:r>
          </w:p>
        </w:tc>
        <w:tc>
          <w:tcPr>
            <w:tcW w:w="809" w:type="dxa"/>
            <w:noWrap/>
            <w:hideMark/>
          </w:tcPr>
          <w:p w14:paraId="1E71022B"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6.47</w:t>
            </w:r>
          </w:p>
        </w:tc>
        <w:tc>
          <w:tcPr>
            <w:tcW w:w="1033" w:type="dxa"/>
            <w:noWrap/>
            <w:hideMark/>
          </w:tcPr>
          <w:p w14:paraId="706CF9B2"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7.52</w:t>
            </w:r>
          </w:p>
        </w:tc>
        <w:tc>
          <w:tcPr>
            <w:tcW w:w="809" w:type="dxa"/>
            <w:noWrap/>
            <w:hideMark/>
          </w:tcPr>
          <w:p w14:paraId="1FB405D8"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9.06</w:t>
            </w:r>
          </w:p>
        </w:tc>
      </w:tr>
      <w:tr w:rsidR="000B674E" w:rsidRPr="00D5092E" w14:paraId="1B78DA12" w14:textId="77777777" w:rsidTr="0033706B">
        <w:trPr>
          <w:trHeight w:val="300"/>
        </w:trPr>
        <w:tc>
          <w:tcPr>
            <w:tcW w:w="3235" w:type="dxa"/>
            <w:noWrap/>
            <w:hideMark/>
          </w:tcPr>
          <w:p w14:paraId="370A36F1"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Human Toxicity Potential</w:t>
            </w:r>
          </w:p>
        </w:tc>
        <w:tc>
          <w:tcPr>
            <w:tcW w:w="1480" w:type="dxa"/>
            <w:noWrap/>
            <w:hideMark/>
          </w:tcPr>
          <w:p w14:paraId="1DEA92FF"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kg DCB-eq</w:t>
            </w:r>
          </w:p>
        </w:tc>
        <w:tc>
          <w:tcPr>
            <w:tcW w:w="841" w:type="dxa"/>
            <w:noWrap/>
            <w:hideMark/>
          </w:tcPr>
          <w:p w14:paraId="4B15F323"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22.4</w:t>
            </w:r>
          </w:p>
        </w:tc>
        <w:tc>
          <w:tcPr>
            <w:tcW w:w="809" w:type="dxa"/>
            <w:noWrap/>
            <w:hideMark/>
          </w:tcPr>
          <w:p w14:paraId="241D6FE4"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33.18</w:t>
            </w:r>
          </w:p>
        </w:tc>
        <w:tc>
          <w:tcPr>
            <w:tcW w:w="809" w:type="dxa"/>
            <w:noWrap/>
            <w:hideMark/>
          </w:tcPr>
          <w:p w14:paraId="185A4011"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38.35</w:t>
            </w:r>
          </w:p>
        </w:tc>
        <w:tc>
          <w:tcPr>
            <w:tcW w:w="1033" w:type="dxa"/>
            <w:noWrap/>
            <w:hideMark/>
          </w:tcPr>
          <w:p w14:paraId="59589588"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38.85</w:t>
            </w:r>
          </w:p>
        </w:tc>
        <w:tc>
          <w:tcPr>
            <w:tcW w:w="809" w:type="dxa"/>
            <w:noWrap/>
            <w:hideMark/>
          </w:tcPr>
          <w:p w14:paraId="366D5594"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50.13</w:t>
            </w:r>
          </w:p>
        </w:tc>
      </w:tr>
      <w:tr w:rsidR="000B674E" w:rsidRPr="00D5092E" w14:paraId="65D4B120" w14:textId="77777777" w:rsidTr="0033706B">
        <w:trPr>
          <w:trHeight w:val="300"/>
        </w:trPr>
        <w:tc>
          <w:tcPr>
            <w:tcW w:w="3235" w:type="dxa"/>
            <w:noWrap/>
            <w:hideMark/>
          </w:tcPr>
          <w:p w14:paraId="0652AD13"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Photochemical Ozone Creation Potential</w:t>
            </w:r>
          </w:p>
        </w:tc>
        <w:tc>
          <w:tcPr>
            <w:tcW w:w="1480" w:type="dxa"/>
            <w:noWrap/>
            <w:hideMark/>
          </w:tcPr>
          <w:p w14:paraId="2CC65EC9"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g C</w:t>
            </w:r>
            <w:r w:rsidRPr="00D14E75">
              <w:rPr>
                <w:rFonts w:ascii="Times New Roman" w:hAnsi="Times New Roman" w:cs="Times New Roman"/>
                <w:sz w:val="16"/>
                <w:szCs w:val="16"/>
                <w:vertAlign w:val="subscript"/>
              </w:rPr>
              <w:t>2</w:t>
            </w:r>
            <w:r w:rsidRPr="00D5092E">
              <w:rPr>
                <w:rFonts w:ascii="Times New Roman" w:hAnsi="Times New Roman" w:cs="Times New Roman"/>
                <w:sz w:val="16"/>
                <w:szCs w:val="16"/>
              </w:rPr>
              <w:t>H</w:t>
            </w:r>
            <w:r w:rsidRPr="00D14E75">
              <w:rPr>
                <w:rFonts w:ascii="Times New Roman" w:hAnsi="Times New Roman" w:cs="Times New Roman"/>
                <w:sz w:val="16"/>
                <w:szCs w:val="16"/>
                <w:vertAlign w:val="subscript"/>
              </w:rPr>
              <w:t>4</w:t>
            </w:r>
            <w:r w:rsidRPr="00D5092E">
              <w:rPr>
                <w:rFonts w:ascii="Times New Roman" w:hAnsi="Times New Roman" w:cs="Times New Roman"/>
                <w:sz w:val="16"/>
                <w:szCs w:val="16"/>
              </w:rPr>
              <w:t>-eq</w:t>
            </w:r>
          </w:p>
        </w:tc>
        <w:tc>
          <w:tcPr>
            <w:tcW w:w="841" w:type="dxa"/>
            <w:noWrap/>
            <w:hideMark/>
          </w:tcPr>
          <w:p w14:paraId="512F174A"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4.35</w:t>
            </w:r>
          </w:p>
        </w:tc>
        <w:tc>
          <w:tcPr>
            <w:tcW w:w="809" w:type="dxa"/>
            <w:noWrap/>
            <w:hideMark/>
          </w:tcPr>
          <w:p w14:paraId="169D5CA9"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6.57</w:t>
            </w:r>
          </w:p>
        </w:tc>
        <w:tc>
          <w:tcPr>
            <w:tcW w:w="809" w:type="dxa"/>
            <w:noWrap/>
            <w:hideMark/>
          </w:tcPr>
          <w:p w14:paraId="2DF86CA7"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6.8</w:t>
            </w:r>
          </w:p>
        </w:tc>
        <w:tc>
          <w:tcPr>
            <w:tcW w:w="1033" w:type="dxa"/>
            <w:noWrap/>
            <w:hideMark/>
          </w:tcPr>
          <w:p w14:paraId="2E6D116B"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7.83</w:t>
            </w:r>
          </w:p>
        </w:tc>
        <w:tc>
          <w:tcPr>
            <w:tcW w:w="809" w:type="dxa"/>
            <w:noWrap/>
            <w:hideMark/>
          </w:tcPr>
          <w:p w14:paraId="29420C0A"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8.47</w:t>
            </w:r>
          </w:p>
        </w:tc>
      </w:tr>
      <w:tr w:rsidR="000B674E" w:rsidRPr="00D5092E" w14:paraId="4A2C826E" w14:textId="77777777" w:rsidTr="0033706B">
        <w:trPr>
          <w:trHeight w:val="300"/>
        </w:trPr>
        <w:tc>
          <w:tcPr>
            <w:tcW w:w="3235" w:type="dxa"/>
            <w:noWrap/>
            <w:hideMark/>
          </w:tcPr>
          <w:p w14:paraId="2B9BFC22"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Fossil Fuel Resource Depletion</w:t>
            </w:r>
          </w:p>
        </w:tc>
        <w:tc>
          <w:tcPr>
            <w:tcW w:w="1480" w:type="dxa"/>
            <w:noWrap/>
            <w:hideMark/>
          </w:tcPr>
          <w:p w14:paraId="1A246039" w14:textId="7777777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g Sb-eq</w:t>
            </w:r>
          </w:p>
        </w:tc>
        <w:tc>
          <w:tcPr>
            <w:tcW w:w="841" w:type="dxa"/>
            <w:noWrap/>
            <w:hideMark/>
          </w:tcPr>
          <w:p w14:paraId="008C2335" w14:textId="26E8A820"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3</w:t>
            </w:r>
            <w:r w:rsidR="00821521">
              <w:rPr>
                <w:rFonts w:ascii="Times New Roman" w:hAnsi="Times New Roman" w:cs="Times New Roman"/>
                <w:sz w:val="16"/>
                <w:szCs w:val="16"/>
              </w:rPr>
              <w:t>4</w:t>
            </w:r>
            <w:r w:rsidRPr="00D5092E">
              <w:rPr>
                <w:rFonts w:ascii="Times New Roman" w:hAnsi="Times New Roman" w:cs="Times New Roman"/>
                <w:sz w:val="16"/>
                <w:szCs w:val="16"/>
              </w:rPr>
              <w:t>.</w:t>
            </w:r>
            <w:r w:rsidR="00821521">
              <w:rPr>
                <w:rFonts w:ascii="Times New Roman" w:hAnsi="Times New Roman" w:cs="Times New Roman"/>
                <w:sz w:val="16"/>
                <w:szCs w:val="16"/>
              </w:rPr>
              <w:t>11</w:t>
            </w:r>
          </w:p>
        </w:tc>
        <w:tc>
          <w:tcPr>
            <w:tcW w:w="809" w:type="dxa"/>
            <w:noWrap/>
            <w:hideMark/>
          </w:tcPr>
          <w:p w14:paraId="1B2F5A15" w14:textId="02CCA7E8"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38.</w:t>
            </w:r>
            <w:r w:rsidR="00821521">
              <w:rPr>
                <w:rFonts w:ascii="Times New Roman" w:hAnsi="Times New Roman" w:cs="Times New Roman"/>
                <w:sz w:val="16"/>
                <w:szCs w:val="16"/>
              </w:rPr>
              <w:t>69</w:t>
            </w:r>
          </w:p>
        </w:tc>
        <w:tc>
          <w:tcPr>
            <w:tcW w:w="809" w:type="dxa"/>
            <w:noWrap/>
            <w:hideMark/>
          </w:tcPr>
          <w:p w14:paraId="029FA975" w14:textId="694661E7"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3</w:t>
            </w:r>
            <w:r w:rsidR="00821521">
              <w:rPr>
                <w:rFonts w:ascii="Times New Roman" w:hAnsi="Times New Roman" w:cs="Times New Roman"/>
                <w:sz w:val="16"/>
                <w:szCs w:val="16"/>
              </w:rPr>
              <w:t>5</w:t>
            </w:r>
            <w:r w:rsidRPr="00D5092E">
              <w:rPr>
                <w:rFonts w:ascii="Times New Roman" w:hAnsi="Times New Roman" w:cs="Times New Roman"/>
                <w:sz w:val="16"/>
                <w:szCs w:val="16"/>
              </w:rPr>
              <w:t>.</w:t>
            </w:r>
            <w:r w:rsidR="00821521">
              <w:rPr>
                <w:rFonts w:ascii="Times New Roman" w:hAnsi="Times New Roman" w:cs="Times New Roman"/>
                <w:sz w:val="16"/>
                <w:szCs w:val="16"/>
              </w:rPr>
              <w:t>95</w:t>
            </w:r>
          </w:p>
        </w:tc>
        <w:tc>
          <w:tcPr>
            <w:tcW w:w="1033" w:type="dxa"/>
            <w:noWrap/>
            <w:hideMark/>
          </w:tcPr>
          <w:p w14:paraId="4234939B" w14:textId="1AC0DAB2"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6</w:t>
            </w:r>
            <w:r w:rsidR="00821521">
              <w:rPr>
                <w:rFonts w:ascii="Times New Roman" w:hAnsi="Times New Roman" w:cs="Times New Roman"/>
                <w:sz w:val="16"/>
                <w:szCs w:val="16"/>
              </w:rPr>
              <w:t>4</w:t>
            </w:r>
            <w:r w:rsidRPr="00D5092E">
              <w:rPr>
                <w:rFonts w:ascii="Times New Roman" w:hAnsi="Times New Roman" w:cs="Times New Roman"/>
                <w:sz w:val="16"/>
                <w:szCs w:val="16"/>
              </w:rPr>
              <w:t>.</w:t>
            </w:r>
            <w:r w:rsidR="00821521">
              <w:rPr>
                <w:rFonts w:ascii="Times New Roman" w:hAnsi="Times New Roman" w:cs="Times New Roman"/>
                <w:sz w:val="16"/>
                <w:szCs w:val="16"/>
              </w:rPr>
              <w:t>16</w:t>
            </w:r>
          </w:p>
        </w:tc>
        <w:tc>
          <w:tcPr>
            <w:tcW w:w="809" w:type="dxa"/>
            <w:noWrap/>
            <w:hideMark/>
          </w:tcPr>
          <w:p w14:paraId="760F75F1" w14:textId="20D39C63" w:rsidR="000B674E" w:rsidRPr="00D5092E" w:rsidRDefault="000B674E" w:rsidP="004F2BB1">
            <w:pPr>
              <w:rPr>
                <w:rFonts w:ascii="Times New Roman" w:hAnsi="Times New Roman" w:cs="Times New Roman"/>
                <w:sz w:val="16"/>
                <w:szCs w:val="16"/>
              </w:rPr>
            </w:pPr>
            <w:r w:rsidRPr="00D5092E">
              <w:rPr>
                <w:rFonts w:ascii="Times New Roman" w:hAnsi="Times New Roman" w:cs="Times New Roman"/>
                <w:sz w:val="16"/>
                <w:szCs w:val="16"/>
              </w:rPr>
              <w:t>89.</w:t>
            </w:r>
            <w:r w:rsidR="00821521">
              <w:rPr>
                <w:rFonts w:ascii="Times New Roman" w:hAnsi="Times New Roman" w:cs="Times New Roman"/>
                <w:sz w:val="16"/>
                <w:szCs w:val="16"/>
              </w:rPr>
              <w:t>87</w:t>
            </w:r>
          </w:p>
        </w:tc>
      </w:tr>
    </w:tbl>
    <w:p w14:paraId="671B349B" w14:textId="0A813759" w:rsidR="00CC50F0" w:rsidRDefault="000B674E" w:rsidP="004F2BB1">
      <w:pPr>
        <w:spacing w:line="240" w:lineRule="auto"/>
        <w:rPr>
          <w:rFonts w:ascii="Times New Roman" w:hAnsi="Times New Roman" w:cs="Times New Roman"/>
          <w:sz w:val="16"/>
          <w:szCs w:val="16"/>
        </w:rPr>
      </w:pPr>
      <w:r w:rsidRPr="003C798F">
        <w:rPr>
          <w:rFonts w:ascii="Times New Roman" w:hAnsi="Times New Roman" w:cs="Times New Roman"/>
          <w:sz w:val="16"/>
          <w:szCs w:val="16"/>
        </w:rPr>
        <w:t xml:space="preserve">Table </w:t>
      </w:r>
      <w:r w:rsidR="00B50036">
        <w:rPr>
          <w:rFonts w:ascii="Times New Roman" w:hAnsi="Times New Roman" w:cs="Times New Roman"/>
          <w:sz w:val="16"/>
          <w:szCs w:val="16"/>
        </w:rPr>
        <w:t>6</w:t>
      </w:r>
      <w:r w:rsidRPr="003C798F">
        <w:rPr>
          <w:rFonts w:ascii="Times New Roman" w:hAnsi="Times New Roman" w:cs="Times New Roman"/>
          <w:sz w:val="16"/>
          <w:szCs w:val="16"/>
        </w:rPr>
        <w:t xml:space="preserve">: </w:t>
      </w:r>
      <w:r>
        <w:rPr>
          <w:rFonts w:ascii="Times New Roman" w:hAnsi="Times New Roman" w:cs="Times New Roman"/>
          <w:sz w:val="16"/>
          <w:szCs w:val="16"/>
        </w:rPr>
        <w:t xml:space="preserve">Life-cycle </w:t>
      </w:r>
      <w:r w:rsidRPr="003C798F">
        <w:rPr>
          <w:rFonts w:ascii="Times New Roman" w:hAnsi="Times New Roman" w:cs="Times New Roman"/>
          <w:sz w:val="16"/>
          <w:szCs w:val="16"/>
        </w:rPr>
        <w:t xml:space="preserve">Environment Impact </w:t>
      </w:r>
      <w:r>
        <w:rPr>
          <w:rFonts w:ascii="Times New Roman" w:hAnsi="Times New Roman" w:cs="Times New Roman"/>
          <w:sz w:val="16"/>
          <w:szCs w:val="16"/>
        </w:rPr>
        <w:t>Resulted from the 1 MWh electricity produced form the five hydropower plants in Myanmar</w:t>
      </w:r>
      <w:r w:rsidR="008942AC">
        <w:rPr>
          <w:rFonts w:ascii="Times New Roman" w:hAnsi="Times New Roman" w:cs="Times New Roman"/>
          <w:sz w:val="16"/>
          <w:szCs w:val="16"/>
        </w:rPr>
        <w:t xml:space="preserve">                 *The higher value represents the bigger environmental impact per 1MWh of electricity production. </w:t>
      </w:r>
    </w:p>
    <w:p w14:paraId="19BE1A9E" w14:textId="53C71917" w:rsidR="00487EB3" w:rsidRDefault="0038378C" w:rsidP="004F2BB1">
      <w:pPr>
        <w:spacing w:line="240" w:lineRule="auto"/>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658240" behindDoc="0" locked="0" layoutInCell="1" allowOverlap="1" wp14:anchorId="181A56A2" wp14:editId="49FDE1C2">
            <wp:simplePos x="0" y="0"/>
            <wp:positionH relativeFrom="column">
              <wp:posOffset>0</wp:posOffset>
            </wp:positionH>
            <wp:positionV relativeFrom="paragraph">
              <wp:posOffset>2235</wp:posOffset>
            </wp:positionV>
            <wp:extent cx="5544922" cy="3461737"/>
            <wp:effectExtent l="0" t="0" r="0" b="5715"/>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cent1.png"/>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44922" cy="3461737"/>
                    </a:xfrm>
                    <a:prstGeom prst="rect">
                      <a:avLst/>
                    </a:prstGeom>
                  </pic:spPr>
                </pic:pic>
              </a:graphicData>
            </a:graphic>
          </wp:anchor>
        </w:drawing>
      </w:r>
    </w:p>
    <w:p w14:paraId="1F52BF7B" w14:textId="77777777" w:rsidR="00407B8B" w:rsidRPr="000B674E" w:rsidRDefault="00407B8B" w:rsidP="004F2BB1">
      <w:pPr>
        <w:spacing w:line="240" w:lineRule="auto"/>
        <w:rPr>
          <w:rFonts w:ascii="Times New Roman" w:hAnsi="Times New Roman" w:cs="Times New Roman"/>
          <w:sz w:val="16"/>
          <w:szCs w:val="16"/>
        </w:rPr>
      </w:pPr>
    </w:p>
    <w:p w14:paraId="24062D76" w14:textId="689F73D3" w:rsidR="001558FD" w:rsidRPr="009564C1" w:rsidRDefault="00487EB3" w:rsidP="004F2BB1">
      <w:pPr>
        <w:spacing w:line="240" w:lineRule="auto"/>
        <w:rPr>
          <w:rFonts w:ascii="Times New Roman" w:hAnsi="Times New Roman" w:cs="Times New Roman"/>
          <w:sz w:val="16"/>
          <w:szCs w:val="16"/>
        </w:rPr>
      </w:pPr>
      <w:r w:rsidRPr="00487EB3">
        <w:rPr>
          <w:rFonts w:ascii="Times New Roman" w:hAnsi="Times New Roman" w:cs="Times New Roman"/>
          <w:sz w:val="16"/>
          <w:szCs w:val="16"/>
        </w:rPr>
        <w:t xml:space="preserve">Figure </w:t>
      </w:r>
      <w:r w:rsidR="008C0E53">
        <w:rPr>
          <w:rFonts w:ascii="Times New Roman" w:hAnsi="Times New Roman" w:cs="Times New Roman"/>
          <w:sz w:val="16"/>
          <w:szCs w:val="16"/>
        </w:rPr>
        <w:t>3</w:t>
      </w:r>
      <w:r w:rsidRPr="00487EB3">
        <w:rPr>
          <w:rFonts w:ascii="Times New Roman" w:hAnsi="Times New Roman" w:cs="Times New Roman"/>
          <w:sz w:val="16"/>
          <w:szCs w:val="16"/>
        </w:rPr>
        <w:t xml:space="preserve">: </w:t>
      </w:r>
      <w:r w:rsidR="0038378C">
        <w:rPr>
          <w:rFonts w:ascii="Times New Roman" w:hAnsi="Times New Roman" w:cs="Times New Roman"/>
          <w:sz w:val="16"/>
          <w:szCs w:val="16"/>
        </w:rPr>
        <w:t>Percent of l</w:t>
      </w:r>
      <w:r w:rsidRPr="00487EB3">
        <w:rPr>
          <w:rFonts w:ascii="Times New Roman" w:hAnsi="Times New Roman" w:cs="Times New Roman"/>
          <w:sz w:val="16"/>
          <w:szCs w:val="16"/>
        </w:rPr>
        <w:t>ife-cycle environmental impact potential of five hydropower plants</w:t>
      </w:r>
    </w:p>
    <w:p w14:paraId="26A11B9C" w14:textId="77777777" w:rsidR="00C86779" w:rsidRDefault="00C86779" w:rsidP="004F2BB1">
      <w:pPr>
        <w:spacing w:line="240" w:lineRule="auto"/>
        <w:rPr>
          <w:rFonts w:ascii="Times New Roman" w:hAnsi="Times New Roman" w:cs="Times New Roman"/>
          <w:i/>
          <w:sz w:val="24"/>
          <w:szCs w:val="24"/>
        </w:rPr>
      </w:pPr>
      <w:r w:rsidRPr="00445DD0">
        <w:rPr>
          <w:rFonts w:ascii="Times New Roman" w:hAnsi="Times New Roman" w:cs="Times New Roman"/>
          <w:i/>
          <w:sz w:val="24"/>
          <w:szCs w:val="24"/>
        </w:rPr>
        <w:t>Global warming potential</w:t>
      </w:r>
      <w:r>
        <w:rPr>
          <w:rFonts w:ascii="Times New Roman" w:hAnsi="Times New Roman" w:cs="Times New Roman" w:hint="eastAsia"/>
          <w:i/>
          <w:sz w:val="24"/>
          <w:szCs w:val="24"/>
        </w:rPr>
        <w:t>（</w:t>
      </w:r>
      <w:r>
        <w:rPr>
          <w:rFonts w:ascii="Times New Roman" w:hAnsi="Times New Roman" w:cs="Times New Roman" w:hint="eastAsia"/>
          <w:i/>
          <w:sz w:val="24"/>
          <w:szCs w:val="24"/>
        </w:rPr>
        <w:t>GWP</w:t>
      </w:r>
      <w:r>
        <w:rPr>
          <w:rFonts w:ascii="Times New Roman" w:hAnsi="Times New Roman" w:cs="Times New Roman" w:hint="eastAsia"/>
          <w:i/>
          <w:sz w:val="24"/>
          <w:szCs w:val="24"/>
        </w:rPr>
        <w:t>）</w:t>
      </w:r>
    </w:p>
    <w:p w14:paraId="0DACEC84" w14:textId="0DB548B0" w:rsidR="00C86779" w:rsidRDefault="00C86779" w:rsidP="004F2BB1">
      <w:pPr>
        <w:spacing w:line="240" w:lineRule="auto"/>
        <w:rPr>
          <w:rFonts w:ascii="Times New Roman" w:hAnsi="Times New Roman" w:cs="Times New Roman"/>
          <w:sz w:val="24"/>
          <w:szCs w:val="24"/>
        </w:rPr>
      </w:pPr>
      <w:r w:rsidRPr="00FA04F5">
        <w:rPr>
          <w:rFonts w:ascii="Times New Roman" w:hAnsi="Times New Roman" w:cs="Times New Roman"/>
          <w:sz w:val="24"/>
          <w:szCs w:val="24"/>
        </w:rPr>
        <w:t xml:space="preserve">This impact category refers to global warming </w:t>
      </w:r>
      <w:r w:rsidR="00DC7610">
        <w:rPr>
          <w:rFonts w:ascii="Times New Roman" w:hAnsi="Times New Roman" w:cs="Times New Roman"/>
          <w:sz w:val="24"/>
          <w:szCs w:val="24"/>
        </w:rPr>
        <w:t xml:space="preserve">potential, based on </w:t>
      </w:r>
      <w:r w:rsidRPr="00FA04F5">
        <w:rPr>
          <w:rFonts w:ascii="Times New Roman" w:hAnsi="Times New Roman" w:cs="Times New Roman"/>
          <w:sz w:val="24"/>
          <w:szCs w:val="24"/>
        </w:rPr>
        <w:t>emission</w:t>
      </w:r>
      <w:r w:rsidR="00DC7610">
        <w:rPr>
          <w:rFonts w:ascii="Times New Roman" w:hAnsi="Times New Roman" w:cs="Times New Roman"/>
          <w:sz w:val="24"/>
          <w:szCs w:val="24"/>
        </w:rPr>
        <w:t>s</w:t>
      </w:r>
      <w:r w:rsidRPr="00FA04F5">
        <w:rPr>
          <w:rFonts w:ascii="Times New Roman" w:hAnsi="Times New Roman" w:cs="Times New Roman"/>
          <w:sz w:val="24"/>
          <w:szCs w:val="24"/>
        </w:rPr>
        <w:t xml:space="preserve"> of greenhouse gases (CO</w:t>
      </w:r>
      <w:r w:rsidRPr="00712C44">
        <w:rPr>
          <w:rFonts w:ascii="Times New Roman" w:hAnsi="Times New Roman" w:cs="Times New Roman"/>
          <w:sz w:val="24"/>
          <w:szCs w:val="24"/>
          <w:vertAlign w:val="subscript"/>
        </w:rPr>
        <w:t>2</w:t>
      </w:r>
      <w:r w:rsidRPr="00FA04F5">
        <w:rPr>
          <w:rFonts w:ascii="Times New Roman" w:hAnsi="Times New Roman" w:cs="Times New Roman"/>
          <w:sz w:val="24"/>
          <w:szCs w:val="24"/>
        </w:rPr>
        <w:t>, CO, N</w:t>
      </w:r>
      <w:r w:rsidRPr="00712C44">
        <w:rPr>
          <w:rFonts w:ascii="Times New Roman" w:hAnsi="Times New Roman" w:cs="Times New Roman"/>
          <w:sz w:val="24"/>
          <w:szCs w:val="24"/>
          <w:vertAlign w:val="subscript"/>
        </w:rPr>
        <w:t>2</w:t>
      </w:r>
      <w:r w:rsidRPr="00FA04F5">
        <w:rPr>
          <w:rFonts w:ascii="Times New Roman" w:hAnsi="Times New Roman" w:cs="Times New Roman"/>
          <w:sz w:val="24"/>
          <w:szCs w:val="24"/>
        </w:rPr>
        <w:t>O, CH</w:t>
      </w:r>
      <w:r w:rsidRPr="00712C44">
        <w:rPr>
          <w:rFonts w:ascii="Times New Roman" w:hAnsi="Times New Roman" w:cs="Times New Roman"/>
          <w:sz w:val="24"/>
          <w:szCs w:val="24"/>
          <w:vertAlign w:val="subscript"/>
        </w:rPr>
        <w:t>4</w:t>
      </w:r>
      <w:r w:rsidRPr="00FA04F5">
        <w:rPr>
          <w:rFonts w:ascii="Times New Roman" w:hAnsi="Times New Roman" w:cs="Times New Roman"/>
          <w:sz w:val="24"/>
          <w:szCs w:val="24"/>
        </w:rPr>
        <w:t>) as a result of the hydropower plants. Most of the global warming potential in hydropower generation originate</w:t>
      </w:r>
      <w:r w:rsidR="001E16E2">
        <w:rPr>
          <w:rFonts w:ascii="Times New Roman" w:hAnsi="Times New Roman" w:cs="Times New Roman"/>
          <w:sz w:val="24"/>
          <w:szCs w:val="24"/>
        </w:rPr>
        <w:t>s</w:t>
      </w:r>
      <w:r w:rsidRPr="00FA04F5">
        <w:rPr>
          <w:rFonts w:ascii="Times New Roman" w:hAnsi="Times New Roman" w:cs="Times New Roman"/>
          <w:sz w:val="24"/>
          <w:szCs w:val="24"/>
        </w:rPr>
        <w:t xml:space="preserve"> from the construction stage in all hydropower plants (Fig.3). </w:t>
      </w:r>
      <w:r>
        <w:rPr>
          <w:rFonts w:ascii="Times New Roman" w:hAnsi="Times New Roman" w:cs="Times New Roman"/>
          <w:sz w:val="24"/>
          <w:szCs w:val="24"/>
        </w:rPr>
        <w:t xml:space="preserve">This is explained by </w:t>
      </w:r>
      <w:r w:rsidRPr="00FA04F5">
        <w:rPr>
          <w:rFonts w:ascii="Times New Roman" w:hAnsi="Times New Roman" w:cs="Times New Roman"/>
          <w:sz w:val="24"/>
          <w:szCs w:val="24"/>
        </w:rPr>
        <w:t xml:space="preserve">upstream manufacturing of materials and equipment </w:t>
      </w:r>
      <w:r w:rsidR="001E16E2">
        <w:rPr>
          <w:rFonts w:ascii="Times New Roman" w:hAnsi="Times New Roman" w:cs="Times New Roman"/>
          <w:sz w:val="24"/>
          <w:szCs w:val="24"/>
        </w:rPr>
        <w:t xml:space="preserve">that are </w:t>
      </w:r>
      <w:r w:rsidRPr="00FA04F5">
        <w:rPr>
          <w:rFonts w:ascii="Times New Roman" w:hAnsi="Times New Roman" w:cs="Times New Roman"/>
          <w:sz w:val="24"/>
          <w:szCs w:val="24"/>
        </w:rPr>
        <w:t xml:space="preserve">used in construction </w:t>
      </w:r>
      <w:r w:rsidR="001E16E2">
        <w:rPr>
          <w:rFonts w:ascii="Times New Roman" w:hAnsi="Times New Roman" w:cs="Times New Roman"/>
          <w:sz w:val="24"/>
          <w:szCs w:val="24"/>
        </w:rPr>
        <w:t xml:space="preserve">and that </w:t>
      </w:r>
      <w:r w:rsidRPr="00FA04F5">
        <w:rPr>
          <w:rFonts w:ascii="Times New Roman" w:hAnsi="Times New Roman" w:cs="Times New Roman"/>
          <w:sz w:val="24"/>
          <w:szCs w:val="24"/>
        </w:rPr>
        <w:t>are usually very energy-intensive and polluting. At this stage, hydropower</w:t>
      </w:r>
      <w:r w:rsidR="00632CF6">
        <w:rPr>
          <w:rFonts w:ascii="Times New Roman" w:hAnsi="Times New Roman" w:cs="Times New Roman"/>
          <w:sz w:val="24"/>
          <w:szCs w:val="24"/>
        </w:rPr>
        <w:t xml:space="preserve"> </w:t>
      </w:r>
      <w:r w:rsidRPr="00FA04F5">
        <w:rPr>
          <w:rFonts w:ascii="Times New Roman" w:hAnsi="Times New Roman" w:cs="Times New Roman"/>
          <w:sz w:val="24"/>
          <w:szCs w:val="24"/>
        </w:rPr>
        <w:t xml:space="preserve">plants consume a substantial amount of materials and equipment, and, therefore, contribute </w:t>
      </w:r>
      <w:r w:rsidR="00632CF6">
        <w:rPr>
          <w:rFonts w:ascii="Times New Roman" w:hAnsi="Times New Roman" w:cs="Times New Roman"/>
          <w:sz w:val="24"/>
          <w:szCs w:val="24"/>
        </w:rPr>
        <w:t>substantially</w:t>
      </w:r>
      <w:r w:rsidR="00632CF6" w:rsidRPr="00FA04F5">
        <w:rPr>
          <w:rFonts w:ascii="Times New Roman" w:hAnsi="Times New Roman" w:cs="Times New Roman"/>
          <w:sz w:val="24"/>
          <w:szCs w:val="24"/>
        </w:rPr>
        <w:t xml:space="preserve"> </w:t>
      </w:r>
      <w:r w:rsidRPr="00FA04F5">
        <w:rPr>
          <w:rFonts w:ascii="Times New Roman" w:hAnsi="Times New Roman" w:cs="Times New Roman"/>
          <w:sz w:val="24"/>
          <w:szCs w:val="24"/>
        </w:rPr>
        <w:t>to the GWP. Felix &amp; Gheewala (2012) reported that GHG emissions from hydropower plants come from both</w:t>
      </w:r>
      <w:r w:rsidR="001E16E2">
        <w:rPr>
          <w:rFonts w:ascii="Times New Roman" w:hAnsi="Times New Roman" w:cs="Times New Roman"/>
          <w:sz w:val="24"/>
          <w:szCs w:val="24"/>
        </w:rPr>
        <w:t>,</w:t>
      </w:r>
      <w:r w:rsidRPr="00FA04F5">
        <w:rPr>
          <w:rFonts w:ascii="Times New Roman" w:hAnsi="Times New Roman" w:cs="Times New Roman"/>
          <w:sz w:val="24"/>
          <w:szCs w:val="24"/>
        </w:rPr>
        <w:t xml:space="preserve"> construction of infrastructures and reservoirs.</w:t>
      </w:r>
      <w:r>
        <w:rPr>
          <w:rFonts w:ascii="Times New Roman" w:hAnsi="Times New Roman" w:cs="Times New Roman"/>
          <w:sz w:val="24"/>
          <w:szCs w:val="24"/>
        </w:rPr>
        <w:t xml:space="preserve"> </w:t>
      </w:r>
      <w:r w:rsidRPr="00FA04F5">
        <w:rPr>
          <w:rFonts w:ascii="Times New Roman" w:hAnsi="Times New Roman" w:cs="Times New Roman"/>
          <w:sz w:val="24"/>
          <w:szCs w:val="24"/>
        </w:rPr>
        <w:t>Nevertheless</w:t>
      </w:r>
      <w:r>
        <w:rPr>
          <w:rFonts w:ascii="Times New Roman" w:hAnsi="Times New Roman" w:cs="Times New Roman"/>
          <w:sz w:val="24"/>
          <w:szCs w:val="24"/>
        </w:rPr>
        <w:t xml:space="preserve">, as mentioned in </w:t>
      </w:r>
      <w:r w:rsidR="001E16E2">
        <w:rPr>
          <w:rFonts w:ascii="Times New Roman" w:hAnsi="Times New Roman" w:cs="Times New Roman"/>
          <w:sz w:val="24"/>
          <w:szCs w:val="24"/>
        </w:rPr>
        <w:t xml:space="preserve">the </w:t>
      </w:r>
      <w:r>
        <w:rPr>
          <w:rFonts w:ascii="Times New Roman" w:hAnsi="Times New Roman" w:cs="Times New Roman"/>
          <w:sz w:val="24"/>
          <w:szCs w:val="24"/>
        </w:rPr>
        <w:t xml:space="preserve">life-cycle inventory section, many factors such as dam size and type, climate, area of reservoir per unit of electricity produced and the amount and type of biomass flooded can substantially affect the GHG emissions from reservoirs. </w:t>
      </w:r>
      <w:r w:rsidRPr="00FA04F5">
        <w:rPr>
          <w:rFonts w:ascii="Times New Roman" w:hAnsi="Times New Roman" w:cs="Times New Roman"/>
          <w:sz w:val="24"/>
          <w:szCs w:val="24"/>
        </w:rPr>
        <w:t xml:space="preserve">The transportation stage contributes approximately 29% of the GHG emissions on average, followed by 10% from the operation and maintenance stage. A negligible share (3%) </w:t>
      </w:r>
      <w:r w:rsidR="001E16E2">
        <w:rPr>
          <w:rFonts w:ascii="Times New Roman" w:hAnsi="Times New Roman" w:cs="Times New Roman"/>
          <w:sz w:val="24"/>
          <w:szCs w:val="24"/>
        </w:rPr>
        <w:t xml:space="preserve">comes from </w:t>
      </w:r>
      <w:r w:rsidRPr="00FA04F5">
        <w:rPr>
          <w:rFonts w:ascii="Times New Roman" w:hAnsi="Times New Roman" w:cs="Times New Roman"/>
          <w:sz w:val="24"/>
          <w:szCs w:val="24"/>
        </w:rPr>
        <w:t>demolition.</w:t>
      </w:r>
    </w:p>
    <w:p w14:paraId="5C140163" w14:textId="7E308516" w:rsidR="00E95832" w:rsidRDefault="00C86779" w:rsidP="00D63049">
      <w:pPr>
        <w:spacing w:line="240" w:lineRule="auto"/>
        <w:ind w:firstLine="720"/>
        <w:rPr>
          <w:rFonts w:ascii="Times New Roman" w:hAnsi="Times New Roman" w:cs="Times New Roman"/>
          <w:i/>
          <w:sz w:val="24"/>
          <w:szCs w:val="24"/>
        </w:rPr>
      </w:pPr>
      <w:r w:rsidRPr="00FA04F5">
        <w:rPr>
          <w:rFonts w:ascii="Times New Roman" w:hAnsi="Times New Roman" w:cs="Times New Roman"/>
          <w:sz w:val="24"/>
          <w:szCs w:val="24"/>
        </w:rPr>
        <w:t>The life cycle GHG emissions for the Yeywa and Shweli 1 hydropower plants are 22.8</w:t>
      </w:r>
      <w:r w:rsidR="00071D50">
        <w:rPr>
          <w:rFonts w:ascii="Times New Roman" w:hAnsi="Times New Roman" w:cs="Times New Roman"/>
          <w:sz w:val="24"/>
          <w:szCs w:val="24"/>
        </w:rPr>
        <w:t>0 and 22.81</w:t>
      </w:r>
      <w:r w:rsidRPr="00FA04F5">
        <w:rPr>
          <w:rFonts w:ascii="Times New Roman" w:hAnsi="Times New Roman" w:cs="Times New Roman"/>
          <w:sz w:val="24"/>
          <w:szCs w:val="24"/>
        </w:rPr>
        <w:t xml:space="preserve"> kgCO</w:t>
      </w:r>
      <w:r w:rsidRPr="00712C44">
        <w:rPr>
          <w:rFonts w:ascii="Times New Roman" w:hAnsi="Times New Roman" w:cs="Times New Roman"/>
          <w:sz w:val="24"/>
          <w:szCs w:val="24"/>
          <w:vertAlign w:val="subscript"/>
        </w:rPr>
        <w:t>2</w:t>
      </w:r>
      <w:r w:rsidRPr="00FA04F5">
        <w:rPr>
          <w:rFonts w:ascii="Times New Roman" w:hAnsi="Times New Roman" w:cs="Times New Roman"/>
          <w:sz w:val="24"/>
          <w:szCs w:val="24"/>
        </w:rPr>
        <w:t>-eq</w:t>
      </w:r>
      <w:r w:rsidR="00632CF6">
        <w:rPr>
          <w:rFonts w:ascii="Times New Roman" w:hAnsi="Times New Roman" w:cs="Times New Roman"/>
          <w:sz w:val="24"/>
          <w:szCs w:val="24"/>
        </w:rPr>
        <w:t>,</w:t>
      </w:r>
      <w:r w:rsidR="00071D50">
        <w:rPr>
          <w:rFonts w:ascii="Times New Roman" w:hAnsi="Times New Roman" w:cs="Times New Roman"/>
          <w:sz w:val="24"/>
          <w:szCs w:val="24"/>
        </w:rPr>
        <w:t xml:space="preserve"> respectively</w:t>
      </w:r>
      <w:r w:rsidRPr="00FA04F5">
        <w:rPr>
          <w:rFonts w:ascii="Times New Roman" w:hAnsi="Times New Roman" w:cs="Times New Roman"/>
          <w:sz w:val="24"/>
          <w:szCs w:val="24"/>
        </w:rPr>
        <w:t>, Paung Laung (lower) is 23.0</w:t>
      </w:r>
      <w:r w:rsidR="00071D50">
        <w:rPr>
          <w:rFonts w:ascii="Times New Roman" w:hAnsi="Times New Roman" w:cs="Times New Roman"/>
          <w:sz w:val="24"/>
          <w:szCs w:val="24"/>
        </w:rPr>
        <w:t>9</w:t>
      </w:r>
      <w:r w:rsidRPr="00FA04F5">
        <w:rPr>
          <w:rFonts w:ascii="Times New Roman" w:hAnsi="Times New Roman" w:cs="Times New Roman"/>
          <w:sz w:val="24"/>
          <w:szCs w:val="24"/>
        </w:rPr>
        <w:t xml:space="preserve"> kgCO</w:t>
      </w:r>
      <w:r w:rsidRPr="00712C44">
        <w:rPr>
          <w:rFonts w:ascii="Times New Roman" w:hAnsi="Times New Roman" w:cs="Times New Roman"/>
          <w:sz w:val="24"/>
          <w:szCs w:val="24"/>
          <w:vertAlign w:val="subscript"/>
        </w:rPr>
        <w:t>2</w:t>
      </w:r>
      <w:r w:rsidRPr="00FA04F5">
        <w:rPr>
          <w:rFonts w:ascii="Times New Roman" w:hAnsi="Times New Roman" w:cs="Times New Roman"/>
          <w:sz w:val="24"/>
          <w:szCs w:val="24"/>
        </w:rPr>
        <w:t>-eq, Dapein 1 is 27.5 kgCO</w:t>
      </w:r>
      <w:r w:rsidRPr="00712C44">
        <w:rPr>
          <w:rFonts w:ascii="Times New Roman" w:hAnsi="Times New Roman" w:cs="Times New Roman"/>
          <w:sz w:val="24"/>
          <w:szCs w:val="24"/>
          <w:vertAlign w:val="subscript"/>
        </w:rPr>
        <w:t>2</w:t>
      </w:r>
      <w:r w:rsidRPr="00FA04F5">
        <w:rPr>
          <w:rFonts w:ascii="Times New Roman" w:hAnsi="Times New Roman" w:cs="Times New Roman"/>
          <w:sz w:val="24"/>
          <w:szCs w:val="24"/>
        </w:rPr>
        <w:t>-eq, and Thuk Ye Khat 2 is 28.</w:t>
      </w:r>
      <w:r w:rsidR="00071D50">
        <w:rPr>
          <w:rFonts w:ascii="Times New Roman" w:hAnsi="Times New Roman" w:cs="Times New Roman"/>
          <w:sz w:val="24"/>
          <w:szCs w:val="24"/>
        </w:rPr>
        <w:t>91</w:t>
      </w:r>
      <w:r w:rsidRPr="00FA04F5">
        <w:rPr>
          <w:rFonts w:ascii="Times New Roman" w:hAnsi="Times New Roman" w:cs="Times New Roman"/>
          <w:sz w:val="24"/>
          <w:szCs w:val="24"/>
        </w:rPr>
        <w:t xml:space="preserve"> kgCO</w:t>
      </w:r>
      <w:r w:rsidRPr="00712C44">
        <w:rPr>
          <w:rFonts w:ascii="Times New Roman" w:hAnsi="Times New Roman" w:cs="Times New Roman"/>
          <w:sz w:val="24"/>
          <w:szCs w:val="24"/>
          <w:vertAlign w:val="subscript"/>
        </w:rPr>
        <w:t>2</w:t>
      </w:r>
      <w:r w:rsidRPr="00FA04F5">
        <w:rPr>
          <w:rFonts w:ascii="Times New Roman" w:hAnsi="Times New Roman" w:cs="Times New Roman"/>
          <w:sz w:val="24"/>
          <w:szCs w:val="24"/>
        </w:rPr>
        <w:t xml:space="preserve">-eq. This result is consistent with previous </w:t>
      </w:r>
      <w:r w:rsidR="001E16E2">
        <w:rPr>
          <w:rFonts w:ascii="Times New Roman" w:hAnsi="Times New Roman" w:cs="Times New Roman"/>
          <w:sz w:val="24"/>
          <w:szCs w:val="24"/>
        </w:rPr>
        <w:t xml:space="preserve">studies, </w:t>
      </w:r>
      <w:r>
        <w:rPr>
          <w:rFonts w:ascii="Times New Roman" w:hAnsi="Times New Roman" w:cs="Times New Roman"/>
          <w:sz w:val="24"/>
          <w:szCs w:val="24"/>
        </w:rPr>
        <w:t xml:space="preserve">where GWP of hydropower plants range from 15-40 </w:t>
      </w:r>
      <w:r w:rsidRPr="00FB3A45">
        <w:rPr>
          <w:rFonts w:ascii="Times New Roman" w:hAnsi="Times New Roman" w:cs="Times New Roman"/>
          <w:sz w:val="24"/>
          <w:szCs w:val="24"/>
        </w:rPr>
        <w:t>kgCO</w:t>
      </w:r>
      <w:r w:rsidRPr="00FB3A45">
        <w:rPr>
          <w:rFonts w:ascii="Times New Roman" w:hAnsi="Times New Roman" w:cs="Times New Roman"/>
          <w:sz w:val="24"/>
          <w:szCs w:val="24"/>
          <w:vertAlign w:val="subscript"/>
        </w:rPr>
        <w:t>2</w:t>
      </w:r>
      <w:r w:rsidRPr="00FB3A45">
        <w:rPr>
          <w:rFonts w:ascii="Times New Roman" w:hAnsi="Times New Roman" w:cs="Times New Roman"/>
          <w:sz w:val="24"/>
          <w:szCs w:val="24"/>
        </w:rPr>
        <w:t>-eq</w:t>
      </w:r>
      <w:r>
        <w:rPr>
          <w:rFonts w:ascii="Times New Roman" w:hAnsi="Times New Roman" w:cs="Times New Roman"/>
          <w:sz w:val="24"/>
          <w:szCs w:val="24"/>
        </w:rPr>
        <w:t xml:space="preserve">/MWh  </w:t>
      </w:r>
      <w:r w:rsidRPr="00FA04F5">
        <w:rPr>
          <w:rFonts w:ascii="Times New Roman" w:hAnsi="Times New Roman" w:cs="Times New Roman"/>
          <w:sz w:val="24"/>
          <w:szCs w:val="24"/>
        </w:rPr>
        <w:lastRenderedPageBreak/>
        <w:t>(</w:t>
      </w:r>
      <w:r w:rsidR="00307462">
        <w:rPr>
          <w:rFonts w:ascii="Times New Roman" w:hAnsi="Times New Roman" w:cs="Times New Roman"/>
          <w:sz w:val="24"/>
          <w:szCs w:val="24"/>
        </w:rPr>
        <w:fldChar w:fldCharType="begin" w:fldLock="1"/>
      </w:r>
      <w:r w:rsidR="00547D0C">
        <w:rPr>
          <w:rFonts w:ascii="Times New Roman" w:hAnsi="Times New Roman" w:cs="Times New Roman"/>
          <w:sz w:val="24"/>
          <w:szCs w:val="24"/>
        </w:rPr>
        <w:instrText>ADDIN CSL_CITATION {"citationItems":[{"id":"ITEM-1","itemData":{"DOI":"DOI 10.1007/s11367-015-0878-7","author":[{"dropping-particle":"","family":"Pang","given":"Mingyue;","non-dropping-particle":"","parse-names":false,"suffix":""},{"dropping-particle":"","family":"Zhang, Lixiao; Wang, Changbo &amp; Liu","given":"Gengyuan","non-dropping-particle":"","parse-names":false,"suffix":""}],"container-title":"Int J Life Cycle Assess","id":"ITEM-1","issue":"20","issued":{"date-parts":[["2015"]]},"page":"796-806","title":"Environmental life cycle assessment of a small hydropower plant in China","type":"article-journal"},"uris":["http://www.mendeley.com/documents/?uuid=5c796f13-37e3-4183-a3ef-7b990e426fdc"]}],"mendeley":{"formattedCitation":"(Pang &amp; Zhang, Lixiao; Wang, Changbo &amp; Liu, 2015)","manualFormatting":"Pang et al., 2015","plainTextFormattedCitation":"(Pang &amp; Zhang, Lixiao; Wang, Changbo &amp; Liu, 2015)","previouslyFormattedCitation":"(Pang &amp; Zhang, Lixiao; Wang, Changbo &amp; Liu, 2015)"},"properties":{"noteIndex":0},"schema":"https://github.com/citation-style-language/schema/raw/master/csl-citation.json"}</w:instrText>
      </w:r>
      <w:r w:rsidR="00307462">
        <w:rPr>
          <w:rFonts w:ascii="Times New Roman" w:hAnsi="Times New Roman" w:cs="Times New Roman"/>
          <w:sz w:val="24"/>
          <w:szCs w:val="24"/>
        </w:rPr>
        <w:fldChar w:fldCharType="separate"/>
      </w:r>
      <w:r w:rsidR="00307462" w:rsidRPr="00DD3838">
        <w:rPr>
          <w:rFonts w:ascii="Times New Roman" w:hAnsi="Times New Roman" w:cs="Times New Roman"/>
          <w:noProof/>
          <w:sz w:val="24"/>
          <w:szCs w:val="24"/>
        </w:rPr>
        <w:t xml:space="preserve">Pang </w:t>
      </w:r>
      <w:r w:rsidR="00307462">
        <w:rPr>
          <w:rFonts w:ascii="Times New Roman" w:hAnsi="Times New Roman" w:cs="Times New Roman"/>
          <w:noProof/>
          <w:sz w:val="24"/>
          <w:szCs w:val="24"/>
        </w:rPr>
        <w:t>et al.</w:t>
      </w:r>
      <w:r w:rsidR="00307462" w:rsidRPr="00DD3838">
        <w:rPr>
          <w:rFonts w:ascii="Times New Roman" w:hAnsi="Times New Roman" w:cs="Times New Roman"/>
          <w:noProof/>
          <w:sz w:val="24"/>
          <w:szCs w:val="24"/>
        </w:rPr>
        <w:t>, 2015</w:t>
      </w:r>
      <w:r w:rsidR="00307462">
        <w:rPr>
          <w:rFonts w:ascii="Times New Roman" w:hAnsi="Times New Roman" w:cs="Times New Roman"/>
          <w:sz w:val="24"/>
          <w:szCs w:val="24"/>
        </w:rPr>
        <w:fldChar w:fldCharType="end"/>
      </w:r>
      <w:r w:rsidRPr="00FA04F5">
        <w:rPr>
          <w:rFonts w:ascii="Times New Roman" w:hAnsi="Times New Roman" w:cs="Times New Roman"/>
          <w:sz w:val="24"/>
          <w:szCs w:val="24"/>
        </w:rPr>
        <w:t>; Suwanit &amp; Gheewala, 2011; Geller &amp; Meneses, 2016</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{"citationItems":[{"id":"ITEM-1","itemData":{"DOI":"10.1016/j.resconrec.2016.07.010","ISSN":"18790658","abstract":"In this study, we conducted a life cycle assessment (LCA) of the power sector in 31 provinces in China, with a focus on five major types of power (namely, thermal power, hydropower, solar photovoltaic power (solar power), nuclear power, and wind power). The scope of the life cycle included resources extraction, processing, infrastructure construction, power generation, and transmission. Key results include the following. (1) There are differences in the life cycle global warming potential (GWP) of the five power sources at the national level. In particular, thermal power discharges 19, 66, 123, and 164 times more emissions than solar power, hydropower, wind power, and nuclear power, respectively. (2) There are differences in the GWP of 1 kWh of thermal power between provinces and national average. Eighteen provinces have higher GWP comparing with the national average. (3) There are differences in the life cycle GWP of hybrid power between different provinces. Inner Mongolia and Qinghai have the largest and the smallest GWP for 1 kWh of hybrid electricity supply, respectively. We also analyzed GWP map caused by total power generation in China. This life cycle inventory of different types of power in provinces can provide technical support for power supply management, energy conservation, and emission reduction at both provincial and state levels. The inventory also provides a basic database for LCAs of materials, products, and industries.","author":[{"dropping-particle":"","family":"Ding","given":"Ning","non-dropping-particle":"","parse-names":false,"suffix":""},{"dropping-particle":"","family":"Liu","given":"Jingru","non-dropping-particle":"","parse-names":false,"suffix":""},{"dropping-particle":"","family":"Yang","given":"Jianxin","non-dropping-particle":"","parse-names":false,"suffix":""},{"dropping-particle":"","family":"Yang","given":"Dong","non-dropping-particle":"","parse-names":false,"suffix":""}],"container-title":"Resources, Conservation and Recycling","id":"ITEM-1","issued":{"date-parts":[["2017"]]},"page":"47-59","publisher":"Elsevier B.V.","title":"Comparative life cycle assessment of regional electricity supplies in China","type":"article-journal","volume":"119"},"uris":["http://www.mendeley.com/documents/?uuid=c5345b64-1f46-41d2-817a-64d11ab3a6e1"]}],"mendeley":{"formattedCitation":"(Ding et al., 2017)","manualFormatting":"Ding et al., 2017)","plainTextFormattedCitation":"(Ding et al., 2017)","previouslyFormattedCitation":"(Ding et al., 2017)"},"properties":{"noteIndex":0},"schema":"https://github.com/citation-style-language/schema/raw/master/csl-citation.json"}</w:instrText>
      </w:r>
      <w:r>
        <w:rPr>
          <w:rFonts w:ascii="Times New Roman" w:hAnsi="Times New Roman" w:cs="Times New Roman"/>
          <w:sz w:val="24"/>
          <w:szCs w:val="24"/>
        </w:rPr>
        <w:fldChar w:fldCharType="separate"/>
      </w:r>
      <w:r w:rsidRPr="006F35CC">
        <w:rPr>
          <w:rFonts w:ascii="Times New Roman" w:hAnsi="Times New Roman" w:cs="Times New Roman"/>
          <w:noProof/>
          <w:sz w:val="24"/>
          <w:szCs w:val="24"/>
        </w:rPr>
        <w:t xml:space="preserve">Ding </w:t>
      </w:r>
      <w:r>
        <w:rPr>
          <w:rFonts w:ascii="Times New Roman" w:hAnsi="Times New Roman" w:cs="Times New Roman"/>
          <w:noProof/>
          <w:sz w:val="24"/>
          <w:szCs w:val="24"/>
        </w:rPr>
        <w:t>et al.,</w:t>
      </w:r>
      <w:r w:rsidRPr="006F35CC">
        <w:rPr>
          <w:rFonts w:ascii="Times New Roman" w:hAnsi="Times New Roman" w:cs="Times New Roman"/>
          <w:noProof/>
          <w:sz w:val="24"/>
          <w:szCs w:val="24"/>
        </w:rPr>
        <w:t xml:space="preserve"> 2017)</w:t>
      </w:r>
      <w:r>
        <w:rPr>
          <w:rFonts w:ascii="Times New Roman" w:hAnsi="Times New Roman" w:cs="Times New Roman"/>
          <w:sz w:val="24"/>
          <w:szCs w:val="24"/>
        </w:rPr>
        <w:fldChar w:fldCharType="end"/>
      </w:r>
      <w:r w:rsidRPr="00FA04F5">
        <w:rPr>
          <w:rFonts w:ascii="Times New Roman" w:hAnsi="Times New Roman" w:cs="Times New Roman"/>
          <w:sz w:val="24"/>
          <w:szCs w:val="24"/>
        </w:rPr>
        <w:t>.</w:t>
      </w:r>
      <w:r>
        <w:rPr>
          <w:rFonts w:ascii="Times New Roman" w:hAnsi="Times New Roman" w:cs="Times New Roman"/>
          <w:sz w:val="24"/>
          <w:szCs w:val="24"/>
        </w:rPr>
        <w:t xml:space="preserve"> In comparison, GWP of all the plants considered are lower than the range reported in smaller scale (3 MW to 3 KW) power plants of the same type in previous studies. However, all GWP results are higher when compare</w:t>
      </w:r>
      <w:r w:rsidR="001E16E2">
        <w:rPr>
          <w:rFonts w:ascii="Times New Roman" w:hAnsi="Times New Roman" w:cs="Times New Roman"/>
          <w:sz w:val="24"/>
          <w:szCs w:val="24"/>
        </w:rPr>
        <w:t>d</w:t>
      </w:r>
      <w:r>
        <w:rPr>
          <w:rFonts w:ascii="Times New Roman" w:hAnsi="Times New Roman" w:cs="Times New Roman"/>
          <w:sz w:val="24"/>
          <w:szCs w:val="24"/>
        </w:rPr>
        <w:t xml:space="preserve"> with larger plants (800-1500 MW)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{"citationItems":[{"id":"ITEM-1","itemData":{"DOI":"10.1007/s11367-012-0501-0","ISSN":"09483349","abstract":"Purpose: This paper assesses facility-specific life cycle greenhouse gas (GHG) emission intensities for electricity-generating facilities in the province of Ontario in 2008. It offers policy makers, researchers and other stakeholders of the Ontario electricity system with data regarding some of the environmental burdens from multiple generation technology currently deployed in the province. Methods: Methods involved extraction of data and analysis from several publically accessible datasets, as well as from the LCA literature. GHG emissions data for operation of power plants came from the Government of Canada GHG registry and the Ontario Power Generation (OPG) Sustainable Development reports. Facility-specific generation data came from the Independent Electricity System Operator in Ontario and the OPG. Results: Full life cycle GHG intensity (tonnes of CO2 equivalent per gigawatt hour) estimates are provided for 4 coal facilities, 27 natural gas facilities, 1 oil/natural gas facility, 3 nuclear facilities, 7 run-of-river hydro facilities and 37 reservoir hydro facilities, and 7 wind facilities. Average (output weighted) life cycle GHG intensities are calculated for each fuel type in Ontario, and the life cycle GHG intensity for the Ontario grid as a whole (in 2008) is estimated to be 201 t CO2e/GWh. Conclusions: The results reflect only the global warming impact of electricity generation, and they are meant to inform a broader discussion which includes other environmental, social, cultural, institutional and economic factors. This full range of factors should be included in decisions regarding energy policy for the Province of Ontario, and in future work on the Ontario electricity system. © 2012 Springer-Verlag.","author":[{"dropping-particle":"","family":"Mallia","given":"E.","non-dropping-particle":"","parse-names":false,"suffix":""},{"dropping-particle":"","family":"Lewis","given":"G.","non-dropping-particle":"","parse-names":false,"suffix":""}],"container-title":"International Journal of Life Cycle Assessment","id":"ITEM-1","issue":"2","issued":{"date-parts":[["2013"]]},"page":"377-391","title":"Life cycle greenhouse gas emissions of electricity generation in the province of Ontario, Canada","type":"article-journal","volume":"18"},"uris":["http://www.mendeley.com/documents/?uuid=00e4633c-71ef-4883-9a6f-3f29fe4c2924"]}],"mendeley":{"formattedCitation":"(Mallia &amp; Lewis, 2013)","plainTextFormattedCitation":"(Mallia &amp; Lewis, 2013)","previouslyFormattedCitation":"(Mallia &amp; Lewis, 2013)"},"properties":{"noteIndex":0},"schema":"https://github.com/citation-style-language/schema/raw/master/csl-citation.json"}</w:instrText>
      </w:r>
      <w:r>
        <w:rPr>
          <w:rFonts w:ascii="Times New Roman" w:hAnsi="Times New Roman" w:cs="Times New Roman"/>
          <w:sz w:val="24"/>
          <w:szCs w:val="24"/>
        </w:rPr>
        <w:fldChar w:fldCharType="separate"/>
      </w:r>
      <w:r w:rsidRPr="003427C8">
        <w:rPr>
          <w:rFonts w:ascii="Times New Roman" w:hAnsi="Times New Roman" w:cs="Times New Roman"/>
          <w:noProof/>
          <w:sz w:val="24"/>
          <w:szCs w:val="24"/>
        </w:rPr>
        <w:t>(Mallia &amp; Lewis, 2013)</w:t>
      </w:r>
      <w:r>
        <w:rPr>
          <w:rFonts w:ascii="Times New Roman" w:hAnsi="Times New Roman" w:cs="Times New Roman"/>
          <w:sz w:val="24"/>
          <w:szCs w:val="24"/>
        </w:rPr>
        <w:fldChar w:fldCharType="end"/>
      </w:r>
      <w:r>
        <w:rPr>
          <w:rFonts w:ascii="Times New Roman" w:hAnsi="Times New Roman" w:cs="Times New Roman"/>
          <w:sz w:val="24"/>
          <w:szCs w:val="24"/>
        </w:rPr>
        <w:t>. Similar observ</w:t>
      </w:r>
      <w:r w:rsidR="001E16E2">
        <w:rPr>
          <w:rFonts w:ascii="Times New Roman" w:hAnsi="Times New Roman" w:cs="Times New Roman"/>
          <w:sz w:val="24"/>
          <w:szCs w:val="24"/>
        </w:rPr>
        <w:t xml:space="preserve">ations are made </w:t>
      </w:r>
      <w:r>
        <w:rPr>
          <w:rFonts w:ascii="Times New Roman" w:hAnsi="Times New Roman" w:cs="Times New Roman"/>
          <w:sz w:val="24"/>
          <w:szCs w:val="24"/>
        </w:rPr>
        <w:t xml:space="preserve">in </w:t>
      </w:r>
      <w:r w:rsidR="001E16E2">
        <w:rPr>
          <w:rFonts w:ascii="Times New Roman" w:hAnsi="Times New Roman" w:cs="Times New Roman"/>
          <w:sz w:val="24"/>
          <w:szCs w:val="24"/>
        </w:rPr>
        <w:t xml:space="preserve">our LCA, </w:t>
      </w:r>
      <w:r>
        <w:rPr>
          <w:rFonts w:ascii="Times New Roman" w:hAnsi="Times New Roman" w:cs="Times New Roman"/>
          <w:sz w:val="24"/>
          <w:szCs w:val="24"/>
        </w:rPr>
        <w:t>where smaller plants resulted in higher GWP. This results support the claim that smaller hydropower system</w:t>
      </w:r>
      <w:r w:rsidR="001E16E2">
        <w:rPr>
          <w:rFonts w:ascii="Times New Roman" w:hAnsi="Times New Roman" w:cs="Times New Roman"/>
          <w:sz w:val="24"/>
          <w:szCs w:val="24"/>
        </w:rPr>
        <w:t>s</w:t>
      </w:r>
      <w:r>
        <w:rPr>
          <w:rFonts w:ascii="Times New Roman" w:hAnsi="Times New Roman" w:cs="Times New Roman"/>
          <w:sz w:val="24"/>
          <w:szCs w:val="24"/>
        </w:rPr>
        <w:t xml:space="preserve"> ha</w:t>
      </w:r>
      <w:r w:rsidR="001E16E2">
        <w:rPr>
          <w:rFonts w:ascii="Times New Roman" w:hAnsi="Times New Roman" w:cs="Times New Roman"/>
          <w:sz w:val="24"/>
          <w:szCs w:val="24"/>
        </w:rPr>
        <w:t>ve</w:t>
      </w:r>
      <w:r>
        <w:rPr>
          <w:rFonts w:ascii="Times New Roman" w:hAnsi="Times New Roman" w:cs="Times New Roman"/>
          <w:sz w:val="24"/>
          <w:szCs w:val="24"/>
        </w:rPr>
        <w:t xml:space="preserve"> </w:t>
      </w:r>
      <w:r w:rsidR="001E16E2">
        <w:rPr>
          <w:rFonts w:ascii="Times New Roman" w:hAnsi="Times New Roman" w:cs="Times New Roman"/>
          <w:sz w:val="24"/>
          <w:szCs w:val="24"/>
        </w:rPr>
        <w:t xml:space="preserve">greater </w:t>
      </w:r>
      <w:r>
        <w:rPr>
          <w:rFonts w:ascii="Times New Roman" w:hAnsi="Times New Roman" w:cs="Times New Roman"/>
          <w:sz w:val="24"/>
          <w:szCs w:val="24"/>
        </w:rPr>
        <w:t>environmental impacts</w:t>
      </w:r>
      <w:r w:rsidR="001E0BBF">
        <w:rPr>
          <w:rFonts w:ascii="Times New Roman" w:hAnsi="Times New Roman" w:cs="Times New Roman"/>
          <w:sz w:val="24"/>
          <w:szCs w:val="24"/>
        </w:rPr>
        <w:t xml:space="preserve"> per MW produced</w:t>
      </w:r>
      <w:r>
        <w:rPr>
          <w:rFonts w:ascii="Times New Roman" w:hAnsi="Times New Roman" w:cs="Times New Roman"/>
          <w:sz w:val="24"/>
          <w:szCs w:val="24"/>
        </w:rPr>
        <w:t xml:space="preserve">. </w:t>
      </w:r>
    </w:p>
    <w:p w14:paraId="4601A80B" w14:textId="4673BC9E" w:rsidR="00C86779" w:rsidRDefault="00C86779" w:rsidP="004F2BB1">
      <w:pPr>
        <w:spacing w:line="240" w:lineRule="auto"/>
        <w:rPr>
          <w:rFonts w:ascii="Times New Roman" w:hAnsi="Times New Roman" w:cs="Times New Roman"/>
          <w:i/>
          <w:sz w:val="24"/>
          <w:szCs w:val="24"/>
        </w:rPr>
      </w:pPr>
      <w:r w:rsidRPr="00445DD0">
        <w:rPr>
          <w:rFonts w:ascii="Times New Roman" w:hAnsi="Times New Roman" w:cs="Times New Roman"/>
          <w:i/>
          <w:sz w:val="24"/>
          <w:szCs w:val="24"/>
        </w:rPr>
        <w:t>Acidification potential</w:t>
      </w:r>
    </w:p>
    <w:p w14:paraId="489884B0" w14:textId="266EA6DD" w:rsidR="00C86779" w:rsidRDefault="00C86779" w:rsidP="004F2BB1">
      <w:pPr>
        <w:spacing w:line="240" w:lineRule="auto"/>
        <w:rPr>
          <w:rFonts w:ascii="Times New Roman" w:hAnsi="Times New Roman" w:cs="Times New Roman"/>
          <w:sz w:val="24"/>
          <w:szCs w:val="24"/>
        </w:rPr>
      </w:pPr>
      <w:r w:rsidRPr="00E601D0">
        <w:rPr>
          <w:rFonts w:ascii="Times New Roman" w:hAnsi="Times New Roman" w:cs="Times New Roman"/>
          <w:sz w:val="24"/>
          <w:szCs w:val="24"/>
        </w:rPr>
        <w:t>Acidification potential is the likelihood of atmospheric pollution arising from acid</w:t>
      </w:r>
      <w:r>
        <w:rPr>
          <w:rFonts w:ascii="Times New Roman" w:hAnsi="Times New Roman" w:cs="Times New Roman"/>
          <w:sz w:val="24"/>
          <w:szCs w:val="24"/>
        </w:rPr>
        <w:t>ifying gases</w:t>
      </w:r>
      <w:r w:rsidRPr="00E601D0">
        <w:rPr>
          <w:rFonts w:ascii="Times New Roman" w:hAnsi="Times New Roman" w:cs="Times New Roman"/>
          <w:sz w:val="24"/>
          <w:szCs w:val="24"/>
        </w:rPr>
        <w:t xml:space="preserve"> being emitted to the atmosphere due to the hydropower projects and expressed in kilograms of sulphur dioxide equivalent</w:t>
      </w:r>
      <w:r w:rsidR="00545EA3">
        <w:rPr>
          <w:rFonts w:ascii="Times New Roman" w:hAnsi="Times New Roman" w:cs="Times New Roman"/>
          <w:sz w:val="24"/>
          <w:szCs w:val="24"/>
        </w:rPr>
        <w:t>;</w:t>
      </w:r>
      <w:r w:rsidRPr="00E601D0">
        <w:rPr>
          <w:rFonts w:ascii="Times New Roman" w:hAnsi="Times New Roman" w:cs="Times New Roman"/>
          <w:sz w:val="24"/>
          <w:szCs w:val="24"/>
        </w:rPr>
        <w:t xml:space="preserve"> g SO</w:t>
      </w:r>
      <w:r w:rsidRPr="00712C44">
        <w:rPr>
          <w:rFonts w:ascii="Times New Roman" w:hAnsi="Times New Roman" w:cs="Times New Roman"/>
          <w:sz w:val="24"/>
          <w:szCs w:val="24"/>
          <w:vertAlign w:val="subscript"/>
        </w:rPr>
        <w:t>2</w:t>
      </w:r>
      <w:r w:rsidRPr="00E601D0">
        <w:rPr>
          <w:rFonts w:ascii="Times New Roman" w:hAnsi="Times New Roman" w:cs="Times New Roman"/>
          <w:sz w:val="24"/>
          <w:szCs w:val="24"/>
        </w:rPr>
        <w:t xml:space="preserve">-eq/MWh. The impacts of acidification can be deteriorating to soils, plants and aquatic animals. In </w:t>
      </w:r>
      <w:r w:rsidR="00545EA3">
        <w:rPr>
          <w:rFonts w:ascii="Times New Roman" w:hAnsi="Times New Roman" w:cs="Times New Roman"/>
          <w:sz w:val="24"/>
          <w:szCs w:val="24"/>
        </w:rPr>
        <w:t>our LCA</w:t>
      </w:r>
      <w:r w:rsidRPr="00E601D0">
        <w:rPr>
          <w:rFonts w:ascii="Times New Roman" w:hAnsi="Times New Roman" w:cs="Times New Roman"/>
          <w:sz w:val="24"/>
          <w:szCs w:val="24"/>
        </w:rPr>
        <w:t>, as in GWP, most of the acidification potential (A</w:t>
      </w:r>
      <w:r>
        <w:rPr>
          <w:rFonts w:ascii="Times New Roman" w:hAnsi="Times New Roman" w:cs="Times New Roman"/>
          <w:sz w:val="24"/>
          <w:szCs w:val="24"/>
        </w:rPr>
        <w:t>C</w:t>
      </w:r>
      <w:r w:rsidRPr="00E601D0">
        <w:rPr>
          <w:rFonts w:ascii="Times New Roman" w:hAnsi="Times New Roman" w:cs="Times New Roman"/>
          <w:sz w:val="24"/>
          <w:szCs w:val="24"/>
        </w:rPr>
        <w:t>P) resulted from the construction phase and none from the demolition phase. T</w:t>
      </w:r>
      <w:r w:rsidR="00545EA3">
        <w:rPr>
          <w:rFonts w:ascii="Times New Roman" w:hAnsi="Times New Roman" w:cs="Times New Roman"/>
          <w:sz w:val="24"/>
          <w:szCs w:val="24"/>
        </w:rPr>
        <w:t>he t</w:t>
      </w:r>
      <w:r w:rsidRPr="00E601D0">
        <w:rPr>
          <w:rFonts w:ascii="Times New Roman" w:hAnsi="Times New Roman" w:cs="Times New Roman"/>
          <w:sz w:val="24"/>
          <w:szCs w:val="24"/>
        </w:rPr>
        <w:t xml:space="preserve">ransportation stage also contributes significantly to this impact category, while the operation and maintenance stage is </w:t>
      </w:r>
      <w:r w:rsidR="001E0BBF">
        <w:rPr>
          <w:rFonts w:ascii="Times New Roman" w:hAnsi="Times New Roman" w:cs="Times New Roman"/>
          <w:sz w:val="24"/>
          <w:szCs w:val="24"/>
        </w:rPr>
        <w:t xml:space="preserve">only </w:t>
      </w:r>
      <w:r w:rsidRPr="00E601D0">
        <w:rPr>
          <w:rFonts w:ascii="Times New Roman" w:hAnsi="Times New Roman" w:cs="Times New Roman"/>
          <w:sz w:val="24"/>
          <w:szCs w:val="24"/>
        </w:rPr>
        <w:t xml:space="preserve">a minor </w:t>
      </w:r>
      <w:r>
        <w:rPr>
          <w:rFonts w:ascii="Times New Roman" w:hAnsi="Times New Roman" w:cs="Times New Roman"/>
          <w:sz w:val="24"/>
          <w:szCs w:val="24"/>
        </w:rPr>
        <w:t>contributor</w:t>
      </w:r>
      <w:r w:rsidRPr="00E601D0">
        <w:rPr>
          <w:rFonts w:ascii="Times New Roman" w:hAnsi="Times New Roman" w:cs="Times New Roman"/>
          <w:sz w:val="24"/>
          <w:szCs w:val="24"/>
        </w:rPr>
        <w:t xml:space="preserve">. The majority of acidifying pollutants </w:t>
      </w:r>
      <w:r w:rsidR="00545EA3">
        <w:rPr>
          <w:rFonts w:ascii="Times New Roman" w:hAnsi="Times New Roman" w:cs="Times New Roman"/>
          <w:sz w:val="24"/>
          <w:szCs w:val="24"/>
        </w:rPr>
        <w:t xml:space="preserve">come </w:t>
      </w:r>
      <w:r w:rsidRPr="00E601D0">
        <w:rPr>
          <w:rFonts w:ascii="Times New Roman" w:hAnsi="Times New Roman" w:cs="Times New Roman"/>
          <w:sz w:val="24"/>
          <w:szCs w:val="24"/>
        </w:rPr>
        <w:t xml:space="preserve">from the combustion of fossil fuels for the production of construction equipment and transportation. </w:t>
      </w:r>
      <w:r>
        <w:rPr>
          <w:rFonts w:ascii="Times New Roman" w:hAnsi="Times New Roman" w:cs="Times New Roman"/>
          <w:sz w:val="24"/>
          <w:szCs w:val="24"/>
        </w:rPr>
        <w:t xml:space="preserve">In previous studies, acidifying gases </w:t>
      </w:r>
      <w:r w:rsidR="00545EA3">
        <w:rPr>
          <w:rFonts w:ascii="Times New Roman" w:hAnsi="Times New Roman" w:cs="Times New Roman"/>
          <w:sz w:val="24"/>
          <w:szCs w:val="24"/>
        </w:rPr>
        <w:t xml:space="preserve">were </w:t>
      </w:r>
      <w:r>
        <w:rPr>
          <w:rFonts w:ascii="Times New Roman" w:hAnsi="Times New Roman" w:cs="Times New Roman"/>
          <w:sz w:val="24"/>
          <w:szCs w:val="24"/>
        </w:rPr>
        <w:t xml:space="preserve">mostly associated with dam construction </w:t>
      </w:r>
      <w:r>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{"citationItems":[{"id":"ITEM-1","itemData":{"DOI":"10.1016/j.apenergy.2014.06.078","ISSN":"03062619","abstract":"The need to reduce dependency on fossil resources and to decrease greenhouse gas (GHG) emissions is driving many countries towards the implementation of low-carbon electricity systems. In this study the environmental impact of a future (2030) possible low-carbon electricity system in Denmark was assessed and compared with the current situation (2010) and an alternative 2030 scenario using life cycle assessment (LCA). The influence on the final results of the modeling approach used for (i) electricity import, (ii) biomass resources, and (iii) the cogeneration of heat and power was discussed. The results showed that consumption of fossil resources and global warming impacts from the Danish electricity sector could be reduced significantly compared with 2010. Nevertheless, a reduction in GHG may be at the expense of other environmental impacts, such as the increased depletion of abiotic resources. Moreover, the results were very dependent upon biomass origin: when agricultural land was affected by biomass import, and land use changes and transportation were included, GHG emissions from imported biomass were comparable to those from fossil fuels. The results were significantly influenced by the modeling approach regarding the import of electricity, biomass provision, and the allocation between heat and power in cogeneration plants. As the importance of all three aspects is likely to increase in the future, transparency in LCA modeling is critical. Characterized impacts for Danish power plants in 2010 and 2030 (including corresponding electricity supply mixes) were provided, thus enabling future LCA studies to include appropriately impacts from the Danish electricity sector. © 2014 Elsevier Ltd.","author":[{"dropping-particle":"","family":"Turconi","given":"Roberto","non-dropping-particle":"","parse-names":false,"suffix":""},{"dropping-particle":"","family":"Tonini","given":"Davide","non-dropping-particle":"","parse-names":false,"suffix":""},{"dropping-particle":"","family":"Nielsen","given":"Christian F.B.","non-dropping-particle":"","parse-names":false,"suffix":""},{"dropping-particle":"","family":"Simonsen","given":"Christian G.","non-dropping-particle":"","parse-names":false,"suffix":""},{"dropping-particle":"","family":"Astrup","given":"Thomas","non-dropping-particle":"","parse-names":false,"suffix":""}],"container-title":"Applied Energy","id":"ITEM-1","issue":"x","issued":{"date-parts":[["2014"]]},"page":"66-73","publisher":"Elsevier Ltd","title":"Environmental impacts of future low-carbon electricity systems: Detailed life cycle assessment of a Danish case study","type":"article-journal","volume":"132"},"uris":["http://www.mendeley.com/documents/?uuid=40dd630b-e780-4e65-8eda-8b9f5d3e5df4"]}],"mendeley":{"formattedCitation":"(Turconi et al., 2014)","manualFormatting":"(Turconi et al., 2014)","plainTextFormattedCitation":"(Turconi et al., 2014)","previouslyFormattedCitation":"(Turconi et al., 2014)"},"properties":{"noteIndex":0},"schema":"https://github.com/citation-style-language/schema/raw/master/csl-citation.json"}</w:instrText>
      </w:r>
      <w:r>
        <w:rPr>
          <w:rFonts w:ascii="Times New Roman" w:hAnsi="Times New Roman" w:cs="Times New Roman"/>
          <w:sz w:val="24"/>
          <w:szCs w:val="24"/>
        </w:rPr>
        <w:fldChar w:fldCharType="separate"/>
      </w:r>
      <w:r w:rsidRPr="002E54B6">
        <w:rPr>
          <w:rFonts w:ascii="Times New Roman" w:hAnsi="Times New Roman" w:cs="Times New Roman"/>
          <w:noProof/>
          <w:sz w:val="24"/>
          <w:szCs w:val="24"/>
        </w:rPr>
        <w:t>(Turconi</w:t>
      </w:r>
      <w:r>
        <w:rPr>
          <w:rFonts w:ascii="Times New Roman" w:hAnsi="Times New Roman" w:cs="Times New Roman"/>
          <w:noProof/>
          <w:sz w:val="24"/>
          <w:szCs w:val="24"/>
        </w:rPr>
        <w:t xml:space="preserve"> et al.,</w:t>
      </w:r>
      <w:r w:rsidRPr="002E54B6">
        <w:rPr>
          <w:rFonts w:ascii="Times New Roman" w:hAnsi="Times New Roman" w:cs="Times New Roman"/>
          <w:noProof/>
          <w:sz w:val="24"/>
          <w:szCs w:val="24"/>
        </w:rPr>
        <w:t xml:space="preserve"> 2014)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601D0">
        <w:rPr>
          <w:rFonts w:ascii="Times New Roman" w:hAnsi="Times New Roman" w:cs="Times New Roman"/>
          <w:sz w:val="24"/>
          <w:szCs w:val="24"/>
        </w:rPr>
        <w:t xml:space="preserve">The significant contribution from </w:t>
      </w:r>
      <w:r>
        <w:rPr>
          <w:rFonts w:ascii="Times New Roman" w:hAnsi="Times New Roman" w:cs="Times New Roman"/>
          <w:sz w:val="24"/>
          <w:szCs w:val="24"/>
        </w:rPr>
        <w:t>transportation</w:t>
      </w:r>
      <w:r w:rsidRPr="00E601D0">
        <w:rPr>
          <w:rFonts w:ascii="Times New Roman" w:hAnsi="Times New Roman" w:cs="Times New Roman"/>
          <w:sz w:val="24"/>
          <w:szCs w:val="24"/>
        </w:rPr>
        <w:t xml:space="preserve"> </w:t>
      </w:r>
      <w:r w:rsidR="00545EA3">
        <w:rPr>
          <w:rFonts w:ascii="Times New Roman" w:hAnsi="Times New Roman" w:cs="Times New Roman"/>
          <w:sz w:val="24"/>
          <w:szCs w:val="24"/>
        </w:rPr>
        <w:t xml:space="preserve">is probably </w:t>
      </w:r>
      <w:r w:rsidRPr="00E601D0">
        <w:rPr>
          <w:rFonts w:ascii="Times New Roman" w:hAnsi="Times New Roman" w:cs="Times New Roman"/>
          <w:sz w:val="24"/>
          <w:szCs w:val="24"/>
        </w:rPr>
        <w:t>due to the fossil fuel dominant electricity mix in both</w:t>
      </w:r>
      <w:r w:rsidR="00545EA3">
        <w:rPr>
          <w:rFonts w:ascii="Times New Roman" w:hAnsi="Times New Roman" w:cs="Times New Roman"/>
          <w:sz w:val="24"/>
          <w:szCs w:val="24"/>
        </w:rPr>
        <w:t>,</w:t>
      </w:r>
      <w:r w:rsidRPr="00E601D0">
        <w:rPr>
          <w:rFonts w:ascii="Times New Roman" w:hAnsi="Times New Roman" w:cs="Times New Roman"/>
          <w:sz w:val="24"/>
          <w:szCs w:val="24"/>
        </w:rPr>
        <w:t xml:space="preserve"> China and Myanmar </w:t>
      </w:r>
      <w:r w:rsidR="006B7259">
        <w:rPr>
          <w:rFonts w:ascii="Times New Roman" w:hAnsi="Times New Roman" w:cs="Times New Roman"/>
          <w:sz w:val="24"/>
          <w:szCs w:val="24"/>
        </w:rPr>
        <w:fldChar w:fldCharType="begin" w:fldLock="1"/>
      </w:r>
      <w:r w:rsidR="00547D0C">
        <w:rPr>
          <w:rFonts w:ascii="Times New Roman" w:hAnsi="Times New Roman" w:cs="Times New Roman"/>
          <w:sz w:val="24"/>
          <w:szCs w:val="24"/>
        </w:rPr>
        <w:instrText>ADDIN CSL_CITATION {"citationItems":[{"id":"ITEM-1","itemData":{"DOI":"DOI 10.1007/s11367-015-0878-7","author":[{"dropping-particle":"","family":"Pang","given":"Mingyue;","non-dropping-particle":"","parse-names":false,"suffix":""},{"dropping-particle":"","family":"Zhang, Lixiao; Wang, Changbo &amp; Liu","given":"Gengyuan","non-dropping-particle":"","parse-names":false,"suffix":""}],"container-title":"Int J Life Cycle Assess","id":"ITEM-1","issue":"20","issued":{"date-parts":[["2015"]]},"page":"796-806","title":"Environmental life cycle assessment of a small hydropower plant in China","type":"article-journal"},"uris":["http://www.mendeley.com/documents/?uuid=5c796f13-37e3-4183-a3ef-7b990e426fdc"]}],"mendeley":{"formattedCitation":"(Pang &amp; Zhang, Lixiao; Wang, Changbo &amp; Liu, 2015)","manualFormatting":"(Pang et al., 2015)","plainTextFormattedCitation":"(Pang &amp; Zhang, Lixiao; Wang, Changbo &amp; Liu, 2015)","previouslyFormattedCitation":"(Pang &amp; Zhang, Lixiao; Wang, Changbo &amp; Liu, 2015)"},"properties":{"noteIndex":0},"schema":"https://github.com/citation-style-language/schema/raw/master/csl-citation.json"}</w:instrText>
      </w:r>
      <w:r w:rsidR="006B7259">
        <w:rPr>
          <w:rFonts w:ascii="Times New Roman" w:hAnsi="Times New Roman" w:cs="Times New Roman"/>
          <w:sz w:val="24"/>
          <w:szCs w:val="24"/>
        </w:rPr>
        <w:fldChar w:fldCharType="separate"/>
      </w:r>
      <w:r w:rsidR="006B7259" w:rsidRPr="00DD3838">
        <w:rPr>
          <w:rFonts w:ascii="Times New Roman" w:hAnsi="Times New Roman" w:cs="Times New Roman"/>
          <w:noProof/>
          <w:sz w:val="24"/>
          <w:szCs w:val="24"/>
        </w:rPr>
        <w:t xml:space="preserve">(Pang </w:t>
      </w:r>
      <w:r w:rsidR="006B7259">
        <w:rPr>
          <w:rFonts w:ascii="Times New Roman" w:hAnsi="Times New Roman" w:cs="Times New Roman"/>
          <w:noProof/>
          <w:sz w:val="24"/>
          <w:szCs w:val="24"/>
        </w:rPr>
        <w:t>et al.</w:t>
      </w:r>
      <w:r w:rsidR="006B7259" w:rsidRPr="00DD3838">
        <w:rPr>
          <w:rFonts w:ascii="Times New Roman" w:hAnsi="Times New Roman" w:cs="Times New Roman"/>
          <w:noProof/>
          <w:sz w:val="24"/>
          <w:szCs w:val="24"/>
        </w:rPr>
        <w:t>, 2015)</w:t>
      </w:r>
      <w:r w:rsidR="006B7259">
        <w:rPr>
          <w:rFonts w:ascii="Times New Roman" w:hAnsi="Times New Roman" w:cs="Times New Roman"/>
          <w:sz w:val="24"/>
          <w:szCs w:val="24"/>
        </w:rPr>
        <w:fldChar w:fldCharType="end"/>
      </w:r>
      <w:r w:rsidRPr="00E601D0">
        <w:rPr>
          <w:rFonts w:ascii="Times New Roman" w:hAnsi="Times New Roman" w:cs="Times New Roman"/>
          <w:sz w:val="24"/>
          <w:szCs w:val="24"/>
        </w:rPr>
        <w:t>. The total A</w:t>
      </w:r>
      <w:r>
        <w:rPr>
          <w:rFonts w:ascii="Times New Roman" w:hAnsi="Times New Roman" w:cs="Times New Roman"/>
          <w:sz w:val="24"/>
          <w:szCs w:val="24"/>
        </w:rPr>
        <w:t>C</w:t>
      </w:r>
      <w:r w:rsidRPr="00E601D0">
        <w:rPr>
          <w:rFonts w:ascii="Times New Roman" w:hAnsi="Times New Roman" w:cs="Times New Roman"/>
          <w:sz w:val="24"/>
          <w:szCs w:val="24"/>
        </w:rPr>
        <w:t>P of power plants is 76.59 g SO</w:t>
      </w:r>
      <w:r w:rsidRPr="00FE43F2">
        <w:rPr>
          <w:rFonts w:ascii="Times New Roman" w:hAnsi="Times New Roman" w:cs="Times New Roman"/>
          <w:sz w:val="24"/>
          <w:szCs w:val="24"/>
          <w:vertAlign w:val="subscript"/>
        </w:rPr>
        <w:t>2</w:t>
      </w:r>
      <w:r w:rsidRPr="00E601D0">
        <w:rPr>
          <w:rFonts w:ascii="Times New Roman" w:hAnsi="Times New Roman" w:cs="Times New Roman"/>
          <w:sz w:val="24"/>
          <w:szCs w:val="24"/>
        </w:rPr>
        <w:t>-eq for Yeywa, 82.28 g SO</w:t>
      </w:r>
      <w:r w:rsidRPr="00FE43F2">
        <w:rPr>
          <w:rFonts w:ascii="Times New Roman" w:hAnsi="Times New Roman" w:cs="Times New Roman"/>
          <w:sz w:val="24"/>
          <w:szCs w:val="24"/>
          <w:vertAlign w:val="subscript"/>
        </w:rPr>
        <w:t>2</w:t>
      </w:r>
      <w:r w:rsidRPr="00E601D0">
        <w:rPr>
          <w:rFonts w:ascii="Times New Roman" w:hAnsi="Times New Roman" w:cs="Times New Roman"/>
          <w:sz w:val="24"/>
          <w:szCs w:val="24"/>
        </w:rPr>
        <w:t>-eq for Shweli 1, 110.4 g SO</w:t>
      </w:r>
      <w:r w:rsidRPr="00FE43F2">
        <w:rPr>
          <w:rFonts w:ascii="Times New Roman" w:hAnsi="Times New Roman" w:cs="Times New Roman"/>
          <w:sz w:val="24"/>
          <w:szCs w:val="24"/>
          <w:vertAlign w:val="subscript"/>
        </w:rPr>
        <w:t>2</w:t>
      </w:r>
      <w:r w:rsidRPr="00E601D0">
        <w:rPr>
          <w:rFonts w:ascii="Times New Roman" w:hAnsi="Times New Roman" w:cs="Times New Roman"/>
          <w:sz w:val="24"/>
          <w:szCs w:val="24"/>
        </w:rPr>
        <w:t>-eq for Paung Laung (lower), 129.3 gSO</w:t>
      </w:r>
      <w:r w:rsidRPr="00FE43F2">
        <w:rPr>
          <w:rFonts w:ascii="Times New Roman" w:hAnsi="Times New Roman" w:cs="Times New Roman"/>
          <w:sz w:val="24"/>
          <w:szCs w:val="24"/>
          <w:vertAlign w:val="subscript"/>
        </w:rPr>
        <w:t>2</w:t>
      </w:r>
      <w:r w:rsidRPr="00E601D0">
        <w:rPr>
          <w:rFonts w:ascii="Times New Roman" w:hAnsi="Times New Roman" w:cs="Times New Roman"/>
          <w:sz w:val="24"/>
          <w:szCs w:val="24"/>
        </w:rPr>
        <w:t>-eq for Dapein 1 and 132.29 g SO</w:t>
      </w:r>
      <w:r w:rsidRPr="00FE43F2">
        <w:rPr>
          <w:rFonts w:ascii="Times New Roman" w:hAnsi="Times New Roman" w:cs="Times New Roman"/>
          <w:sz w:val="24"/>
          <w:szCs w:val="24"/>
          <w:vertAlign w:val="subscript"/>
        </w:rPr>
        <w:t>2</w:t>
      </w:r>
      <w:r w:rsidRPr="00E601D0">
        <w:rPr>
          <w:rFonts w:ascii="Times New Roman" w:hAnsi="Times New Roman" w:cs="Times New Roman"/>
          <w:sz w:val="24"/>
          <w:szCs w:val="24"/>
        </w:rPr>
        <w:t xml:space="preserve">-eq for Thuk Ye Khat 2. </w:t>
      </w:r>
      <w:r>
        <w:rPr>
          <w:rFonts w:ascii="Times New Roman" w:hAnsi="Times New Roman" w:cs="Times New Roman"/>
          <w:sz w:val="24"/>
          <w:szCs w:val="24"/>
        </w:rPr>
        <w:t>The</w:t>
      </w:r>
      <w:r w:rsidR="00545EA3">
        <w:rPr>
          <w:rFonts w:ascii="Times New Roman" w:hAnsi="Times New Roman" w:cs="Times New Roman"/>
          <w:sz w:val="24"/>
          <w:szCs w:val="24"/>
        </w:rPr>
        <w:t>se</w:t>
      </w:r>
      <w:r>
        <w:rPr>
          <w:rFonts w:ascii="Times New Roman" w:hAnsi="Times New Roman" w:cs="Times New Roman"/>
          <w:sz w:val="24"/>
          <w:szCs w:val="24"/>
        </w:rPr>
        <w:t xml:space="preserve"> values correspond </w:t>
      </w:r>
      <w:r w:rsidR="001E0BBF">
        <w:rPr>
          <w:rFonts w:ascii="Times New Roman" w:hAnsi="Times New Roman" w:cs="Times New Roman"/>
          <w:sz w:val="24"/>
          <w:szCs w:val="24"/>
        </w:rPr>
        <w:t xml:space="preserve">to </w:t>
      </w:r>
      <w:r>
        <w:rPr>
          <w:rFonts w:ascii="Times New Roman" w:hAnsi="Times New Roman" w:cs="Times New Roman"/>
          <w:sz w:val="24"/>
          <w:szCs w:val="24"/>
        </w:rPr>
        <w:t xml:space="preserve">the results from the LCA studies of much </w:t>
      </w:r>
      <w:r w:rsidR="00545EA3">
        <w:rPr>
          <w:rFonts w:ascii="Times New Roman" w:hAnsi="Times New Roman" w:cs="Times New Roman"/>
          <w:sz w:val="24"/>
          <w:szCs w:val="24"/>
        </w:rPr>
        <w:t xml:space="preserve">smaller </w:t>
      </w:r>
      <w:r>
        <w:rPr>
          <w:rFonts w:ascii="Times New Roman" w:hAnsi="Times New Roman" w:cs="Times New Roman"/>
          <w:sz w:val="24"/>
          <w:szCs w:val="24"/>
        </w:rPr>
        <w:t xml:space="preserve">hydropower plants (1-5 MW)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{"citationItems":[{"id":"ITEM-1","itemData":{"DOI":"10.1007/s11367-011-0311-9","ISSN":"16147502","abstract":"The conversion of electricity in Thailand is mainly based on fossil fuels that account more than 90% of electricity generated in the country. The use of fossil fuels has large environmental impacts, and being largely imported, also affects the energy security of the country. From the oil shock situation in 1970s, there has been interest in renewable energy in Thailand resulting in the policy goal for the year 2020 to increase the portion of renewable energy to 20% of energy used in the country. Now, hydropower contributes a significant portion of the renewable energy in Thailand, and mini-hydropower (run-of-river type with capacity between 200 to 6000 kW) tends to be most attractive. This is particularly suitable for Thailand, and it is being applied at several locations. Thus, the overall life cycle assessment (LCA), from cradle to gate, of mini-hydropower plants needs to be assessed for quantitative evaluation.|There are five mini-hydropower plants in this study. The inputs and outputs of materials and energy used since before construction stage to demolition stage are inventoried and assessed via LCA using the CML 2001 baseline methodology for impact assessment. The impact categories considered in this study are global warming (GWP), abiotic depletion (ADP), acidification (ACP), fresh water aquatic toxicity (FWAP), human toxicology (HTP), photochemical oxidation (POP), and fossil fuel resource depletion (FRP) potential. The functional unit used is 1 MWh electricity produced from mini-hydropower plants in Thailand, and the life span of the power plants is 50 years.|For each of the environmental impact categories considered, the impact potentials were evaluated for each of the five mini-hydropower plants; 76.39-151.55 g Sb eq/MWh for ADP, 57.28-116.94 g SO(2) eq/MWh for ACP, 11.01-23.01 kg CO(2) eq/MWh for GWP, 23.01-52.05 kg 1,4-DB eq/MWh for HTP, 4.58-9.08 kg 1,4-DB eq/MWh for FWAP, 2.93-7.47 g C(2)H(4) eq/MWh for POP, and 35.11-79.13 g Sb eq/MWh for FRP.|The main contributors to the impacts are the huge amount of materials used for construction of the mini-hydropower plant; sand, gravel, cement, reinforcement steel, pressure pipeline steel, iron, copper, and electric equipment and energy used for construction activities, construction equipment, and transportation. The remoteness of the mini-hydropower plants and the requirement of importing electric equipment technology from overseas are significant contributors to the environmental impacts.|The env…","author":[{"dropping-particle":"","family":"Suwanit","given":"Wannarat","non-dropping-particle":"","parse-names":false,"suffix":""},{"dropping-particle":"","family":"Gheewala","given":"Shabbir H.","non-dropping-particle":"","parse-names":false,"suffix":""}],"container-title":"International Journal of Life Cycle Assessment","id":"ITEM-1","issued":{"date-parts":[["2011"]]},"title":"Life cycle assessment of mini-hydropower plants in Thailand","type":"article-journal"},"uris":["http://www.mendeley.com/documents/?uuid=eccbb7e0-b1d2-4566-aede-3552201ffb7b"]}],"mendeley":{"formattedCitation":"(Suwanit &amp; Gheewala, 2011)","plainTextFormattedCitation":"(Suwanit &amp; Gheewala, 2011)","previouslyFormattedCitation":"(Suwanit &amp; Gheewala, 2011)"},"properties":{"noteIndex":0},"schema":"https://github.com/citation-style-language/schema/raw/master/csl-citation.json"}</w:instrText>
      </w:r>
      <w:r>
        <w:rPr>
          <w:rFonts w:ascii="Times New Roman" w:hAnsi="Times New Roman" w:cs="Times New Roman"/>
          <w:sz w:val="24"/>
          <w:szCs w:val="24"/>
        </w:rPr>
        <w:fldChar w:fldCharType="separate"/>
      </w:r>
      <w:r w:rsidRPr="003929D6">
        <w:rPr>
          <w:rFonts w:ascii="Times New Roman" w:hAnsi="Times New Roman" w:cs="Times New Roman"/>
          <w:noProof/>
          <w:sz w:val="24"/>
          <w:szCs w:val="24"/>
        </w:rPr>
        <w:t>(Suwanit &amp; Gheewala, 2011)</w:t>
      </w:r>
      <w:r>
        <w:rPr>
          <w:rFonts w:ascii="Times New Roman" w:hAnsi="Times New Roman" w:cs="Times New Roman"/>
          <w:sz w:val="24"/>
          <w:szCs w:val="24"/>
        </w:rPr>
        <w:fldChar w:fldCharType="end"/>
      </w:r>
      <w:r>
        <w:rPr>
          <w:rFonts w:ascii="Times New Roman" w:hAnsi="Times New Roman" w:cs="Times New Roman"/>
          <w:sz w:val="24"/>
          <w:szCs w:val="24"/>
        </w:rPr>
        <w:t xml:space="preserve">. Similar to other environmental indicators, the larger the plants are, the higher </w:t>
      </w:r>
      <w:r w:rsidR="00290258">
        <w:rPr>
          <w:rFonts w:ascii="Times New Roman" w:hAnsi="Times New Roman" w:cs="Times New Roman"/>
          <w:sz w:val="24"/>
          <w:szCs w:val="24"/>
        </w:rPr>
        <w:t xml:space="preserve">the </w:t>
      </w:r>
      <w:r>
        <w:rPr>
          <w:rFonts w:ascii="Times New Roman" w:hAnsi="Times New Roman" w:cs="Times New Roman"/>
          <w:sz w:val="24"/>
          <w:szCs w:val="24"/>
        </w:rPr>
        <w:t>ACP values. Given the similarities among the considered powerplants, the variability is relatively low compare</w:t>
      </w:r>
      <w:r w:rsidR="00290258">
        <w:rPr>
          <w:rFonts w:ascii="Times New Roman" w:hAnsi="Times New Roman" w:cs="Times New Roman"/>
          <w:sz w:val="24"/>
          <w:szCs w:val="24"/>
        </w:rPr>
        <w:t>d</w:t>
      </w:r>
      <w:r>
        <w:rPr>
          <w:rFonts w:ascii="Times New Roman" w:hAnsi="Times New Roman" w:cs="Times New Roman"/>
          <w:sz w:val="24"/>
          <w:szCs w:val="24"/>
        </w:rPr>
        <w:t xml:space="preserve"> </w:t>
      </w:r>
      <w:r w:rsidR="00290258">
        <w:rPr>
          <w:rFonts w:ascii="Times New Roman" w:hAnsi="Times New Roman" w:cs="Times New Roman"/>
          <w:sz w:val="24"/>
          <w:szCs w:val="24"/>
        </w:rPr>
        <w:t xml:space="preserve">with </w:t>
      </w:r>
      <w:r>
        <w:rPr>
          <w:rFonts w:ascii="Times New Roman" w:hAnsi="Times New Roman" w:cs="Times New Roman"/>
          <w:sz w:val="24"/>
          <w:szCs w:val="24"/>
        </w:rPr>
        <w:t xml:space="preserve">previous studies </w:t>
      </w:r>
      <w:r>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{"citationItems":[{"id":"ITEM-1","itemData":{"DOI":"10.1016/j.rser.2014.10.082","ISSN":"18790690","abstract":"A significant number of Life Cycle Assessment (LCA) analyses of renewable energy technologies is available in the literature, even though there is a lack of consistent conclusions about the life cycle impacts of the different technologies. The reported results vary consistently, according to the size and the technology of the considered plant, thus limiting the utility of LCA to inform policy makers and constituting a barrier to the deployment of a full awareness on sustainable energies. This variability in LCA results, in fact, can generate confusion regarding the actual environmental consequences of implementing renewable technologies. The article reviews approximately 50 papers, related to more than 100 different case studies regarding solar energy (Concentrated Solar Power, Photovoltaic), wind power, hydropower, and geothermal power. A methodology for the harmonization of the results is presented. The detailed data collection and the results normalization and harmonization allowed a more reliable comparison of the various renewable technologies. For most of the considered environmental indicators, wind power technologies turn out to be the low end while geothermal and PV technologies the high end of the impact range where all the other technologies are positioned.","author":[{"dropping-particle":"","family":"Asdrubali","given":"Francesco","non-dropping-particle":"","parse-names":false,"suffix":""},{"dropping-particle":"","family":"Baldinelli","given":"Giorgio","non-dropping-particle":"","parse-names":false,"suffix":""},{"dropping-particle":"","family":"D'Alessandro","given":"Francesco","non-dropping-particle":"","parse-names":false,"suffix":""},{"dropping-particle":"","family":"Scrucca","given":"Flavio","non-dropping-particle":"","parse-names":false,"suffix":""}],"container-title":"Renewable and Sustainable Energy Reviews","id":"ITEM-1","issued":{"date-parts":[["2015"]]},"page":"1113-1122","publisher":"Elsevier","title":"Life cycle assessment of electricity production from renewable energies: Review and results harmonization","type":"article-journal","volume":"42"},"uris":["http://www.mendeley.com/documents/?uuid=4f734545-99c0-45e7-9939-923ffc25249e"]}],"mendeley":{"formattedCitation":"(Asdrubali et al., 2015)","manualFormatting":"(Asdrubali et al., 2015)","plainTextFormattedCitation":"(Asdrubali et al., 2015)","previouslyFormattedCitation":"(Asdrubali et al., 2015)"},"properties":{"noteIndex":0},"schema":"https://github.com/citation-style-language/schema/raw/master/csl-citation.json"}</w:instrText>
      </w:r>
      <w:r>
        <w:rPr>
          <w:rFonts w:ascii="Times New Roman" w:hAnsi="Times New Roman" w:cs="Times New Roman"/>
          <w:sz w:val="24"/>
          <w:szCs w:val="24"/>
        </w:rPr>
        <w:fldChar w:fldCharType="separate"/>
      </w:r>
      <w:r w:rsidRPr="00F34241">
        <w:rPr>
          <w:rFonts w:ascii="Times New Roman" w:hAnsi="Times New Roman" w:cs="Times New Roman"/>
          <w:noProof/>
          <w:sz w:val="24"/>
          <w:szCs w:val="24"/>
        </w:rPr>
        <w:t>(Asdrubali</w:t>
      </w:r>
      <w:r>
        <w:rPr>
          <w:rFonts w:ascii="Times New Roman" w:hAnsi="Times New Roman" w:cs="Times New Roman"/>
          <w:noProof/>
          <w:sz w:val="24"/>
          <w:szCs w:val="24"/>
        </w:rPr>
        <w:t xml:space="preserve"> et al., </w:t>
      </w:r>
      <w:r w:rsidRPr="00F34241">
        <w:rPr>
          <w:rFonts w:ascii="Times New Roman" w:hAnsi="Times New Roman" w:cs="Times New Roman"/>
          <w:noProof/>
          <w:sz w:val="24"/>
          <w:szCs w:val="24"/>
        </w:rPr>
        <w:t>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1E2733D9" w14:textId="7E042826" w:rsidR="00C86779" w:rsidRDefault="00ED055F" w:rsidP="004F2BB1">
      <w:pPr>
        <w:spacing w:line="240" w:lineRule="auto"/>
        <w:rPr>
          <w:rFonts w:ascii="Times New Roman" w:hAnsi="Times New Roman" w:cs="Times New Roman"/>
          <w:i/>
          <w:sz w:val="24"/>
          <w:szCs w:val="24"/>
        </w:rPr>
      </w:pPr>
      <w:r>
        <w:rPr>
          <w:rFonts w:ascii="Times New Roman" w:hAnsi="Times New Roman" w:cs="Times New Roman"/>
          <w:i/>
          <w:sz w:val="24"/>
          <w:szCs w:val="24"/>
        </w:rPr>
        <w:t>Mineral</w:t>
      </w:r>
      <w:r w:rsidRPr="00445DD0">
        <w:rPr>
          <w:rFonts w:ascii="Times New Roman" w:hAnsi="Times New Roman" w:cs="Times New Roman"/>
          <w:i/>
          <w:sz w:val="24"/>
          <w:szCs w:val="24"/>
        </w:rPr>
        <w:t xml:space="preserve"> </w:t>
      </w:r>
      <w:r w:rsidR="00C86779" w:rsidRPr="00445DD0">
        <w:rPr>
          <w:rFonts w:ascii="Times New Roman" w:hAnsi="Times New Roman" w:cs="Times New Roman"/>
          <w:i/>
          <w:sz w:val="24"/>
          <w:szCs w:val="24"/>
        </w:rPr>
        <w:t>Resource Depletio</w:t>
      </w:r>
      <w:r w:rsidR="00C86779">
        <w:rPr>
          <w:rFonts w:ascii="Times New Roman" w:hAnsi="Times New Roman" w:cs="Times New Roman"/>
          <w:i/>
          <w:sz w:val="24"/>
          <w:szCs w:val="24"/>
        </w:rPr>
        <w:t>n</w:t>
      </w:r>
      <w:r>
        <w:rPr>
          <w:rFonts w:ascii="Times New Roman" w:hAnsi="Times New Roman" w:cs="Times New Roman"/>
          <w:i/>
          <w:sz w:val="24"/>
          <w:szCs w:val="24"/>
        </w:rPr>
        <w:t xml:space="preserve"> Potential</w:t>
      </w:r>
    </w:p>
    <w:p w14:paraId="60FCD27D" w14:textId="6BA16EAC" w:rsidR="00C86779" w:rsidRDefault="00924445" w:rsidP="004F2BB1">
      <w:pPr>
        <w:spacing w:line="240" w:lineRule="auto"/>
        <w:rPr>
          <w:rFonts w:ascii="Times New Roman" w:hAnsi="Times New Roman" w:cs="Times New Roman"/>
          <w:sz w:val="24"/>
          <w:szCs w:val="24"/>
        </w:rPr>
      </w:pPr>
      <w:r>
        <w:rPr>
          <w:rFonts w:ascii="Times New Roman" w:hAnsi="Times New Roman" w:cs="Times New Roman"/>
          <w:sz w:val="24"/>
          <w:szCs w:val="24"/>
        </w:rPr>
        <w:t>E</w:t>
      </w:r>
      <w:r w:rsidR="00C86779" w:rsidRPr="004B7425">
        <w:rPr>
          <w:rFonts w:ascii="Times New Roman" w:hAnsi="Times New Roman" w:cs="Times New Roman"/>
          <w:sz w:val="24"/>
          <w:szCs w:val="24"/>
        </w:rPr>
        <w:t>nvironmental impacts correspond to the depletion of non-living mineral and energy resources</w:t>
      </w:r>
      <w:r>
        <w:rPr>
          <w:rFonts w:ascii="Times New Roman" w:hAnsi="Times New Roman" w:cs="Times New Roman"/>
          <w:sz w:val="24"/>
          <w:szCs w:val="24"/>
        </w:rPr>
        <w:t>,</w:t>
      </w:r>
      <w:r w:rsidR="00C86779" w:rsidRPr="004B7425">
        <w:rPr>
          <w:rFonts w:ascii="Times New Roman" w:hAnsi="Times New Roman" w:cs="Times New Roman"/>
          <w:sz w:val="24"/>
          <w:szCs w:val="24"/>
        </w:rPr>
        <w:t xml:space="preserve"> such as fossil-fuel, copper and iron, expressed in a gram of antimony equivalent, g Sb-eq. Resources are depleted when a significant volume of fuel and other resources are consumed. </w:t>
      </w:r>
      <w:r>
        <w:rPr>
          <w:rFonts w:ascii="Times New Roman" w:hAnsi="Times New Roman" w:cs="Times New Roman"/>
          <w:sz w:val="24"/>
          <w:szCs w:val="24"/>
        </w:rPr>
        <w:t>T</w:t>
      </w:r>
      <w:r w:rsidR="00C86779" w:rsidRPr="004B7425">
        <w:rPr>
          <w:rFonts w:ascii="Times New Roman" w:hAnsi="Times New Roman" w:cs="Times New Roman"/>
          <w:sz w:val="24"/>
          <w:szCs w:val="24"/>
        </w:rPr>
        <w:t xml:space="preserve">he </w:t>
      </w:r>
      <w:r w:rsidR="00ED055F">
        <w:rPr>
          <w:rFonts w:ascii="Times New Roman" w:hAnsi="Times New Roman" w:cs="Times New Roman"/>
          <w:sz w:val="24"/>
          <w:szCs w:val="24"/>
        </w:rPr>
        <w:t>mineral</w:t>
      </w:r>
      <w:r w:rsidR="00ED055F" w:rsidRPr="004B7425">
        <w:rPr>
          <w:rFonts w:ascii="Times New Roman" w:hAnsi="Times New Roman" w:cs="Times New Roman"/>
          <w:sz w:val="24"/>
          <w:szCs w:val="24"/>
        </w:rPr>
        <w:t xml:space="preserve"> </w:t>
      </w:r>
      <w:r w:rsidR="00C86779" w:rsidRPr="004B7425">
        <w:rPr>
          <w:rFonts w:ascii="Times New Roman" w:hAnsi="Times New Roman" w:cs="Times New Roman"/>
          <w:sz w:val="24"/>
          <w:szCs w:val="24"/>
        </w:rPr>
        <w:t xml:space="preserve">resource depletion for Yeywa hydropower plant is 92.7 g Sb-eq, Shweli 1 is 94.29 g Sb-eq, Paung Laung (lower) is 103.62 g Sb-eq, Dapein is 108.86 g Sb-eq, and Thuk Ye Khat 2 is 139.29 g Sb-eq. </w:t>
      </w:r>
      <w:r w:rsidR="00C86779">
        <w:rPr>
          <w:rFonts w:ascii="Times New Roman" w:hAnsi="Times New Roman" w:cs="Times New Roman"/>
          <w:sz w:val="24"/>
          <w:szCs w:val="24"/>
        </w:rPr>
        <w:t>The values are within the range of the results from other studies using both</w:t>
      </w:r>
      <w:r>
        <w:rPr>
          <w:rFonts w:ascii="Times New Roman" w:hAnsi="Times New Roman" w:cs="Times New Roman"/>
          <w:sz w:val="24"/>
          <w:szCs w:val="24"/>
        </w:rPr>
        <w:t>,</w:t>
      </w:r>
      <w:r w:rsidR="00C86779">
        <w:rPr>
          <w:rFonts w:ascii="Times New Roman" w:hAnsi="Times New Roman" w:cs="Times New Roman"/>
          <w:sz w:val="24"/>
          <w:szCs w:val="24"/>
        </w:rPr>
        <w:t xml:space="preserve"> smaller and larger scale power plants.</w:t>
      </w:r>
      <w:r w:rsidR="00C86779" w:rsidRPr="004B7425">
        <w:rPr>
          <w:rFonts w:ascii="Times New Roman" w:hAnsi="Times New Roman" w:cs="Times New Roman"/>
          <w:sz w:val="24"/>
          <w:szCs w:val="24"/>
        </w:rPr>
        <w:t xml:space="preserve"> </w:t>
      </w:r>
      <w:r>
        <w:rPr>
          <w:rFonts w:ascii="Times New Roman" w:hAnsi="Times New Roman" w:cs="Times New Roman"/>
          <w:sz w:val="24"/>
          <w:szCs w:val="24"/>
        </w:rPr>
        <w:t>R</w:t>
      </w:r>
      <w:r w:rsidR="00C86779" w:rsidRPr="004B7425">
        <w:rPr>
          <w:rFonts w:ascii="Times New Roman" w:hAnsi="Times New Roman" w:cs="Times New Roman"/>
          <w:sz w:val="24"/>
          <w:szCs w:val="24"/>
        </w:rPr>
        <w:t>esource depletion per MWh of electricity generation is higher in smaller hydropower plants.</w:t>
      </w:r>
      <w:r w:rsidR="00C86779">
        <w:rPr>
          <w:rFonts w:ascii="Times New Roman" w:hAnsi="Times New Roman" w:cs="Times New Roman"/>
          <w:sz w:val="24"/>
          <w:szCs w:val="24"/>
        </w:rPr>
        <w:t xml:space="preserve"> It is also important to note that </w:t>
      </w:r>
      <w:r w:rsidR="00FA6897">
        <w:rPr>
          <w:rFonts w:ascii="Times New Roman" w:hAnsi="Times New Roman" w:cs="Times New Roman"/>
          <w:sz w:val="24"/>
          <w:szCs w:val="24"/>
        </w:rPr>
        <w:t>MRDP</w:t>
      </w:r>
      <w:r w:rsidR="00C86779">
        <w:rPr>
          <w:rFonts w:ascii="Times New Roman" w:hAnsi="Times New Roman" w:cs="Times New Roman"/>
          <w:sz w:val="24"/>
          <w:szCs w:val="24"/>
        </w:rPr>
        <w:t xml:space="preserve"> value is not determined by the type of dams</w:t>
      </w:r>
      <w:r>
        <w:rPr>
          <w:rFonts w:ascii="Times New Roman" w:hAnsi="Times New Roman" w:cs="Times New Roman"/>
          <w:sz w:val="24"/>
          <w:szCs w:val="24"/>
        </w:rPr>
        <w:t>,</w:t>
      </w:r>
      <w:r w:rsidR="00C86779">
        <w:rPr>
          <w:rFonts w:ascii="Times New Roman" w:hAnsi="Times New Roman" w:cs="Times New Roman"/>
          <w:sz w:val="24"/>
          <w:szCs w:val="24"/>
        </w:rPr>
        <w:t xml:space="preserve"> whether they are reservoir or run-of-river </w:t>
      </w:r>
      <w:r>
        <w:rPr>
          <w:rFonts w:ascii="Times New Roman" w:hAnsi="Times New Roman" w:cs="Times New Roman"/>
          <w:sz w:val="24"/>
          <w:szCs w:val="24"/>
        </w:rPr>
        <w:t xml:space="preserve">based </w:t>
      </w:r>
      <w:r w:rsidR="00C86779">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{"citationItems":[{"id":"ITEM-1","itemData":{"DOI":"10.1016/j.apenergy.2014.08.067","ISSN":"03062619","abstract":"The Portuguese electricity mix is undergoing a significant shift away from the technologies that have dominated generation for the past decades. This article aims at assessing the environmental life-cycle impacts of electricity generation and supply in Portugal (PT), including: (i) modeling the main electricity generation systems; (ii) modeling the transmission and distribution (T&amp;D) grid infrastructure; (iii) characterizing the evolution of the electricity sector in PT from 2003 to 2012; and (iv) discussing how the recent changes in the technology portfolio affected the environmental performance of the electricity generated and supplied. The life-cycle assessment methodology was used to quantify impacts in: non-renewable fossil energy demand (nREn), global warming (GW), abiotic depletion (AD), acidification (AC), eutrophication (ET), photochemical oxidation (PO) and ozone layer depletion (OD). From 2003 to 2012, an overall reduction of the environmental impacts was achieved. In particular, since 2008, electricity generation impacts in AC and PO dropped sharply as a result of the installation of desulphurization (62% reduction in AC; 74% reduction in PO) and denitrification (5% reduction in AC) systems in coal power plants (PP), as well as the phase out of large fuel oil PP. For NREn, AD and GW, the reduction of impacts was less pronounced (9-22% in the generation mix; 14-22% in the supply mix). T&amp;D grid added 5-14% to the environmental impacts due to infrastructure (&lt;5%) and T&amp;D losses (5-9%). Despite the large increase in renewable capacity (especially wind) and the investments in lower-carbon fossil fuel technologies (natural gas), electricity generation still relies heavily on coal. There is, however, potential to further reduce environmental impacts in key categories (NREn, AD and GW) since there is significant available capacity of natural gas combined cycle currently underutilized.","author":[{"dropping-particle":"","family":"Garcia","given":"Rita","non-dropping-particle":"","parse-names":false,"suffix":""},{"dropping-particle":"","family":"Marques","given":"Pedro","non-dropping-particle":"","parse-names":false,"suffix":""},{"dropping-particle":"","family":"Freire","given":"Fausto","non-dropping-particle":"","parse-names":false,"suffix":""}],"container-title":"Applied Energy","id":"ITEM-1","issued":{"date-parts":[["2014"]]},"title":"Life-cycle assessment of electricity in Portugal","type":"article-journal"},"uris":["http://www.mendeley.com/documents/?uuid=fe84c089-35d8-48a3-b412-8c243b3dad98"]}],"mendeley":{"formattedCitation":"(Garcia et al., 2014)","manualFormatting":"(Garcia et al.,  2014)","plainTextFormattedCitation":"(Garcia et al., 2014)","previouslyFormattedCitation":"(Garcia et al., 2014)"},"properties":{"noteIndex":0},"schema":"https://github.com/citation-style-language/schema/raw/master/csl-citation.json"}</w:instrText>
      </w:r>
      <w:r w:rsidR="00C86779">
        <w:rPr>
          <w:rFonts w:ascii="Times New Roman" w:hAnsi="Times New Roman" w:cs="Times New Roman"/>
          <w:sz w:val="24"/>
          <w:szCs w:val="24"/>
        </w:rPr>
        <w:fldChar w:fldCharType="separate"/>
      </w:r>
      <w:r w:rsidR="00C86779" w:rsidRPr="00154711">
        <w:rPr>
          <w:rFonts w:ascii="Times New Roman" w:hAnsi="Times New Roman" w:cs="Times New Roman"/>
          <w:noProof/>
          <w:sz w:val="24"/>
          <w:szCs w:val="24"/>
        </w:rPr>
        <w:t>(Garcia</w:t>
      </w:r>
      <w:r w:rsidR="00C86779">
        <w:rPr>
          <w:rFonts w:ascii="Times New Roman" w:hAnsi="Times New Roman" w:cs="Times New Roman"/>
          <w:noProof/>
          <w:sz w:val="24"/>
          <w:szCs w:val="24"/>
        </w:rPr>
        <w:t xml:space="preserve"> et al., </w:t>
      </w:r>
      <w:r w:rsidR="00C86779" w:rsidRPr="00154711">
        <w:rPr>
          <w:rFonts w:ascii="Times New Roman" w:hAnsi="Times New Roman" w:cs="Times New Roman"/>
          <w:noProof/>
          <w:sz w:val="24"/>
          <w:szCs w:val="24"/>
        </w:rPr>
        <w:t xml:space="preserve"> 2014)</w:t>
      </w:r>
      <w:r w:rsidR="00C86779">
        <w:rPr>
          <w:rFonts w:ascii="Times New Roman" w:hAnsi="Times New Roman" w:cs="Times New Roman"/>
          <w:sz w:val="24"/>
          <w:szCs w:val="24"/>
        </w:rPr>
        <w:fldChar w:fldCharType="end"/>
      </w:r>
      <w:r w:rsidR="00C86779">
        <w:rPr>
          <w:rFonts w:ascii="Times New Roman" w:hAnsi="Times New Roman" w:cs="Times New Roman"/>
          <w:sz w:val="24"/>
          <w:szCs w:val="24"/>
        </w:rPr>
        <w:t>.</w:t>
      </w:r>
      <w:r w:rsidR="00C86779" w:rsidRPr="004B7425">
        <w:rPr>
          <w:rFonts w:ascii="Times New Roman" w:hAnsi="Times New Roman" w:cs="Times New Roman"/>
          <w:sz w:val="24"/>
          <w:szCs w:val="24"/>
        </w:rPr>
        <w:t xml:space="preserve"> </w:t>
      </w:r>
      <w:r w:rsidR="00FA6897">
        <w:rPr>
          <w:rFonts w:ascii="Times New Roman" w:hAnsi="Times New Roman" w:cs="Times New Roman"/>
          <w:sz w:val="24"/>
          <w:szCs w:val="24"/>
        </w:rPr>
        <w:t>MRD</w:t>
      </w:r>
      <w:r w:rsidR="00C86779">
        <w:rPr>
          <w:rFonts w:ascii="Times New Roman" w:hAnsi="Times New Roman" w:cs="Times New Roman"/>
          <w:sz w:val="24"/>
          <w:szCs w:val="24"/>
        </w:rPr>
        <w:t>P</w:t>
      </w:r>
      <w:r w:rsidR="00C86779" w:rsidRPr="004B7425">
        <w:rPr>
          <w:rFonts w:ascii="Times New Roman" w:hAnsi="Times New Roman" w:cs="Times New Roman"/>
          <w:sz w:val="24"/>
          <w:szCs w:val="24"/>
        </w:rPr>
        <w:t xml:space="preserve"> is the dominant impact</w:t>
      </w:r>
      <w:r>
        <w:rPr>
          <w:rFonts w:ascii="Times New Roman" w:hAnsi="Times New Roman" w:cs="Times New Roman"/>
          <w:sz w:val="24"/>
          <w:szCs w:val="24"/>
        </w:rPr>
        <w:t>,</w:t>
      </w:r>
      <w:r w:rsidR="00C86779" w:rsidRPr="004B7425">
        <w:rPr>
          <w:rFonts w:ascii="Times New Roman" w:hAnsi="Times New Roman" w:cs="Times New Roman"/>
          <w:sz w:val="24"/>
          <w:szCs w:val="24"/>
        </w:rPr>
        <w:t xml:space="preserve"> result</w:t>
      </w:r>
      <w:r>
        <w:rPr>
          <w:rFonts w:ascii="Times New Roman" w:hAnsi="Times New Roman" w:cs="Times New Roman"/>
          <w:sz w:val="24"/>
          <w:szCs w:val="24"/>
        </w:rPr>
        <w:t>ing</w:t>
      </w:r>
      <w:r w:rsidR="00C86779" w:rsidRPr="004B7425">
        <w:rPr>
          <w:rFonts w:ascii="Times New Roman" w:hAnsi="Times New Roman" w:cs="Times New Roman"/>
          <w:sz w:val="24"/>
          <w:szCs w:val="24"/>
        </w:rPr>
        <w:t xml:space="preserve"> from the construction phase of the hydropower plants. As mentioned</w:t>
      </w:r>
      <w:r>
        <w:rPr>
          <w:rFonts w:ascii="Times New Roman" w:hAnsi="Times New Roman" w:cs="Times New Roman"/>
          <w:sz w:val="24"/>
          <w:szCs w:val="24"/>
        </w:rPr>
        <w:t xml:space="preserve"> before</w:t>
      </w:r>
      <w:r w:rsidR="00C86779" w:rsidRPr="004B7425">
        <w:rPr>
          <w:rFonts w:ascii="Times New Roman" w:hAnsi="Times New Roman" w:cs="Times New Roman"/>
          <w:sz w:val="24"/>
          <w:szCs w:val="24"/>
        </w:rPr>
        <w:t xml:space="preserve">, most of the depleted resources originate from the construction phase because of the consumption of a </w:t>
      </w:r>
      <w:r w:rsidR="001E0BBF">
        <w:rPr>
          <w:rFonts w:ascii="Times New Roman" w:hAnsi="Times New Roman" w:cs="Times New Roman"/>
          <w:sz w:val="24"/>
          <w:szCs w:val="24"/>
        </w:rPr>
        <w:t>large</w:t>
      </w:r>
      <w:r w:rsidR="001E0BBF" w:rsidRPr="004B7425">
        <w:rPr>
          <w:rFonts w:ascii="Times New Roman" w:hAnsi="Times New Roman" w:cs="Times New Roman"/>
          <w:sz w:val="24"/>
          <w:szCs w:val="24"/>
        </w:rPr>
        <w:t xml:space="preserve"> </w:t>
      </w:r>
      <w:r w:rsidR="00C86779" w:rsidRPr="004B7425">
        <w:rPr>
          <w:rFonts w:ascii="Times New Roman" w:hAnsi="Times New Roman" w:cs="Times New Roman"/>
          <w:sz w:val="24"/>
          <w:szCs w:val="24"/>
        </w:rPr>
        <w:t xml:space="preserve">amount of energy, electricity and resources (steel, iron, stainless steel, gravel, cement and sand) for the production of construction materials. Transportation also causes significant resource depletion, followed by operation and maintenance and </w:t>
      </w:r>
      <w:r w:rsidR="00C86779">
        <w:rPr>
          <w:rFonts w:ascii="Times New Roman" w:hAnsi="Times New Roman" w:cs="Times New Roman"/>
          <w:sz w:val="24"/>
          <w:szCs w:val="24"/>
        </w:rPr>
        <w:t>demolition</w:t>
      </w:r>
      <w:r w:rsidR="00C86779" w:rsidRPr="004B7425">
        <w:rPr>
          <w:rFonts w:ascii="Times New Roman" w:hAnsi="Times New Roman" w:cs="Times New Roman"/>
          <w:sz w:val="24"/>
          <w:szCs w:val="24"/>
        </w:rPr>
        <w:t xml:space="preserve">. The substantial contribution </w:t>
      </w:r>
      <w:r w:rsidR="001E0BBF">
        <w:rPr>
          <w:rFonts w:ascii="Times New Roman" w:hAnsi="Times New Roman" w:cs="Times New Roman"/>
          <w:sz w:val="24"/>
          <w:szCs w:val="24"/>
        </w:rPr>
        <w:t>of</w:t>
      </w:r>
      <w:r w:rsidR="001E0BBF" w:rsidRPr="004B7425">
        <w:rPr>
          <w:rFonts w:ascii="Times New Roman" w:hAnsi="Times New Roman" w:cs="Times New Roman"/>
          <w:sz w:val="24"/>
          <w:szCs w:val="24"/>
        </w:rPr>
        <w:t xml:space="preserve"> </w:t>
      </w:r>
      <w:r w:rsidR="00C86779" w:rsidRPr="004B7425">
        <w:rPr>
          <w:rFonts w:ascii="Times New Roman" w:hAnsi="Times New Roman" w:cs="Times New Roman"/>
          <w:sz w:val="24"/>
          <w:szCs w:val="24"/>
        </w:rPr>
        <w:t xml:space="preserve">transportation </w:t>
      </w:r>
      <w:r w:rsidR="001E0BBF">
        <w:rPr>
          <w:rFonts w:ascii="Times New Roman" w:hAnsi="Times New Roman" w:cs="Times New Roman"/>
          <w:sz w:val="24"/>
          <w:szCs w:val="24"/>
        </w:rPr>
        <w:t xml:space="preserve">is </w:t>
      </w:r>
      <w:r w:rsidR="00C86779" w:rsidRPr="004B7425">
        <w:rPr>
          <w:rFonts w:ascii="Times New Roman" w:hAnsi="Times New Roman" w:cs="Times New Roman"/>
          <w:sz w:val="24"/>
          <w:szCs w:val="24"/>
        </w:rPr>
        <w:t xml:space="preserve">due to the remoteness of the hydropower plants in Myanmar. </w:t>
      </w:r>
    </w:p>
    <w:p w14:paraId="5E23EA43" w14:textId="77777777" w:rsidR="00C86779" w:rsidRDefault="00C86779" w:rsidP="004F2BB1">
      <w:pPr>
        <w:spacing w:line="240" w:lineRule="auto"/>
        <w:rPr>
          <w:rFonts w:ascii="Times New Roman" w:hAnsi="Times New Roman" w:cs="Times New Roman"/>
          <w:i/>
          <w:sz w:val="24"/>
          <w:szCs w:val="24"/>
        </w:rPr>
      </w:pPr>
      <w:r w:rsidRPr="00445DD0">
        <w:rPr>
          <w:rFonts w:ascii="Times New Roman" w:hAnsi="Times New Roman" w:cs="Times New Roman"/>
          <w:i/>
          <w:sz w:val="24"/>
          <w:szCs w:val="24"/>
        </w:rPr>
        <w:t>Freshwater aquatic ecotoxicity potential</w:t>
      </w:r>
    </w:p>
    <w:p w14:paraId="22DEF8EA" w14:textId="4EDE5CB9" w:rsidR="00C86779" w:rsidRDefault="00C86779" w:rsidP="004F2BB1">
      <w:pPr>
        <w:spacing w:line="240" w:lineRule="auto"/>
        <w:rPr>
          <w:rFonts w:ascii="Times New Roman" w:hAnsi="Times New Roman" w:cs="Times New Roman"/>
          <w:sz w:val="24"/>
          <w:szCs w:val="24"/>
        </w:rPr>
      </w:pPr>
      <w:r w:rsidRPr="00B17C67">
        <w:rPr>
          <w:rFonts w:ascii="Times New Roman" w:hAnsi="Times New Roman" w:cs="Times New Roman"/>
          <w:sz w:val="24"/>
          <w:szCs w:val="24"/>
        </w:rPr>
        <w:t xml:space="preserve">This </w:t>
      </w:r>
      <w:r w:rsidR="00924445">
        <w:rPr>
          <w:rFonts w:ascii="Times New Roman" w:hAnsi="Times New Roman" w:cs="Times New Roman"/>
          <w:sz w:val="24"/>
          <w:szCs w:val="24"/>
        </w:rPr>
        <w:t xml:space="preserve">is an indicator for </w:t>
      </w:r>
      <w:r w:rsidRPr="00B17C67">
        <w:rPr>
          <w:rFonts w:ascii="Times New Roman" w:hAnsi="Times New Roman" w:cs="Times New Roman"/>
          <w:sz w:val="24"/>
          <w:szCs w:val="24"/>
        </w:rPr>
        <w:t>effects of the emission of toxic substances on freshwater aquatic ecosystem</w:t>
      </w:r>
      <w:r w:rsidR="00924445">
        <w:rPr>
          <w:rFonts w:ascii="Times New Roman" w:hAnsi="Times New Roman" w:cs="Times New Roman"/>
          <w:sz w:val="24"/>
          <w:szCs w:val="24"/>
        </w:rPr>
        <w:t>s</w:t>
      </w:r>
      <w:r w:rsidRPr="00B17C67">
        <w:rPr>
          <w:rFonts w:ascii="Times New Roman" w:hAnsi="Times New Roman" w:cs="Times New Roman"/>
          <w:sz w:val="24"/>
          <w:szCs w:val="24"/>
        </w:rPr>
        <w:t xml:space="preserve">. Characterisation factors are expressed as </w:t>
      </w:r>
      <w:bookmarkStart w:id="6" w:name="_Hlk40384551"/>
      <w:r w:rsidR="00FA5DEE" w:rsidRPr="00FA5DEE">
        <w:rPr>
          <w:rFonts w:ascii="Times New Roman" w:hAnsi="Times New Roman" w:cs="Times New Roman"/>
          <w:sz w:val="24"/>
          <w:szCs w:val="24"/>
        </w:rPr>
        <w:t>kg 1,4 dichlorobenzene (1,4-DB) eq</w:t>
      </w:r>
      <w:r w:rsidR="00FA5DEE" w:rsidRPr="00FA5DEE" w:rsidDel="00FA5DEE">
        <w:rPr>
          <w:rFonts w:ascii="Times New Roman" w:hAnsi="Times New Roman" w:cs="Times New Roman"/>
          <w:sz w:val="24"/>
          <w:szCs w:val="24"/>
        </w:rPr>
        <w:t xml:space="preserve"> </w:t>
      </w:r>
      <w:r w:rsidRPr="00B17C67">
        <w:rPr>
          <w:rFonts w:ascii="Times New Roman" w:hAnsi="Times New Roman" w:cs="Times New Roman"/>
          <w:sz w:val="24"/>
          <w:szCs w:val="24"/>
        </w:rPr>
        <w:t xml:space="preserve"> </w:t>
      </w:r>
      <w:bookmarkEnd w:id="6"/>
      <w:r w:rsidRPr="00B17C67">
        <w:rPr>
          <w:rFonts w:ascii="Times New Roman" w:hAnsi="Times New Roman" w:cs="Times New Roman"/>
          <w:sz w:val="24"/>
          <w:szCs w:val="24"/>
        </w:rPr>
        <w:t>and appl</w:t>
      </w:r>
      <w:r w:rsidR="00924445">
        <w:rPr>
          <w:rFonts w:ascii="Times New Roman" w:hAnsi="Times New Roman" w:cs="Times New Roman"/>
          <w:sz w:val="24"/>
          <w:szCs w:val="24"/>
        </w:rPr>
        <w:t>y</w:t>
      </w:r>
      <w:r w:rsidRPr="00B17C67">
        <w:rPr>
          <w:rFonts w:ascii="Times New Roman" w:hAnsi="Times New Roman" w:cs="Times New Roman"/>
          <w:sz w:val="24"/>
          <w:szCs w:val="24"/>
        </w:rPr>
        <w:t xml:space="preserve"> at global/continental/ regional and local scale</w:t>
      </w:r>
      <w:r w:rsidR="00924445">
        <w:rPr>
          <w:rFonts w:ascii="Times New Roman" w:hAnsi="Times New Roman" w:cs="Times New Roman"/>
          <w:sz w:val="24"/>
          <w:szCs w:val="24"/>
        </w:rPr>
        <w:t>s</w:t>
      </w:r>
      <w:r w:rsidRPr="00B17C67">
        <w:rPr>
          <w:rFonts w:ascii="Times New Roman" w:hAnsi="Times New Roman" w:cs="Times New Roman"/>
          <w:sz w:val="24"/>
          <w:szCs w:val="24"/>
        </w:rPr>
        <w:t xml:space="preserve"> </w:t>
      </w:r>
      <w:r w:rsidRPr="009564C1">
        <w:rPr>
          <w:rFonts w:ascii="Times New Roman" w:hAnsi="Times New Roman" w:cs="Times New Roman"/>
          <w:sz w:val="24"/>
          <w:szCs w:val="24"/>
        </w:rPr>
        <w:t xml:space="preserve">(European Centre for Ecotoxicology </w:t>
      </w:r>
      <w:r w:rsidRPr="009564C1">
        <w:rPr>
          <w:rFonts w:ascii="Times New Roman" w:hAnsi="Times New Roman" w:cs="Times New Roman"/>
          <w:sz w:val="24"/>
          <w:szCs w:val="24"/>
        </w:rPr>
        <w:lastRenderedPageBreak/>
        <w:t>and Toxicology of Chemicals, 2016)</w:t>
      </w:r>
      <w:r w:rsidRPr="00B17C67">
        <w:rPr>
          <w:rFonts w:ascii="Times New Roman" w:hAnsi="Times New Roman" w:cs="Times New Roman"/>
          <w:sz w:val="24"/>
          <w:szCs w:val="24"/>
        </w:rPr>
        <w:t xml:space="preserve">. Toxicity potential per 1MWh of electricity has resulted in 24.2 kg DCB-eq for Yeywa, 6.87 kg DCB-eq for Shweli 1, 6.47 kg DCB-eq for Paung Laung (lower), 7.52 kg DCB-eq for Dapein 1 and 9.06 kg DCB-eq for Thuk Ye Khat 2. Except for POP, </w:t>
      </w:r>
      <w:r>
        <w:rPr>
          <w:rFonts w:ascii="Times New Roman" w:hAnsi="Times New Roman" w:cs="Times New Roman"/>
          <w:sz w:val="24"/>
          <w:szCs w:val="24"/>
        </w:rPr>
        <w:t>FWAP</w:t>
      </w:r>
      <w:r w:rsidRPr="00B17C67">
        <w:rPr>
          <w:rFonts w:ascii="Times New Roman" w:hAnsi="Times New Roman" w:cs="Times New Roman"/>
          <w:sz w:val="24"/>
          <w:szCs w:val="24"/>
        </w:rPr>
        <w:t xml:space="preserve"> from hydropower plants is comparatively smaller than other impact</w:t>
      </w:r>
      <w:r w:rsidR="00924445">
        <w:rPr>
          <w:rFonts w:ascii="Times New Roman" w:hAnsi="Times New Roman" w:cs="Times New Roman"/>
          <w:sz w:val="24"/>
          <w:szCs w:val="24"/>
        </w:rPr>
        <w:t>s</w:t>
      </w:r>
      <w:r w:rsidRPr="00B17C67">
        <w:rPr>
          <w:rFonts w:ascii="Times New Roman" w:hAnsi="Times New Roman" w:cs="Times New Roman"/>
          <w:sz w:val="24"/>
          <w:szCs w:val="24"/>
        </w:rPr>
        <w:t xml:space="preserve"> in Myanmar (Fig 3). </w:t>
      </w:r>
      <w:r w:rsidR="00924445">
        <w:rPr>
          <w:rFonts w:ascii="Times New Roman" w:hAnsi="Times New Roman" w:cs="Times New Roman"/>
          <w:sz w:val="24"/>
          <w:szCs w:val="24"/>
        </w:rPr>
        <w:t>I</w:t>
      </w:r>
      <w:r w:rsidRPr="00B17C67">
        <w:rPr>
          <w:rFonts w:ascii="Times New Roman" w:hAnsi="Times New Roman" w:cs="Times New Roman"/>
          <w:sz w:val="24"/>
          <w:szCs w:val="24"/>
        </w:rPr>
        <w:t xml:space="preserve">t is mainly caused by construction of hydropower plants due to the emissions of heavy metals to air and water during the material production process. </w:t>
      </w:r>
      <w:r w:rsidR="00924445">
        <w:rPr>
          <w:rFonts w:ascii="Times New Roman" w:hAnsi="Times New Roman" w:cs="Times New Roman"/>
          <w:sz w:val="24"/>
          <w:szCs w:val="24"/>
        </w:rPr>
        <w:t>I</w:t>
      </w:r>
      <w:r w:rsidRPr="00B17C67">
        <w:rPr>
          <w:rFonts w:ascii="Times New Roman" w:hAnsi="Times New Roman" w:cs="Times New Roman"/>
          <w:sz w:val="24"/>
          <w:szCs w:val="24"/>
        </w:rPr>
        <w:t xml:space="preserve">mpacts of the transportation phase come from fossil fuel combustion. </w:t>
      </w:r>
      <w:r>
        <w:rPr>
          <w:rFonts w:ascii="Times New Roman" w:hAnsi="Times New Roman" w:cs="Times New Roman"/>
          <w:sz w:val="24"/>
          <w:szCs w:val="24"/>
        </w:rPr>
        <w:t xml:space="preserve">FWAP might also be contributed by the electricity used </w:t>
      </w:r>
      <w:r w:rsidR="00924445">
        <w:rPr>
          <w:rFonts w:ascii="Times New Roman" w:hAnsi="Times New Roman" w:cs="Times New Roman"/>
          <w:sz w:val="24"/>
          <w:szCs w:val="24"/>
        </w:rPr>
        <w:t>dur</w:t>
      </w:r>
      <w:r>
        <w:rPr>
          <w:rFonts w:ascii="Times New Roman" w:hAnsi="Times New Roman" w:cs="Times New Roman"/>
          <w:sz w:val="24"/>
          <w:szCs w:val="24"/>
        </w:rPr>
        <w:t>in</w:t>
      </w:r>
      <w:r w:rsidR="00924445">
        <w:rPr>
          <w:rFonts w:ascii="Times New Roman" w:hAnsi="Times New Roman" w:cs="Times New Roman"/>
          <w:sz w:val="24"/>
          <w:szCs w:val="24"/>
        </w:rPr>
        <w:t>g</w:t>
      </w:r>
      <w:r>
        <w:rPr>
          <w:rFonts w:ascii="Times New Roman" w:hAnsi="Times New Roman" w:cs="Times New Roman"/>
          <w:sz w:val="24"/>
          <w:szCs w:val="24"/>
        </w:rPr>
        <w:t xml:space="preserve"> operation and maintenance. Although these factors directly </w:t>
      </w:r>
      <w:r w:rsidR="001E0BBF">
        <w:rPr>
          <w:rFonts w:ascii="Times New Roman" w:hAnsi="Times New Roman" w:cs="Times New Roman"/>
          <w:sz w:val="24"/>
          <w:szCs w:val="24"/>
        </w:rPr>
        <w:t>a</w:t>
      </w:r>
      <w:r>
        <w:rPr>
          <w:rFonts w:ascii="Times New Roman" w:hAnsi="Times New Roman" w:cs="Times New Roman"/>
          <w:sz w:val="24"/>
          <w:szCs w:val="24"/>
        </w:rPr>
        <w:t xml:space="preserve">ffect FWAP, total contamination of water from construction and operation of the dam also influence FWAP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{"citationItems":[{"id":"ITEM-1","itemData":{"DOI":"10.1007/s11367-011-0311-9","ISSN":"16147502","abstract":"The conversion of electricity in Thailand is mainly based on fossil fuels that account more than 90% of electricity generated in the country. The use of fossil fuels has large environmental impacts, and being largely imported, also affects the energy security of the country. From the oil shock situation in 1970s, there has been interest in renewable energy in Thailand resulting in the policy goal for the year 2020 to increase the portion of renewable energy to 20% of energy used in the country. Now, hydropower contributes a significant portion of the renewable energy in Thailand, and mini-hydropower (run-of-river type with capacity between 200 to 6000 kW) tends to be most attractive. This is particularly suitable for Thailand, and it is being applied at several locations. Thus, the overall life cycle assessment (LCA), from cradle to gate, of mini-hydropower plants needs to be assessed for quantitative evaluation.|There are five mini-hydropower plants in this study. The inputs and outputs of materials and energy used since before construction stage to demolition stage are inventoried and assessed via LCA using the CML 2001 baseline methodology for impact assessment. The impact categories considered in this study are global warming (GWP), abiotic depletion (ADP), acidification (ACP), fresh water aquatic toxicity (FWAP), human toxicology (HTP), photochemical oxidation (POP), and fossil fuel resource depletion (FRP) potential. The functional unit used is 1 MWh electricity produced from mini-hydropower plants in Thailand, and the life span of the power plants is 50 years.|For each of the environmental impact categories considered, the impact potentials were evaluated for each of the five mini-hydropower plants; 76.39-151.55 g Sb eq/MWh for ADP, 57.28-116.94 g SO(2) eq/MWh for ACP, 11.01-23.01 kg CO(2) eq/MWh for GWP, 23.01-52.05 kg 1,4-DB eq/MWh for HTP, 4.58-9.08 kg 1,4-DB eq/MWh for FWAP, 2.93-7.47 g C(2)H(4) eq/MWh for POP, and 35.11-79.13 g Sb eq/MWh for FRP.|The main contributors to the impacts are the huge amount of materials used for construction of the mini-hydropower plant; sand, gravel, cement, reinforcement steel, pressure pipeline steel, iron, copper, and electric equipment and energy used for construction activities, construction equipment, and transportation. The remoteness of the mini-hydropower plants and the requirement of importing electric equipment technology from overseas are significant contributors to the environmental impacts.|The env…","author":[{"dropping-particle":"","family":"Suwanit","given":"Wannarat","non-dropping-particle":"","parse-names":false,"suffix":""},{"dropping-particle":"","family":"Gheewala","given":"Shabbir H.","non-dropping-particle":"","parse-names":false,"suffix":""}],"container-title":"International Journal of Life Cycle Assessment","id":"ITEM-1","issued":{"date-parts":[["2011"]]},"title":"Life cycle assessment of mini-hydropower plants in Thailand","type":"article-journal"},"uris":["http://www.mendeley.com/documents/?uuid=eccbb7e0-b1d2-4566-aede-3552201ffb7b"]}],"mendeley":{"formattedCitation":"(Suwanit &amp; Gheewala, 2011)","plainTextFormattedCitation":"(Suwanit &amp; Gheewala, 2011)","previouslyFormattedCitation":"(Suwanit &amp; Gheewala, 2011)"},"properties":{"noteIndex":0},"schema":"https://github.com/citation-style-language/schema/raw/master/csl-citation.json"}</w:instrText>
      </w:r>
      <w:r>
        <w:rPr>
          <w:rFonts w:ascii="Times New Roman" w:hAnsi="Times New Roman" w:cs="Times New Roman"/>
          <w:sz w:val="24"/>
          <w:szCs w:val="24"/>
        </w:rPr>
        <w:fldChar w:fldCharType="separate"/>
      </w:r>
      <w:r w:rsidRPr="003929D6">
        <w:rPr>
          <w:rFonts w:ascii="Times New Roman" w:hAnsi="Times New Roman" w:cs="Times New Roman"/>
          <w:noProof/>
          <w:sz w:val="24"/>
          <w:szCs w:val="24"/>
        </w:rPr>
        <w:t>(Suwanit &amp; Gheewala, 2011)</w:t>
      </w:r>
      <w:r>
        <w:rPr>
          <w:rFonts w:ascii="Times New Roman" w:hAnsi="Times New Roman" w:cs="Times New Roman"/>
          <w:sz w:val="24"/>
          <w:szCs w:val="24"/>
        </w:rPr>
        <w:fldChar w:fldCharType="end"/>
      </w:r>
      <w:r>
        <w:rPr>
          <w:rFonts w:ascii="Times New Roman" w:hAnsi="Times New Roman" w:cs="Times New Roman"/>
          <w:sz w:val="24"/>
          <w:szCs w:val="24"/>
        </w:rPr>
        <w:t>. FWAP is therefore the result of both</w:t>
      </w:r>
      <w:r w:rsidR="00C8747F">
        <w:rPr>
          <w:rFonts w:ascii="Times New Roman" w:hAnsi="Times New Roman" w:cs="Times New Roman"/>
          <w:sz w:val="24"/>
          <w:szCs w:val="24"/>
        </w:rPr>
        <w:t>,</w:t>
      </w:r>
      <w:r>
        <w:rPr>
          <w:rFonts w:ascii="Times New Roman" w:hAnsi="Times New Roman" w:cs="Times New Roman"/>
          <w:sz w:val="24"/>
          <w:szCs w:val="24"/>
        </w:rPr>
        <w:t xml:space="preserve"> direct and indirect factors. </w:t>
      </w:r>
      <w:r w:rsidRPr="00B17C67">
        <w:rPr>
          <w:rFonts w:ascii="Times New Roman" w:hAnsi="Times New Roman" w:cs="Times New Roman"/>
          <w:sz w:val="24"/>
          <w:szCs w:val="24"/>
        </w:rPr>
        <w:t xml:space="preserve"> In the electricity generation sector, fossil fuel and coal power plants result in high level</w:t>
      </w:r>
      <w:r w:rsidR="00C8747F">
        <w:rPr>
          <w:rFonts w:ascii="Times New Roman" w:hAnsi="Times New Roman" w:cs="Times New Roman"/>
          <w:sz w:val="24"/>
          <w:szCs w:val="24"/>
        </w:rPr>
        <w:t>s</w:t>
      </w:r>
      <w:r w:rsidRPr="00B17C67">
        <w:rPr>
          <w:rFonts w:ascii="Times New Roman" w:hAnsi="Times New Roman" w:cs="Times New Roman"/>
          <w:sz w:val="24"/>
          <w:szCs w:val="24"/>
        </w:rPr>
        <w:t xml:space="preserve"> of </w:t>
      </w:r>
      <w:r>
        <w:rPr>
          <w:rFonts w:ascii="Times New Roman" w:hAnsi="Times New Roman" w:cs="Times New Roman"/>
          <w:sz w:val="24"/>
          <w:szCs w:val="24"/>
        </w:rPr>
        <w:t>FWAP</w:t>
      </w:r>
      <w:r w:rsidR="00C8747F">
        <w:rPr>
          <w:rFonts w:ascii="Times New Roman" w:hAnsi="Times New Roman" w:cs="Times New Roman"/>
          <w:sz w:val="24"/>
          <w:szCs w:val="24"/>
        </w:rPr>
        <w:t>,</w:t>
      </w:r>
      <w:r w:rsidRPr="00B17C67">
        <w:rPr>
          <w:rFonts w:ascii="Times New Roman" w:hAnsi="Times New Roman" w:cs="Times New Roman"/>
          <w:sz w:val="24"/>
          <w:szCs w:val="24"/>
        </w:rPr>
        <w:t xml:space="preserve"> compare</w:t>
      </w:r>
      <w:r w:rsidR="00C8747F">
        <w:rPr>
          <w:rFonts w:ascii="Times New Roman" w:hAnsi="Times New Roman" w:cs="Times New Roman"/>
          <w:sz w:val="24"/>
          <w:szCs w:val="24"/>
        </w:rPr>
        <w:t>d with</w:t>
      </w:r>
      <w:r w:rsidRPr="00B17C67">
        <w:rPr>
          <w:rFonts w:ascii="Times New Roman" w:hAnsi="Times New Roman" w:cs="Times New Roman"/>
          <w:sz w:val="24"/>
          <w:szCs w:val="24"/>
        </w:rPr>
        <w:t xml:space="preserve"> hydropower electricity generation (</w:t>
      </w:r>
      <w:r w:rsidR="00976BD7" w:rsidRPr="00924D59">
        <w:rPr>
          <w:rFonts w:ascii="Times New Roman" w:hAnsi="Times New Roman" w:cs="Times New Roman"/>
          <w:noProof/>
          <w:sz w:val="24"/>
          <w:szCs w:val="24"/>
        </w:rPr>
        <w:t>Santoyo-Castelazo &amp; Azapagic,</w:t>
      </w:r>
      <w:r w:rsidR="00976BD7">
        <w:rPr>
          <w:rFonts w:ascii="Times New Roman" w:hAnsi="Times New Roman" w:cs="Times New Roman"/>
          <w:noProof/>
          <w:sz w:val="24"/>
          <w:szCs w:val="24"/>
        </w:rPr>
        <w:t xml:space="preserve"> </w:t>
      </w:r>
      <w:r w:rsidRPr="00B17C67">
        <w:rPr>
          <w:rFonts w:ascii="Times New Roman" w:hAnsi="Times New Roman" w:cs="Times New Roman"/>
          <w:sz w:val="24"/>
          <w:szCs w:val="24"/>
        </w:rPr>
        <w:t>201</w:t>
      </w:r>
      <w:r w:rsidR="00976BD7">
        <w:rPr>
          <w:rFonts w:ascii="Times New Roman" w:hAnsi="Times New Roman" w:cs="Times New Roman"/>
          <w:sz w:val="24"/>
          <w:szCs w:val="24"/>
        </w:rPr>
        <w:t>4</w:t>
      </w:r>
      <w:r w:rsidRPr="00B17C67">
        <w:rPr>
          <w:rFonts w:ascii="Times New Roman" w:hAnsi="Times New Roman" w:cs="Times New Roman"/>
          <w:sz w:val="24"/>
          <w:szCs w:val="24"/>
        </w:rPr>
        <w:t>).</w:t>
      </w:r>
    </w:p>
    <w:p w14:paraId="5EFFE40D" w14:textId="77777777" w:rsidR="00C86779" w:rsidRDefault="00C86779" w:rsidP="004F2BB1">
      <w:pPr>
        <w:spacing w:line="240" w:lineRule="auto"/>
        <w:rPr>
          <w:rFonts w:ascii="Times New Roman" w:hAnsi="Times New Roman" w:cs="Times New Roman"/>
          <w:i/>
          <w:sz w:val="24"/>
          <w:szCs w:val="24"/>
        </w:rPr>
      </w:pPr>
      <w:r w:rsidRPr="00445DD0">
        <w:rPr>
          <w:rFonts w:ascii="Times New Roman" w:hAnsi="Times New Roman" w:cs="Times New Roman"/>
          <w:i/>
          <w:sz w:val="24"/>
          <w:szCs w:val="24"/>
        </w:rPr>
        <w:t>Human toxicity potential</w:t>
      </w:r>
    </w:p>
    <w:p w14:paraId="19DCA5A9" w14:textId="2170BDF3" w:rsidR="00C86779" w:rsidRPr="00EE7383" w:rsidRDefault="00C86779" w:rsidP="004F2BB1">
      <w:pPr>
        <w:spacing w:line="240" w:lineRule="auto"/>
        <w:rPr>
          <w:rFonts w:ascii="Times New Roman" w:hAnsi="Times New Roman" w:cs="Times New Roman"/>
          <w:sz w:val="24"/>
          <w:szCs w:val="24"/>
        </w:rPr>
      </w:pPr>
      <w:r w:rsidRPr="009972A1">
        <w:rPr>
          <w:rFonts w:ascii="Times New Roman" w:hAnsi="Times New Roman" w:cs="Times New Roman"/>
          <w:sz w:val="24"/>
          <w:szCs w:val="24"/>
        </w:rPr>
        <w:t xml:space="preserve">Human toxicity potential (HTP) concerns the effects of toxic substances on the human environment and characterisation factors are expressed </w:t>
      </w:r>
      <w:r w:rsidR="001E0BBF">
        <w:rPr>
          <w:rFonts w:ascii="Times New Roman" w:hAnsi="Times New Roman" w:cs="Times New Roman"/>
          <w:sz w:val="24"/>
          <w:szCs w:val="24"/>
        </w:rPr>
        <w:t xml:space="preserve">by </w:t>
      </w:r>
      <w:r w:rsidR="00FA5DEE" w:rsidRPr="00FA5DEE">
        <w:rPr>
          <w:rFonts w:ascii="Times New Roman" w:hAnsi="Times New Roman" w:cs="Times New Roman"/>
          <w:sz w:val="24"/>
          <w:szCs w:val="24"/>
        </w:rPr>
        <w:t>kg 1,4 dichlorobenzene (1,4-DB) eq</w:t>
      </w:r>
      <w:r w:rsidRPr="009972A1">
        <w:rPr>
          <w:rFonts w:ascii="Times New Roman" w:hAnsi="Times New Roman" w:cs="Times New Roman"/>
          <w:sz w:val="24"/>
          <w:szCs w:val="24"/>
        </w:rPr>
        <w:t xml:space="preserve">. </w:t>
      </w:r>
      <w:r>
        <w:rPr>
          <w:rFonts w:ascii="Times New Roman" w:hAnsi="Times New Roman" w:cs="Times New Roman"/>
          <w:sz w:val="24"/>
          <w:szCs w:val="24"/>
        </w:rPr>
        <w:t xml:space="preserve">HTP is the fourth largest environmental burden </w:t>
      </w:r>
      <w:r w:rsidR="001E0BBF">
        <w:rPr>
          <w:rFonts w:ascii="Times New Roman" w:hAnsi="Times New Roman" w:cs="Times New Roman"/>
          <w:sz w:val="24"/>
          <w:szCs w:val="24"/>
        </w:rPr>
        <w:t xml:space="preserve">by </w:t>
      </w:r>
      <w:r w:rsidR="00E02B55">
        <w:rPr>
          <w:rFonts w:ascii="Times New Roman" w:hAnsi="Times New Roman" w:cs="Times New Roman"/>
          <w:sz w:val="24"/>
          <w:szCs w:val="24"/>
        </w:rPr>
        <w:t xml:space="preserve">all considered </w:t>
      </w:r>
      <w:r>
        <w:rPr>
          <w:rFonts w:ascii="Times New Roman" w:hAnsi="Times New Roman" w:cs="Times New Roman"/>
          <w:sz w:val="24"/>
          <w:szCs w:val="24"/>
        </w:rPr>
        <w:t xml:space="preserve">plants. However, HTP exceeded FRP in the two biggest dams, </w:t>
      </w:r>
      <w:r w:rsidRPr="009972A1">
        <w:rPr>
          <w:rFonts w:ascii="Times New Roman" w:hAnsi="Times New Roman" w:cs="Times New Roman"/>
          <w:sz w:val="24"/>
          <w:szCs w:val="24"/>
        </w:rPr>
        <w:t>Yeywa</w:t>
      </w:r>
      <w:r w:rsidRPr="009E4DE7">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9972A1">
        <w:rPr>
          <w:rFonts w:ascii="Times New Roman" w:hAnsi="Times New Roman" w:cs="Times New Roman"/>
          <w:sz w:val="24"/>
          <w:szCs w:val="24"/>
        </w:rPr>
        <w:t>Shweli 1</w:t>
      </w:r>
      <w:r>
        <w:rPr>
          <w:rFonts w:ascii="Times New Roman" w:hAnsi="Times New Roman" w:cs="Times New Roman"/>
          <w:sz w:val="24"/>
          <w:szCs w:val="24"/>
        </w:rPr>
        <w:t xml:space="preserve">. HTP values </w:t>
      </w:r>
      <w:r w:rsidR="00E02B55">
        <w:rPr>
          <w:rFonts w:ascii="Times New Roman" w:hAnsi="Times New Roman" w:cs="Times New Roman"/>
          <w:sz w:val="24"/>
          <w:szCs w:val="24"/>
        </w:rPr>
        <w:t xml:space="preserve">owe </w:t>
      </w:r>
      <w:r>
        <w:rPr>
          <w:rFonts w:ascii="Times New Roman" w:hAnsi="Times New Roman" w:cs="Times New Roman"/>
          <w:sz w:val="24"/>
          <w:szCs w:val="24"/>
        </w:rPr>
        <w:t>to the high NO</w:t>
      </w:r>
      <w:r w:rsidRPr="00712C44">
        <w:rPr>
          <w:rFonts w:ascii="Times New Roman" w:hAnsi="Times New Roman" w:cs="Times New Roman"/>
          <w:sz w:val="24"/>
          <w:szCs w:val="24"/>
          <w:vertAlign w:val="subscript"/>
        </w:rPr>
        <w:t>x</w:t>
      </w:r>
      <w:r>
        <w:rPr>
          <w:rFonts w:ascii="Times New Roman" w:hAnsi="Times New Roman" w:cs="Times New Roman"/>
          <w:sz w:val="24"/>
          <w:szCs w:val="24"/>
        </w:rPr>
        <w:t xml:space="preserve"> and SO</w:t>
      </w:r>
      <w:r w:rsidRPr="00712C44">
        <w:rPr>
          <w:rFonts w:ascii="Times New Roman" w:hAnsi="Times New Roman" w:cs="Times New Roman"/>
          <w:sz w:val="24"/>
          <w:szCs w:val="24"/>
          <w:vertAlign w:val="subscript"/>
        </w:rPr>
        <w:t>x</w:t>
      </w:r>
      <w:r>
        <w:rPr>
          <w:rFonts w:ascii="Times New Roman" w:hAnsi="Times New Roman" w:cs="Times New Roman"/>
          <w:sz w:val="24"/>
          <w:szCs w:val="24"/>
        </w:rPr>
        <w:t xml:space="preserve"> emissions during the manufacturing of construction materials. Therefore, t</w:t>
      </w:r>
      <w:r w:rsidRPr="009972A1">
        <w:rPr>
          <w:rFonts w:ascii="Times New Roman" w:hAnsi="Times New Roman" w:cs="Times New Roman"/>
          <w:sz w:val="24"/>
          <w:szCs w:val="24"/>
        </w:rPr>
        <w:t xml:space="preserve">he construction phase of the hydropower plants is </w:t>
      </w:r>
      <w:r>
        <w:rPr>
          <w:rFonts w:ascii="Times New Roman" w:hAnsi="Times New Roman" w:cs="Times New Roman"/>
          <w:sz w:val="24"/>
          <w:szCs w:val="24"/>
        </w:rPr>
        <w:t>again</w:t>
      </w:r>
      <w:r w:rsidRPr="009972A1">
        <w:rPr>
          <w:rFonts w:ascii="Times New Roman" w:hAnsi="Times New Roman" w:cs="Times New Roman"/>
          <w:sz w:val="24"/>
          <w:szCs w:val="24"/>
        </w:rPr>
        <w:t xml:space="preserve"> the main contributor to this impact category, accounting for 97% of total impact. Transportation and operation and maintenance phase</w:t>
      </w:r>
      <w:r w:rsidR="00E02B55">
        <w:rPr>
          <w:rFonts w:ascii="Times New Roman" w:hAnsi="Times New Roman" w:cs="Times New Roman"/>
          <w:sz w:val="24"/>
          <w:szCs w:val="24"/>
        </w:rPr>
        <w:t>s</w:t>
      </w:r>
      <w:r w:rsidRPr="009972A1">
        <w:rPr>
          <w:rFonts w:ascii="Times New Roman" w:hAnsi="Times New Roman" w:cs="Times New Roman"/>
          <w:sz w:val="24"/>
          <w:szCs w:val="24"/>
        </w:rPr>
        <w:t xml:space="preserve"> make minor contributions. In sum</w:t>
      </w:r>
      <w:r w:rsidR="00E02B55">
        <w:rPr>
          <w:rFonts w:ascii="Times New Roman" w:hAnsi="Times New Roman" w:cs="Times New Roman"/>
          <w:sz w:val="24"/>
          <w:szCs w:val="24"/>
        </w:rPr>
        <w:t>mary</w:t>
      </w:r>
      <w:r w:rsidRPr="009972A1">
        <w:rPr>
          <w:rFonts w:ascii="Times New Roman" w:hAnsi="Times New Roman" w:cs="Times New Roman"/>
          <w:sz w:val="24"/>
          <w:szCs w:val="24"/>
        </w:rPr>
        <w:t>, the potential of human toxicity from the Yeywa power plant is 22.4 kg DCB-eq, Shweli 1 is 33.18 kg DCB-eq, Paung Laung (lower) is 38.35 kg DCB-eq, Dapein 1 is 38.35 kg DCB-eq, and Thuk Ye Khat 2 is 50.13 kg DCB-eq.</w:t>
      </w:r>
      <w:r>
        <w:rPr>
          <w:rFonts w:ascii="Times New Roman" w:hAnsi="Times New Roman" w:cs="Times New Roman"/>
          <w:sz w:val="24"/>
          <w:szCs w:val="24"/>
        </w:rPr>
        <w:t xml:space="preserve"> In most cases, HTP is contributed by fuel oil and coal power plants within the electricity sector </w:t>
      </w:r>
      <w:r>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{"citationItems":[{"id":"ITEM-1","itemData":{"DOI":"10.1016/j.jclepro.2014.05.061","ISSN":"09596526","abstract":"Sustainable development of energy systems requires consideration of all three sustainability dimensions: environmental, economic and social. Current work presents a new decision-support framework for facilitating this. Taking a life cycle approach, the framework integrates the three sustainability dimensions to enable assessments at both technology and systems levels. The framework comprises scenario analysis, life cycle assessment, life cycle costing, social sustainability assessment and multi-criteria decision analysis, which are used to assess and identify the most sustainable energy options. The application of the framework is illustrated on the example of future electricity supply in Mexico. Eleven scenarios up to 2050 have been developed considering different technologies, electricity mixes and climate change targets. The results show that, based on the 17 sustainability criteria used in this work, the business-as-usual scenario, mostly based on fossil fuels, is unsustainable regardless of the preferences for different sustainability criteria. This is mainly due to the high costs and environmental impacts associated with fossil fuels. Overall, the most sustainable scenarios are those with higher penetration of renewables (wind, solar, hydro, geothermal and biomass) and nuclear power. These electricity pathways would enable meeting the national greenhouse gas emission targets by 2050 in a more sustainable way than envisaged by the current policy. However, some trade-offs among the sustainability criteria are needed, particularly with respect to the social impacts. These trade-offs can be explored easily within the decision-support framework to reveal how different stakeholder preferences affect the outcomes of sustainability assessment, thus contributing to more informed decision and policy making. © 2014 Elsevier Ltd. All rights reserved.","author":[{"dropping-particle":"","family":"Santoyo-Castelazo","given":"Edgar","non-dropping-particle":"","parse-names":false,"suffix":""},{"dropping-particle":"","family":"Azapagic","given":"Adisa","non-dropping-particle":"","parse-names":false,"suffix":""}],"container-title":"Journal of Cleaner Production","id":"ITEM-1","issue":"2014","issued":{"date-parts":[["2014"]]},"page":"119-138","publisher":"Elsevier Ltd","title":"Sustainability assessment of energy systems: Integrating environmental, economic and social aspects","type":"article-journal","volume":"80"},"uris":["http://www.mendeley.com/documents/?uuid=2a212654-1d96-4154-8aa5-89ddaf42288e"]},{"id":"ITEM-2","itemData":{"DOI":"10.1016/j.jclepro.2014.11.033","ISSN":"09596526","abstract":"Electricity demand in Mauritius is growing rapidly but its environmental implications are as yet unknown. This is the topic of the current paper which presents for the first time the life cycle environmental impacts of electricity generation in Mauritius aiming to inform electricity generators and policy makers on how the impacts could be reduced. The majority of country's electricity is generated from fossil fuels, with coal contributing 40% and fuel oil 37%; the rest is from sugarcane bagasse (19%) and hydro-power (4%). The results suggest that electricity from oil has the highest impacts for six out of ten categories considered compared to the other three sources: acidification, freshwater, terrestrial and human toxicity, ozone layer depletion and photochemical oxidants. The remaining four impacts (depletion of resources, global warming, eutrophication and marine toxicity) are highest for coal. The lowest impacts are found for electricity from hydro-power. For example, the global warming potential (GWP) of electricity from coal is estimated at 1444 kg CO&lt;inf&gt;2&lt;/inf&gt; eq./MWh and for oil 754 kg CO&lt;inf&gt;2&lt;/inf&gt; eq./MWh, while for bagasse and hydro-power this impact is several orders of magnitude lower (29 and 8.6 kg CO&lt;inf&gt;2&lt;/inf&gt; eq./MWh, respectively). Oil and coal are the main contributors to the overall impacts from electricity in Mauritius (88%-99%). The contribution of bagasse is small (&lt;1%-12%) and that from hydro-power negligible (&lt;0.1%). The GWP of the electricity mix is estimated at 868 kg CO&lt;inf&gt;2&lt;/inf&gt; eq./MWh. This is equivalent to the annual GWP of 2.22 Mt CO&lt;inf&gt;2&lt;/inf&gt; eq. in 2012, an increase of 16% since 2007. To reduce its carbon emissions, Mauritius should consider reducing the share of fossil fuels through increased use of renewables such as solar PV and wind as well as improving the efficiency of the fossil power plants and reducing energy demand.","author":[{"dropping-particle":"","family":"Brizmohun","given":"Ravina","non-dropping-particle":"","parse-names":false,"suffix":""},{"dropping-particle":"","family":"Ramjeawon","given":"Toolseeram","non-dropping-particle":"","parse-names":false,"suffix":""},{"dropping-particle":"","family":"Azapagic","given":"Adisa","non-dropping-particle":"","parse-names":false,"suffix":""}],"container-title":"Journal of Cleaner Production","id":"ITEM-2","issued":{"date-parts":[["2015"]]},"page":"565-575","publisher":"Elsevier Ltd","title":"Life cycle assessment of electricity generation in Mauritius","type":"article-journal","volume":"106"},"uris":["http://www.mendeley.com/documents/?uuid=cf943f50-bcf8-4b52-97ac-05818566d4a7"]}],"mendeley":{"formattedCitation":"(Brizmohun et al., 2015; Santoyo-Castelazo &amp; Azapagic, 2014)","manualFormatting":"(Brizmohun et al., 2015; Santoyo-Castelazo et al., 2014)","plainTextFormattedCitation":"(Brizmohun et al., 2015; Santoyo-Castelazo &amp; Azapagic, 2014)","previouslyFormattedCitation":"(Brizmohun et al., 2015; Santoyo-Castelazo &amp; Azapagic, 2014)"},"properties":{"noteIndex":0},"schema":"https://github.com/citation-style-language/schema/raw/master/csl-citation.json"}</w:instrText>
      </w:r>
      <w:r>
        <w:rPr>
          <w:rFonts w:ascii="Times New Roman" w:hAnsi="Times New Roman" w:cs="Times New Roman"/>
          <w:sz w:val="24"/>
          <w:szCs w:val="24"/>
        </w:rPr>
        <w:fldChar w:fldCharType="separate"/>
      </w:r>
      <w:r w:rsidR="00924D59" w:rsidRPr="00924D59">
        <w:rPr>
          <w:rFonts w:ascii="Times New Roman" w:hAnsi="Times New Roman" w:cs="Times New Roman"/>
          <w:noProof/>
          <w:sz w:val="24"/>
          <w:szCs w:val="24"/>
        </w:rPr>
        <w:t>(Brizmohun</w:t>
      </w:r>
      <w:r w:rsidR="00FF7E05">
        <w:rPr>
          <w:rFonts w:ascii="Times New Roman" w:hAnsi="Times New Roman" w:cs="Times New Roman"/>
          <w:noProof/>
          <w:sz w:val="24"/>
          <w:szCs w:val="24"/>
        </w:rPr>
        <w:t xml:space="preserve"> et al., </w:t>
      </w:r>
      <w:r w:rsidR="00924D59" w:rsidRPr="00924D59">
        <w:rPr>
          <w:rFonts w:ascii="Times New Roman" w:hAnsi="Times New Roman" w:cs="Times New Roman"/>
          <w:noProof/>
          <w:sz w:val="24"/>
          <w:szCs w:val="24"/>
        </w:rPr>
        <w:t>2015; Santoyo-Castelazo</w:t>
      </w:r>
      <w:r w:rsidR="00FF7E05">
        <w:rPr>
          <w:rFonts w:ascii="Times New Roman" w:hAnsi="Times New Roman" w:cs="Times New Roman"/>
          <w:noProof/>
          <w:sz w:val="24"/>
          <w:szCs w:val="24"/>
        </w:rPr>
        <w:t xml:space="preserve"> et al.,</w:t>
      </w:r>
      <w:r w:rsidR="00924D59" w:rsidRPr="00924D59">
        <w:rPr>
          <w:rFonts w:ascii="Times New Roman" w:hAnsi="Times New Roman" w:cs="Times New Roman"/>
          <w:noProof/>
          <w:sz w:val="24"/>
          <w:szCs w:val="24"/>
        </w:rPr>
        <w:t xml:space="preserve"> 2014)</w:t>
      </w:r>
      <w:r>
        <w:rPr>
          <w:rFonts w:ascii="Times New Roman" w:hAnsi="Times New Roman" w:cs="Times New Roman"/>
          <w:sz w:val="24"/>
          <w:szCs w:val="24"/>
        </w:rPr>
        <w:fldChar w:fldCharType="end"/>
      </w:r>
      <w:r>
        <w:rPr>
          <w:rFonts w:ascii="Times New Roman" w:hAnsi="Times New Roman" w:cs="Times New Roman"/>
          <w:sz w:val="24"/>
          <w:szCs w:val="24"/>
        </w:rPr>
        <w:t xml:space="preserve">. In contrast, </w:t>
      </w:r>
      <w:r>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{"citationItems":[{"id":"ITEM-1","itemData":{"DOI":"10.3390/su8111097","ISSN":"20711050","abstract":"© 2016 by the authors. The aim of this paper was to determine how to change the environmental performance of electricity generation depending on the resources and their shares, in order to support decision-makers. Additionally, this paper presents an application of life cycle assessment (LCA) methodology to determine the environmental burdens of electricity generation in Turkey. Electricity generation data in Turkey for the years 2012 and 2023 were used as a case study. The functional unit for electricity generation was 1 kWh. The LCA calculations were carried out using CML-IA (v3.00) data and the results were interpreted with respect to Monte Carlo simulation analysis (with the Monte Carlo function built in SimaPro 8.0.1 software). The results demonstrated that the fossil fuel consumption not only contributes to global warming, but it also has effects on the elemental basis of abiotic depletion due to raw material consumption for plant infrastructure. Additionally, it was observed that the increasing proportion of wind power in the electricity mix would also increase certain life cycle impacts (such as the elemental basis of abiotic depletion, human ecotoxicity, and terrestrial ecotoxicity) in Turkey's geography compared to increasing the share of other renewable energy sources, such as hydropower, geothermal, as well as solar..","author":[{"dropping-particle":"","family":"Günkaya","given":"Zerrin","non-dropping-particle":"","parse-names":false,"suffix":""},{"dropping-particle":"","family":"Özdemir","given":"Alp","non-dropping-particle":"","parse-names":false,"suffix":""},{"dropping-particle":"","family":"Özkan","given":"Aysun","non-dropping-particle":"","parse-names":false,"suffix":""},{"dropping-particle":"","family":"Banar","given":"Müfide","non-dropping-particle":"","parse-names":false,"suffix":""}],"container-title":"Sustainability (Switzerland)","id":"ITEM-1","issued":{"date-parts":[["2016"]]},"title":"Environmental performance of electricity generation based on resources: A life cycle assessment case study in Turkey","type":"article-journal"},"uris":["http://www.mendeley.com/documents/?uuid=f2654f78-b46c-45a9-b021-e5d87f51926b"]}],"mendeley":{"formattedCitation":"(Günkaya et al., 2016)","manualFormatting":"Günkaya et al. (2016)","plainTextFormattedCitation":"(Günkaya et al., 2016)","previouslyFormattedCitation":"(Günkaya et al., 2016)"},"properties":{"noteIndex":0},"schema":"https://github.com/citation-style-language/schema/raw/master/csl-citation.json"}</w:instrText>
      </w:r>
      <w:r>
        <w:rPr>
          <w:rFonts w:ascii="Times New Roman" w:hAnsi="Times New Roman" w:cs="Times New Roman"/>
          <w:sz w:val="24"/>
          <w:szCs w:val="24"/>
        </w:rPr>
        <w:fldChar w:fldCharType="separate"/>
      </w:r>
      <w:r w:rsidRPr="008C4AD1">
        <w:rPr>
          <w:rFonts w:ascii="Times New Roman" w:hAnsi="Times New Roman" w:cs="Times New Roman"/>
          <w:noProof/>
          <w:sz w:val="24"/>
          <w:szCs w:val="24"/>
        </w:rPr>
        <w:t>Günkaya</w:t>
      </w:r>
      <w:r>
        <w:rPr>
          <w:rFonts w:ascii="Times New Roman" w:hAnsi="Times New Roman" w:cs="Times New Roman"/>
          <w:noProof/>
          <w:sz w:val="24"/>
          <w:szCs w:val="24"/>
        </w:rPr>
        <w:t xml:space="preserve"> et al. (</w:t>
      </w:r>
      <w:r w:rsidRPr="008C4AD1">
        <w:rPr>
          <w:rFonts w:ascii="Times New Roman" w:hAnsi="Times New Roman" w:cs="Times New Roman"/>
          <w:noProof/>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 xml:space="preserve"> found that </w:t>
      </w:r>
      <w:r w:rsidR="001E0BBF">
        <w:rPr>
          <w:rFonts w:ascii="Times New Roman" w:hAnsi="Times New Roman" w:cs="Times New Roman"/>
          <w:sz w:val="24"/>
          <w:szCs w:val="24"/>
        </w:rPr>
        <w:t xml:space="preserve">in Turkey </w:t>
      </w:r>
      <w:r>
        <w:rPr>
          <w:rFonts w:ascii="Times New Roman" w:hAnsi="Times New Roman" w:cs="Times New Roman"/>
          <w:sz w:val="24"/>
          <w:szCs w:val="24"/>
        </w:rPr>
        <w:t>high carbon ferrochromium production in the construction of hydropower plants and wind power are mainly responsible for HTP. The differences in HTP results can be due to the use of both</w:t>
      </w:r>
      <w:r w:rsidR="001E0BBF">
        <w:rPr>
          <w:rFonts w:ascii="Times New Roman" w:hAnsi="Times New Roman" w:cs="Times New Roman"/>
          <w:sz w:val="24"/>
          <w:szCs w:val="24"/>
        </w:rPr>
        <w:t>,</w:t>
      </w:r>
      <w:r>
        <w:rPr>
          <w:rFonts w:ascii="Times New Roman" w:hAnsi="Times New Roman" w:cs="Times New Roman"/>
          <w:sz w:val="24"/>
          <w:szCs w:val="24"/>
        </w:rPr>
        <w:t xml:space="preserve"> reservoir and run-of-river type</w:t>
      </w:r>
      <w:r w:rsidR="00E02B55">
        <w:rPr>
          <w:rFonts w:ascii="Times New Roman" w:hAnsi="Times New Roman" w:cs="Times New Roman"/>
          <w:sz w:val="24"/>
          <w:szCs w:val="24"/>
        </w:rPr>
        <w:t>s</w:t>
      </w:r>
      <w:r>
        <w:rPr>
          <w:rFonts w:ascii="Times New Roman" w:hAnsi="Times New Roman" w:cs="Times New Roman"/>
          <w:sz w:val="24"/>
          <w:szCs w:val="24"/>
        </w:rPr>
        <w:t xml:space="preserve"> with different sizes. </w:t>
      </w:r>
    </w:p>
    <w:p w14:paraId="40CBFD31" w14:textId="77777777" w:rsidR="00C86779" w:rsidRDefault="00C86779" w:rsidP="004F2BB1">
      <w:pPr>
        <w:spacing w:line="240" w:lineRule="auto"/>
        <w:rPr>
          <w:rFonts w:ascii="Times New Roman" w:hAnsi="Times New Roman" w:cs="Times New Roman"/>
          <w:i/>
          <w:sz w:val="24"/>
          <w:szCs w:val="24"/>
        </w:rPr>
      </w:pPr>
      <w:r w:rsidRPr="00445DD0">
        <w:rPr>
          <w:rFonts w:ascii="Times New Roman" w:hAnsi="Times New Roman" w:cs="Times New Roman"/>
          <w:i/>
          <w:sz w:val="24"/>
          <w:szCs w:val="24"/>
        </w:rPr>
        <w:t>Photochemical ozone creation potential</w:t>
      </w:r>
    </w:p>
    <w:p w14:paraId="6CBD0E80" w14:textId="39D2E780" w:rsidR="00C86779" w:rsidRPr="005B79D3" w:rsidRDefault="00C86779" w:rsidP="004F2BB1">
      <w:pPr>
        <w:spacing w:line="240" w:lineRule="auto"/>
        <w:rPr>
          <w:rFonts w:ascii="Times New Roman" w:hAnsi="Times New Roman" w:cs="Times New Roman"/>
          <w:sz w:val="24"/>
          <w:szCs w:val="24"/>
        </w:rPr>
      </w:pPr>
      <w:r w:rsidRPr="009972A1">
        <w:rPr>
          <w:rFonts w:ascii="Times New Roman" w:hAnsi="Times New Roman" w:cs="Times New Roman"/>
          <w:sz w:val="24"/>
          <w:szCs w:val="24"/>
        </w:rPr>
        <w:t xml:space="preserve">This category refers to the forming of reactive substances (ozone) due to the increase of ultraviolet UV-B radiation, which can be harmful to human health and ecosystems. Photochemical Ozone Creation Potential (POP) for the emission of substances to air is expressed in kg ethylene equivalents/kg emission. The total POP from hydroelectricity generation in Myanmar </w:t>
      </w:r>
      <w:r>
        <w:rPr>
          <w:rFonts w:ascii="Times New Roman" w:hAnsi="Times New Roman" w:cs="Times New Roman"/>
          <w:sz w:val="24"/>
          <w:szCs w:val="24"/>
        </w:rPr>
        <w:t>are</w:t>
      </w:r>
      <w:r w:rsidRPr="009972A1">
        <w:rPr>
          <w:rFonts w:ascii="Times New Roman" w:hAnsi="Times New Roman" w:cs="Times New Roman"/>
          <w:sz w:val="24"/>
          <w:szCs w:val="24"/>
        </w:rPr>
        <w:t xml:space="preserve"> 4.35 g C</w:t>
      </w:r>
      <w:r w:rsidRPr="00712C44">
        <w:rPr>
          <w:rFonts w:ascii="Times New Roman" w:hAnsi="Times New Roman" w:cs="Times New Roman"/>
          <w:sz w:val="24"/>
          <w:szCs w:val="24"/>
          <w:vertAlign w:val="subscript"/>
        </w:rPr>
        <w:t>2</w:t>
      </w:r>
      <w:r w:rsidRPr="009972A1">
        <w:rPr>
          <w:rFonts w:ascii="Times New Roman" w:hAnsi="Times New Roman" w:cs="Times New Roman"/>
          <w:sz w:val="24"/>
          <w:szCs w:val="24"/>
        </w:rPr>
        <w:t>H</w:t>
      </w:r>
      <w:r w:rsidRPr="00712C44">
        <w:rPr>
          <w:rFonts w:ascii="Times New Roman" w:hAnsi="Times New Roman" w:cs="Times New Roman"/>
          <w:sz w:val="24"/>
          <w:szCs w:val="24"/>
          <w:vertAlign w:val="subscript"/>
        </w:rPr>
        <w:t>4</w:t>
      </w:r>
      <w:r w:rsidRPr="009972A1">
        <w:rPr>
          <w:rFonts w:ascii="Times New Roman" w:hAnsi="Times New Roman" w:cs="Times New Roman"/>
          <w:sz w:val="24"/>
          <w:szCs w:val="24"/>
        </w:rPr>
        <w:t>-eq for Yeywa, 6.57 g C</w:t>
      </w:r>
      <w:r w:rsidRPr="00FE43F2">
        <w:rPr>
          <w:rFonts w:ascii="Times New Roman" w:hAnsi="Times New Roman" w:cs="Times New Roman"/>
          <w:sz w:val="24"/>
          <w:szCs w:val="24"/>
          <w:vertAlign w:val="subscript"/>
        </w:rPr>
        <w:t>2</w:t>
      </w:r>
      <w:r w:rsidRPr="009972A1">
        <w:rPr>
          <w:rFonts w:ascii="Times New Roman" w:hAnsi="Times New Roman" w:cs="Times New Roman"/>
          <w:sz w:val="24"/>
          <w:szCs w:val="24"/>
        </w:rPr>
        <w:t>H</w:t>
      </w:r>
      <w:r w:rsidRPr="00FE43F2">
        <w:rPr>
          <w:rFonts w:ascii="Times New Roman" w:hAnsi="Times New Roman" w:cs="Times New Roman"/>
          <w:sz w:val="24"/>
          <w:szCs w:val="24"/>
          <w:vertAlign w:val="subscript"/>
        </w:rPr>
        <w:t>4</w:t>
      </w:r>
      <w:r w:rsidRPr="009972A1">
        <w:rPr>
          <w:rFonts w:ascii="Times New Roman" w:hAnsi="Times New Roman" w:cs="Times New Roman"/>
          <w:sz w:val="24"/>
          <w:szCs w:val="24"/>
        </w:rPr>
        <w:t>-eq for Shweli 1, 6.8 g C</w:t>
      </w:r>
      <w:r w:rsidRPr="00FE43F2">
        <w:rPr>
          <w:rFonts w:ascii="Times New Roman" w:hAnsi="Times New Roman" w:cs="Times New Roman"/>
          <w:sz w:val="24"/>
          <w:szCs w:val="24"/>
          <w:vertAlign w:val="subscript"/>
        </w:rPr>
        <w:t>2</w:t>
      </w:r>
      <w:r w:rsidRPr="009972A1">
        <w:rPr>
          <w:rFonts w:ascii="Times New Roman" w:hAnsi="Times New Roman" w:cs="Times New Roman"/>
          <w:sz w:val="24"/>
          <w:szCs w:val="24"/>
        </w:rPr>
        <w:t>H</w:t>
      </w:r>
      <w:r w:rsidRPr="00FE43F2">
        <w:rPr>
          <w:rFonts w:ascii="Times New Roman" w:hAnsi="Times New Roman" w:cs="Times New Roman"/>
          <w:sz w:val="24"/>
          <w:szCs w:val="24"/>
          <w:vertAlign w:val="subscript"/>
        </w:rPr>
        <w:t>4</w:t>
      </w:r>
      <w:r w:rsidRPr="009972A1">
        <w:rPr>
          <w:rFonts w:ascii="Times New Roman" w:hAnsi="Times New Roman" w:cs="Times New Roman"/>
          <w:sz w:val="24"/>
          <w:szCs w:val="24"/>
        </w:rPr>
        <w:t>-eq for Paung Laung (lower), 7.83 g C</w:t>
      </w:r>
      <w:r w:rsidRPr="00FE43F2">
        <w:rPr>
          <w:rFonts w:ascii="Times New Roman" w:hAnsi="Times New Roman" w:cs="Times New Roman"/>
          <w:sz w:val="24"/>
          <w:szCs w:val="24"/>
          <w:vertAlign w:val="subscript"/>
        </w:rPr>
        <w:t>2</w:t>
      </w:r>
      <w:r w:rsidRPr="009972A1">
        <w:rPr>
          <w:rFonts w:ascii="Times New Roman" w:hAnsi="Times New Roman" w:cs="Times New Roman"/>
          <w:sz w:val="24"/>
          <w:szCs w:val="24"/>
        </w:rPr>
        <w:t>H</w:t>
      </w:r>
      <w:r w:rsidRPr="00FE43F2">
        <w:rPr>
          <w:rFonts w:ascii="Times New Roman" w:hAnsi="Times New Roman" w:cs="Times New Roman"/>
          <w:sz w:val="24"/>
          <w:szCs w:val="24"/>
          <w:vertAlign w:val="subscript"/>
        </w:rPr>
        <w:t>4</w:t>
      </w:r>
      <w:r w:rsidRPr="009972A1">
        <w:rPr>
          <w:rFonts w:ascii="Times New Roman" w:hAnsi="Times New Roman" w:cs="Times New Roman"/>
          <w:sz w:val="24"/>
          <w:szCs w:val="24"/>
        </w:rPr>
        <w:t>-eq for Dapein 1 and 8.47 g C</w:t>
      </w:r>
      <w:r w:rsidRPr="00FE43F2">
        <w:rPr>
          <w:rFonts w:ascii="Times New Roman" w:hAnsi="Times New Roman" w:cs="Times New Roman"/>
          <w:sz w:val="24"/>
          <w:szCs w:val="24"/>
          <w:vertAlign w:val="subscript"/>
        </w:rPr>
        <w:t>2</w:t>
      </w:r>
      <w:r w:rsidRPr="009972A1">
        <w:rPr>
          <w:rFonts w:ascii="Times New Roman" w:hAnsi="Times New Roman" w:cs="Times New Roman"/>
          <w:sz w:val="24"/>
          <w:szCs w:val="24"/>
        </w:rPr>
        <w:t>H</w:t>
      </w:r>
      <w:r w:rsidRPr="00FE43F2">
        <w:rPr>
          <w:rFonts w:ascii="Times New Roman" w:hAnsi="Times New Roman" w:cs="Times New Roman"/>
          <w:sz w:val="24"/>
          <w:szCs w:val="24"/>
          <w:vertAlign w:val="subscript"/>
        </w:rPr>
        <w:t>4</w:t>
      </w:r>
      <w:r w:rsidRPr="009972A1">
        <w:rPr>
          <w:rFonts w:ascii="Times New Roman" w:hAnsi="Times New Roman" w:cs="Times New Roman"/>
          <w:sz w:val="24"/>
          <w:szCs w:val="24"/>
        </w:rPr>
        <w:t xml:space="preserve">-eq Thuk Ye Khat 2. Like </w:t>
      </w:r>
      <w:r>
        <w:rPr>
          <w:rFonts w:ascii="Times New Roman" w:hAnsi="Times New Roman" w:cs="Times New Roman"/>
          <w:sz w:val="24"/>
          <w:szCs w:val="24"/>
        </w:rPr>
        <w:t>FWAP</w:t>
      </w:r>
      <w:r w:rsidRPr="009972A1">
        <w:rPr>
          <w:rFonts w:ascii="Times New Roman" w:hAnsi="Times New Roman" w:cs="Times New Roman"/>
          <w:sz w:val="24"/>
          <w:szCs w:val="24"/>
        </w:rPr>
        <w:t xml:space="preserve">, hydropower plants in Myanmar do not have a significant POP (Fig 3). </w:t>
      </w:r>
      <w:r>
        <w:rPr>
          <w:rFonts w:ascii="Times New Roman" w:hAnsi="Times New Roman" w:cs="Times New Roman"/>
          <w:sz w:val="24"/>
          <w:szCs w:val="24"/>
        </w:rPr>
        <w:t xml:space="preserve">This result is consistent with the results from previous research conducted </w:t>
      </w:r>
      <w:r w:rsidR="00E02B55">
        <w:rPr>
          <w:rFonts w:ascii="Times New Roman" w:hAnsi="Times New Roman" w:cs="Times New Roman"/>
          <w:sz w:val="24"/>
          <w:szCs w:val="24"/>
        </w:rPr>
        <w:t xml:space="preserve">on </w:t>
      </w:r>
      <w:r>
        <w:rPr>
          <w:rFonts w:ascii="Times New Roman" w:hAnsi="Times New Roman" w:cs="Times New Roman"/>
          <w:sz w:val="24"/>
          <w:szCs w:val="24"/>
        </w:rPr>
        <w:t>both</w:t>
      </w:r>
      <w:r w:rsidR="00E02B55">
        <w:rPr>
          <w:rFonts w:ascii="Times New Roman" w:hAnsi="Times New Roman" w:cs="Times New Roman"/>
          <w:sz w:val="24"/>
          <w:szCs w:val="24"/>
        </w:rPr>
        <w:t>,</w:t>
      </w:r>
      <w:r>
        <w:rPr>
          <w:rFonts w:ascii="Times New Roman" w:hAnsi="Times New Roman" w:cs="Times New Roman"/>
          <w:sz w:val="24"/>
          <w:szCs w:val="24"/>
        </w:rPr>
        <w:t xml:space="preserve"> large and mini-hydropower plants around the world </w:t>
      </w:r>
      <w:r>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{"citationItems":[{"id":"ITEM-1","itemData":{"DOI":"10.1016/j.apenergy.2014.08.067","ISSN":"03062619","abstract":"The Portuguese electricity mix is undergoing a significant shift away from the technologies that have dominated generation for the past decades. This article aims at assessing the environmental life-cycle impacts of electricity generation and supply in Portugal (PT), including: (i) modeling the main electricity generation systems; (ii) modeling the transmission and distribution (T&amp;D) grid infrastructure; (iii) characterizing the evolution of the electricity sector in PT from 2003 to 2012; and (iv) discussing how the recent changes in the technology portfolio affected the environmental performance of the electricity generated and supplied. The life-cycle assessment methodology was used to quantify impacts in: non-renewable fossil energy demand (nREn), global warming (GW), abiotic depletion (AD), acidification (AC), eutrophication (ET), photochemical oxidation (PO) and ozone layer depletion (OD). From 2003 to 2012, an overall reduction of the environmental impacts was achieved. In particular, since 2008, electricity generation impacts in AC and PO dropped sharply as a result of the installation of desulphurization (62% reduction in AC; 74% reduction in PO) and denitrification (5% reduction in AC) systems in coal power plants (PP), as well as the phase out of large fuel oil PP. For NREn, AD and GW, the reduction of impacts was less pronounced (9-22% in the generation mix; 14-22% in the supply mix). T&amp;D grid added 5-14% to the environmental impacts due to infrastructure (&lt;5%) and T&amp;D losses (5-9%). Despite the large increase in renewable capacity (especially wind) and the investments in lower-carbon fossil fuel technologies (natural gas), electricity generation still relies heavily on coal. There is, however, potential to further reduce environmental impacts in key categories (NREn, AD and GW) since there is significant available capacity of natural gas combined cycle currently underutilized.","author":[{"dropping-particle":"","family":"Garcia","given":"Rita","non-dropping-particle":"","parse-names":false,"suffix":""},{"dropping-particle":"","family":"Marques","given":"Pedro","non-dropping-particle":"","parse-names":false,"suffix":""},{"dropping-particle":"","family":"Freire","given":"Fausto","non-dropping-particle":"","parse-names":false,"suffix":""}],"container-title":"Applied Energy","id":"ITEM-1","issued":{"date-parts":[["2014"]]},"title":"Life-cycle assessment of electricity in Portugal","type":"article-journal"},"uris":["http://www.mendeley.com/documents/?uuid=fe84c089-35d8-48a3-b412-8c243b3dad98"]},{"id":"ITEM-2","itemData":{"DOI":"10.1016/j.renene.2011.04.023","ISSN":"09601481","abstract":"Rural electrification and the provision of low cost, low emission technology in developing countries require decision makers to be well informed on the costs, appropriateness and environmental credentials of all available options. While cost and appropriateness are often shaped by observable local considerations, environmental considerations are increasingly influenced by global concerns which are more difficult to identify and convey to all stakeholders.Life cycle assessment is an iterative process used to analyse a product or system. This study iteratively applies life cycle assessment (LCA) to a 3 kW community hydroelectric system located in Huai Kra Thing (HKT) village in rural Thailand. The cradle to grave analysis models the hydropower scheme's construction, operation and end of life phases over a period of twenty years and includes all relevant equipment, materials and transportation.The study results in the enumeration of the environmental credentials of the HKT hydropower system and highlights the need to place environmental performance, and LCA itself, in a proper context. In the broadest sense, LCA results for the HKT hydropower system are found to reflect a common trend reported in hydropower LCA literature, namely that smaller hydropower systems have a greater environmentally impact per kWh - perform less well environmentally - than larger systems. Placed within a rural electrification context, however, the HKT hydropower system yields better environmental and financial outcomes than diesel generator and grid connection alternatives. © 2011 Elsevier Ltd.","author":[{"dropping-particle":"","family":"Pascale","given":"Andrew","non-dropping-particle":"","parse-names":false,"suffix":""},{"dropping-particle":"","family":"Urmee","given":"Tania","non-dropping-particle":"","parse-names":false,"suffix":""},{"dropping-particle":"","family":"Moore","given":"Andrew","non-dropping-particle":"","parse-names":false,"suffix":""}],"container-title":"Renewable Energy","id":"ITEM-2","issue":"11","issued":{"date-parts":[["2011"]]},"page":"2799-2808","publisher":"Elsevier Ltd","title":"Life cycle assessment of a community hydroelectric power system in rural Thailand","type":"article-journal","volume":"36"},"uris":["http://www.mendeley.com/documents/?uuid=75e81236-d42e-4cd6-82d7-a5d92f7fcb56"]}],"mendeley":{"formattedCitation":"(Garcia et al., 2014; Pascale et al., 2011)","manualFormatting":"(Garcia et al., 2014; Pascale al., 2011)","plainTextFormattedCitation":"(Garcia et al., 2014; Pascale et al., 2011)","previouslyFormattedCitation":"(Garcia et al., 2014; Pascale et al., 2011)"},"properties":{"noteIndex":0},"schema":"https://github.com/citation-style-language/schema/raw/master/csl-citation.json"}</w:instrText>
      </w:r>
      <w:r>
        <w:rPr>
          <w:rFonts w:ascii="Times New Roman" w:hAnsi="Times New Roman" w:cs="Times New Roman"/>
          <w:sz w:val="24"/>
          <w:szCs w:val="24"/>
        </w:rPr>
        <w:fldChar w:fldCharType="separate"/>
      </w:r>
      <w:r w:rsidRPr="00BF2798">
        <w:rPr>
          <w:rFonts w:ascii="Times New Roman" w:hAnsi="Times New Roman" w:cs="Times New Roman"/>
          <w:noProof/>
          <w:sz w:val="24"/>
          <w:szCs w:val="24"/>
        </w:rPr>
        <w:t>(Garcia et al., 2014; Pascal</w:t>
      </w:r>
      <w:r w:rsidR="00CA3C27">
        <w:rPr>
          <w:rFonts w:ascii="Times New Roman" w:hAnsi="Times New Roman" w:cs="Times New Roman"/>
          <w:noProof/>
          <w:sz w:val="24"/>
          <w:szCs w:val="24"/>
        </w:rPr>
        <w:t>e</w:t>
      </w:r>
      <w:r>
        <w:rPr>
          <w:rFonts w:ascii="Times New Roman" w:hAnsi="Times New Roman" w:cs="Times New Roman"/>
          <w:noProof/>
          <w:sz w:val="24"/>
          <w:szCs w:val="24"/>
        </w:rPr>
        <w:t xml:space="preserve"> al.</w:t>
      </w:r>
      <w:r w:rsidRPr="00BF2798">
        <w:rPr>
          <w:rFonts w:ascii="Times New Roman" w:hAnsi="Times New Roman" w:cs="Times New Roman"/>
          <w:noProof/>
          <w:sz w:val="24"/>
          <w:szCs w:val="24"/>
        </w:rPr>
        <w:t>, 2011)</w:t>
      </w:r>
      <w:r>
        <w:rPr>
          <w:rFonts w:ascii="Times New Roman" w:hAnsi="Times New Roman" w:cs="Times New Roman"/>
          <w:sz w:val="24"/>
          <w:szCs w:val="24"/>
        </w:rPr>
        <w:fldChar w:fldCharType="end"/>
      </w:r>
      <w:r>
        <w:rPr>
          <w:rFonts w:ascii="Times New Roman" w:hAnsi="Times New Roman" w:cs="Times New Roman"/>
          <w:sz w:val="24"/>
          <w:szCs w:val="24"/>
        </w:rPr>
        <w:t>. Based on previous studies, POP from electricity generation is mainly contributed by heavy fuel oil and coal power plants, mostly due to high SO</w:t>
      </w:r>
      <w:r w:rsidRPr="00712C44">
        <w:rPr>
          <w:rFonts w:ascii="Times New Roman" w:hAnsi="Times New Roman" w:cs="Times New Roman"/>
          <w:sz w:val="24"/>
          <w:szCs w:val="24"/>
          <w:vertAlign w:val="subscript"/>
        </w:rPr>
        <w:t>2</w:t>
      </w:r>
      <w:r>
        <w:rPr>
          <w:rFonts w:ascii="Times New Roman" w:hAnsi="Times New Roman" w:cs="Times New Roman"/>
          <w:sz w:val="24"/>
          <w:szCs w:val="24"/>
        </w:rPr>
        <w:t xml:space="preserve"> and NO</w:t>
      </w:r>
      <w:r w:rsidRPr="00712C44">
        <w:rPr>
          <w:rFonts w:ascii="Times New Roman" w:hAnsi="Times New Roman" w:cs="Times New Roman"/>
          <w:sz w:val="24"/>
          <w:szCs w:val="24"/>
          <w:vertAlign w:val="subscript"/>
        </w:rPr>
        <w:t>x</w:t>
      </w:r>
      <w:r>
        <w:rPr>
          <w:rFonts w:ascii="Times New Roman" w:hAnsi="Times New Roman" w:cs="Times New Roman"/>
          <w:sz w:val="24"/>
          <w:szCs w:val="24"/>
        </w:rPr>
        <w:t xml:space="preserve"> emissions </w:t>
      </w:r>
      <w:r>
        <w:rPr>
          <w:rFonts w:ascii="Times New Roman" w:hAnsi="Times New Roman" w:cs="Times New Roman"/>
          <w:sz w:val="24"/>
          <w:szCs w:val="24"/>
        </w:rPr>
        <w:fldChar w:fldCharType="begin" w:fldLock="1"/>
      </w:r>
      <w:r w:rsidR="00924D59">
        <w:rPr>
          <w:rFonts w:ascii="Times New Roman" w:hAnsi="Times New Roman" w:cs="Times New Roman"/>
          <w:sz w:val="24"/>
          <w:szCs w:val="24"/>
        </w:rPr>
        <w:instrText>ADDIN CSL_CITATION {"citationItems":[{"id":"ITEM-1","itemData":{"DOI":"10.1016/j.jclepro.2014.05.061","ISSN":"09596526","abstract":"Sustainable development of energy systems requires consideration of all three sustainability dimensions: environmental, economic and social. Current work presents a new decision-support framework for facilitating this. Taking a life cycle approach, the framework integrates the three sustainability dimensions to enable assessments at both technology and systems levels. The framework comprises scenario analysis, life cycle assessment, life cycle costing, social sustainability assessment and multi-criteria decision analysis, which are used to assess and identify the most sustainable energy options. The application of the framework is illustrated on the example of future electricity supply in Mexico. Eleven scenarios up to 2050 have been developed considering different technologies, electricity mixes and climate change targets. The results show that, based on the 17 sustainability criteria used in this work, the business-as-usual scenario, mostly based on fossil fuels, is unsustainable regardless of the preferences for different sustainability criteria. This is mainly due to the high costs and environmental impacts associated with fossil fuels. Overall, the most sustainable scenarios are those with higher penetration of renewables (wind, solar, hydro, geothermal and biomass) and nuclear power. These electricity pathways would enable meeting the national greenhouse gas emission targets by 2050 in a more sustainable way than envisaged by the current policy. However, some trade-offs among the sustainability criteria are needed, particularly with respect to the social impacts. These trade-offs can be explored easily within the decision-support framework to reveal how different stakeholder preferences affect the outcomes of sustainability assessment, thus contributing to more informed decision and policy making. © 2014 Elsevier Ltd. All rights reserved.","author":[{"dropping-particle":"","family":"Santoyo-Castelazo","given":"Edgar","non-dropping-particle":"","parse-names":false,"suffix":""},{"dropping-particle":"","family":"Azapagic","given":"Adisa","non-dropping-particle":"","parse-names":false,"suffix":""}],"container-title":"Journal of Cleaner Production","id":"ITEM-1","issue":"2014","issued":{"date-parts":[["2014"]]},"page":"119-138","publisher":"Elsevier Ltd","title":"Sustainability assessment of energy systems: Integrating environmental, economic and social aspects","type":"article-journal","volume":"80"},"uris":["http://www.mendeley.com/documents/?uuid=2a212654-1d96-4154-8aa5-89ddaf42288e"]},{"id":"ITEM-2","itemData":{"DOI":"10.1016/j.jclepro.2014.11.033","ISSN":"09596526","abstract":"Electricity demand in Mauritius is growing rapidly but its environmental implications are as yet unknown. This is the topic of the current paper which presents for the first time the life cycle environmental impacts of electricity generation in Mauritius aiming to inform electricity generators and policy makers on how the impacts could be reduced. The majority of country's electricity is generated from fossil fuels, with coal contributing 40% and fuel oil 37%; the rest is from sugarcane bagasse (19%) and hydro-power (4%). The results suggest that electricity from oil has the highest impacts for six out of ten categories considered compared to the other three sources: acidification, freshwater, terrestrial and human toxicity, ozone layer depletion and photochemical oxidants. The remaining four impacts (depletion of resources, global warming, eutrophication and marine toxicity) are highest for coal. The lowest impacts are found for electricity from hydro-power. For example, the global warming potential (GWP) of electricity from coal is estimated at 1444 kg CO&lt;inf&gt;2&lt;/inf&gt; eq./MWh and for oil 754 kg CO&lt;inf&gt;2&lt;/inf&gt; eq./MWh, while for bagasse and hydro-power this impact is several orders of magnitude lower (29 and 8.6 kg CO&lt;inf&gt;2&lt;/inf&gt; eq./MWh, respectively). Oil and coal are the main contributors to the overall impacts from electricity in Mauritius (88%-99%). The contribution of bagasse is small (&lt;1%-12%) and that from hydro-power negligible (&lt;0.1%). The GWP of the electricity mix is estimated at 868 kg CO&lt;inf&gt;2&lt;/inf&gt; eq./MWh. This is equivalent to the annual GWP of 2.22 Mt CO&lt;inf&gt;2&lt;/inf&gt; eq. in 2012, an increase of 16% since 2007. To reduce its carbon emissions, Mauritius should consider reducing the share of fossil fuels through increased use of renewables such as solar PV and wind as well as improving the efficiency of the fossil power plants and reducing energy demand.","author":[{"dropping-particle":"","family":"Brizmohun","given":"Ravina","non-dropping-particle":"","parse-names":false,"suffix":""},{"dropping-particle":"","family":"Ramjeawon","given":"Toolseeram","non-dropping-particle":"","parse-names":false,"suffix":""},{"dropping-particle":"","family":"Azapagic","given":"Adisa","non-dropping-particle":"","parse-names":false,"suffix":""}],"container-title":"Journal of Cleaner Production","id":"ITEM-2","issued":{"date-parts":[["2015"]]},"page":"565-575","publisher":"Elsevier Ltd","title":"Life cycle assessment of electricity generation in Mauritius","type":"article-journal","volume":"106"},"uris":["http://www.mendeley.com/documents/?uuid=cf943f50-bcf8-4b52-97ac-05818566d4a7"]}],"mendeley":{"formattedCitation":"(Brizmohun et al., 2015; Santoyo-Castelazo &amp; Azapagic, 2014)","plainTextFormattedCitation":"(Brizmohun et al., 2015; Santoyo-Castelazo &amp; Azapagic, 2014)","previouslyFormattedCitation":"(Brizmohun et al., 2015; Santoyo-Castelazo &amp; Azapagic, 2014)"},"properties":{"noteIndex":0},"schema":"https://github.com/citation-style-language/schema/raw/master/csl-citation.json"}</w:instrText>
      </w:r>
      <w:r>
        <w:rPr>
          <w:rFonts w:ascii="Times New Roman" w:hAnsi="Times New Roman" w:cs="Times New Roman"/>
          <w:sz w:val="24"/>
          <w:szCs w:val="24"/>
        </w:rPr>
        <w:fldChar w:fldCharType="separate"/>
      </w:r>
      <w:r w:rsidR="00924D59" w:rsidRPr="00924D59">
        <w:rPr>
          <w:rFonts w:ascii="Times New Roman" w:hAnsi="Times New Roman" w:cs="Times New Roman"/>
          <w:noProof/>
          <w:sz w:val="24"/>
          <w:szCs w:val="24"/>
        </w:rPr>
        <w:t>(Brizmohun et al., 2015; Santoyo-Castelazo &amp; Azapagic, 2014)</w:t>
      </w:r>
      <w:r>
        <w:rPr>
          <w:rFonts w:ascii="Times New Roman" w:hAnsi="Times New Roman" w:cs="Times New Roman"/>
          <w:sz w:val="24"/>
          <w:szCs w:val="24"/>
        </w:rPr>
        <w:fldChar w:fldCharType="end"/>
      </w:r>
      <w:r>
        <w:rPr>
          <w:rFonts w:ascii="Times New Roman" w:hAnsi="Times New Roman" w:cs="Times New Roman"/>
          <w:sz w:val="24"/>
          <w:szCs w:val="24"/>
        </w:rPr>
        <w:t>. CO and SO</w:t>
      </w:r>
      <w:r w:rsidRPr="00712C44">
        <w:rPr>
          <w:rFonts w:ascii="Times New Roman" w:hAnsi="Times New Roman" w:cs="Times New Roman"/>
          <w:sz w:val="24"/>
          <w:szCs w:val="24"/>
          <w:vertAlign w:val="subscript"/>
        </w:rPr>
        <w:t>2</w:t>
      </w:r>
      <w:r>
        <w:rPr>
          <w:rFonts w:ascii="Times New Roman" w:hAnsi="Times New Roman" w:cs="Times New Roman"/>
          <w:sz w:val="24"/>
          <w:szCs w:val="24"/>
        </w:rPr>
        <w:t xml:space="preserve"> emissions from burning of natural gas and lignite also contribute to POP </w:t>
      </w:r>
      <w:r>
        <w:rPr>
          <w:rFonts w:ascii="Times New Roman" w:hAnsi="Times New Roman" w:cs="Times New Roman"/>
          <w:sz w:val="24"/>
          <w:szCs w:val="24"/>
        </w:rPr>
        <w:fldChar w:fldCharType="begin" w:fldLock="1"/>
      </w:r>
      <w:r w:rsidR="00B92A16">
        <w:rPr>
          <w:rFonts w:ascii="Times New Roman" w:hAnsi="Times New Roman" w:cs="Times New Roman"/>
          <w:sz w:val="24"/>
          <w:szCs w:val="24"/>
        </w:rPr>
        <w:instrText>ADDIN CSL_CITATION {"citationItems":[{"id":"ITEM-1","itemData":{"DOI":"10.3390/su8111097","ISSN":"20711050","abstract":"© 2016 by the authors. The aim of this paper was to determine how to change the environmental performance of electricity generation depending on the resources and their shares, in order to support decision-makers. Additionally, this paper presents an application of life cycle assessment (LCA) methodology to determine the environmental burdens of electricity generation in Turkey. Electricity generation data in Turkey for the years 2012 and 2023 were used as a case study. The functional unit for electricity generation was 1 kWh. The LCA calculations were carried out using CML-IA (v3.00) data and the results were interpreted with respect to Monte Carlo simulation analysis (with the Monte Carlo function built in SimaPro 8.0.1 software). The results demonstrated that the fossil fuel consumption not only contributes to global warming, but it also has effects on the elemental basis of abiotic depletion due to raw material consumption for plant infrastructure. Additionally, it was observed that the increasing proportion of wind power in the electricity mix would also increase certain life cycle impacts (such as the elemental basis of abiotic depletion, human ecotoxicity, and terrestrial ecotoxicity) in Turkey's geography compared to increasing the share of other renewable energy sources, such as hydropower, geothermal, as well as solar..","author":[{"dropping-particle":"","family":"Günkaya","given":"Zerrin","non-dropping-particle":"","parse-names":false,"suffix":""},{"dropping-particle":"","family":"Özdemir","given":"Alp","non-dropping-particle":"","parse-names":false,"suffix":""},{"dropping-particle":"","family":"Özkan","given":"Aysun","non-dropping-particle":"","parse-names":false,"suffix":""},{"dropping-particle":"","family":"Banar","given":"Müfide","non-dropping-particle":"","parse-names":false,"suffix":""}],"container-title":"Sustainability (Switzerland)","id":"ITEM-1","issued":{"date-parts":[["2016"]]},"title":"Environmental performance of electricity generation based on resources: A life cycle assessment case study in Turkey","type":"article-journal"},"uris":["http://www.mendeley.com/documents/?uuid=f2654f78-b46c-45a9-b021-e5d87f51926b"]}],"mendeley":{"formattedCitation":"(Günkaya et al., 2016)","manualFormatting":"(Günkaya et al., 2016)","plainTextFormattedCitation":"(Günkaya et al., 2016)","previouslyFormattedCitation":"(Günkaya et al., 2016)"},"properties":{"noteIndex":0},"schema":"https://github.com/citation-style-language/schema/raw/master/csl-citation.json"}</w:instrText>
      </w:r>
      <w:r>
        <w:rPr>
          <w:rFonts w:ascii="Times New Roman" w:hAnsi="Times New Roman" w:cs="Times New Roman"/>
          <w:sz w:val="24"/>
          <w:szCs w:val="24"/>
        </w:rPr>
        <w:fldChar w:fldCharType="separate"/>
      </w:r>
      <w:r w:rsidRPr="004F300A">
        <w:rPr>
          <w:rFonts w:ascii="Times New Roman" w:hAnsi="Times New Roman" w:cs="Times New Roman"/>
          <w:noProof/>
          <w:sz w:val="24"/>
          <w:szCs w:val="24"/>
        </w:rPr>
        <w:t>(Günkaya</w:t>
      </w:r>
      <w:r>
        <w:rPr>
          <w:rFonts w:ascii="Times New Roman" w:hAnsi="Times New Roman" w:cs="Times New Roman"/>
          <w:noProof/>
          <w:sz w:val="24"/>
          <w:szCs w:val="24"/>
        </w:rPr>
        <w:t xml:space="preserve"> et al.,</w:t>
      </w:r>
      <w:r w:rsidR="00915BD3">
        <w:rPr>
          <w:rFonts w:ascii="Times New Roman" w:hAnsi="Times New Roman" w:cs="Times New Roman"/>
          <w:noProof/>
          <w:sz w:val="24"/>
          <w:szCs w:val="24"/>
        </w:rPr>
        <w:t xml:space="preserve"> </w:t>
      </w:r>
      <w:r w:rsidRPr="004F300A">
        <w:rPr>
          <w:rFonts w:ascii="Times New Roman" w:hAnsi="Times New Roman" w:cs="Times New Roman"/>
          <w:noProof/>
          <w:sz w:val="24"/>
          <w:szCs w:val="24"/>
        </w:rPr>
        <w:t>2016)</w:t>
      </w:r>
      <w:r>
        <w:rPr>
          <w:rFonts w:ascii="Times New Roman" w:hAnsi="Times New Roman" w:cs="Times New Roman"/>
          <w:sz w:val="24"/>
          <w:szCs w:val="24"/>
        </w:rPr>
        <w:fldChar w:fldCharType="end"/>
      </w:r>
      <w:r>
        <w:rPr>
          <w:rFonts w:ascii="Times New Roman" w:hAnsi="Times New Roman" w:cs="Times New Roman"/>
          <w:sz w:val="24"/>
          <w:szCs w:val="24"/>
        </w:rPr>
        <w:t>. For the hydropower plants in this study, a</w:t>
      </w:r>
      <w:r w:rsidRPr="009972A1">
        <w:rPr>
          <w:rFonts w:ascii="Times New Roman" w:hAnsi="Times New Roman" w:cs="Times New Roman"/>
          <w:sz w:val="24"/>
          <w:szCs w:val="24"/>
        </w:rPr>
        <w:t>round 68% of impact is from the construction phase. Transportation</w:t>
      </w:r>
      <w:r w:rsidR="00E02B55">
        <w:rPr>
          <w:rFonts w:ascii="Times New Roman" w:hAnsi="Times New Roman" w:cs="Times New Roman"/>
          <w:sz w:val="24"/>
          <w:szCs w:val="24"/>
        </w:rPr>
        <w:t>,</w:t>
      </w:r>
      <w:r w:rsidRPr="009972A1">
        <w:rPr>
          <w:rFonts w:ascii="Times New Roman" w:hAnsi="Times New Roman" w:cs="Times New Roman"/>
          <w:sz w:val="24"/>
          <w:szCs w:val="24"/>
        </w:rPr>
        <w:t xml:space="preserve"> operation and maintenance stage</w:t>
      </w:r>
      <w:r w:rsidR="00E02B55">
        <w:rPr>
          <w:rFonts w:ascii="Times New Roman" w:hAnsi="Times New Roman" w:cs="Times New Roman"/>
          <w:sz w:val="24"/>
          <w:szCs w:val="24"/>
        </w:rPr>
        <w:t>s</w:t>
      </w:r>
      <w:r w:rsidRPr="009972A1">
        <w:rPr>
          <w:rFonts w:ascii="Times New Roman" w:hAnsi="Times New Roman" w:cs="Times New Roman"/>
          <w:sz w:val="24"/>
          <w:szCs w:val="24"/>
        </w:rPr>
        <w:t xml:space="preserve"> contribute 25% and 4%</w:t>
      </w:r>
      <w:r w:rsidR="00E02B55">
        <w:rPr>
          <w:rFonts w:ascii="Times New Roman" w:hAnsi="Times New Roman" w:cs="Times New Roman"/>
          <w:sz w:val="24"/>
          <w:szCs w:val="24"/>
        </w:rPr>
        <w:t>,</w:t>
      </w:r>
      <w:r w:rsidRPr="009972A1">
        <w:rPr>
          <w:rFonts w:ascii="Times New Roman" w:hAnsi="Times New Roman" w:cs="Times New Roman"/>
          <w:sz w:val="24"/>
          <w:szCs w:val="24"/>
        </w:rPr>
        <w:t xml:space="preserve"> respectively. </w:t>
      </w:r>
      <w:r>
        <w:rPr>
          <w:rFonts w:ascii="Times New Roman" w:hAnsi="Times New Roman" w:cs="Times New Roman"/>
          <w:sz w:val="24"/>
          <w:szCs w:val="24"/>
        </w:rPr>
        <w:t xml:space="preserve">This can be explained by the current coal-dominated electricity mix in China where most of the construction materials and equipment are manufactured.  </w:t>
      </w:r>
    </w:p>
    <w:p w14:paraId="2BE22C34" w14:textId="77777777" w:rsidR="00C86779" w:rsidRDefault="00C86779" w:rsidP="004F2BB1">
      <w:pPr>
        <w:spacing w:line="240" w:lineRule="auto"/>
        <w:rPr>
          <w:rFonts w:ascii="Times New Roman" w:hAnsi="Times New Roman" w:cs="Times New Roman"/>
          <w:i/>
          <w:sz w:val="24"/>
          <w:szCs w:val="24"/>
        </w:rPr>
      </w:pPr>
      <w:r w:rsidRPr="00445DD0">
        <w:rPr>
          <w:rFonts w:ascii="Times New Roman" w:hAnsi="Times New Roman" w:cs="Times New Roman"/>
          <w:i/>
          <w:sz w:val="24"/>
          <w:szCs w:val="24"/>
        </w:rPr>
        <w:lastRenderedPageBreak/>
        <w:t>Fossil fuel resource depletion potential</w:t>
      </w:r>
    </w:p>
    <w:p w14:paraId="1EC6895B" w14:textId="12BE5D2F" w:rsidR="00C86779" w:rsidRDefault="00C86779" w:rsidP="004F2BB1">
      <w:pPr>
        <w:spacing w:line="240" w:lineRule="auto"/>
        <w:rPr>
          <w:rFonts w:ascii="Times New Roman" w:hAnsi="Times New Roman" w:cs="Times New Roman"/>
          <w:sz w:val="24"/>
          <w:szCs w:val="24"/>
        </w:rPr>
      </w:pPr>
      <w:r w:rsidRPr="006F5C39">
        <w:rPr>
          <w:rFonts w:ascii="Times New Roman" w:hAnsi="Times New Roman" w:cs="Times New Roman"/>
          <w:sz w:val="24"/>
          <w:szCs w:val="24"/>
        </w:rPr>
        <w:t>This impact category is concerned with</w:t>
      </w:r>
      <w:r w:rsidRPr="006F5C39">
        <w:t xml:space="preserve"> </w:t>
      </w:r>
      <w:r>
        <w:t xml:space="preserve">the </w:t>
      </w:r>
      <w:r w:rsidRPr="006F5C39">
        <w:rPr>
          <w:rFonts w:ascii="Times New Roman" w:hAnsi="Times New Roman" w:cs="Times New Roman"/>
          <w:sz w:val="24"/>
          <w:szCs w:val="24"/>
        </w:rPr>
        <w:t xml:space="preserve">extraction of fossil fuels due to inputs into </w:t>
      </w:r>
      <w:r>
        <w:rPr>
          <w:rFonts w:ascii="Times New Roman" w:hAnsi="Times New Roman" w:cs="Times New Roman"/>
          <w:sz w:val="24"/>
          <w:szCs w:val="24"/>
        </w:rPr>
        <w:t xml:space="preserve">hydro electricity generation </w:t>
      </w:r>
      <w:r w:rsidRPr="006F5C39">
        <w:rPr>
          <w:rFonts w:ascii="Times New Roman" w:hAnsi="Times New Roman" w:cs="Times New Roman"/>
          <w:sz w:val="24"/>
          <w:szCs w:val="24"/>
        </w:rPr>
        <w:t>system</w:t>
      </w:r>
      <w:r w:rsidR="00E02B55">
        <w:rPr>
          <w:rFonts w:ascii="Times New Roman" w:hAnsi="Times New Roman" w:cs="Times New Roman"/>
          <w:sz w:val="24"/>
          <w:szCs w:val="24"/>
        </w:rPr>
        <w:t>s and</w:t>
      </w:r>
      <w:r>
        <w:rPr>
          <w:rFonts w:ascii="Times New Roman" w:hAnsi="Times New Roman" w:cs="Times New Roman"/>
          <w:sz w:val="24"/>
          <w:szCs w:val="24"/>
        </w:rPr>
        <w:t xml:space="preserve"> </w:t>
      </w:r>
      <w:r w:rsidRPr="006F06A2">
        <w:rPr>
          <w:rFonts w:ascii="Times New Roman" w:hAnsi="Times New Roman" w:cs="Times New Roman"/>
          <w:sz w:val="24"/>
          <w:szCs w:val="24"/>
        </w:rPr>
        <w:t>is determined for each extraction of</w:t>
      </w:r>
      <w:r>
        <w:rPr>
          <w:rFonts w:ascii="Times New Roman" w:hAnsi="Times New Roman" w:cs="Times New Roman"/>
          <w:sz w:val="24"/>
          <w:szCs w:val="24"/>
        </w:rPr>
        <w:t xml:space="preserve"> </w:t>
      </w:r>
      <w:r w:rsidRPr="006F06A2">
        <w:rPr>
          <w:rFonts w:ascii="Times New Roman" w:hAnsi="Times New Roman" w:cs="Times New Roman"/>
          <w:sz w:val="24"/>
          <w:szCs w:val="24"/>
        </w:rPr>
        <w:t>fossil fuels (</w:t>
      </w:r>
      <w:r>
        <w:rPr>
          <w:rFonts w:ascii="Times New Roman" w:hAnsi="Times New Roman" w:cs="Times New Roman"/>
          <w:sz w:val="24"/>
          <w:szCs w:val="24"/>
        </w:rPr>
        <w:t>gram of antimony equivalent</w:t>
      </w:r>
      <w:r w:rsidRPr="006F06A2">
        <w:rPr>
          <w:rFonts w:ascii="Times New Roman" w:hAnsi="Times New Roman" w:cs="Times New Roman"/>
          <w:sz w:val="24"/>
          <w:szCs w:val="24"/>
        </w:rPr>
        <w:t>)</w:t>
      </w:r>
      <w:r w:rsidR="00E02B55">
        <w:rPr>
          <w:rFonts w:ascii="Times New Roman" w:hAnsi="Times New Roman" w:cs="Times New Roman"/>
          <w:sz w:val="24"/>
          <w:szCs w:val="24"/>
        </w:rPr>
        <w:t>,</w:t>
      </w:r>
      <w:r w:rsidRPr="006F06A2">
        <w:rPr>
          <w:rFonts w:ascii="Times New Roman" w:hAnsi="Times New Roman" w:cs="Times New Roman"/>
          <w:sz w:val="24"/>
          <w:szCs w:val="24"/>
        </w:rPr>
        <w:t xml:space="preserve"> based on concentration reserves and rate of de-accumulation.</w:t>
      </w:r>
      <w:r>
        <w:rPr>
          <w:rFonts w:ascii="Times New Roman" w:hAnsi="Times New Roman" w:cs="Times New Roman"/>
          <w:sz w:val="24"/>
          <w:szCs w:val="24"/>
        </w:rPr>
        <w:t xml:space="preserve"> The results show that</w:t>
      </w:r>
      <w:r w:rsidRPr="006F06A2">
        <w:rPr>
          <w:rFonts w:ascii="Times New Roman" w:hAnsi="Times New Roman" w:cs="Times New Roman"/>
          <w:sz w:val="24"/>
          <w:szCs w:val="24"/>
        </w:rPr>
        <w:t xml:space="preserve"> </w:t>
      </w:r>
      <w:r>
        <w:rPr>
          <w:rFonts w:ascii="Times New Roman" w:hAnsi="Times New Roman" w:cs="Times New Roman"/>
          <w:sz w:val="24"/>
          <w:szCs w:val="24"/>
        </w:rPr>
        <w:t xml:space="preserve">FRP is relatively high for hydropower plants. Transportation of hydropower plants </w:t>
      </w:r>
      <w:r w:rsidR="00E02B55">
        <w:rPr>
          <w:rFonts w:ascii="Times New Roman" w:hAnsi="Times New Roman" w:cs="Times New Roman"/>
          <w:sz w:val="24"/>
          <w:szCs w:val="24"/>
        </w:rPr>
        <w:t xml:space="preserve">is </w:t>
      </w:r>
      <w:r>
        <w:rPr>
          <w:rFonts w:ascii="Times New Roman" w:hAnsi="Times New Roman" w:cs="Times New Roman"/>
          <w:sz w:val="24"/>
          <w:szCs w:val="24"/>
        </w:rPr>
        <w:t xml:space="preserve">the biggest contribution </w:t>
      </w:r>
      <w:r w:rsidR="00E02B55">
        <w:rPr>
          <w:rFonts w:ascii="Times New Roman" w:hAnsi="Times New Roman" w:cs="Times New Roman"/>
          <w:sz w:val="24"/>
          <w:szCs w:val="24"/>
        </w:rPr>
        <w:t xml:space="preserve">in </w:t>
      </w:r>
      <w:r>
        <w:rPr>
          <w:rFonts w:ascii="Times New Roman" w:hAnsi="Times New Roman" w:cs="Times New Roman"/>
          <w:sz w:val="24"/>
          <w:szCs w:val="24"/>
        </w:rPr>
        <w:t>this category. This result can be attributed to the remoteness of the power plants, and the requirement of the delivery of a large quantity of materials and equipment. Operation and maintenance stage</w:t>
      </w:r>
      <w:r w:rsidR="00E02B55">
        <w:rPr>
          <w:rFonts w:ascii="Times New Roman" w:hAnsi="Times New Roman" w:cs="Times New Roman"/>
          <w:sz w:val="24"/>
          <w:szCs w:val="24"/>
        </w:rPr>
        <w:t>s</w:t>
      </w:r>
      <w:r>
        <w:rPr>
          <w:rFonts w:ascii="Times New Roman" w:hAnsi="Times New Roman" w:cs="Times New Roman"/>
          <w:sz w:val="24"/>
          <w:szCs w:val="24"/>
        </w:rPr>
        <w:t xml:space="preserve"> are the second largest contributor to FRP. Contrary to other impact categories, the construction phase does not have any impact on the FRP. The assumption </w:t>
      </w:r>
      <w:r w:rsidR="00E02B55">
        <w:rPr>
          <w:rFonts w:ascii="Times New Roman" w:hAnsi="Times New Roman" w:cs="Times New Roman"/>
          <w:sz w:val="24"/>
          <w:szCs w:val="24"/>
        </w:rPr>
        <w:t xml:space="preserve">is </w:t>
      </w:r>
      <w:r>
        <w:rPr>
          <w:rFonts w:ascii="Times New Roman" w:hAnsi="Times New Roman" w:cs="Times New Roman"/>
          <w:sz w:val="24"/>
          <w:szCs w:val="24"/>
        </w:rPr>
        <w:t xml:space="preserve">that smaller plants might be environmentally more detrimental than larger plants (see fig.3). The larger the power plants, the more materials and equipment are demanded, the </w:t>
      </w:r>
      <w:r w:rsidR="00E02B55">
        <w:rPr>
          <w:rFonts w:ascii="Times New Roman" w:hAnsi="Times New Roman" w:cs="Times New Roman"/>
          <w:sz w:val="24"/>
          <w:szCs w:val="24"/>
        </w:rPr>
        <w:t xml:space="preserve">more </w:t>
      </w:r>
      <w:r>
        <w:rPr>
          <w:rFonts w:ascii="Times New Roman" w:hAnsi="Times New Roman" w:cs="Times New Roman"/>
          <w:sz w:val="24"/>
          <w:szCs w:val="24"/>
        </w:rPr>
        <w:t xml:space="preserve">fuel is required for vehicles used to transport them. The high FRP value can be a result of the combustion of fossil-fuel during transportation.  </w:t>
      </w:r>
    </w:p>
    <w:p w14:paraId="2C099CAE" w14:textId="33C21F17" w:rsidR="006724CA" w:rsidRDefault="006724CA" w:rsidP="004F2BB1">
      <w:pPr>
        <w:spacing w:line="240" w:lineRule="auto"/>
        <w:rPr>
          <w:rFonts w:ascii="Times New Roman" w:hAnsi="Times New Roman" w:cs="Times New Roman"/>
          <w:i/>
          <w:iCs/>
          <w:sz w:val="24"/>
          <w:szCs w:val="24"/>
        </w:rPr>
      </w:pPr>
      <w:bookmarkStart w:id="7" w:name="_Hlk40383327"/>
      <w:r w:rsidRPr="006724CA">
        <w:rPr>
          <w:rFonts w:ascii="Times New Roman" w:hAnsi="Times New Roman" w:cs="Times New Roman"/>
          <w:i/>
          <w:iCs/>
          <w:sz w:val="24"/>
          <w:szCs w:val="24"/>
        </w:rPr>
        <w:t>Biogenic GHG emission</w:t>
      </w:r>
    </w:p>
    <w:p w14:paraId="1E0E39F0" w14:textId="48569506" w:rsidR="00F9258A" w:rsidRDefault="006724CA" w:rsidP="00721F57">
      <w:pPr>
        <w:rPr>
          <w:rFonts w:ascii="Times New Roman" w:hAnsi="Times New Roman" w:cs="Times New Roman"/>
          <w:sz w:val="24"/>
          <w:szCs w:val="24"/>
        </w:rPr>
      </w:pPr>
      <w:r w:rsidRPr="001A080E">
        <w:rPr>
          <w:rFonts w:ascii="Times New Roman" w:hAnsi="Times New Roman" w:cs="Times New Roman"/>
          <w:sz w:val="24"/>
          <w:szCs w:val="24"/>
        </w:rPr>
        <w:t xml:space="preserve">Table </w:t>
      </w:r>
      <w:r w:rsidR="00816903">
        <w:rPr>
          <w:rFonts w:ascii="Times New Roman" w:hAnsi="Times New Roman" w:cs="Times New Roman"/>
          <w:sz w:val="24"/>
          <w:szCs w:val="24"/>
        </w:rPr>
        <w:t xml:space="preserve">7 </w:t>
      </w:r>
      <w:r>
        <w:rPr>
          <w:rFonts w:ascii="Times New Roman" w:hAnsi="Times New Roman" w:cs="Times New Roman"/>
          <w:sz w:val="24"/>
          <w:szCs w:val="24"/>
        </w:rPr>
        <w:t>summarizes the inventory data and results obtained in terms of biogenic GHG emission</w:t>
      </w:r>
      <w:r w:rsidR="00816903">
        <w:rPr>
          <w:rFonts w:ascii="Times New Roman" w:hAnsi="Times New Roman" w:cs="Times New Roman"/>
          <w:sz w:val="24"/>
          <w:szCs w:val="24"/>
        </w:rPr>
        <w:t>s</w:t>
      </w:r>
      <w:r>
        <w:rPr>
          <w:rFonts w:ascii="Times New Roman" w:hAnsi="Times New Roman" w:cs="Times New Roman"/>
          <w:sz w:val="24"/>
          <w:szCs w:val="24"/>
        </w:rPr>
        <w:t xml:space="preserve"> of the five hydropower plants. The emissions per FU range from 8.12 </w:t>
      </w:r>
      <w:r w:rsidRPr="005A617D">
        <w:rPr>
          <w:rFonts w:ascii="Times New Roman" w:hAnsi="Times New Roman" w:cs="Times New Roman"/>
          <w:sz w:val="24"/>
          <w:szCs w:val="24"/>
        </w:rPr>
        <w:t>KgCO</w:t>
      </w:r>
      <w:r w:rsidRPr="005A617D">
        <w:rPr>
          <w:rFonts w:ascii="Times New Roman" w:hAnsi="Times New Roman" w:cs="Times New Roman"/>
          <w:sz w:val="24"/>
          <w:szCs w:val="24"/>
          <w:vertAlign w:val="subscript"/>
        </w:rPr>
        <w:t>2</w:t>
      </w:r>
      <w:r w:rsidRPr="005A617D">
        <w:rPr>
          <w:rFonts w:ascii="Times New Roman" w:hAnsi="Times New Roman" w:cs="Times New Roman"/>
          <w:sz w:val="24"/>
          <w:szCs w:val="24"/>
        </w:rPr>
        <w:t xml:space="preserve"> eq/</w:t>
      </w:r>
      <w:r>
        <w:rPr>
          <w:rFonts w:ascii="Times New Roman" w:hAnsi="Times New Roman" w:cs="Times New Roman"/>
          <w:sz w:val="24"/>
          <w:szCs w:val="24"/>
        </w:rPr>
        <w:t>M</w:t>
      </w:r>
      <w:r w:rsidRPr="005A617D">
        <w:rPr>
          <w:rFonts w:ascii="Times New Roman" w:hAnsi="Times New Roman" w:cs="Times New Roman"/>
          <w:sz w:val="24"/>
          <w:szCs w:val="24"/>
        </w:rPr>
        <w:t>wh</w:t>
      </w:r>
      <w:r>
        <w:rPr>
          <w:rFonts w:ascii="Times New Roman" w:hAnsi="Times New Roman" w:cs="Times New Roman"/>
          <w:sz w:val="24"/>
          <w:szCs w:val="24"/>
        </w:rPr>
        <w:t xml:space="preserve"> </w:t>
      </w:r>
      <w:r w:rsidRPr="005A617D">
        <w:rPr>
          <w:rFonts w:ascii="Times New Roman" w:hAnsi="Times New Roman" w:cs="Times New Roman"/>
          <w:sz w:val="24"/>
          <w:szCs w:val="24"/>
        </w:rPr>
        <w:t xml:space="preserve">to </w:t>
      </w:r>
      <w:r>
        <w:rPr>
          <w:rFonts w:ascii="Times New Roman" w:hAnsi="Times New Roman" w:cs="Times New Roman"/>
          <w:sz w:val="24"/>
          <w:szCs w:val="24"/>
        </w:rPr>
        <w:t>16.62</w:t>
      </w:r>
      <w:r w:rsidRPr="005A617D">
        <w:rPr>
          <w:rFonts w:ascii="Times New Roman" w:hAnsi="Times New Roman" w:cs="Times New Roman"/>
          <w:sz w:val="24"/>
          <w:szCs w:val="24"/>
        </w:rPr>
        <w:t xml:space="preserve"> KgCO</w:t>
      </w:r>
      <w:r w:rsidRPr="005A617D">
        <w:rPr>
          <w:rFonts w:ascii="Times New Roman" w:hAnsi="Times New Roman" w:cs="Times New Roman"/>
          <w:sz w:val="24"/>
          <w:szCs w:val="24"/>
          <w:vertAlign w:val="subscript"/>
        </w:rPr>
        <w:t>2</w:t>
      </w:r>
      <w:r w:rsidRPr="005A617D">
        <w:rPr>
          <w:rFonts w:ascii="Times New Roman" w:hAnsi="Times New Roman" w:cs="Times New Roman"/>
          <w:sz w:val="24"/>
          <w:szCs w:val="24"/>
        </w:rPr>
        <w:t xml:space="preserve"> eq/</w:t>
      </w:r>
      <w:r>
        <w:rPr>
          <w:rFonts w:ascii="Times New Roman" w:hAnsi="Times New Roman" w:cs="Times New Roman"/>
          <w:sz w:val="24"/>
          <w:szCs w:val="24"/>
        </w:rPr>
        <w:t>M</w:t>
      </w:r>
      <w:r w:rsidRPr="005A617D">
        <w:rPr>
          <w:rFonts w:ascii="Times New Roman" w:hAnsi="Times New Roman" w:cs="Times New Roman"/>
          <w:sz w:val="24"/>
          <w:szCs w:val="24"/>
        </w:rPr>
        <w:t>wh.</w:t>
      </w:r>
      <w:r>
        <w:rPr>
          <w:rFonts w:ascii="Times New Roman" w:hAnsi="Times New Roman" w:cs="Times New Roman"/>
          <w:sz w:val="24"/>
          <w:szCs w:val="24"/>
        </w:rPr>
        <w:t xml:space="preserve"> The substantial differences in GHG emissions can be attributable to the varying installed capacity, size and electricity generation capacity of the plants. The general pattern of the results shows that power plants with higher installed capacity produce higher GHG emissions per FU from reservoirs. The exception in this case is Thauk Ye Khat 2 which produces higher emissions than the two other plants with higher installed capacity, Paung Laung (lower) and Dapein 1. This can be due to relatively lower annual generation capacity of the plant. Compare to the results from previous literatures on the hydropower plants in tropical regions, reservoir GHG emissions from all the five powerplants are on the lower end of the range. In most cases, power plants located in tropical regions generate from 7 </w:t>
      </w:r>
      <w:r w:rsidRPr="00487D4D">
        <w:rPr>
          <w:rFonts w:ascii="Times New Roman" w:hAnsi="Times New Roman" w:cs="Times New Roman"/>
          <w:sz w:val="24"/>
          <w:szCs w:val="24"/>
        </w:rPr>
        <w:t>KgCO</w:t>
      </w:r>
      <w:r w:rsidRPr="00487D4D">
        <w:rPr>
          <w:rFonts w:ascii="Times New Roman" w:hAnsi="Times New Roman" w:cs="Times New Roman"/>
          <w:sz w:val="24"/>
          <w:szCs w:val="24"/>
          <w:vertAlign w:val="subscript"/>
        </w:rPr>
        <w:t>2</w:t>
      </w:r>
      <w:r w:rsidRPr="00487D4D">
        <w:rPr>
          <w:rFonts w:ascii="Times New Roman" w:hAnsi="Times New Roman" w:cs="Times New Roman"/>
          <w:sz w:val="24"/>
          <w:szCs w:val="24"/>
        </w:rPr>
        <w:t xml:space="preserve"> eq/M</w:t>
      </w:r>
      <w:r w:rsidR="009C5063">
        <w:rPr>
          <w:rFonts w:ascii="Times New Roman" w:hAnsi="Times New Roman" w:cs="Times New Roman"/>
          <w:sz w:val="24"/>
          <w:szCs w:val="24"/>
        </w:rPr>
        <w:t>W</w:t>
      </w:r>
      <w:r w:rsidRPr="00487D4D">
        <w:rPr>
          <w:rFonts w:ascii="Times New Roman" w:hAnsi="Times New Roman" w:cs="Times New Roman"/>
          <w:sz w:val="24"/>
          <w:szCs w:val="24"/>
        </w:rPr>
        <w:t>h</w:t>
      </w:r>
      <w:r>
        <w:rPr>
          <w:rFonts w:ascii="Times New Roman" w:hAnsi="Times New Roman" w:cs="Times New Roman"/>
          <w:sz w:val="24"/>
          <w:szCs w:val="24"/>
        </w:rPr>
        <w:t xml:space="preserve"> </w:t>
      </w:r>
      <w:r w:rsidR="006F4C11">
        <w:rPr>
          <w:rFonts w:ascii="Times New Roman" w:hAnsi="Times New Roman" w:cs="Times New Roman"/>
          <w:sz w:val="24"/>
          <w:szCs w:val="24"/>
        </w:rPr>
        <w:t xml:space="preserve">to </w:t>
      </w:r>
      <w:r>
        <w:rPr>
          <w:rFonts w:ascii="Times New Roman" w:hAnsi="Times New Roman" w:cs="Times New Roman"/>
          <w:sz w:val="24"/>
          <w:szCs w:val="24"/>
        </w:rPr>
        <w:t xml:space="preserve">up to 4326 </w:t>
      </w:r>
      <w:r w:rsidRPr="00487D4D">
        <w:rPr>
          <w:rFonts w:ascii="Times New Roman" w:hAnsi="Times New Roman" w:cs="Times New Roman"/>
          <w:sz w:val="24"/>
          <w:szCs w:val="24"/>
        </w:rPr>
        <w:t>KgCO</w:t>
      </w:r>
      <w:r w:rsidRPr="00487D4D">
        <w:rPr>
          <w:rFonts w:ascii="Times New Roman" w:hAnsi="Times New Roman" w:cs="Times New Roman"/>
          <w:sz w:val="24"/>
          <w:szCs w:val="24"/>
          <w:vertAlign w:val="subscript"/>
        </w:rPr>
        <w:t>2</w:t>
      </w:r>
      <w:r w:rsidRPr="00487D4D">
        <w:rPr>
          <w:rFonts w:ascii="Times New Roman" w:hAnsi="Times New Roman" w:cs="Times New Roman"/>
          <w:sz w:val="24"/>
          <w:szCs w:val="24"/>
        </w:rPr>
        <w:t xml:space="preserve"> eq/M</w:t>
      </w:r>
      <w:r w:rsidR="009C5063">
        <w:rPr>
          <w:rFonts w:ascii="Times New Roman" w:hAnsi="Times New Roman" w:cs="Times New Roman"/>
          <w:sz w:val="24"/>
          <w:szCs w:val="24"/>
        </w:rPr>
        <w:t>W</w:t>
      </w:r>
      <w:r w:rsidRPr="00487D4D">
        <w:rPr>
          <w:rFonts w:ascii="Times New Roman" w:hAnsi="Times New Roman" w:cs="Times New Roman"/>
          <w:sz w:val="24"/>
          <w:szCs w:val="24"/>
        </w:rPr>
        <w:t>h</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{"citationItems":[{"id":"ITEM-1","itemData":{"DOI":"10.1016/j.rser.2018.04.014","ISSN":"18790690","abstract":"Hydropower is traditionally considered to be one type of “clean” energy, and has been heavily developed in many regions of the world. Nevertheless, this assumption is increasingly being challenged by recent findings that a large amount of methane and other greenhouse gases (GHGs) are emitted during reservoir creation, turbine operation, and dam decommissioning. Via a critical review of existing hydropower life cycle assessments and reservoir emission studies, we compared the GHG emissions of various types of dams based on their structural type, size, primary function, and geographical location during their construction, operation, and decommissioning phases. Means to improve dam performance and reduce related GHG emissions were identified. It was found that dams with reservoirs usually have much higher GHG emission rates than diversion dams. GHG emissions are mainly generated at the construction and maintenance stages for small-scale run-of-river dams, whereas decomposition of flooded biomass and organic matter in the sediment has the highest GHG emission contribution to large-scale reservoir-based dams. Generally, reservoir-based dams located in boreal and temperate regions have much lower reservoir emissions (3–70 g CO2 eq./kW h) compared with dams located in tropical regions (8–6647 g CO2 eq./kW h). Our analysis shows that although most hydroelectric dams have comparable GHG emissions to other types of renewable energy (e.g., solar, wind energy), electricity produced from tropical reservoir-based dams could potentially have a higher emission rate than fossil-based electricity.","author":[{"dropping-particle":"","family":"Song","given":"Cuihong","non-dropping-particle":"","parse-names":false,"suffix":""},{"dropping-particle":"","family":"Gardner","given":"Kevin H.","non-dropping-particle":"","parse-names":false,"suffix":""},{"dropping-particle":"","family":"Klein","given":"Sharon J.W.","non-dropping-particle":"","parse-names":false,"suffix":""},{"dropping-particle":"","family":"Souza","given":"Simone Pereira","non-dropping-particle":"","parse-names":false,"suffix":""},{"dropping-particle":"","family":"Mo","given":"Weiwei","non-dropping-particle":"","parse-names":false,"suffix":""}],"container-title":"Renewable and Sustainable Energy Reviews","id":"ITEM-1","issue":"July 2017","issued":{"date-parts":[["2018"]]},"page":"945-956","publisher":"Elsevier Ltd","title":"Cradle-to-grave greenhouse gas emissions from dams in the United States of America","type":"article-journal","volume":"90"},"uris":["http://www.mendeley.com/documents/?uuid=ade4c3b3-b8e0-40a5-9b12-cba5d44e1766"]},{"id":"ITEM-2","itemData":{"author":[{"dropping-particle":"","family":"Gagnon","given":"Luc","non-dropping-particle":"","parse-names":false,"suffix":""}],"id":"ITEM-2","issue":"I","issued":{"date-parts":[["1997"]]},"page":"7-13","title":"Greenhouse gas emissions from hydropower The state of research in 1996","type":"article-journal","volume":"25"},"uris":["http://www.mendeley.com/documents/?uuid=477b7a5a-5930-44c7-a346-001c00d69b58"]},{"id":"ITEM-3","itemData":{"DOI":"10.1007/s11367-012-0501-0","ISSN":"09483349","abstract":"Purpose: This paper assesses facility-specific life cycle greenhouse gas (GHG) emission intensities for electricity-generating facilities in the province of Ontario in 2008. It offers policy makers, researchers and other stakeholders of the Ontario electricity system with data regarding some of the environmental burdens from multiple generation technology currently deployed in the province. Methods: Methods involved extraction of data and analysis from several publically accessible datasets, as well as from the LCA literature. GHG emissions data for operation of power plants came from the Government of Canada GHG registry and the Ontario Power Generation (OPG) Sustainable Development reports. Facility-specific generation data came from the Independent Electricity System Operator in Ontario and the OPG. Results: Full life cycle GHG intensity (tonnes of CO2 equivalent per gigawatt hour) estimates are provided for 4 coal facilities, 27 natural gas facilities, 1 oil/natural gas facility, 3 nuclear facilities, 7 run-of-river hydro facilities and 37 reservoir hydro facilities, and 7 wind facilities. Average (output weighted) life cycle GHG intensities are calculated for each fuel type in Ontario, and the life cycle GHG intensity for the Ontario grid as a whole (in 2008) is estimated to be 201 t CO2e/GWh. Conclusions: The results reflect only the global warming impact of electricity generation, and they are meant to inform a broader discussion which includes other environmental, social, cultural, institutional and economic factors. This full range of factors should be included in decisions regarding energy policy for the Province of Ontario, and in future work on the Ontario electricity system. © 2012 Springer-Verlag.","author":[{"dropping-particle":"","family":"Mallia","given":"E.","non-dropping-particle":"","parse-names":false,"suffix":""},{"dropping-particle":"","family":"Lewis","given":"G.","non-dropping-particle":"","parse-names":false,"suffix":""}],"container-title":"International Journal of Life Cycle Assessment","id":"ITEM-3","issue":"2","issued":{"date-parts":[["2013"]]},"page":"377-391","title":"Life cycle greenhouse gas emissions of electricity generation in the province of Ontario, Canada","type":"article-journal","volume":"18"},"uris":["http://www.mendeley.com/documents/?uuid=00e4633c-71ef-4883-9a6f-3f29fe4c2924"]},{"id":"ITEM-4","itemData":{"ISBN":"2004114231","author":[{"dropping-particle":"","family":"A.Tremblay","given":"","non-dropping-particle":"","parse-names":false,"suffix":""}],"id":"ITEM-4","issued":{"date-parts":[["2005"]]},"publisher":"Springer","title":"Greenhouse Gas Emission Fluxes and Processess","type":"book"},"uris":["http://www.mendeley.com/documents/?uuid=292b389a-8c0c-4276-97a1-2ca975443372"]}],"mendeley":{"formattedCitation":"(A.Tremblay, 2005; Gagnon, 1997; Mallia &amp; Lewis, 2013; Song et al., 2018)","plainTextFormattedCitation":"(A.Tremblay, 2005; Gagnon, 1997; Mallia &amp; Lewis, 2013; Song et al., 2018)","previouslyFormattedCitation":"(A.Tremblay, 2005; Gagnon, 1997; Mallia &amp; Lewis, 2013; Song et al., 2018)"},"properties":{"noteIndex":0},"schema":"https://github.com/citation-style-language/schema/raw/master/csl-citation.json"}</w:instrText>
      </w:r>
      <w:r>
        <w:rPr>
          <w:rFonts w:ascii="Times New Roman" w:hAnsi="Times New Roman" w:cs="Times New Roman"/>
          <w:sz w:val="24"/>
          <w:szCs w:val="24"/>
        </w:rPr>
        <w:fldChar w:fldCharType="separate"/>
      </w:r>
      <w:r w:rsidRPr="002547E8">
        <w:rPr>
          <w:rFonts w:ascii="Times New Roman" w:hAnsi="Times New Roman" w:cs="Times New Roman"/>
          <w:noProof/>
          <w:sz w:val="24"/>
          <w:szCs w:val="24"/>
        </w:rPr>
        <w:t>(A.Tremblay, 2005; Gagnon, 1997; Mallia &amp; Lewis, 2013; Song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However, literature indicates that reservoir biomass GHG emission is much lower in boreal and temperate climates. The primary reason for comparatively lower GHG emission from the five hydropower plants in this study is the type of the plants. Run of River hydropower plants do not need flooding of reservoirs and GHG emission associated with decay of biomass is usually low </w:t>
      </w:r>
      <w:r>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{"citationItems":[{"id":"ITEM-1","itemData":{"DOI":"10.1007/s11367-012-0501-0","ISSN":"09483349","abstract":"Purpose: This paper assesses facility-specific life cycle greenhouse gas (GHG) emission intensities for electricity-generating facilities in the province of Ontario in 2008. It offers policy makers, researchers and other stakeholders of the Ontario electricity system with data regarding some of the environmental burdens from multiple generation technology currently deployed in the province. Methods: Methods involved extraction of data and analysis from several publically accessible datasets, as well as from the LCA literature. GHG emissions data for operation of power plants came from the Government of Canada GHG registry and the Ontario Power Generation (OPG) Sustainable Development reports. Facility-specific generation data came from the Independent Electricity System Operator in Ontario and the OPG. Results: Full life cycle GHG intensity (tonnes of CO2 equivalent per gigawatt hour) estimates are provided for 4 coal facilities, 27 natural gas facilities, 1 oil/natural gas facility, 3 nuclear facilities, 7 run-of-river hydro facilities and 37 reservoir hydro facilities, and 7 wind facilities. Average (output weighted) life cycle GHG intensities are calculated for each fuel type in Ontario, and the life cycle GHG intensity for the Ontario grid as a whole (in 2008) is estimated to be 201 t CO2e/GWh. Conclusions: The results reflect only the global warming impact of electricity generation, and they are meant to inform a broader discussion which includes other environmental, social, cultural, institutional and economic factors. This full range of factors should be included in decisions regarding energy policy for the Province of Ontario, and in future work on the Ontario electricity system. © 2012 Springer-Verlag.","author":[{"dropping-particle":"","family":"Mallia","given":"E.","non-dropping-particle":"","parse-names":false,"suffix":""},{"dropping-particle":"","family":"Lewis","given":"G.","non-dropping-particle":"","parse-names":false,"suffix":""}],"container-title":"International Journal of Life Cycle Assessment","id":"ITEM-1","issue":"2","issued":{"date-parts":[["2013"]]},"page":"377-391","title":"Life cycle greenhouse gas emissions of electricity generation in the province of Ontario, Canada","type":"article-journal","volume":"18"},"uris":["http://www.mendeley.com/documents/?uuid=00e4633c-71ef-4883-9a6f-3f29fe4c2924"]},{"id":"ITEM-2","itemData":{"author":[{"dropping-particle":"","family":"Gagnon","given":"Luc","non-dropping-particle":"","parse-names":false,"suffix":""}],"id":"ITEM-2","issue":"I","issued":{"date-parts":[["1997"]]},"page":"7-13","title":"Greenhouse gas emissions from hydropower The state of research in 1996","type":"article-journal","volume":"25"},"uris":["http://www.mendeley.com/documents/?uuid=477b7a5a-5930-44c7-a346-001c00d69b58"]},{"id":"ITEM-3","itemData":{"abstract":"All around the globe the consumption of raw materials by the construction industries is accumulating day by day resulting with an depletion of natural resources, increasing the environmental impacts and CO2 emissions all over the surroundings. Today steel and concrete are widely used and are dominating construction materials in construction industry. These two construction materials are different products and have distinct production flow with significant impact on the environment. The amount of embodied energy and operational energy which is consumed in the process of production, recycling and reuse are becoming increasingly more important in the construction industries due to the potential shortage of natural resources in the near by future and due to the inflation in the energy prices.","author":[{"dropping-particle":"","family":"Kare","given":"Sridhar","non-dropping-particle":"","parse-names":false,"suffix":""},{"dropping-particle":"","family":"Lomite","given":"Heera","non-dropping-particle":"","parse-names":false,"suffix":""}],"id":"ITEM-3","issue":"1","issued":{"date-parts":[["2009"]]},"number-of-pages":"66","title":"Impact of Construction Material on Environment-(Steel &amp; Concrete)","type":"report"},"uris":["http://www.mendeley.com/documents/?uuid=61e2de27-3f61-47ed-8efc-0ed5750492de"]},{"id":"ITEM-4","itemData":{"author":[{"dropping-particle":"","family":"Koch","given":"Frans H","non-dropping-particle":"","parse-names":false,"suffix":""}],"id":"ITEM-4","issued":{"date-parts":[["2002"]]},"page":"1207-1213","title":"Hydropower — the politics of water and energy : Introduction and overview","type":"article-journal","volume":"30"},"uris":["http://www.mendeley.com/documents/?uuid=71f911f0-57fa-4fc9-b34a-e0c669d12e1c"]},{"id":"ITEM-5","itemData":{"DOI":"10.1016/j.rser.2013.08.013","ISSN":"1364-0321","author":[{"dropping-particle":"","family":"Turconi","given":"Roberto","non-dropping-particle":"","parse-names":false,"suffix":""},{"dropping-particle":"","family":"Boldrin","given":"Alessio","non-dropping-particle":"","parse-names":false,"suffix":""},{"dropping-particle":"","family":"Astrup","given":"Thomas","non-dropping-particle":"","parse-names":false,"suffix":""}],"container-title":"Renewable and Sustainable Energy Reviews","id":"ITEM-5","issued":{"date-parts":[["2013"]]},"page":"555-565","publisher":"Elsevier","title":"Life cycle assessment ( LCA ) of electricity generation technologies : Overview , comparability and limitations","type":"article-journal","volume":"28"},"uris":["http://www.mendeley.com/documents/?uuid=84c73539-86ad-4fee-a4c9-446b93c3e1c2"]},{"id":"ITEM-6","itemData":{"abstract</w:instrText>
      </w:r>
      <w:r w:rsidR="00AE02EE">
        <w:rPr>
          <w:rFonts w:ascii="Times New Roman" w:hAnsi="Times New Roman" w:cs="Times New Roman" w:hint="eastAsia"/>
          <w:sz w:val="24"/>
          <w:szCs w:val="24"/>
        </w:rPr>
        <w:instrText xml:space="preserve">":"TREMBLAY, A.; VARFALVY, L.; ROEHM, C.; GARNEAU, M. (eds.) Greenhouse gas emissions </w:instrText>
      </w:r>
      <w:r w:rsidR="00AE02EE">
        <w:rPr>
          <w:rFonts w:ascii="Times New Roman" w:hAnsi="Times New Roman" w:cs="Times New Roman" w:hint="eastAsia"/>
          <w:sz w:val="24"/>
          <w:szCs w:val="24"/>
        </w:rPr>
        <w:instrText>–</w:instrText>
      </w:r>
      <w:r w:rsidR="00AE02EE">
        <w:rPr>
          <w:rFonts w:ascii="Times New Roman" w:hAnsi="Times New Roman" w:cs="Times New Roman" w:hint="eastAsia"/>
          <w:sz w:val="24"/>
          <w:szCs w:val="24"/>
        </w:rPr>
        <w:instrText xml:space="preserve"> fluxes and processes: Hydroelectric reservoirs and natural environments, 732 pp. Berlin: Springer</w:instrText>
      </w:r>
      <w:r w:rsidR="00AE02EE">
        <w:rPr>
          <w:rFonts w:ascii="Times New Roman" w:hAnsi="Times New Roman" w:cs="Times New Roman" w:hint="eastAsia"/>
          <w:sz w:val="24"/>
          <w:szCs w:val="24"/>
        </w:rPr>
        <w:instrText>‐</w:instrText>
      </w:r>
      <w:r w:rsidR="00AE02EE">
        <w:rPr>
          <w:rFonts w:ascii="Times New Roman" w:hAnsi="Times New Roman" w:cs="Times New Roman" w:hint="eastAsia"/>
          <w:sz w:val="24"/>
          <w:szCs w:val="24"/>
        </w:rPr>
        <w:instrText>Verlag. c2005","author":[{"dropping-particle":"","family":"Tremblay",</w:instrText>
      </w:r>
      <w:r w:rsidR="00AE02EE">
        <w:rPr>
          <w:rFonts w:ascii="Times New Roman" w:hAnsi="Times New Roman" w:cs="Times New Roman"/>
          <w:sz w:val="24"/>
          <w:szCs w:val="24"/>
        </w:rPr>
        <w:instrText>"given":"Alain","non-dropping-particle":"","parse-names":false,"suffix":""}],"container-title":"Environmental Science Series","id":"ITEM-6","issued":{"date-parts":[["2005"]]},"title":"Greenhouse gas emissions – fluxes and processes: Hydroelectric reservoirs and natural environments.","type":"book"},"uris":["http://www.mendeley.com/documents/?uuid=fcabb25b-be43-4403-8a84-69c969dcdb10","http://www.mendeley.com/documents/?uuid=33acf57d-f45d-4d96-824a-9ce1058bfcaf"]},{"id":"ITEM-7","itemData":{"DOI":"10.1002/9781119066354.ch42","ISBN":"9781119066354","abstract":"Tropical hydroelectric dams emit substantial amounts of greenhouse gases. A major source of emission is the carbon released from above-water decay of the trees that are killed by flooding. The water in the reservoir emits carbon dioxide (CO2), either through bubbling or diffusion through the reservoir surface or from the water being released through the turbines and spillways. Nitrous oxide (N2O) is a greenhouse gas with a contribution from reservoirs. Methane (CH4) emission is also a major contribution of hydroelectric dams to global warming. The value of time is crucial in comparing the global warming impact of hydropower and fossil fuels or other energy sources. Carbon credit that is currently granted to hydropower projects through the Clean Development Mechanism (CDM) is one of the most controversial aspects of efforts to mitigate global warming under the United Nations Framework Convention on Climate Change (UNFCCC).","author":[{"dropping-particle":"","family":"Fearnside","given":"Philip M.","non-dropping-particle":"","parse-names":false,"suffix":""}],"container-title":"Alternative Energy and Shale Gas Encyclopedia","id":"ITEM-7","issue":"April 2016","issued":{"date-parts":[["2016"]]},"page":"426-436","title":"Greenhouse Gas Emissions From Hydroelectric Dams in Tropical Forests","type":"article-journal"},"uris":["http://www.mendeley.com/documents/?uuid=27a6e075-79aa-41f7-8bb2-1bc2293dd36a"]}],"mendeley":{"formattedCitation":"(Fearnside, 2016b; Gagnon, 1997; Kare &amp; Lomite, 2009; Koch, 2002; Mallia &amp; Lewis, 2013; Tremblay, 2005; Turconi et al., 2013)","plainTextFormattedCitation":"(Fearnside, 2016b; Gagnon, 1997; Kare &amp; Lomite, 2009; Koch, 2002; Mallia &amp; Lewis, 2013; Tremblay, 2005; Turconi et al., 2013)","previouslyFormattedCitation":"(Fearnside, 2016b; Gagnon, 1997; Kare &amp; Lomite, 2009; Koch, 2002; Mallia &amp; Lewis, 2013; Tremblay, 2005; Turconi et al., 2013)"},"properties":{"noteIndex":0},"schema":"https://github.com/citation-style-language/schema/raw/master/csl-citation.json"}</w:instrText>
      </w:r>
      <w:r>
        <w:rPr>
          <w:rFonts w:ascii="Times New Roman" w:hAnsi="Times New Roman" w:cs="Times New Roman"/>
          <w:sz w:val="24"/>
          <w:szCs w:val="24"/>
        </w:rPr>
        <w:fldChar w:fldCharType="separate"/>
      </w:r>
      <w:r w:rsidR="00AE02EE" w:rsidRPr="00AE02EE">
        <w:rPr>
          <w:rFonts w:ascii="Times New Roman" w:hAnsi="Times New Roman" w:cs="Times New Roman"/>
          <w:noProof/>
          <w:sz w:val="24"/>
          <w:szCs w:val="24"/>
        </w:rPr>
        <w:t>(Fearnside, 2016b; Gagnon, 1997; Kare &amp; Lomite, 2009; Koch, 2002; Mallia &amp; Lewis, 2013; Tremblay, 2005; Turconi et al., 2013)</w:t>
      </w:r>
      <w:r>
        <w:rPr>
          <w:rFonts w:ascii="Times New Roman" w:hAnsi="Times New Roman" w:cs="Times New Roman"/>
          <w:sz w:val="24"/>
          <w:szCs w:val="24"/>
        </w:rPr>
        <w:fldChar w:fldCharType="end"/>
      </w:r>
      <w:r>
        <w:rPr>
          <w:rFonts w:ascii="Times New Roman" w:hAnsi="Times New Roman" w:cs="Times New Roman"/>
          <w:sz w:val="24"/>
          <w:szCs w:val="24"/>
        </w:rPr>
        <w:t>. Given that all selected power plants are run-of-river types, GHG emission factors from reservoir is not significantly high.</w:t>
      </w:r>
    </w:p>
    <w:tbl>
      <w:tblPr>
        <w:tblStyle w:val="TableGrid3"/>
        <w:tblW w:w="9130"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810"/>
        <w:gridCol w:w="540"/>
        <w:gridCol w:w="900"/>
        <w:gridCol w:w="1080"/>
        <w:gridCol w:w="900"/>
        <w:gridCol w:w="900"/>
        <w:gridCol w:w="900"/>
        <w:gridCol w:w="990"/>
        <w:gridCol w:w="1210"/>
      </w:tblGrid>
      <w:tr w:rsidR="00F9258A" w:rsidRPr="00F9258A" w14:paraId="314FE8C4" w14:textId="77777777" w:rsidTr="00F9258A">
        <w:trPr>
          <w:trHeight w:val="566"/>
        </w:trPr>
        <w:tc>
          <w:tcPr>
            <w:tcW w:w="900" w:type="dxa"/>
            <w:tcBorders>
              <w:top w:val="single" w:sz="4" w:space="0" w:color="auto"/>
              <w:bottom w:val="single" w:sz="4" w:space="0" w:color="auto"/>
            </w:tcBorders>
          </w:tcPr>
          <w:p w14:paraId="22A1FC9C"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System name</w:t>
            </w:r>
          </w:p>
        </w:tc>
        <w:tc>
          <w:tcPr>
            <w:tcW w:w="810" w:type="dxa"/>
            <w:tcBorders>
              <w:top w:val="single" w:sz="4" w:space="0" w:color="auto"/>
              <w:bottom w:val="single" w:sz="4" w:space="0" w:color="auto"/>
            </w:tcBorders>
          </w:tcPr>
          <w:p w14:paraId="3B64BB33"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Lat/Long</w:t>
            </w:r>
          </w:p>
          <w:p w14:paraId="226E54CB" w14:textId="77777777" w:rsidR="00F9258A" w:rsidRPr="00F9258A" w:rsidRDefault="00F9258A" w:rsidP="00F9258A">
            <w:pPr>
              <w:rPr>
                <w:rFonts w:ascii="Times New Roman" w:hAnsi="Times New Roman" w:cs="Times New Roman"/>
                <w:sz w:val="15"/>
                <w:szCs w:val="15"/>
              </w:rPr>
            </w:pPr>
          </w:p>
        </w:tc>
        <w:tc>
          <w:tcPr>
            <w:tcW w:w="540" w:type="dxa"/>
            <w:tcBorders>
              <w:top w:val="single" w:sz="4" w:space="0" w:color="auto"/>
              <w:bottom w:val="single" w:sz="4" w:space="0" w:color="auto"/>
            </w:tcBorders>
          </w:tcPr>
          <w:p w14:paraId="7DB7AB3C"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Age</w:t>
            </w:r>
          </w:p>
          <w:p w14:paraId="0A31258B"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(y)</w:t>
            </w:r>
          </w:p>
        </w:tc>
        <w:tc>
          <w:tcPr>
            <w:tcW w:w="900" w:type="dxa"/>
            <w:tcBorders>
              <w:top w:val="single" w:sz="4" w:space="0" w:color="auto"/>
              <w:bottom w:val="single" w:sz="4" w:space="0" w:color="auto"/>
            </w:tcBorders>
          </w:tcPr>
          <w:p w14:paraId="1A7A0C02"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Area of Reservoir (Km)</w:t>
            </w:r>
          </w:p>
        </w:tc>
        <w:tc>
          <w:tcPr>
            <w:tcW w:w="1080" w:type="dxa"/>
            <w:tcBorders>
              <w:top w:val="single" w:sz="4" w:space="0" w:color="auto"/>
              <w:bottom w:val="single" w:sz="4" w:space="0" w:color="auto"/>
            </w:tcBorders>
          </w:tcPr>
          <w:p w14:paraId="572B5947" w14:textId="3FB960DE" w:rsidR="00F9258A" w:rsidRPr="00F9258A" w:rsidRDefault="00C34417" w:rsidP="00F9258A">
            <w:pPr>
              <w:rPr>
                <w:rFonts w:ascii="Times New Roman" w:hAnsi="Times New Roman" w:cs="Times New Roman"/>
                <w:sz w:val="15"/>
                <w:szCs w:val="15"/>
              </w:rPr>
            </w:pPr>
            <w:r>
              <w:rPr>
                <w:rFonts w:ascii="Times New Roman" w:hAnsi="Times New Roman" w:cs="Times New Roman"/>
                <w:sz w:val="15"/>
                <w:szCs w:val="15"/>
              </w:rPr>
              <w:t>G</w:t>
            </w:r>
            <w:r w:rsidR="00F9258A" w:rsidRPr="00F9258A">
              <w:rPr>
                <w:rFonts w:ascii="Times New Roman" w:hAnsi="Times New Roman" w:cs="Times New Roman"/>
                <w:sz w:val="15"/>
                <w:szCs w:val="15"/>
              </w:rPr>
              <w:t>eneration capacity</w:t>
            </w:r>
          </w:p>
          <w:p w14:paraId="350CED9B" w14:textId="77777777" w:rsidR="00F9258A" w:rsidRPr="00F9258A" w:rsidRDefault="00F9258A" w:rsidP="00F9258A">
            <w:pPr>
              <w:rPr>
                <w:rFonts w:ascii="Times New Roman" w:hAnsi="Times New Roman" w:cs="Times New Roman"/>
                <w:sz w:val="15"/>
                <w:szCs w:val="15"/>
              </w:rPr>
            </w:pPr>
          </w:p>
        </w:tc>
        <w:tc>
          <w:tcPr>
            <w:tcW w:w="900" w:type="dxa"/>
            <w:tcBorders>
              <w:top w:val="single" w:sz="4" w:space="0" w:color="auto"/>
              <w:bottom w:val="single" w:sz="4" w:space="0" w:color="auto"/>
            </w:tcBorders>
          </w:tcPr>
          <w:p w14:paraId="4C0433F7"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NPP</w:t>
            </w:r>
          </w:p>
          <w:p w14:paraId="584A70B5"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(bc/m</w:t>
            </w:r>
            <w:r w:rsidRPr="00F9258A">
              <w:rPr>
                <w:rFonts w:ascii="Times New Roman" w:hAnsi="Times New Roman" w:cs="Times New Roman"/>
                <w:sz w:val="15"/>
                <w:szCs w:val="15"/>
                <w:vertAlign w:val="superscript"/>
              </w:rPr>
              <w:t>2</w:t>
            </w:r>
            <w:r w:rsidRPr="00F9258A">
              <w:rPr>
                <w:rFonts w:ascii="Times New Roman" w:hAnsi="Times New Roman" w:cs="Times New Roman"/>
                <w:sz w:val="15"/>
                <w:szCs w:val="15"/>
              </w:rPr>
              <w:t>/y)</w:t>
            </w:r>
          </w:p>
        </w:tc>
        <w:tc>
          <w:tcPr>
            <w:tcW w:w="900" w:type="dxa"/>
            <w:tcBorders>
              <w:top w:val="single" w:sz="4" w:space="0" w:color="auto"/>
              <w:bottom w:val="single" w:sz="4" w:space="0" w:color="auto"/>
            </w:tcBorders>
          </w:tcPr>
          <w:p w14:paraId="3AD2B1C3"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CO</w:t>
            </w:r>
            <w:r w:rsidRPr="00F9258A">
              <w:rPr>
                <w:rFonts w:ascii="Times New Roman" w:hAnsi="Times New Roman" w:cs="Times New Roman"/>
                <w:sz w:val="15"/>
                <w:szCs w:val="15"/>
                <w:vertAlign w:val="subscript"/>
              </w:rPr>
              <w:t>2</w:t>
            </w:r>
          </w:p>
          <w:p w14:paraId="3FFA4FCB"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mgCm</w:t>
            </w:r>
            <w:r w:rsidRPr="00F9258A">
              <w:rPr>
                <w:rFonts w:ascii="Times New Roman" w:hAnsi="Times New Roman" w:cs="Times New Roman"/>
                <w:sz w:val="15"/>
                <w:szCs w:val="15"/>
                <w:vertAlign w:val="superscript"/>
              </w:rPr>
              <w:t>-2</w:t>
            </w:r>
            <w:r w:rsidRPr="00F9258A">
              <w:rPr>
                <w:rFonts w:ascii="Times New Roman" w:hAnsi="Times New Roman" w:cs="Times New Roman"/>
                <w:sz w:val="15"/>
                <w:szCs w:val="15"/>
              </w:rPr>
              <w:t>d</w:t>
            </w:r>
            <w:r w:rsidRPr="00F9258A">
              <w:rPr>
                <w:rFonts w:ascii="Times New Roman" w:hAnsi="Times New Roman" w:cs="Times New Roman"/>
                <w:sz w:val="15"/>
                <w:szCs w:val="15"/>
                <w:vertAlign w:val="superscript"/>
              </w:rPr>
              <w:t>-1</w:t>
            </w:r>
          </w:p>
        </w:tc>
        <w:tc>
          <w:tcPr>
            <w:tcW w:w="900" w:type="dxa"/>
            <w:tcBorders>
              <w:top w:val="single" w:sz="4" w:space="0" w:color="auto"/>
              <w:bottom w:val="single" w:sz="4" w:space="0" w:color="auto"/>
            </w:tcBorders>
          </w:tcPr>
          <w:p w14:paraId="00D4034E"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CH</w:t>
            </w:r>
            <w:r w:rsidRPr="00F9258A">
              <w:rPr>
                <w:rFonts w:ascii="Times New Roman" w:hAnsi="Times New Roman" w:cs="Times New Roman"/>
                <w:sz w:val="15"/>
                <w:szCs w:val="15"/>
                <w:vertAlign w:val="subscript"/>
              </w:rPr>
              <w:t>4</w:t>
            </w:r>
          </w:p>
          <w:p w14:paraId="608F71AB"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mgCm</w:t>
            </w:r>
            <w:r w:rsidRPr="00F9258A">
              <w:rPr>
                <w:rFonts w:ascii="Times New Roman" w:hAnsi="Times New Roman" w:cs="Times New Roman"/>
                <w:sz w:val="15"/>
                <w:szCs w:val="15"/>
                <w:vertAlign w:val="superscript"/>
              </w:rPr>
              <w:t>-2</w:t>
            </w:r>
            <w:r w:rsidRPr="00F9258A">
              <w:rPr>
                <w:rFonts w:ascii="Times New Roman" w:hAnsi="Times New Roman" w:cs="Times New Roman"/>
                <w:sz w:val="15"/>
                <w:szCs w:val="15"/>
              </w:rPr>
              <w:t>d</w:t>
            </w:r>
            <w:r w:rsidRPr="00F9258A">
              <w:rPr>
                <w:rFonts w:ascii="Times New Roman" w:hAnsi="Times New Roman" w:cs="Times New Roman"/>
                <w:sz w:val="15"/>
                <w:szCs w:val="15"/>
                <w:vertAlign w:val="superscript"/>
              </w:rPr>
              <w:t>-1</w:t>
            </w:r>
          </w:p>
        </w:tc>
        <w:tc>
          <w:tcPr>
            <w:tcW w:w="990" w:type="dxa"/>
            <w:tcBorders>
              <w:top w:val="single" w:sz="4" w:space="0" w:color="auto"/>
              <w:bottom w:val="single" w:sz="4" w:space="0" w:color="auto"/>
            </w:tcBorders>
          </w:tcPr>
          <w:p w14:paraId="7A089F03"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Total Emission</w:t>
            </w:r>
          </w:p>
          <w:p w14:paraId="37C91EFE"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(KgCO</w:t>
            </w:r>
            <w:r w:rsidRPr="00F9258A">
              <w:rPr>
                <w:rFonts w:ascii="Times New Roman" w:hAnsi="Times New Roman" w:cs="Times New Roman"/>
                <w:sz w:val="15"/>
                <w:szCs w:val="15"/>
                <w:vertAlign w:val="subscript"/>
              </w:rPr>
              <w:t>2</w:t>
            </w:r>
            <w:r w:rsidRPr="00F9258A">
              <w:rPr>
                <w:rFonts w:ascii="Times New Roman" w:hAnsi="Times New Roman" w:cs="Times New Roman"/>
                <w:sz w:val="15"/>
                <w:szCs w:val="15"/>
              </w:rPr>
              <w:t xml:space="preserve"> eq)</w:t>
            </w:r>
          </w:p>
        </w:tc>
        <w:tc>
          <w:tcPr>
            <w:tcW w:w="1210" w:type="dxa"/>
            <w:tcBorders>
              <w:top w:val="single" w:sz="4" w:space="0" w:color="auto"/>
              <w:bottom w:val="single" w:sz="4" w:space="0" w:color="auto"/>
            </w:tcBorders>
          </w:tcPr>
          <w:p w14:paraId="39B6B524" w14:textId="3C9FE451"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KgCO</w:t>
            </w:r>
            <w:r w:rsidRPr="00F9258A">
              <w:rPr>
                <w:rFonts w:ascii="Times New Roman" w:hAnsi="Times New Roman" w:cs="Times New Roman"/>
                <w:sz w:val="15"/>
                <w:szCs w:val="15"/>
                <w:vertAlign w:val="subscript"/>
              </w:rPr>
              <w:t>2</w:t>
            </w:r>
            <w:r w:rsidRPr="00F9258A">
              <w:rPr>
                <w:rFonts w:ascii="Times New Roman" w:hAnsi="Times New Roman" w:cs="Times New Roman"/>
                <w:sz w:val="15"/>
                <w:szCs w:val="15"/>
              </w:rPr>
              <w:t xml:space="preserve"> eq/M</w:t>
            </w:r>
            <w:r w:rsidR="009C5063">
              <w:rPr>
                <w:rFonts w:ascii="Times New Roman" w:hAnsi="Times New Roman" w:cs="Times New Roman"/>
                <w:sz w:val="15"/>
                <w:szCs w:val="15"/>
              </w:rPr>
              <w:t>W</w:t>
            </w:r>
            <w:r w:rsidRPr="00F9258A">
              <w:rPr>
                <w:rFonts w:ascii="Times New Roman" w:hAnsi="Times New Roman" w:cs="Times New Roman"/>
                <w:sz w:val="15"/>
                <w:szCs w:val="15"/>
              </w:rPr>
              <w:t>h</w:t>
            </w:r>
          </w:p>
        </w:tc>
      </w:tr>
      <w:tr w:rsidR="00F9258A" w:rsidRPr="00F9258A" w14:paraId="0EB3F83B" w14:textId="77777777" w:rsidTr="00F9258A">
        <w:tc>
          <w:tcPr>
            <w:tcW w:w="900" w:type="dxa"/>
            <w:tcBorders>
              <w:top w:val="single" w:sz="4" w:space="0" w:color="auto"/>
            </w:tcBorders>
          </w:tcPr>
          <w:p w14:paraId="61A17401"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Yeywa</w:t>
            </w:r>
          </w:p>
        </w:tc>
        <w:tc>
          <w:tcPr>
            <w:tcW w:w="810" w:type="dxa"/>
            <w:tcBorders>
              <w:top w:val="single" w:sz="4" w:space="0" w:color="auto"/>
            </w:tcBorders>
          </w:tcPr>
          <w:p w14:paraId="09EC2B2D"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21.675, 96.474</w:t>
            </w:r>
          </w:p>
        </w:tc>
        <w:tc>
          <w:tcPr>
            <w:tcW w:w="540" w:type="dxa"/>
            <w:tcBorders>
              <w:top w:val="single" w:sz="4" w:space="0" w:color="auto"/>
            </w:tcBorders>
          </w:tcPr>
          <w:p w14:paraId="44410489"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10</w:t>
            </w:r>
          </w:p>
        </w:tc>
        <w:tc>
          <w:tcPr>
            <w:tcW w:w="900" w:type="dxa"/>
            <w:tcBorders>
              <w:top w:val="single" w:sz="4" w:space="0" w:color="auto"/>
            </w:tcBorders>
          </w:tcPr>
          <w:p w14:paraId="0D57D589"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59.0</w:t>
            </w:r>
          </w:p>
          <w:p w14:paraId="7DA7B378" w14:textId="77777777" w:rsidR="00F9258A" w:rsidRPr="00F9258A" w:rsidRDefault="00F9258A" w:rsidP="00F9258A">
            <w:pPr>
              <w:rPr>
                <w:rFonts w:ascii="Times New Roman" w:hAnsi="Times New Roman" w:cs="Times New Roman"/>
                <w:sz w:val="15"/>
                <w:szCs w:val="15"/>
              </w:rPr>
            </w:pPr>
          </w:p>
        </w:tc>
        <w:tc>
          <w:tcPr>
            <w:tcW w:w="1080" w:type="dxa"/>
            <w:tcBorders>
              <w:top w:val="single" w:sz="4" w:space="0" w:color="auto"/>
            </w:tcBorders>
          </w:tcPr>
          <w:p w14:paraId="259D0678" w14:textId="77777777" w:rsidR="00F9258A" w:rsidRPr="00F9258A" w:rsidRDefault="00F9258A" w:rsidP="00F9258A">
            <w:pPr>
              <w:rPr>
                <w:rFonts w:ascii="Times New Roman" w:hAnsi="Times New Roman" w:cs="Times New Roman"/>
                <w:color w:val="000000"/>
                <w:sz w:val="15"/>
                <w:szCs w:val="15"/>
              </w:rPr>
            </w:pPr>
            <w:r w:rsidRPr="00F9258A">
              <w:rPr>
                <w:rFonts w:ascii="Times New Roman" w:hAnsi="Times New Roman" w:cs="Times New Roman"/>
                <w:color w:val="000000"/>
                <w:sz w:val="15"/>
                <w:szCs w:val="15"/>
              </w:rPr>
              <w:t>3.55E+09</w:t>
            </w:r>
          </w:p>
          <w:p w14:paraId="140DF772" w14:textId="77777777" w:rsidR="00F9258A" w:rsidRPr="00F9258A" w:rsidRDefault="00F9258A" w:rsidP="00F9258A">
            <w:pPr>
              <w:rPr>
                <w:rFonts w:ascii="Times New Roman" w:hAnsi="Times New Roman" w:cs="Times New Roman"/>
                <w:sz w:val="15"/>
                <w:szCs w:val="15"/>
              </w:rPr>
            </w:pPr>
          </w:p>
        </w:tc>
        <w:tc>
          <w:tcPr>
            <w:tcW w:w="900" w:type="dxa"/>
            <w:tcBorders>
              <w:top w:val="single" w:sz="4" w:space="0" w:color="auto"/>
            </w:tcBorders>
          </w:tcPr>
          <w:p w14:paraId="76DA9FAF"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4.78E+03</w:t>
            </w:r>
          </w:p>
        </w:tc>
        <w:tc>
          <w:tcPr>
            <w:tcW w:w="900" w:type="dxa"/>
            <w:tcBorders>
              <w:top w:val="single" w:sz="4" w:space="0" w:color="auto"/>
            </w:tcBorders>
          </w:tcPr>
          <w:p w14:paraId="3C2D0385"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6.28E+03</w:t>
            </w:r>
          </w:p>
        </w:tc>
        <w:tc>
          <w:tcPr>
            <w:tcW w:w="900" w:type="dxa"/>
            <w:tcBorders>
              <w:top w:val="single" w:sz="4" w:space="0" w:color="auto"/>
            </w:tcBorders>
          </w:tcPr>
          <w:p w14:paraId="25ECE467"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12.8E+00</w:t>
            </w:r>
          </w:p>
        </w:tc>
        <w:tc>
          <w:tcPr>
            <w:tcW w:w="990" w:type="dxa"/>
            <w:tcBorders>
              <w:top w:val="single" w:sz="4" w:space="0" w:color="auto"/>
            </w:tcBorders>
          </w:tcPr>
          <w:p w14:paraId="0C030A27" w14:textId="77777777" w:rsidR="00F9258A" w:rsidRPr="00F9258A" w:rsidRDefault="00F9258A" w:rsidP="00F9258A">
            <w:pPr>
              <w:rPr>
                <w:rFonts w:ascii="Times New Roman" w:hAnsi="Times New Roman" w:cs="Times New Roman"/>
                <w:color w:val="000000"/>
                <w:sz w:val="15"/>
                <w:szCs w:val="15"/>
              </w:rPr>
            </w:pPr>
            <w:r w:rsidRPr="00F9258A">
              <w:rPr>
                <w:rFonts w:ascii="Times New Roman" w:hAnsi="Times New Roman" w:cs="Times New Roman"/>
                <w:color w:val="000000"/>
                <w:sz w:val="15"/>
                <w:szCs w:val="15"/>
              </w:rPr>
              <w:t>5.90E+10</w:t>
            </w:r>
          </w:p>
          <w:p w14:paraId="6BA93FA0" w14:textId="77777777" w:rsidR="00F9258A" w:rsidRPr="00F9258A" w:rsidRDefault="00F9258A" w:rsidP="00F9258A">
            <w:pPr>
              <w:rPr>
                <w:rFonts w:ascii="Times New Roman" w:hAnsi="Times New Roman" w:cs="Times New Roman"/>
                <w:sz w:val="15"/>
                <w:szCs w:val="15"/>
              </w:rPr>
            </w:pPr>
          </w:p>
        </w:tc>
        <w:tc>
          <w:tcPr>
            <w:tcW w:w="1210" w:type="dxa"/>
            <w:tcBorders>
              <w:top w:val="single" w:sz="4" w:space="0" w:color="auto"/>
            </w:tcBorders>
          </w:tcPr>
          <w:p w14:paraId="56FAC593" w14:textId="77777777" w:rsidR="00F9258A" w:rsidRPr="00F9258A" w:rsidRDefault="00F9258A" w:rsidP="00F9258A">
            <w:pPr>
              <w:rPr>
                <w:rFonts w:ascii="Times New Roman" w:hAnsi="Times New Roman" w:cs="Times New Roman"/>
                <w:color w:val="000000"/>
                <w:sz w:val="15"/>
                <w:szCs w:val="15"/>
              </w:rPr>
            </w:pPr>
            <w:r w:rsidRPr="00F9258A">
              <w:rPr>
                <w:rFonts w:ascii="Times New Roman" w:hAnsi="Times New Roman" w:cs="Times New Roman"/>
                <w:color w:val="000000"/>
                <w:sz w:val="15"/>
                <w:szCs w:val="15"/>
              </w:rPr>
              <w:t>16.62</w:t>
            </w:r>
          </w:p>
          <w:p w14:paraId="6D7A7A55" w14:textId="77777777" w:rsidR="00F9258A" w:rsidRPr="00F9258A" w:rsidRDefault="00F9258A" w:rsidP="00F9258A">
            <w:pPr>
              <w:rPr>
                <w:rFonts w:ascii="Times New Roman" w:hAnsi="Times New Roman" w:cs="Times New Roman"/>
                <w:sz w:val="15"/>
                <w:szCs w:val="15"/>
              </w:rPr>
            </w:pPr>
          </w:p>
        </w:tc>
      </w:tr>
      <w:tr w:rsidR="00F9258A" w:rsidRPr="00F9258A" w14:paraId="5B84A0E0" w14:textId="77777777" w:rsidTr="00F9258A">
        <w:tc>
          <w:tcPr>
            <w:tcW w:w="900" w:type="dxa"/>
          </w:tcPr>
          <w:p w14:paraId="2946B1E6"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Shweli 1</w:t>
            </w:r>
          </w:p>
        </w:tc>
        <w:tc>
          <w:tcPr>
            <w:tcW w:w="810" w:type="dxa"/>
          </w:tcPr>
          <w:p w14:paraId="18237C74"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23.698, 97.506</w:t>
            </w:r>
          </w:p>
        </w:tc>
        <w:tc>
          <w:tcPr>
            <w:tcW w:w="540" w:type="dxa"/>
          </w:tcPr>
          <w:p w14:paraId="246A34F3"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11</w:t>
            </w:r>
          </w:p>
        </w:tc>
        <w:tc>
          <w:tcPr>
            <w:tcW w:w="900" w:type="dxa"/>
          </w:tcPr>
          <w:p w14:paraId="197E1AB5"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1.1</w:t>
            </w:r>
          </w:p>
          <w:p w14:paraId="15D34FB9" w14:textId="77777777" w:rsidR="00F9258A" w:rsidRPr="00F9258A" w:rsidRDefault="00F9258A" w:rsidP="00F9258A">
            <w:pPr>
              <w:rPr>
                <w:rFonts w:ascii="Times New Roman" w:hAnsi="Times New Roman" w:cs="Times New Roman"/>
                <w:sz w:val="15"/>
                <w:szCs w:val="15"/>
              </w:rPr>
            </w:pPr>
          </w:p>
        </w:tc>
        <w:tc>
          <w:tcPr>
            <w:tcW w:w="1080" w:type="dxa"/>
          </w:tcPr>
          <w:p w14:paraId="66A627FF" w14:textId="77777777" w:rsidR="00F9258A" w:rsidRPr="00F9258A" w:rsidRDefault="00F9258A" w:rsidP="00F9258A">
            <w:pPr>
              <w:rPr>
                <w:rFonts w:ascii="Times New Roman" w:hAnsi="Times New Roman" w:cs="Times New Roman"/>
                <w:color w:val="000000"/>
                <w:sz w:val="15"/>
                <w:szCs w:val="15"/>
              </w:rPr>
            </w:pPr>
            <w:r w:rsidRPr="00F9258A">
              <w:rPr>
                <w:rFonts w:ascii="Times New Roman" w:hAnsi="Times New Roman" w:cs="Times New Roman"/>
                <w:color w:val="000000"/>
                <w:sz w:val="15"/>
                <w:szCs w:val="15"/>
              </w:rPr>
              <w:t>4.02E+09</w:t>
            </w:r>
          </w:p>
          <w:p w14:paraId="0F595FE5" w14:textId="77777777" w:rsidR="00F9258A" w:rsidRPr="00F9258A" w:rsidRDefault="00F9258A" w:rsidP="00F9258A">
            <w:pPr>
              <w:rPr>
                <w:rFonts w:ascii="Times New Roman" w:hAnsi="Times New Roman" w:cs="Times New Roman"/>
                <w:sz w:val="15"/>
                <w:szCs w:val="15"/>
              </w:rPr>
            </w:pPr>
          </w:p>
        </w:tc>
        <w:tc>
          <w:tcPr>
            <w:tcW w:w="900" w:type="dxa"/>
          </w:tcPr>
          <w:p w14:paraId="72C08A23"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4.17E+03</w:t>
            </w:r>
          </w:p>
        </w:tc>
        <w:tc>
          <w:tcPr>
            <w:tcW w:w="900" w:type="dxa"/>
          </w:tcPr>
          <w:p w14:paraId="5F805886"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2.88E+03</w:t>
            </w:r>
          </w:p>
        </w:tc>
        <w:tc>
          <w:tcPr>
            <w:tcW w:w="900" w:type="dxa"/>
          </w:tcPr>
          <w:p w14:paraId="59D0F79A"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9.74E+00</w:t>
            </w:r>
          </w:p>
        </w:tc>
        <w:tc>
          <w:tcPr>
            <w:tcW w:w="990" w:type="dxa"/>
          </w:tcPr>
          <w:p w14:paraId="40B7B081" w14:textId="77777777" w:rsidR="00F9258A" w:rsidRPr="00F9258A" w:rsidRDefault="00F9258A" w:rsidP="00F9258A">
            <w:pPr>
              <w:rPr>
                <w:rFonts w:ascii="Times New Roman" w:hAnsi="Times New Roman" w:cs="Times New Roman"/>
                <w:color w:val="000000"/>
                <w:sz w:val="15"/>
                <w:szCs w:val="15"/>
              </w:rPr>
            </w:pPr>
            <w:r w:rsidRPr="00F9258A">
              <w:rPr>
                <w:rFonts w:ascii="Times New Roman" w:hAnsi="Times New Roman" w:cs="Times New Roman"/>
                <w:color w:val="000000"/>
                <w:sz w:val="15"/>
                <w:szCs w:val="15"/>
              </w:rPr>
              <w:t>5.41E+10</w:t>
            </w:r>
          </w:p>
          <w:p w14:paraId="61FB0B5E" w14:textId="77777777" w:rsidR="00F9258A" w:rsidRPr="00F9258A" w:rsidRDefault="00F9258A" w:rsidP="00F9258A">
            <w:pPr>
              <w:rPr>
                <w:rFonts w:ascii="Times New Roman" w:hAnsi="Times New Roman" w:cs="Times New Roman"/>
                <w:sz w:val="15"/>
                <w:szCs w:val="15"/>
              </w:rPr>
            </w:pPr>
          </w:p>
        </w:tc>
        <w:tc>
          <w:tcPr>
            <w:tcW w:w="1210" w:type="dxa"/>
          </w:tcPr>
          <w:p w14:paraId="76F0126D" w14:textId="77777777" w:rsidR="00F9258A" w:rsidRPr="00F9258A" w:rsidRDefault="00F9258A" w:rsidP="00F9258A">
            <w:pPr>
              <w:rPr>
                <w:rFonts w:ascii="Times New Roman" w:hAnsi="Times New Roman" w:cs="Times New Roman"/>
                <w:color w:val="000000"/>
                <w:sz w:val="15"/>
                <w:szCs w:val="15"/>
              </w:rPr>
            </w:pPr>
            <w:r w:rsidRPr="00F9258A">
              <w:rPr>
                <w:rFonts w:ascii="Times New Roman" w:hAnsi="Times New Roman" w:cs="Times New Roman"/>
                <w:color w:val="000000"/>
                <w:sz w:val="15"/>
                <w:szCs w:val="15"/>
              </w:rPr>
              <w:t>13.43</w:t>
            </w:r>
          </w:p>
          <w:p w14:paraId="72FFD468" w14:textId="77777777" w:rsidR="00F9258A" w:rsidRPr="00F9258A" w:rsidRDefault="00F9258A" w:rsidP="00F9258A">
            <w:pPr>
              <w:rPr>
                <w:rFonts w:ascii="Times New Roman" w:hAnsi="Times New Roman" w:cs="Times New Roman"/>
                <w:sz w:val="15"/>
                <w:szCs w:val="15"/>
              </w:rPr>
            </w:pPr>
          </w:p>
        </w:tc>
      </w:tr>
      <w:tr w:rsidR="00F9258A" w:rsidRPr="00F9258A" w14:paraId="2B2801ED" w14:textId="77777777" w:rsidTr="00F9258A">
        <w:tc>
          <w:tcPr>
            <w:tcW w:w="900" w:type="dxa"/>
          </w:tcPr>
          <w:p w14:paraId="0A1C9E66"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Paung Laung (lower)</w:t>
            </w:r>
          </w:p>
        </w:tc>
        <w:tc>
          <w:tcPr>
            <w:tcW w:w="810" w:type="dxa"/>
          </w:tcPr>
          <w:p w14:paraId="06F56D8C"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19.785, 96.335</w:t>
            </w:r>
          </w:p>
          <w:p w14:paraId="10785A12" w14:textId="77777777" w:rsidR="00F9258A" w:rsidRPr="00F9258A" w:rsidRDefault="00F9258A" w:rsidP="00F9258A">
            <w:pPr>
              <w:rPr>
                <w:rFonts w:ascii="Times New Roman" w:hAnsi="Times New Roman" w:cs="Times New Roman"/>
                <w:sz w:val="15"/>
                <w:szCs w:val="15"/>
              </w:rPr>
            </w:pPr>
          </w:p>
        </w:tc>
        <w:tc>
          <w:tcPr>
            <w:tcW w:w="540" w:type="dxa"/>
          </w:tcPr>
          <w:p w14:paraId="74241F94"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15</w:t>
            </w:r>
          </w:p>
        </w:tc>
        <w:tc>
          <w:tcPr>
            <w:tcW w:w="900" w:type="dxa"/>
          </w:tcPr>
          <w:p w14:paraId="28DC7611"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17.0</w:t>
            </w:r>
          </w:p>
          <w:p w14:paraId="2CAA230C" w14:textId="77777777" w:rsidR="00F9258A" w:rsidRPr="00F9258A" w:rsidRDefault="00F9258A" w:rsidP="00F9258A">
            <w:pPr>
              <w:rPr>
                <w:rFonts w:ascii="Times New Roman" w:hAnsi="Times New Roman" w:cs="Times New Roman"/>
                <w:sz w:val="15"/>
                <w:szCs w:val="15"/>
              </w:rPr>
            </w:pPr>
          </w:p>
        </w:tc>
        <w:tc>
          <w:tcPr>
            <w:tcW w:w="1080" w:type="dxa"/>
          </w:tcPr>
          <w:p w14:paraId="160F5808" w14:textId="77777777" w:rsidR="00F9258A" w:rsidRPr="00F9258A" w:rsidRDefault="00F9258A" w:rsidP="00F9258A">
            <w:pPr>
              <w:rPr>
                <w:rFonts w:ascii="Times New Roman" w:hAnsi="Times New Roman" w:cs="Times New Roman"/>
                <w:color w:val="000000"/>
                <w:sz w:val="15"/>
                <w:szCs w:val="15"/>
              </w:rPr>
            </w:pPr>
            <w:r w:rsidRPr="00F9258A">
              <w:rPr>
                <w:rFonts w:ascii="Times New Roman" w:hAnsi="Times New Roman" w:cs="Times New Roman"/>
                <w:color w:val="000000"/>
                <w:sz w:val="15"/>
                <w:szCs w:val="15"/>
              </w:rPr>
              <w:t>9.11E+08</w:t>
            </w:r>
          </w:p>
          <w:p w14:paraId="65B0E81F" w14:textId="77777777" w:rsidR="00F9258A" w:rsidRPr="00F9258A" w:rsidRDefault="00F9258A" w:rsidP="00F9258A">
            <w:pPr>
              <w:rPr>
                <w:rFonts w:ascii="Times New Roman" w:hAnsi="Times New Roman" w:cs="Times New Roman"/>
                <w:sz w:val="15"/>
                <w:szCs w:val="15"/>
              </w:rPr>
            </w:pPr>
          </w:p>
        </w:tc>
        <w:tc>
          <w:tcPr>
            <w:tcW w:w="900" w:type="dxa"/>
          </w:tcPr>
          <w:p w14:paraId="4EC5D676"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5.99E+03</w:t>
            </w:r>
          </w:p>
        </w:tc>
        <w:tc>
          <w:tcPr>
            <w:tcW w:w="900" w:type="dxa"/>
          </w:tcPr>
          <w:p w14:paraId="16C1479C"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1.79E+03</w:t>
            </w:r>
          </w:p>
        </w:tc>
        <w:tc>
          <w:tcPr>
            <w:tcW w:w="900" w:type="dxa"/>
          </w:tcPr>
          <w:p w14:paraId="0FE4DDE1"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2.58E+00</w:t>
            </w:r>
          </w:p>
        </w:tc>
        <w:tc>
          <w:tcPr>
            <w:tcW w:w="990" w:type="dxa"/>
          </w:tcPr>
          <w:p w14:paraId="5A20A8AC" w14:textId="77777777" w:rsidR="00F9258A" w:rsidRPr="00F9258A" w:rsidRDefault="00F9258A" w:rsidP="00F9258A">
            <w:pPr>
              <w:rPr>
                <w:rFonts w:ascii="Times New Roman" w:hAnsi="Times New Roman" w:cs="Times New Roman"/>
                <w:color w:val="000000"/>
                <w:sz w:val="15"/>
                <w:szCs w:val="15"/>
              </w:rPr>
            </w:pPr>
            <w:r w:rsidRPr="00F9258A">
              <w:rPr>
                <w:rFonts w:ascii="Times New Roman" w:hAnsi="Times New Roman" w:cs="Times New Roman"/>
                <w:color w:val="000000"/>
                <w:sz w:val="15"/>
                <w:szCs w:val="15"/>
              </w:rPr>
              <w:t>7.42E+09</w:t>
            </w:r>
          </w:p>
          <w:p w14:paraId="31F3C792" w14:textId="77777777" w:rsidR="00F9258A" w:rsidRPr="00F9258A" w:rsidRDefault="00F9258A" w:rsidP="00F9258A">
            <w:pPr>
              <w:rPr>
                <w:rFonts w:ascii="Times New Roman" w:hAnsi="Times New Roman" w:cs="Times New Roman"/>
                <w:sz w:val="15"/>
                <w:szCs w:val="15"/>
              </w:rPr>
            </w:pPr>
          </w:p>
        </w:tc>
        <w:tc>
          <w:tcPr>
            <w:tcW w:w="1210" w:type="dxa"/>
          </w:tcPr>
          <w:p w14:paraId="703BF3E5" w14:textId="77777777" w:rsidR="00F9258A" w:rsidRPr="00F9258A" w:rsidRDefault="00F9258A" w:rsidP="00F9258A">
            <w:pPr>
              <w:rPr>
                <w:rFonts w:ascii="Times New Roman" w:hAnsi="Times New Roman" w:cs="Times New Roman"/>
                <w:color w:val="000000"/>
                <w:sz w:val="15"/>
                <w:szCs w:val="15"/>
              </w:rPr>
            </w:pPr>
            <w:r w:rsidRPr="00F9258A">
              <w:rPr>
                <w:rFonts w:ascii="Times New Roman" w:hAnsi="Times New Roman" w:cs="Times New Roman"/>
                <w:color w:val="000000"/>
                <w:sz w:val="15"/>
                <w:szCs w:val="15"/>
              </w:rPr>
              <w:t>8.14</w:t>
            </w:r>
          </w:p>
          <w:p w14:paraId="47087973" w14:textId="77777777" w:rsidR="00F9258A" w:rsidRPr="00F9258A" w:rsidRDefault="00F9258A" w:rsidP="00F9258A">
            <w:pPr>
              <w:rPr>
                <w:rFonts w:ascii="Times New Roman" w:hAnsi="Times New Roman" w:cs="Times New Roman"/>
                <w:sz w:val="15"/>
                <w:szCs w:val="15"/>
              </w:rPr>
            </w:pPr>
          </w:p>
        </w:tc>
      </w:tr>
      <w:tr w:rsidR="00F9258A" w:rsidRPr="00F9258A" w14:paraId="4CC66CA0" w14:textId="77777777" w:rsidTr="00F9258A">
        <w:tc>
          <w:tcPr>
            <w:tcW w:w="900" w:type="dxa"/>
          </w:tcPr>
          <w:p w14:paraId="38DEB013"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Dapein 1</w:t>
            </w:r>
          </w:p>
        </w:tc>
        <w:tc>
          <w:tcPr>
            <w:tcW w:w="810" w:type="dxa"/>
          </w:tcPr>
          <w:p w14:paraId="52158D9C"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24.421, 97.525</w:t>
            </w:r>
          </w:p>
          <w:p w14:paraId="1FE6892B" w14:textId="77777777" w:rsidR="00F9258A" w:rsidRPr="00F9258A" w:rsidRDefault="00F9258A" w:rsidP="00F9258A">
            <w:pPr>
              <w:rPr>
                <w:rFonts w:ascii="Times New Roman" w:hAnsi="Times New Roman" w:cs="Times New Roman"/>
                <w:sz w:val="15"/>
                <w:szCs w:val="15"/>
              </w:rPr>
            </w:pPr>
          </w:p>
        </w:tc>
        <w:tc>
          <w:tcPr>
            <w:tcW w:w="540" w:type="dxa"/>
          </w:tcPr>
          <w:p w14:paraId="6A28F4E2"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9</w:t>
            </w:r>
          </w:p>
        </w:tc>
        <w:tc>
          <w:tcPr>
            <w:tcW w:w="900" w:type="dxa"/>
          </w:tcPr>
          <w:p w14:paraId="40478022"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0.4</w:t>
            </w:r>
          </w:p>
          <w:p w14:paraId="120B5FC3" w14:textId="77777777" w:rsidR="00F9258A" w:rsidRPr="00F9258A" w:rsidRDefault="00F9258A" w:rsidP="00F9258A">
            <w:pPr>
              <w:rPr>
                <w:rFonts w:ascii="Times New Roman" w:hAnsi="Times New Roman" w:cs="Times New Roman"/>
                <w:sz w:val="15"/>
                <w:szCs w:val="15"/>
              </w:rPr>
            </w:pPr>
          </w:p>
        </w:tc>
        <w:tc>
          <w:tcPr>
            <w:tcW w:w="1080" w:type="dxa"/>
          </w:tcPr>
          <w:p w14:paraId="59657349" w14:textId="77777777" w:rsidR="00F9258A" w:rsidRPr="00F9258A" w:rsidRDefault="00F9258A" w:rsidP="00F9258A">
            <w:pPr>
              <w:rPr>
                <w:rFonts w:ascii="Times New Roman" w:hAnsi="Times New Roman" w:cs="Times New Roman"/>
                <w:color w:val="000000"/>
                <w:sz w:val="15"/>
                <w:szCs w:val="15"/>
              </w:rPr>
            </w:pPr>
            <w:r w:rsidRPr="00F9258A">
              <w:rPr>
                <w:rFonts w:ascii="Times New Roman" w:hAnsi="Times New Roman" w:cs="Times New Roman"/>
                <w:color w:val="000000"/>
                <w:sz w:val="15"/>
                <w:szCs w:val="15"/>
              </w:rPr>
              <w:t>1.07E+09</w:t>
            </w:r>
          </w:p>
          <w:p w14:paraId="2404A13F" w14:textId="77777777" w:rsidR="00F9258A" w:rsidRPr="00F9258A" w:rsidRDefault="00F9258A" w:rsidP="00F9258A">
            <w:pPr>
              <w:rPr>
                <w:rFonts w:ascii="Times New Roman" w:hAnsi="Times New Roman" w:cs="Times New Roman"/>
                <w:sz w:val="15"/>
                <w:szCs w:val="15"/>
              </w:rPr>
            </w:pPr>
          </w:p>
        </w:tc>
        <w:tc>
          <w:tcPr>
            <w:tcW w:w="900" w:type="dxa"/>
          </w:tcPr>
          <w:p w14:paraId="60AAACAD"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5.64E+03</w:t>
            </w:r>
          </w:p>
        </w:tc>
        <w:tc>
          <w:tcPr>
            <w:tcW w:w="900" w:type="dxa"/>
          </w:tcPr>
          <w:p w14:paraId="0EAF4AEF"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2.66E+03</w:t>
            </w:r>
          </w:p>
        </w:tc>
        <w:tc>
          <w:tcPr>
            <w:tcW w:w="900" w:type="dxa"/>
          </w:tcPr>
          <w:p w14:paraId="75DA5D61"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2.41E+00</w:t>
            </w:r>
          </w:p>
        </w:tc>
        <w:tc>
          <w:tcPr>
            <w:tcW w:w="990" w:type="dxa"/>
          </w:tcPr>
          <w:p w14:paraId="553D5909" w14:textId="77777777" w:rsidR="00F9258A" w:rsidRPr="00F9258A" w:rsidRDefault="00F9258A" w:rsidP="00F9258A">
            <w:pPr>
              <w:rPr>
                <w:rFonts w:ascii="Times New Roman" w:hAnsi="Times New Roman" w:cs="Times New Roman"/>
                <w:color w:val="000000"/>
                <w:sz w:val="15"/>
                <w:szCs w:val="15"/>
              </w:rPr>
            </w:pPr>
            <w:r w:rsidRPr="00F9258A">
              <w:rPr>
                <w:rFonts w:ascii="Times New Roman" w:hAnsi="Times New Roman" w:cs="Times New Roman"/>
                <w:color w:val="000000"/>
                <w:sz w:val="15"/>
                <w:szCs w:val="15"/>
              </w:rPr>
              <w:t>7.79E+09</w:t>
            </w:r>
          </w:p>
          <w:p w14:paraId="2D8D7F6B" w14:textId="77777777" w:rsidR="00F9258A" w:rsidRPr="00F9258A" w:rsidRDefault="00F9258A" w:rsidP="00F9258A">
            <w:pPr>
              <w:rPr>
                <w:rFonts w:ascii="Times New Roman" w:hAnsi="Times New Roman" w:cs="Times New Roman"/>
                <w:sz w:val="15"/>
                <w:szCs w:val="15"/>
              </w:rPr>
            </w:pPr>
          </w:p>
        </w:tc>
        <w:tc>
          <w:tcPr>
            <w:tcW w:w="1210" w:type="dxa"/>
          </w:tcPr>
          <w:p w14:paraId="285DFAD9" w14:textId="77777777" w:rsidR="00F9258A" w:rsidRPr="00F9258A" w:rsidRDefault="00F9258A" w:rsidP="00F9258A">
            <w:pPr>
              <w:rPr>
                <w:rFonts w:ascii="Times New Roman" w:hAnsi="Times New Roman" w:cs="Times New Roman"/>
                <w:color w:val="000000"/>
                <w:sz w:val="15"/>
                <w:szCs w:val="15"/>
              </w:rPr>
            </w:pPr>
            <w:r w:rsidRPr="00F9258A">
              <w:rPr>
                <w:rFonts w:ascii="Times New Roman" w:hAnsi="Times New Roman" w:cs="Times New Roman"/>
                <w:color w:val="000000"/>
                <w:sz w:val="15"/>
                <w:szCs w:val="15"/>
              </w:rPr>
              <w:t>7.31</w:t>
            </w:r>
          </w:p>
          <w:p w14:paraId="386D1B8B" w14:textId="77777777" w:rsidR="00F9258A" w:rsidRPr="00F9258A" w:rsidRDefault="00F9258A" w:rsidP="00F9258A">
            <w:pPr>
              <w:rPr>
                <w:rFonts w:ascii="Times New Roman" w:hAnsi="Times New Roman" w:cs="Times New Roman"/>
                <w:sz w:val="15"/>
                <w:szCs w:val="15"/>
              </w:rPr>
            </w:pPr>
          </w:p>
        </w:tc>
      </w:tr>
      <w:tr w:rsidR="00F9258A" w:rsidRPr="00F9258A" w14:paraId="0CAE2D95" w14:textId="77777777" w:rsidTr="00F9258A">
        <w:tc>
          <w:tcPr>
            <w:tcW w:w="900" w:type="dxa"/>
          </w:tcPr>
          <w:p w14:paraId="73421AC0"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Thauk Ye Khat 2</w:t>
            </w:r>
          </w:p>
        </w:tc>
        <w:tc>
          <w:tcPr>
            <w:tcW w:w="810" w:type="dxa"/>
          </w:tcPr>
          <w:p w14:paraId="4A0935C7"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18.914, 96.619</w:t>
            </w:r>
          </w:p>
        </w:tc>
        <w:tc>
          <w:tcPr>
            <w:tcW w:w="540" w:type="dxa"/>
          </w:tcPr>
          <w:p w14:paraId="5E610136"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6</w:t>
            </w:r>
          </w:p>
        </w:tc>
        <w:tc>
          <w:tcPr>
            <w:tcW w:w="900" w:type="dxa"/>
          </w:tcPr>
          <w:p w14:paraId="4A78605D"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3.8</w:t>
            </w:r>
          </w:p>
        </w:tc>
        <w:tc>
          <w:tcPr>
            <w:tcW w:w="1080" w:type="dxa"/>
          </w:tcPr>
          <w:p w14:paraId="0715B145" w14:textId="77777777" w:rsidR="00F9258A" w:rsidRPr="00F9258A" w:rsidRDefault="00F9258A" w:rsidP="00F9258A">
            <w:pPr>
              <w:rPr>
                <w:rFonts w:ascii="Times New Roman" w:hAnsi="Times New Roman" w:cs="Times New Roman"/>
                <w:color w:val="000000"/>
                <w:sz w:val="15"/>
                <w:szCs w:val="15"/>
              </w:rPr>
            </w:pPr>
            <w:r w:rsidRPr="00F9258A">
              <w:rPr>
                <w:rFonts w:ascii="Times New Roman" w:hAnsi="Times New Roman" w:cs="Times New Roman"/>
                <w:color w:val="000000"/>
                <w:sz w:val="15"/>
                <w:szCs w:val="15"/>
              </w:rPr>
              <w:t>6.04E+08</w:t>
            </w:r>
          </w:p>
          <w:p w14:paraId="663E639B" w14:textId="77777777" w:rsidR="00F9258A" w:rsidRPr="00F9258A" w:rsidRDefault="00F9258A" w:rsidP="00F9258A">
            <w:pPr>
              <w:rPr>
                <w:rFonts w:ascii="Times New Roman" w:hAnsi="Times New Roman" w:cs="Times New Roman"/>
                <w:sz w:val="15"/>
                <w:szCs w:val="15"/>
              </w:rPr>
            </w:pPr>
          </w:p>
        </w:tc>
        <w:tc>
          <w:tcPr>
            <w:tcW w:w="900" w:type="dxa"/>
          </w:tcPr>
          <w:p w14:paraId="02800C5A"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5.22E+03</w:t>
            </w:r>
          </w:p>
        </w:tc>
        <w:tc>
          <w:tcPr>
            <w:tcW w:w="900" w:type="dxa"/>
          </w:tcPr>
          <w:p w14:paraId="05668069"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1.48E+03</w:t>
            </w:r>
          </w:p>
        </w:tc>
        <w:tc>
          <w:tcPr>
            <w:tcW w:w="900" w:type="dxa"/>
          </w:tcPr>
          <w:p w14:paraId="4858F9F6" w14:textId="77777777" w:rsidR="00F9258A" w:rsidRPr="00F9258A" w:rsidRDefault="00F9258A" w:rsidP="00F9258A">
            <w:pPr>
              <w:rPr>
                <w:rFonts w:ascii="Times New Roman" w:hAnsi="Times New Roman" w:cs="Times New Roman"/>
                <w:sz w:val="15"/>
                <w:szCs w:val="15"/>
              </w:rPr>
            </w:pPr>
            <w:r w:rsidRPr="00F9258A">
              <w:rPr>
                <w:rFonts w:ascii="Times New Roman" w:hAnsi="Times New Roman" w:cs="Times New Roman"/>
                <w:sz w:val="15"/>
                <w:szCs w:val="15"/>
              </w:rPr>
              <w:t>1.49E+00</w:t>
            </w:r>
          </w:p>
        </w:tc>
        <w:tc>
          <w:tcPr>
            <w:tcW w:w="990" w:type="dxa"/>
          </w:tcPr>
          <w:p w14:paraId="187A3D95" w14:textId="77777777" w:rsidR="00F9258A" w:rsidRPr="00F9258A" w:rsidRDefault="00F9258A" w:rsidP="00F9258A">
            <w:pPr>
              <w:rPr>
                <w:rFonts w:ascii="Times New Roman" w:hAnsi="Times New Roman" w:cs="Times New Roman"/>
                <w:color w:val="000000"/>
                <w:sz w:val="15"/>
                <w:szCs w:val="15"/>
              </w:rPr>
            </w:pPr>
            <w:r w:rsidRPr="00F9258A">
              <w:rPr>
                <w:rFonts w:ascii="Times New Roman" w:hAnsi="Times New Roman" w:cs="Times New Roman"/>
                <w:color w:val="000000"/>
                <w:sz w:val="15"/>
                <w:szCs w:val="15"/>
              </w:rPr>
              <w:t>4.95E+09</w:t>
            </w:r>
          </w:p>
          <w:p w14:paraId="249944EA" w14:textId="77777777" w:rsidR="00F9258A" w:rsidRPr="00F9258A" w:rsidRDefault="00F9258A" w:rsidP="00F9258A">
            <w:pPr>
              <w:rPr>
                <w:rFonts w:ascii="Times New Roman" w:hAnsi="Times New Roman" w:cs="Times New Roman"/>
                <w:sz w:val="15"/>
                <w:szCs w:val="15"/>
              </w:rPr>
            </w:pPr>
          </w:p>
        </w:tc>
        <w:tc>
          <w:tcPr>
            <w:tcW w:w="1210" w:type="dxa"/>
          </w:tcPr>
          <w:p w14:paraId="26F578EF" w14:textId="77777777" w:rsidR="00F9258A" w:rsidRPr="00F9258A" w:rsidRDefault="00F9258A" w:rsidP="00F9258A">
            <w:pPr>
              <w:rPr>
                <w:rFonts w:ascii="Times New Roman" w:hAnsi="Times New Roman" w:cs="Times New Roman"/>
                <w:color w:val="000000"/>
                <w:sz w:val="15"/>
                <w:szCs w:val="15"/>
              </w:rPr>
            </w:pPr>
            <w:r w:rsidRPr="00F9258A">
              <w:rPr>
                <w:rFonts w:ascii="Times New Roman" w:hAnsi="Times New Roman" w:cs="Times New Roman"/>
                <w:color w:val="000000"/>
                <w:sz w:val="15"/>
                <w:szCs w:val="15"/>
              </w:rPr>
              <w:t>8.19</w:t>
            </w:r>
          </w:p>
          <w:p w14:paraId="322D3DF2" w14:textId="77777777" w:rsidR="00F9258A" w:rsidRPr="00F9258A" w:rsidRDefault="00F9258A" w:rsidP="00F9258A">
            <w:pPr>
              <w:rPr>
                <w:rFonts w:ascii="Times New Roman" w:hAnsi="Times New Roman" w:cs="Times New Roman"/>
                <w:sz w:val="15"/>
                <w:szCs w:val="15"/>
              </w:rPr>
            </w:pPr>
          </w:p>
        </w:tc>
      </w:tr>
    </w:tbl>
    <w:p w14:paraId="392F7AAA" w14:textId="5D06C8CC" w:rsidR="006724CA" w:rsidRPr="006724CA" w:rsidRDefault="00C34417" w:rsidP="00721F57">
      <w:pPr>
        <w:rPr>
          <w:rFonts w:ascii="Times New Roman" w:hAnsi="Times New Roman" w:cs="Times New Roman"/>
          <w:sz w:val="24"/>
          <w:szCs w:val="24"/>
        </w:rPr>
      </w:pPr>
      <w:r w:rsidRPr="003C798F">
        <w:rPr>
          <w:rFonts w:ascii="Times New Roman" w:hAnsi="Times New Roman" w:cs="Times New Roman"/>
          <w:sz w:val="16"/>
          <w:szCs w:val="16"/>
        </w:rPr>
        <w:t xml:space="preserve">Table </w:t>
      </w:r>
      <w:r>
        <w:rPr>
          <w:rFonts w:ascii="Times New Roman" w:hAnsi="Times New Roman" w:cs="Times New Roman"/>
          <w:sz w:val="16"/>
          <w:szCs w:val="16"/>
        </w:rPr>
        <w:t>7</w:t>
      </w:r>
      <w:r w:rsidRPr="003C798F">
        <w:rPr>
          <w:rFonts w:ascii="Times New Roman" w:hAnsi="Times New Roman" w:cs="Times New Roman"/>
          <w:sz w:val="16"/>
          <w:szCs w:val="16"/>
        </w:rPr>
        <w:t xml:space="preserve">: </w:t>
      </w:r>
      <w:r w:rsidR="00CA196D">
        <w:rPr>
          <w:rFonts w:ascii="Times New Roman" w:hAnsi="Times New Roman" w:cs="Times New Roman"/>
          <w:sz w:val="16"/>
          <w:szCs w:val="16"/>
        </w:rPr>
        <w:t>The inventory data and</w:t>
      </w:r>
      <w:r>
        <w:rPr>
          <w:rFonts w:ascii="Times New Roman" w:hAnsi="Times New Roman" w:cs="Times New Roman"/>
          <w:sz w:val="16"/>
          <w:szCs w:val="16"/>
        </w:rPr>
        <w:t xml:space="preserve"> </w:t>
      </w:r>
      <w:r w:rsidR="00CA196D">
        <w:rPr>
          <w:rFonts w:ascii="Times New Roman" w:hAnsi="Times New Roman" w:cs="Times New Roman"/>
          <w:sz w:val="16"/>
          <w:szCs w:val="16"/>
        </w:rPr>
        <w:t xml:space="preserve">biogenic </w:t>
      </w:r>
      <w:r>
        <w:rPr>
          <w:rFonts w:ascii="Times New Roman" w:hAnsi="Times New Roman" w:cs="Times New Roman"/>
          <w:sz w:val="16"/>
          <w:szCs w:val="16"/>
        </w:rPr>
        <w:t>emissions generated from the 1 MWh electricity produced form the five hydropower plants in Myanmar</w:t>
      </w:r>
    </w:p>
    <w:bookmarkEnd w:id="7"/>
    <w:p w14:paraId="41901FF5" w14:textId="77777777" w:rsidR="00C86779" w:rsidRDefault="00C86779" w:rsidP="004F2BB1">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Sensitivity and uncertainty analysis </w:t>
      </w:r>
    </w:p>
    <w:p w14:paraId="56BFB7FD" w14:textId="096E1889" w:rsidR="00C86779" w:rsidRPr="00D6624F" w:rsidRDefault="00C86779" w:rsidP="004F2BB1">
      <w:pPr>
        <w:spacing w:line="240" w:lineRule="auto"/>
        <w:rPr>
          <w:rFonts w:ascii="Times New Roman" w:hAnsi="Times New Roman" w:cs="Times New Roman"/>
          <w:sz w:val="24"/>
          <w:szCs w:val="24"/>
        </w:rPr>
      </w:pPr>
      <w:r w:rsidRPr="00D6624F">
        <w:rPr>
          <w:rFonts w:ascii="Times New Roman" w:hAnsi="Times New Roman" w:cs="Times New Roman"/>
          <w:sz w:val="24"/>
          <w:szCs w:val="24"/>
        </w:rPr>
        <w:t xml:space="preserve">A sensitivity analysis was </w:t>
      </w:r>
      <w:r w:rsidR="0073086B">
        <w:rPr>
          <w:rFonts w:ascii="Times New Roman" w:hAnsi="Times New Roman" w:cs="Times New Roman"/>
          <w:sz w:val="24"/>
          <w:szCs w:val="24"/>
        </w:rPr>
        <w:t>conducted</w:t>
      </w:r>
      <w:r w:rsidR="0073086B" w:rsidRPr="00D6624F">
        <w:rPr>
          <w:rFonts w:ascii="Times New Roman" w:hAnsi="Times New Roman" w:cs="Times New Roman"/>
          <w:sz w:val="24"/>
          <w:szCs w:val="24"/>
        </w:rPr>
        <w:t xml:space="preserve"> </w:t>
      </w:r>
      <w:r w:rsidRPr="00D6624F">
        <w:rPr>
          <w:rFonts w:ascii="Times New Roman" w:hAnsi="Times New Roman" w:cs="Times New Roman"/>
          <w:sz w:val="24"/>
          <w:szCs w:val="24"/>
        </w:rPr>
        <w:t xml:space="preserve">in order to determine how changes in variability and uncertainty parameters in the inventory data can influence the environmental performance of the hydropower plants. Considering that cement, steel, electricity and diesel fuel contributed </w:t>
      </w:r>
      <w:r w:rsidR="0073086B">
        <w:rPr>
          <w:rFonts w:ascii="Times New Roman" w:hAnsi="Times New Roman" w:cs="Times New Roman"/>
          <w:sz w:val="24"/>
          <w:szCs w:val="24"/>
        </w:rPr>
        <w:t xml:space="preserve">most </w:t>
      </w:r>
      <w:r w:rsidRPr="00D6624F">
        <w:rPr>
          <w:rFonts w:ascii="Times New Roman" w:hAnsi="Times New Roman" w:cs="Times New Roman"/>
          <w:sz w:val="24"/>
          <w:szCs w:val="24"/>
        </w:rPr>
        <w:t xml:space="preserve">to the increase of all the environmental impact categories, the analysis </w:t>
      </w:r>
      <w:r w:rsidR="004B7C0D">
        <w:rPr>
          <w:rFonts w:ascii="Times New Roman" w:hAnsi="Times New Roman" w:cs="Times New Roman"/>
          <w:sz w:val="24"/>
          <w:szCs w:val="24"/>
        </w:rPr>
        <w:t xml:space="preserve">is </w:t>
      </w:r>
      <w:r w:rsidRPr="00D6624F">
        <w:rPr>
          <w:rFonts w:ascii="Times New Roman" w:hAnsi="Times New Roman" w:cs="Times New Roman"/>
          <w:sz w:val="24"/>
          <w:szCs w:val="24"/>
        </w:rPr>
        <w:t>based on two different scenarios where consumption of these three resource input</w:t>
      </w:r>
      <w:r w:rsidR="004B7C0D">
        <w:rPr>
          <w:rFonts w:ascii="Times New Roman" w:hAnsi="Times New Roman" w:cs="Times New Roman"/>
          <w:sz w:val="24"/>
          <w:szCs w:val="24"/>
        </w:rPr>
        <w:t>s</w:t>
      </w:r>
      <w:r w:rsidRPr="00D6624F">
        <w:rPr>
          <w:rFonts w:ascii="Times New Roman" w:hAnsi="Times New Roman" w:cs="Times New Roman"/>
          <w:sz w:val="24"/>
          <w:szCs w:val="24"/>
        </w:rPr>
        <w:t xml:space="preserve"> change. For each parameter, the first scenario is </w:t>
      </w:r>
      <w:r w:rsidR="004B7C0D">
        <w:rPr>
          <w:rFonts w:ascii="Times New Roman" w:hAnsi="Times New Roman" w:cs="Times New Roman"/>
          <w:sz w:val="24"/>
          <w:szCs w:val="24"/>
        </w:rPr>
        <w:t xml:space="preserve">a </w:t>
      </w:r>
      <w:r w:rsidRPr="00D6624F">
        <w:rPr>
          <w:rFonts w:ascii="Times New Roman" w:hAnsi="Times New Roman" w:cs="Times New Roman"/>
          <w:sz w:val="24"/>
          <w:szCs w:val="24"/>
        </w:rPr>
        <w:t xml:space="preserve">10% decrease and the second scenario </w:t>
      </w:r>
      <w:r w:rsidR="004B7C0D">
        <w:rPr>
          <w:rFonts w:ascii="Times New Roman" w:hAnsi="Times New Roman" w:cs="Times New Roman"/>
          <w:sz w:val="24"/>
          <w:szCs w:val="24"/>
        </w:rPr>
        <w:t xml:space="preserve">is a </w:t>
      </w:r>
      <w:r w:rsidRPr="00D6624F">
        <w:rPr>
          <w:rFonts w:ascii="Times New Roman" w:hAnsi="Times New Roman" w:cs="Times New Roman"/>
          <w:sz w:val="24"/>
          <w:szCs w:val="24"/>
        </w:rPr>
        <w:t>10</w:t>
      </w:r>
      <w:r w:rsidR="004B7C0D">
        <w:rPr>
          <w:rFonts w:ascii="Times New Roman" w:hAnsi="Times New Roman" w:cs="Times New Roman"/>
          <w:sz w:val="24"/>
          <w:szCs w:val="24"/>
        </w:rPr>
        <w:t>%</w:t>
      </w:r>
      <w:r w:rsidRPr="00D6624F">
        <w:rPr>
          <w:rFonts w:ascii="Times New Roman" w:hAnsi="Times New Roman" w:cs="Times New Roman"/>
          <w:sz w:val="24"/>
          <w:szCs w:val="24"/>
        </w:rPr>
        <w:t xml:space="preserve"> increase in the total consumption of cement, steel, electricity and diesel fuel. The analysis identifies the variability and importance of these types of resource inputs throughout the sector. The result of the analysis is show</w:t>
      </w:r>
      <w:r>
        <w:rPr>
          <w:rFonts w:ascii="Times New Roman" w:hAnsi="Times New Roman" w:cs="Times New Roman"/>
          <w:sz w:val="24"/>
          <w:szCs w:val="24"/>
        </w:rPr>
        <w:t>n</w:t>
      </w:r>
      <w:r w:rsidRPr="00D6624F">
        <w:rPr>
          <w:rFonts w:ascii="Times New Roman" w:hAnsi="Times New Roman" w:cs="Times New Roman"/>
          <w:sz w:val="24"/>
          <w:szCs w:val="24"/>
        </w:rPr>
        <w:t xml:space="preserve"> in table</w:t>
      </w:r>
      <w:r>
        <w:rPr>
          <w:rFonts w:ascii="Times New Roman" w:hAnsi="Times New Roman" w:cs="Times New Roman"/>
          <w:sz w:val="24"/>
          <w:szCs w:val="24"/>
        </w:rPr>
        <w:t xml:space="preserve"> </w:t>
      </w:r>
      <w:r w:rsidR="00D651AF">
        <w:rPr>
          <w:rFonts w:ascii="Times New Roman" w:hAnsi="Times New Roman" w:cs="Times New Roman"/>
          <w:sz w:val="24"/>
          <w:szCs w:val="24"/>
        </w:rPr>
        <w:t>7</w:t>
      </w:r>
      <w:r w:rsidRPr="00D6624F">
        <w:rPr>
          <w:rFonts w:ascii="Times New Roman" w:hAnsi="Times New Roman" w:cs="Times New Roman"/>
          <w:sz w:val="24"/>
          <w:szCs w:val="24"/>
        </w:rPr>
        <w:t xml:space="preserve">. The increase in consumption of cement substantially influences the GWP in all power plants followed by </w:t>
      </w:r>
      <w:r w:rsidR="00FA6897">
        <w:rPr>
          <w:rFonts w:ascii="Times New Roman" w:hAnsi="Times New Roman" w:cs="Times New Roman"/>
          <w:sz w:val="24"/>
          <w:szCs w:val="24"/>
        </w:rPr>
        <w:t>MR</w:t>
      </w:r>
      <w:r w:rsidRPr="00D6624F">
        <w:rPr>
          <w:rFonts w:ascii="Times New Roman" w:hAnsi="Times New Roman" w:cs="Times New Roman"/>
          <w:sz w:val="24"/>
          <w:szCs w:val="24"/>
        </w:rPr>
        <w:t>DP. For instance, the ±10 variation in cement input lead</w:t>
      </w:r>
      <w:r w:rsidR="004B7C0D">
        <w:rPr>
          <w:rFonts w:ascii="Times New Roman" w:hAnsi="Times New Roman" w:cs="Times New Roman"/>
          <w:sz w:val="24"/>
          <w:szCs w:val="24"/>
        </w:rPr>
        <w:t>s</w:t>
      </w:r>
      <w:r w:rsidRPr="00D6624F">
        <w:rPr>
          <w:rFonts w:ascii="Times New Roman" w:hAnsi="Times New Roman" w:cs="Times New Roman"/>
          <w:sz w:val="24"/>
          <w:szCs w:val="24"/>
        </w:rPr>
        <w:t xml:space="preserve"> to ±5.9% variation in </w:t>
      </w:r>
      <w:r w:rsidR="004B7C0D">
        <w:rPr>
          <w:rFonts w:ascii="Times New Roman" w:hAnsi="Times New Roman" w:cs="Times New Roman"/>
          <w:sz w:val="24"/>
          <w:szCs w:val="24"/>
        </w:rPr>
        <w:t xml:space="preserve">the </w:t>
      </w:r>
      <w:r w:rsidRPr="00D6624F">
        <w:rPr>
          <w:rFonts w:ascii="Times New Roman" w:hAnsi="Times New Roman" w:cs="Times New Roman"/>
          <w:sz w:val="24"/>
          <w:szCs w:val="24"/>
        </w:rPr>
        <w:t xml:space="preserve">GWP of </w:t>
      </w:r>
      <w:r w:rsidR="004B7C0D">
        <w:rPr>
          <w:rFonts w:ascii="Times New Roman" w:hAnsi="Times New Roman" w:cs="Times New Roman"/>
          <w:sz w:val="24"/>
          <w:szCs w:val="24"/>
        </w:rPr>
        <w:t xml:space="preserve">the </w:t>
      </w:r>
      <w:r w:rsidRPr="00D6624F">
        <w:rPr>
          <w:rFonts w:ascii="Times New Roman" w:hAnsi="Times New Roman" w:cs="Times New Roman"/>
          <w:sz w:val="24"/>
          <w:szCs w:val="24"/>
        </w:rPr>
        <w:t xml:space="preserve">Yeywa hydropower plant. The same scenarios were </w:t>
      </w:r>
      <w:r w:rsidR="004B7C0D">
        <w:rPr>
          <w:rFonts w:ascii="Times New Roman" w:hAnsi="Times New Roman" w:cs="Times New Roman"/>
          <w:sz w:val="24"/>
          <w:szCs w:val="24"/>
        </w:rPr>
        <w:t xml:space="preserve">considered </w:t>
      </w:r>
      <w:r w:rsidRPr="00D6624F">
        <w:rPr>
          <w:rFonts w:ascii="Times New Roman" w:hAnsi="Times New Roman" w:cs="Times New Roman"/>
          <w:sz w:val="24"/>
          <w:szCs w:val="24"/>
        </w:rPr>
        <w:t>for all remaining powerplants. The scenario analysis result</w:t>
      </w:r>
      <w:r w:rsidR="004B7C0D">
        <w:rPr>
          <w:rFonts w:ascii="Times New Roman" w:hAnsi="Times New Roman" w:cs="Times New Roman"/>
          <w:sz w:val="24"/>
          <w:szCs w:val="24"/>
        </w:rPr>
        <w:t>s</w:t>
      </w:r>
      <w:r w:rsidRPr="00D6624F">
        <w:rPr>
          <w:rFonts w:ascii="Times New Roman" w:hAnsi="Times New Roman" w:cs="Times New Roman"/>
          <w:sz w:val="24"/>
          <w:szCs w:val="24"/>
        </w:rPr>
        <w:t xml:space="preserve"> show that considerable variations in F</w:t>
      </w:r>
      <w:r>
        <w:rPr>
          <w:rFonts w:ascii="Times New Roman" w:hAnsi="Times New Roman" w:cs="Times New Roman"/>
          <w:sz w:val="24"/>
          <w:szCs w:val="24"/>
        </w:rPr>
        <w:t>WA</w:t>
      </w:r>
      <w:r w:rsidRPr="00D6624F">
        <w:rPr>
          <w:rFonts w:ascii="Times New Roman" w:hAnsi="Times New Roman" w:cs="Times New Roman"/>
          <w:sz w:val="24"/>
          <w:szCs w:val="24"/>
        </w:rPr>
        <w:t xml:space="preserve">P </w:t>
      </w:r>
      <w:r w:rsidR="004B7C0D">
        <w:rPr>
          <w:rFonts w:ascii="Times New Roman" w:hAnsi="Times New Roman" w:cs="Times New Roman"/>
          <w:sz w:val="24"/>
          <w:szCs w:val="24"/>
        </w:rPr>
        <w:t xml:space="preserve">occur </w:t>
      </w:r>
      <w:r w:rsidRPr="00D6624F">
        <w:rPr>
          <w:rFonts w:ascii="Times New Roman" w:hAnsi="Times New Roman" w:cs="Times New Roman"/>
          <w:sz w:val="24"/>
          <w:szCs w:val="24"/>
        </w:rPr>
        <w:t>with changes in the use of steel for all hydropower plants. In this sense, the environmental impact of the plants will increase by 7-8% if steel consumption increase</w:t>
      </w:r>
      <w:r w:rsidR="004B7C0D">
        <w:rPr>
          <w:rFonts w:ascii="Times New Roman" w:hAnsi="Times New Roman" w:cs="Times New Roman"/>
          <w:sz w:val="24"/>
          <w:szCs w:val="24"/>
        </w:rPr>
        <w:t>s</w:t>
      </w:r>
      <w:r w:rsidRPr="00D6624F">
        <w:rPr>
          <w:rFonts w:ascii="Times New Roman" w:hAnsi="Times New Roman" w:cs="Times New Roman"/>
          <w:sz w:val="24"/>
          <w:szCs w:val="24"/>
        </w:rPr>
        <w:t xml:space="preserve"> by 10%. As expected, ±10 variation in both</w:t>
      </w:r>
      <w:r w:rsidR="004B7C0D">
        <w:rPr>
          <w:rFonts w:ascii="Times New Roman" w:hAnsi="Times New Roman" w:cs="Times New Roman"/>
          <w:sz w:val="24"/>
          <w:szCs w:val="24"/>
        </w:rPr>
        <w:t>,</w:t>
      </w:r>
      <w:r w:rsidRPr="00D6624F">
        <w:rPr>
          <w:rFonts w:ascii="Times New Roman" w:hAnsi="Times New Roman" w:cs="Times New Roman"/>
          <w:sz w:val="24"/>
          <w:szCs w:val="24"/>
        </w:rPr>
        <w:t xml:space="preserve"> electricity and diesel fuel will result in a significant change in F</w:t>
      </w:r>
      <w:r>
        <w:rPr>
          <w:rFonts w:ascii="Times New Roman" w:hAnsi="Times New Roman" w:cs="Times New Roman"/>
          <w:sz w:val="24"/>
          <w:szCs w:val="24"/>
        </w:rPr>
        <w:t>RP</w:t>
      </w:r>
      <w:r w:rsidRPr="00D6624F">
        <w:rPr>
          <w:rFonts w:ascii="Times New Roman" w:hAnsi="Times New Roman" w:cs="Times New Roman"/>
          <w:sz w:val="24"/>
          <w:szCs w:val="24"/>
        </w:rPr>
        <w:t xml:space="preserve"> for all the plants with the variation ranging from 6.1 to 6.8%. Moreover, the individual Monte Carlo simulations for each plant were </w:t>
      </w:r>
      <w:r w:rsidR="004B7C0D">
        <w:rPr>
          <w:rFonts w:ascii="Times New Roman" w:hAnsi="Times New Roman" w:cs="Times New Roman"/>
          <w:sz w:val="24"/>
          <w:szCs w:val="24"/>
        </w:rPr>
        <w:t>calculated</w:t>
      </w:r>
      <w:r w:rsidR="004B7C0D" w:rsidRPr="00D6624F">
        <w:rPr>
          <w:rFonts w:ascii="Times New Roman" w:hAnsi="Times New Roman" w:cs="Times New Roman"/>
          <w:sz w:val="24"/>
          <w:szCs w:val="24"/>
        </w:rPr>
        <w:t xml:space="preserve"> </w:t>
      </w:r>
      <w:r w:rsidR="004B7C0D">
        <w:rPr>
          <w:rFonts w:ascii="Times New Roman" w:hAnsi="Times New Roman" w:cs="Times New Roman"/>
          <w:sz w:val="24"/>
          <w:szCs w:val="24"/>
        </w:rPr>
        <w:t xml:space="preserve">with regards to </w:t>
      </w:r>
      <w:r w:rsidRPr="00D6624F">
        <w:rPr>
          <w:rFonts w:ascii="Times New Roman" w:hAnsi="Times New Roman" w:cs="Times New Roman"/>
          <w:sz w:val="24"/>
          <w:szCs w:val="24"/>
        </w:rPr>
        <w:t>the sensitivity of the results.</w:t>
      </w:r>
      <w:r w:rsidR="00D82672">
        <w:rPr>
          <w:rFonts w:ascii="Times New Roman" w:hAnsi="Times New Roman" w:cs="Times New Roman"/>
          <w:sz w:val="24"/>
          <w:szCs w:val="24"/>
        </w:rPr>
        <w:t xml:space="preserve"> </w:t>
      </w:r>
      <w:r w:rsidRPr="00D6624F">
        <w:rPr>
          <w:rFonts w:ascii="Times New Roman" w:hAnsi="Times New Roman" w:cs="Times New Roman"/>
          <w:sz w:val="24"/>
          <w:szCs w:val="24"/>
        </w:rPr>
        <w:t>The results are show in the supplementary materials</w:t>
      </w:r>
      <w:r w:rsidR="00144B3F">
        <w:rPr>
          <w:rFonts w:ascii="Times New Roman" w:hAnsi="Times New Roman" w:cs="Times New Roman"/>
          <w:sz w:val="24"/>
          <w:szCs w:val="24"/>
        </w:rPr>
        <w:t xml:space="preserve"> (Table S1)</w:t>
      </w:r>
      <w:r w:rsidRPr="00D6624F">
        <w:rPr>
          <w:rFonts w:ascii="Times New Roman" w:hAnsi="Times New Roman" w:cs="Times New Roman"/>
          <w:sz w:val="24"/>
          <w:szCs w:val="24"/>
        </w:rPr>
        <w:t xml:space="preserve">. </w:t>
      </w:r>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960"/>
        <w:gridCol w:w="830"/>
        <w:gridCol w:w="885"/>
        <w:gridCol w:w="885"/>
        <w:gridCol w:w="885"/>
        <w:gridCol w:w="885"/>
        <w:gridCol w:w="885"/>
        <w:gridCol w:w="885"/>
        <w:gridCol w:w="885"/>
      </w:tblGrid>
      <w:tr w:rsidR="00C2717D" w:rsidRPr="00C2717D" w14:paraId="6C3B827A" w14:textId="77777777" w:rsidTr="00C2717D">
        <w:tc>
          <w:tcPr>
            <w:tcW w:w="1025" w:type="dxa"/>
            <w:tcBorders>
              <w:top w:val="single" w:sz="4" w:space="0" w:color="auto"/>
              <w:bottom w:val="single" w:sz="4" w:space="0" w:color="auto"/>
            </w:tcBorders>
          </w:tcPr>
          <w:p w14:paraId="7776CEA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Hydropower Plant</w:t>
            </w:r>
          </w:p>
        </w:tc>
        <w:tc>
          <w:tcPr>
            <w:tcW w:w="960" w:type="dxa"/>
            <w:tcBorders>
              <w:top w:val="single" w:sz="4" w:space="0" w:color="auto"/>
              <w:bottom w:val="single" w:sz="4" w:space="0" w:color="auto"/>
            </w:tcBorders>
          </w:tcPr>
          <w:p w14:paraId="23E31C9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Input</w:t>
            </w:r>
          </w:p>
        </w:tc>
        <w:tc>
          <w:tcPr>
            <w:tcW w:w="830" w:type="dxa"/>
            <w:tcBorders>
              <w:top w:val="single" w:sz="4" w:space="0" w:color="auto"/>
              <w:bottom w:val="single" w:sz="4" w:space="0" w:color="auto"/>
            </w:tcBorders>
          </w:tcPr>
          <w:p w14:paraId="5ACB7AD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Variation (%)</w:t>
            </w:r>
          </w:p>
        </w:tc>
        <w:tc>
          <w:tcPr>
            <w:tcW w:w="885" w:type="dxa"/>
            <w:tcBorders>
              <w:top w:val="single" w:sz="4" w:space="0" w:color="auto"/>
              <w:bottom w:val="single" w:sz="4" w:space="0" w:color="auto"/>
            </w:tcBorders>
          </w:tcPr>
          <w:p w14:paraId="4B3411E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GWP</w:t>
            </w:r>
          </w:p>
          <w:p w14:paraId="279F7A3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w:t>
            </w:r>
          </w:p>
        </w:tc>
        <w:tc>
          <w:tcPr>
            <w:tcW w:w="885" w:type="dxa"/>
            <w:tcBorders>
              <w:top w:val="single" w:sz="4" w:space="0" w:color="auto"/>
              <w:bottom w:val="single" w:sz="4" w:space="0" w:color="auto"/>
            </w:tcBorders>
          </w:tcPr>
          <w:p w14:paraId="2C1FC19B" w14:textId="5FAFE66E" w:rsidR="00C2717D" w:rsidRPr="00C2717D" w:rsidRDefault="00FA6897" w:rsidP="004F2BB1">
            <w:pPr>
              <w:rPr>
                <w:rFonts w:ascii="Times New Roman" w:eastAsia="DengXian" w:hAnsi="Times New Roman" w:cs="Times New Roman"/>
                <w:sz w:val="16"/>
                <w:szCs w:val="16"/>
                <w:lang w:val="en-US"/>
              </w:rPr>
            </w:pPr>
            <w:r>
              <w:rPr>
                <w:rFonts w:ascii="Times New Roman" w:eastAsia="DengXian" w:hAnsi="Times New Roman" w:cs="Times New Roman"/>
                <w:sz w:val="16"/>
                <w:szCs w:val="16"/>
                <w:lang w:val="en-US"/>
              </w:rPr>
              <w:t>MR</w:t>
            </w:r>
            <w:r w:rsidR="00C2717D" w:rsidRPr="00C2717D">
              <w:rPr>
                <w:rFonts w:ascii="Times New Roman" w:eastAsia="DengXian" w:hAnsi="Times New Roman" w:cs="Times New Roman"/>
                <w:sz w:val="16"/>
                <w:szCs w:val="16"/>
                <w:lang w:val="en-US"/>
              </w:rPr>
              <w:t>DP</w:t>
            </w:r>
          </w:p>
          <w:p w14:paraId="5953314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w:t>
            </w:r>
          </w:p>
        </w:tc>
        <w:tc>
          <w:tcPr>
            <w:tcW w:w="885" w:type="dxa"/>
            <w:tcBorders>
              <w:top w:val="single" w:sz="4" w:space="0" w:color="auto"/>
              <w:bottom w:val="single" w:sz="4" w:space="0" w:color="auto"/>
            </w:tcBorders>
          </w:tcPr>
          <w:p w14:paraId="6797103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A</w:t>
            </w:r>
            <w:r w:rsidR="00F6466A">
              <w:rPr>
                <w:rFonts w:ascii="Times New Roman" w:eastAsia="DengXian" w:hAnsi="Times New Roman" w:cs="Times New Roman"/>
                <w:sz w:val="16"/>
                <w:szCs w:val="16"/>
                <w:lang w:val="en-US"/>
              </w:rPr>
              <w:t>C</w:t>
            </w:r>
            <w:r w:rsidRPr="00C2717D">
              <w:rPr>
                <w:rFonts w:ascii="Times New Roman" w:eastAsia="DengXian" w:hAnsi="Times New Roman" w:cs="Times New Roman"/>
                <w:sz w:val="16"/>
                <w:szCs w:val="16"/>
                <w:lang w:val="en-US"/>
              </w:rPr>
              <w:t>P</w:t>
            </w:r>
          </w:p>
          <w:p w14:paraId="2956057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w:t>
            </w:r>
          </w:p>
        </w:tc>
        <w:tc>
          <w:tcPr>
            <w:tcW w:w="885" w:type="dxa"/>
            <w:tcBorders>
              <w:top w:val="single" w:sz="4" w:space="0" w:color="auto"/>
              <w:bottom w:val="single" w:sz="4" w:space="0" w:color="auto"/>
            </w:tcBorders>
          </w:tcPr>
          <w:p w14:paraId="641D81B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F</w:t>
            </w:r>
            <w:r w:rsidR="008A5727">
              <w:rPr>
                <w:rFonts w:ascii="Times New Roman" w:eastAsia="DengXian" w:hAnsi="Times New Roman" w:cs="Times New Roman"/>
                <w:sz w:val="16"/>
                <w:szCs w:val="16"/>
                <w:lang w:val="en-US"/>
              </w:rPr>
              <w:t>WA</w:t>
            </w:r>
            <w:r w:rsidRPr="00C2717D">
              <w:rPr>
                <w:rFonts w:ascii="Times New Roman" w:eastAsia="DengXian" w:hAnsi="Times New Roman" w:cs="Times New Roman"/>
                <w:sz w:val="16"/>
                <w:szCs w:val="16"/>
                <w:lang w:val="en-US"/>
              </w:rPr>
              <w:t>P</w:t>
            </w:r>
          </w:p>
          <w:p w14:paraId="5B07677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w:t>
            </w:r>
          </w:p>
        </w:tc>
        <w:tc>
          <w:tcPr>
            <w:tcW w:w="885" w:type="dxa"/>
            <w:tcBorders>
              <w:top w:val="single" w:sz="4" w:space="0" w:color="auto"/>
              <w:bottom w:val="single" w:sz="4" w:space="0" w:color="auto"/>
            </w:tcBorders>
          </w:tcPr>
          <w:p w14:paraId="4618E2F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HTP</w:t>
            </w:r>
          </w:p>
          <w:p w14:paraId="43C9354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w:t>
            </w:r>
          </w:p>
        </w:tc>
        <w:tc>
          <w:tcPr>
            <w:tcW w:w="885" w:type="dxa"/>
            <w:tcBorders>
              <w:top w:val="single" w:sz="4" w:space="0" w:color="auto"/>
              <w:bottom w:val="single" w:sz="4" w:space="0" w:color="auto"/>
            </w:tcBorders>
          </w:tcPr>
          <w:p w14:paraId="190D495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POP</w:t>
            </w:r>
          </w:p>
          <w:p w14:paraId="2DC488E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w:t>
            </w:r>
          </w:p>
        </w:tc>
        <w:tc>
          <w:tcPr>
            <w:tcW w:w="885" w:type="dxa"/>
            <w:tcBorders>
              <w:top w:val="single" w:sz="4" w:space="0" w:color="auto"/>
              <w:bottom w:val="single" w:sz="4" w:space="0" w:color="auto"/>
            </w:tcBorders>
          </w:tcPr>
          <w:p w14:paraId="67C57D2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F</w:t>
            </w:r>
            <w:r w:rsidR="001D2C14">
              <w:rPr>
                <w:rFonts w:ascii="Times New Roman" w:eastAsia="DengXian" w:hAnsi="Times New Roman" w:cs="Times New Roman"/>
                <w:sz w:val="16"/>
                <w:szCs w:val="16"/>
                <w:lang w:val="en-US"/>
              </w:rPr>
              <w:t>RP</w:t>
            </w:r>
          </w:p>
          <w:p w14:paraId="1E60377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w:t>
            </w:r>
          </w:p>
        </w:tc>
      </w:tr>
      <w:tr w:rsidR="00C2717D" w:rsidRPr="00C2717D" w14:paraId="467F77B2" w14:textId="77777777" w:rsidTr="00C2717D">
        <w:tc>
          <w:tcPr>
            <w:tcW w:w="1025" w:type="dxa"/>
            <w:tcBorders>
              <w:top w:val="single" w:sz="4" w:space="0" w:color="auto"/>
              <w:bottom w:val="single" w:sz="4" w:space="0" w:color="auto"/>
            </w:tcBorders>
          </w:tcPr>
          <w:p w14:paraId="4209646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5"/>
                <w:szCs w:val="15"/>
                <w:lang w:val="en-US"/>
              </w:rPr>
              <w:t>Yeywa</w:t>
            </w:r>
          </w:p>
        </w:tc>
        <w:tc>
          <w:tcPr>
            <w:tcW w:w="960" w:type="dxa"/>
            <w:tcBorders>
              <w:top w:val="single" w:sz="4" w:space="0" w:color="auto"/>
              <w:bottom w:val="single" w:sz="4" w:space="0" w:color="auto"/>
            </w:tcBorders>
          </w:tcPr>
          <w:p w14:paraId="7D5D9469" w14:textId="77777777" w:rsidR="00C2717D" w:rsidRPr="00C2717D" w:rsidRDefault="00C2717D" w:rsidP="004F2BB1">
            <w:pPr>
              <w:rPr>
                <w:rFonts w:ascii="Times New Roman" w:eastAsia="DengXian" w:hAnsi="Times New Roman" w:cs="Times New Roman"/>
                <w:sz w:val="16"/>
                <w:szCs w:val="16"/>
                <w:lang w:val="en-US"/>
              </w:rPr>
            </w:pPr>
          </w:p>
        </w:tc>
        <w:tc>
          <w:tcPr>
            <w:tcW w:w="830" w:type="dxa"/>
            <w:tcBorders>
              <w:top w:val="single" w:sz="4" w:space="0" w:color="auto"/>
              <w:bottom w:val="single" w:sz="4" w:space="0" w:color="auto"/>
            </w:tcBorders>
          </w:tcPr>
          <w:p w14:paraId="0A138DEA"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2B37F099"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1C15E5F7"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0F23FA0B"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723C2C25"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09767178"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1FEBBCF9"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31BD4EA9" w14:textId="77777777" w:rsidR="00C2717D" w:rsidRPr="00C2717D" w:rsidRDefault="00C2717D" w:rsidP="004F2BB1">
            <w:pPr>
              <w:rPr>
                <w:rFonts w:ascii="Times New Roman" w:eastAsia="DengXian" w:hAnsi="Times New Roman" w:cs="Times New Roman"/>
                <w:sz w:val="16"/>
                <w:szCs w:val="16"/>
                <w:lang w:val="en-US"/>
              </w:rPr>
            </w:pPr>
          </w:p>
        </w:tc>
      </w:tr>
      <w:tr w:rsidR="00C2717D" w:rsidRPr="00C2717D" w14:paraId="78E11429" w14:textId="77777777" w:rsidTr="00C2717D">
        <w:trPr>
          <w:trHeight w:val="51"/>
        </w:trPr>
        <w:tc>
          <w:tcPr>
            <w:tcW w:w="1025" w:type="dxa"/>
            <w:tcBorders>
              <w:top w:val="single" w:sz="4" w:space="0" w:color="auto"/>
            </w:tcBorders>
          </w:tcPr>
          <w:p w14:paraId="231FBA63" w14:textId="77777777" w:rsidR="00C2717D" w:rsidRPr="00C2717D" w:rsidRDefault="00C2717D" w:rsidP="004F2BB1">
            <w:pPr>
              <w:rPr>
                <w:rFonts w:ascii="Times New Roman" w:eastAsia="DengXian" w:hAnsi="Times New Roman" w:cs="Times New Roman"/>
                <w:sz w:val="16"/>
                <w:szCs w:val="16"/>
                <w:lang w:val="en-US"/>
              </w:rPr>
            </w:pPr>
          </w:p>
        </w:tc>
        <w:tc>
          <w:tcPr>
            <w:tcW w:w="960" w:type="dxa"/>
            <w:tcBorders>
              <w:top w:val="single" w:sz="4" w:space="0" w:color="auto"/>
            </w:tcBorders>
          </w:tcPr>
          <w:p w14:paraId="133E2FD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Cement</w:t>
            </w:r>
          </w:p>
        </w:tc>
        <w:tc>
          <w:tcPr>
            <w:tcW w:w="830" w:type="dxa"/>
            <w:tcBorders>
              <w:top w:val="single" w:sz="4" w:space="0" w:color="auto"/>
            </w:tcBorders>
          </w:tcPr>
          <w:p w14:paraId="53BD6C8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Borders>
              <w:top w:val="single" w:sz="4" w:space="0" w:color="auto"/>
            </w:tcBorders>
          </w:tcPr>
          <w:p w14:paraId="24FA07D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-5.9</w:t>
            </w:r>
          </w:p>
        </w:tc>
        <w:tc>
          <w:tcPr>
            <w:tcW w:w="885" w:type="dxa"/>
            <w:tcBorders>
              <w:top w:val="single" w:sz="4" w:space="0" w:color="auto"/>
            </w:tcBorders>
          </w:tcPr>
          <w:p w14:paraId="270C43F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-3.8</w:t>
            </w:r>
          </w:p>
        </w:tc>
        <w:tc>
          <w:tcPr>
            <w:tcW w:w="885" w:type="dxa"/>
            <w:tcBorders>
              <w:top w:val="single" w:sz="4" w:space="0" w:color="auto"/>
            </w:tcBorders>
          </w:tcPr>
          <w:p w14:paraId="1C98015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-2.4</w:t>
            </w:r>
          </w:p>
        </w:tc>
        <w:tc>
          <w:tcPr>
            <w:tcW w:w="885" w:type="dxa"/>
            <w:tcBorders>
              <w:top w:val="single" w:sz="4" w:space="0" w:color="auto"/>
            </w:tcBorders>
          </w:tcPr>
          <w:p w14:paraId="0E776F2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-0.2</w:t>
            </w:r>
          </w:p>
        </w:tc>
        <w:tc>
          <w:tcPr>
            <w:tcW w:w="885" w:type="dxa"/>
            <w:tcBorders>
              <w:top w:val="single" w:sz="4" w:space="0" w:color="auto"/>
            </w:tcBorders>
          </w:tcPr>
          <w:p w14:paraId="16F0B04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-2.7</w:t>
            </w:r>
          </w:p>
        </w:tc>
        <w:tc>
          <w:tcPr>
            <w:tcW w:w="885" w:type="dxa"/>
            <w:tcBorders>
              <w:top w:val="single" w:sz="4" w:space="0" w:color="auto"/>
            </w:tcBorders>
          </w:tcPr>
          <w:p w14:paraId="2AA807C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-2.4</w:t>
            </w:r>
          </w:p>
        </w:tc>
        <w:tc>
          <w:tcPr>
            <w:tcW w:w="885" w:type="dxa"/>
            <w:tcBorders>
              <w:top w:val="single" w:sz="4" w:space="0" w:color="auto"/>
            </w:tcBorders>
          </w:tcPr>
          <w:p w14:paraId="0B3E878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r>
      <w:tr w:rsidR="00C2717D" w:rsidRPr="00C2717D" w14:paraId="717B748E" w14:textId="77777777" w:rsidTr="00C2717D">
        <w:tc>
          <w:tcPr>
            <w:tcW w:w="1025" w:type="dxa"/>
          </w:tcPr>
          <w:p w14:paraId="6DCF60DA"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47C3840E"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32ADE67A"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546FA48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5.9</w:t>
            </w:r>
          </w:p>
        </w:tc>
        <w:tc>
          <w:tcPr>
            <w:tcW w:w="885" w:type="dxa"/>
          </w:tcPr>
          <w:p w14:paraId="5A085A9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3.8</w:t>
            </w:r>
          </w:p>
        </w:tc>
        <w:tc>
          <w:tcPr>
            <w:tcW w:w="885" w:type="dxa"/>
          </w:tcPr>
          <w:p w14:paraId="0D89050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2.4</w:t>
            </w:r>
          </w:p>
        </w:tc>
        <w:tc>
          <w:tcPr>
            <w:tcW w:w="885" w:type="dxa"/>
          </w:tcPr>
          <w:p w14:paraId="5C9224F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0.2</w:t>
            </w:r>
          </w:p>
        </w:tc>
        <w:tc>
          <w:tcPr>
            <w:tcW w:w="885" w:type="dxa"/>
          </w:tcPr>
          <w:p w14:paraId="6DA138F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2.7</w:t>
            </w:r>
          </w:p>
        </w:tc>
        <w:tc>
          <w:tcPr>
            <w:tcW w:w="885" w:type="dxa"/>
          </w:tcPr>
          <w:p w14:paraId="5D13A47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2.4</w:t>
            </w:r>
          </w:p>
        </w:tc>
        <w:tc>
          <w:tcPr>
            <w:tcW w:w="885" w:type="dxa"/>
          </w:tcPr>
          <w:p w14:paraId="5599346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r>
      <w:tr w:rsidR="00C2717D" w:rsidRPr="00C2717D" w14:paraId="1140B160" w14:textId="77777777" w:rsidTr="00C2717D">
        <w:tc>
          <w:tcPr>
            <w:tcW w:w="1025" w:type="dxa"/>
          </w:tcPr>
          <w:p w14:paraId="28336D70"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57FA334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Steel</w:t>
            </w:r>
          </w:p>
        </w:tc>
        <w:tc>
          <w:tcPr>
            <w:tcW w:w="830" w:type="dxa"/>
          </w:tcPr>
          <w:p w14:paraId="348E49F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51B774E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-1.9</w:t>
            </w:r>
          </w:p>
        </w:tc>
        <w:tc>
          <w:tcPr>
            <w:tcW w:w="885" w:type="dxa"/>
          </w:tcPr>
          <w:p w14:paraId="060C66F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-2.6</w:t>
            </w:r>
          </w:p>
        </w:tc>
        <w:tc>
          <w:tcPr>
            <w:tcW w:w="885" w:type="dxa"/>
          </w:tcPr>
          <w:p w14:paraId="24D5AE5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-1.4</w:t>
            </w:r>
          </w:p>
        </w:tc>
        <w:tc>
          <w:tcPr>
            <w:tcW w:w="885" w:type="dxa"/>
          </w:tcPr>
          <w:p w14:paraId="348D754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-7.5</w:t>
            </w:r>
          </w:p>
        </w:tc>
        <w:tc>
          <w:tcPr>
            <w:tcW w:w="885" w:type="dxa"/>
          </w:tcPr>
          <w:p w14:paraId="31D8F77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-5.3</w:t>
            </w:r>
          </w:p>
        </w:tc>
        <w:tc>
          <w:tcPr>
            <w:tcW w:w="885" w:type="dxa"/>
          </w:tcPr>
          <w:p w14:paraId="6B996AF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-2.9</w:t>
            </w:r>
          </w:p>
        </w:tc>
        <w:tc>
          <w:tcPr>
            <w:tcW w:w="885" w:type="dxa"/>
          </w:tcPr>
          <w:p w14:paraId="77A85E9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r>
      <w:tr w:rsidR="00C2717D" w:rsidRPr="00C2717D" w14:paraId="6D696CBA" w14:textId="77777777" w:rsidTr="00C2717D">
        <w:tc>
          <w:tcPr>
            <w:tcW w:w="1025" w:type="dxa"/>
          </w:tcPr>
          <w:p w14:paraId="79E17B79"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5A4ADBB9"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04DC315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0E5D5DA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1.9</w:t>
            </w:r>
          </w:p>
        </w:tc>
        <w:tc>
          <w:tcPr>
            <w:tcW w:w="885" w:type="dxa"/>
          </w:tcPr>
          <w:p w14:paraId="2EDE85F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2.6</w:t>
            </w:r>
          </w:p>
        </w:tc>
        <w:tc>
          <w:tcPr>
            <w:tcW w:w="885" w:type="dxa"/>
          </w:tcPr>
          <w:p w14:paraId="29C72F3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1.4</w:t>
            </w:r>
          </w:p>
        </w:tc>
        <w:tc>
          <w:tcPr>
            <w:tcW w:w="885" w:type="dxa"/>
          </w:tcPr>
          <w:p w14:paraId="596A8DC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7.5</w:t>
            </w:r>
          </w:p>
        </w:tc>
        <w:tc>
          <w:tcPr>
            <w:tcW w:w="885" w:type="dxa"/>
          </w:tcPr>
          <w:p w14:paraId="67CD9B0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5.3</w:t>
            </w:r>
          </w:p>
        </w:tc>
        <w:tc>
          <w:tcPr>
            <w:tcW w:w="885" w:type="dxa"/>
          </w:tcPr>
          <w:p w14:paraId="55C13AE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2.9</w:t>
            </w:r>
          </w:p>
        </w:tc>
        <w:tc>
          <w:tcPr>
            <w:tcW w:w="885" w:type="dxa"/>
          </w:tcPr>
          <w:p w14:paraId="70FE78B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r>
      <w:tr w:rsidR="00C2717D" w:rsidRPr="00C2717D" w14:paraId="05BBDCF2" w14:textId="77777777" w:rsidTr="00C2717D">
        <w:tc>
          <w:tcPr>
            <w:tcW w:w="1025" w:type="dxa"/>
          </w:tcPr>
          <w:p w14:paraId="007D0599"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574C72F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 xml:space="preserve">Electricity </w:t>
            </w:r>
          </w:p>
        </w:tc>
        <w:tc>
          <w:tcPr>
            <w:tcW w:w="830" w:type="dxa"/>
          </w:tcPr>
          <w:p w14:paraId="2AE2F99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608D2FC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-2.2</w:t>
            </w:r>
          </w:p>
        </w:tc>
        <w:tc>
          <w:tcPr>
            <w:tcW w:w="885" w:type="dxa"/>
          </w:tcPr>
          <w:p w14:paraId="236FBC8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-1.5</w:t>
            </w:r>
          </w:p>
        </w:tc>
        <w:tc>
          <w:tcPr>
            <w:tcW w:w="885" w:type="dxa"/>
          </w:tcPr>
          <w:p w14:paraId="10A0D7A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-2.7</w:t>
            </w:r>
          </w:p>
        </w:tc>
        <w:tc>
          <w:tcPr>
            <w:tcW w:w="885" w:type="dxa"/>
          </w:tcPr>
          <w:p w14:paraId="057DA2C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-1.8</w:t>
            </w:r>
          </w:p>
        </w:tc>
        <w:tc>
          <w:tcPr>
            <w:tcW w:w="885" w:type="dxa"/>
          </w:tcPr>
          <w:p w14:paraId="3FDB150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c>
          <w:tcPr>
            <w:tcW w:w="885" w:type="dxa"/>
          </w:tcPr>
          <w:p w14:paraId="52C2416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-1.7</w:t>
            </w:r>
          </w:p>
        </w:tc>
        <w:tc>
          <w:tcPr>
            <w:tcW w:w="885" w:type="dxa"/>
          </w:tcPr>
          <w:p w14:paraId="0153C51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-6.8</w:t>
            </w:r>
          </w:p>
        </w:tc>
      </w:tr>
      <w:tr w:rsidR="00C2717D" w:rsidRPr="00C2717D" w14:paraId="0CD0A5AE" w14:textId="77777777" w:rsidTr="00C2717D">
        <w:tc>
          <w:tcPr>
            <w:tcW w:w="1025" w:type="dxa"/>
          </w:tcPr>
          <w:p w14:paraId="1317D322"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140B8C90"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1A1C3648"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475B162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2.2</w:t>
            </w:r>
          </w:p>
        </w:tc>
        <w:tc>
          <w:tcPr>
            <w:tcW w:w="885" w:type="dxa"/>
          </w:tcPr>
          <w:p w14:paraId="0C6D590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1.5</w:t>
            </w:r>
          </w:p>
        </w:tc>
        <w:tc>
          <w:tcPr>
            <w:tcW w:w="885" w:type="dxa"/>
          </w:tcPr>
          <w:p w14:paraId="59FC0C98"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2.7</w:t>
            </w:r>
          </w:p>
        </w:tc>
        <w:tc>
          <w:tcPr>
            <w:tcW w:w="885" w:type="dxa"/>
          </w:tcPr>
          <w:p w14:paraId="357C1AE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1.8</w:t>
            </w:r>
          </w:p>
        </w:tc>
        <w:tc>
          <w:tcPr>
            <w:tcW w:w="885" w:type="dxa"/>
          </w:tcPr>
          <w:p w14:paraId="752006A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c>
          <w:tcPr>
            <w:tcW w:w="885" w:type="dxa"/>
          </w:tcPr>
          <w:p w14:paraId="68ABF12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1.7</w:t>
            </w:r>
          </w:p>
        </w:tc>
        <w:tc>
          <w:tcPr>
            <w:tcW w:w="885" w:type="dxa"/>
          </w:tcPr>
          <w:p w14:paraId="274E95A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6.8</w:t>
            </w:r>
          </w:p>
        </w:tc>
      </w:tr>
      <w:tr w:rsidR="00C2717D" w:rsidRPr="00C2717D" w14:paraId="3951F433" w14:textId="77777777" w:rsidTr="00C2717D">
        <w:tc>
          <w:tcPr>
            <w:tcW w:w="1025" w:type="dxa"/>
          </w:tcPr>
          <w:p w14:paraId="3B70AE8C"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6CE4FC6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Diesel Fuel</w:t>
            </w:r>
          </w:p>
        </w:tc>
        <w:tc>
          <w:tcPr>
            <w:tcW w:w="830" w:type="dxa"/>
          </w:tcPr>
          <w:p w14:paraId="27B33F6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2294196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-3.2</w:t>
            </w:r>
          </w:p>
        </w:tc>
        <w:tc>
          <w:tcPr>
            <w:tcW w:w="885" w:type="dxa"/>
          </w:tcPr>
          <w:p w14:paraId="269E523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-1.4</w:t>
            </w:r>
          </w:p>
        </w:tc>
        <w:tc>
          <w:tcPr>
            <w:tcW w:w="885" w:type="dxa"/>
          </w:tcPr>
          <w:p w14:paraId="22C5CA4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c>
          <w:tcPr>
            <w:tcW w:w="885" w:type="dxa"/>
          </w:tcPr>
          <w:p w14:paraId="18ECB5C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-2.0</w:t>
            </w:r>
          </w:p>
        </w:tc>
        <w:tc>
          <w:tcPr>
            <w:tcW w:w="885" w:type="dxa"/>
          </w:tcPr>
          <w:p w14:paraId="4C06FD98"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-0.7</w:t>
            </w:r>
          </w:p>
        </w:tc>
        <w:tc>
          <w:tcPr>
            <w:tcW w:w="885" w:type="dxa"/>
          </w:tcPr>
          <w:p w14:paraId="433B89A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c>
          <w:tcPr>
            <w:tcW w:w="885" w:type="dxa"/>
          </w:tcPr>
          <w:p w14:paraId="5E1DD3C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-6.3</w:t>
            </w:r>
          </w:p>
        </w:tc>
      </w:tr>
      <w:tr w:rsidR="00C2717D" w:rsidRPr="00C2717D" w14:paraId="7C680848" w14:textId="77777777" w:rsidTr="00C2717D">
        <w:tc>
          <w:tcPr>
            <w:tcW w:w="1025" w:type="dxa"/>
            <w:tcBorders>
              <w:bottom w:val="single" w:sz="4" w:space="0" w:color="auto"/>
            </w:tcBorders>
          </w:tcPr>
          <w:p w14:paraId="181214E2" w14:textId="77777777" w:rsidR="00C2717D" w:rsidRPr="00C2717D" w:rsidRDefault="00C2717D" w:rsidP="004F2BB1">
            <w:pPr>
              <w:rPr>
                <w:rFonts w:ascii="Times New Roman" w:eastAsia="DengXian" w:hAnsi="Times New Roman" w:cs="Times New Roman"/>
                <w:sz w:val="16"/>
                <w:szCs w:val="16"/>
                <w:lang w:val="en-US"/>
              </w:rPr>
            </w:pPr>
          </w:p>
        </w:tc>
        <w:tc>
          <w:tcPr>
            <w:tcW w:w="960" w:type="dxa"/>
            <w:tcBorders>
              <w:bottom w:val="single" w:sz="4" w:space="0" w:color="auto"/>
            </w:tcBorders>
          </w:tcPr>
          <w:p w14:paraId="08B7D91A" w14:textId="77777777" w:rsidR="00C2717D" w:rsidRPr="00C2717D" w:rsidRDefault="00C2717D" w:rsidP="004F2BB1">
            <w:pPr>
              <w:rPr>
                <w:rFonts w:ascii="Times New Roman" w:eastAsia="DengXian" w:hAnsi="Times New Roman" w:cs="Times New Roman"/>
                <w:sz w:val="16"/>
                <w:szCs w:val="16"/>
                <w:lang w:val="en-US"/>
              </w:rPr>
            </w:pPr>
          </w:p>
        </w:tc>
        <w:tc>
          <w:tcPr>
            <w:tcW w:w="830" w:type="dxa"/>
            <w:tcBorders>
              <w:bottom w:val="single" w:sz="4" w:space="0" w:color="auto"/>
            </w:tcBorders>
          </w:tcPr>
          <w:p w14:paraId="10107A5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Borders>
              <w:bottom w:val="single" w:sz="4" w:space="0" w:color="auto"/>
            </w:tcBorders>
          </w:tcPr>
          <w:p w14:paraId="6332F2F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3.2</w:t>
            </w:r>
          </w:p>
        </w:tc>
        <w:tc>
          <w:tcPr>
            <w:tcW w:w="885" w:type="dxa"/>
            <w:tcBorders>
              <w:bottom w:val="single" w:sz="4" w:space="0" w:color="auto"/>
            </w:tcBorders>
          </w:tcPr>
          <w:p w14:paraId="349EC10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1.4</w:t>
            </w:r>
          </w:p>
        </w:tc>
        <w:tc>
          <w:tcPr>
            <w:tcW w:w="885" w:type="dxa"/>
            <w:tcBorders>
              <w:bottom w:val="single" w:sz="4" w:space="0" w:color="auto"/>
            </w:tcBorders>
          </w:tcPr>
          <w:p w14:paraId="495FC2D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c>
          <w:tcPr>
            <w:tcW w:w="885" w:type="dxa"/>
            <w:tcBorders>
              <w:bottom w:val="single" w:sz="4" w:space="0" w:color="auto"/>
            </w:tcBorders>
          </w:tcPr>
          <w:p w14:paraId="79C3A79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2.0</w:t>
            </w:r>
          </w:p>
        </w:tc>
        <w:tc>
          <w:tcPr>
            <w:tcW w:w="885" w:type="dxa"/>
            <w:tcBorders>
              <w:bottom w:val="single" w:sz="4" w:space="0" w:color="auto"/>
            </w:tcBorders>
          </w:tcPr>
          <w:p w14:paraId="62026AF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0.7</w:t>
            </w:r>
          </w:p>
        </w:tc>
        <w:tc>
          <w:tcPr>
            <w:tcW w:w="885" w:type="dxa"/>
            <w:tcBorders>
              <w:bottom w:val="single" w:sz="4" w:space="0" w:color="auto"/>
            </w:tcBorders>
          </w:tcPr>
          <w:p w14:paraId="11CE1DE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c>
          <w:tcPr>
            <w:tcW w:w="885" w:type="dxa"/>
            <w:tcBorders>
              <w:bottom w:val="single" w:sz="4" w:space="0" w:color="auto"/>
            </w:tcBorders>
          </w:tcPr>
          <w:p w14:paraId="2B5F270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6.3</w:t>
            </w:r>
          </w:p>
        </w:tc>
      </w:tr>
      <w:tr w:rsidR="00C2717D" w:rsidRPr="00C2717D" w14:paraId="7FFF81DD" w14:textId="77777777" w:rsidTr="00C2717D">
        <w:tc>
          <w:tcPr>
            <w:tcW w:w="1025" w:type="dxa"/>
            <w:tcBorders>
              <w:top w:val="single" w:sz="4" w:space="0" w:color="auto"/>
              <w:bottom w:val="single" w:sz="4" w:space="0" w:color="auto"/>
            </w:tcBorders>
          </w:tcPr>
          <w:p w14:paraId="3E12B7D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5"/>
                <w:szCs w:val="15"/>
                <w:lang w:val="en-US"/>
              </w:rPr>
              <w:t>Shweli 1</w:t>
            </w:r>
          </w:p>
        </w:tc>
        <w:tc>
          <w:tcPr>
            <w:tcW w:w="960" w:type="dxa"/>
            <w:tcBorders>
              <w:top w:val="single" w:sz="4" w:space="0" w:color="auto"/>
              <w:bottom w:val="single" w:sz="4" w:space="0" w:color="auto"/>
            </w:tcBorders>
          </w:tcPr>
          <w:p w14:paraId="6F231BA6" w14:textId="77777777" w:rsidR="00C2717D" w:rsidRPr="00C2717D" w:rsidRDefault="00C2717D" w:rsidP="004F2BB1">
            <w:pPr>
              <w:rPr>
                <w:rFonts w:ascii="Times New Roman" w:eastAsia="DengXian" w:hAnsi="Times New Roman" w:cs="Times New Roman"/>
                <w:sz w:val="16"/>
                <w:szCs w:val="16"/>
                <w:lang w:val="en-US"/>
              </w:rPr>
            </w:pPr>
          </w:p>
        </w:tc>
        <w:tc>
          <w:tcPr>
            <w:tcW w:w="830" w:type="dxa"/>
            <w:tcBorders>
              <w:top w:val="single" w:sz="4" w:space="0" w:color="auto"/>
              <w:bottom w:val="single" w:sz="4" w:space="0" w:color="auto"/>
            </w:tcBorders>
          </w:tcPr>
          <w:p w14:paraId="30E8B521"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6A797659"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50BE197C"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27E48C21"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05E09EEA"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153D3115"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67909D56"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31F0DA9D" w14:textId="77777777" w:rsidR="00C2717D" w:rsidRPr="00C2717D" w:rsidRDefault="00C2717D" w:rsidP="004F2BB1">
            <w:pPr>
              <w:rPr>
                <w:rFonts w:ascii="Times New Roman" w:eastAsia="DengXian" w:hAnsi="Times New Roman" w:cs="Times New Roman"/>
                <w:sz w:val="16"/>
                <w:szCs w:val="16"/>
                <w:lang w:val="en-US"/>
              </w:rPr>
            </w:pPr>
          </w:p>
        </w:tc>
      </w:tr>
      <w:tr w:rsidR="00C2717D" w:rsidRPr="00C2717D" w14:paraId="29479F2F" w14:textId="77777777" w:rsidTr="00C2717D">
        <w:tc>
          <w:tcPr>
            <w:tcW w:w="1025" w:type="dxa"/>
            <w:tcBorders>
              <w:top w:val="single" w:sz="4" w:space="0" w:color="auto"/>
            </w:tcBorders>
          </w:tcPr>
          <w:p w14:paraId="0825EA68" w14:textId="77777777" w:rsidR="00C2717D" w:rsidRPr="00C2717D" w:rsidRDefault="00C2717D" w:rsidP="004F2BB1">
            <w:pPr>
              <w:rPr>
                <w:rFonts w:ascii="Times New Roman" w:eastAsia="DengXian" w:hAnsi="Times New Roman" w:cs="Times New Roman"/>
                <w:sz w:val="16"/>
                <w:szCs w:val="16"/>
                <w:lang w:val="en-US"/>
              </w:rPr>
            </w:pPr>
          </w:p>
        </w:tc>
        <w:tc>
          <w:tcPr>
            <w:tcW w:w="960" w:type="dxa"/>
            <w:tcBorders>
              <w:top w:val="single" w:sz="4" w:space="0" w:color="auto"/>
            </w:tcBorders>
          </w:tcPr>
          <w:p w14:paraId="319E59A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Cement</w:t>
            </w:r>
          </w:p>
        </w:tc>
        <w:tc>
          <w:tcPr>
            <w:tcW w:w="830" w:type="dxa"/>
            <w:tcBorders>
              <w:top w:val="single" w:sz="4" w:space="0" w:color="auto"/>
            </w:tcBorders>
          </w:tcPr>
          <w:p w14:paraId="22E1DBD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Borders>
              <w:top w:val="single" w:sz="4" w:space="0" w:color="auto"/>
            </w:tcBorders>
          </w:tcPr>
          <w:p w14:paraId="4DBAC8B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-6.7</w:t>
            </w:r>
          </w:p>
        </w:tc>
        <w:tc>
          <w:tcPr>
            <w:tcW w:w="885" w:type="dxa"/>
            <w:tcBorders>
              <w:top w:val="single" w:sz="4" w:space="0" w:color="auto"/>
            </w:tcBorders>
          </w:tcPr>
          <w:p w14:paraId="11B26AD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-4.2</w:t>
            </w:r>
          </w:p>
        </w:tc>
        <w:tc>
          <w:tcPr>
            <w:tcW w:w="885" w:type="dxa"/>
            <w:tcBorders>
              <w:top w:val="single" w:sz="4" w:space="0" w:color="auto"/>
            </w:tcBorders>
          </w:tcPr>
          <w:p w14:paraId="04B8D46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-3.3</w:t>
            </w:r>
          </w:p>
        </w:tc>
        <w:tc>
          <w:tcPr>
            <w:tcW w:w="885" w:type="dxa"/>
            <w:tcBorders>
              <w:top w:val="single" w:sz="4" w:space="0" w:color="auto"/>
            </w:tcBorders>
          </w:tcPr>
          <w:p w14:paraId="41BA472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-0.1</w:t>
            </w:r>
          </w:p>
        </w:tc>
        <w:tc>
          <w:tcPr>
            <w:tcW w:w="885" w:type="dxa"/>
            <w:tcBorders>
              <w:top w:val="single" w:sz="4" w:space="0" w:color="auto"/>
            </w:tcBorders>
          </w:tcPr>
          <w:p w14:paraId="22481F5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-1.5</w:t>
            </w:r>
          </w:p>
        </w:tc>
        <w:tc>
          <w:tcPr>
            <w:tcW w:w="885" w:type="dxa"/>
            <w:tcBorders>
              <w:top w:val="single" w:sz="4" w:space="0" w:color="auto"/>
            </w:tcBorders>
          </w:tcPr>
          <w:p w14:paraId="43E7690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-3.2</w:t>
            </w:r>
          </w:p>
        </w:tc>
        <w:tc>
          <w:tcPr>
            <w:tcW w:w="885" w:type="dxa"/>
            <w:tcBorders>
              <w:top w:val="single" w:sz="4" w:space="0" w:color="auto"/>
            </w:tcBorders>
          </w:tcPr>
          <w:p w14:paraId="1FB6221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-0.7</w:t>
            </w:r>
          </w:p>
        </w:tc>
      </w:tr>
      <w:tr w:rsidR="00C2717D" w:rsidRPr="00C2717D" w14:paraId="2EEA8860" w14:textId="77777777" w:rsidTr="00C2717D">
        <w:tc>
          <w:tcPr>
            <w:tcW w:w="1025" w:type="dxa"/>
          </w:tcPr>
          <w:p w14:paraId="3BB29016"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4C4E76CE"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79309C5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58EBB2B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6.7</w:t>
            </w:r>
          </w:p>
        </w:tc>
        <w:tc>
          <w:tcPr>
            <w:tcW w:w="885" w:type="dxa"/>
          </w:tcPr>
          <w:p w14:paraId="6533038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4.2</w:t>
            </w:r>
          </w:p>
        </w:tc>
        <w:tc>
          <w:tcPr>
            <w:tcW w:w="885" w:type="dxa"/>
          </w:tcPr>
          <w:p w14:paraId="711BE42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3.3</w:t>
            </w:r>
          </w:p>
        </w:tc>
        <w:tc>
          <w:tcPr>
            <w:tcW w:w="885" w:type="dxa"/>
          </w:tcPr>
          <w:p w14:paraId="560BB0C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0.1</w:t>
            </w:r>
          </w:p>
        </w:tc>
        <w:tc>
          <w:tcPr>
            <w:tcW w:w="885" w:type="dxa"/>
          </w:tcPr>
          <w:p w14:paraId="1988FC8A"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1.5</w:t>
            </w:r>
          </w:p>
        </w:tc>
        <w:tc>
          <w:tcPr>
            <w:tcW w:w="885" w:type="dxa"/>
          </w:tcPr>
          <w:p w14:paraId="374CE97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3.2</w:t>
            </w:r>
          </w:p>
        </w:tc>
        <w:tc>
          <w:tcPr>
            <w:tcW w:w="885" w:type="dxa"/>
          </w:tcPr>
          <w:p w14:paraId="1CA6327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0.7</w:t>
            </w:r>
          </w:p>
        </w:tc>
      </w:tr>
      <w:tr w:rsidR="00C2717D" w:rsidRPr="00C2717D" w14:paraId="3D66BB2E" w14:textId="77777777" w:rsidTr="00C2717D">
        <w:tc>
          <w:tcPr>
            <w:tcW w:w="1025" w:type="dxa"/>
          </w:tcPr>
          <w:p w14:paraId="767E847E"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6EADC9C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Steel</w:t>
            </w:r>
          </w:p>
        </w:tc>
        <w:tc>
          <w:tcPr>
            <w:tcW w:w="830" w:type="dxa"/>
          </w:tcPr>
          <w:p w14:paraId="1C221E9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63FBB40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-1.7</w:t>
            </w:r>
          </w:p>
        </w:tc>
        <w:tc>
          <w:tcPr>
            <w:tcW w:w="885" w:type="dxa"/>
          </w:tcPr>
          <w:p w14:paraId="4A37884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-2.4</w:t>
            </w:r>
          </w:p>
        </w:tc>
        <w:tc>
          <w:tcPr>
            <w:tcW w:w="885" w:type="dxa"/>
          </w:tcPr>
          <w:p w14:paraId="4F74DE8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-1.6</w:t>
            </w:r>
          </w:p>
        </w:tc>
        <w:tc>
          <w:tcPr>
            <w:tcW w:w="885" w:type="dxa"/>
          </w:tcPr>
          <w:p w14:paraId="518A5BE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-6.9</w:t>
            </w:r>
          </w:p>
        </w:tc>
        <w:tc>
          <w:tcPr>
            <w:tcW w:w="885" w:type="dxa"/>
          </w:tcPr>
          <w:p w14:paraId="43F48BDA"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-5.2</w:t>
            </w:r>
          </w:p>
        </w:tc>
        <w:tc>
          <w:tcPr>
            <w:tcW w:w="885" w:type="dxa"/>
          </w:tcPr>
          <w:p w14:paraId="17A6095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-2.9</w:t>
            </w:r>
          </w:p>
        </w:tc>
        <w:tc>
          <w:tcPr>
            <w:tcW w:w="885" w:type="dxa"/>
          </w:tcPr>
          <w:p w14:paraId="57C1B5C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-1.2</w:t>
            </w:r>
          </w:p>
        </w:tc>
      </w:tr>
      <w:tr w:rsidR="00C2717D" w:rsidRPr="00C2717D" w14:paraId="311FED91" w14:textId="77777777" w:rsidTr="00C2717D">
        <w:tc>
          <w:tcPr>
            <w:tcW w:w="1025" w:type="dxa"/>
          </w:tcPr>
          <w:p w14:paraId="2927962D"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6EB8F43E"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487EDBB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45BF082A"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1.7</w:t>
            </w:r>
          </w:p>
        </w:tc>
        <w:tc>
          <w:tcPr>
            <w:tcW w:w="885" w:type="dxa"/>
          </w:tcPr>
          <w:p w14:paraId="4CA91E8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2.4</w:t>
            </w:r>
          </w:p>
        </w:tc>
        <w:tc>
          <w:tcPr>
            <w:tcW w:w="885" w:type="dxa"/>
          </w:tcPr>
          <w:p w14:paraId="0F060BA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1.6</w:t>
            </w:r>
          </w:p>
        </w:tc>
        <w:tc>
          <w:tcPr>
            <w:tcW w:w="885" w:type="dxa"/>
          </w:tcPr>
          <w:p w14:paraId="75F8AB0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6.9</w:t>
            </w:r>
          </w:p>
        </w:tc>
        <w:tc>
          <w:tcPr>
            <w:tcW w:w="885" w:type="dxa"/>
          </w:tcPr>
          <w:p w14:paraId="5FC6045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5.2</w:t>
            </w:r>
          </w:p>
        </w:tc>
        <w:tc>
          <w:tcPr>
            <w:tcW w:w="885" w:type="dxa"/>
          </w:tcPr>
          <w:p w14:paraId="4AA1142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2.9</w:t>
            </w:r>
          </w:p>
        </w:tc>
        <w:tc>
          <w:tcPr>
            <w:tcW w:w="885" w:type="dxa"/>
          </w:tcPr>
          <w:p w14:paraId="208F363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1.2</w:t>
            </w:r>
          </w:p>
        </w:tc>
      </w:tr>
      <w:tr w:rsidR="00C2717D" w:rsidRPr="00C2717D" w14:paraId="7AC4BC1E" w14:textId="77777777" w:rsidTr="00C2717D">
        <w:tc>
          <w:tcPr>
            <w:tcW w:w="1025" w:type="dxa"/>
          </w:tcPr>
          <w:p w14:paraId="30E9AABE"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0F48176A"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Electricity</w:t>
            </w:r>
          </w:p>
        </w:tc>
        <w:tc>
          <w:tcPr>
            <w:tcW w:w="830" w:type="dxa"/>
          </w:tcPr>
          <w:p w14:paraId="5BB6EF8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141127A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-1.2</w:t>
            </w:r>
          </w:p>
        </w:tc>
        <w:tc>
          <w:tcPr>
            <w:tcW w:w="885" w:type="dxa"/>
          </w:tcPr>
          <w:p w14:paraId="712BF2C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-1.6</w:t>
            </w:r>
          </w:p>
        </w:tc>
        <w:tc>
          <w:tcPr>
            <w:tcW w:w="885" w:type="dxa"/>
          </w:tcPr>
          <w:p w14:paraId="3E0EDCA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-2.6</w:t>
            </w:r>
          </w:p>
        </w:tc>
        <w:tc>
          <w:tcPr>
            <w:tcW w:w="885" w:type="dxa"/>
          </w:tcPr>
          <w:p w14:paraId="5B34747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-1.8</w:t>
            </w:r>
          </w:p>
        </w:tc>
        <w:tc>
          <w:tcPr>
            <w:tcW w:w="885" w:type="dxa"/>
          </w:tcPr>
          <w:p w14:paraId="066606F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c>
          <w:tcPr>
            <w:tcW w:w="885" w:type="dxa"/>
          </w:tcPr>
          <w:p w14:paraId="132577D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-1.8</w:t>
            </w:r>
          </w:p>
        </w:tc>
        <w:tc>
          <w:tcPr>
            <w:tcW w:w="885" w:type="dxa"/>
          </w:tcPr>
          <w:p w14:paraId="1F7230B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-6.6</w:t>
            </w:r>
          </w:p>
        </w:tc>
      </w:tr>
      <w:tr w:rsidR="00C2717D" w:rsidRPr="00C2717D" w14:paraId="0817D796" w14:textId="77777777" w:rsidTr="00C2717D">
        <w:tc>
          <w:tcPr>
            <w:tcW w:w="1025" w:type="dxa"/>
          </w:tcPr>
          <w:p w14:paraId="6871B598"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6D507B3B"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43947FA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32F2991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1.2</w:t>
            </w:r>
          </w:p>
        </w:tc>
        <w:tc>
          <w:tcPr>
            <w:tcW w:w="885" w:type="dxa"/>
          </w:tcPr>
          <w:p w14:paraId="1FE6E1C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1.6</w:t>
            </w:r>
          </w:p>
        </w:tc>
        <w:tc>
          <w:tcPr>
            <w:tcW w:w="885" w:type="dxa"/>
          </w:tcPr>
          <w:p w14:paraId="776FE5B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2.6</w:t>
            </w:r>
          </w:p>
        </w:tc>
        <w:tc>
          <w:tcPr>
            <w:tcW w:w="885" w:type="dxa"/>
          </w:tcPr>
          <w:p w14:paraId="1ACC31D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1.8</w:t>
            </w:r>
          </w:p>
        </w:tc>
        <w:tc>
          <w:tcPr>
            <w:tcW w:w="885" w:type="dxa"/>
          </w:tcPr>
          <w:p w14:paraId="26A1AE5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c>
          <w:tcPr>
            <w:tcW w:w="885" w:type="dxa"/>
          </w:tcPr>
          <w:p w14:paraId="23AA559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1.8</w:t>
            </w:r>
          </w:p>
        </w:tc>
        <w:tc>
          <w:tcPr>
            <w:tcW w:w="885" w:type="dxa"/>
          </w:tcPr>
          <w:p w14:paraId="58A3343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6.6</w:t>
            </w:r>
          </w:p>
        </w:tc>
      </w:tr>
      <w:tr w:rsidR="00C2717D" w:rsidRPr="00C2717D" w14:paraId="794B394D" w14:textId="77777777" w:rsidTr="00C2717D">
        <w:tc>
          <w:tcPr>
            <w:tcW w:w="1025" w:type="dxa"/>
          </w:tcPr>
          <w:p w14:paraId="15B65DA7"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1033801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Diesel Fuel</w:t>
            </w:r>
          </w:p>
        </w:tc>
        <w:tc>
          <w:tcPr>
            <w:tcW w:w="830" w:type="dxa"/>
          </w:tcPr>
          <w:p w14:paraId="22C5196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7E6CE06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-3.3</w:t>
            </w:r>
          </w:p>
        </w:tc>
        <w:tc>
          <w:tcPr>
            <w:tcW w:w="885" w:type="dxa"/>
          </w:tcPr>
          <w:p w14:paraId="31E9DB0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-1.4</w:t>
            </w:r>
          </w:p>
        </w:tc>
        <w:tc>
          <w:tcPr>
            <w:tcW w:w="885" w:type="dxa"/>
          </w:tcPr>
          <w:p w14:paraId="7383C4D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c>
          <w:tcPr>
            <w:tcW w:w="885" w:type="dxa"/>
          </w:tcPr>
          <w:p w14:paraId="2123B2F8"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-2.1</w:t>
            </w:r>
          </w:p>
        </w:tc>
        <w:tc>
          <w:tcPr>
            <w:tcW w:w="885" w:type="dxa"/>
          </w:tcPr>
          <w:p w14:paraId="71958A9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-0.7</w:t>
            </w:r>
          </w:p>
        </w:tc>
        <w:tc>
          <w:tcPr>
            <w:tcW w:w="885" w:type="dxa"/>
          </w:tcPr>
          <w:p w14:paraId="10F1B88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-0.8</w:t>
            </w:r>
          </w:p>
        </w:tc>
        <w:tc>
          <w:tcPr>
            <w:tcW w:w="885" w:type="dxa"/>
          </w:tcPr>
          <w:p w14:paraId="2441544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-6.4</w:t>
            </w:r>
          </w:p>
        </w:tc>
      </w:tr>
      <w:tr w:rsidR="00C2717D" w:rsidRPr="00C2717D" w14:paraId="41E784F9" w14:textId="77777777" w:rsidTr="00C2717D">
        <w:tc>
          <w:tcPr>
            <w:tcW w:w="1025" w:type="dxa"/>
            <w:tcBorders>
              <w:bottom w:val="single" w:sz="4" w:space="0" w:color="auto"/>
            </w:tcBorders>
          </w:tcPr>
          <w:p w14:paraId="55E2356F" w14:textId="77777777" w:rsidR="00C2717D" w:rsidRPr="00C2717D" w:rsidRDefault="00C2717D" w:rsidP="004F2BB1">
            <w:pPr>
              <w:rPr>
                <w:rFonts w:ascii="Times New Roman" w:eastAsia="DengXian" w:hAnsi="Times New Roman" w:cs="Times New Roman"/>
                <w:sz w:val="16"/>
                <w:szCs w:val="16"/>
                <w:lang w:val="en-US"/>
              </w:rPr>
            </w:pPr>
          </w:p>
        </w:tc>
        <w:tc>
          <w:tcPr>
            <w:tcW w:w="960" w:type="dxa"/>
            <w:tcBorders>
              <w:bottom w:val="single" w:sz="4" w:space="0" w:color="auto"/>
            </w:tcBorders>
          </w:tcPr>
          <w:p w14:paraId="6228C3E8" w14:textId="77777777" w:rsidR="00C2717D" w:rsidRPr="00C2717D" w:rsidRDefault="00C2717D" w:rsidP="004F2BB1">
            <w:pPr>
              <w:rPr>
                <w:rFonts w:ascii="Times New Roman" w:eastAsia="DengXian" w:hAnsi="Times New Roman" w:cs="Times New Roman"/>
                <w:sz w:val="16"/>
                <w:szCs w:val="16"/>
                <w:lang w:val="en-US"/>
              </w:rPr>
            </w:pPr>
          </w:p>
        </w:tc>
        <w:tc>
          <w:tcPr>
            <w:tcW w:w="830" w:type="dxa"/>
            <w:tcBorders>
              <w:bottom w:val="single" w:sz="4" w:space="0" w:color="auto"/>
            </w:tcBorders>
          </w:tcPr>
          <w:p w14:paraId="50F07A4A"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Borders>
              <w:bottom w:val="single" w:sz="4" w:space="0" w:color="auto"/>
            </w:tcBorders>
          </w:tcPr>
          <w:p w14:paraId="34904F0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3.3</w:t>
            </w:r>
          </w:p>
        </w:tc>
        <w:tc>
          <w:tcPr>
            <w:tcW w:w="885" w:type="dxa"/>
            <w:tcBorders>
              <w:bottom w:val="single" w:sz="4" w:space="0" w:color="auto"/>
            </w:tcBorders>
          </w:tcPr>
          <w:p w14:paraId="1F33EFA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1.4</w:t>
            </w:r>
          </w:p>
        </w:tc>
        <w:tc>
          <w:tcPr>
            <w:tcW w:w="885" w:type="dxa"/>
            <w:tcBorders>
              <w:bottom w:val="single" w:sz="4" w:space="0" w:color="auto"/>
            </w:tcBorders>
          </w:tcPr>
          <w:p w14:paraId="267E5B3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c>
          <w:tcPr>
            <w:tcW w:w="885" w:type="dxa"/>
            <w:tcBorders>
              <w:bottom w:val="single" w:sz="4" w:space="0" w:color="auto"/>
            </w:tcBorders>
          </w:tcPr>
          <w:p w14:paraId="587D727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2.1</w:t>
            </w:r>
          </w:p>
        </w:tc>
        <w:tc>
          <w:tcPr>
            <w:tcW w:w="885" w:type="dxa"/>
            <w:tcBorders>
              <w:bottom w:val="single" w:sz="4" w:space="0" w:color="auto"/>
            </w:tcBorders>
          </w:tcPr>
          <w:p w14:paraId="5F9D2F3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0.7</w:t>
            </w:r>
          </w:p>
        </w:tc>
        <w:tc>
          <w:tcPr>
            <w:tcW w:w="885" w:type="dxa"/>
            <w:tcBorders>
              <w:bottom w:val="single" w:sz="4" w:space="0" w:color="auto"/>
            </w:tcBorders>
          </w:tcPr>
          <w:p w14:paraId="2C2A72E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0.8</w:t>
            </w:r>
          </w:p>
        </w:tc>
        <w:tc>
          <w:tcPr>
            <w:tcW w:w="885" w:type="dxa"/>
            <w:tcBorders>
              <w:bottom w:val="single" w:sz="4" w:space="0" w:color="auto"/>
            </w:tcBorders>
          </w:tcPr>
          <w:p w14:paraId="7387F5A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6.4</w:t>
            </w:r>
          </w:p>
        </w:tc>
      </w:tr>
      <w:tr w:rsidR="00C2717D" w:rsidRPr="00C2717D" w14:paraId="586F3684" w14:textId="77777777" w:rsidTr="00C2717D">
        <w:tc>
          <w:tcPr>
            <w:tcW w:w="1025" w:type="dxa"/>
            <w:tcBorders>
              <w:top w:val="single" w:sz="4" w:space="0" w:color="auto"/>
              <w:bottom w:val="single" w:sz="4" w:space="0" w:color="auto"/>
            </w:tcBorders>
          </w:tcPr>
          <w:p w14:paraId="69E5099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5"/>
                <w:szCs w:val="15"/>
                <w:lang w:val="en-US"/>
              </w:rPr>
              <w:t>Paung Laung (lower)</w:t>
            </w:r>
          </w:p>
        </w:tc>
        <w:tc>
          <w:tcPr>
            <w:tcW w:w="960" w:type="dxa"/>
            <w:tcBorders>
              <w:top w:val="single" w:sz="4" w:space="0" w:color="auto"/>
              <w:bottom w:val="single" w:sz="4" w:space="0" w:color="auto"/>
            </w:tcBorders>
          </w:tcPr>
          <w:p w14:paraId="12AEBEFA" w14:textId="77777777" w:rsidR="00C2717D" w:rsidRPr="00C2717D" w:rsidRDefault="00C2717D" w:rsidP="004F2BB1">
            <w:pPr>
              <w:rPr>
                <w:rFonts w:ascii="Times New Roman" w:eastAsia="DengXian" w:hAnsi="Times New Roman" w:cs="Times New Roman"/>
                <w:sz w:val="16"/>
                <w:szCs w:val="16"/>
                <w:lang w:val="en-US"/>
              </w:rPr>
            </w:pPr>
          </w:p>
        </w:tc>
        <w:tc>
          <w:tcPr>
            <w:tcW w:w="830" w:type="dxa"/>
            <w:tcBorders>
              <w:top w:val="single" w:sz="4" w:space="0" w:color="auto"/>
              <w:bottom w:val="single" w:sz="4" w:space="0" w:color="auto"/>
            </w:tcBorders>
          </w:tcPr>
          <w:p w14:paraId="54E148B9"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61AFBB1F"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2DAA6CE7"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7E20AF2F"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46ED930A"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232EAEF1"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50FA11E4"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248D3677" w14:textId="77777777" w:rsidR="00C2717D" w:rsidRPr="00C2717D" w:rsidRDefault="00C2717D" w:rsidP="004F2BB1">
            <w:pPr>
              <w:rPr>
                <w:rFonts w:ascii="Times New Roman" w:eastAsia="DengXian" w:hAnsi="Times New Roman" w:cs="Times New Roman"/>
                <w:sz w:val="16"/>
                <w:szCs w:val="16"/>
                <w:lang w:val="en-US"/>
              </w:rPr>
            </w:pPr>
          </w:p>
        </w:tc>
      </w:tr>
      <w:tr w:rsidR="00C2717D" w:rsidRPr="00C2717D" w14:paraId="7A1A8CBB" w14:textId="77777777" w:rsidTr="00C2717D">
        <w:trPr>
          <w:trHeight w:val="51"/>
        </w:trPr>
        <w:tc>
          <w:tcPr>
            <w:tcW w:w="1025" w:type="dxa"/>
            <w:tcBorders>
              <w:top w:val="single" w:sz="4" w:space="0" w:color="auto"/>
            </w:tcBorders>
          </w:tcPr>
          <w:p w14:paraId="3D8B4423" w14:textId="77777777" w:rsidR="00C2717D" w:rsidRPr="00C2717D" w:rsidRDefault="00C2717D" w:rsidP="004F2BB1">
            <w:pPr>
              <w:rPr>
                <w:rFonts w:ascii="Times New Roman" w:eastAsia="DengXian" w:hAnsi="Times New Roman" w:cs="Times New Roman"/>
                <w:sz w:val="16"/>
                <w:szCs w:val="16"/>
                <w:lang w:val="en-US"/>
              </w:rPr>
            </w:pPr>
          </w:p>
        </w:tc>
        <w:tc>
          <w:tcPr>
            <w:tcW w:w="960" w:type="dxa"/>
            <w:tcBorders>
              <w:top w:val="single" w:sz="4" w:space="0" w:color="auto"/>
            </w:tcBorders>
          </w:tcPr>
          <w:p w14:paraId="22C1D8E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Cement</w:t>
            </w:r>
          </w:p>
        </w:tc>
        <w:tc>
          <w:tcPr>
            <w:tcW w:w="830" w:type="dxa"/>
            <w:tcBorders>
              <w:top w:val="single" w:sz="4" w:space="0" w:color="auto"/>
            </w:tcBorders>
          </w:tcPr>
          <w:p w14:paraId="01AB7FE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Borders>
              <w:top w:val="single" w:sz="4" w:space="0" w:color="auto"/>
            </w:tcBorders>
          </w:tcPr>
          <w:p w14:paraId="2B573E5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-5.6</w:t>
            </w:r>
          </w:p>
        </w:tc>
        <w:tc>
          <w:tcPr>
            <w:tcW w:w="885" w:type="dxa"/>
            <w:tcBorders>
              <w:top w:val="single" w:sz="4" w:space="0" w:color="auto"/>
            </w:tcBorders>
          </w:tcPr>
          <w:p w14:paraId="4CFEDBD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-3.9</w:t>
            </w:r>
          </w:p>
        </w:tc>
        <w:tc>
          <w:tcPr>
            <w:tcW w:w="885" w:type="dxa"/>
            <w:tcBorders>
              <w:top w:val="single" w:sz="4" w:space="0" w:color="auto"/>
            </w:tcBorders>
          </w:tcPr>
          <w:p w14:paraId="6844578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-2.8</w:t>
            </w:r>
          </w:p>
        </w:tc>
        <w:tc>
          <w:tcPr>
            <w:tcW w:w="885" w:type="dxa"/>
            <w:tcBorders>
              <w:top w:val="single" w:sz="4" w:space="0" w:color="auto"/>
            </w:tcBorders>
          </w:tcPr>
          <w:p w14:paraId="20DE345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-0.6</w:t>
            </w:r>
          </w:p>
        </w:tc>
        <w:tc>
          <w:tcPr>
            <w:tcW w:w="885" w:type="dxa"/>
            <w:tcBorders>
              <w:top w:val="single" w:sz="4" w:space="0" w:color="auto"/>
            </w:tcBorders>
          </w:tcPr>
          <w:p w14:paraId="078A380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-1.9</w:t>
            </w:r>
          </w:p>
        </w:tc>
        <w:tc>
          <w:tcPr>
            <w:tcW w:w="885" w:type="dxa"/>
            <w:tcBorders>
              <w:top w:val="single" w:sz="4" w:space="0" w:color="auto"/>
            </w:tcBorders>
          </w:tcPr>
          <w:p w14:paraId="5C94699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-2.6</w:t>
            </w:r>
          </w:p>
        </w:tc>
        <w:tc>
          <w:tcPr>
            <w:tcW w:w="885" w:type="dxa"/>
            <w:tcBorders>
              <w:top w:val="single" w:sz="4" w:space="0" w:color="auto"/>
            </w:tcBorders>
          </w:tcPr>
          <w:p w14:paraId="44A49CA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-0.7</w:t>
            </w:r>
          </w:p>
        </w:tc>
      </w:tr>
      <w:tr w:rsidR="00C2717D" w:rsidRPr="00C2717D" w14:paraId="20B44EB9" w14:textId="77777777" w:rsidTr="00C2717D">
        <w:tc>
          <w:tcPr>
            <w:tcW w:w="1025" w:type="dxa"/>
          </w:tcPr>
          <w:p w14:paraId="6795C882"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783A16B0"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67855A9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01F242D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5.6</w:t>
            </w:r>
          </w:p>
        </w:tc>
        <w:tc>
          <w:tcPr>
            <w:tcW w:w="885" w:type="dxa"/>
          </w:tcPr>
          <w:p w14:paraId="45FA9A4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3.9</w:t>
            </w:r>
          </w:p>
        </w:tc>
        <w:tc>
          <w:tcPr>
            <w:tcW w:w="885" w:type="dxa"/>
          </w:tcPr>
          <w:p w14:paraId="39FD78C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2.8</w:t>
            </w:r>
          </w:p>
        </w:tc>
        <w:tc>
          <w:tcPr>
            <w:tcW w:w="885" w:type="dxa"/>
          </w:tcPr>
          <w:p w14:paraId="4C0F32C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0.6</w:t>
            </w:r>
          </w:p>
        </w:tc>
        <w:tc>
          <w:tcPr>
            <w:tcW w:w="885" w:type="dxa"/>
          </w:tcPr>
          <w:p w14:paraId="7E1ABC0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1.9</w:t>
            </w:r>
          </w:p>
        </w:tc>
        <w:tc>
          <w:tcPr>
            <w:tcW w:w="885" w:type="dxa"/>
          </w:tcPr>
          <w:p w14:paraId="62AC2EE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2.6</w:t>
            </w:r>
          </w:p>
        </w:tc>
        <w:tc>
          <w:tcPr>
            <w:tcW w:w="885" w:type="dxa"/>
          </w:tcPr>
          <w:p w14:paraId="0291714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0.7</w:t>
            </w:r>
          </w:p>
        </w:tc>
      </w:tr>
      <w:tr w:rsidR="00C2717D" w:rsidRPr="00C2717D" w14:paraId="20EE3740" w14:textId="77777777" w:rsidTr="00C2717D">
        <w:tc>
          <w:tcPr>
            <w:tcW w:w="1025" w:type="dxa"/>
          </w:tcPr>
          <w:p w14:paraId="403CC815"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76D492E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Steel</w:t>
            </w:r>
          </w:p>
        </w:tc>
        <w:tc>
          <w:tcPr>
            <w:tcW w:w="830" w:type="dxa"/>
          </w:tcPr>
          <w:p w14:paraId="5415DBB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659A4C0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-1.5</w:t>
            </w:r>
          </w:p>
        </w:tc>
        <w:tc>
          <w:tcPr>
            <w:tcW w:w="885" w:type="dxa"/>
          </w:tcPr>
          <w:p w14:paraId="6B64696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-2.8</w:t>
            </w:r>
          </w:p>
        </w:tc>
        <w:tc>
          <w:tcPr>
            <w:tcW w:w="885" w:type="dxa"/>
          </w:tcPr>
          <w:p w14:paraId="062BCC9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-1.8</w:t>
            </w:r>
          </w:p>
        </w:tc>
        <w:tc>
          <w:tcPr>
            <w:tcW w:w="885" w:type="dxa"/>
          </w:tcPr>
          <w:p w14:paraId="595382C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-7.4</w:t>
            </w:r>
          </w:p>
        </w:tc>
        <w:tc>
          <w:tcPr>
            <w:tcW w:w="885" w:type="dxa"/>
          </w:tcPr>
          <w:p w14:paraId="73CE188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-5.6</w:t>
            </w:r>
          </w:p>
        </w:tc>
        <w:tc>
          <w:tcPr>
            <w:tcW w:w="885" w:type="dxa"/>
          </w:tcPr>
          <w:p w14:paraId="448F473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-2.8</w:t>
            </w:r>
          </w:p>
        </w:tc>
        <w:tc>
          <w:tcPr>
            <w:tcW w:w="885" w:type="dxa"/>
          </w:tcPr>
          <w:p w14:paraId="47ABB29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r>
      <w:tr w:rsidR="00C2717D" w:rsidRPr="00C2717D" w14:paraId="6FC5A8DB" w14:textId="77777777" w:rsidTr="00C2717D">
        <w:tc>
          <w:tcPr>
            <w:tcW w:w="1025" w:type="dxa"/>
          </w:tcPr>
          <w:p w14:paraId="6DCA4C2B"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04D8F720"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128D308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4D8AD9A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1.5</w:t>
            </w:r>
          </w:p>
        </w:tc>
        <w:tc>
          <w:tcPr>
            <w:tcW w:w="885" w:type="dxa"/>
          </w:tcPr>
          <w:p w14:paraId="62CD6B48"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2.8</w:t>
            </w:r>
          </w:p>
        </w:tc>
        <w:tc>
          <w:tcPr>
            <w:tcW w:w="885" w:type="dxa"/>
          </w:tcPr>
          <w:p w14:paraId="7D99942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1.8</w:t>
            </w:r>
          </w:p>
        </w:tc>
        <w:tc>
          <w:tcPr>
            <w:tcW w:w="885" w:type="dxa"/>
          </w:tcPr>
          <w:p w14:paraId="07D584B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7.4</w:t>
            </w:r>
          </w:p>
        </w:tc>
        <w:tc>
          <w:tcPr>
            <w:tcW w:w="885" w:type="dxa"/>
          </w:tcPr>
          <w:p w14:paraId="2550632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5.6</w:t>
            </w:r>
          </w:p>
        </w:tc>
        <w:tc>
          <w:tcPr>
            <w:tcW w:w="885" w:type="dxa"/>
          </w:tcPr>
          <w:p w14:paraId="17F7A0E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2.8</w:t>
            </w:r>
          </w:p>
        </w:tc>
        <w:tc>
          <w:tcPr>
            <w:tcW w:w="885" w:type="dxa"/>
          </w:tcPr>
          <w:p w14:paraId="11E3EB4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r>
      <w:tr w:rsidR="00C2717D" w:rsidRPr="00C2717D" w14:paraId="671A2B01" w14:textId="77777777" w:rsidTr="00C2717D">
        <w:tc>
          <w:tcPr>
            <w:tcW w:w="1025" w:type="dxa"/>
          </w:tcPr>
          <w:p w14:paraId="0CEBBDE4"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4AE08FB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 xml:space="preserve">Electricity </w:t>
            </w:r>
          </w:p>
        </w:tc>
        <w:tc>
          <w:tcPr>
            <w:tcW w:w="830" w:type="dxa"/>
          </w:tcPr>
          <w:p w14:paraId="23F57E8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1C03B2D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-1.8</w:t>
            </w:r>
          </w:p>
        </w:tc>
        <w:tc>
          <w:tcPr>
            <w:tcW w:w="885" w:type="dxa"/>
          </w:tcPr>
          <w:p w14:paraId="54F1E6D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-1.5</w:t>
            </w:r>
          </w:p>
        </w:tc>
        <w:tc>
          <w:tcPr>
            <w:tcW w:w="885" w:type="dxa"/>
          </w:tcPr>
          <w:p w14:paraId="5F3160B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-2.4</w:t>
            </w:r>
          </w:p>
        </w:tc>
        <w:tc>
          <w:tcPr>
            <w:tcW w:w="885" w:type="dxa"/>
          </w:tcPr>
          <w:p w14:paraId="0457C5B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-1.9</w:t>
            </w:r>
          </w:p>
        </w:tc>
        <w:tc>
          <w:tcPr>
            <w:tcW w:w="885" w:type="dxa"/>
          </w:tcPr>
          <w:p w14:paraId="3649B02A"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c>
          <w:tcPr>
            <w:tcW w:w="885" w:type="dxa"/>
          </w:tcPr>
          <w:p w14:paraId="43F8003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-1.9</w:t>
            </w:r>
          </w:p>
        </w:tc>
        <w:tc>
          <w:tcPr>
            <w:tcW w:w="885" w:type="dxa"/>
          </w:tcPr>
          <w:p w14:paraId="1C2C35D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-6.7</w:t>
            </w:r>
          </w:p>
        </w:tc>
      </w:tr>
      <w:tr w:rsidR="00C2717D" w:rsidRPr="00C2717D" w14:paraId="74361838" w14:textId="77777777" w:rsidTr="00C2717D">
        <w:tc>
          <w:tcPr>
            <w:tcW w:w="1025" w:type="dxa"/>
          </w:tcPr>
          <w:p w14:paraId="71F0C484"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3CAFDF29"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4210EE4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1E90FC9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1.8</w:t>
            </w:r>
          </w:p>
        </w:tc>
        <w:tc>
          <w:tcPr>
            <w:tcW w:w="885" w:type="dxa"/>
          </w:tcPr>
          <w:p w14:paraId="3B3729E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1.5</w:t>
            </w:r>
          </w:p>
        </w:tc>
        <w:tc>
          <w:tcPr>
            <w:tcW w:w="885" w:type="dxa"/>
          </w:tcPr>
          <w:p w14:paraId="4E4FAF8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2.4</w:t>
            </w:r>
          </w:p>
        </w:tc>
        <w:tc>
          <w:tcPr>
            <w:tcW w:w="885" w:type="dxa"/>
          </w:tcPr>
          <w:p w14:paraId="620EA13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1.9</w:t>
            </w:r>
          </w:p>
        </w:tc>
        <w:tc>
          <w:tcPr>
            <w:tcW w:w="885" w:type="dxa"/>
          </w:tcPr>
          <w:p w14:paraId="664CAC6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c>
          <w:tcPr>
            <w:tcW w:w="885" w:type="dxa"/>
          </w:tcPr>
          <w:p w14:paraId="267DCB7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1.9</w:t>
            </w:r>
          </w:p>
        </w:tc>
        <w:tc>
          <w:tcPr>
            <w:tcW w:w="885" w:type="dxa"/>
          </w:tcPr>
          <w:p w14:paraId="42F2B5D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6.7</w:t>
            </w:r>
          </w:p>
        </w:tc>
      </w:tr>
      <w:tr w:rsidR="00C2717D" w:rsidRPr="00C2717D" w14:paraId="47E836F1" w14:textId="77777777" w:rsidTr="00C2717D">
        <w:tc>
          <w:tcPr>
            <w:tcW w:w="1025" w:type="dxa"/>
          </w:tcPr>
          <w:p w14:paraId="5A4C21DD" w14:textId="77777777" w:rsidR="00C2717D" w:rsidRPr="00C2717D" w:rsidRDefault="00C2717D" w:rsidP="004F2BB1">
            <w:pPr>
              <w:rPr>
                <w:rFonts w:ascii="Times New Roman" w:eastAsia="DengXian" w:hAnsi="Times New Roman" w:cs="Times New Roman"/>
                <w:b/>
                <w:bCs/>
                <w:sz w:val="16"/>
                <w:szCs w:val="16"/>
                <w:lang w:val="en-US"/>
              </w:rPr>
            </w:pPr>
          </w:p>
        </w:tc>
        <w:tc>
          <w:tcPr>
            <w:tcW w:w="960" w:type="dxa"/>
          </w:tcPr>
          <w:p w14:paraId="35BC0F8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Diesel Fuel</w:t>
            </w:r>
          </w:p>
        </w:tc>
        <w:tc>
          <w:tcPr>
            <w:tcW w:w="830" w:type="dxa"/>
          </w:tcPr>
          <w:p w14:paraId="0AAB70C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6E123C8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-3.4</w:t>
            </w:r>
          </w:p>
        </w:tc>
        <w:tc>
          <w:tcPr>
            <w:tcW w:w="885" w:type="dxa"/>
          </w:tcPr>
          <w:p w14:paraId="4CA84C9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-1.2</w:t>
            </w:r>
          </w:p>
        </w:tc>
        <w:tc>
          <w:tcPr>
            <w:tcW w:w="885" w:type="dxa"/>
          </w:tcPr>
          <w:p w14:paraId="6F8F6FB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c>
          <w:tcPr>
            <w:tcW w:w="885" w:type="dxa"/>
          </w:tcPr>
          <w:p w14:paraId="6CBD62B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-2.2</w:t>
            </w:r>
          </w:p>
        </w:tc>
        <w:tc>
          <w:tcPr>
            <w:tcW w:w="885" w:type="dxa"/>
          </w:tcPr>
          <w:p w14:paraId="38802EE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-0.8</w:t>
            </w:r>
          </w:p>
        </w:tc>
        <w:tc>
          <w:tcPr>
            <w:tcW w:w="885" w:type="dxa"/>
          </w:tcPr>
          <w:p w14:paraId="2893ADC8"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-0.8</w:t>
            </w:r>
          </w:p>
        </w:tc>
        <w:tc>
          <w:tcPr>
            <w:tcW w:w="885" w:type="dxa"/>
          </w:tcPr>
          <w:p w14:paraId="447E9A0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-6.2</w:t>
            </w:r>
          </w:p>
        </w:tc>
      </w:tr>
      <w:tr w:rsidR="00C2717D" w:rsidRPr="00C2717D" w14:paraId="7E0BF7C0" w14:textId="77777777" w:rsidTr="00C2717D">
        <w:tc>
          <w:tcPr>
            <w:tcW w:w="1025" w:type="dxa"/>
            <w:tcBorders>
              <w:bottom w:val="single" w:sz="4" w:space="0" w:color="auto"/>
            </w:tcBorders>
          </w:tcPr>
          <w:p w14:paraId="32909611" w14:textId="77777777" w:rsidR="00C2717D" w:rsidRPr="00C2717D" w:rsidRDefault="00C2717D" w:rsidP="004F2BB1">
            <w:pPr>
              <w:rPr>
                <w:rFonts w:ascii="Times New Roman" w:eastAsia="DengXian" w:hAnsi="Times New Roman" w:cs="Times New Roman"/>
                <w:sz w:val="16"/>
                <w:szCs w:val="16"/>
                <w:lang w:val="en-US"/>
              </w:rPr>
            </w:pPr>
          </w:p>
        </w:tc>
        <w:tc>
          <w:tcPr>
            <w:tcW w:w="960" w:type="dxa"/>
            <w:tcBorders>
              <w:bottom w:val="single" w:sz="4" w:space="0" w:color="auto"/>
            </w:tcBorders>
          </w:tcPr>
          <w:p w14:paraId="6FD9CDD5" w14:textId="77777777" w:rsidR="00C2717D" w:rsidRPr="00C2717D" w:rsidRDefault="00C2717D" w:rsidP="004F2BB1">
            <w:pPr>
              <w:rPr>
                <w:rFonts w:ascii="Times New Roman" w:eastAsia="DengXian" w:hAnsi="Times New Roman" w:cs="Times New Roman"/>
                <w:sz w:val="16"/>
                <w:szCs w:val="16"/>
                <w:lang w:val="en-US"/>
              </w:rPr>
            </w:pPr>
          </w:p>
        </w:tc>
        <w:tc>
          <w:tcPr>
            <w:tcW w:w="830" w:type="dxa"/>
            <w:tcBorders>
              <w:bottom w:val="single" w:sz="4" w:space="0" w:color="auto"/>
            </w:tcBorders>
          </w:tcPr>
          <w:p w14:paraId="11BA656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Borders>
              <w:bottom w:val="single" w:sz="4" w:space="0" w:color="auto"/>
            </w:tcBorders>
          </w:tcPr>
          <w:p w14:paraId="36D1188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3.4</w:t>
            </w:r>
          </w:p>
        </w:tc>
        <w:tc>
          <w:tcPr>
            <w:tcW w:w="885" w:type="dxa"/>
            <w:tcBorders>
              <w:bottom w:val="single" w:sz="4" w:space="0" w:color="auto"/>
            </w:tcBorders>
          </w:tcPr>
          <w:p w14:paraId="0EA6D36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1.2</w:t>
            </w:r>
          </w:p>
        </w:tc>
        <w:tc>
          <w:tcPr>
            <w:tcW w:w="885" w:type="dxa"/>
            <w:tcBorders>
              <w:bottom w:val="single" w:sz="4" w:space="0" w:color="auto"/>
            </w:tcBorders>
          </w:tcPr>
          <w:p w14:paraId="3108E08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c>
          <w:tcPr>
            <w:tcW w:w="885" w:type="dxa"/>
            <w:tcBorders>
              <w:bottom w:val="single" w:sz="4" w:space="0" w:color="auto"/>
            </w:tcBorders>
          </w:tcPr>
          <w:p w14:paraId="3C9A40C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2.2</w:t>
            </w:r>
          </w:p>
        </w:tc>
        <w:tc>
          <w:tcPr>
            <w:tcW w:w="885" w:type="dxa"/>
            <w:tcBorders>
              <w:bottom w:val="single" w:sz="4" w:space="0" w:color="auto"/>
            </w:tcBorders>
          </w:tcPr>
          <w:p w14:paraId="04B50DA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0.8</w:t>
            </w:r>
          </w:p>
        </w:tc>
        <w:tc>
          <w:tcPr>
            <w:tcW w:w="885" w:type="dxa"/>
            <w:tcBorders>
              <w:bottom w:val="single" w:sz="4" w:space="0" w:color="auto"/>
            </w:tcBorders>
          </w:tcPr>
          <w:p w14:paraId="30D9B24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0.8</w:t>
            </w:r>
          </w:p>
        </w:tc>
        <w:tc>
          <w:tcPr>
            <w:tcW w:w="885" w:type="dxa"/>
            <w:tcBorders>
              <w:bottom w:val="single" w:sz="4" w:space="0" w:color="auto"/>
            </w:tcBorders>
          </w:tcPr>
          <w:p w14:paraId="2A9A5718"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6.2</w:t>
            </w:r>
          </w:p>
        </w:tc>
      </w:tr>
      <w:tr w:rsidR="00C2717D" w:rsidRPr="00C2717D" w14:paraId="56CF132B" w14:textId="77777777" w:rsidTr="00C2717D">
        <w:tc>
          <w:tcPr>
            <w:tcW w:w="1025" w:type="dxa"/>
            <w:tcBorders>
              <w:top w:val="single" w:sz="4" w:space="0" w:color="auto"/>
              <w:bottom w:val="single" w:sz="4" w:space="0" w:color="auto"/>
            </w:tcBorders>
          </w:tcPr>
          <w:p w14:paraId="2C2C7E4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5"/>
                <w:szCs w:val="15"/>
                <w:lang w:val="en-US"/>
              </w:rPr>
              <w:t>Dapein 1</w:t>
            </w:r>
          </w:p>
        </w:tc>
        <w:tc>
          <w:tcPr>
            <w:tcW w:w="960" w:type="dxa"/>
            <w:tcBorders>
              <w:top w:val="single" w:sz="4" w:space="0" w:color="auto"/>
              <w:bottom w:val="single" w:sz="4" w:space="0" w:color="auto"/>
            </w:tcBorders>
          </w:tcPr>
          <w:p w14:paraId="41F4670B" w14:textId="77777777" w:rsidR="00C2717D" w:rsidRPr="00C2717D" w:rsidRDefault="00C2717D" w:rsidP="004F2BB1">
            <w:pPr>
              <w:rPr>
                <w:rFonts w:ascii="Times New Roman" w:eastAsia="DengXian" w:hAnsi="Times New Roman" w:cs="Times New Roman"/>
                <w:sz w:val="16"/>
                <w:szCs w:val="16"/>
                <w:lang w:val="en-US"/>
              </w:rPr>
            </w:pPr>
          </w:p>
        </w:tc>
        <w:tc>
          <w:tcPr>
            <w:tcW w:w="830" w:type="dxa"/>
            <w:tcBorders>
              <w:top w:val="single" w:sz="4" w:space="0" w:color="auto"/>
              <w:bottom w:val="single" w:sz="4" w:space="0" w:color="auto"/>
            </w:tcBorders>
          </w:tcPr>
          <w:p w14:paraId="5821EC42"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287182F5"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25B9C8D2"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6359F5A1"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0D311D6C"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30427C58"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01A91A15"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4F5A5080" w14:textId="77777777" w:rsidR="00C2717D" w:rsidRPr="00C2717D" w:rsidRDefault="00C2717D" w:rsidP="004F2BB1">
            <w:pPr>
              <w:rPr>
                <w:rFonts w:ascii="Times New Roman" w:eastAsia="DengXian" w:hAnsi="Times New Roman" w:cs="Times New Roman"/>
                <w:sz w:val="16"/>
                <w:szCs w:val="16"/>
                <w:lang w:val="en-US"/>
              </w:rPr>
            </w:pPr>
          </w:p>
        </w:tc>
      </w:tr>
      <w:tr w:rsidR="00C2717D" w:rsidRPr="00C2717D" w14:paraId="73897454" w14:textId="77777777" w:rsidTr="00C2717D">
        <w:tc>
          <w:tcPr>
            <w:tcW w:w="1025" w:type="dxa"/>
            <w:tcBorders>
              <w:top w:val="single" w:sz="4" w:space="0" w:color="auto"/>
            </w:tcBorders>
          </w:tcPr>
          <w:p w14:paraId="611F47AA" w14:textId="77777777" w:rsidR="00C2717D" w:rsidRPr="00C2717D" w:rsidRDefault="00C2717D" w:rsidP="004F2BB1">
            <w:pPr>
              <w:rPr>
                <w:rFonts w:ascii="Times New Roman" w:eastAsia="DengXian" w:hAnsi="Times New Roman" w:cs="Times New Roman"/>
                <w:sz w:val="16"/>
                <w:szCs w:val="16"/>
                <w:lang w:val="en-US"/>
              </w:rPr>
            </w:pPr>
          </w:p>
        </w:tc>
        <w:tc>
          <w:tcPr>
            <w:tcW w:w="960" w:type="dxa"/>
            <w:tcBorders>
              <w:top w:val="single" w:sz="4" w:space="0" w:color="auto"/>
            </w:tcBorders>
          </w:tcPr>
          <w:p w14:paraId="080D25F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Cement</w:t>
            </w:r>
          </w:p>
        </w:tc>
        <w:tc>
          <w:tcPr>
            <w:tcW w:w="830" w:type="dxa"/>
            <w:tcBorders>
              <w:top w:val="single" w:sz="4" w:space="0" w:color="auto"/>
            </w:tcBorders>
          </w:tcPr>
          <w:p w14:paraId="7B75589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Borders>
              <w:top w:val="single" w:sz="4" w:space="0" w:color="auto"/>
            </w:tcBorders>
          </w:tcPr>
          <w:p w14:paraId="5FD4114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-5.2</w:t>
            </w:r>
          </w:p>
        </w:tc>
        <w:tc>
          <w:tcPr>
            <w:tcW w:w="885" w:type="dxa"/>
            <w:tcBorders>
              <w:top w:val="single" w:sz="4" w:space="0" w:color="auto"/>
            </w:tcBorders>
          </w:tcPr>
          <w:p w14:paraId="65A81088"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-3.6</w:t>
            </w:r>
          </w:p>
        </w:tc>
        <w:tc>
          <w:tcPr>
            <w:tcW w:w="885" w:type="dxa"/>
            <w:tcBorders>
              <w:top w:val="single" w:sz="4" w:space="0" w:color="auto"/>
            </w:tcBorders>
          </w:tcPr>
          <w:p w14:paraId="7B8F2AA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-2.3</w:t>
            </w:r>
          </w:p>
        </w:tc>
        <w:tc>
          <w:tcPr>
            <w:tcW w:w="885" w:type="dxa"/>
            <w:tcBorders>
              <w:top w:val="single" w:sz="4" w:space="0" w:color="auto"/>
            </w:tcBorders>
          </w:tcPr>
          <w:p w14:paraId="3E63AB5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-0.8</w:t>
            </w:r>
          </w:p>
        </w:tc>
        <w:tc>
          <w:tcPr>
            <w:tcW w:w="885" w:type="dxa"/>
            <w:tcBorders>
              <w:top w:val="single" w:sz="4" w:space="0" w:color="auto"/>
            </w:tcBorders>
          </w:tcPr>
          <w:p w14:paraId="10B2349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-1.5</w:t>
            </w:r>
          </w:p>
        </w:tc>
        <w:tc>
          <w:tcPr>
            <w:tcW w:w="885" w:type="dxa"/>
            <w:tcBorders>
              <w:top w:val="single" w:sz="4" w:space="0" w:color="auto"/>
            </w:tcBorders>
          </w:tcPr>
          <w:p w14:paraId="1F98D0AA"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-2.7</w:t>
            </w:r>
          </w:p>
        </w:tc>
        <w:tc>
          <w:tcPr>
            <w:tcW w:w="885" w:type="dxa"/>
            <w:tcBorders>
              <w:top w:val="single" w:sz="4" w:space="0" w:color="auto"/>
            </w:tcBorders>
          </w:tcPr>
          <w:p w14:paraId="4489BFA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-0.4</w:t>
            </w:r>
          </w:p>
        </w:tc>
      </w:tr>
      <w:tr w:rsidR="00C2717D" w:rsidRPr="00C2717D" w14:paraId="0FD2F02B" w14:textId="77777777" w:rsidTr="00C2717D">
        <w:tc>
          <w:tcPr>
            <w:tcW w:w="1025" w:type="dxa"/>
          </w:tcPr>
          <w:p w14:paraId="7B40A97B"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7AB2D455"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3988BC7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4DB1DC6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5.2</w:t>
            </w:r>
          </w:p>
        </w:tc>
        <w:tc>
          <w:tcPr>
            <w:tcW w:w="885" w:type="dxa"/>
          </w:tcPr>
          <w:p w14:paraId="3B60E20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3.6</w:t>
            </w:r>
          </w:p>
        </w:tc>
        <w:tc>
          <w:tcPr>
            <w:tcW w:w="885" w:type="dxa"/>
          </w:tcPr>
          <w:p w14:paraId="0ECB665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2.3</w:t>
            </w:r>
          </w:p>
        </w:tc>
        <w:tc>
          <w:tcPr>
            <w:tcW w:w="885" w:type="dxa"/>
          </w:tcPr>
          <w:p w14:paraId="2C218B2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0.8</w:t>
            </w:r>
          </w:p>
        </w:tc>
        <w:tc>
          <w:tcPr>
            <w:tcW w:w="885" w:type="dxa"/>
          </w:tcPr>
          <w:p w14:paraId="1DE4C49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1.5</w:t>
            </w:r>
          </w:p>
        </w:tc>
        <w:tc>
          <w:tcPr>
            <w:tcW w:w="885" w:type="dxa"/>
          </w:tcPr>
          <w:p w14:paraId="6C57ACA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2.7</w:t>
            </w:r>
          </w:p>
        </w:tc>
        <w:tc>
          <w:tcPr>
            <w:tcW w:w="885" w:type="dxa"/>
          </w:tcPr>
          <w:p w14:paraId="7A865E0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0.4</w:t>
            </w:r>
          </w:p>
        </w:tc>
      </w:tr>
      <w:tr w:rsidR="00C2717D" w:rsidRPr="00C2717D" w14:paraId="2500DEAD" w14:textId="77777777" w:rsidTr="00C2717D">
        <w:tc>
          <w:tcPr>
            <w:tcW w:w="1025" w:type="dxa"/>
          </w:tcPr>
          <w:p w14:paraId="2A545433"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002EF34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Steel</w:t>
            </w:r>
          </w:p>
        </w:tc>
        <w:tc>
          <w:tcPr>
            <w:tcW w:w="830" w:type="dxa"/>
          </w:tcPr>
          <w:p w14:paraId="2438DBD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3455AAA8"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1.3</w:t>
            </w:r>
          </w:p>
        </w:tc>
        <w:tc>
          <w:tcPr>
            <w:tcW w:w="885" w:type="dxa"/>
          </w:tcPr>
          <w:p w14:paraId="5580CD1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-2.7</w:t>
            </w:r>
          </w:p>
        </w:tc>
        <w:tc>
          <w:tcPr>
            <w:tcW w:w="885" w:type="dxa"/>
          </w:tcPr>
          <w:p w14:paraId="4947DD7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-1.4</w:t>
            </w:r>
          </w:p>
        </w:tc>
        <w:tc>
          <w:tcPr>
            <w:tcW w:w="885" w:type="dxa"/>
          </w:tcPr>
          <w:p w14:paraId="650710D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-7.2</w:t>
            </w:r>
          </w:p>
        </w:tc>
        <w:tc>
          <w:tcPr>
            <w:tcW w:w="885" w:type="dxa"/>
          </w:tcPr>
          <w:p w14:paraId="5B1DEB4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-5.7</w:t>
            </w:r>
          </w:p>
        </w:tc>
        <w:tc>
          <w:tcPr>
            <w:tcW w:w="885" w:type="dxa"/>
          </w:tcPr>
          <w:p w14:paraId="25D9226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-2.9</w:t>
            </w:r>
          </w:p>
        </w:tc>
        <w:tc>
          <w:tcPr>
            <w:tcW w:w="885" w:type="dxa"/>
          </w:tcPr>
          <w:p w14:paraId="160A5238"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-1.2</w:t>
            </w:r>
          </w:p>
        </w:tc>
      </w:tr>
      <w:tr w:rsidR="00C2717D" w:rsidRPr="00C2717D" w14:paraId="5583B5C8" w14:textId="77777777" w:rsidTr="00C2717D">
        <w:tc>
          <w:tcPr>
            <w:tcW w:w="1025" w:type="dxa"/>
          </w:tcPr>
          <w:p w14:paraId="2D6B4C65"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085E855A"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2D2E8C3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6DC4D3A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-1.3</w:t>
            </w:r>
          </w:p>
        </w:tc>
        <w:tc>
          <w:tcPr>
            <w:tcW w:w="885" w:type="dxa"/>
          </w:tcPr>
          <w:p w14:paraId="32F8425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2.7</w:t>
            </w:r>
          </w:p>
        </w:tc>
        <w:tc>
          <w:tcPr>
            <w:tcW w:w="885" w:type="dxa"/>
          </w:tcPr>
          <w:p w14:paraId="79162F4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1.4</w:t>
            </w:r>
          </w:p>
        </w:tc>
        <w:tc>
          <w:tcPr>
            <w:tcW w:w="885" w:type="dxa"/>
          </w:tcPr>
          <w:p w14:paraId="632022D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7.2</w:t>
            </w:r>
          </w:p>
        </w:tc>
        <w:tc>
          <w:tcPr>
            <w:tcW w:w="885" w:type="dxa"/>
          </w:tcPr>
          <w:p w14:paraId="62E6462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5.7</w:t>
            </w:r>
          </w:p>
        </w:tc>
        <w:tc>
          <w:tcPr>
            <w:tcW w:w="885" w:type="dxa"/>
          </w:tcPr>
          <w:p w14:paraId="371D7BF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2.9</w:t>
            </w:r>
          </w:p>
        </w:tc>
        <w:tc>
          <w:tcPr>
            <w:tcW w:w="885" w:type="dxa"/>
          </w:tcPr>
          <w:p w14:paraId="012A797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1.2</w:t>
            </w:r>
          </w:p>
        </w:tc>
      </w:tr>
      <w:tr w:rsidR="00C2717D" w:rsidRPr="00C2717D" w14:paraId="261AFA90" w14:textId="77777777" w:rsidTr="00C2717D">
        <w:tc>
          <w:tcPr>
            <w:tcW w:w="1025" w:type="dxa"/>
          </w:tcPr>
          <w:p w14:paraId="38E19FC9"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42BBB71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Electricity</w:t>
            </w:r>
          </w:p>
        </w:tc>
        <w:tc>
          <w:tcPr>
            <w:tcW w:w="830" w:type="dxa"/>
          </w:tcPr>
          <w:p w14:paraId="366AC0D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3875FF9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-2.1</w:t>
            </w:r>
          </w:p>
        </w:tc>
        <w:tc>
          <w:tcPr>
            <w:tcW w:w="885" w:type="dxa"/>
          </w:tcPr>
          <w:p w14:paraId="21DBB9E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-1.7</w:t>
            </w:r>
          </w:p>
        </w:tc>
        <w:tc>
          <w:tcPr>
            <w:tcW w:w="885" w:type="dxa"/>
          </w:tcPr>
          <w:p w14:paraId="057859B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-2.3</w:t>
            </w:r>
          </w:p>
        </w:tc>
        <w:tc>
          <w:tcPr>
            <w:tcW w:w="885" w:type="dxa"/>
          </w:tcPr>
          <w:p w14:paraId="7515B5A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-2.0</w:t>
            </w:r>
          </w:p>
        </w:tc>
        <w:tc>
          <w:tcPr>
            <w:tcW w:w="885" w:type="dxa"/>
          </w:tcPr>
          <w:p w14:paraId="5CE716D8"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-0.7</w:t>
            </w:r>
          </w:p>
        </w:tc>
        <w:tc>
          <w:tcPr>
            <w:tcW w:w="885" w:type="dxa"/>
          </w:tcPr>
          <w:p w14:paraId="28643F7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-2.0</w:t>
            </w:r>
          </w:p>
        </w:tc>
        <w:tc>
          <w:tcPr>
            <w:tcW w:w="885" w:type="dxa"/>
          </w:tcPr>
          <w:p w14:paraId="28E2F698"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-6.8</w:t>
            </w:r>
          </w:p>
        </w:tc>
      </w:tr>
      <w:tr w:rsidR="00C2717D" w:rsidRPr="00C2717D" w14:paraId="444B6134" w14:textId="77777777" w:rsidTr="00C2717D">
        <w:tc>
          <w:tcPr>
            <w:tcW w:w="1025" w:type="dxa"/>
          </w:tcPr>
          <w:p w14:paraId="740B3BE1"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6E051135"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537222C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5CADF8C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2.1</w:t>
            </w:r>
          </w:p>
        </w:tc>
        <w:tc>
          <w:tcPr>
            <w:tcW w:w="885" w:type="dxa"/>
          </w:tcPr>
          <w:p w14:paraId="192CB54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1.7</w:t>
            </w:r>
          </w:p>
        </w:tc>
        <w:tc>
          <w:tcPr>
            <w:tcW w:w="885" w:type="dxa"/>
          </w:tcPr>
          <w:p w14:paraId="6332D18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2.3</w:t>
            </w:r>
          </w:p>
        </w:tc>
        <w:tc>
          <w:tcPr>
            <w:tcW w:w="885" w:type="dxa"/>
          </w:tcPr>
          <w:p w14:paraId="2F9D5AD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2.0</w:t>
            </w:r>
          </w:p>
        </w:tc>
        <w:tc>
          <w:tcPr>
            <w:tcW w:w="885" w:type="dxa"/>
          </w:tcPr>
          <w:p w14:paraId="42B2134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0.7</w:t>
            </w:r>
          </w:p>
        </w:tc>
        <w:tc>
          <w:tcPr>
            <w:tcW w:w="885" w:type="dxa"/>
          </w:tcPr>
          <w:p w14:paraId="4499DD8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2.0</w:t>
            </w:r>
          </w:p>
        </w:tc>
        <w:tc>
          <w:tcPr>
            <w:tcW w:w="885" w:type="dxa"/>
          </w:tcPr>
          <w:p w14:paraId="5DD4B5B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6.8</w:t>
            </w:r>
          </w:p>
        </w:tc>
      </w:tr>
      <w:tr w:rsidR="00C2717D" w:rsidRPr="00C2717D" w14:paraId="4AC25FD1" w14:textId="77777777" w:rsidTr="00C2717D">
        <w:tc>
          <w:tcPr>
            <w:tcW w:w="1025" w:type="dxa"/>
          </w:tcPr>
          <w:p w14:paraId="1ADCE52E"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2750CEA9"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6214DEA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55AF259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-3.5</w:t>
            </w:r>
          </w:p>
        </w:tc>
        <w:tc>
          <w:tcPr>
            <w:tcW w:w="885" w:type="dxa"/>
          </w:tcPr>
          <w:p w14:paraId="3B41885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c>
          <w:tcPr>
            <w:tcW w:w="885" w:type="dxa"/>
          </w:tcPr>
          <w:p w14:paraId="5C1848D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c>
          <w:tcPr>
            <w:tcW w:w="885" w:type="dxa"/>
          </w:tcPr>
          <w:p w14:paraId="2AAE8A9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-2.1</w:t>
            </w:r>
          </w:p>
        </w:tc>
        <w:tc>
          <w:tcPr>
            <w:tcW w:w="885" w:type="dxa"/>
          </w:tcPr>
          <w:p w14:paraId="0508793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c>
          <w:tcPr>
            <w:tcW w:w="885" w:type="dxa"/>
          </w:tcPr>
          <w:p w14:paraId="311ECDB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c>
          <w:tcPr>
            <w:tcW w:w="885" w:type="dxa"/>
          </w:tcPr>
          <w:p w14:paraId="05C752D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-6.1</w:t>
            </w:r>
          </w:p>
        </w:tc>
      </w:tr>
      <w:tr w:rsidR="00C2717D" w:rsidRPr="00C2717D" w14:paraId="609E81B8" w14:textId="77777777" w:rsidTr="00C2717D">
        <w:tc>
          <w:tcPr>
            <w:tcW w:w="1025" w:type="dxa"/>
            <w:tcBorders>
              <w:bottom w:val="single" w:sz="4" w:space="0" w:color="auto"/>
            </w:tcBorders>
          </w:tcPr>
          <w:p w14:paraId="1DE2C0FA" w14:textId="77777777" w:rsidR="00C2717D" w:rsidRPr="00C2717D" w:rsidRDefault="00C2717D" w:rsidP="004F2BB1">
            <w:pPr>
              <w:rPr>
                <w:rFonts w:ascii="Times New Roman" w:eastAsia="DengXian" w:hAnsi="Times New Roman" w:cs="Times New Roman"/>
                <w:sz w:val="16"/>
                <w:szCs w:val="16"/>
                <w:lang w:val="en-US"/>
              </w:rPr>
            </w:pPr>
          </w:p>
        </w:tc>
        <w:tc>
          <w:tcPr>
            <w:tcW w:w="960" w:type="dxa"/>
            <w:tcBorders>
              <w:bottom w:val="single" w:sz="4" w:space="0" w:color="auto"/>
            </w:tcBorders>
          </w:tcPr>
          <w:p w14:paraId="1F11E77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Diesel Fuel</w:t>
            </w:r>
          </w:p>
        </w:tc>
        <w:tc>
          <w:tcPr>
            <w:tcW w:w="830" w:type="dxa"/>
            <w:tcBorders>
              <w:bottom w:val="single" w:sz="4" w:space="0" w:color="auto"/>
            </w:tcBorders>
          </w:tcPr>
          <w:p w14:paraId="0CE8FC3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Borders>
              <w:bottom w:val="single" w:sz="4" w:space="0" w:color="auto"/>
            </w:tcBorders>
          </w:tcPr>
          <w:p w14:paraId="611FE6B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3.5</w:t>
            </w:r>
          </w:p>
        </w:tc>
        <w:tc>
          <w:tcPr>
            <w:tcW w:w="885" w:type="dxa"/>
            <w:tcBorders>
              <w:bottom w:val="single" w:sz="4" w:space="0" w:color="auto"/>
            </w:tcBorders>
          </w:tcPr>
          <w:p w14:paraId="1FE2476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c>
          <w:tcPr>
            <w:tcW w:w="885" w:type="dxa"/>
            <w:tcBorders>
              <w:bottom w:val="single" w:sz="4" w:space="0" w:color="auto"/>
            </w:tcBorders>
          </w:tcPr>
          <w:p w14:paraId="46D932B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c>
          <w:tcPr>
            <w:tcW w:w="885" w:type="dxa"/>
            <w:tcBorders>
              <w:bottom w:val="single" w:sz="4" w:space="0" w:color="auto"/>
            </w:tcBorders>
          </w:tcPr>
          <w:p w14:paraId="157BBEE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2.1</w:t>
            </w:r>
          </w:p>
        </w:tc>
        <w:tc>
          <w:tcPr>
            <w:tcW w:w="885" w:type="dxa"/>
            <w:tcBorders>
              <w:bottom w:val="single" w:sz="4" w:space="0" w:color="auto"/>
            </w:tcBorders>
          </w:tcPr>
          <w:p w14:paraId="475823C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c>
          <w:tcPr>
            <w:tcW w:w="885" w:type="dxa"/>
            <w:tcBorders>
              <w:bottom w:val="single" w:sz="4" w:space="0" w:color="auto"/>
            </w:tcBorders>
          </w:tcPr>
          <w:p w14:paraId="1B622E9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c>
          <w:tcPr>
            <w:tcW w:w="885" w:type="dxa"/>
            <w:tcBorders>
              <w:bottom w:val="single" w:sz="4" w:space="0" w:color="auto"/>
            </w:tcBorders>
          </w:tcPr>
          <w:p w14:paraId="20A121E8"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6.1</w:t>
            </w:r>
          </w:p>
        </w:tc>
      </w:tr>
      <w:tr w:rsidR="00C2717D" w:rsidRPr="00C2717D" w14:paraId="0E620D3A" w14:textId="77777777" w:rsidTr="00C2717D">
        <w:tc>
          <w:tcPr>
            <w:tcW w:w="1025" w:type="dxa"/>
            <w:tcBorders>
              <w:top w:val="single" w:sz="4" w:space="0" w:color="auto"/>
              <w:bottom w:val="single" w:sz="4" w:space="0" w:color="auto"/>
            </w:tcBorders>
          </w:tcPr>
          <w:p w14:paraId="3BE351C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5"/>
                <w:szCs w:val="15"/>
                <w:lang w:val="en-US"/>
              </w:rPr>
              <w:t>Thuk Ye Khat 2</w:t>
            </w:r>
          </w:p>
        </w:tc>
        <w:tc>
          <w:tcPr>
            <w:tcW w:w="960" w:type="dxa"/>
            <w:tcBorders>
              <w:top w:val="single" w:sz="4" w:space="0" w:color="auto"/>
              <w:bottom w:val="single" w:sz="4" w:space="0" w:color="auto"/>
            </w:tcBorders>
          </w:tcPr>
          <w:p w14:paraId="1AC50248" w14:textId="77777777" w:rsidR="00C2717D" w:rsidRPr="00C2717D" w:rsidRDefault="00C2717D" w:rsidP="004F2BB1">
            <w:pPr>
              <w:rPr>
                <w:rFonts w:ascii="Times New Roman" w:eastAsia="DengXian" w:hAnsi="Times New Roman" w:cs="Times New Roman"/>
                <w:sz w:val="16"/>
                <w:szCs w:val="16"/>
                <w:lang w:val="en-US"/>
              </w:rPr>
            </w:pPr>
          </w:p>
        </w:tc>
        <w:tc>
          <w:tcPr>
            <w:tcW w:w="830" w:type="dxa"/>
            <w:tcBorders>
              <w:top w:val="single" w:sz="4" w:space="0" w:color="auto"/>
              <w:bottom w:val="single" w:sz="4" w:space="0" w:color="auto"/>
            </w:tcBorders>
          </w:tcPr>
          <w:p w14:paraId="12F54679"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669D39EA"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38C3BB6C"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47F9E9E9"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598F7B04"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706F2D74"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742FB5A5" w14:textId="77777777" w:rsidR="00C2717D" w:rsidRPr="00C2717D" w:rsidRDefault="00C2717D" w:rsidP="004F2BB1">
            <w:pPr>
              <w:rPr>
                <w:rFonts w:ascii="Times New Roman" w:eastAsia="DengXian" w:hAnsi="Times New Roman" w:cs="Times New Roman"/>
                <w:sz w:val="16"/>
                <w:szCs w:val="16"/>
                <w:lang w:val="en-US"/>
              </w:rPr>
            </w:pPr>
          </w:p>
        </w:tc>
        <w:tc>
          <w:tcPr>
            <w:tcW w:w="885" w:type="dxa"/>
            <w:tcBorders>
              <w:top w:val="single" w:sz="4" w:space="0" w:color="auto"/>
              <w:bottom w:val="single" w:sz="4" w:space="0" w:color="auto"/>
            </w:tcBorders>
          </w:tcPr>
          <w:p w14:paraId="65587A8B" w14:textId="77777777" w:rsidR="00C2717D" w:rsidRPr="00C2717D" w:rsidRDefault="00C2717D" w:rsidP="004F2BB1">
            <w:pPr>
              <w:rPr>
                <w:rFonts w:ascii="Times New Roman" w:eastAsia="DengXian" w:hAnsi="Times New Roman" w:cs="Times New Roman"/>
                <w:sz w:val="16"/>
                <w:szCs w:val="16"/>
                <w:lang w:val="en-US"/>
              </w:rPr>
            </w:pPr>
          </w:p>
        </w:tc>
      </w:tr>
      <w:tr w:rsidR="00C2717D" w:rsidRPr="00C2717D" w14:paraId="6E9127BE" w14:textId="77777777" w:rsidTr="00C2717D">
        <w:tc>
          <w:tcPr>
            <w:tcW w:w="1025" w:type="dxa"/>
            <w:tcBorders>
              <w:top w:val="single" w:sz="4" w:space="0" w:color="auto"/>
            </w:tcBorders>
          </w:tcPr>
          <w:p w14:paraId="62A21EAB" w14:textId="77777777" w:rsidR="00C2717D" w:rsidRPr="00C2717D" w:rsidRDefault="00C2717D" w:rsidP="004F2BB1">
            <w:pPr>
              <w:rPr>
                <w:rFonts w:ascii="Times New Roman" w:eastAsia="DengXian" w:hAnsi="Times New Roman" w:cs="Times New Roman"/>
                <w:sz w:val="16"/>
                <w:szCs w:val="16"/>
                <w:lang w:val="en-US"/>
              </w:rPr>
            </w:pPr>
          </w:p>
        </w:tc>
        <w:tc>
          <w:tcPr>
            <w:tcW w:w="960" w:type="dxa"/>
            <w:tcBorders>
              <w:top w:val="single" w:sz="4" w:space="0" w:color="auto"/>
            </w:tcBorders>
          </w:tcPr>
          <w:p w14:paraId="007F7398"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Cement</w:t>
            </w:r>
          </w:p>
        </w:tc>
        <w:tc>
          <w:tcPr>
            <w:tcW w:w="830" w:type="dxa"/>
            <w:tcBorders>
              <w:top w:val="single" w:sz="4" w:space="0" w:color="auto"/>
            </w:tcBorders>
          </w:tcPr>
          <w:p w14:paraId="34825028"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Borders>
              <w:top w:val="single" w:sz="4" w:space="0" w:color="auto"/>
            </w:tcBorders>
          </w:tcPr>
          <w:p w14:paraId="0649E26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-5.1</w:t>
            </w:r>
          </w:p>
        </w:tc>
        <w:tc>
          <w:tcPr>
            <w:tcW w:w="885" w:type="dxa"/>
            <w:tcBorders>
              <w:top w:val="single" w:sz="4" w:space="0" w:color="auto"/>
            </w:tcBorders>
          </w:tcPr>
          <w:p w14:paraId="5B7E6C08"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-3.9</w:t>
            </w:r>
          </w:p>
        </w:tc>
        <w:tc>
          <w:tcPr>
            <w:tcW w:w="885" w:type="dxa"/>
            <w:tcBorders>
              <w:top w:val="single" w:sz="4" w:space="0" w:color="auto"/>
            </w:tcBorders>
          </w:tcPr>
          <w:p w14:paraId="1C03475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-2.9</w:t>
            </w:r>
          </w:p>
        </w:tc>
        <w:tc>
          <w:tcPr>
            <w:tcW w:w="885" w:type="dxa"/>
            <w:tcBorders>
              <w:top w:val="single" w:sz="4" w:space="0" w:color="auto"/>
            </w:tcBorders>
          </w:tcPr>
          <w:p w14:paraId="44D56B7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-0.4</w:t>
            </w:r>
          </w:p>
        </w:tc>
        <w:tc>
          <w:tcPr>
            <w:tcW w:w="885" w:type="dxa"/>
            <w:tcBorders>
              <w:top w:val="single" w:sz="4" w:space="0" w:color="auto"/>
            </w:tcBorders>
          </w:tcPr>
          <w:p w14:paraId="4A8976C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-1.3</w:t>
            </w:r>
          </w:p>
        </w:tc>
        <w:tc>
          <w:tcPr>
            <w:tcW w:w="885" w:type="dxa"/>
            <w:tcBorders>
              <w:top w:val="single" w:sz="4" w:space="0" w:color="auto"/>
            </w:tcBorders>
          </w:tcPr>
          <w:p w14:paraId="169F488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-2.9</w:t>
            </w:r>
          </w:p>
        </w:tc>
        <w:tc>
          <w:tcPr>
            <w:tcW w:w="885" w:type="dxa"/>
            <w:tcBorders>
              <w:top w:val="single" w:sz="4" w:space="0" w:color="auto"/>
            </w:tcBorders>
          </w:tcPr>
          <w:p w14:paraId="77AE236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r>
      <w:tr w:rsidR="00C2717D" w:rsidRPr="00C2717D" w14:paraId="4C4DE80F" w14:textId="77777777" w:rsidTr="00C2717D">
        <w:tc>
          <w:tcPr>
            <w:tcW w:w="1025" w:type="dxa"/>
          </w:tcPr>
          <w:p w14:paraId="51AE91A5"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311636E4"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3C449B6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2F0A785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5.1</w:t>
            </w:r>
          </w:p>
        </w:tc>
        <w:tc>
          <w:tcPr>
            <w:tcW w:w="885" w:type="dxa"/>
          </w:tcPr>
          <w:p w14:paraId="3FB764B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3.9</w:t>
            </w:r>
          </w:p>
        </w:tc>
        <w:tc>
          <w:tcPr>
            <w:tcW w:w="885" w:type="dxa"/>
          </w:tcPr>
          <w:p w14:paraId="79A09D4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2.9</w:t>
            </w:r>
          </w:p>
        </w:tc>
        <w:tc>
          <w:tcPr>
            <w:tcW w:w="885" w:type="dxa"/>
          </w:tcPr>
          <w:p w14:paraId="21BE4E8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0.4</w:t>
            </w:r>
          </w:p>
        </w:tc>
        <w:tc>
          <w:tcPr>
            <w:tcW w:w="885" w:type="dxa"/>
          </w:tcPr>
          <w:p w14:paraId="1CD6C78A"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1.3</w:t>
            </w:r>
          </w:p>
        </w:tc>
        <w:tc>
          <w:tcPr>
            <w:tcW w:w="885" w:type="dxa"/>
          </w:tcPr>
          <w:p w14:paraId="76B1CBB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2.9</w:t>
            </w:r>
          </w:p>
        </w:tc>
        <w:tc>
          <w:tcPr>
            <w:tcW w:w="885" w:type="dxa"/>
          </w:tcPr>
          <w:p w14:paraId="1DE098A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r>
      <w:tr w:rsidR="00C2717D" w:rsidRPr="00C2717D" w14:paraId="19BB44FA" w14:textId="77777777" w:rsidTr="00C2717D">
        <w:tc>
          <w:tcPr>
            <w:tcW w:w="1025" w:type="dxa"/>
          </w:tcPr>
          <w:p w14:paraId="63CC5EAA"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32588A15"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Steel</w:t>
            </w:r>
          </w:p>
        </w:tc>
        <w:tc>
          <w:tcPr>
            <w:tcW w:w="830" w:type="dxa"/>
          </w:tcPr>
          <w:p w14:paraId="09B617C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29BBFAF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-1.3</w:t>
            </w:r>
          </w:p>
        </w:tc>
        <w:tc>
          <w:tcPr>
            <w:tcW w:w="885" w:type="dxa"/>
          </w:tcPr>
          <w:p w14:paraId="2B97103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-2.8</w:t>
            </w:r>
          </w:p>
        </w:tc>
        <w:tc>
          <w:tcPr>
            <w:tcW w:w="885" w:type="dxa"/>
          </w:tcPr>
          <w:p w14:paraId="5D5538C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1.4</w:t>
            </w:r>
          </w:p>
        </w:tc>
        <w:tc>
          <w:tcPr>
            <w:tcW w:w="885" w:type="dxa"/>
          </w:tcPr>
          <w:p w14:paraId="2970631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-6.7</w:t>
            </w:r>
          </w:p>
        </w:tc>
        <w:tc>
          <w:tcPr>
            <w:tcW w:w="885" w:type="dxa"/>
          </w:tcPr>
          <w:p w14:paraId="57955A2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-5.6</w:t>
            </w:r>
          </w:p>
        </w:tc>
        <w:tc>
          <w:tcPr>
            <w:tcW w:w="885" w:type="dxa"/>
          </w:tcPr>
          <w:p w14:paraId="17B0F90B"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-2.8</w:t>
            </w:r>
          </w:p>
        </w:tc>
        <w:tc>
          <w:tcPr>
            <w:tcW w:w="885" w:type="dxa"/>
          </w:tcPr>
          <w:p w14:paraId="7B4ED12A"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r>
      <w:tr w:rsidR="00C2717D" w:rsidRPr="00C2717D" w14:paraId="1232BC46" w14:textId="77777777" w:rsidTr="00C2717D">
        <w:tc>
          <w:tcPr>
            <w:tcW w:w="1025" w:type="dxa"/>
          </w:tcPr>
          <w:p w14:paraId="4051E317"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2081D302"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2F88AB8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292A001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1.3</w:t>
            </w:r>
          </w:p>
        </w:tc>
        <w:tc>
          <w:tcPr>
            <w:tcW w:w="885" w:type="dxa"/>
          </w:tcPr>
          <w:p w14:paraId="4B51365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2.8</w:t>
            </w:r>
          </w:p>
        </w:tc>
        <w:tc>
          <w:tcPr>
            <w:tcW w:w="885" w:type="dxa"/>
          </w:tcPr>
          <w:p w14:paraId="059F4B6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-1.4</w:t>
            </w:r>
          </w:p>
        </w:tc>
        <w:tc>
          <w:tcPr>
            <w:tcW w:w="885" w:type="dxa"/>
          </w:tcPr>
          <w:p w14:paraId="4B1B878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6.7</w:t>
            </w:r>
          </w:p>
        </w:tc>
        <w:tc>
          <w:tcPr>
            <w:tcW w:w="885" w:type="dxa"/>
          </w:tcPr>
          <w:p w14:paraId="7A2C18B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5.6</w:t>
            </w:r>
          </w:p>
        </w:tc>
        <w:tc>
          <w:tcPr>
            <w:tcW w:w="885" w:type="dxa"/>
          </w:tcPr>
          <w:p w14:paraId="08BD254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2.8</w:t>
            </w:r>
          </w:p>
        </w:tc>
        <w:tc>
          <w:tcPr>
            <w:tcW w:w="885" w:type="dxa"/>
          </w:tcPr>
          <w:p w14:paraId="5B4C1E4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r>
      <w:tr w:rsidR="00C2717D" w:rsidRPr="00C2717D" w14:paraId="0116E260" w14:textId="77777777" w:rsidTr="00C2717D">
        <w:tc>
          <w:tcPr>
            <w:tcW w:w="1025" w:type="dxa"/>
          </w:tcPr>
          <w:p w14:paraId="3F6D9688"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6A34B5B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Electricity</w:t>
            </w:r>
          </w:p>
        </w:tc>
        <w:tc>
          <w:tcPr>
            <w:tcW w:w="830" w:type="dxa"/>
          </w:tcPr>
          <w:p w14:paraId="032C5DA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5811117A"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-1.9</w:t>
            </w:r>
          </w:p>
        </w:tc>
        <w:tc>
          <w:tcPr>
            <w:tcW w:w="885" w:type="dxa"/>
          </w:tcPr>
          <w:p w14:paraId="21D8584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-1.9</w:t>
            </w:r>
          </w:p>
        </w:tc>
        <w:tc>
          <w:tcPr>
            <w:tcW w:w="885" w:type="dxa"/>
          </w:tcPr>
          <w:p w14:paraId="03C070C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-2.2</w:t>
            </w:r>
          </w:p>
        </w:tc>
        <w:tc>
          <w:tcPr>
            <w:tcW w:w="885" w:type="dxa"/>
          </w:tcPr>
          <w:p w14:paraId="08B3E80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-2.1</w:t>
            </w:r>
          </w:p>
        </w:tc>
        <w:tc>
          <w:tcPr>
            <w:tcW w:w="885" w:type="dxa"/>
          </w:tcPr>
          <w:p w14:paraId="78D9049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-0.8</w:t>
            </w:r>
          </w:p>
        </w:tc>
        <w:tc>
          <w:tcPr>
            <w:tcW w:w="885" w:type="dxa"/>
          </w:tcPr>
          <w:p w14:paraId="38913F70"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-1.8</w:t>
            </w:r>
          </w:p>
        </w:tc>
        <w:tc>
          <w:tcPr>
            <w:tcW w:w="885" w:type="dxa"/>
          </w:tcPr>
          <w:p w14:paraId="373B82D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-6.6</w:t>
            </w:r>
          </w:p>
        </w:tc>
      </w:tr>
      <w:tr w:rsidR="00C2717D" w:rsidRPr="00C2717D" w14:paraId="1EAA01BC" w14:textId="77777777" w:rsidTr="00C2717D">
        <w:tc>
          <w:tcPr>
            <w:tcW w:w="1025" w:type="dxa"/>
          </w:tcPr>
          <w:p w14:paraId="65F72ACE"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563207F0"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5867651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119E1A9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1.9</w:t>
            </w:r>
          </w:p>
        </w:tc>
        <w:tc>
          <w:tcPr>
            <w:tcW w:w="885" w:type="dxa"/>
          </w:tcPr>
          <w:p w14:paraId="796E062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1.9</w:t>
            </w:r>
          </w:p>
        </w:tc>
        <w:tc>
          <w:tcPr>
            <w:tcW w:w="885" w:type="dxa"/>
          </w:tcPr>
          <w:p w14:paraId="0CEE684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2.2</w:t>
            </w:r>
          </w:p>
        </w:tc>
        <w:tc>
          <w:tcPr>
            <w:tcW w:w="885" w:type="dxa"/>
          </w:tcPr>
          <w:p w14:paraId="31230D23"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2.1</w:t>
            </w:r>
          </w:p>
        </w:tc>
        <w:tc>
          <w:tcPr>
            <w:tcW w:w="885" w:type="dxa"/>
          </w:tcPr>
          <w:p w14:paraId="28BBCB0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0.8</w:t>
            </w:r>
          </w:p>
        </w:tc>
        <w:tc>
          <w:tcPr>
            <w:tcW w:w="885" w:type="dxa"/>
          </w:tcPr>
          <w:p w14:paraId="4768F18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1.8</w:t>
            </w:r>
          </w:p>
        </w:tc>
        <w:tc>
          <w:tcPr>
            <w:tcW w:w="885" w:type="dxa"/>
          </w:tcPr>
          <w:p w14:paraId="2005EEE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6.6</w:t>
            </w:r>
          </w:p>
        </w:tc>
      </w:tr>
      <w:tr w:rsidR="00C2717D" w:rsidRPr="00C2717D" w14:paraId="6C10C719" w14:textId="77777777" w:rsidTr="00C2717D">
        <w:tc>
          <w:tcPr>
            <w:tcW w:w="1025" w:type="dxa"/>
          </w:tcPr>
          <w:p w14:paraId="7B115486"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62E4809A"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Diesel Fuel</w:t>
            </w:r>
          </w:p>
        </w:tc>
        <w:tc>
          <w:tcPr>
            <w:tcW w:w="830" w:type="dxa"/>
          </w:tcPr>
          <w:p w14:paraId="732691BF"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29B24B9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-3.3</w:t>
            </w:r>
          </w:p>
        </w:tc>
        <w:tc>
          <w:tcPr>
            <w:tcW w:w="885" w:type="dxa"/>
          </w:tcPr>
          <w:p w14:paraId="380BB05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c>
          <w:tcPr>
            <w:tcW w:w="885" w:type="dxa"/>
          </w:tcPr>
          <w:p w14:paraId="3379899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c>
          <w:tcPr>
            <w:tcW w:w="885" w:type="dxa"/>
          </w:tcPr>
          <w:p w14:paraId="58A073B2"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-2.2</w:t>
            </w:r>
          </w:p>
        </w:tc>
        <w:tc>
          <w:tcPr>
            <w:tcW w:w="885" w:type="dxa"/>
          </w:tcPr>
          <w:p w14:paraId="1E83479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c>
          <w:tcPr>
            <w:tcW w:w="885" w:type="dxa"/>
          </w:tcPr>
          <w:p w14:paraId="2D5E09C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-0.7</w:t>
            </w:r>
          </w:p>
        </w:tc>
        <w:tc>
          <w:tcPr>
            <w:tcW w:w="885" w:type="dxa"/>
          </w:tcPr>
          <w:p w14:paraId="0BA8F6CD"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-6.2</w:t>
            </w:r>
          </w:p>
        </w:tc>
      </w:tr>
      <w:tr w:rsidR="00C2717D" w:rsidRPr="00C2717D" w14:paraId="4AF921C9" w14:textId="77777777" w:rsidTr="00C2717D">
        <w:tc>
          <w:tcPr>
            <w:tcW w:w="1025" w:type="dxa"/>
          </w:tcPr>
          <w:p w14:paraId="5AB305DD" w14:textId="77777777" w:rsidR="00C2717D" w:rsidRPr="00C2717D" w:rsidRDefault="00C2717D" w:rsidP="004F2BB1">
            <w:pPr>
              <w:rPr>
                <w:rFonts w:ascii="Times New Roman" w:eastAsia="DengXian" w:hAnsi="Times New Roman" w:cs="Times New Roman"/>
                <w:sz w:val="16"/>
                <w:szCs w:val="16"/>
                <w:lang w:val="en-US"/>
              </w:rPr>
            </w:pPr>
          </w:p>
        </w:tc>
        <w:tc>
          <w:tcPr>
            <w:tcW w:w="960" w:type="dxa"/>
          </w:tcPr>
          <w:p w14:paraId="20F4CBD3" w14:textId="77777777" w:rsidR="00C2717D" w:rsidRPr="00C2717D" w:rsidRDefault="00C2717D" w:rsidP="004F2BB1">
            <w:pPr>
              <w:rPr>
                <w:rFonts w:ascii="Times New Roman" w:eastAsia="DengXian" w:hAnsi="Times New Roman" w:cs="Times New Roman"/>
                <w:sz w:val="16"/>
                <w:szCs w:val="16"/>
                <w:lang w:val="en-US"/>
              </w:rPr>
            </w:pPr>
          </w:p>
        </w:tc>
        <w:tc>
          <w:tcPr>
            <w:tcW w:w="830" w:type="dxa"/>
          </w:tcPr>
          <w:p w14:paraId="6A3C1DA4"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+10</w:t>
            </w:r>
          </w:p>
        </w:tc>
        <w:tc>
          <w:tcPr>
            <w:tcW w:w="885" w:type="dxa"/>
          </w:tcPr>
          <w:p w14:paraId="1F49FB11"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3.3</w:t>
            </w:r>
          </w:p>
        </w:tc>
        <w:tc>
          <w:tcPr>
            <w:tcW w:w="885" w:type="dxa"/>
          </w:tcPr>
          <w:p w14:paraId="74317086"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c>
          <w:tcPr>
            <w:tcW w:w="885" w:type="dxa"/>
          </w:tcPr>
          <w:p w14:paraId="27B6AB1C"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1.1</w:t>
            </w:r>
          </w:p>
        </w:tc>
        <w:tc>
          <w:tcPr>
            <w:tcW w:w="885" w:type="dxa"/>
          </w:tcPr>
          <w:p w14:paraId="25CF105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-2.2</w:t>
            </w:r>
          </w:p>
        </w:tc>
        <w:tc>
          <w:tcPr>
            <w:tcW w:w="885" w:type="dxa"/>
          </w:tcPr>
          <w:p w14:paraId="13B291CE"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0.9</w:t>
            </w:r>
          </w:p>
        </w:tc>
        <w:tc>
          <w:tcPr>
            <w:tcW w:w="885" w:type="dxa"/>
          </w:tcPr>
          <w:p w14:paraId="44904827"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0.7</w:t>
            </w:r>
          </w:p>
        </w:tc>
        <w:tc>
          <w:tcPr>
            <w:tcW w:w="885" w:type="dxa"/>
          </w:tcPr>
          <w:p w14:paraId="6E2CE279" w14:textId="77777777" w:rsidR="00C2717D" w:rsidRPr="00C2717D" w:rsidRDefault="00C2717D" w:rsidP="004F2BB1">
            <w:pPr>
              <w:rPr>
                <w:rFonts w:ascii="Times New Roman" w:eastAsia="DengXian" w:hAnsi="Times New Roman" w:cs="Times New Roman"/>
                <w:sz w:val="16"/>
                <w:szCs w:val="16"/>
                <w:lang w:val="en-US"/>
              </w:rPr>
            </w:pPr>
            <w:r w:rsidRPr="00C2717D">
              <w:rPr>
                <w:rFonts w:ascii="Times New Roman" w:eastAsia="DengXian" w:hAnsi="Times New Roman" w:cs="Times New Roman"/>
                <w:sz w:val="16"/>
                <w:szCs w:val="16"/>
                <w:lang w:val="en-US"/>
              </w:rPr>
              <w:t>6.2</w:t>
            </w:r>
          </w:p>
        </w:tc>
      </w:tr>
    </w:tbl>
    <w:p w14:paraId="5291F02A" w14:textId="7B7E9F90" w:rsidR="00E47ED5" w:rsidRPr="00854487" w:rsidRDefault="00854487" w:rsidP="004F2BB1">
      <w:pPr>
        <w:spacing w:line="240" w:lineRule="auto"/>
        <w:rPr>
          <w:rFonts w:ascii="Times New Roman" w:hAnsi="Times New Roman" w:cs="Times New Roman"/>
          <w:sz w:val="16"/>
          <w:szCs w:val="16"/>
        </w:rPr>
      </w:pPr>
      <w:r w:rsidRPr="00854487">
        <w:rPr>
          <w:rFonts w:ascii="Times New Roman" w:hAnsi="Times New Roman" w:cs="Times New Roman"/>
          <w:sz w:val="16"/>
          <w:szCs w:val="16"/>
        </w:rPr>
        <w:t xml:space="preserve">Table </w:t>
      </w:r>
      <w:r w:rsidR="00D651AF">
        <w:rPr>
          <w:rFonts w:ascii="Times New Roman" w:hAnsi="Times New Roman" w:cs="Times New Roman"/>
          <w:sz w:val="16"/>
          <w:szCs w:val="16"/>
        </w:rPr>
        <w:t>7</w:t>
      </w:r>
      <w:r w:rsidRPr="00854487">
        <w:rPr>
          <w:rFonts w:ascii="Times New Roman" w:hAnsi="Times New Roman" w:cs="Times New Roman"/>
          <w:sz w:val="16"/>
          <w:szCs w:val="16"/>
        </w:rPr>
        <w:t>: Sensitivity analysis result</w:t>
      </w:r>
    </w:p>
    <w:p w14:paraId="43B7546C" w14:textId="3D4F3405" w:rsidR="000C3D1F" w:rsidRDefault="000C3D1F" w:rsidP="004F2BB1">
      <w:pPr>
        <w:spacing w:line="240" w:lineRule="auto"/>
        <w:rPr>
          <w:rFonts w:ascii="Times New Roman" w:hAnsi="Times New Roman" w:cs="Times New Roman"/>
          <w:sz w:val="24"/>
          <w:szCs w:val="24"/>
        </w:rPr>
      </w:pPr>
      <w:r>
        <w:rPr>
          <w:rFonts w:ascii="Times New Roman" w:hAnsi="Times New Roman" w:cs="Times New Roman"/>
          <w:sz w:val="24"/>
          <w:szCs w:val="24"/>
        </w:rPr>
        <w:t>Conclusion</w:t>
      </w:r>
      <w:r w:rsidR="006F4C11">
        <w:rPr>
          <w:rFonts w:ascii="Times New Roman" w:hAnsi="Times New Roman" w:cs="Times New Roman"/>
          <w:sz w:val="24"/>
          <w:szCs w:val="24"/>
        </w:rPr>
        <w:t>s</w:t>
      </w:r>
      <w:r>
        <w:rPr>
          <w:rFonts w:ascii="Times New Roman" w:hAnsi="Times New Roman" w:cs="Times New Roman"/>
          <w:sz w:val="24"/>
          <w:szCs w:val="24"/>
        </w:rPr>
        <w:t xml:space="preserve"> </w:t>
      </w:r>
    </w:p>
    <w:p w14:paraId="44B26C0B" w14:textId="4B62A948" w:rsidR="000F1A37" w:rsidRDefault="000F1A37" w:rsidP="00D63049">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There is a wide-spread </w:t>
      </w:r>
      <w:r w:rsidR="004B7C0D">
        <w:rPr>
          <w:rFonts w:ascii="Times New Roman" w:hAnsi="Times New Roman" w:cs="Times New Roman"/>
          <w:sz w:val="24"/>
          <w:szCs w:val="24"/>
        </w:rPr>
        <w:t xml:space="preserve">believe </w:t>
      </w:r>
      <w:r>
        <w:rPr>
          <w:rFonts w:ascii="Times New Roman" w:hAnsi="Times New Roman" w:cs="Times New Roman"/>
          <w:sz w:val="24"/>
          <w:szCs w:val="24"/>
        </w:rPr>
        <w:t xml:space="preserve">that smaller dams are </w:t>
      </w:r>
      <w:r w:rsidR="00BE210F">
        <w:rPr>
          <w:rFonts w:ascii="Times New Roman" w:hAnsi="Times New Roman" w:cs="Times New Roman"/>
          <w:sz w:val="24"/>
          <w:szCs w:val="24"/>
        </w:rPr>
        <w:t xml:space="preserve">more </w:t>
      </w:r>
      <w:r>
        <w:rPr>
          <w:rFonts w:ascii="Times New Roman" w:hAnsi="Times New Roman" w:cs="Times New Roman"/>
          <w:sz w:val="24"/>
          <w:szCs w:val="24"/>
        </w:rPr>
        <w:t>environmentally friendl</w:t>
      </w:r>
      <w:r w:rsidR="00BE210F">
        <w:rPr>
          <w:rFonts w:ascii="Times New Roman" w:hAnsi="Times New Roman" w:cs="Times New Roman"/>
          <w:sz w:val="24"/>
          <w:szCs w:val="24"/>
        </w:rPr>
        <w:t>y</w:t>
      </w:r>
      <w:r>
        <w:rPr>
          <w:rFonts w:ascii="Times New Roman" w:hAnsi="Times New Roman" w:cs="Times New Roman"/>
          <w:sz w:val="24"/>
          <w:szCs w:val="24"/>
        </w:rPr>
        <w:t xml:space="preserve"> than larger </w:t>
      </w:r>
      <w:r w:rsidR="00BE210F">
        <w:rPr>
          <w:rFonts w:ascii="Times New Roman" w:hAnsi="Times New Roman" w:cs="Times New Roman"/>
          <w:sz w:val="24"/>
          <w:szCs w:val="24"/>
        </w:rPr>
        <w:t>dams</w:t>
      </w:r>
      <w:r>
        <w:rPr>
          <w:rFonts w:ascii="Times New Roman" w:hAnsi="Times New Roman" w:cs="Times New Roman"/>
          <w:sz w:val="24"/>
          <w:szCs w:val="24"/>
        </w:rPr>
        <w:t xml:space="preserve">. As a consequence, many countries are encouraging </w:t>
      </w:r>
      <w:r w:rsidR="004B7C0D">
        <w:rPr>
          <w:rFonts w:ascii="Times New Roman" w:hAnsi="Times New Roman" w:cs="Times New Roman"/>
          <w:sz w:val="24"/>
          <w:szCs w:val="24"/>
        </w:rPr>
        <w:t xml:space="preserve">construction of </w:t>
      </w:r>
      <w:r>
        <w:rPr>
          <w:rFonts w:ascii="Times New Roman" w:hAnsi="Times New Roman" w:cs="Times New Roman"/>
          <w:sz w:val="24"/>
          <w:szCs w:val="24"/>
        </w:rPr>
        <w:t xml:space="preserve">small hydropower plants with </w:t>
      </w:r>
      <w:r w:rsidR="004B7C0D">
        <w:rPr>
          <w:rFonts w:ascii="Times New Roman" w:hAnsi="Times New Roman" w:cs="Times New Roman"/>
          <w:sz w:val="24"/>
          <w:szCs w:val="24"/>
        </w:rPr>
        <w:t xml:space="preserve">less strict </w:t>
      </w:r>
      <w:r>
        <w:rPr>
          <w:rFonts w:ascii="Times New Roman" w:hAnsi="Times New Roman" w:cs="Times New Roman"/>
          <w:sz w:val="24"/>
          <w:szCs w:val="24"/>
        </w:rPr>
        <w:t xml:space="preserve">planning and regulatory oversight compared </w:t>
      </w:r>
      <w:r w:rsidR="004B7C0D">
        <w:rPr>
          <w:rFonts w:ascii="Times New Roman" w:hAnsi="Times New Roman" w:cs="Times New Roman"/>
          <w:sz w:val="24"/>
          <w:szCs w:val="24"/>
        </w:rPr>
        <w:t xml:space="preserve">with </w:t>
      </w:r>
      <w:r>
        <w:rPr>
          <w:rFonts w:ascii="Times New Roman" w:hAnsi="Times New Roman" w:cs="Times New Roman"/>
          <w:sz w:val="24"/>
          <w:szCs w:val="24"/>
        </w:rPr>
        <w:t>larger projects. However, smaller dams can pose a greater threat to ecosystems and natural landscapes</w:t>
      </w:r>
      <w:r w:rsidR="00BE210F">
        <w:rPr>
          <w:rFonts w:ascii="Times New Roman" w:hAnsi="Times New Roman" w:cs="Times New Roman"/>
          <w:sz w:val="24"/>
          <w:szCs w:val="24"/>
        </w:rPr>
        <w:t>, in particular when considered cumulatively</w:t>
      </w:r>
      <w:r>
        <w:rPr>
          <w:rFonts w:ascii="Times New Roman" w:hAnsi="Times New Roman" w:cs="Times New Roman"/>
          <w:sz w:val="24"/>
          <w:szCs w:val="24"/>
        </w:rPr>
        <w:t xml:space="preserve">. Our study on Myanmar confirms </w:t>
      </w:r>
      <w:r w:rsidR="004B7C0D">
        <w:rPr>
          <w:rFonts w:ascii="Times New Roman" w:hAnsi="Times New Roman" w:cs="Times New Roman"/>
          <w:sz w:val="24"/>
          <w:szCs w:val="24"/>
        </w:rPr>
        <w:t xml:space="preserve">this </w:t>
      </w:r>
      <w:r>
        <w:rPr>
          <w:rFonts w:ascii="Times New Roman" w:hAnsi="Times New Roman" w:cs="Times New Roman"/>
          <w:sz w:val="24"/>
          <w:szCs w:val="24"/>
        </w:rPr>
        <w:t>(See Fig.</w:t>
      </w:r>
      <w:r w:rsidR="007D4352">
        <w:rPr>
          <w:rFonts w:ascii="Times New Roman" w:hAnsi="Times New Roman" w:cs="Times New Roman"/>
          <w:sz w:val="24"/>
          <w:szCs w:val="24"/>
        </w:rPr>
        <w:t>5</w:t>
      </w:r>
      <w:r>
        <w:rPr>
          <w:rFonts w:ascii="Times New Roman" w:hAnsi="Times New Roman" w:cs="Times New Roman"/>
          <w:sz w:val="24"/>
          <w:szCs w:val="24"/>
        </w:rPr>
        <w:t xml:space="preserve">). A full </w:t>
      </w:r>
      <w:r w:rsidR="004B7C0D">
        <w:rPr>
          <w:rFonts w:ascii="Times New Roman" w:hAnsi="Times New Roman" w:cs="Times New Roman"/>
          <w:sz w:val="24"/>
          <w:szCs w:val="24"/>
        </w:rPr>
        <w:t xml:space="preserve">LCA </w:t>
      </w:r>
      <w:r>
        <w:rPr>
          <w:rFonts w:ascii="Times New Roman" w:hAnsi="Times New Roman" w:cs="Times New Roman"/>
          <w:sz w:val="24"/>
          <w:szCs w:val="24"/>
        </w:rPr>
        <w:t xml:space="preserve">of environmental impacts of hydropower dams in Myanmar was conducted. In this context, </w:t>
      </w:r>
      <w:r w:rsidRPr="00380325">
        <w:rPr>
          <w:rFonts w:ascii="Times New Roman" w:hAnsi="Times New Roman" w:cs="Times New Roman"/>
          <w:sz w:val="24"/>
          <w:szCs w:val="24"/>
        </w:rPr>
        <w:t xml:space="preserve">the first-ever life-cycle inventory (LCI) data representative </w:t>
      </w:r>
      <w:r>
        <w:rPr>
          <w:rFonts w:ascii="Times New Roman" w:hAnsi="Times New Roman" w:cs="Times New Roman"/>
          <w:sz w:val="24"/>
          <w:szCs w:val="24"/>
        </w:rPr>
        <w:t xml:space="preserve">was developed for </w:t>
      </w:r>
      <w:r w:rsidRPr="00380325">
        <w:rPr>
          <w:rFonts w:ascii="Times New Roman" w:hAnsi="Times New Roman" w:cs="Times New Roman"/>
          <w:sz w:val="24"/>
          <w:szCs w:val="24"/>
        </w:rPr>
        <w:t xml:space="preserve">Myanmar. The results of </w:t>
      </w:r>
      <w:r>
        <w:rPr>
          <w:rFonts w:ascii="Times New Roman" w:hAnsi="Times New Roman" w:cs="Times New Roman"/>
          <w:sz w:val="24"/>
          <w:szCs w:val="24"/>
        </w:rPr>
        <w:t xml:space="preserve">our </w:t>
      </w:r>
      <w:r w:rsidRPr="00380325">
        <w:rPr>
          <w:rFonts w:ascii="Times New Roman" w:hAnsi="Times New Roman" w:cs="Times New Roman"/>
          <w:sz w:val="24"/>
          <w:szCs w:val="24"/>
        </w:rPr>
        <w:t xml:space="preserve">analysis suggest that there are substantial differences in </w:t>
      </w:r>
      <w:r>
        <w:rPr>
          <w:rFonts w:ascii="Times New Roman" w:hAnsi="Times New Roman" w:cs="Times New Roman"/>
          <w:sz w:val="24"/>
          <w:szCs w:val="24"/>
        </w:rPr>
        <w:t xml:space="preserve">the intensity of </w:t>
      </w:r>
      <w:r w:rsidRPr="00380325">
        <w:rPr>
          <w:rFonts w:ascii="Times New Roman" w:hAnsi="Times New Roman" w:cs="Times New Roman"/>
          <w:sz w:val="24"/>
          <w:szCs w:val="24"/>
        </w:rPr>
        <w:t>environmental impacts</w:t>
      </w:r>
      <w:r w:rsidR="004B7C0D">
        <w:rPr>
          <w:rFonts w:ascii="Times New Roman" w:hAnsi="Times New Roman" w:cs="Times New Roman"/>
          <w:sz w:val="24"/>
          <w:szCs w:val="24"/>
        </w:rPr>
        <w:t>,</w:t>
      </w:r>
      <w:r w:rsidRPr="00380325">
        <w:rPr>
          <w:rFonts w:ascii="Times New Roman" w:hAnsi="Times New Roman" w:cs="Times New Roman"/>
          <w:sz w:val="24"/>
          <w:szCs w:val="24"/>
        </w:rPr>
        <w:t xml:space="preserve"> </w:t>
      </w:r>
      <w:r>
        <w:rPr>
          <w:rFonts w:ascii="Times New Roman" w:hAnsi="Times New Roman" w:cs="Times New Roman"/>
          <w:sz w:val="24"/>
          <w:szCs w:val="24"/>
        </w:rPr>
        <w:t>depending on the</w:t>
      </w:r>
      <w:r w:rsidRPr="00380325">
        <w:rPr>
          <w:rFonts w:ascii="Times New Roman" w:hAnsi="Times New Roman" w:cs="Times New Roman"/>
          <w:sz w:val="24"/>
          <w:szCs w:val="24"/>
        </w:rPr>
        <w:t xml:space="preserve"> size and installed capacity of the </w:t>
      </w:r>
      <w:r>
        <w:rPr>
          <w:rFonts w:ascii="Times New Roman" w:hAnsi="Times New Roman" w:cs="Times New Roman"/>
          <w:sz w:val="24"/>
          <w:szCs w:val="24"/>
        </w:rPr>
        <w:t>plants</w:t>
      </w:r>
      <w:r w:rsidRPr="00380325">
        <w:rPr>
          <w:rFonts w:ascii="Times New Roman" w:hAnsi="Times New Roman" w:cs="Times New Roman"/>
          <w:sz w:val="24"/>
          <w:szCs w:val="24"/>
        </w:rPr>
        <w:t xml:space="preserve">. </w:t>
      </w:r>
      <w:r>
        <w:rPr>
          <w:rFonts w:ascii="Times New Roman" w:hAnsi="Times New Roman" w:cs="Times New Roman"/>
          <w:sz w:val="24"/>
          <w:szCs w:val="24"/>
        </w:rPr>
        <w:t>A</w:t>
      </w:r>
      <w:r w:rsidRPr="00380325">
        <w:rPr>
          <w:rFonts w:ascii="Times New Roman" w:hAnsi="Times New Roman" w:cs="Times New Roman"/>
          <w:sz w:val="24"/>
          <w:szCs w:val="24"/>
        </w:rPr>
        <w:t xml:space="preserve">lthough all powerplants </w:t>
      </w:r>
      <w:r>
        <w:rPr>
          <w:rFonts w:ascii="Times New Roman" w:hAnsi="Times New Roman" w:cs="Times New Roman"/>
          <w:sz w:val="24"/>
          <w:szCs w:val="24"/>
        </w:rPr>
        <w:t xml:space="preserve">covered </w:t>
      </w:r>
      <w:r w:rsidRPr="00380325">
        <w:rPr>
          <w:rFonts w:ascii="Times New Roman" w:hAnsi="Times New Roman" w:cs="Times New Roman"/>
          <w:sz w:val="24"/>
          <w:szCs w:val="24"/>
        </w:rPr>
        <w:t>are large-scale, the power plants with above 500</w:t>
      </w:r>
      <w:r w:rsidR="008974EE">
        <w:rPr>
          <w:rFonts w:ascii="Times New Roman" w:hAnsi="Times New Roman" w:cs="Times New Roman"/>
          <w:sz w:val="24"/>
          <w:szCs w:val="24"/>
        </w:rPr>
        <w:t>MW</w:t>
      </w:r>
      <w:r w:rsidRPr="00380325">
        <w:rPr>
          <w:rFonts w:ascii="Times New Roman" w:hAnsi="Times New Roman" w:cs="Times New Roman"/>
          <w:sz w:val="24"/>
          <w:szCs w:val="24"/>
        </w:rPr>
        <w:t xml:space="preserve"> installed capacity perform environmentally better than those with between 300-100</w:t>
      </w:r>
      <w:r w:rsidR="008974EE">
        <w:rPr>
          <w:rFonts w:ascii="Times New Roman" w:hAnsi="Times New Roman" w:cs="Times New Roman"/>
          <w:sz w:val="24"/>
          <w:szCs w:val="24"/>
        </w:rPr>
        <w:t>MW</w:t>
      </w:r>
      <w:r w:rsidRPr="00380325">
        <w:rPr>
          <w:rFonts w:ascii="Times New Roman" w:hAnsi="Times New Roman" w:cs="Times New Roman"/>
          <w:sz w:val="24"/>
          <w:szCs w:val="24"/>
        </w:rPr>
        <w:t xml:space="preserve"> installed capacity.</w:t>
      </w:r>
      <w:r>
        <w:rPr>
          <w:rFonts w:ascii="Times New Roman" w:hAnsi="Times New Roman" w:cs="Times New Roman"/>
          <w:sz w:val="24"/>
          <w:szCs w:val="24"/>
        </w:rPr>
        <w:t xml:space="preserve"> Impact intensities from previous reports are similar </w:t>
      </w:r>
      <w:r w:rsidR="004B7C0D">
        <w:rPr>
          <w:rFonts w:ascii="Times New Roman" w:hAnsi="Times New Roman" w:cs="Times New Roman"/>
          <w:sz w:val="24"/>
          <w:szCs w:val="24"/>
        </w:rPr>
        <w:t xml:space="preserve">in </w:t>
      </w:r>
      <w:r>
        <w:rPr>
          <w:rFonts w:ascii="Times New Roman" w:hAnsi="Times New Roman" w:cs="Times New Roman"/>
          <w:sz w:val="24"/>
          <w:szCs w:val="24"/>
        </w:rPr>
        <w:t xml:space="preserve">magnitude </w:t>
      </w:r>
      <w:r w:rsidR="004B7C0D">
        <w:rPr>
          <w:rFonts w:ascii="Times New Roman" w:hAnsi="Times New Roman" w:cs="Times New Roman"/>
          <w:sz w:val="24"/>
          <w:szCs w:val="24"/>
        </w:rPr>
        <w:t>to the findings for Myanmar</w:t>
      </w:r>
      <w:r>
        <w:rPr>
          <w:rFonts w:ascii="Times New Roman" w:hAnsi="Times New Roman" w:cs="Times New Roman"/>
          <w:sz w:val="24"/>
          <w:szCs w:val="24"/>
        </w:rPr>
        <w:t xml:space="preserve">. </w:t>
      </w:r>
      <w:r w:rsidRPr="00380325">
        <w:rPr>
          <w:rFonts w:ascii="Times New Roman" w:hAnsi="Times New Roman" w:cs="Times New Roman"/>
          <w:sz w:val="24"/>
          <w:szCs w:val="24"/>
        </w:rPr>
        <w:t xml:space="preserve"> </w:t>
      </w:r>
    </w:p>
    <w:p w14:paraId="0BE7B6E5" w14:textId="497ECF61" w:rsidR="000F1A37" w:rsidRDefault="000F1A37" w:rsidP="00D63049">
      <w:pPr>
        <w:spacing w:line="240" w:lineRule="auto"/>
        <w:ind w:firstLine="720"/>
        <w:rPr>
          <w:rFonts w:ascii="Times New Roman" w:hAnsi="Times New Roman" w:cs="Times New Roman"/>
          <w:sz w:val="24"/>
          <w:szCs w:val="24"/>
        </w:rPr>
      </w:pPr>
      <w:r w:rsidRPr="00380325">
        <w:rPr>
          <w:rFonts w:ascii="Times New Roman" w:hAnsi="Times New Roman" w:cs="Times New Roman"/>
          <w:sz w:val="24"/>
          <w:szCs w:val="24"/>
        </w:rPr>
        <w:t xml:space="preserve">It </w:t>
      </w:r>
      <w:r>
        <w:rPr>
          <w:rFonts w:ascii="Times New Roman" w:hAnsi="Times New Roman" w:cs="Times New Roman"/>
          <w:sz w:val="24"/>
          <w:szCs w:val="24"/>
        </w:rPr>
        <w:t xml:space="preserve">was </w:t>
      </w:r>
      <w:r w:rsidRPr="00380325">
        <w:rPr>
          <w:rFonts w:ascii="Times New Roman" w:hAnsi="Times New Roman" w:cs="Times New Roman"/>
          <w:sz w:val="24"/>
          <w:szCs w:val="24"/>
        </w:rPr>
        <w:t>demonstrated that construction and transportation phase</w:t>
      </w:r>
      <w:r>
        <w:rPr>
          <w:rFonts w:ascii="Times New Roman" w:hAnsi="Times New Roman" w:cs="Times New Roman"/>
          <w:sz w:val="24"/>
          <w:szCs w:val="24"/>
        </w:rPr>
        <w:t>s</w:t>
      </w:r>
      <w:r w:rsidRPr="00380325">
        <w:rPr>
          <w:rFonts w:ascii="Times New Roman" w:hAnsi="Times New Roman" w:cs="Times New Roman"/>
          <w:sz w:val="24"/>
          <w:szCs w:val="24"/>
        </w:rPr>
        <w:t xml:space="preserve"> of hydropower plants are the major contributors to environmental pressures associated with hydropower electricity generation in Myanmar. While large volume</w:t>
      </w:r>
      <w:r>
        <w:rPr>
          <w:rFonts w:ascii="Times New Roman" w:hAnsi="Times New Roman" w:cs="Times New Roman"/>
          <w:sz w:val="24"/>
          <w:szCs w:val="24"/>
        </w:rPr>
        <w:t>s</w:t>
      </w:r>
      <w:r w:rsidRPr="00380325">
        <w:rPr>
          <w:rFonts w:ascii="Times New Roman" w:hAnsi="Times New Roman" w:cs="Times New Roman"/>
          <w:sz w:val="24"/>
          <w:szCs w:val="24"/>
        </w:rPr>
        <w:t xml:space="preserve"> of material and energy requirement</w:t>
      </w:r>
      <w:r>
        <w:rPr>
          <w:rFonts w:ascii="Times New Roman" w:hAnsi="Times New Roman" w:cs="Times New Roman"/>
          <w:sz w:val="24"/>
          <w:szCs w:val="24"/>
        </w:rPr>
        <w:t>s</w:t>
      </w:r>
      <w:r w:rsidRPr="00380325">
        <w:rPr>
          <w:rFonts w:ascii="Times New Roman" w:hAnsi="Times New Roman" w:cs="Times New Roman"/>
          <w:sz w:val="24"/>
          <w:szCs w:val="24"/>
        </w:rPr>
        <w:t xml:space="preserve"> in the construction phase </w:t>
      </w:r>
      <w:r>
        <w:rPr>
          <w:rFonts w:ascii="Times New Roman" w:hAnsi="Times New Roman" w:cs="Times New Roman"/>
          <w:sz w:val="24"/>
          <w:szCs w:val="24"/>
        </w:rPr>
        <w:t xml:space="preserve">are </w:t>
      </w:r>
      <w:r w:rsidRPr="00380325">
        <w:rPr>
          <w:rFonts w:ascii="Times New Roman" w:hAnsi="Times New Roman" w:cs="Times New Roman"/>
          <w:sz w:val="24"/>
          <w:szCs w:val="24"/>
        </w:rPr>
        <w:t>the leading cause of environmental burden, the remoteness of the hydropower plants in Myanmar is a crucial factor</w:t>
      </w:r>
      <w:r w:rsidR="004B7C0D">
        <w:rPr>
          <w:rFonts w:ascii="Times New Roman" w:hAnsi="Times New Roman" w:cs="Times New Roman"/>
          <w:sz w:val="24"/>
          <w:szCs w:val="24"/>
        </w:rPr>
        <w:t>,</w:t>
      </w:r>
      <w:r w:rsidRPr="00380325">
        <w:rPr>
          <w:rFonts w:ascii="Times New Roman" w:hAnsi="Times New Roman" w:cs="Times New Roman"/>
          <w:sz w:val="24"/>
          <w:szCs w:val="24"/>
        </w:rPr>
        <w:t xml:space="preserve"> contributing</w:t>
      </w:r>
      <w:r>
        <w:rPr>
          <w:rFonts w:ascii="Times New Roman" w:hAnsi="Times New Roman" w:cs="Times New Roman"/>
          <w:sz w:val="24"/>
          <w:szCs w:val="24"/>
        </w:rPr>
        <w:t xml:space="preserve"> to</w:t>
      </w:r>
      <w:r w:rsidRPr="00380325">
        <w:rPr>
          <w:rFonts w:ascii="Times New Roman" w:hAnsi="Times New Roman" w:cs="Times New Roman"/>
          <w:sz w:val="24"/>
          <w:szCs w:val="24"/>
        </w:rPr>
        <w:t xml:space="preserve"> environmental costs resulting from fossil-fuel consumption and combustion. Improving local production capacity for materials and equipment will significantly reduce the environmental impacts of the transportation sector. While larger-scale projects are environmentally more desirable, Myanmar needs to focus on responsible development of hydropower plants, especially those with foreign investment.</w:t>
      </w:r>
    </w:p>
    <w:p w14:paraId="53601AF3" w14:textId="200829E0" w:rsidR="000F1A37" w:rsidRDefault="004B7C0D" w:rsidP="00D63049">
      <w:pPr>
        <w:spacing w:line="240" w:lineRule="auto"/>
        <w:ind w:firstLine="720"/>
        <w:rPr>
          <w:rFonts w:ascii="Times New Roman" w:hAnsi="Times New Roman" w:cs="Times New Roman"/>
          <w:sz w:val="24"/>
          <w:szCs w:val="24"/>
        </w:rPr>
      </w:pPr>
      <w:r>
        <w:rPr>
          <w:rFonts w:ascii="Times New Roman" w:hAnsi="Times New Roman" w:cs="Times New Roman"/>
          <w:sz w:val="24"/>
          <w:szCs w:val="24"/>
        </w:rPr>
        <w:t>D</w:t>
      </w:r>
      <w:r w:rsidR="000F1A37">
        <w:rPr>
          <w:rFonts w:ascii="Times New Roman" w:hAnsi="Times New Roman" w:cs="Times New Roman"/>
          <w:sz w:val="24"/>
          <w:szCs w:val="24"/>
        </w:rPr>
        <w:t xml:space="preserve">espite wide-spread opposition </w:t>
      </w:r>
      <w:r>
        <w:rPr>
          <w:rFonts w:ascii="Times New Roman" w:hAnsi="Times New Roman" w:cs="Times New Roman"/>
          <w:sz w:val="24"/>
          <w:szCs w:val="24"/>
        </w:rPr>
        <w:t xml:space="preserve">to </w:t>
      </w:r>
      <w:r w:rsidR="000F1A37">
        <w:rPr>
          <w:rFonts w:ascii="Times New Roman" w:hAnsi="Times New Roman" w:cs="Times New Roman"/>
          <w:sz w:val="24"/>
          <w:szCs w:val="24"/>
        </w:rPr>
        <w:t>large-scale hydropower projects in Myanmar, hydropower is one of the most environmentally sustainable form</w:t>
      </w:r>
      <w:r>
        <w:rPr>
          <w:rFonts w:ascii="Times New Roman" w:hAnsi="Times New Roman" w:cs="Times New Roman"/>
          <w:sz w:val="24"/>
          <w:szCs w:val="24"/>
        </w:rPr>
        <w:t>s</w:t>
      </w:r>
      <w:r w:rsidR="000F1A37">
        <w:rPr>
          <w:rFonts w:ascii="Times New Roman" w:hAnsi="Times New Roman" w:cs="Times New Roman"/>
          <w:sz w:val="24"/>
          <w:szCs w:val="24"/>
        </w:rPr>
        <w:t xml:space="preserve"> of electricity generation. This result supports the findings from previous LCA research </w:t>
      </w:r>
      <w:r w:rsidR="000F1A37">
        <w:rPr>
          <w:rFonts w:ascii="Times New Roman" w:hAnsi="Times New Roman" w:cs="Times New Roman"/>
          <w:sz w:val="24"/>
          <w:szCs w:val="24"/>
        </w:rPr>
        <w:fldChar w:fldCharType="begin" w:fldLock="1"/>
      </w:r>
      <w:r w:rsidR="000F1A37">
        <w:rPr>
          <w:rFonts w:ascii="Times New Roman" w:hAnsi="Times New Roman" w:cs="Times New Roman"/>
          <w:sz w:val="24"/>
          <w:szCs w:val="24"/>
        </w:rPr>
        <w:instrText>ADDIN CSL_CITATION {"citationItems":[{"id":"ITEM-1","itemData":{"DOI":"10.1016/j.apenergy.2014.08.067","ISSN":"03062619","abstract":"The Portuguese electricity mix is undergoing a significant shift away from the technologies that have dominated generation for the past decades. This article aims at assessing the environmental life-cycle impacts of electricity generation and supply in Portugal (PT), including: (i) modeling the main electricity generation systems; (ii) modeling the transmission and distribution (T&amp;D) grid infrastructure; (iii) characterizing the evolution of the electricity sector in PT from 2003 to 2012; and (iv) discussing how the recent changes in the technology portfolio affected the environmental performance of the electricity generated and supplied. The life-cycle assessment methodology was used to quantify impacts in: non-renewable fossil energy demand (nREn), global warming (GW), abiotic depletion (AD), acidification (AC), eutrophication (ET), photochemical oxidation (PO) and ozone layer depletion (OD). From 2003 to 2012, an overall reduction of the environmental impacts was achieved. In particular, since 2008, electricity generation impacts in AC and PO dropped sharply as a result of the installation of desulphurization (62% reduction in AC; 74% reduction in PO) and denitrification (5% reduction in AC) systems in coal power plants (PP), as well as the phase out of large fuel oil PP. For NREn, AD and GW, the reduction of impacts was less pronounced (9-22% in the generation mix; 14-22% in the supply mix). T&amp;D grid added 5-14% to the environmental impacts due to infrastructure (&lt;5%) and T&amp;D losses (5-9%). Despite the large increase in renewable capacity (especially wind) and the investments in lower-carbon fossil fuel technologies (natural gas), electricity generation still relies heavily on coal. There is, however, potential to further reduce environmental impacts in key categories (NREn, AD and GW) since there is significant available capacity of natural gas combined cycle currently underutilized.","author":[{"dropping-particle":"","family":"Garcia","given":"Rita","non-dropping-particle":"","parse-names":false,"suffix":""},{"dropping-particle":"","family":"Marques","given":"Pedro","non-dropping-particle":"","parse-names":false,"suffix":""},{"dropping-particle":"","family":"Freire","given":"Fausto","non-dropping-particle":"","parse-names":false,"suffix":""}],"container-title":"Applied Energy","id":"ITEM-1","issued":{"date-parts":[["2014"]]},"title":"Life-cycle assessment of electricity in Portugal","type":"article-journal"},"uris":["http://www.mendeley.com/documents/?uuid=fe84c089-35d8-48a3-b412-8c243b3dad98"]},{"id":"ITEM-2","itemData":{"DOI":"10.1016/j.rser.2014.10.082","ISSN":"18790690","abstract":"A significant number of Life Cycle Assessment (LCA) analyses of renewable energy technologies is available in the literature, even though there is a lack of consistent conclusions about the life cycle impacts of the different technologies. The reported results vary consistently, according to the size and the technology of the considered plant, thus limiting the utility of LCA to inform policy makers and constituting a barrier to the deployment of a full awareness on sustainable energies. This variability in LCA results, in fact, can generate confusion regarding the actual environmental consequences of implementing renewable technologies. The article reviews approximately 50 papers, related to more than 100 different case studies regarding solar energy (Concentrated Solar Power, Photovoltaic), wind power, hydropower, and geothermal power. A methodology for the harmonization of the results is presented. The detailed data collection and the results normalization and harmonization allowed a more reliable comparison of the various renewable technologies. For most of the considered environmental indicators, wind power technologies turn out to be the low end while geothermal and PV technologies the high end of the impact range where all the other technologies are positioned.","author":[{"dropping-particle":"","family":"Asdrubali","given":"Francesco","non-dropping-particle":"","parse-names":false,"suffix":""},{"dropping-particle":"","family":"Baldinelli","given":"Giorgio","non-dropping-particle":"","parse-names":false,"suffix":""},{"dropping-particle":"","family":"D'Alessandro","given":"Francesco","non-dropping-particle":"","parse-names":false,"suffix":""},{"dropping-particle":"","family":"Scrucca","given":"Flavio","non-dropping-particle":"","parse-names":false,"suffix":""}],"container-title":"Renewable and Sustainable Energy Reviews","id":"ITEM-2","issued":{"date-parts":[["2015"]]},"page":"1113-1122","publisher":"Elsevier","title":"Life cycle assessment of electricity production from renewable energies: Review and results harmonization","type":"article-journal","volume":"42"},"uris":["http://www.mendeley.com/documents/?uuid=4f734545-99c0-45e7-9939-923ffc25249e"]}],"mendeley":{"formattedCitation":"(Asdrubali et al., 2015; Garcia et al., 2014)","plainTextFormattedCitation":"(Asdrubali et al., 2015; Garcia et al., 2014)","previouslyFormattedCitation":"(Asdrubali et al., 2015; Garcia et al., 2014)"},"properties":{"noteIndex":0},"schema":"https://github.com/citation-style-language/schema/raw/master/csl-citation.json"}</w:instrText>
      </w:r>
      <w:r w:rsidR="000F1A37">
        <w:rPr>
          <w:rFonts w:ascii="Times New Roman" w:hAnsi="Times New Roman" w:cs="Times New Roman"/>
          <w:sz w:val="24"/>
          <w:szCs w:val="24"/>
        </w:rPr>
        <w:fldChar w:fldCharType="separate"/>
      </w:r>
      <w:r w:rsidR="000F1A37" w:rsidRPr="00B7206F">
        <w:rPr>
          <w:rFonts w:ascii="Times New Roman" w:hAnsi="Times New Roman" w:cs="Times New Roman"/>
          <w:noProof/>
          <w:sz w:val="24"/>
          <w:szCs w:val="24"/>
        </w:rPr>
        <w:t>(Asdrubali et al., 2015; Garcia et al., 2014)</w:t>
      </w:r>
      <w:r w:rsidR="000F1A37">
        <w:rPr>
          <w:rFonts w:ascii="Times New Roman" w:hAnsi="Times New Roman" w:cs="Times New Roman"/>
          <w:sz w:val="24"/>
          <w:szCs w:val="24"/>
        </w:rPr>
        <w:fldChar w:fldCharType="end"/>
      </w:r>
      <w:r w:rsidR="000F1A37">
        <w:rPr>
          <w:rFonts w:ascii="Times New Roman" w:hAnsi="Times New Roman" w:cs="Times New Roman"/>
          <w:sz w:val="24"/>
          <w:szCs w:val="24"/>
        </w:rPr>
        <w:t xml:space="preserve">. Hydropower usually generates the lowest impacts per electricity generation for all LCIA environmental impact categories when compared with other electricity production technologies </w:t>
      </w:r>
      <w:r w:rsidR="000F1A37">
        <w:rPr>
          <w:rFonts w:ascii="Times New Roman" w:hAnsi="Times New Roman" w:cs="Times New Roman"/>
          <w:sz w:val="24"/>
          <w:szCs w:val="24"/>
        </w:rPr>
        <w:fldChar w:fldCharType="begin" w:fldLock="1"/>
      </w:r>
      <w:r w:rsidR="00924D59">
        <w:rPr>
          <w:rFonts w:ascii="Times New Roman" w:hAnsi="Times New Roman" w:cs="Times New Roman"/>
          <w:sz w:val="24"/>
          <w:szCs w:val="24"/>
        </w:rPr>
        <w:instrText>ADDIN CSL_CITATION {"citationItems":[{"id":"ITEM-1","itemData":{"DOI":"10.1016/j.esd.2012.07.006","ISSN":"09730826","abstract":"The use of fossil fuels for electricity generation contributes to local air pollution as well as to the greenhouse effect. Electricity generation technologies contribute to environmental impacts including acidification, eutrophication, resource depletion, and climate change. This paper presents the environmental assessment of the centralized grid-connected electricity production in Tanzania using a life cycle approach for the years 2000, 2015, 2020, 2026 and 2030, according to the Tanzania Electricity Supply Company Limited, TANESCO's, plans for power system expansion (power system master plan of the year 2009). The results of this study show that in all the chosen impacts categories, based on the absolute annual electricity production, environmental impacts increase significantly with time when comparing the years 2000, 2015, 2020, 2026 and 2030. © 2012 International Energy Initiative.","author":[{"dropping-particle":"","family":"Felix","given":"Mwema","non-dropping-particle":"","parse-names":false,"suffix":""},{"dropping-particle":"","family":"Gheewala","given":"Shabbir H.","non-dropping-particle":"","parse-names":false,"suffix":""}],"container-title":"Energy for Sustainable Development","id":"ITEM-1","issue":"4","issued":{"date-parts":[["2012"]]},"page":"439-447","publisher":"International Energy Initiative","title":"Environmental assessment of electricity production in Tanzania","type":"article-journal","volume":"16"},"uris":["http://www.mendeley.com/documents/?uuid=64a262a2-55d5-4b8a-8c84-5143ae25449e"]},{"id":"ITEM-2","itemData":{"DOI":"10.3390/su8111097","ISSN":"20711050","abstract":"© 2016 by the authors. The aim of this paper was to determine how to change the environmental performance of electricity generation depending on the resources and their shares, in order to support decision-makers. Additionally, this paper presents an application of life cycle assessment (LCA) methodology to determine the environmental burdens of electricity generation in Turkey. Electricity generation data in Turkey for the years 2012 and 2023 were used as a case study. The functional unit for electricity generation was 1 kWh. The LCA calculations were carried out using CML-IA (v3.00) data and the results were interpreted with respect to Monte Carlo simulation analysis (with the Monte Carlo function built in SimaPro 8.0.1 software). The results demonstrated that the fossil fuel consumption not only contributes to global warming, but it also has effects on the elemental basis of abiotic depletion due to raw material consumption for plant infrastructure. Additionally, it was observed that the increasing proportion of wind power in the electricity mix would also increase certain life cycle impacts (such as the elemental basis of abiotic depletion, human ecotoxicity, and terrestrial ecotoxicity) in Turkey's geography compared to increasing the share of other renewable energy sources, such as hydropower, geothermal, as well as solar..","author":[{"dropping-particle":"","family":"Günkaya","given":"Zerrin","non-dropping-particle":"","parse-names":false,"suffix":""},{"dropping-particle":"","family":"Özdemir","given":"Alp","non-dropping-particle":"","parse-names":false,"suffix":""},{"dropping-particle":"","family":"Özkan","given":"Aysun","non-dropping-particle":"","parse-names":false,"suffix":""},{"dropping-particle":"","family":"Banar","given":"Müfide","non-dropping-particle":"","parse-names":false,"suffix":""}],"container-title":"Sustainability (Switzerland)","id":"ITEM-2","issued":{"date-parts":[["2016"]]},"title":"Environmental performance of electricity generation based on resources: A life cycle assessment case study in Turkey","type":"article-journal"},"uris":["http://www.mendeley.com/documents/?uuid=f2654f78-b46c-45a9-b021-e5d87f51926b"]},{"id":"ITEM-3","itemData":{"DOI":"10.1016/j.jclepro.2014.05.061","ISSN":"09596526","abstract":"Sustainable development of energy systems requires consideration of all three sustainability dimensions: environmental, economic and social. Current work presents a new decision-support framework for facilitating this. Taking a life cycle approach, the framework integrates the three sustainability dimensions to enable assessments at both technology and systems levels. The framework comprises scenario analysis, life cycle assessment, life cycle costing, social sustainability assessment and multi-criteria decision analysis, which are used to assess and identify the most sustainable energy options. The application of the framework is illustrated on the example of future electricity supply in Mexico. Eleven scenarios up to 2050 have been developed considering different technologies, electricity mixes and climate change targets. The results show that, based on the 17 sustainability criteria used in this work, the business-as-usual scenario, mostly based on fossil fuels, is unsustainable regardless of the preferences for different sustainability criteria. This is mainly due to the high costs and environmental impacts associated with fossil fuels. Overall, the most sustainable scenarios are those with higher penetration of renewables (wind, solar, hydro, geothermal and biomass) and nuclear power. These electricity pathways would enable meeting the national greenhouse gas emission targets by 2050 in a more sustainable way than envisaged by the current policy. However, some trade-offs among the sustainability criteria are needed, particularly with respect to the social impacts. These trade-offs can be explored easily within the decision-support framework to reveal how different stakeholder preferences affect the outcomes of sustainability assessment, thus contributing to more informed decision and policy making. © 2014 Elsevier Ltd. All rights reserved.","author":[{"dropping-particle":"","family":"Santoyo-Castelazo","given":"Edgar","non-dropping-particle":"","parse-names":false,"suffix":""},{"dropping-particle":"","family":"Azapagic","given":"Adisa","non-dropping-particle":"","parse-names":false,"suffix":""}],"container-title":"Journal of Cleaner Production","id":"ITEM-3","issue":"2014","issued":{"date-parts":[["2014"]]},"page":"119-138","publisher":"Elsevier Ltd","title":"Sustainability assessment of energy systems: Integrating environmental, economic and social aspects","type":"article-journal","volume":"80"},"uris":["http://www.mendeley.com/documents/?uuid=2a212654-1d96-4154-8aa5-89ddaf42288e"]},{"id":"ITEM-4","itemData":{"DOI":"10.1016/j.jclepro.2014.11.033","ISSN":"09596526","abstract":"Electricity demand in Mauritius is growing rapidly but its environmental implications are as yet unknown. This is the topic of the current paper which presents for the first time the life cycle environmental impacts of electricity generation in Mauritius aiming to inform electricity generators and policy makers on how the impacts could be reduced. The majority of country's electricity is generated from fossil fuels, with coal contributing 40% and fuel oil 37%; the rest is from sugarcane bagasse (19%) and hydro-power (4%). The results suggest that electricity from oil has the highest impacts for six out of ten categories considered compared to the other three sources: acidification, freshwater, terrestrial and human toxicity, ozone layer depletion and photochemical oxidants. The remaining four impacts (depletion of resources, global warming, eutrophication and marine toxicity) are highest for coal. The lowest impacts are found for electricity from hydro-power. For example, the global warming potential (GWP) of electricity from coal is estimated at 1444 kg CO&lt;inf&gt;2&lt;/inf&gt; eq./MWh and for oil 754 kg CO&lt;inf&gt;2&lt;/inf&gt; eq./MWh, while for bagasse and hydro-power this impact is several orders of magnitude lower (29 and 8.6 kg CO&lt;inf&gt;2&lt;/inf&gt; eq./MWh, respectively). Oil and coal are the main contributors to the overall impacts from electricity in Mauritius (88%-99%). The contribution of bagasse is small (&lt;1%-12%) and that from hydro-power negligible (&lt;0.1%). The GWP of the electricity mix is estimated at 868 kg CO&lt;inf&gt;2&lt;/inf&gt; eq./MWh. This is equivalent to the annual GWP of 2.22 Mt CO&lt;inf&gt;2&lt;/inf&gt; eq. in 2012, an increase of 16% since 2007. To reduce its carbon emissions, Mauritius should consider reducing the share of fossil fuels through increased use of renewables such as solar PV and wind as well as improving the efficiency of the fossil power plants and reducing energy demand.","author":[{"dropping-particle":"","family":"Brizmohun","given":"Ravina","non-dropping-particle":"","parse-names":false,"suffix":""},{"dropping-particle":"","family":"Ramjeawon","given":"Toolseeram","non-dropping-particle":"","parse-names":false,"suffix":""},{"dropping-particle":"","family":"Azapagic","given":"Adisa","non-dropping-particle":"","parse-names":false,"suffix":""}],"container-title":"Journal of Cleaner Production","id":"ITEM-4","issued":{"date-parts":[["2015"]]},"page":"565-575","publisher":"Elsevier Ltd","title":"Life cycle assessment of electricity generation in Mauritius","type":"article-journal","volume":"106"},"uris":["http://www.mendeley.com/documents/?uuid=cf943f50-bcf8-4b52-97ac-05818566d4a7"]}],"mendeley":{"formattedCitation":"(Brizmohun et al., 2015; Felix &amp; Gheewala, 2012; Günkaya et al., 2016; Santoyo-Castelazo &amp; Azapagic, 2014)","plainTextFormattedCitation":"(Brizmohun et al., 2015; Felix &amp; Gheewala, 2012; Günkaya et al., 2016; Santoyo-Castelazo &amp; Azapagic, 2014)","previouslyFormattedCitation":"(Brizmohun et al., 2015; Felix &amp; Gheewala, 2012; Günkaya et al., 2016; Santoyo-Castelazo &amp; Azapagic, 2014)"},"properties":{"noteIndex":0},"schema":"https://github.com/citation-style-language/schema/raw/master/csl-citation.json"}</w:instrText>
      </w:r>
      <w:r w:rsidR="000F1A37">
        <w:rPr>
          <w:rFonts w:ascii="Times New Roman" w:hAnsi="Times New Roman" w:cs="Times New Roman"/>
          <w:sz w:val="24"/>
          <w:szCs w:val="24"/>
        </w:rPr>
        <w:fldChar w:fldCharType="separate"/>
      </w:r>
      <w:r w:rsidR="00924D59" w:rsidRPr="00924D59">
        <w:rPr>
          <w:rFonts w:ascii="Times New Roman" w:hAnsi="Times New Roman" w:cs="Times New Roman"/>
          <w:noProof/>
          <w:sz w:val="24"/>
          <w:szCs w:val="24"/>
        </w:rPr>
        <w:t>(Brizmohun et al., 2015; Felix &amp; Gheewala, 2012; Günkaya et al., 2016; Santoyo-Castelazo &amp; Azapagic, 2014)</w:t>
      </w:r>
      <w:r w:rsidR="000F1A37">
        <w:rPr>
          <w:rFonts w:ascii="Times New Roman" w:hAnsi="Times New Roman" w:cs="Times New Roman"/>
          <w:sz w:val="24"/>
          <w:szCs w:val="24"/>
        </w:rPr>
        <w:fldChar w:fldCharType="end"/>
      </w:r>
      <w:r w:rsidR="000F1A37">
        <w:rPr>
          <w:rFonts w:ascii="Times New Roman" w:hAnsi="Times New Roman" w:cs="Times New Roman"/>
          <w:sz w:val="24"/>
          <w:szCs w:val="24"/>
        </w:rPr>
        <w:t>. For instance, GHG emissions from the full life-cycle of hydropower plant</w:t>
      </w:r>
      <w:r>
        <w:rPr>
          <w:rFonts w:ascii="Times New Roman" w:hAnsi="Times New Roman" w:cs="Times New Roman"/>
          <w:sz w:val="24"/>
          <w:szCs w:val="24"/>
        </w:rPr>
        <w:t>s</w:t>
      </w:r>
      <w:r w:rsidR="000F1A37">
        <w:rPr>
          <w:rFonts w:ascii="Times New Roman" w:hAnsi="Times New Roman" w:cs="Times New Roman"/>
          <w:sz w:val="24"/>
          <w:szCs w:val="24"/>
        </w:rPr>
        <w:t xml:space="preserve"> is 30-60 times less than that of fossil fuel used electricity generation, depending on the local climate </w:t>
      </w:r>
      <w:r w:rsidR="000F1A37">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{"citationItems":[{"id":"ITEM-1","itemData":{"DOI":"10.1016/j.energy.2012.05.052","ISSN":"03605442","abstract":"This paper presents for the first time correlations for greenhouse gas (GHG) emissions from small hydropower schemes in India. In this paper an attempt has been made to develop life cycle GHG emissions correlations for three different types of small hydropower schemes (run-of river, canal based and dam-toe) in India. It has been found out that GHG emissions depend on the head and capacity of the small hydropower project. The results obtained from correlations show good agreement with the estimated results using EIO-LCA (Economic Input-Output-Life Cycle Assessment) technique. These correlations may be useful for the development of new small hydropower (SHP) schemes, as they can be used to predict life cycle GHG emissions based on capacity, head and type of SHP schemes. © 2012 Elsevier Ltd.","author":[{"dropping-particle":"","family":"Varun","given":"","non-dropping-particle":"","parse-names":false,"suffix":""},{"dropping-particle":"","family":"Prakash","given":"Ravi","non-dropping-particle":"","parse-names":false,"suffix":""},{"dropping-particle":"","family":"Bhat","given":"I. K.","non-dropping-particle":"","parse-names":false,"suffix":""}],"container-title":"Energy","id":"ITEM-1","issue":"1","issued":{"date-parts":[["2012"]]},"page":"498-508","publisher":"Elsevier","title":"Life cycle greenhouse gas emissions estimation for small hydropower schemes in India","type":"article-journal","volume":"44"},"uris":["http://www.mendeley.com/documents/?uuid=ed2720ac-8b1c-427d-909b-b7e232362600"]}],"mendeley":{"formattedCitation":"(Varun et al., 2012)","plainTextFormattedCitation":"(Varun et al., 2012)","previouslyFormattedCitation":"(Varun et al., 2012)"},"properties":{"noteIndex":0},"schema":"https://github.com/citation-style-language/schema/raw/master/csl-citation.json"}</w:instrText>
      </w:r>
      <w:r w:rsidR="000F1A37">
        <w:rPr>
          <w:rFonts w:ascii="Times New Roman" w:hAnsi="Times New Roman" w:cs="Times New Roman"/>
          <w:sz w:val="24"/>
          <w:szCs w:val="24"/>
        </w:rPr>
        <w:fldChar w:fldCharType="separate"/>
      </w:r>
      <w:r w:rsidR="00AE02EE" w:rsidRPr="00AE02EE">
        <w:rPr>
          <w:rFonts w:ascii="Times New Roman" w:hAnsi="Times New Roman" w:cs="Times New Roman"/>
          <w:noProof/>
          <w:sz w:val="24"/>
          <w:szCs w:val="24"/>
        </w:rPr>
        <w:t>(Varun et al., 2012)</w:t>
      </w:r>
      <w:r w:rsidR="000F1A37">
        <w:rPr>
          <w:rFonts w:ascii="Times New Roman" w:hAnsi="Times New Roman" w:cs="Times New Roman"/>
          <w:sz w:val="24"/>
          <w:szCs w:val="24"/>
        </w:rPr>
        <w:fldChar w:fldCharType="end"/>
      </w:r>
      <w:r w:rsidR="000F1A37">
        <w:rPr>
          <w:rFonts w:ascii="Times New Roman" w:hAnsi="Times New Roman" w:cs="Times New Roman"/>
          <w:sz w:val="24"/>
          <w:szCs w:val="24"/>
        </w:rPr>
        <w:t xml:space="preserve">. Although all renewable energy sources are considered environmentally benign, hydropower </w:t>
      </w:r>
      <w:r w:rsidR="00872BD2">
        <w:rPr>
          <w:rFonts w:ascii="Times New Roman" w:hAnsi="Times New Roman" w:cs="Times New Roman"/>
          <w:sz w:val="24"/>
          <w:szCs w:val="24"/>
        </w:rPr>
        <w:t xml:space="preserve">appears </w:t>
      </w:r>
      <w:r w:rsidR="000F1A37">
        <w:rPr>
          <w:rFonts w:ascii="Times New Roman" w:hAnsi="Times New Roman" w:cs="Times New Roman"/>
          <w:sz w:val="24"/>
          <w:szCs w:val="24"/>
        </w:rPr>
        <w:t xml:space="preserve">to have the lowest life-cycle environmental impacts even when compared with wind power </w:t>
      </w:r>
      <w:r w:rsidR="000F1A37">
        <w:rPr>
          <w:rFonts w:ascii="Times New Roman" w:hAnsi="Times New Roman" w:cs="Times New Roman"/>
          <w:sz w:val="24"/>
          <w:szCs w:val="24"/>
        </w:rPr>
        <w:fldChar w:fldCharType="begin" w:fldLock="1"/>
      </w:r>
      <w:r w:rsidR="000F1A37">
        <w:rPr>
          <w:rFonts w:ascii="Times New Roman" w:hAnsi="Times New Roman" w:cs="Times New Roman"/>
          <w:sz w:val="24"/>
          <w:szCs w:val="24"/>
        </w:rPr>
        <w:instrText>ADDIN CSL_CITATION {"citationItems":[{"id":"ITEM-1","itemData":{"DOI":"10.1016/j.jclepro.2017.06.237","ISSN":"09596526","abstract":"In this study, we analyze, assess and compare the environmental impacts of nuclear, wind and hydro power generation in the province of Ontario, Canada through a comprehensive life cycle assessment approach. The upstream, downstream and operation phases during the life cycle of these power generation methods are included. The output emissions inventoried in the study are carbon dioxide, methane, sulphur oxides, nitrogen oxides and total particulate matter. The CML 2001 impact assessment methodology is utilized for impact assessment. The environmental impacts included are global warming potential, acidification potential, eutrophication potential, photochemical ozone creation potential and human toxicity potential. Hydro reservoir facilities with bio mass decay are found to have a life cycle GWP100 of 15.2 g CO2-eq/kWh, which is comparatively higher than wind (12.05 g CO2-eq/kWh) and nuclear power life cycles (3.402 g CO2-eq/kWh). However, hydropower is found to have substantially low impacts when other environmental impact categories, such as acidification potential, eutrophication potential, photochemical ozone creation potential and human toxicity potential are considered. This indicates only greenhouse gas emissions are not sufficient to describe the environmental performance of any product system. Wind power life cycle contributed most significantly to acidification, eutrophication, photochemical ozone creation and human toxicity potentials. This is mainly attributed to the construction phase of the life cycle. Hence, development of more environmentally benign wind turbine construction methods is suggested. For the nuclear power scenario, both upstream and decommissioning phases are identified as major contributors to environmental impacts.","author":[{"dropping-particle":"","family":"Siddiqui","given":"Osamah","non-dropping-particle":"","parse-names":false,"suffix":""},{"dropping-particle":"","family":"Dincer","given":"Ibrahim","non-dropping-particle":"","parse-names":false,"suffix":""}],"container-title":"Journal of Cleaner Production","id":"ITEM-1","issued":{"date-parts":[["2017"]]},"page":"848-860","publisher":"Elsevier Ltd","title":"Comparative assessment of the environmental impacts of nuclear, wind and hydro-electric power plants in Ontario: A life cycle assessment","type":"article-journal","volume":"164"},"uris":["http://www.mendeley.com/documents/?uuid=a2e54177-3c9b-4b53-8352-70496663cf85"]}],"mendeley":{"formattedCitation":"(Siddiqui &amp; Dincer, 2017)","plainTextFormattedCitation":"(Siddiqui &amp; Dincer, 2017)","previouslyFormattedCitation":"(Siddiqui &amp; Dincer, 2017)"},"properties":{"noteIndex":0},"schema":"https://github.com/citation-style-language/schema/raw/master/csl-citation.json"}</w:instrText>
      </w:r>
      <w:r w:rsidR="000F1A37">
        <w:rPr>
          <w:rFonts w:ascii="Times New Roman" w:hAnsi="Times New Roman" w:cs="Times New Roman"/>
          <w:sz w:val="24"/>
          <w:szCs w:val="24"/>
        </w:rPr>
        <w:fldChar w:fldCharType="separate"/>
      </w:r>
      <w:r w:rsidR="000F1A37" w:rsidRPr="002831E8">
        <w:rPr>
          <w:rFonts w:ascii="Times New Roman" w:hAnsi="Times New Roman" w:cs="Times New Roman"/>
          <w:noProof/>
          <w:sz w:val="24"/>
          <w:szCs w:val="24"/>
        </w:rPr>
        <w:t>(Siddiqui &amp; Dincer, 2017)</w:t>
      </w:r>
      <w:r w:rsidR="000F1A37">
        <w:rPr>
          <w:rFonts w:ascii="Times New Roman" w:hAnsi="Times New Roman" w:cs="Times New Roman"/>
          <w:sz w:val="24"/>
          <w:szCs w:val="24"/>
        </w:rPr>
        <w:fldChar w:fldCharType="end"/>
      </w:r>
      <w:r w:rsidR="000F1A37">
        <w:rPr>
          <w:rFonts w:ascii="Times New Roman" w:hAnsi="Times New Roman" w:cs="Times New Roman"/>
          <w:sz w:val="24"/>
          <w:szCs w:val="24"/>
        </w:rPr>
        <w:t xml:space="preserve">. Particularly, run-of-river type large-scale hydropower dams can be an environmentally sustainable renewable energy option. Unlike reservoir type dams, run-of-river type hydropower plants do not require storage water and a significant amount of land area to be transformed and occupied </w:t>
      </w:r>
      <w:r w:rsidR="000F1A37">
        <w:rPr>
          <w:rFonts w:ascii="Times New Roman" w:hAnsi="Times New Roman" w:cs="Times New Roman"/>
          <w:sz w:val="24"/>
          <w:szCs w:val="24"/>
        </w:rPr>
        <w:fldChar w:fldCharType="begin" w:fldLock="1"/>
      </w:r>
      <w:r w:rsidR="000F1A37">
        <w:rPr>
          <w:rFonts w:ascii="Times New Roman" w:hAnsi="Times New Roman" w:cs="Times New Roman"/>
          <w:sz w:val="24"/>
          <w:szCs w:val="24"/>
        </w:rPr>
        <w:instrText>ADDIN CSL_CITATION {"citationItems":[{"id":"ITEM-1","itemData":{"DOI":"10.1016/j.rser.2008.09.017","ISSN":"13640321","abstract":"Renewable-energy sources often are regarded as dispersed and difficult to collect, thus requiring substantial land resources in comparison to conventional energy sources. In this review, we present the normalized land requirements during the life cycles of conventional- and renewable-energy options, covering coal, natural gas, nuclear, hydroelectric, photovoltaics, wind, and biomass. We compared the land transformation and occupation matrices within a life-cycle framework across those fuel cycles. Although the estimates vary with regional and technological conditions, the photovoltaic (PV) cycle requires the least amount of land among renewable-energy options, while the biomass cycle requires the largest amount. Moreover, we determined that, in most cases, ground-mount PV systems in areas of high insolation transform less land than the coal-fuel cycle coupled with surface mining. In terms of land occupation, the biomass-fuel cycle requires the greatest amount, followed by the nuclear-fuel cycle. Although not detailed in this review, conventional electricity-generation technologies also pose secondary effects on land use, including contamination and disruptions of the ecosystems of adjacent lands, and land disruptions by fuel-cycle-related accidents. © 2008 Elsevier Ltd.","author":[{"dropping-particle":"","family":"Fthenakis","given":"Vasilis","non-dropping-particle":"","parse-names":false,"suffix":""},{"dropping-particle":"","family":"Kim","given":"Hyung Chul","non-dropping-particle":"","parse-names":false,"suffix":""}],"container-title":"Renewable and Sustainable Energy Reviews","id":"ITEM-1","issue":"6-7","issued":{"date-parts":[["2009"]]},"page":"1465-1474","title":"Land use and electricity generation: A life-cycle analysis","type":"article-journal","volume":"13"},"uris":["http://www.mendeley.com/documents/?uuid=556073d2-9ab2-4c5c-8a08-eb10b70fdc0e"]}],"mendeley":{"formattedCitation":"(Fthenakis &amp; Kim, 2009)","plainTextFormattedCitation":"(Fthenakis &amp; Kim, 2009)","previouslyFormattedCitation":"(Fthenakis &amp; Kim, 2009)"},"properties":{"noteIndex":0},"schema":"https://github.com/citation-style-language/schema/raw/master/csl-citation.json"}</w:instrText>
      </w:r>
      <w:r w:rsidR="000F1A37">
        <w:rPr>
          <w:rFonts w:ascii="Times New Roman" w:hAnsi="Times New Roman" w:cs="Times New Roman"/>
          <w:sz w:val="24"/>
          <w:szCs w:val="24"/>
        </w:rPr>
        <w:fldChar w:fldCharType="separate"/>
      </w:r>
      <w:r w:rsidR="000F1A37" w:rsidRPr="006C1D7F">
        <w:rPr>
          <w:rFonts w:ascii="Times New Roman" w:hAnsi="Times New Roman" w:cs="Times New Roman"/>
          <w:noProof/>
          <w:sz w:val="24"/>
          <w:szCs w:val="24"/>
        </w:rPr>
        <w:t>(Fthenakis &amp; Kim, 2009)</w:t>
      </w:r>
      <w:r w:rsidR="000F1A37">
        <w:rPr>
          <w:rFonts w:ascii="Times New Roman" w:hAnsi="Times New Roman" w:cs="Times New Roman"/>
          <w:sz w:val="24"/>
          <w:szCs w:val="24"/>
        </w:rPr>
        <w:fldChar w:fldCharType="end"/>
      </w:r>
      <w:r w:rsidR="000F1A37">
        <w:rPr>
          <w:rFonts w:ascii="Times New Roman" w:hAnsi="Times New Roman" w:cs="Times New Roman"/>
          <w:sz w:val="24"/>
          <w:szCs w:val="24"/>
        </w:rPr>
        <w:t xml:space="preserve">. Moreover, large dams potentially play an important role in irrigation and increasing cropland productivity </w:t>
      </w:r>
      <w:r w:rsidR="000F1A37">
        <w:rPr>
          <w:rFonts w:ascii="Times New Roman" w:hAnsi="Times New Roman" w:cs="Times New Roman"/>
          <w:sz w:val="24"/>
          <w:szCs w:val="24"/>
        </w:rPr>
        <w:fldChar w:fldCharType="begin" w:fldLock="1"/>
      </w:r>
      <w:r w:rsidR="000F1A37">
        <w:rPr>
          <w:rFonts w:ascii="Times New Roman" w:hAnsi="Times New Roman" w:cs="Times New Roman"/>
          <w:sz w:val="24"/>
          <w:szCs w:val="24"/>
        </w:rPr>
        <w:instrText>ADDIN CSL_CITATION {"citationItems":[{"id":"ITEM-1","itemData":{"author":[{"dropping-particle":"","family":"Strobl","given":"Elodie Blanc and Eric","non-dropping-particle":"","parse-names":false,"suffix":""}],"id":"ITEM-1","issued":{"date-parts":[["2013"]]},"title":"Is Small Better? A Comparison of the Effect of Large and Small Dams on Cropland Productivity in South Africa","type":"report"},"uris":["http://www.mendeley.com/documents/?uuid=02768507-bb9f-4bba-97cf-f2b42792b4f0"]}],"mendeley":{"formattedCitation":"(Strobl, 2013)","plainTextFormattedCitation":"(Strobl, 2013)","previouslyFormattedCitation":"(Strobl, 2013)"},"properties":{"noteIndex":0},"schema":"https://github.com/citation-style-language/schema/raw/master/csl-citation.json"}</w:instrText>
      </w:r>
      <w:r w:rsidR="000F1A37">
        <w:rPr>
          <w:rFonts w:ascii="Times New Roman" w:hAnsi="Times New Roman" w:cs="Times New Roman"/>
          <w:sz w:val="24"/>
          <w:szCs w:val="24"/>
        </w:rPr>
        <w:fldChar w:fldCharType="separate"/>
      </w:r>
      <w:r w:rsidR="000F1A37" w:rsidRPr="00127B66">
        <w:rPr>
          <w:rFonts w:ascii="Times New Roman" w:hAnsi="Times New Roman" w:cs="Times New Roman"/>
          <w:noProof/>
          <w:sz w:val="24"/>
          <w:szCs w:val="24"/>
        </w:rPr>
        <w:t>(Strobl, 2013)</w:t>
      </w:r>
      <w:r w:rsidR="000F1A37">
        <w:rPr>
          <w:rFonts w:ascii="Times New Roman" w:hAnsi="Times New Roman" w:cs="Times New Roman"/>
          <w:sz w:val="24"/>
          <w:szCs w:val="24"/>
        </w:rPr>
        <w:fldChar w:fldCharType="end"/>
      </w:r>
      <w:r w:rsidR="000F1A37">
        <w:rPr>
          <w:rFonts w:ascii="Times New Roman" w:hAnsi="Times New Roman" w:cs="Times New Roman"/>
          <w:sz w:val="24"/>
          <w:szCs w:val="24"/>
        </w:rPr>
        <w:t xml:space="preserve">. </w:t>
      </w:r>
    </w:p>
    <w:p w14:paraId="2F78811B" w14:textId="7B4ED2D4" w:rsidR="00EA4624" w:rsidRDefault="000F1A37" w:rsidP="004F2BB1">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As a result of poorly planned projects, local activists and communities in Myanmar usually oppose larger sized hydropower plants while micro dams are often considered </w:t>
      </w:r>
      <w:r>
        <w:rPr>
          <w:rFonts w:ascii="Times New Roman" w:hAnsi="Times New Roman" w:cs="Times New Roman"/>
          <w:sz w:val="24"/>
          <w:szCs w:val="24"/>
        </w:rPr>
        <w:lastRenderedPageBreak/>
        <w:t xml:space="preserve">acceptable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{"citationItems":[{"id":"ITEM-1","itemData":{"author":[{"dropping-particle":"","family":"Dapice","given":"David","non-dropping-particle":"","parse-names":false,"suffix":""}],"id":"ITEM-1","issue":"February","issued":{"date-parts":[["2016"]]},"title":"To Build or Not to Build ? Designing Sustainable Hydro for Federalism in Myanmar","type":"report"},"uris":["http://www.mendeley.com/documents/?uuid=b8276d84-dc93-4855-88ba-cef611a9d808"]}],"mendeley":{"formattedCitation":"(Dapice, 2016)","plainTextFormattedCitation":"(Dapice, 2016)","previouslyFormattedCitation":"(Dapice, 2016)"},"properties":{"noteIndex":0},"schema":"https://github.com/citation-style-language/schema/raw/master/csl-citation.json"}</w:instrText>
      </w:r>
      <w:r>
        <w:rPr>
          <w:rFonts w:ascii="Times New Roman" w:hAnsi="Times New Roman" w:cs="Times New Roman"/>
          <w:sz w:val="24"/>
          <w:szCs w:val="24"/>
        </w:rPr>
        <w:fldChar w:fldCharType="separate"/>
      </w:r>
      <w:r w:rsidRPr="00753F13">
        <w:rPr>
          <w:rFonts w:ascii="Times New Roman" w:hAnsi="Times New Roman" w:cs="Times New Roman"/>
          <w:noProof/>
          <w:sz w:val="24"/>
          <w:szCs w:val="24"/>
        </w:rPr>
        <w:t>(Dapice, 2016)</w:t>
      </w:r>
      <w:r>
        <w:rPr>
          <w:rFonts w:ascii="Times New Roman" w:hAnsi="Times New Roman" w:cs="Times New Roman"/>
          <w:sz w:val="24"/>
          <w:szCs w:val="24"/>
        </w:rPr>
        <w:fldChar w:fldCharType="end"/>
      </w:r>
      <w:r>
        <w:rPr>
          <w:rFonts w:ascii="Times New Roman" w:hAnsi="Times New Roman" w:cs="Times New Roman"/>
          <w:sz w:val="24"/>
          <w:szCs w:val="24"/>
        </w:rPr>
        <w:t xml:space="preserve">. Environmentally and socially sustainable hydropower development in Myanmar will depend on the systematic planning, participatory decision making and, comprehensive environmental </w:t>
      </w:r>
      <w:r w:rsidR="00872BD2">
        <w:rPr>
          <w:rFonts w:ascii="Times New Roman" w:hAnsi="Times New Roman" w:cs="Times New Roman"/>
          <w:sz w:val="24"/>
          <w:szCs w:val="24"/>
        </w:rPr>
        <w:t xml:space="preserve">and social </w:t>
      </w:r>
      <w:r>
        <w:rPr>
          <w:rFonts w:ascii="Times New Roman" w:hAnsi="Times New Roman" w:cs="Times New Roman"/>
          <w:sz w:val="24"/>
          <w:szCs w:val="24"/>
        </w:rPr>
        <w:t>impact assessments (E</w:t>
      </w:r>
      <w:r w:rsidR="00872BD2">
        <w:rPr>
          <w:rFonts w:ascii="Times New Roman" w:hAnsi="Times New Roman" w:cs="Times New Roman"/>
          <w:sz w:val="24"/>
          <w:szCs w:val="24"/>
        </w:rPr>
        <w:t>S</w:t>
      </w:r>
      <w:r>
        <w:rPr>
          <w:rFonts w:ascii="Times New Roman" w:hAnsi="Times New Roman" w:cs="Times New Roman"/>
          <w:sz w:val="24"/>
          <w:szCs w:val="24"/>
        </w:rPr>
        <w:t xml:space="preserve">IA). Our results indicate that more rigorous assessment for cumulative environmental impacts of small dams are as necessary as for larger dams. The inadequate consideration </w:t>
      </w:r>
      <w:r w:rsidR="00EA4624">
        <w:rPr>
          <w:rFonts w:ascii="Times New Roman" w:hAnsi="Times New Roman" w:cs="Times New Roman"/>
          <w:sz w:val="24"/>
          <w:szCs w:val="24"/>
        </w:rPr>
        <w:t xml:space="preserve">of </w:t>
      </w:r>
      <w:r>
        <w:rPr>
          <w:rFonts w:ascii="Times New Roman" w:hAnsi="Times New Roman" w:cs="Times New Roman"/>
          <w:sz w:val="24"/>
          <w:szCs w:val="24"/>
        </w:rPr>
        <w:t xml:space="preserve">environmental effects of small hydropower projects and the exemption </w:t>
      </w:r>
      <w:r w:rsidR="00872BD2">
        <w:rPr>
          <w:rFonts w:ascii="Times New Roman" w:hAnsi="Times New Roman" w:cs="Times New Roman"/>
          <w:sz w:val="24"/>
          <w:szCs w:val="24"/>
        </w:rPr>
        <w:t xml:space="preserve">from </w:t>
      </w:r>
      <w:r>
        <w:rPr>
          <w:rFonts w:ascii="Times New Roman" w:hAnsi="Times New Roman" w:cs="Times New Roman"/>
          <w:sz w:val="24"/>
          <w:szCs w:val="24"/>
        </w:rPr>
        <w:t xml:space="preserve">EIA for those dams </w:t>
      </w:r>
      <w:r w:rsidR="00872BD2">
        <w:rPr>
          <w:rFonts w:ascii="Times New Roman" w:hAnsi="Times New Roman" w:cs="Times New Roman"/>
          <w:sz w:val="24"/>
          <w:szCs w:val="24"/>
        </w:rPr>
        <w:t xml:space="preserve">are </w:t>
      </w:r>
      <w:r>
        <w:rPr>
          <w:rFonts w:ascii="Times New Roman" w:hAnsi="Times New Roman" w:cs="Times New Roman"/>
          <w:sz w:val="24"/>
          <w:szCs w:val="24"/>
        </w:rPr>
        <w:t xml:space="preserve">a major concern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{"citationItems":[{"id":"ITEM-1","itemData":{"DOI":"10.1016/j.eiar.2013.07.002","ISSN":"01959255","abstract":"The mountain rivers of the Indian Himalaya possess a vast potential for hydropower generation. After decades of comparatively modest development recent years have seen a major intensification in the construction of new hydropower dams. Although increasingly portrayed as a form of renewable energy generation, hydropower development may lead to extensive alterations of fluvial systems and conflicts with resource use patterns of local communities. To appraise and reduce adverse effects is the purpose of statutory Environmental Impact Assessments (EIA) and corresponding mitigation plans. However, in the light of ambitious policies for hydropower expansion conventional approaches of environmental assessment are increasingly challenged to keep up with the intensity and pace of development. This paper aims to explore the systemic limitations of environmental assessment for hydropower development in the Indian state of Himachal Pradesh. Based on a qualitative methodology involving interviews with environmental experts, document reviews and field observations the study suggests that the current practice of constraining EIAs to the project level fails to address the larger effects of extensive hydropower development. Furthermore, it is critically discussed as to what extent the concept of Strategic Environmental Assessment (SEA) might have the potential to overcome existing shortcomings. © 2013 Elsevier Inc.","author":[{"dropping-particle":"","family":"Erlewein","given":"Alexander","non-dropping-particle":"","parse-names":false,"suffix":""}],"container-title":"Environmental Impact Assessment Review","id":"ITEM-1","issued":{"date-parts":[["2013"]]},"page":"135-143","publisher":"Elsevier Inc.","title":"Disappearing rivers - The limits of environmental assessment for hydropower in India","type":"article-journal","volume":"43"},"uris":["http://www.mendeley.com/documents/?uuid=d91ecdab-7dc1-4557-ad6e-90b3c92f3598"]}],"mendeley":{"formattedCitation":"(Erlewein, 2013)","plainTextFormattedCitation":"(Erlewein, 2013)","previouslyFormattedCitation":"(Erlewein, 2013)"},"properties":{"noteIndex":0},"schema":"https://github.com/citation-style-language/schema/raw/master/csl-citation.json"}</w:instrText>
      </w:r>
      <w:r>
        <w:rPr>
          <w:rFonts w:ascii="Times New Roman" w:hAnsi="Times New Roman" w:cs="Times New Roman"/>
          <w:sz w:val="24"/>
          <w:szCs w:val="24"/>
        </w:rPr>
        <w:fldChar w:fldCharType="separate"/>
      </w:r>
      <w:r w:rsidRPr="00030FFF">
        <w:rPr>
          <w:rFonts w:ascii="Times New Roman" w:hAnsi="Times New Roman" w:cs="Times New Roman"/>
          <w:noProof/>
          <w:sz w:val="24"/>
          <w:szCs w:val="24"/>
        </w:rPr>
        <w:t>(Erlewein, 2013)</w:t>
      </w:r>
      <w:r>
        <w:rPr>
          <w:rFonts w:ascii="Times New Roman" w:hAnsi="Times New Roman" w:cs="Times New Roman"/>
          <w:sz w:val="24"/>
          <w:szCs w:val="24"/>
        </w:rPr>
        <w:fldChar w:fldCharType="end"/>
      </w:r>
      <w:r>
        <w:rPr>
          <w:rFonts w:ascii="Times New Roman" w:hAnsi="Times New Roman" w:cs="Times New Roman"/>
          <w:sz w:val="24"/>
          <w:szCs w:val="24"/>
        </w:rPr>
        <w:t xml:space="preserve">. Generally speaking, current EIA practice in the hydropower sector in Myanmar is considered inadequate and ineffective </w:t>
      </w:r>
      <w:r>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{"citationItems":[{"id":"ITEM-1","itemData":{"DOI":"10.1080/14615517.2018.1529948","ISSN":"14615517","abstract":"The economic relationship between China and Myanmar is regarded as a win–win cooperation. However, Chinese investments, especially in extractive and natural resource sectors, are associated with a number of unwanted environmental consequences. Moreover, the environmental impact assessment (EIA) quality of Chinese enterprises has often been criticized. EIA identifies adverse impacts to the environment through evidence-based decision making. On this basis, this paper provides an evaluation of Chinese EIA performance within the natural resources sector through a structured review of 15 environmental impact statements (EISs). This research also evaluates the EISs of the three largest and most controversial projects, the Myitsone Hydropower Dam, Lappadaung Copper Mine and Sino-Myanmar oil and gas pipelines. The findings reveal several omissions, inadequacies and deficiencies in all the projects with a significant number of EISs falling short of satisfactory quality. Through the analysis, the paper summarizes the factors affecting the EIA performance and proposes feasible recommendations to improve EIA practices in Chinese development projects in Myanmar. © 2018, © 2018 IAIA.","author":[{"dropping-particle":"","family":"Aung","given":"Thiri Shwesin","non-dropping-particle":"","parse-names":false,"suffix":""},{"dropping-particle":"","family":"Shengji","given":"Luan","non-dropping-particle":"","parse-names":false,"suffix":""},{"dropping-particle":"","family":"Condon","given":"Sharon","non-dropping-particle":"","parse-names":false,"suffix":""}],"container-title":"Impact Assessment and Project Appraisal","id":"ITEM-1","issue":"1","issued":{"date-parts":[["2019"]]},"page":"71-85","publisher":"Taylor &amp; Francis","title":"Evaluation of the environmental impact assessment (EIA) of Chinese EIA in Myanmar: Myitsone Dam, the Lappadaung Copper Mine and the Sino-Myanmar oil and gas pipelines","type":"article-journal","volume":"37"},"uris":["http://www.mendeley.com/documents/?uuid=ed8c1b0b-b204-4aea-adea-343ba532ac1c"]}],"mendeley":{"formattedCitation":"(Aung et al., 2019)","manualFormatting":"(Aung et al., 2019)","plainTextFormattedCitation":"(Aung et al., 2019)","previouslyFormattedCitation":"(Aung et al., 2019)"},"properties":{"noteIndex":0},"schema":"https://github.com/citation-style-language/schema/raw/master/csl-citation.json"}</w:instrText>
      </w:r>
      <w:r>
        <w:rPr>
          <w:rFonts w:ascii="Times New Roman" w:hAnsi="Times New Roman" w:cs="Times New Roman"/>
          <w:sz w:val="24"/>
          <w:szCs w:val="24"/>
        </w:rPr>
        <w:fldChar w:fldCharType="separate"/>
      </w:r>
      <w:r w:rsidRPr="00EB7730">
        <w:rPr>
          <w:rFonts w:ascii="Times New Roman" w:hAnsi="Times New Roman" w:cs="Times New Roman"/>
          <w:noProof/>
          <w:sz w:val="24"/>
          <w:szCs w:val="24"/>
        </w:rPr>
        <w:t xml:space="preserve">(Aung </w:t>
      </w:r>
      <w:r>
        <w:rPr>
          <w:rFonts w:ascii="Times New Roman" w:hAnsi="Times New Roman" w:cs="Times New Roman"/>
          <w:noProof/>
          <w:sz w:val="24"/>
          <w:szCs w:val="24"/>
        </w:rPr>
        <w:t>et al.,</w:t>
      </w:r>
      <w:r w:rsidRPr="00EB7730">
        <w:rPr>
          <w:rFonts w:ascii="Times New Roman" w:hAnsi="Times New Roman" w:cs="Times New Roman"/>
          <w:noProof/>
          <w:sz w:val="24"/>
          <w:szCs w:val="24"/>
        </w:rPr>
        <w:t xml:space="preserve">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EA4624">
        <w:rPr>
          <w:rFonts w:ascii="Times New Roman" w:hAnsi="Times New Roman" w:cs="Times New Roman"/>
          <w:sz w:val="24"/>
          <w:szCs w:val="24"/>
        </w:rPr>
        <w:t>Analytical tools such as LCA have potential to improve the analysis of environmental impact in EIA reports</w:t>
      </w:r>
      <w:r w:rsidR="004454A2">
        <w:rPr>
          <w:rFonts w:ascii="Times New Roman" w:hAnsi="Times New Roman" w:cs="Times New Roman"/>
          <w:sz w:val="24"/>
          <w:szCs w:val="24"/>
        </w:rPr>
        <w:t xml:space="preserve"> by integrating regulatory compliance with environmental hazards. </w:t>
      </w:r>
      <w:r w:rsidR="0044733B">
        <w:rPr>
          <w:rFonts w:ascii="Times New Roman" w:hAnsi="Times New Roman" w:cs="Times New Roman"/>
          <w:sz w:val="24"/>
          <w:szCs w:val="24"/>
        </w:rPr>
        <w:fldChar w:fldCharType="begin" w:fldLock="1"/>
      </w:r>
      <w:r w:rsidR="008A2252">
        <w:rPr>
          <w:rFonts w:ascii="Times New Roman" w:hAnsi="Times New Roman" w:cs="Times New Roman"/>
          <w:sz w:val="24"/>
          <w:szCs w:val="24"/>
        </w:rPr>
        <w:instrText>ADDIN CSL_CITATION {"citationItems":[{"id":"ITEM-1","itemData":{"DOI":"10.1007/s00477-012-0621-x","ISSN":"14363240","abstract":"Environmental impact assessment (EIA) is a procedural tool for environmental management that identifies, predicts, evaluates and mitigates the environmental impact of development proposals. In the process of EIA, EIA reports, prepared by developers, are expected to delineate the environmental impact, but in practice they usually determine whether the amounts or concentrations of pollutants comply with the relevant standards. Actually, many analytical tools can improve the analysis of environmental impact in EIA reports, such as life cycle assessment (LCA) and environmental risk assessment (ERA). Life cycle impact assessment (LCIA) is one of steps in LCA that takes account of the causal relationships between environmental hazards and damage. Incorporating the concept of LCIA into an ERA as an integrated tool for the preparation of EIA reports extends the focus of the reports from the regulatory compliance of the environmental impact, to determine the significance of the environmental impact. Sometimes, when using integrated tools, it is necessary to consider fuzzy situations, because of a lack of sufficient information; therefore, so ERA should be generalized to a fuzzy risk assessment (FRA). Therefore, this paper proposes the integration of a LCIA and a FRA as an assessment tool for the preparation of EIA reports, whereby the LCIA clearly identifies the causal linkage for hazard-pathway-receptor-damage and then better explain the significance of the impact; furthermore, a FRA copes with fuzzy and probabilistic situations in the assessment of pollution severity and the estimation of exposure probability. Finally, the use of the proposed methodology is demonstrated in a case study of the expansion plan for the world's largest plastics processing factory. © 2012 Springer-Verlag.","author":[{"dropping-particle":"","family":"Liu","given":"Kevin Fong Rey","non-dropping-particle":"","parse-names":false,"suffix":""},{"dropping-particle":"","family":"Ko","given":"Chih Yuan","non-dropping-particle":"","parse-names":false,"suffix":""},{"dropping-particle":"","family":"Fan","given":"Chihhao","non-dropping-particle":"","parse-names":false,"suffix":""},{"dropping-particle":"","family":"Chen","given":"Cheng Wu","non-dropping-particle":"","parse-names":false,"suffix":""}],"container-title":"Stochastic Environmental Research and Risk Assessment","id":"ITEM-1","issue":"4","issued":{"date-parts":[["2013"]]},"page":"849-866","title":"Incorporating the LCIA concept into fuzzy risk assessment as a tool for environmental impact assessment","type":"article-journal","volume":"27"},"uris":["http://www.mendeley.com/documents/?uuid=19b1f987-2199-4884-b6f6-59c6390e0daa"]}],"mendeley":{"formattedCitation":"(Liu et al., 2013)","manualFormatting":"Liu et al. (2013)","plainTextFormattedCitation":"(Liu et al., 2013)","previouslyFormattedCitation":"(Liu et al., 2013)"},"properties":{"noteIndex":0},"schema":"https://github.com/citation-style-language/schema/raw/master/csl-citation.json"}</w:instrText>
      </w:r>
      <w:r w:rsidR="0044733B">
        <w:rPr>
          <w:rFonts w:ascii="Times New Roman" w:hAnsi="Times New Roman" w:cs="Times New Roman"/>
          <w:sz w:val="24"/>
          <w:szCs w:val="24"/>
        </w:rPr>
        <w:fldChar w:fldCharType="separate"/>
      </w:r>
      <w:r w:rsidR="0044733B" w:rsidRPr="0044733B">
        <w:rPr>
          <w:rFonts w:ascii="Times New Roman" w:hAnsi="Times New Roman" w:cs="Times New Roman"/>
          <w:noProof/>
          <w:sz w:val="24"/>
          <w:szCs w:val="24"/>
        </w:rPr>
        <w:t xml:space="preserve">Liu et al. </w:t>
      </w:r>
      <w:r w:rsidR="0044733B">
        <w:rPr>
          <w:rFonts w:ascii="Times New Roman" w:hAnsi="Times New Roman" w:cs="Times New Roman"/>
          <w:noProof/>
          <w:sz w:val="24"/>
          <w:szCs w:val="24"/>
        </w:rPr>
        <w:t>(</w:t>
      </w:r>
      <w:r w:rsidR="0044733B" w:rsidRPr="0044733B">
        <w:rPr>
          <w:rFonts w:ascii="Times New Roman" w:hAnsi="Times New Roman" w:cs="Times New Roman"/>
          <w:noProof/>
          <w:sz w:val="24"/>
          <w:szCs w:val="24"/>
        </w:rPr>
        <w:t>2013)</w:t>
      </w:r>
      <w:r w:rsidR="0044733B">
        <w:rPr>
          <w:rFonts w:ascii="Times New Roman" w:hAnsi="Times New Roman" w:cs="Times New Roman"/>
          <w:sz w:val="24"/>
          <w:szCs w:val="24"/>
        </w:rPr>
        <w:fldChar w:fldCharType="end"/>
      </w:r>
      <w:r w:rsidR="00EA4624">
        <w:rPr>
          <w:rFonts w:ascii="Times New Roman" w:hAnsi="Times New Roman" w:cs="Times New Roman"/>
          <w:sz w:val="24"/>
          <w:szCs w:val="24"/>
        </w:rPr>
        <w:t xml:space="preserve"> </w:t>
      </w:r>
      <w:r w:rsidR="0044733B">
        <w:rPr>
          <w:rFonts w:ascii="Times New Roman" w:hAnsi="Times New Roman" w:cs="Times New Roman"/>
          <w:sz w:val="24"/>
          <w:szCs w:val="24"/>
        </w:rPr>
        <w:t>provide the methods to integrate LCA and EIA.</w:t>
      </w:r>
      <w:r w:rsidR="001139D4">
        <w:rPr>
          <w:rFonts w:ascii="Times New Roman" w:hAnsi="Times New Roman" w:cs="Times New Roman"/>
          <w:sz w:val="24"/>
          <w:szCs w:val="24"/>
        </w:rPr>
        <w:t xml:space="preserve"> Moreover, </w:t>
      </w:r>
      <w:r w:rsidR="00576B60">
        <w:rPr>
          <w:rFonts w:ascii="Times New Roman" w:hAnsi="Times New Roman" w:cs="Times New Roman"/>
          <w:sz w:val="24"/>
          <w:szCs w:val="24"/>
        </w:rPr>
        <w:t>the use of remote sensing data has proven effective in quantifying land use in hydropower reservoirs</w:t>
      </w:r>
      <w:r w:rsidR="00E57DB7">
        <w:rPr>
          <w:rFonts w:ascii="Times New Roman" w:hAnsi="Times New Roman" w:cs="Times New Roman"/>
          <w:sz w:val="24"/>
          <w:szCs w:val="24"/>
        </w:rPr>
        <w:t xml:space="preserve"> </w:t>
      </w:r>
      <w:r w:rsidR="00576B60">
        <w:rPr>
          <w:rFonts w:ascii="Times New Roman" w:hAnsi="Times New Roman" w:cs="Times New Roman"/>
          <w:sz w:val="24"/>
          <w:szCs w:val="24"/>
        </w:rPr>
        <w:fldChar w:fldCharType="begin" w:fldLock="1"/>
      </w:r>
      <w:r w:rsidR="00576B60">
        <w:rPr>
          <w:rFonts w:ascii="Times New Roman" w:hAnsi="Times New Roman" w:cs="Times New Roman"/>
          <w:sz w:val="24"/>
          <w:szCs w:val="24"/>
        </w:rPr>
        <w:instrText>ADDIN CSL_CITATION {"citationItems":[{"id":"ITEM-1","itemData":{"DOI":"10.1021/acs.est.7b05125","ISSN":"15205851","PMID":"29328658","abstract":"Increasing hydropower electricity production constitutes a unique opportunity to mitigate climate change impacts. However, hydropower electricity production also impacts aquatic and terrestrial biodiversity through freshwater habitat alteration, water quality degradation, and land use and land use change (LULUC). Today, no operational model exists that covers any of these cause-effect pathways within life cycle assessment (LCA). This paper contributes to the assessment of LULUC impacts of hydropower electricity production in Norway in LCA. We quantified the inundated land area associated with 107 hydropower reservoirs with remote sensing data and related it to yearly electricity production. Therewith, we calculated an average net land occupation of 0.027 m2·yr/kWh of Norwegian storage hydropower plants for the life cycle inventory. Further, we calculated an adjusted average land occupation of 0.007 m2·yr/kWh, accounting for an underestimation of water area in the performed maximum likelihood classification. The calculated land occupation values are the basis to support the development of methods for assessing the land occupation impacts of hydropower on biodiversity in LCA at a damage level.","author":[{"dropping-particle":"","family":"Dorber","given":"Martin","non-dropping-particle":"","parse-names":false,"suffix":""},{"dropping-particle":"","family":"May","given":"Roel","non-dropping-particle":"","parse-names":false,"suffix":""},{"dropping-particle":"","family":"Verones","given":"Francesca","non-dropping-particle":"","parse-names":false,"suffix":""}],"container-title":"Environmental Science and Technology","id":"ITEM-1","issue":"4","issued":{"date-parts":[["2018"]]},"page":"2375-2384","title":"Modeling Net Land Occupation of Hydropower Reservoirs in Norway for Use in Life Cycle Assessment","type":"article-journal","volume":"52"},"uris":["http://www.mendeley.com/documents/?uuid=71b48f70-7386-41ac-9c24-710067dad46e"]}],"mendeley":{"formattedCitation":"(Dorber et al., 2018)","plainTextFormattedCitation":"(Dorber et al., 2018)"},"properties":{"noteIndex":0},"schema":"https://github.com/citation-style-language/schema/raw/master/csl-citation.json"}</w:instrText>
      </w:r>
      <w:r w:rsidR="00576B60">
        <w:rPr>
          <w:rFonts w:ascii="Times New Roman" w:hAnsi="Times New Roman" w:cs="Times New Roman"/>
          <w:sz w:val="24"/>
          <w:szCs w:val="24"/>
        </w:rPr>
        <w:fldChar w:fldCharType="separate"/>
      </w:r>
      <w:r w:rsidR="00576B60" w:rsidRPr="00576B60">
        <w:rPr>
          <w:rFonts w:ascii="Times New Roman" w:hAnsi="Times New Roman" w:cs="Times New Roman"/>
          <w:noProof/>
          <w:sz w:val="24"/>
          <w:szCs w:val="24"/>
        </w:rPr>
        <w:t>(Dorber et al., 2018)</w:t>
      </w:r>
      <w:r w:rsidR="00576B60">
        <w:rPr>
          <w:rFonts w:ascii="Times New Roman" w:hAnsi="Times New Roman" w:cs="Times New Roman"/>
          <w:sz w:val="24"/>
          <w:szCs w:val="24"/>
        </w:rPr>
        <w:fldChar w:fldCharType="end"/>
      </w:r>
      <w:r w:rsidR="00576B60">
        <w:rPr>
          <w:rFonts w:ascii="Times New Roman" w:hAnsi="Times New Roman" w:cs="Times New Roman"/>
          <w:sz w:val="24"/>
          <w:szCs w:val="24"/>
        </w:rPr>
        <w:t xml:space="preserve">. </w:t>
      </w:r>
    </w:p>
    <w:p w14:paraId="28F6B91D" w14:textId="47054017" w:rsidR="000F1A37" w:rsidRDefault="000F1A37" w:rsidP="004F2BB1">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While hydropower projects can </w:t>
      </w:r>
      <w:r w:rsidR="00872BD2">
        <w:rPr>
          <w:rFonts w:ascii="Times New Roman" w:hAnsi="Times New Roman" w:cs="Times New Roman"/>
          <w:sz w:val="24"/>
          <w:szCs w:val="24"/>
        </w:rPr>
        <w:t xml:space="preserve">play an </w:t>
      </w:r>
      <w:r>
        <w:rPr>
          <w:rFonts w:ascii="Times New Roman" w:hAnsi="Times New Roman" w:cs="Times New Roman"/>
          <w:sz w:val="24"/>
          <w:szCs w:val="24"/>
        </w:rPr>
        <w:t xml:space="preserve">important </w:t>
      </w:r>
      <w:r w:rsidR="00872BD2">
        <w:rPr>
          <w:rFonts w:ascii="Times New Roman" w:hAnsi="Times New Roman" w:cs="Times New Roman"/>
          <w:sz w:val="24"/>
          <w:szCs w:val="24"/>
        </w:rPr>
        <w:t xml:space="preserve">role </w:t>
      </w:r>
      <w:r>
        <w:rPr>
          <w:rFonts w:ascii="Times New Roman" w:hAnsi="Times New Roman" w:cs="Times New Roman"/>
          <w:sz w:val="24"/>
          <w:szCs w:val="24"/>
        </w:rPr>
        <w:t xml:space="preserve">for solving Myanmar’s energy poverty, minimizing potential environmental damages and social problems is necessary. Sustainable development of hydroelectricity is necessary for adequate and reliable electricity supplies for Myanmar. It is important that the results from this study are for the installed capacity and that generalization of the results for future projects should be made with caution since hydropower is highly site-specific </w:t>
      </w:r>
      <w:r>
        <w:rPr>
          <w:rFonts w:ascii="Times New Roman" w:hAnsi="Times New Roman" w:cs="Times New Roman"/>
          <w:sz w:val="24"/>
          <w:szCs w:val="24"/>
        </w:rPr>
        <w:fldChar w:fldCharType="begin" w:fldLock="1"/>
      </w:r>
      <w:r w:rsidR="00AE02EE">
        <w:rPr>
          <w:rFonts w:ascii="Times New Roman" w:hAnsi="Times New Roman" w:cs="Times New Roman"/>
          <w:sz w:val="24"/>
          <w:szCs w:val="24"/>
        </w:rPr>
        <w:instrText>ADDIN CSL_CITATION {"citationItems":[{"id":"ITEM-1","itemData":{"DOI":"10.1016/S0301-4215(02)00088-5","ISSN":"03014215","abstract":"This article presents the environmental impacts of electricity generation systems, based on life-cycle assessments (LCAs). These assessments normally include impacts from extraction, processing and transportation of fuels, building of power plants and generation of electricity. The LCAs show that the following options have an excellent performance: hydropower (run-of-river and with reservoir), nuclear energy and windpower. Hydropower with reservoir does have high land requirements, but in spite of this, it is possible to conclude that it has the highest performance, if we consider 2 factors not always included in LCAs: firstly, reservoirs can provide secondary benefits such as irrigation or flood control; and secondly, hydropower has a high operating flexibility that can improve the reliability of electricity supply. © 2002 Elsevier Science Ltd. All rights reserved.","author":[{"dropping-particle":"","family":"Gagnon","given":"Luc","non-dropping-particle":"","parse-names":false,"suffix":""},{"dropping-particle":"","family":"Bélanger","given":"Camille","non-dropping-particle":"","parse-names":false,"suffix":""},{"dropping-particle":"","family":"Uchiyama","given":"Yohji","non-dropping-particle":"","parse-names":false,"suffix":""}],"container-title":"Energy Policy","id":"ITEM-1","issue":"14","issued":{"date-parts":[["2002"]]},"page":"1267-1278","title":"Life-cycle assessment of electricity generation options: The status of research in year 2001","type":"article-journal","volume":"30"},"uris":["http://www.mendeley.com/documents/?uuid=7ef4d054-594f-47f2-a100-17c2278b4cb6"]}],"mendeley":{"formattedCitation":"(Gagnon et al., 2002)","plainTextFormattedCitation":"(Gagnon et al., 2002)","previouslyFormattedCitation":"(Gagnon et al., 2002)"},"properties":{"noteIndex":0},"schema":"https://github.com/citation-style-language/schema/raw/master/csl-citation.json"}</w:instrText>
      </w:r>
      <w:r>
        <w:rPr>
          <w:rFonts w:ascii="Times New Roman" w:hAnsi="Times New Roman" w:cs="Times New Roman"/>
          <w:sz w:val="24"/>
          <w:szCs w:val="24"/>
        </w:rPr>
        <w:fldChar w:fldCharType="separate"/>
      </w:r>
      <w:r w:rsidR="00AE02EE" w:rsidRPr="00AE02EE">
        <w:rPr>
          <w:rFonts w:ascii="Times New Roman" w:hAnsi="Times New Roman" w:cs="Times New Roman"/>
          <w:noProof/>
          <w:sz w:val="24"/>
          <w:szCs w:val="24"/>
        </w:rPr>
        <w:t>(Gagnon et al., 2002)</w:t>
      </w:r>
      <w:r>
        <w:rPr>
          <w:rFonts w:ascii="Times New Roman" w:hAnsi="Times New Roman" w:cs="Times New Roman"/>
          <w:sz w:val="24"/>
          <w:szCs w:val="24"/>
        </w:rPr>
        <w:fldChar w:fldCharType="end"/>
      </w:r>
      <w:r>
        <w:rPr>
          <w:rFonts w:ascii="Times New Roman" w:hAnsi="Times New Roman" w:cs="Times New Roman"/>
          <w:sz w:val="24"/>
          <w:szCs w:val="24"/>
        </w:rPr>
        <w:t>. More research is needed in understanding the cumulative environmental effects</w:t>
      </w:r>
      <w:r w:rsidR="00872BD2">
        <w:rPr>
          <w:rFonts w:ascii="Times New Roman" w:hAnsi="Times New Roman" w:cs="Times New Roman"/>
          <w:sz w:val="24"/>
          <w:szCs w:val="24"/>
        </w:rPr>
        <w:t>,</w:t>
      </w:r>
      <w:r>
        <w:rPr>
          <w:rFonts w:ascii="Times New Roman" w:hAnsi="Times New Roman" w:cs="Times New Roman"/>
          <w:sz w:val="24"/>
          <w:szCs w:val="24"/>
        </w:rPr>
        <w:t xml:space="preserve"> in particular of small dams. </w:t>
      </w:r>
    </w:p>
    <w:p w14:paraId="04A895E2" w14:textId="77777777" w:rsidR="00266481" w:rsidRDefault="00266481" w:rsidP="004F2BB1">
      <w:pPr>
        <w:spacing w:line="240" w:lineRule="auto"/>
        <w:rPr>
          <w:rFonts w:ascii="Times New Roman" w:hAnsi="Times New Roman" w:cs="Times New Roman"/>
          <w:sz w:val="24"/>
          <w:szCs w:val="24"/>
        </w:rPr>
      </w:pPr>
    </w:p>
    <w:p w14:paraId="783644DC" w14:textId="7F1C885F" w:rsidR="000B613F" w:rsidRDefault="000B613F" w:rsidP="004F2BB1">
      <w:pPr>
        <w:spacing w:line="240" w:lineRule="auto"/>
        <w:rPr>
          <w:rFonts w:ascii="Times New Roman" w:hAnsi="Times New Roman" w:cs="Times New Roman"/>
          <w:sz w:val="24"/>
          <w:szCs w:val="24"/>
        </w:rPr>
      </w:pPr>
      <w:r>
        <w:rPr>
          <w:rFonts w:ascii="Times New Roman" w:hAnsi="Times New Roman" w:cs="Times New Roman"/>
          <w:sz w:val="24"/>
          <w:szCs w:val="24"/>
        </w:rPr>
        <w:t>References</w:t>
      </w:r>
    </w:p>
    <w:p w14:paraId="0FBDA0C2" w14:textId="1BAC8BF8" w:rsidR="00576B60" w:rsidRPr="00576B60" w:rsidRDefault="00AF6076"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AF6076">
        <w:rPr>
          <w:rFonts w:ascii="Times New Roman" w:hAnsi="Times New Roman" w:cs="Times New Roman"/>
          <w:sz w:val="24"/>
          <w:szCs w:val="24"/>
        </w:rPr>
        <w:fldChar w:fldCharType="begin" w:fldLock="1"/>
      </w:r>
      <w:r w:rsidRPr="00AF6076">
        <w:rPr>
          <w:rFonts w:ascii="Times New Roman" w:hAnsi="Times New Roman" w:cs="Times New Roman"/>
          <w:sz w:val="24"/>
          <w:szCs w:val="24"/>
        </w:rPr>
        <w:instrText xml:space="preserve">ADDIN Mendeley Bibliography CSL_BIBLIOGRAPHY </w:instrText>
      </w:r>
      <w:r w:rsidRPr="00AF6076">
        <w:rPr>
          <w:rFonts w:ascii="Times New Roman" w:hAnsi="Times New Roman" w:cs="Times New Roman"/>
          <w:sz w:val="24"/>
          <w:szCs w:val="24"/>
        </w:rPr>
        <w:fldChar w:fldCharType="separate"/>
      </w:r>
      <w:r w:rsidR="00576B60" w:rsidRPr="00576B60">
        <w:rPr>
          <w:rFonts w:ascii="Times New Roman" w:hAnsi="Times New Roman" w:cs="Times New Roman"/>
          <w:noProof/>
          <w:sz w:val="24"/>
          <w:szCs w:val="24"/>
        </w:rPr>
        <w:t xml:space="preserve">A.Tremblay. (2005). </w:t>
      </w:r>
      <w:r w:rsidR="00576B60" w:rsidRPr="00576B60">
        <w:rPr>
          <w:rFonts w:ascii="Times New Roman" w:hAnsi="Times New Roman" w:cs="Times New Roman"/>
          <w:i/>
          <w:iCs/>
          <w:noProof/>
          <w:sz w:val="24"/>
          <w:szCs w:val="24"/>
        </w:rPr>
        <w:t>Greenhouse Gas Emission Fluxes and Processess</w:t>
      </w:r>
      <w:r w:rsidR="00576B60" w:rsidRPr="00576B60">
        <w:rPr>
          <w:rFonts w:ascii="Times New Roman" w:hAnsi="Times New Roman" w:cs="Times New Roman"/>
          <w:noProof/>
          <w:sz w:val="24"/>
          <w:szCs w:val="24"/>
        </w:rPr>
        <w:t>. Springer.</w:t>
      </w:r>
    </w:p>
    <w:p w14:paraId="78CCF72F"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Andersson-sköld, Y., Grennfelt, P., Pleijel, K., Andersson-skold, Y., Grennfelt, P., &amp; Pleijel, K. (2012). </w:t>
      </w:r>
      <w:r w:rsidRPr="00576B60">
        <w:rPr>
          <w:rFonts w:ascii="Times New Roman" w:hAnsi="Times New Roman" w:cs="Times New Roman"/>
          <w:i/>
          <w:iCs/>
          <w:noProof/>
          <w:sz w:val="24"/>
          <w:szCs w:val="24"/>
        </w:rPr>
        <w:t>Photochemical Ozone Creation Potentials : A study of Different Concepts</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3289</w:t>
      </w:r>
      <w:r w:rsidRPr="00576B60">
        <w:rPr>
          <w:rFonts w:ascii="Times New Roman" w:hAnsi="Times New Roman" w:cs="Times New Roman"/>
          <w:noProof/>
          <w:sz w:val="24"/>
          <w:szCs w:val="24"/>
        </w:rPr>
        <w:t>. https://doi.org/10.1080/10473289.1992.10467060</w:t>
      </w:r>
    </w:p>
    <w:p w14:paraId="6A33B591"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Asdrubali, F., Baldinelli, G., D’Alessandro, F., &amp; Scrucca, F. (2015). Life cycle assessment of electricity production from renewable energies: Review and results harmonization. </w:t>
      </w:r>
      <w:r w:rsidRPr="00576B60">
        <w:rPr>
          <w:rFonts w:ascii="Times New Roman" w:hAnsi="Times New Roman" w:cs="Times New Roman"/>
          <w:i/>
          <w:iCs/>
          <w:noProof/>
          <w:sz w:val="24"/>
          <w:szCs w:val="24"/>
        </w:rPr>
        <w:t>Renewable and Sustainable Energy Reviews</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42</w:t>
      </w:r>
      <w:r w:rsidRPr="00576B60">
        <w:rPr>
          <w:rFonts w:ascii="Times New Roman" w:hAnsi="Times New Roman" w:cs="Times New Roman"/>
          <w:noProof/>
          <w:sz w:val="24"/>
          <w:szCs w:val="24"/>
        </w:rPr>
        <w:t>, 1113–1122. https://doi.org/10.1016/j.rser.2014.10.082</w:t>
      </w:r>
    </w:p>
    <w:p w14:paraId="5CC9604E"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Asian Development Bank. (2015). </w:t>
      </w:r>
      <w:r w:rsidRPr="00576B60">
        <w:rPr>
          <w:rFonts w:ascii="Times New Roman" w:hAnsi="Times New Roman" w:cs="Times New Roman"/>
          <w:i/>
          <w:iCs/>
          <w:noProof/>
          <w:sz w:val="24"/>
          <w:szCs w:val="24"/>
        </w:rPr>
        <w:t>Myanmar Energy Master Plan The Government of the Republic of the Union of Myanmar National Energy Management Committee</w:t>
      </w:r>
      <w:r w:rsidRPr="00576B60">
        <w:rPr>
          <w:rFonts w:ascii="Times New Roman" w:hAnsi="Times New Roman" w:cs="Times New Roman"/>
          <w:noProof/>
          <w:sz w:val="24"/>
          <w:szCs w:val="24"/>
        </w:rPr>
        <w:t xml:space="preserve"> (Issue December). http://www.burmalibrary.org/docs22/2015-12-Myanmar_Energy_Master_Plan.pdf</w:t>
      </w:r>
    </w:p>
    <w:p w14:paraId="34806801"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Aung, T. S., Shengji, L., &amp; Condon, S. (2019). Evaluation of the environmental impact assessment (EIA) of Chinese EIA in Myanmar: Myitsone Dam, the Lappadaung Copper Mine and the Sino-Myanmar oil and gas pipelines. </w:t>
      </w:r>
      <w:r w:rsidRPr="00576B60">
        <w:rPr>
          <w:rFonts w:ascii="Times New Roman" w:hAnsi="Times New Roman" w:cs="Times New Roman"/>
          <w:i/>
          <w:iCs/>
          <w:noProof/>
          <w:sz w:val="24"/>
          <w:szCs w:val="24"/>
        </w:rPr>
        <w:t>Impact Assessment and Project Appraisal</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37</w:t>
      </w:r>
      <w:r w:rsidRPr="00576B60">
        <w:rPr>
          <w:rFonts w:ascii="Times New Roman" w:hAnsi="Times New Roman" w:cs="Times New Roman"/>
          <w:noProof/>
          <w:sz w:val="24"/>
          <w:szCs w:val="24"/>
        </w:rPr>
        <w:t>(1), 71–85. https://doi.org/10.1080/14615517.2018.1529948</w:t>
      </w:r>
    </w:p>
    <w:p w14:paraId="3D22B5C5"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Barros, N., Cole, J. J., Tranvik, L. J., Prairie, Y. T., Bastviken, D., Huszar, V. L. M., Del Giorgio, P., &amp; Roland, F. (2011). Carbon emission from hydroelectric reservoirs linked to reservoir age and latitude. </w:t>
      </w:r>
      <w:r w:rsidRPr="00576B60">
        <w:rPr>
          <w:rFonts w:ascii="Times New Roman" w:hAnsi="Times New Roman" w:cs="Times New Roman"/>
          <w:i/>
          <w:iCs/>
          <w:noProof/>
          <w:sz w:val="24"/>
          <w:szCs w:val="24"/>
        </w:rPr>
        <w:t>Nature Geoscience</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4</w:t>
      </w:r>
      <w:r w:rsidRPr="00576B60">
        <w:rPr>
          <w:rFonts w:ascii="Times New Roman" w:hAnsi="Times New Roman" w:cs="Times New Roman"/>
          <w:noProof/>
          <w:sz w:val="24"/>
          <w:szCs w:val="24"/>
        </w:rPr>
        <w:t>(9), 593–596. https://doi.org/10.1038/ngeo1211</w:t>
      </w:r>
    </w:p>
    <w:p w14:paraId="77A42460"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Botelho, A., Ferreira, P., Lima, F., Pinto, L. M. C., &amp; Sousa, S. (2017). Assessment of the environmental impacts associated with hydropower. </w:t>
      </w:r>
      <w:r w:rsidRPr="00576B60">
        <w:rPr>
          <w:rFonts w:ascii="Times New Roman" w:hAnsi="Times New Roman" w:cs="Times New Roman"/>
          <w:i/>
          <w:iCs/>
          <w:noProof/>
          <w:sz w:val="24"/>
          <w:szCs w:val="24"/>
        </w:rPr>
        <w:t>Renewable and Sustainable Energy Reviews</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70</w:t>
      </w:r>
      <w:r w:rsidRPr="00576B60">
        <w:rPr>
          <w:rFonts w:ascii="Times New Roman" w:hAnsi="Times New Roman" w:cs="Times New Roman"/>
          <w:noProof/>
          <w:sz w:val="24"/>
          <w:szCs w:val="24"/>
        </w:rPr>
        <w:t>(December 2016), 896–904. https://doi.org/10.1016/j.rser.2016.11.271</w:t>
      </w:r>
    </w:p>
    <w:p w14:paraId="6F146099"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lastRenderedPageBreak/>
        <w:t xml:space="preserve">Briones Hidrovo, A., Uche, J., &amp; Martínez-Gracia, A. (2017). Accounting for GHG net reservoir emissions of hydropower in Ecuador. </w:t>
      </w:r>
      <w:r w:rsidRPr="00576B60">
        <w:rPr>
          <w:rFonts w:ascii="Times New Roman" w:hAnsi="Times New Roman" w:cs="Times New Roman"/>
          <w:i/>
          <w:iCs/>
          <w:noProof/>
          <w:sz w:val="24"/>
          <w:szCs w:val="24"/>
        </w:rPr>
        <w:t>Renewable Energy</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112</w:t>
      </w:r>
      <w:r w:rsidRPr="00576B60">
        <w:rPr>
          <w:rFonts w:ascii="Times New Roman" w:hAnsi="Times New Roman" w:cs="Times New Roman"/>
          <w:noProof/>
          <w:sz w:val="24"/>
          <w:szCs w:val="24"/>
        </w:rPr>
        <w:t>, 209–221. https://doi.org/10.1016/j.renene.2017.05.047</w:t>
      </w:r>
    </w:p>
    <w:p w14:paraId="7BCAB2CF"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Brizmohun, R., Ramjeawon, T., &amp; Azapagic, A. (2015). Life cycle assessment of electricity generation in Mauritius. </w:t>
      </w:r>
      <w:r w:rsidRPr="00576B60">
        <w:rPr>
          <w:rFonts w:ascii="Times New Roman" w:hAnsi="Times New Roman" w:cs="Times New Roman"/>
          <w:i/>
          <w:iCs/>
          <w:noProof/>
          <w:sz w:val="24"/>
          <w:szCs w:val="24"/>
        </w:rPr>
        <w:t>Journal of Cleaner Production</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106</w:t>
      </w:r>
      <w:r w:rsidRPr="00576B60">
        <w:rPr>
          <w:rFonts w:ascii="Times New Roman" w:hAnsi="Times New Roman" w:cs="Times New Roman"/>
          <w:noProof/>
          <w:sz w:val="24"/>
          <w:szCs w:val="24"/>
        </w:rPr>
        <w:t>, 565–575. https://doi.org/10.1016/j.jclepro.2014.11.033</w:t>
      </w:r>
    </w:p>
    <w:p w14:paraId="2A3A9853"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Chen, C., Habert, G., Bouzidi, Y., &amp; Jullien, A. (2010). Environmental impact of cement production: detail of the different processes and cement plant variability evaluation. </w:t>
      </w:r>
      <w:r w:rsidRPr="00576B60">
        <w:rPr>
          <w:rFonts w:ascii="Times New Roman" w:hAnsi="Times New Roman" w:cs="Times New Roman"/>
          <w:i/>
          <w:iCs/>
          <w:noProof/>
          <w:sz w:val="24"/>
          <w:szCs w:val="24"/>
        </w:rPr>
        <w:t>Journal of Cleaner Production</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18</w:t>
      </w:r>
      <w:r w:rsidRPr="00576B60">
        <w:rPr>
          <w:rFonts w:ascii="Times New Roman" w:hAnsi="Times New Roman" w:cs="Times New Roman"/>
          <w:noProof/>
          <w:sz w:val="24"/>
          <w:szCs w:val="24"/>
        </w:rPr>
        <w:t>(5), 478–485. https://doi.org/10.1016/j.jclepro.2009.12.014</w:t>
      </w:r>
    </w:p>
    <w:p w14:paraId="24F27C00"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Dapice, D. (2016). </w:t>
      </w:r>
      <w:r w:rsidRPr="00576B60">
        <w:rPr>
          <w:rFonts w:ascii="Times New Roman" w:hAnsi="Times New Roman" w:cs="Times New Roman"/>
          <w:i/>
          <w:iCs/>
          <w:noProof/>
          <w:sz w:val="24"/>
          <w:szCs w:val="24"/>
        </w:rPr>
        <w:t>To Build or Not to Build ? Designing Sustainable Hydro for Federalism in Myanmar</w:t>
      </w:r>
      <w:r w:rsidRPr="00576B60">
        <w:rPr>
          <w:rFonts w:ascii="Times New Roman" w:hAnsi="Times New Roman" w:cs="Times New Roman"/>
          <w:noProof/>
          <w:sz w:val="24"/>
          <w:szCs w:val="24"/>
        </w:rPr>
        <w:t xml:space="preserve"> (Issue February). https://ash.harvard.edu/files/ash/files/20160219_to_build_or_not_to_build_designing_sustainable_hydro_projects_in_myanmar_eng.pdf?m=1456347698</w:t>
      </w:r>
    </w:p>
    <w:p w14:paraId="058BC94C"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Ding, N., Liu, J., Yang, J., &amp; Yang, D. (2017). Comparative life cycle assessment of regional electricity supplies in China. </w:t>
      </w:r>
      <w:r w:rsidRPr="00576B60">
        <w:rPr>
          <w:rFonts w:ascii="Times New Roman" w:hAnsi="Times New Roman" w:cs="Times New Roman"/>
          <w:i/>
          <w:iCs/>
          <w:noProof/>
          <w:sz w:val="24"/>
          <w:szCs w:val="24"/>
        </w:rPr>
        <w:t>Resources, Conservation and Recycling</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119</w:t>
      </w:r>
      <w:r w:rsidRPr="00576B60">
        <w:rPr>
          <w:rFonts w:ascii="Times New Roman" w:hAnsi="Times New Roman" w:cs="Times New Roman"/>
          <w:noProof/>
          <w:sz w:val="24"/>
          <w:szCs w:val="24"/>
        </w:rPr>
        <w:t>, 47–59. https://doi.org/10.1016/j.resconrec.2016.07.010</w:t>
      </w:r>
    </w:p>
    <w:p w14:paraId="5EB60C0D"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Dorber, M., May, R., &amp; Verones, F. (2018). Modeling Net Land Occupation of Hydropower Reservoirs in Norway for Use in Life Cycle Assessment. </w:t>
      </w:r>
      <w:r w:rsidRPr="00576B60">
        <w:rPr>
          <w:rFonts w:ascii="Times New Roman" w:hAnsi="Times New Roman" w:cs="Times New Roman"/>
          <w:i/>
          <w:iCs/>
          <w:noProof/>
          <w:sz w:val="24"/>
          <w:szCs w:val="24"/>
        </w:rPr>
        <w:t>Environmental Science and Technology</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52</w:t>
      </w:r>
      <w:r w:rsidRPr="00576B60">
        <w:rPr>
          <w:rFonts w:ascii="Times New Roman" w:hAnsi="Times New Roman" w:cs="Times New Roman"/>
          <w:noProof/>
          <w:sz w:val="24"/>
          <w:szCs w:val="24"/>
        </w:rPr>
        <w:t>(4), 2375–2384. https://doi.org/10.1021/acs.est.7b05125</w:t>
      </w:r>
    </w:p>
    <w:p w14:paraId="08F92558"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Edelen, A., &amp; Ingwersen, W. (2016). </w:t>
      </w:r>
      <w:r w:rsidRPr="00576B60">
        <w:rPr>
          <w:rFonts w:ascii="Times New Roman" w:hAnsi="Times New Roman" w:cs="Times New Roman"/>
          <w:i/>
          <w:iCs/>
          <w:noProof/>
          <w:sz w:val="24"/>
          <w:szCs w:val="24"/>
        </w:rPr>
        <w:t>Guidance on Data Quality Assessment for Life Cycle Inventory Data</w:t>
      </w:r>
      <w:r w:rsidRPr="00576B60">
        <w:rPr>
          <w:rFonts w:ascii="Times New Roman" w:hAnsi="Times New Roman" w:cs="Times New Roman"/>
          <w:noProof/>
          <w:sz w:val="24"/>
          <w:szCs w:val="24"/>
        </w:rPr>
        <w:t xml:space="preserve"> (Issue June). https://cfpub.epa.gov/si/si_public_record_report.cfm?dirEntryId=321834%0Ahttps://cfpub.epa.gov/si/si_public_file_download.cfm?p_download_id=528687</w:t>
      </w:r>
    </w:p>
    <w:p w14:paraId="591A538B"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Eric Labouze, Cécile Honoré, Lamya Moulay, B. C. and M. B. (2004). Photochemical ozone creation potentials. </w:t>
      </w:r>
      <w:r w:rsidRPr="00576B60">
        <w:rPr>
          <w:rFonts w:ascii="Times New Roman" w:hAnsi="Times New Roman" w:cs="Times New Roman"/>
          <w:i/>
          <w:iCs/>
          <w:noProof/>
          <w:sz w:val="24"/>
          <w:szCs w:val="24"/>
        </w:rPr>
        <w:t>The International Journal of Life Cycle Assessment</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9</w:t>
      </w:r>
      <w:r w:rsidRPr="00576B60">
        <w:rPr>
          <w:rFonts w:ascii="Times New Roman" w:hAnsi="Times New Roman" w:cs="Times New Roman"/>
          <w:noProof/>
          <w:sz w:val="24"/>
          <w:szCs w:val="24"/>
        </w:rPr>
        <w:t>(3).</w:t>
      </w:r>
    </w:p>
    <w:p w14:paraId="6203ECA3"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Erlewein, A. (2013). Disappearing rivers - The limits of environmental assessment for hydropower in India. </w:t>
      </w:r>
      <w:r w:rsidRPr="00576B60">
        <w:rPr>
          <w:rFonts w:ascii="Times New Roman" w:hAnsi="Times New Roman" w:cs="Times New Roman"/>
          <w:i/>
          <w:iCs/>
          <w:noProof/>
          <w:sz w:val="24"/>
          <w:szCs w:val="24"/>
        </w:rPr>
        <w:t>Environmental Impact Assessment Review</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43</w:t>
      </w:r>
      <w:r w:rsidRPr="00576B60">
        <w:rPr>
          <w:rFonts w:ascii="Times New Roman" w:hAnsi="Times New Roman" w:cs="Times New Roman"/>
          <w:noProof/>
          <w:sz w:val="24"/>
          <w:szCs w:val="24"/>
        </w:rPr>
        <w:t>, 135–143. https://doi.org/10.1016/j.eiar.2013.07.002</w:t>
      </w:r>
    </w:p>
    <w:p w14:paraId="4B9A0DB1"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Fearnside, P. M. (2016a). Greenhouse gas emissions from Brazil’s Amazonian hydroelectric dams. </w:t>
      </w:r>
      <w:r w:rsidRPr="00576B60">
        <w:rPr>
          <w:rFonts w:ascii="Times New Roman" w:hAnsi="Times New Roman" w:cs="Times New Roman"/>
          <w:i/>
          <w:iCs/>
          <w:noProof/>
          <w:sz w:val="24"/>
          <w:szCs w:val="24"/>
        </w:rPr>
        <w:t>Environmental Research Letters</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11</w:t>
      </w:r>
      <w:r w:rsidRPr="00576B60">
        <w:rPr>
          <w:rFonts w:ascii="Times New Roman" w:hAnsi="Times New Roman" w:cs="Times New Roman"/>
          <w:noProof/>
          <w:sz w:val="24"/>
          <w:szCs w:val="24"/>
        </w:rPr>
        <w:t>(1). https://doi.org/10.1088/1748-9326/11/1/011002</w:t>
      </w:r>
    </w:p>
    <w:p w14:paraId="700C2F64"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Fearnside, P. M. (2016b). Greenhouse Gas Emissions From Hydroelectric Dams in Tropical Forests. </w:t>
      </w:r>
      <w:r w:rsidRPr="00576B60">
        <w:rPr>
          <w:rFonts w:ascii="Times New Roman" w:hAnsi="Times New Roman" w:cs="Times New Roman"/>
          <w:i/>
          <w:iCs/>
          <w:noProof/>
          <w:sz w:val="24"/>
          <w:szCs w:val="24"/>
        </w:rPr>
        <w:t>Alternative Energy and Shale Gas Encyclopedia</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April 2016</w:t>
      </w:r>
      <w:r w:rsidRPr="00576B60">
        <w:rPr>
          <w:rFonts w:ascii="Times New Roman" w:hAnsi="Times New Roman" w:cs="Times New Roman"/>
          <w:noProof/>
          <w:sz w:val="24"/>
          <w:szCs w:val="24"/>
        </w:rPr>
        <w:t>, 426–436. https://doi.org/10.1002/9781119066354.ch42</w:t>
      </w:r>
    </w:p>
    <w:p w14:paraId="1E830558"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Felix, M., &amp; Gheewala, S. H. (2012). Environmental assessment of electricity production in Tanzania. </w:t>
      </w:r>
      <w:r w:rsidRPr="00576B60">
        <w:rPr>
          <w:rFonts w:ascii="Times New Roman" w:hAnsi="Times New Roman" w:cs="Times New Roman"/>
          <w:i/>
          <w:iCs/>
          <w:noProof/>
          <w:sz w:val="24"/>
          <w:szCs w:val="24"/>
        </w:rPr>
        <w:t>Energy for Sustainable Development</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16</w:t>
      </w:r>
      <w:r w:rsidRPr="00576B60">
        <w:rPr>
          <w:rFonts w:ascii="Times New Roman" w:hAnsi="Times New Roman" w:cs="Times New Roman"/>
          <w:noProof/>
          <w:sz w:val="24"/>
          <w:szCs w:val="24"/>
        </w:rPr>
        <w:t>(4), 439–447. https://doi.org/10.1016/j.esd.2012.07.006</w:t>
      </w:r>
    </w:p>
    <w:p w14:paraId="2370B7BE"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Fthenakis, V., &amp; Kim, H. C. (2009). Land use and electricity generation: A life-cycle analysis. </w:t>
      </w:r>
      <w:r w:rsidRPr="00576B60">
        <w:rPr>
          <w:rFonts w:ascii="Times New Roman" w:hAnsi="Times New Roman" w:cs="Times New Roman"/>
          <w:i/>
          <w:iCs/>
          <w:noProof/>
          <w:sz w:val="24"/>
          <w:szCs w:val="24"/>
        </w:rPr>
        <w:t>Renewable and Sustainable Energy Reviews</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13</w:t>
      </w:r>
      <w:r w:rsidRPr="00576B60">
        <w:rPr>
          <w:rFonts w:ascii="Times New Roman" w:hAnsi="Times New Roman" w:cs="Times New Roman"/>
          <w:noProof/>
          <w:sz w:val="24"/>
          <w:szCs w:val="24"/>
        </w:rPr>
        <w:t>(6–7), 1465–1474. https://doi.org/10.1016/j.rser.2008.09.017</w:t>
      </w:r>
    </w:p>
    <w:p w14:paraId="3645C565"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Gagnon, L. (1997). </w:t>
      </w:r>
      <w:r w:rsidRPr="00576B60">
        <w:rPr>
          <w:rFonts w:ascii="Times New Roman" w:hAnsi="Times New Roman" w:cs="Times New Roman"/>
          <w:i/>
          <w:iCs/>
          <w:noProof/>
          <w:sz w:val="24"/>
          <w:szCs w:val="24"/>
        </w:rPr>
        <w:t>Greenhouse gas emissions from hydropower The state of research in 1996</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25</w:t>
      </w:r>
      <w:r w:rsidRPr="00576B60">
        <w:rPr>
          <w:rFonts w:ascii="Times New Roman" w:hAnsi="Times New Roman" w:cs="Times New Roman"/>
          <w:noProof/>
          <w:sz w:val="24"/>
          <w:szCs w:val="24"/>
        </w:rPr>
        <w:t>(I), 7–13.</w:t>
      </w:r>
    </w:p>
    <w:p w14:paraId="2DB29792"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lastRenderedPageBreak/>
        <w:t xml:space="preserve">Gagnon, L., Bélanger, C., &amp; Uchiyama, Y. (2002). Life-cycle assessment of electricity generation options: The status of research in year 2001. </w:t>
      </w:r>
      <w:r w:rsidRPr="00576B60">
        <w:rPr>
          <w:rFonts w:ascii="Times New Roman" w:hAnsi="Times New Roman" w:cs="Times New Roman"/>
          <w:i/>
          <w:iCs/>
          <w:noProof/>
          <w:sz w:val="24"/>
          <w:szCs w:val="24"/>
        </w:rPr>
        <w:t>Energy Policy</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30</w:t>
      </w:r>
      <w:r w:rsidRPr="00576B60">
        <w:rPr>
          <w:rFonts w:ascii="Times New Roman" w:hAnsi="Times New Roman" w:cs="Times New Roman"/>
          <w:noProof/>
          <w:sz w:val="24"/>
          <w:szCs w:val="24"/>
        </w:rPr>
        <w:t>(14), 1267–1278. https://doi.org/10.1016/S0301-4215(02)00088-5</w:t>
      </w:r>
    </w:p>
    <w:p w14:paraId="376D9AC0"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Garcia, R., Marques, P., &amp; Freire, F. (2014). Life-cycle assessment of electricity in Portugal. </w:t>
      </w:r>
      <w:r w:rsidRPr="00576B60">
        <w:rPr>
          <w:rFonts w:ascii="Times New Roman" w:hAnsi="Times New Roman" w:cs="Times New Roman"/>
          <w:i/>
          <w:iCs/>
          <w:noProof/>
          <w:sz w:val="24"/>
          <w:szCs w:val="24"/>
        </w:rPr>
        <w:t>Applied Energy</w:t>
      </w:r>
      <w:r w:rsidRPr="00576B60">
        <w:rPr>
          <w:rFonts w:ascii="Times New Roman" w:hAnsi="Times New Roman" w:cs="Times New Roman"/>
          <w:noProof/>
          <w:sz w:val="24"/>
          <w:szCs w:val="24"/>
        </w:rPr>
        <w:t>. https://doi.org/10.1016/j.apenergy.2014.08.067</w:t>
      </w:r>
    </w:p>
    <w:p w14:paraId="02D68202"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Geller, M., &amp; Meneses, A. A. D. M. (2016). Life Cycle Assessment of a Small Hydropower Plant in the Brazilian Amazon. </w:t>
      </w:r>
      <w:r w:rsidRPr="00576B60">
        <w:rPr>
          <w:rFonts w:ascii="Times New Roman" w:hAnsi="Times New Roman" w:cs="Times New Roman"/>
          <w:i/>
          <w:iCs/>
          <w:noProof/>
          <w:sz w:val="24"/>
          <w:szCs w:val="24"/>
        </w:rPr>
        <w:t>Journal of Sustainable Development of Energy, Water and Environment Systems</w:t>
      </w:r>
      <w:r w:rsidRPr="00576B60">
        <w:rPr>
          <w:rFonts w:ascii="Times New Roman" w:hAnsi="Times New Roman" w:cs="Times New Roman"/>
          <w:noProof/>
          <w:sz w:val="24"/>
          <w:szCs w:val="24"/>
        </w:rPr>
        <w:t>. https://doi.org/10.13044/j.sdewes.2016.04.0029</w:t>
      </w:r>
    </w:p>
    <w:p w14:paraId="7A463A6D"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goleman, daniel; boyatzis, Richard; Mckee, A. (2019). Iron and Steel. </w:t>
      </w:r>
      <w:r w:rsidRPr="00576B60">
        <w:rPr>
          <w:rFonts w:ascii="Times New Roman" w:hAnsi="Times New Roman" w:cs="Times New Roman"/>
          <w:i/>
          <w:iCs/>
          <w:noProof/>
          <w:sz w:val="24"/>
          <w:szCs w:val="24"/>
        </w:rPr>
        <w:t>Journal of Chemical Information and Modeling</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53</w:t>
      </w:r>
      <w:r w:rsidRPr="00576B60">
        <w:rPr>
          <w:rFonts w:ascii="Times New Roman" w:hAnsi="Times New Roman" w:cs="Times New Roman"/>
          <w:noProof/>
          <w:sz w:val="24"/>
          <w:szCs w:val="24"/>
        </w:rPr>
        <w:t>(9), 1689–1699. https://doi.org/10.1017/CBO9781107415324.004</w:t>
      </w:r>
    </w:p>
    <w:p w14:paraId="733C4E2D"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Gorelick, N., Hancher, M., Dixon, M., Ilyushchenko, S., Thau, D., &amp; Moore, R. (2017). Google Earth Engine: Planetary-scale geospatial analysis for everyone. </w:t>
      </w:r>
      <w:r w:rsidRPr="00576B60">
        <w:rPr>
          <w:rFonts w:ascii="Times New Roman" w:hAnsi="Times New Roman" w:cs="Times New Roman"/>
          <w:i/>
          <w:iCs/>
          <w:noProof/>
          <w:sz w:val="24"/>
          <w:szCs w:val="24"/>
        </w:rPr>
        <w:t>Remote Sensing of Environment</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202</w:t>
      </w:r>
      <w:r w:rsidRPr="00576B60">
        <w:rPr>
          <w:rFonts w:ascii="Times New Roman" w:hAnsi="Times New Roman" w:cs="Times New Roman"/>
          <w:noProof/>
          <w:sz w:val="24"/>
          <w:szCs w:val="24"/>
        </w:rPr>
        <w:t>, 18–27. https://doi.org/10.1016/j.rse.2017.06.031</w:t>
      </w:r>
    </w:p>
    <w:p w14:paraId="6B8FF860"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Günkaya, Z., Özdemir, A., Özkan, A., &amp; Banar, M. (2016). Environmental performance of electricity generation based on resources: A life cycle assessment case study in Turkey. </w:t>
      </w:r>
      <w:r w:rsidRPr="00576B60">
        <w:rPr>
          <w:rFonts w:ascii="Times New Roman" w:hAnsi="Times New Roman" w:cs="Times New Roman"/>
          <w:i/>
          <w:iCs/>
          <w:noProof/>
          <w:sz w:val="24"/>
          <w:szCs w:val="24"/>
        </w:rPr>
        <w:t>Sustainability (Switzerland)</w:t>
      </w:r>
      <w:r w:rsidRPr="00576B60">
        <w:rPr>
          <w:rFonts w:ascii="Times New Roman" w:hAnsi="Times New Roman" w:cs="Times New Roman"/>
          <w:noProof/>
          <w:sz w:val="24"/>
          <w:szCs w:val="24"/>
        </w:rPr>
        <w:t>. https://doi.org/10.3390/su8111097</w:t>
      </w:r>
    </w:p>
    <w:p w14:paraId="0D386799"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Haberl, H., Erb, K. H., Krausmann, F., Gaube, V., Bondeau, A., Plutzar, C., Gingrich, S., Lucht, W., &amp; Fischer-Kowalski, M. (2007). Quantifying and mapping the human appropriation of net primary production in earth’s terrestrial ecosystems. </w:t>
      </w:r>
      <w:r w:rsidRPr="00576B60">
        <w:rPr>
          <w:rFonts w:ascii="Times New Roman" w:hAnsi="Times New Roman" w:cs="Times New Roman"/>
          <w:i/>
          <w:iCs/>
          <w:noProof/>
          <w:sz w:val="24"/>
          <w:szCs w:val="24"/>
        </w:rPr>
        <w:t>Proceedings of the National Academy of Sciences of the United States of America</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104</w:t>
      </w:r>
      <w:r w:rsidRPr="00576B60">
        <w:rPr>
          <w:rFonts w:ascii="Times New Roman" w:hAnsi="Times New Roman" w:cs="Times New Roman"/>
          <w:noProof/>
          <w:sz w:val="24"/>
          <w:szCs w:val="24"/>
        </w:rPr>
        <w:t>(31), 12942–12947. https://doi.org/10.1073/pnas.0704243104</w:t>
      </w:r>
    </w:p>
    <w:p w14:paraId="47EB21A3"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Han, K. T. (2018). </w:t>
      </w:r>
      <w:r w:rsidRPr="00576B60">
        <w:rPr>
          <w:rFonts w:ascii="Times New Roman" w:hAnsi="Times New Roman" w:cs="Times New Roman"/>
          <w:i/>
          <w:iCs/>
          <w:noProof/>
          <w:sz w:val="24"/>
          <w:szCs w:val="24"/>
        </w:rPr>
        <w:t>Possible Socioeconomic Consequences of the Hydropower Dams on the Downstream Communities : Case Study Hatgyi Dam</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6</w:t>
      </w:r>
      <w:r w:rsidRPr="00576B60">
        <w:rPr>
          <w:rFonts w:ascii="Times New Roman" w:hAnsi="Times New Roman" w:cs="Times New Roman"/>
          <w:noProof/>
          <w:sz w:val="24"/>
          <w:szCs w:val="24"/>
        </w:rPr>
        <w:t>(2), 237–251. https://doi.org/10.13189/sa.2018.060205</w:t>
      </w:r>
    </w:p>
    <w:p w14:paraId="227647E1"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Hertwich, E. G. (2013). Addressing biogenic greenhouse gas emissions from hydropower in LCA. </w:t>
      </w:r>
      <w:r w:rsidRPr="00576B60">
        <w:rPr>
          <w:rFonts w:ascii="Times New Roman" w:hAnsi="Times New Roman" w:cs="Times New Roman"/>
          <w:i/>
          <w:iCs/>
          <w:noProof/>
          <w:sz w:val="24"/>
          <w:szCs w:val="24"/>
        </w:rPr>
        <w:t>Environmental Science and Technology</w:t>
      </w:r>
      <w:r w:rsidRPr="00576B60">
        <w:rPr>
          <w:rFonts w:ascii="Times New Roman" w:hAnsi="Times New Roman" w:cs="Times New Roman"/>
          <w:noProof/>
          <w:sz w:val="24"/>
          <w:szCs w:val="24"/>
        </w:rPr>
        <w:t>. https://doi.org/10.1021/es401820p</w:t>
      </w:r>
    </w:p>
    <w:p w14:paraId="2EB0382A"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Hondo, H. (2005). Life cycle GHG emission analysis of power generation systems: Japanese case. </w:t>
      </w:r>
      <w:r w:rsidRPr="00576B60">
        <w:rPr>
          <w:rFonts w:ascii="Times New Roman" w:hAnsi="Times New Roman" w:cs="Times New Roman"/>
          <w:i/>
          <w:iCs/>
          <w:noProof/>
          <w:sz w:val="24"/>
          <w:szCs w:val="24"/>
        </w:rPr>
        <w:t>Energy</w:t>
      </w:r>
      <w:r w:rsidRPr="00576B60">
        <w:rPr>
          <w:rFonts w:ascii="Times New Roman" w:hAnsi="Times New Roman" w:cs="Times New Roman"/>
          <w:noProof/>
          <w:sz w:val="24"/>
          <w:szCs w:val="24"/>
        </w:rPr>
        <w:t>. https://doi.org/10.1016/j.energy.2004.07.020</w:t>
      </w:r>
    </w:p>
    <w:p w14:paraId="39676A4A"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International Finance Corporation. (2018). Strategic Environmental Assessment of the Myanmar Hydropower Sector. In </w:t>
      </w:r>
      <w:r w:rsidRPr="00576B60">
        <w:rPr>
          <w:rFonts w:ascii="Times New Roman" w:hAnsi="Times New Roman" w:cs="Times New Roman"/>
          <w:i/>
          <w:iCs/>
          <w:noProof/>
          <w:sz w:val="24"/>
          <w:szCs w:val="24"/>
        </w:rPr>
        <w:t>The World Bank</w:t>
      </w:r>
      <w:r w:rsidRPr="00576B60">
        <w:rPr>
          <w:rFonts w:ascii="Times New Roman" w:hAnsi="Times New Roman" w:cs="Times New Roman"/>
          <w:noProof/>
          <w:sz w:val="24"/>
          <w:szCs w:val="24"/>
        </w:rPr>
        <w:t xml:space="preserve"> (Vol. 69, Issue 5). https://doi.org/10.1080/00119253.1968.9940266</w:t>
      </w:r>
    </w:p>
    <w:p w14:paraId="4F657A37"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Intrnational Union for Conservation of Nature. (2015). </w:t>
      </w:r>
      <w:r w:rsidRPr="00576B60">
        <w:rPr>
          <w:rFonts w:ascii="Times New Roman" w:hAnsi="Times New Roman" w:cs="Times New Roman"/>
          <w:i/>
          <w:iCs/>
          <w:noProof/>
          <w:sz w:val="24"/>
          <w:szCs w:val="24"/>
        </w:rPr>
        <w:t>Small scale hydro power Pacific energy projects : Impacts on nature and people</w:t>
      </w:r>
      <w:r w:rsidRPr="00576B60">
        <w:rPr>
          <w:rFonts w:ascii="Times New Roman" w:hAnsi="Times New Roman" w:cs="Times New Roman"/>
          <w:noProof/>
          <w:sz w:val="24"/>
          <w:szCs w:val="24"/>
        </w:rPr>
        <w:t>.</w:t>
      </w:r>
    </w:p>
    <w:p w14:paraId="030E67F3"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Kare, S., &amp; Lomite, H. (2009). </w:t>
      </w:r>
      <w:r w:rsidRPr="00576B60">
        <w:rPr>
          <w:rFonts w:ascii="Times New Roman" w:hAnsi="Times New Roman" w:cs="Times New Roman"/>
          <w:i/>
          <w:iCs/>
          <w:noProof/>
          <w:sz w:val="24"/>
          <w:szCs w:val="24"/>
        </w:rPr>
        <w:t>Impact of Construction Material on Environment-(Steel &amp; Concrete)</w:t>
      </w:r>
      <w:r w:rsidRPr="00576B60">
        <w:rPr>
          <w:rFonts w:ascii="Times New Roman" w:hAnsi="Times New Roman" w:cs="Times New Roman"/>
          <w:noProof/>
          <w:sz w:val="24"/>
          <w:szCs w:val="24"/>
        </w:rPr>
        <w:t xml:space="preserve"> (Issue 1). http://bada.hb.se/handle/2320/4839</w:t>
      </w:r>
    </w:p>
    <w:p w14:paraId="5AB69231"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Karen Human Rights Group. (2018). </w:t>
      </w:r>
      <w:r w:rsidRPr="00576B60">
        <w:rPr>
          <w:rFonts w:ascii="Times New Roman" w:hAnsi="Times New Roman" w:cs="Times New Roman"/>
          <w:i/>
          <w:iCs/>
          <w:noProof/>
          <w:sz w:val="24"/>
          <w:szCs w:val="24"/>
        </w:rPr>
        <w:t>Development or Destruction? The human rights impacts of hydropower development on villagers in Southeast Myanmar</w:t>
      </w:r>
      <w:r w:rsidRPr="00576B60">
        <w:rPr>
          <w:rFonts w:ascii="Times New Roman" w:hAnsi="Times New Roman" w:cs="Times New Roman"/>
          <w:noProof/>
          <w:sz w:val="24"/>
          <w:szCs w:val="24"/>
        </w:rPr>
        <w:t>. www.khrg.org,</w:t>
      </w:r>
    </w:p>
    <w:p w14:paraId="2913557E"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Kibler, K. M., &amp; Tullos, D. D. (2013). </w:t>
      </w:r>
      <w:r w:rsidRPr="00576B60">
        <w:rPr>
          <w:rFonts w:ascii="Times New Roman" w:hAnsi="Times New Roman" w:cs="Times New Roman"/>
          <w:i/>
          <w:iCs/>
          <w:noProof/>
          <w:sz w:val="24"/>
          <w:szCs w:val="24"/>
        </w:rPr>
        <w:t>Cumulative biophysical impact of small and large hydropower development in Nu River , China</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49</w:t>
      </w:r>
      <w:r w:rsidRPr="00576B60">
        <w:rPr>
          <w:rFonts w:ascii="Times New Roman" w:hAnsi="Times New Roman" w:cs="Times New Roman"/>
          <w:noProof/>
          <w:sz w:val="24"/>
          <w:szCs w:val="24"/>
        </w:rPr>
        <w:t>(July 2012), 3104–3118. https://doi.org/10.1002/wrcr.20243</w:t>
      </w:r>
    </w:p>
    <w:p w14:paraId="65C39EA2"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lastRenderedPageBreak/>
        <w:t xml:space="preserve">Kirchherr, J., J. Charles, K., &amp; Walton, M. J. (2017). The interplay of activists and dam developers: the case of Myanmar’s mega-dams. </w:t>
      </w:r>
      <w:r w:rsidRPr="00576B60">
        <w:rPr>
          <w:rFonts w:ascii="Times New Roman" w:hAnsi="Times New Roman" w:cs="Times New Roman"/>
          <w:i/>
          <w:iCs/>
          <w:noProof/>
          <w:sz w:val="24"/>
          <w:szCs w:val="24"/>
        </w:rPr>
        <w:t>International Journal of Water Resources Development</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33</w:t>
      </w:r>
      <w:r w:rsidRPr="00576B60">
        <w:rPr>
          <w:rFonts w:ascii="Times New Roman" w:hAnsi="Times New Roman" w:cs="Times New Roman"/>
          <w:noProof/>
          <w:sz w:val="24"/>
          <w:szCs w:val="24"/>
        </w:rPr>
        <w:t>(1), 111–131. https://doi.org/10.1080/07900627.2016.1179176</w:t>
      </w:r>
    </w:p>
    <w:p w14:paraId="1CA9A138"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Koch, F. H. (2002). </w:t>
      </w:r>
      <w:r w:rsidRPr="00576B60">
        <w:rPr>
          <w:rFonts w:ascii="Times New Roman" w:hAnsi="Times New Roman" w:cs="Times New Roman"/>
          <w:i/>
          <w:iCs/>
          <w:noProof/>
          <w:sz w:val="24"/>
          <w:szCs w:val="24"/>
        </w:rPr>
        <w:t>Hydropower — the politics of water and energy : Introduction and overview</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30</w:t>
      </w:r>
      <w:r w:rsidRPr="00576B60">
        <w:rPr>
          <w:rFonts w:ascii="Times New Roman" w:hAnsi="Times New Roman" w:cs="Times New Roman"/>
          <w:noProof/>
          <w:sz w:val="24"/>
          <w:szCs w:val="24"/>
        </w:rPr>
        <w:t>, 1207–1213.</w:t>
      </w:r>
    </w:p>
    <w:p w14:paraId="329A9831"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Liu, K. F. R., Ko, C. Y., Fan, C., &amp; Chen, C. W. (2013). Incorporating the LCIA concept into fuzzy risk assessment as a tool for environmental impact assessment. </w:t>
      </w:r>
      <w:r w:rsidRPr="00576B60">
        <w:rPr>
          <w:rFonts w:ascii="Times New Roman" w:hAnsi="Times New Roman" w:cs="Times New Roman"/>
          <w:i/>
          <w:iCs/>
          <w:noProof/>
          <w:sz w:val="24"/>
          <w:szCs w:val="24"/>
        </w:rPr>
        <w:t>Stochastic Environmental Research and Risk Assessment</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27</w:t>
      </w:r>
      <w:r w:rsidRPr="00576B60">
        <w:rPr>
          <w:rFonts w:ascii="Times New Roman" w:hAnsi="Times New Roman" w:cs="Times New Roman"/>
          <w:noProof/>
          <w:sz w:val="24"/>
          <w:szCs w:val="24"/>
        </w:rPr>
        <w:t>(4), 849–866. https://doi.org/10.1007/s00477-012-0621-x</w:t>
      </w:r>
    </w:p>
    <w:p w14:paraId="6FCD6823"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Mahasenan, N. S. S. and K. H. (2002). The Cement Industry and Global Climate Change: Current and Potential Future Cement Industry CO2 Emissions. </w:t>
      </w:r>
      <w:r w:rsidRPr="00576B60">
        <w:rPr>
          <w:rFonts w:ascii="Times New Roman" w:hAnsi="Times New Roman" w:cs="Times New Roman"/>
          <w:i/>
          <w:iCs/>
          <w:noProof/>
          <w:sz w:val="24"/>
          <w:szCs w:val="24"/>
        </w:rPr>
        <w:t>Greenhouse Gas Control Technologies - 6th International Conference</w:t>
      </w:r>
      <w:r w:rsidRPr="00576B60">
        <w:rPr>
          <w:rFonts w:ascii="Times New Roman" w:hAnsi="Times New Roman" w:cs="Times New Roman"/>
          <w:noProof/>
          <w:sz w:val="24"/>
          <w:szCs w:val="24"/>
        </w:rPr>
        <w:t>.</w:t>
      </w:r>
    </w:p>
    <w:p w14:paraId="36210CD6"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Mallia, E., &amp; Lewis, G. (2013). Life cycle greenhouse gas emissions of electricity generation in the province of Ontario, Canada. </w:t>
      </w:r>
      <w:r w:rsidRPr="00576B60">
        <w:rPr>
          <w:rFonts w:ascii="Times New Roman" w:hAnsi="Times New Roman" w:cs="Times New Roman"/>
          <w:i/>
          <w:iCs/>
          <w:noProof/>
          <w:sz w:val="24"/>
          <w:szCs w:val="24"/>
        </w:rPr>
        <w:t>International Journal of Life Cycle Assessment</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18</w:t>
      </w:r>
      <w:r w:rsidRPr="00576B60">
        <w:rPr>
          <w:rFonts w:ascii="Times New Roman" w:hAnsi="Times New Roman" w:cs="Times New Roman"/>
          <w:noProof/>
          <w:sz w:val="24"/>
          <w:szCs w:val="24"/>
        </w:rPr>
        <w:t>(2), 377–391. https://doi.org/10.1007/s11367-012-0501-0</w:t>
      </w:r>
    </w:p>
    <w:p w14:paraId="2CF64CFA"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Myanmar Information Management Unit. (2010). </w:t>
      </w:r>
      <w:r w:rsidRPr="00576B60">
        <w:rPr>
          <w:rFonts w:ascii="Times New Roman" w:hAnsi="Times New Roman" w:cs="Times New Roman"/>
          <w:i/>
          <w:iCs/>
          <w:noProof/>
          <w:sz w:val="24"/>
          <w:szCs w:val="24"/>
        </w:rPr>
        <w:t>Koppen-Geiger Climate Zones of Myanmar (1986-2010) 90°</w:t>
      </w:r>
      <w:r w:rsidRPr="00576B60">
        <w:rPr>
          <w:rFonts w:ascii="Times New Roman" w:hAnsi="Times New Roman" w:cs="Times New Roman"/>
          <w:noProof/>
          <w:sz w:val="24"/>
          <w:szCs w:val="24"/>
        </w:rPr>
        <w:t>.</w:t>
      </w:r>
    </w:p>
    <w:p w14:paraId="7FF3E77C"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Naik, T. R. (2007). Sustainability of the cement and concrete industries. </w:t>
      </w:r>
      <w:r w:rsidRPr="00576B60">
        <w:rPr>
          <w:rFonts w:ascii="Times New Roman" w:hAnsi="Times New Roman" w:cs="Times New Roman"/>
          <w:i/>
          <w:iCs/>
          <w:noProof/>
          <w:sz w:val="24"/>
          <w:szCs w:val="24"/>
        </w:rPr>
        <w:t>Sustainable Construction Materials and Technologies - International Conference on Sustainable Construction Materials and Technologies</w:t>
      </w:r>
      <w:r w:rsidRPr="00576B60">
        <w:rPr>
          <w:rFonts w:ascii="Times New Roman" w:hAnsi="Times New Roman" w:cs="Times New Roman"/>
          <w:noProof/>
          <w:sz w:val="24"/>
          <w:szCs w:val="24"/>
        </w:rPr>
        <w:t>, 19–25. https://doi.org/10.1680/asic.34044.0017</w:t>
      </w:r>
    </w:p>
    <w:p w14:paraId="4B0489FD"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NASA LP DAAC. (2000). </w:t>
      </w:r>
      <w:r w:rsidRPr="00576B60">
        <w:rPr>
          <w:rFonts w:ascii="Times New Roman" w:hAnsi="Times New Roman" w:cs="Times New Roman"/>
          <w:i/>
          <w:iCs/>
          <w:noProof/>
          <w:sz w:val="24"/>
          <w:szCs w:val="24"/>
        </w:rPr>
        <w:t>MOD17A3H.006: Terra Net Primary Production Yearly Global 500m</w:t>
      </w:r>
      <w:r w:rsidRPr="00576B60">
        <w:rPr>
          <w:rFonts w:ascii="Times New Roman" w:hAnsi="Times New Roman" w:cs="Times New Roman"/>
          <w:noProof/>
          <w:sz w:val="24"/>
          <w:szCs w:val="24"/>
        </w:rPr>
        <w:t>. https://developers.google.com/earth-engine/datasets/catalog/MODIS_006_MOD17A3H</w:t>
      </w:r>
    </w:p>
    <w:p w14:paraId="082E9830"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Opperman, J., Hartmann, J., Raepple, J., Angarita, H., Beames, P., Chapin, E., Geressu, R., Grill, G., Julien, H., Hurford, A., Kammen, D., Kelman, R., Martin, E., Martins, T., Peters, R., Rogéliz, C., &amp; Shirley, R. (2017). </w:t>
      </w:r>
      <w:r w:rsidRPr="00576B60">
        <w:rPr>
          <w:rFonts w:ascii="Times New Roman" w:hAnsi="Times New Roman" w:cs="Times New Roman"/>
          <w:i/>
          <w:iCs/>
          <w:noProof/>
          <w:sz w:val="24"/>
          <w:szCs w:val="24"/>
        </w:rPr>
        <w:t>The Power of Rivers A Business Case</w:t>
      </w:r>
      <w:r w:rsidRPr="00576B60">
        <w:rPr>
          <w:rFonts w:ascii="Times New Roman" w:hAnsi="Times New Roman" w:cs="Times New Roman"/>
          <w:noProof/>
          <w:sz w:val="24"/>
          <w:szCs w:val="24"/>
        </w:rPr>
        <w:t>.</w:t>
      </w:r>
    </w:p>
    <w:p w14:paraId="7E9124C7"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Pacca, S. (2007). Impacts from decommissioning of hydroelectric dams: A life cycle perspective. </w:t>
      </w:r>
      <w:r w:rsidRPr="00576B60">
        <w:rPr>
          <w:rFonts w:ascii="Times New Roman" w:hAnsi="Times New Roman" w:cs="Times New Roman"/>
          <w:i/>
          <w:iCs/>
          <w:noProof/>
          <w:sz w:val="24"/>
          <w:szCs w:val="24"/>
        </w:rPr>
        <w:t>Climatic Change</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84</w:t>
      </w:r>
      <w:r w:rsidRPr="00576B60">
        <w:rPr>
          <w:rFonts w:ascii="Times New Roman" w:hAnsi="Times New Roman" w:cs="Times New Roman"/>
          <w:noProof/>
          <w:sz w:val="24"/>
          <w:szCs w:val="24"/>
        </w:rPr>
        <w:t>(3–4), 281–294. https://doi.org/10.1007/s10584-007-9261-4</w:t>
      </w:r>
    </w:p>
    <w:p w14:paraId="213CE11A"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Pang, M., &amp; Zhang, Lixiao; Wang, Changbo &amp; Liu, G. (2015). Environmental life cycle assessment of a small hydropower plant in China. </w:t>
      </w:r>
      <w:r w:rsidRPr="00576B60">
        <w:rPr>
          <w:rFonts w:ascii="Times New Roman" w:hAnsi="Times New Roman" w:cs="Times New Roman"/>
          <w:i/>
          <w:iCs/>
          <w:noProof/>
          <w:sz w:val="24"/>
          <w:szCs w:val="24"/>
        </w:rPr>
        <w:t>Int J Life Cycle Assess</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20</w:t>
      </w:r>
      <w:r w:rsidRPr="00576B60">
        <w:rPr>
          <w:rFonts w:ascii="Times New Roman" w:hAnsi="Times New Roman" w:cs="Times New Roman"/>
          <w:noProof/>
          <w:sz w:val="24"/>
          <w:szCs w:val="24"/>
        </w:rPr>
        <w:t>, 796–806. https://doi.org/DOI 10.1007/s11367-015-0878-7</w:t>
      </w:r>
    </w:p>
    <w:p w14:paraId="37947132"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Pascale, A., Urmee, T., &amp; Moore, A. (2011). Life cycle assessment of a community hydroelectric power system in rural Thailand. </w:t>
      </w:r>
      <w:r w:rsidRPr="00576B60">
        <w:rPr>
          <w:rFonts w:ascii="Times New Roman" w:hAnsi="Times New Roman" w:cs="Times New Roman"/>
          <w:i/>
          <w:iCs/>
          <w:noProof/>
          <w:sz w:val="24"/>
          <w:szCs w:val="24"/>
        </w:rPr>
        <w:t>Renewable Energy</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36</w:t>
      </w:r>
      <w:r w:rsidRPr="00576B60">
        <w:rPr>
          <w:rFonts w:ascii="Times New Roman" w:hAnsi="Times New Roman" w:cs="Times New Roman"/>
          <w:noProof/>
          <w:sz w:val="24"/>
          <w:szCs w:val="24"/>
        </w:rPr>
        <w:t>(11), 2799–2808. https://doi.org/10.1016/j.renene.2011.04.023</w:t>
      </w:r>
    </w:p>
    <w:p w14:paraId="54C76155"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Peng, D., Zhang, B., Wu, C., Huete, A. R., Gonsamo, A., Lei, L., Ponce-Campos, G. E., Liu, X., &amp; Wu, Y. (2017). Country-level net primary production distribution and response to drought and land cover change. </w:t>
      </w:r>
      <w:r w:rsidRPr="00576B60">
        <w:rPr>
          <w:rFonts w:ascii="Times New Roman" w:hAnsi="Times New Roman" w:cs="Times New Roman"/>
          <w:i/>
          <w:iCs/>
          <w:noProof/>
          <w:sz w:val="24"/>
          <w:szCs w:val="24"/>
        </w:rPr>
        <w:t>Science of the Total Environment</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574</w:t>
      </w:r>
      <w:r w:rsidRPr="00576B60">
        <w:rPr>
          <w:rFonts w:ascii="Times New Roman" w:hAnsi="Times New Roman" w:cs="Times New Roman"/>
          <w:noProof/>
          <w:sz w:val="24"/>
          <w:szCs w:val="24"/>
        </w:rPr>
        <w:t>, 65–77. https://doi.org/10.1016/j.scitotenv.2016.09.033</w:t>
      </w:r>
    </w:p>
    <w:p w14:paraId="7FEDCF5E"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Potter, C., Klooster, S., Genovese, V., &amp; Hiatt, C. (2013). Forest production predicted from satellite image analysis for the Southeast Asia region. </w:t>
      </w:r>
      <w:r w:rsidRPr="00576B60">
        <w:rPr>
          <w:rFonts w:ascii="Times New Roman" w:hAnsi="Times New Roman" w:cs="Times New Roman"/>
          <w:i/>
          <w:iCs/>
          <w:noProof/>
          <w:sz w:val="24"/>
          <w:szCs w:val="24"/>
        </w:rPr>
        <w:t xml:space="preserve">Carbon Balance and </w:t>
      </w:r>
      <w:r w:rsidRPr="00576B60">
        <w:rPr>
          <w:rFonts w:ascii="Times New Roman" w:hAnsi="Times New Roman" w:cs="Times New Roman"/>
          <w:i/>
          <w:iCs/>
          <w:noProof/>
          <w:sz w:val="24"/>
          <w:szCs w:val="24"/>
        </w:rPr>
        <w:lastRenderedPageBreak/>
        <w:t>Management</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8</w:t>
      </w:r>
      <w:r w:rsidRPr="00576B60">
        <w:rPr>
          <w:rFonts w:ascii="Times New Roman" w:hAnsi="Times New Roman" w:cs="Times New Roman"/>
          <w:noProof/>
          <w:sz w:val="24"/>
          <w:szCs w:val="24"/>
        </w:rPr>
        <w:t>(1), 1. https://doi.org/10.1186/1750-0680-8-9</w:t>
      </w:r>
    </w:p>
    <w:p w14:paraId="61395304"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Premakumara, D. G. J., Hengesbaugh, M., &amp; Hlaing, O. M. T. (2016). Quick Study on Waste Management in Myanmar. </w:t>
      </w:r>
      <w:r w:rsidRPr="00576B60">
        <w:rPr>
          <w:rFonts w:ascii="Times New Roman" w:hAnsi="Times New Roman" w:cs="Times New Roman"/>
          <w:i/>
          <w:iCs/>
          <w:noProof/>
          <w:sz w:val="24"/>
          <w:szCs w:val="24"/>
        </w:rPr>
        <w:t>First National/City Workshops for Developing National/City Waste Management Strategies in Myanmar</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June</w:t>
      </w:r>
      <w:r w:rsidRPr="00576B60">
        <w:rPr>
          <w:rFonts w:ascii="Times New Roman" w:hAnsi="Times New Roman" w:cs="Times New Roman"/>
          <w:noProof/>
          <w:sz w:val="24"/>
          <w:szCs w:val="24"/>
        </w:rPr>
        <w:t>, 13–17. https://pub.iges.or.jp/pub/quick-study-waste-management-myanmar-current</w:t>
      </w:r>
    </w:p>
    <w:p w14:paraId="6F32A2AE"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Rao, R. V. (1989). Large and small dams. </w:t>
      </w:r>
      <w:r w:rsidRPr="00576B60">
        <w:rPr>
          <w:rFonts w:ascii="Times New Roman" w:hAnsi="Times New Roman" w:cs="Times New Roman"/>
          <w:i/>
          <w:iCs/>
          <w:noProof/>
          <w:sz w:val="24"/>
          <w:szCs w:val="24"/>
        </w:rPr>
        <w:t>International Journal of Water Resources Development</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5</w:t>
      </w:r>
      <w:r w:rsidRPr="00576B60">
        <w:rPr>
          <w:rFonts w:ascii="Times New Roman" w:hAnsi="Times New Roman" w:cs="Times New Roman"/>
          <w:noProof/>
          <w:sz w:val="24"/>
          <w:szCs w:val="24"/>
        </w:rPr>
        <w:t>(2).</w:t>
      </w:r>
    </w:p>
    <w:p w14:paraId="0497F270"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Ribeiro, F. de M., &amp; da Silva, G. A. (2010). Life-cycle inventory for hydroelectric generation: a Brazilian case study. </w:t>
      </w:r>
      <w:r w:rsidRPr="00576B60">
        <w:rPr>
          <w:rFonts w:ascii="Times New Roman" w:hAnsi="Times New Roman" w:cs="Times New Roman"/>
          <w:i/>
          <w:iCs/>
          <w:noProof/>
          <w:sz w:val="24"/>
          <w:szCs w:val="24"/>
        </w:rPr>
        <w:t>Journal of Cleaner Production</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18</w:t>
      </w:r>
      <w:r w:rsidRPr="00576B60">
        <w:rPr>
          <w:rFonts w:ascii="Times New Roman" w:hAnsi="Times New Roman" w:cs="Times New Roman"/>
          <w:noProof/>
          <w:sz w:val="24"/>
          <w:szCs w:val="24"/>
        </w:rPr>
        <w:t>(1), 44–54. https://doi.org/10.1016/j.jclepro.2009.09.006</w:t>
      </w:r>
    </w:p>
    <w:p w14:paraId="543C64AA"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Santoyo-Castelazo, E., &amp; Azapagic, A. (2014). Sustainability assessment of energy systems: Integrating environmental, economic and social aspects. </w:t>
      </w:r>
      <w:r w:rsidRPr="00576B60">
        <w:rPr>
          <w:rFonts w:ascii="Times New Roman" w:hAnsi="Times New Roman" w:cs="Times New Roman"/>
          <w:i/>
          <w:iCs/>
          <w:noProof/>
          <w:sz w:val="24"/>
          <w:szCs w:val="24"/>
        </w:rPr>
        <w:t>Journal of Cleaner Production</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80</w:t>
      </w:r>
      <w:r w:rsidRPr="00576B60">
        <w:rPr>
          <w:rFonts w:ascii="Times New Roman" w:hAnsi="Times New Roman" w:cs="Times New Roman"/>
          <w:noProof/>
          <w:sz w:val="24"/>
          <w:szCs w:val="24"/>
        </w:rPr>
        <w:t>(2014), 119–138. https://doi.org/10.1016/j.jclepro.2014.05.061</w:t>
      </w:r>
    </w:p>
    <w:p w14:paraId="2BEEAD85"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Siddiqui, O., &amp; Dincer, I. (2017). Comparative assessment of the environmental impacts of nuclear, wind and hydro-electric power plants in Ontario: A life cycle assessment. </w:t>
      </w:r>
      <w:r w:rsidRPr="00576B60">
        <w:rPr>
          <w:rFonts w:ascii="Times New Roman" w:hAnsi="Times New Roman" w:cs="Times New Roman"/>
          <w:i/>
          <w:iCs/>
          <w:noProof/>
          <w:sz w:val="24"/>
          <w:szCs w:val="24"/>
        </w:rPr>
        <w:t>Journal of Cleaner Production</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164</w:t>
      </w:r>
      <w:r w:rsidRPr="00576B60">
        <w:rPr>
          <w:rFonts w:ascii="Times New Roman" w:hAnsi="Times New Roman" w:cs="Times New Roman"/>
          <w:noProof/>
          <w:sz w:val="24"/>
          <w:szCs w:val="24"/>
        </w:rPr>
        <w:t>, 848–860. https://doi.org/10.1016/j.jclepro.2017.06.237</w:t>
      </w:r>
    </w:p>
    <w:p w14:paraId="7E838009"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Song, C., Gardner, K. H., Klein, S. J. W., Souza, S. P., &amp; Mo, W. (2018). Cradle-to-grave greenhouse gas emissions from dams in the United States of America. </w:t>
      </w:r>
      <w:r w:rsidRPr="00576B60">
        <w:rPr>
          <w:rFonts w:ascii="Times New Roman" w:hAnsi="Times New Roman" w:cs="Times New Roman"/>
          <w:i/>
          <w:iCs/>
          <w:noProof/>
          <w:sz w:val="24"/>
          <w:szCs w:val="24"/>
        </w:rPr>
        <w:t>Renewable and Sustainable Energy Reviews</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90</w:t>
      </w:r>
      <w:r w:rsidRPr="00576B60">
        <w:rPr>
          <w:rFonts w:ascii="Times New Roman" w:hAnsi="Times New Roman" w:cs="Times New Roman"/>
          <w:noProof/>
          <w:sz w:val="24"/>
          <w:szCs w:val="24"/>
        </w:rPr>
        <w:t>(July 2017), 945–956. https://doi.org/10.1016/j.rser.2018.04.014</w:t>
      </w:r>
    </w:p>
    <w:p w14:paraId="15D3C65E"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Strobl, E. B. and E. (2013). </w:t>
      </w:r>
      <w:r w:rsidRPr="00576B60">
        <w:rPr>
          <w:rFonts w:ascii="Times New Roman" w:hAnsi="Times New Roman" w:cs="Times New Roman"/>
          <w:i/>
          <w:iCs/>
          <w:noProof/>
          <w:sz w:val="24"/>
          <w:szCs w:val="24"/>
        </w:rPr>
        <w:t>Is Small Better? A Comparison of the Effect of Large and Small Dams on Cropland Productivity in South Africa</w:t>
      </w:r>
      <w:r w:rsidRPr="00576B60">
        <w:rPr>
          <w:rFonts w:ascii="Times New Roman" w:hAnsi="Times New Roman" w:cs="Times New Roman"/>
          <w:noProof/>
          <w:sz w:val="24"/>
          <w:szCs w:val="24"/>
        </w:rPr>
        <w:t>.</w:t>
      </w:r>
    </w:p>
    <w:p w14:paraId="786DC99B"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Suwanit, W., &amp; Gheewala, S. H. (2011). Life cycle assessment of mini-hydropower plants in Thailand. </w:t>
      </w:r>
      <w:r w:rsidRPr="00576B60">
        <w:rPr>
          <w:rFonts w:ascii="Times New Roman" w:hAnsi="Times New Roman" w:cs="Times New Roman"/>
          <w:i/>
          <w:iCs/>
          <w:noProof/>
          <w:sz w:val="24"/>
          <w:szCs w:val="24"/>
        </w:rPr>
        <w:t>International Journal of Life Cycle Assessment</w:t>
      </w:r>
      <w:r w:rsidRPr="00576B60">
        <w:rPr>
          <w:rFonts w:ascii="Times New Roman" w:hAnsi="Times New Roman" w:cs="Times New Roman"/>
          <w:noProof/>
          <w:sz w:val="24"/>
          <w:szCs w:val="24"/>
        </w:rPr>
        <w:t>. https://doi.org/10.1007/s11367-011-0311-9</w:t>
      </w:r>
    </w:p>
    <w:p w14:paraId="26DC27C3"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The Nature Conservancy. (2016). </w:t>
      </w:r>
      <w:r w:rsidRPr="00576B60">
        <w:rPr>
          <w:rFonts w:ascii="Times New Roman" w:hAnsi="Times New Roman" w:cs="Times New Roman"/>
          <w:i/>
          <w:iCs/>
          <w:noProof/>
          <w:sz w:val="24"/>
          <w:szCs w:val="24"/>
        </w:rPr>
        <w:t>Improving Hydropower Outcomes Through System-Scale Planning : An Example from Myanmar</w:t>
      </w:r>
      <w:r w:rsidRPr="00576B60">
        <w:rPr>
          <w:rFonts w:ascii="Times New Roman" w:hAnsi="Times New Roman" w:cs="Times New Roman"/>
          <w:noProof/>
          <w:sz w:val="24"/>
          <w:szCs w:val="24"/>
        </w:rPr>
        <w:t>.</w:t>
      </w:r>
    </w:p>
    <w:p w14:paraId="66EE1F68"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Tremblay, A. (2005). Greenhouse gas emissions – fluxes and processes: Hydroelectric reservoirs and natural environments. In </w:t>
      </w:r>
      <w:r w:rsidRPr="00576B60">
        <w:rPr>
          <w:rFonts w:ascii="Times New Roman" w:hAnsi="Times New Roman" w:cs="Times New Roman"/>
          <w:i/>
          <w:iCs/>
          <w:noProof/>
          <w:sz w:val="24"/>
          <w:szCs w:val="24"/>
        </w:rPr>
        <w:t>Environmental Science Series</w:t>
      </w:r>
      <w:r w:rsidRPr="00576B60">
        <w:rPr>
          <w:rFonts w:ascii="Times New Roman" w:hAnsi="Times New Roman" w:cs="Times New Roman"/>
          <w:noProof/>
          <w:sz w:val="24"/>
          <w:szCs w:val="24"/>
        </w:rPr>
        <w:t>.</w:t>
      </w:r>
    </w:p>
    <w:p w14:paraId="5837C221"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Tsai, L. S. (2015). </w:t>
      </w:r>
      <w:r w:rsidRPr="00576B60">
        <w:rPr>
          <w:rFonts w:ascii="Times New Roman" w:hAnsi="Times New Roman" w:cs="Times New Roman"/>
          <w:i/>
          <w:iCs/>
          <w:noProof/>
          <w:sz w:val="24"/>
          <w:szCs w:val="24"/>
        </w:rPr>
        <w:t>Gender and hydropower in Myanmar today</w:t>
      </w:r>
      <w:r w:rsidRPr="00576B60">
        <w:rPr>
          <w:rFonts w:ascii="Times New Roman" w:hAnsi="Times New Roman" w:cs="Times New Roman"/>
          <w:noProof/>
          <w:sz w:val="24"/>
          <w:szCs w:val="24"/>
        </w:rPr>
        <w:t>. https://www.oxfam.org.au/wp-content/uploads/2015/09/2015-30-Myanmar-Country-Report_FA_WEB.pdf</w:t>
      </w:r>
    </w:p>
    <w:p w14:paraId="6E1F54A9"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Turconi, R., Boldrin, A., &amp; Astrup, T. (2013). Life cycle assessment ( LCA ) of electricity generation technologies : Overview , comparability and limitations. </w:t>
      </w:r>
      <w:r w:rsidRPr="00576B60">
        <w:rPr>
          <w:rFonts w:ascii="Times New Roman" w:hAnsi="Times New Roman" w:cs="Times New Roman"/>
          <w:i/>
          <w:iCs/>
          <w:noProof/>
          <w:sz w:val="24"/>
          <w:szCs w:val="24"/>
        </w:rPr>
        <w:t>Renewable and Sustainable Energy Reviews</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28</w:t>
      </w:r>
      <w:r w:rsidRPr="00576B60">
        <w:rPr>
          <w:rFonts w:ascii="Times New Roman" w:hAnsi="Times New Roman" w:cs="Times New Roman"/>
          <w:noProof/>
          <w:sz w:val="24"/>
          <w:szCs w:val="24"/>
        </w:rPr>
        <w:t>, 555–565. https://doi.org/10.1016/j.rser.2013.08.013</w:t>
      </w:r>
    </w:p>
    <w:p w14:paraId="42FFCE15"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Turconi, R., Tonini, D., Nielsen, C. F. B., Simonsen, C. G., &amp; Astrup, T. (2014). Environmental impacts of future low-carbon electricity systems: Detailed life cycle assessment of a Danish case study. </w:t>
      </w:r>
      <w:r w:rsidRPr="00576B60">
        <w:rPr>
          <w:rFonts w:ascii="Times New Roman" w:hAnsi="Times New Roman" w:cs="Times New Roman"/>
          <w:i/>
          <w:iCs/>
          <w:noProof/>
          <w:sz w:val="24"/>
          <w:szCs w:val="24"/>
        </w:rPr>
        <w:t>Applied Energy</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132</w:t>
      </w:r>
      <w:r w:rsidRPr="00576B60">
        <w:rPr>
          <w:rFonts w:ascii="Times New Roman" w:hAnsi="Times New Roman" w:cs="Times New Roman"/>
          <w:noProof/>
          <w:sz w:val="24"/>
          <w:szCs w:val="24"/>
        </w:rPr>
        <w:t>(x), 66–73. https://doi.org/10.1016/j.apenergy.2014.06.078</w:t>
      </w:r>
    </w:p>
    <w:p w14:paraId="6A91CAAD"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Varun, Prakash, R., &amp; Bhat, I. K. (2012). Life cycle greenhouse gas emissions estimation for small hydropower schemes in India. </w:t>
      </w:r>
      <w:r w:rsidRPr="00576B60">
        <w:rPr>
          <w:rFonts w:ascii="Times New Roman" w:hAnsi="Times New Roman" w:cs="Times New Roman"/>
          <w:i/>
          <w:iCs/>
          <w:noProof/>
          <w:sz w:val="24"/>
          <w:szCs w:val="24"/>
        </w:rPr>
        <w:t>Energy</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44</w:t>
      </w:r>
      <w:r w:rsidRPr="00576B60">
        <w:rPr>
          <w:rFonts w:ascii="Times New Roman" w:hAnsi="Times New Roman" w:cs="Times New Roman"/>
          <w:noProof/>
          <w:sz w:val="24"/>
          <w:szCs w:val="24"/>
        </w:rPr>
        <w:t xml:space="preserve">(1), 498–508. </w:t>
      </w:r>
      <w:r w:rsidRPr="00576B60">
        <w:rPr>
          <w:rFonts w:ascii="Times New Roman" w:hAnsi="Times New Roman" w:cs="Times New Roman"/>
          <w:noProof/>
          <w:sz w:val="24"/>
          <w:szCs w:val="24"/>
        </w:rPr>
        <w:lastRenderedPageBreak/>
        <w:t>https://doi.org/10.1016/j.energy.2012.05.052</w:t>
      </w:r>
    </w:p>
    <w:p w14:paraId="761940E3"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Verán-Leigh, D., &amp; Vázquez-Rowe, I. (2019). Life cycle assessment of run-of-river hydropower plants in the Peruvian Andes: a policy support perspective. </w:t>
      </w:r>
      <w:r w:rsidRPr="00576B60">
        <w:rPr>
          <w:rFonts w:ascii="Times New Roman" w:hAnsi="Times New Roman" w:cs="Times New Roman"/>
          <w:i/>
          <w:iCs/>
          <w:noProof/>
          <w:sz w:val="24"/>
          <w:szCs w:val="24"/>
        </w:rPr>
        <w:t>International Journal of Life Cycle Assessment</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24</w:t>
      </w:r>
      <w:r w:rsidRPr="00576B60">
        <w:rPr>
          <w:rFonts w:ascii="Times New Roman" w:hAnsi="Times New Roman" w:cs="Times New Roman"/>
          <w:noProof/>
          <w:sz w:val="24"/>
          <w:szCs w:val="24"/>
        </w:rPr>
        <w:t>(8), 1376–1395. https://doi.org/10.1007/s11367-018-01579-2</w:t>
      </w:r>
    </w:p>
    <w:p w14:paraId="41DB2FD6"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Wang, C., Myint, S. W., &amp; Hutchins, M. (2019). The assessment of deforestation, forest degradation, and carbon release in myanmar 2000-2010. In </w:t>
      </w:r>
      <w:r w:rsidRPr="00576B60">
        <w:rPr>
          <w:rFonts w:ascii="Times New Roman" w:hAnsi="Times New Roman" w:cs="Times New Roman"/>
          <w:i/>
          <w:iCs/>
          <w:noProof/>
          <w:sz w:val="24"/>
          <w:szCs w:val="24"/>
        </w:rPr>
        <w:t>Environmental Change in the Himalayan Region: Twelve Case Studies</w:t>
      </w:r>
      <w:r w:rsidRPr="00576B60">
        <w:rPr>
          <w:rFonts w:ascii="Times New Roman" w:hAnsi="Times New Roman" w:cs="Times New Roman"/>
          <w:noProof/>
          <w:sz w:val="24"/>
          <w:szCs w:val="24"/>
        </w:rPr>
        <w:t>. Springer. https://doi.org/10.1007/978-3-030-03362-0_3</w:t>
      </w:r>
    </w:p>
    <w:p w14:paraId="10C709D3"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Weidema, B.P., Wesnæs, M. S. (1996). Data quality management for life cycle inventories — an example of using data quality indicators. </w:t>
      </w:r>
      <w:r w:rsidRPr="00576B60">
        <w:rPr>
          <w:rFonts w:ascii="Times New Roman" w:hAnsi="Times New Roman" w:cs="Times New Roman"/>
          <w:i/>
          <w:iCs/>
          <w:noProof/>
          <w:sz w:val="24"/>
          <w:szCs w:val="24"/>
        </w:rPr>
        <w:t>Journal of Cleaner Production</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4</w:t>
      </w:r>
      <w:r w:rsidRPr="00576B60">
        <w:rPr>
          <w:rFonts w:ascii="Times New Roman" w:hAnsi="Times New Roman" w:cs="Times New Roman"/>
          <w:noProof/>
          <w:sz w:val="24"/>
          <w:szCs w:val="24"/>
        </w:rPr>
        <w:t>, 167–174.</w:t>
      </w:r>
    </w:p>
    <w:p w14:paraId="3ED09867"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Zakrzewski, S. F. (2002). </w:t>
      </w:r>
      <w:r w:rsidRPr="00576B60">
        <w:rPr>
          <w:rFonts w:ascii="Times New Roman" w:hAnsi="Times New Roman" w:cs="Times New Roman"/>
          <w:i/>
          <w:iCs/>
          <w:noProof/>
          <w:sz w:val="24"/>
          <w:szCs w:val="24"/>
        </w:rPr>
        <w:t>Environmental Toxicology</w:t>
      </w:r>
      <w:r w:rsidRPr="00576B60">
        <w:rPr>
          <w:rFonts w:ascii="Times New Roman" w:hAnsi="Times New Roman" w:cs="Times New Roman"/>
          <w:noProof/>
          <w:sz w:val="24"/>
          <w:szCs w:val="24"/>
        </w:rPr>
        <w:t xml:space="preserve"> (3rd ed.). Oxford University Press.</w:t>
      </w:r>
    </w:p>
    <w:p w14:paraId="63737C76"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szCs w:val="24"/>
        </w:rPr>
      </w:pPr>
      <w:r w:rsidRPr="00576B60">
        <w:rPr>
          <w:rFonts w:ascii="Times New Roman" w:hAnsi="Times New Roman" w:cs="Times New Roman"/>
          <w:noProof/>
          <w:sz w:val="24"/>
          <w:szCs w:val="24"/>
        </w:rPr>
        <w:t xml:space="preserve">Zhang, J., Xu, L., &amp; Li, X. (2015). Review on the externalities of hydropower: A comparison between large and small hydropower projects in Tibet based on the CO2 equivalent. </w:t>
      </w:r>
      <w:r w:rsidRPr="00576B60">
        <w:rPr>
          <w:rFonts w:ascii="Times New Roman" w:hAnsi="Times New Roman" w:cs="Times New Roman"/>
          <w:i/>
          <w:iCs/>
          <w:noProof/>
          <w:sz w:val="24"/>
          <w:szCs w:val="24"/>
        </w:rPr>
        <w:t>Renewable and Sustainable Energy Reviews</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50</w:t>
      </w:r>
      <w:r w:rsidRPr="00576B60">
        <w:rPr>
          <w:rFonts w:ascii="Times New Roman" w:hAnsi="Times New Roman" w:cs="Times New Roman"/>
          <w:noProof/>
          <w:sz w:val="24"/>
          <w:szCs w:val="24"/>
        </w:rPr>
        <w:t>, 176–185. https://doi.org/10.1016/j.rser.2015.04.150</w:t>
      </w:r>
    </w:p>
    <w:p w14:paraId="607A9AEC" w14:textId="77777777" w:rsidR="00576B60" w:rsidRPr="00576B60" w:rsidRDefault="00576B60" w:rsidP="00576B60">
      <w:pPr>
        <w:widowControl w:val="0"/>
        <w:autoSpaceDE w:val="0"/>
        <w:autoSpaceDN w:val="0"/>
        <w:adjustRightInd w:val="0"/>
        <w:spacing w:line="240" w:lineRule="auto"/>
        <w:ind w:left="480" w:hanging="480"/>
        <w:rPr>
          <w:rFonts w:ascii="Times New Roman" w:hAnsi="Times New Roman" w:cs="Times New Roman"/>
          <w:noProof/>
          <w:sz w:val="24"/>
        </w:rPr>
      </w:pPr>
      <w:r w:rsidRPr="00576B60">
        <w:rPr>
          <w:rFonts w:ascii="Times New Roman" w:hAnsi="Times New Roman" w:cs="Times New Roman"/>
          <w:noProof/>
          <w:sz w:val="24"/>
          <w:szCs w:val="24"/>
        </w:rPr>
        <w:t xml:space="preserve">Zhang, Q., Karney, B., MacLean, H. L., &amp; Feng, J. (2007). Life-cycle inventory of energy use and greenhouse gas emissions for two hydropower projects in China. </w:t>
      </w:r>
      <w:r w:rsidRPr="00576B60">
        <w:rPr>
          <w:rFonts w:ascii="Times New Roman" w:hAnsi="Times New Roman" w:cs="Times New Roman"/>
          <w:i/>
          <w:iCs/>
          <w:noProof/>
          <w:sz w:val="24"/>
          <w:szCs w:val="24"/>
        </w:rPr>
        <w:t>Journal of Infrastructure Systems</w:t>
      </w:r>
      <w:r w:rsidRPr="00576B60">
        <w:rPr>
          <w:rFonts w:ascii="Times New Roman" w:hAnsi="Times New Roman" w:cs="Times New Roman"/>
          <w:noProof/>
          <w:sz w:val="24"/>
          <w:szCs w:val="24"/>
        </w:rPr>
        <w:t xml:space="preserve">, </w:t>
      </w:r>
      <w:r w:rsidRPr="00576B60">
        <w:rPr>
          <w:rFonts w:ascii="Times New Roman" w:hAnsi="Times New Roman" w:cs="Times New Roman"/>
          <w:i/>
          <w:iCs/>
          <w:noProof/>
          <w:sz w:val="24"/>
          <w:szCs w:val="24"/>
        </w:rPr>
        <w:t>13</w:t>
      </w:r>
      <w:r w:rsidRPr="00576B60">
        <w:rPr>
          <w:rFonts w:ascii="Times New Roman" w:hAnsi="Times New Roman" w:cs="Times New Roman"/>
          <w:noProof/>
          <w:sz w:val="24"/>
          <w:szCs w:val="24"/>
        </w:rPr>
        <w:t>(4), 271–279. https://doi.org/10.1061/(ASCE)1076-0342(2007)13:4(271)</w:t>
      </w:r>
    </w:p>
    <w:p w14:paraId="271950F0" w14:textId="68539A5C" w:rsidR="00E24B8D" w:rsidRDefault="00AF6076" w:rsidP="004F2BB1">
      <w:pPr>
        <w:widowControl w:val="0"/>
        <w:autoSpaceDE w:val="0"/>
        <w:autoSpaceDN w:val="0"/>
        <w:adjustRightInd w:val="0"/>
        <w:spacing w:line="240" w:lineRule="auto"/>
      </w:pPr>
      <w:r w:rsidRPr="00AF6076">
        <w:rPr>
          <w:rFonts w:ascii="Times New Roman" w:hAnsi="Times New Roman" w:cs="Times New Roman"/>
          <w:sz w:val="24"/>
          <w:szCs w:val="24"/>
        </w:rPr>
        <w:fldChar w:fldCharType="end"/>
      </w:r>
    </w:p>
    <w:sectPr w:rsidR="00E24B8D" w:rsidSect="004F2BB1">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33D9E" w14:textId="77777777" w:rsidR="00311516" w:rsidRDefault="00311516" w:rsidP="00451A3A">
      <w:pPr>
        <w:spacing w:after="0" w:line="240" w:lineRule="auto"/>
      </w:pPr>
      <w:r>
        <w:separator/>
      </w:r>
    </w:p>
  </w:endnote>
  <w:endnote w:type="continuationSeparator" w:id="0">
    <w:p w14:paraId="447FCE3E" w14:textId="77777777" w:rsidR="00311516" w:rsidRDefault="00311516" w:rsidP="00451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89584"/>
      <w:docPartObj>
        <w:docPartGallery w:val="Page Numbers (Bottom of Page)"/>
        <w:docPartUnique/>
      </w:docPartObj>
    </w:sdtPr>
    <w:sdtEndPr>
      <w:rPr>
        <w:noProof/>
      </w:rPr>
    </w:sdtEndPr>
    <w:sdtContent>
      <w:p w14:paraId="5238958F" w14:textId="77777777" w:rsidR="0048300D" w:rsidRDefault="004830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CE79A5" w14:textId="77777777" w:rsidR="0048300D" w:rsidRDefault="004830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EF2C8" w14:textId="77777777" w:rsidR="00311516" w:rsidRDefault="00311516" w:rsidP="00451A3A">
      <w:pPr>
        <w:spacing w:after="0" w:line="240" w:lineRule="auto"/>
      </w:pPr>
      <w:r>
        <w:separator/>
      </w:r>
    </w:p>
  </w:footnote>
  <w:footnote w:type="continuationSeparator" w:id="0">
    <w:p w14:paraId="74B49185" w14:textId="77777777" w:rsidR="00311516" w:rsidRDefault="00311516" w:rsidP="00451A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23178"/>
    <w:multiLevelType w:val="hybridMultilevel"/>
    <w:tmpl w:val="138E7B8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5FEE65C2"/>
    <w:multiLevelType w:val="hybridMultilevel"/>
    <w:tmpl w:val="539C1262"/>
    <w:lvl w:ilvl="0" w:tplc="74403AA6">
      <w:numFmt w:val="bullet"/>
      <w:lvlText w:val="•"/>
      <w:lvlJc w:val="left"/>
      <w:pPr>
        <w:ind w:left="720" w:hanging="360"/>
      </w:pPr>
      <w:rPr>
        <w:rFonts w:ascii="Times New Roman" w:eastAsiaTheme="minorEastAsia"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6DAC3593"/>
    <w:multiLevelType w:val="hybridMultilevel"/>
    <w:tmpl w:val="0D8E467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0B4"/>
    <w:rsid w:val="00001C56"/>
    <w:rsid w:val="00004679"/>
    <w:rsid w:val="00004C8C"/>
    <w:rsid w:val="000145FC"/>
    <w:rsid w:val="000207AB"/>
    <w:rsid w:val="00020A4D"/>
    <w:rsid w:val="000240C8"/>
    <w:rsid w:val="000261DD"/>
    <w:rsid w:val="00026A44"/>
    <w:rsid w:val="0002737A"/>
    <w:rsid w:val="000303A8"/>
    <w:rsid w:val="00030FFF"/>
    <w:rsid w:val="00031A81"/>
    <w:rsid w:val="00031E27"/>
    <w:rsid w:val="00037222"/>
    <w:rsid w:val="00037E9F"/>
    <w:rsid w:val="000420FF"/>
    <w:rsid w:val="000421AC"/>
    <w:rsid w:val="00043968"/>
    <w:rsid w:val="0004630F"/>
    <w:rsid w:val="00047E49"/>
    <w:rsid w:val="000526A2"/>
    <w:rsid w:val="00053D83"/>
    <w:rsid w:val="00056B7D"/>
    <w:rsid w:val="0005774E"/>
    <w:rsid w:val="000615AA"/>
    <w:rsid w:val="00063C26"/>
    <w:rsid w:val="0006422F"/>
    <w:rsid w:val="00064985"/>
    <w:rsid w:val="0006725A"/>
    <w:rsid w:val="000715FF"/>
    <w:rsid w:val="00071935"/>
    <w:rsid w:val="00071D50"/>
    <w:rsid w:val="00076117"/>
    <w:rsid w:val="00076BAE"/>
    <w:rsid w:val="000772AE"/>
    <w:rsid w:val="00077E0D"/>
    <w:rsid w:val="00080768"/>
    <w:rsid w:val="0008258A"/>
    <w:rsid w:val="0008426C"/>
    <w:rsid w:val="000855E1"/>
    <w:rsid w:val="000924BF"/>
    <w:rsid w:val="0009359F"/>
    <w:rsid w:val="00097C8B"/>
    <w:rsid w:val="000A0722"/>
    <w:rsid w:val="000A3520"/>
    <w:rsid w:val="000A7991"/>
    <w:rsid w:val="000B092E"/>
    <w:rsid w:val="000B25A5"/>
    <w:rsid w:val="000B2865"/>
    <w:rsid w:val="000B3AA5"/>
    <w:rsid w:val="000B3DCF"/>
    <w:rsid w:val="000B4169"/>
    <w:rsid w:val="000B46F2"/>
    <w:rsid w:val="000B4BDD"/>
    <w:rsid w:val="000B5FDD"/>
    <w:rsid w:val="000B613F"/>
    <w:rsid w:val="000B674E"/>
    <w:rsid w:val="000C3D1F"/>
    <w:rsid w:val="000C7D04"/>
    <w:rsid w:val="000C7E8B"/>
    <w:rsid w:val="000D2DB8"/>
    <w:rsid w:val="000D4344"/>
    <w:rsid w:val="000D5806"/>
    <w:rsid w:val="000D58FC"/>
    <w:rsid w:val="000D6461"/>
    <w:rsid w:val="000E008C"/>
    <w:rsid w:val="000E155A"/>
    <w:rsid w:val="000E1684"/>
    <w:rsid w:val="000E1C82"/>
    <w:rsid w:val="000E2537"/>
    <w:rsid w:val="000E31FC"/>
    <w:rsid w:val="000E34AE"/>
    <w:rsid w:val="000E3EA6"/>
    <w:rsid w:val="000E50B6"/>
    <w:rsid w:val="000E5835"/>
    <w:rsid w:val="000E66F4"/>
    <w:rsid w:val="000F024A"/>
    <w:rsid w:val="000F1A37"/>
    <w:rsid w:val="000F2F6A"/>
    <w:rsid w:val="000F6083"/>
    <w:rsid w:val="000F6884"/>
    <w:rsid w:val="00100C10"/>
    <w:rsid w:val="001046B6"/>
    <w:rsid w:val="00107C1E"/>
    <w:rsid w:val="00107E09"/>
    <w:rsid w:val="00110E91"/>
    <w:rsid w:val="00112C3B"/>
    <w:rsid w:val="001139D4"/>
    <w:rsid w:val="00114674"/>
    <w:rsid w:val="001157E7"/>
    <w:rsid w:val="0012014A"/>
    <w:rsid w:val="001202EB"/>
    <w:rsid w:val="001203DC"/>
    <w:rsid w:val="001211A9"/>
    <w:rsid w:val="00122D91"/>
    <w:rsid w:val="00123DE0"/>
    <w:rsid w:val="001242A7"/>
    <w:rsid w:val="001247AB"/>
    <w:rsid w:val="00124B10"/>
    <w:rsid w:val="00124FE3"/>
    <w:rsid w:val="00125EB8"/>
    <w:rsid w:val="00126890"/>
    <w:rsid w:val="00127B66"/>
    <w:rsid w:val="001300F5"/>
    <w:rsid w:val="00132E18"/>
    <w:rsid w:val="001330D4"/>
    <w:rsid w:val="00133678"/>
    <w:rsid w:val="001341E1"/>
    <w:rsid w:val="001343DB"/>
    <w:rsid w:val="001373A3"/>
    <w:rsid w:val="00137BE4"/>
    <w:rsid w:val="001439CA"/>
    <w:rsid w:val="00144B3F"/>
    <w:rsid w:val="001457F9"/>
    <w:rsid w:val="0014620C"/>
    <w:rsid w:val="00146D9B"/>
    <w:rsid w:val="001472A8"/>
    <w:rsid w:val="00150787"/>
    <w:rsid w:val="00150CFE"/>
    <w:rsid w:val="00151184"/>
    <w:rsid w:val="00152D7F"/>
    <w:rsid w:val="00154711"/>
    <w:rsid w:val="00154978"/>
    <w:rsid w:val="001558FD"/>
    <w:rsid w:val="0015662C"/>
    <w:rsid w:val="0016013B"/>
    <w:rsid w:val="0016044D"/>
    <w:rsid w:val="00163131"/>
    <w:rsid w:val="00167C5D"/>
    <w:rsid w:val="0017001C"/>
    <w:rsid w:val="00171240"/>
    <w:rsid w:val="00174B9F"/>
    <w:rsid w:val="001775B8"/>
    <w:rsid w:val="00177EB9"/>
    <w:rsid w:val="00177EFD"/>
    <w:rsid w:val="00180870"/>
    <w:rsid w:val="0018202C"/>
    <w:rsid w:val="00182B83"/>
    <w:rsid w:val="00182CF7"/>
    <w:rsid w:val="00183B9A"/>
    <w:rsid w:val="0018575B"/>
    <w:rsid w:val="001860F4"/>
    <w:rsid w:val="00192694"/>
    <w:rsid w:val="001965A2"/>
    <w:rsid w:val="001976F8"/>
    <w:rsid w:val="001A39A2"/>
    <w:rsid w:val="001A65AD"/>
    <w:rsid w:val="001A699B"/>
    <w:rsid w:val="001B30DA"/>
    <w:rsid w:val="001B3357"/>
    <w:rsid w:val="001B38C2"/>
    <w:rsid w:val="001B45B0"/>
    <w:rsid w:val="001B461A"/>
    <w:rsid w:val="001B71E2"/>
    <w:rsid w:val="001C090B"/>
    <w:rsid w:val="001C1706"/>
    <w:rsid w:val="001C3662"/>
    <w:rsid w:val="001C38C8"/>
    <w:rsid w:val="001C4E03"/>
    <w:rsid w:val="001C616F"/>
    <w:rsid w:val="001C66F4"/>
    <w:rsid w:val="001D050E"/>
    <w:rsid w:val="001D2A79"/>
    <w:rsid w:val="001D2C14"/>
    <w:rsid w:val="001D5DF7"/>
    <w:rsid w:val="001D66AF"/>
    <w:rsid w:val="001E0BBF"/>
    <w:rsid w:val="001E16E2"/>
    <w:rsid w:val="001E2531"/>
    <w:rsid w:val="001E258A"/>
    <w:rsid w:val="001E2F9A"/>
    <w:rsid w:val="001E7862"/>
    <w:rsid w:val="001F0BD7"/>
    <w:rsid w:val="001F19E2"/>
    <w:rsid w:val="001F1A16"/>
    <w:rsid w:val="001F226D"/>
    <w:rsid w:val="001F2782"/>
    <w:rsid w:val="001F5A45"/>
    <w:rsid w:val="001F5CEF"/>
    <w:rsid w:val="001F6847"/>
    <w:rsid w:val="001F75E0"/>
    <w:rsid w:val="00202189"/>
    <w:rsid w:val="00202233"/>
    <w:rsid w:val="00202C76"/>
    <w:rsid w:val="00202DA1"/>
    <w:rsid w:val="00211926"/>
    <w:rsid w:val="00211D3A"/>
    <w:rsid w:val="00212B31"/>
    <w:rsid w:val="00217E90"/>
    <w:rsid w:val="002201C0"/>
    <w:rsid w:val="00227F43"/>
    <w:rsid w:val="0023019F"/>
    <w:rsid w:val="002302FC"/>
    <w:rsid w:val="002304D6"/>
    <w:rsid w:val="0023069A"/>
    <w:rsid w:val="00231A37"/>
    <w:rsid w:val="00235F42"/>
    <w:rsid w:val="0023674F"/>
    <w:rsid w:val="002374F8"/>
    <w:rsid w:val="00240A39"/>
    <w:rsid w:val="00242B5A"/>
    <w:rsid w:val="0024304D"/>
    <w:rsid w:val="00250CC8"/>
    <w:rsid w:val="00252E6B"/>
    <w:rsid w:val="00253836"/>
    <w:rsid w:val="002546ED"/>
    <w:rsid w:val="00254CCD"/>
    <w:rsid w:val="00255680"/>
    <w:rsid w:val="00256BEE"/>
    <w:rsid w:val="00257E52"/>
    <w:rsid w:val="00260E6C"/>
    <w:rsid w:val="00262FE5"/>
    <w:rsid w:val="002637E2"/>
    <w:rsid w:val="00264202"/>
    <w:rsid w:val="00266481"/>
    <w:rsid w:val="002703C2"/>
    <w:rsid w:val="00273D25"/>
    <w:rsid w:val="002740DA"/>
    <w:rsid w:val="00274913"/>
    <w:rsid w:val="00275395"/>
    <w:rsid w:val="00275A56"/>
    <w:rsid w:val="00275CE8"/>
    <w:rsid w:val="002762B2"/>
    <w:rsid w:val="00280228"/>
    <w:rsid w:val="0028170D"/>
    <w:rsid w:val="002831E8"/>
    <w:rsid w:val="00284F97"/>
    <w:rsid w:val="00286D8D"/>
    <w:rsid w:val="00290258"/>
    <w:rsid w:val="00291D76"/>
    <w:rsid w:val="00294864"/>
    <w:rsid w:val="00294F19"/>
    <w:rsid w:val="002964EC"/>
    <w:rsid w:val="002A0A90"/>
    <w:rsid w:val="002A0A9F"/>
    <w:rsid w:val="002A15D9"/>
    <w:rsid w:val="002A23E7"/>
    <w:rsid w:val="002A409A"/>
    <w:rsid w:val="002A46F8"/>
    <w:rsid w:val="002A5177"/>
    <w:rsid w:val="002A6701"/>
    <w:rsid w:val="002B1092"/>
    <w:rsid w:val="002B2825"/>
    <w:rsid w:val="002B311F"/>
    <w:rsid w:val="002B4B59"/>
    <w:rsid w:val="002B76F7"/>
    <w:rsid w:val="002C19DB"/>
    <w:rsid w:val="002C2EED"/>
    <w:rsid w:val="002C4BD1"/>
    <w:rsid w:val="002C4E72"/>
    <w:rsid w:val="002D1591"/>
    <w:rsid w:val="002D283C"/>
    <w:rsid w:val="002D3B29"/>
    <w:rsid w:val="002D48C2"/>
    <w:rsid w:val="002D655C"/>
    <w:rsid w:val="002D6905"/>
    <w:rsid w:val="002E0FDE"/>
    <w:rsid w:val="002E1C4A"/>
    <w:rsid w:val="002E210A"/>
    <w:rsid w:val="002E54B6"/>
    <w:rsid w:val="002E632D"/>
    <w:rsid w:val="002F08DE"/>
    <w:rsid w:val="002F2488"/>
    <w:rsid w:val="002F6301"/>
    <w:rsid w:val="0030133F"/>
    <w:rsid w:val="00301E79"/>
    <w:rsid w:val="00302621"/>
    <w:rsid w:val="00303DF7"/>
    <w:rsid w:val="00305105"/>
    <w:rsid w:val="00305D47"/>
    <w:rsid w:val="003066FC"/>
    <w:rsid w:val="00306A45"/>
    <w:rsid w:val="00307462"/>
    <w:rsid w:val="00311516"/>
    <w:rsid w:val="003156C5"/>
    <w:rsid w:val="00315A68"/>
    <w:rsid w:val="00316C0A"/>
    <w:rsid w:val="003231B9"/>
    <w:rsid w:val="00327F5A"/>
    <w:rsid w:val="00331995"/>
    <w:rsid w:val="003320A3"/>
    <w:rsid w:val="00333905"/>
    <w:rsid w:val="003348C7"/>
    <w:rsid w:val="00334AC9"/>
    <w:rsid w:val="0033509C"/>
    <w:rsid w:val="003358D4"/>
    <w:rsid w:val="0033706B"/>
    <w:rsid w:val="00341C1E"/>
    <w:rsid w:val="003427C8"/>
    <w:rsid w:val="003428C6"/>
    <w:rsid w:val="00343BF6"/>
    <w:rsid w:val="0034661D"/>
    <w:rsid w:val="00347C65"/>
    <w:rsid w:val="00347E86"/>
    <w:rsid w:val="0035685B"/>
    <w:rsid w:val="00364BEF"/>
    <w:rsid w:val="003679DF"/>
    <w:rsid w:val="00371D6A"/>
    <w:rsid w:val="00380325"/>
    <w:rsid w:val="00382784"/>
    <w:rsid w:val="003835BC"/>
    <w:rsid w:val="0038378C"/>
    <w:rsid w:val="00391F17"/>
    <w:rsid w:val="003929D6"/>
    <w:rsid w:val="00393001"/>
    <w:rsid w:val="0039499B"/>
    <w:rsid w:val="00397A32"/>
    <w:rsid w:val="003A12DE"/>
    <w:rsid w:val="003A38B4"/>
    <w:rsid w:val="003A415C"/>
    <w:rsid w:val="003A51DA"/>
    <w:rsid w:val="003A5374"/>
    <w:rsid w:val="003A5AD0"/>
    <w:rsid w:val="003A69CF"/>
    <w:rsid w:val="003A73DF"/>
    <w:rsid w:val="003B65BB"/>
    <w:rsid w:val="003C08C2"/>
    <w:rsid w:val="003C1151"/>
    <w:rsid w:val="003C2741"/>
    <w:rsid w:val="003C33F8"/>
    <w:rsid w:val="003C3483"/>
    <w:rsid w:val="003C798F"/>
    <w:rsid w:val="003D12B2"/>
    <w:rsid w:val="003D17AC"/>
    <w:rsid w:val="003D2205"/>
    <w:rsid w:val="003D4230"/>
    <w:rsid w:val="003D6FEB"/>
    <w:rsid w:val="003E0594"/>
    <w:rsid w:val="003E553C"/>
    <w:rsid w:val="003E7245"/>
    <w:rsid w:val="003F063B"/>
    <w:rsid w:val="003F5C53"/>
    <w:rsid w:val="003F6FA1"/>
    <w:rsid w:val="00400E5B"/>
    <w:rsid w:val="00401950"/>
    <w:rsid w:val="0040380C"/>
    <w:rsid w:val="00405930"/>
    <w:rsid w:val="00407B8B"/>
    <w:rsid w:val="0041036F"/>
    <w:rsid w:val="00410702"/>
    <w:rsid w:val="0041168C"/>
    <w:rsid w:val="00423201"/>
    <w:rsid w:val="0042595F"/>
    <w:rsid w:val="00426023"/>
    <w:rsid w:val="004260F2"/>
    <w:rsid w:val="004262B0"/>
    <w:rsid w:val="0042679D"/>
    <w:rsid w:val="004268BB"/>
    <w:rsid w:val="004311D8"/>
    <w:rsid w:val="00431BEA"/>
    <w:rsid w:val="00437053"/>
    <w:rsid w:val="004379F0"/>
    <w:rsid w:val="00440F41"/>
    <w:rsid w:val="00440FE7"/>
    <w:rsid w:val="00442A7C"/>
    <w:rsid w:val="004454A2"/>
    <w:rsid w:val="00445DD0"/>
    <w:rsid w:val="0044733B"/>
    <w:rsid w:val="00451A3A"/>
    <w:rsid w:val="00454CBE"/>
    <w:rsid w:val="0045623F"/>
    <w:rsid w:val="00457CE3"/>
    <w:rsid w:val="00462414"/>
    <w:rsid w:val="0046556B"/>
    <w:rsid w:val="00465CCB"/>
    <w:rsid w:val="00466276"/>
    <w:rsid w:val="00471E76"/>
    <w:rsid w:val="00482AE4"/>
    <w:rsid w:val="0048300D"/>
    <w:rsid w:val="004837B2"/>
    <w:rsid w:val="00485D91"/>
    <w:rsid w:val="00487EB3"/>
    <w:rsid w:val="00490C69"/>
    <w:rsid w:val="00491C3E"/>
    <w:rsid w:val="004930A8"/>
    <w:rsid w:val="0049384B"/>
    <w:rsid w:val="0049518A"/>
    <w:rsid w:val="0049617D"/>
    <w:rsid w:val="00496F65"/>
    <w:rsid w:val="004971F7"/>
    <w:rsid w:val="004975E6"/>
    <w:rsid w:val="004A1A2A"/>
    <w:rsid w:val="004A22F3"/>
    <w:rsid w:val="004A2708"/>
    <w:rsid w:val="004A3ACA"/>
    <w:rsid w:val="004A4AA9"/>
    <w:rsid w:val="004A53F9"/>
    <w:rsid w:val="004A66BD"/>
    <w:rsid w:val="004B0558"/>
    <w:rsid w:val="004B136F"/>
    <w:rsid w:val="004B422C"/>
    <w:rsid w:val="004B5668"/>
    <w:rsid w:val="004B7425"/>
    <w:rsid w:val="004B7C0D"/>
    <w:rsid w:val="004C01BB"/>
    <w:rsid w:val="004C0D09"/>
    <w:rsid w:val="004C121A"/>
    <w:rsid w:val="004C2BF4"/>
    <w:rsid w:val="004C2FBA"/>
    <w:rsid w:val="004C3F25"/>
    <w:rsid w:val="004C44D1"/>
    <w:rsid w:val="004D0DAE"/>
    <w:rsid w:val="004D2345"/>
    <w:rsid w:val="004D2FF0"/>
    <w:rsid w:val="004D3317"/>
    <w:rsid w:val="004D5129"/>
    <w:rsid w:val="004D573B"/>
    <w:rsid w:val="004D575E"/>
    <w:rsid w:val="004D6F5F"/>
    <w:rsid w:val="004D742F"/>
    <w:rsid w:val="004E0225"/>
    <w:rsid w:val="004E0D90"/>
    <w:rsid w:val="004E7D43"/>
    <w:rsid w:val="004F1AA7"/>
    <w:rsid w:val="004F2490"/>
    <w:rsid w:val="004F2BB1"/>
    <w:rsid w:val="004F300A"/>
    <w:rsid w:val="004F351C"/>
    <w:rsid w:val="00500F96"/>
    <w:rsid w:val="005014C5"/>
    <w:rsid w:val="0050155D"/>
    <w:rsid w:val="005030C9"/>
    <w:rsid w:val="00503649"/>
    <w:rsid w:val="0050384E"/>
    <w:rsid w:val="00504216"/>
    <w:rsid w:val="00506FC0"/>
    <w:rsid w:val="00513054"/>
    <w:rsid w:val="005173FC"/>
    <w:rsid w:val="00524E9A"/>
    <w:rsid w:val="0052605F"/>
    <w:rsid w:val="00530081"/>
    <w:rsid w:val="005305EF"/>
    <w:rsid w:val="00530607"/>
    <w:rsid w:val="00530893"/>
    <w:rsid w:val="005334C3"/>
    <w:rsid w:val="005340E1"/>
    <w:rsid w:val="00535B63"/>
    <w:rsid w:val="00537093"/>
    <w:rsid w:val="00537C5C"/>
    <w:rsid w:val="00540214"/>
    <w:rsid w:val="005404FE"/>
    <w:rsid w:val="00540CFF"/>
    <w:rsid w:val="00541956"/>
    <w:rsid w:val="0054251B"/>
    <w:rsid w:val="005437C2"/>
    <w:rsid w:val="00545EA3"/>
    <w:rsid w:val="00546D0A"/>
    <w:rsid w:val="00547D0C"/>
    <w:rsid w:val="00547DFD"/>
    <w:rsid w:val="00547F58"/>
    <w:rsid w:val="005578D5"/>
    <w:rsid w:val="00557FE2"/>
    <w:rsid w:val="00562981"/>
    <w:rsid w:val="005637D4"/>
    <w:rsid w:val="00563C5C"/>
    <w:rsid w:val="0056573A"/>
    <w:rsid w:val="005711D6"/>
    <w:rsid w:val="005719D9"/>
    <w:rsid w:val="00576B00"/>
    <w:rsid w:val="00576B60"/>
    <w:rsid w:val="00577669"/>
    <w:rsid w:val="005801A5"/>
    <w:rsid w:val="005847CD"/>
    <w:rsid w:val="00592CF7"/>
    <w:rsid w:val="005964AE"/>
    <w:rsid w:val="0059761C"/>
    <w:rsid w:val="005A0A02"/>
    <w:rsid w:val="005A1E39"/>
    <w:rsid w:val="005A2198"/>
    <w:rsid w:val="005A2553"/>
    <w:rsid w:val="005A77B4"/>
    <w:rsid w:val="005B0617"/>
    <w:rsid w:val="005B63C7"/>
    <w:rsid w:val="005B75E1"/>
    <w:rsid w:val="005B79D3"/>
    <w:rsid w:val="005C0695"/>
    <w:rsid w:val="005C238C"/>
    <w:rsid w:val="005C2B89"/>
    <w:rsid w:val="005C3B5E"/>
    <w:rsid w:val="005C48A5"/>
    <w:rsid w:val="005C7078"/>
    <w:rsid w:val="005D20E0"/>
    <w:rsid w:val="005D257A"/>
    <w:rsid w:val="005D60D0"/>
    <w:rsid w:val="005E125D"/>
    <w:rsid w:val="005E1869"/>
    <w:rsid w:val="005E3F54"/>
    <w:rsid w:val="005F09BF"/>
    <w:rsid w:val="005F16DB"/>
    <w:rsid w:val="005F1D2A"/>
    <w:rsid w:val="005F29A7"/>
    <w:rsid w:val="005F2A75"/>
    <w:rsid w:val="005F3448"/>
    <w:rsid w:val="005F379C"/>
    <w:rsid w:val="005F5138"/>
    <w:rsid w:val="00601360"/>
    <w:rsid w:val="0060234A"/>
    <w:rsid w:val="00606E3E"/>
    <w:rsid w:val="006070FC"/>
    <w:rsid w:val="00607185"/>
    <w:rsid w:val="006141C3"/>
    <w:rsid w:val="00614B3A"/>
    <w:rsid w:val="00615478"/>
    <w:rsid w:val="00616FA3"/>
    <w:rsid w:val="006175B0"/>
    <w:rsid w:val="00624AB0"/>
    <w:rsid w:val="00625E71"/>
    <w:rsid w:val="00627475"/>
    <w:rsid w:val="006276D7"/>
    <w:rsid w:val="00627D31"/>
    <w:rsid w:val="0063018F"/>
    <w:rsid w:val="00630B98"/>
    <w:rsid w:val="00630D53"/>
    <w:rsid w:val="00632CF6"/>
    <w:rsid w:val="00632F3A"/>
    <w:rsid w:val="0063674C"/>
    <w:rsid w:val="00637F0C"/>
    <w:rsid w:val="00640F95"/>
    <w:rsid w:val="00642D13"/>
    <w:rsid w:val="00645C34"/>
    <w:rsid w:val="0064706D"/>
    <w:rsid w:val="00650021"/>
    <w:rsid w:val="00652562"/>
    <w:rsid w:val="00657139"/>
    <w:rsid w:val="00657D0A"/>
    <w:rsid w:val="00661790"/>
    <w:rsid w:val="00666062"/>
    <w:rsid w:val="0067174D"/>
    <w:rsid w:val="006717CD"/>
    <w:rsid w:val="006724CA"/>
    <w:rsid w:val="0067265B"/>
    <w:rsid w:val="00681EEF"/>
    <w:rsid w:val="006822C9"/>
    <w:rsid w:val="00684171"/>
    <w:rsid w:val="006853E2"/>
    <w:rsid w:val="00685AFB"/>
    <w:rsid w:val="0068607E"/>
    <w:rsid w:val="00693794"/>
    <w:rsid w:val="00694750"/>
    <w:rsid w:val="006968A7"/>
    <w:rsid w:val="00696C9C"/>
    <w:rsid w:val="00696DFC"/>
    <w:rsid w:val="00697EEA"/>
    <w:rsid w:val="006A5614"/>
    <w:rsid w:val="006A605B"/>
    <w:rsid w:val="006A7EE3"/>
    <w:rsid w:val="006B1558"/>
    <w:rsid w:val="006B2870"/>
    <w:rsid w:val="006B3F60"/>
    <w:rsid w:val="006B7259"/>
    <w:rsid w:val="006C0181"/>
    <w:rsid w:val="006C0FD6"/>
    <w:rsid w:val="006C1D7F"/>
    <w:rsid w:val="006C2076"/>
    <w:rsid w:val="006C4D58"/>
    <w:rsid w:val="006C4FE2"/>
    <w:rsid w:val="006C5773"/>
    <w:rsid w:val="006C69BA"/>
    <w:rsid w:val="006C7C53"/>
    <w:rsid w:val="006D0FF8"/>
    <w:rsid w:val="006D1BDC"/>
    <w:rsid w:val="006D3039"/>
    <w:rsid w:val="006D32C5"/>
    <w:rsid w:val="006D4137"/>
    <w:rsid w:val="006D5879"/>
    <w:rsid w:val="006D6489"/>
    <w:rsid w:val="006E0737"/>
    <w:rsid w:val="006E126F"/>
    <w:rsid w:val="006E2CD3"/>
    <w:rsid w:val="006E5B1A"/>
    <w:rsid w:val="006E6B19"/>
    <w:rsid w:val="006E7CEE"/>
    <w:rsid w:val="006F06A2"/>
    <w:rsid w:val="006F2EED"/>
    <w:rsid w:val="006F35CC"/>
    <w:rsid w:val="006F4C11"/>
    <w:rsid w:val="006F569E"/>
    <w:rsid w:val="006F5C39"/>
    <w:rsid w:val="006F66FD"/>
    <w:rsid w:val="00700DB8"/>
    <w:rsid w:val="00700EAD"/>
    <w:rsid w:val="00701307"/>
    <w:rsid w:val="00703A26"/>
    <w:rsid w:val="00703B63"/>
    <w:rsid w:val="00711454"/>
    <w:rsid w:val="00711A96"/>
    <w:rsid w:val="00712C44"/>
    <w:rsid w:val="00713B58"/>
    <w:rsid w:val="0071613D"/>
    <w:rsid w:val="0071720C"/>
    <w:rsid w:val="00717EEE"/>
    <w:rsid w:val="00720C5D"/>
    <w:rsid w:val="0072141B"/>
    <w:rsid w:val="00721F57"/>
    <w:rsid w:val="00722DD6"/>
    <w:rsid w:val="00724113"/>
    <w:rsid w:val="00724D88"/>
    <w:rsid w:val="00726507"/>
    <w:rsid w:val="0073086B"/>
    <w:rsid w:val="00730C9B"/>
    <w:rsid w:val="00731414"/>
    <w:rsid w:val="007320C6"/>
    <w:rsid w:val="00732B75"/>
    <w:rsid w:val="007334D1"/>
    <w:rsid w:val="00734BFB"/>
    <w:rsid w:val="00734C8A"/>
    <w:rsid w:val="0073531E"/>
    <w:rsid w:val="00736797"/>
    <w:rsid w:val="0073718B"/>
    <w:rsid w:val="00740274"/>
    <w:rsid w:val="00741263"/>
    <w:rsid w:val="007448F0"/>
    <w:rsid w:val="0074669B"/>
    <w:rsid w:val="007532BF"/>
    <w:rsid w:val="00753F13"/>
    <w:rsid w:val="007555E6"/>
    <w:rsid w:val="00757B79"/>
    <w:rsid w:val="00761BFE"/>
    <w:rsid w:val="00763285"/>
    <w:rsid w:val="007639FD"/>
    <w:rsid w:val="00770805"/>
    <w:rsid w:val="0077121D"/>
    <w:rsid w:val="0077469C"/>
    <w:rsid w:val="00776AE7"/>
    <w:rsid w:val="007802B4"/>
    <w:rsid w:val="00781D85"/>
    <w:rsid w:val="007844E0"/>
    <w:rsid w:val="00785F0B"/>
    <w:rsid w:val="007872F0"/>
    <w:rsid w:val="007907AC"/>
    <w:rsid w:val="00790C9D"/>
    <w:rsid w:val="00796CDF"/>
    <w:rsid w:val="0079796A"/>
    <w:rsid w:val="00797F79"/>
    <w:rsid w:val="007A1F8D"/>
    <w:rsid w:val="007A41ED"/>
    <w:rsid w:val="007A5D2F"/>
    <w:rsid w:val="007A7B5F"/>
    <w:rsid w:val="007B0FA6"/>
    <w:rsid w:val="007B1AD4"/>
    <w:rsid w:val="007B203D"/>
    <w:rsid w:val="007B2C4B"/>
    <w:rsid w:val="007B3596"/>
    <w:rsid w:val="007B3EC9"/>
    <w:rsid w:val="007B4C56"/>
    <w:rsid w:val="007C1C0A"/>
    <w:rsid w:val="007C396E"/>
    <w:rsid w:val="007C7BD0"/>
    <w:rsid w:val="007C7DEF"/>
    <w:rsid w:val="007D05BC"/>
    <w:rsid w:val="007D1FDB"/>
    <w:rsid w:val="007D4352"/>
    <w:rsid w:val="007D4F73"/>
    <w:rsid w:val="007E3563"/>
    <w:rsid w:val="007E3FFE"/>
    <w:rsid w:val="007E7259"/>
    <w:rsid w:val="007E7454"/>
    <w:rsid w:val="007E7F1F"/>
    <w:rsid w:val="007F0151"/>
    <w:rsid w:val="007F0FEE"/>
    <w:rsid w:val="007F10B4"/>
    <w:rsid w:val="007F3B0C"/>
    <w:rsid w:val="007F4148"/>
    <w:rsid w:val="007F5363"/>
    <w:rsid w:val="00801BC4"/>
    <w:rsid w:val="00806765"/>
    <w:rsid w:val="00806860"/>
    <w:rsid w:val="00806C39"/>
    <w:rsid w:val="00812AA7"/>
    <w:rsid w:val="00812B72"/>
    <w:rsid w:val="00814F7E"/>
    <w:rsid w:val="00816903"/>
    <w:rsid w:val="00821521"/>
    <w:rsid w:val="008216CD"/>
    <w:rsid w:val="00822126"/>
    <w:rsid w:val="00826742"/>
    <w:rsid w:val="00827B02"/>
    <w:rsid w:val="00832664"/>
    <w:rsid w:val="00833122"/>
    <w:rsid w:val="00833C4D"/>
    <w:rsid w:val="00834863"/>
    <w:rsid w:val="0083655E"/>
    <w:rsid w:val="008365F2"/>
    <w:rsid w:val="008413F3"/>
    <w:rsid w:val="00841766"/>
    <w:rsid w:val="00841845"/>
    <w:rsid w:val="008503AA"/>
    <w:rsid w:val="00851A25"/>
    <w:rsid w:val="00854487"/>
    <w:rsid w:val="00854C6F"/>
    <w:rsid w:val="00857EEB"/>
    <w:rsid w:val="008602F9"/>
    <w:rsid w:val="00861799"/>
    <w:rsid w:val="00862385"/>
    <w:rsid w:val="00862B6F"/>
    <w:rsid w:val="00863430"/>
    <w:rsid w:val="00863EE5"/>
    <w:rsid w:val="00870083"/>
    <w:rsid w:val="00872BD2"/>
    <w:rsid w:val="00874689"/>
    <w:rsid w:val="00880268"/>
    <w:rsid w:val="00881C52"/>
    <w:rsid w:val="0088243E"/>
    <w:rsid w:val="00883C23"/>
    <w:rsid w:val="00887D45"/>
    <w:rsid w:val="008905E1"/>
    <w:rsid w:val="008925BF"/>
    <w:rsid w:val="008942AC"/>
    <w:rsid w:val="00894862"/>
    <w:rsid w:val="00894C59"/>
    <w:rsid w:val="00894EBC"/>
    <w:rsid w:val="008963BD"/>
    <w:rsid w:val="008974EE"/>
    <w:rsid w:val="008A0100"/>
    <w:rsid w:val="008A04CF"/>
    <w:rsid w:val="008A055A"/>
    <w:rsid w:val="008A2252"/>
    <w:rsid w:val="008A2B77"/>
    <w:rsid w:val="008A342D"/>
    <w:rsid w:val="008A4963"/>
    <w:rsid w:val="008A5727"/>
    <w:rsid w:val="008A732C"/>
    <w:rsid w:val="008A7B1A"/>
    <w:rsid w:val="008B050B"/>
    <w:rsid w:val="008B5AF4"/>
    <w:rsid w:val="008C0E53"/>
    <w:rsid w:val="008C1CB7"/>
    <w:rsid w:val="008C236F"/>
    <w:rsid w:val="008C48D6"/>
    <w:rsid w:val="008C4AD1"/>
    <w:rsid w:val="008C4ADA"/>
    <w:rsid w:val="008C54B2"/>
    <w:rsid w:val="008C6A50"/>
    <w:rsid w:val="008D100B"/>
    <w:rsid w:val="008D131D"/>
    <w:rsid w:val="008D1EF8"/>
    <w:rsid w:val="008D2288"/>
    <w:rsid w:val="008D22BF"/>
    <w:rsid w:val="008D2EFA"/>
    <w:rsid w:val="008D5A58"/>
    <w:rsid w:val="008D5D56"/>
    <w:rsid w:val="008E163A"/>
    <w:rsid w:val="008E36F7"/>
    <w:rsid w:val="008E627F"/>
    <w:rsid w:val="008E78D8"/>
    <w:rsid w:val="008E7F17"/>
    <w:rsid w:val="008F0C74"/>
    <w:rsid w:val="008F31F0"/>
    <w:rsid w:val="008F4035"/>
    <w:rsid w:val="008F67FC"/>
    <w:rsid w:val="008F6F6D"/>
    <w:rsid w:val="008F7142"/>
    <w:rsid w:val="00901DD9"/>
    <w:rsid w:val="00901DFC"/>
    <w:rsid w:val="00906583"/>
    <w:rsid w:val="00911441"/>
    <w:rsid w:val="00915BD3"/>
    <w:rsid w:val="009204B2"/>
    <w:rsid w:val="009212B6"/>
    <w:rsid w:val="009219DA"/>
    <w:rsid w:val="009235E2"/>
    <w:rsid w:val="00924445"/>
    <w:rsid w:val="00924547"/>
    <w:rsid w:val="00924D59"/>
    <w:rsid w:val="00925DA3"/>
    <w:rsid w:val="00925E20"/>
    <w:rsid w:val="00927003"/>
    <w:rsid w:val="00930118"/>
    <w:rsid w:val="00930833"/>
    <w:rsid w:val="00932470"/>
    <w:rsid w:val="00932AF1"/>
    <w:rsid w:val="00934C72"/>
    <w:rsid w:val="009351C9"/>
    <w:rsid w:val="00937268"/>
    <w:rsid w:val="00941033"/>
    <w:rsid w:val="0094450B"/>
    <w:rsid w:val="00944D24"/>
    <w:rsid w:val="00946123"/>
    <w:rsid w:val="00946231"/>
    <w:rsid w:val="00946C43"/>
    <w:rsid w:val="00950F0E"/>
    <w:rsid w:val="0095303D"/>
    <w:rsid w:val="00953487"/>
    <w:rsid w:val="009543F5"/>
    <w:rsid w:val="009564C1"/>
    <w:rsid w:val="009603B8"/>
    <w:rsid w:val="00961539"/>
    <w:rsid w:val="00961BD8"/>
    <w:rsid w:val="00966B31"/>
    <w:rsid w:val="00971300"/>
    <w:rsid w:val="009717DC"/>
    <w:rsid w:val="00972E88"/>
    <w:rsid w:val="00973F09"/>
    <w:rsid w:val="009765B9"/>
    <w:rsid w:val="00976BD7"/>
    <w:rsid w:val="009772DE"/>
    <w:rsid w:val="00981888"/>
    <w:rsid w:val="009835CD"/>
    <w:rsid w:val="0099017C"/>
    <w:rsid w:val="00991C7F"/>
    <w:rsid w:val="00994E5E"/>
    <w:rsid w:val="00995315"/>
    <w:rsid w:val="00995507"/>
    <w:rsid w:val="009956F3"/>
    <w:rsid w:val="00995BBA"/>
    <w:rsid w:val="009972A1"/>
    <w:rsid w:val="009A2979"/>
    <w:rsid w:val="009B0F4B"/>
    <w:rsid w:val="009B145E"/>
    <w:rsid w:val="009B2E39"/>
    <w:rsid w:val="009B3AFB"/>
    <w:rsid w:val="009B456F"/>
    <w:rsid w:val="009B45D6"/>
    <w:rsid w:val="009C078C"/>
    <w:rsid w:val="009C5063"/>
    <w:rsid w:val="009D03F2"/>
    <w:rsid w:val="009D6E38"/>
    <w:rsid w:val="009E1713"/>
    <w:rsid w:val="009E27CF"/>
    <w:rsid w:val="009E3768"/>
    <w:rsid w:val="009E3D1A"/>
    <w:rsid w:val="009E3F4B"/>
    <w:rsid w:val="009E4DE7"/>
    <w:rsid w:val="009E59DB"/>
    <w:rsid w:val="009F21B8"/>
    <w:rsid w:val="009F4367"/>
    <w:rsid w:val="009F5BC4"/>
    <w:rsid w:val="009F6C37"/>
    <w:rsid w:val="00A00680"/>
    <w:rsid w:val="00A0453A"/>
    <w:rsid w:val="00A04869"/>
    <w:rsid w:val="00A0549F"/>
    <w:rsid w:val="00A11972"/>
    <w:rsid w:val="00A1401B"/>
    <w:rsid w:val="00A1613F"/>
    <w:rsid w:val="00A20288"/>
    <w:rsid w:val="00A20377"/>
    <w:rsid w:val="00A22764"/>
    <w:rsid w:val="00A23345"/>
    <w:rsid w:val="00A24AA5"/>
    <w:rsid w:val="00A3004C"/>
    <w:rsid w:val="00A31A4A"/>
    <w:rsid w:val="00A3390F"/>
    <w:rsid w:val="00A365AD"/>
    <w:rsid w:val="00A41BEA"/>
    <w:rsid w:val="00A41D39"/>
    <w:rsid w:val="00A420FB"/>
    <w:rsid w:val="00A42813"/>
    <w:rsid w:val="00A42F81"/>
    <w:rsid w:val="00A4419D"/>
    <w:rsid w:val="00A45684"/>
    <w:rsid w:val="00A47FCE"/>
    <w:rsid w:val="00A5202E"/>
    <w:rsid w:val="00A5268C"/>
    <w:rsid w:val="00A557F5"/>
    <w:rsid w:val="00A557FD"/>
    <w:rsid w:val="00A55B88"/>
    <w:rsid w:val="00A564B2"/>
    <w:rsid w:val="00A60CE6"/>
    <w:rsid w:val="00A618FF"/>
    <w:rsid w:val="00A6305D"/>
    <w:rsid w:val="00A6392E"/>
    <w:rsid w:val="00A66327"/>
    <w:rsid w:val="00A66B0D"/>
    <w:rsid w:val="00A71543"/>
    <w:rsid w:val="00A7211F"/>
    <w:rsid w:val="00A74658"/>
    <w:rsid w:val="00A758D9"/>
    <w:rsid w:val="00A7743B"/>
    <w:rsid w:val="00A82184"/>
    <w:rsid w:val="00A841C1"/>
    <w:rsid w:val="00A84503"/>
    <w:rsid w:val="00A8453C"/>
    <w:rsid w:val="00A86519"/>
    <w:rsid w:val="00A86F69"/>
    <w:rsid w:val="00A92044"/>
    <w:rsid w:val="00A920EF"/>
    <w:rsid w:val="00A92312"/>
    <w:rsid w:val="00A92B6E"/>
    <w:rsid w:val="00AA2C52"/>
    <w:rsid w:val="00AB0636"/>
    <w:rsid w:val="00AB0D56"/>
    <w:rsid w:val="00AB132F"/>
    <w:rsid w:val="00AB17CE"/>
    <w:rsid w:val="00AB2D3C"/>
    <w:rsid w:val="00AB3444"/>
    <w:rsid w:val="00AB49B2"/>
    <w:rsid w:val="00AB52B6"/>
    <w:rsid w:val="00AB544F"/>
    <w:rsid w:val="00AB5B59"/>
    <w:rsid w:val="00AC0C51"/>
    <w:rsid w:val="00AC338E"/>
    <w:rsid w:val="00AC354C"/>
    <w:rsid w:val="00AC525C"/>
    <w:rsid w:val="00AC5B56"/>
    <w:rsid w:val="00AC7B82"/>
    <w:rsid w:val="00AC7BBD"/>
    <w:rsid w:val="00AC7F01"/>
    <w:rsid w:val="00AD5325"/>
    <w:rsid w:val="00AD678B"/>
    <w:rsid w:val="00AD6C64"/>
    <w:rsid w:val="00AD7539"/>
    <w:rsid w:val="00AD7F6F"/>
    <w:rsid w:val="00AE02EE"/>
    <w:rsid w:val="00AE1EE0"/>
    <w:rsid w:val="00AE287B"/>
    <w:rsid w:val="00AE3334"/>
    <w:rsid w:val="00AF18FF"/>
    <w:rsid w:val="00AF205F"/>
    <w:rsid w:val="00AF2D5F"/>
    <w:rsid w:val="00AF31CB"/>
    <w:rsid w:val="00AF5BA3"/>
    <w:rsid w:val="00AF6076"/>
    <w:rsid w:val="00AF6601"/>
    <w:rsid w:val="00AF6BF5"/>
    <w:rsid w:val="00AF6ED4"/>
    <w:rsid w:val="00AF71CC"/>
    <w:rsid w:val="00B01B9D"/>
    <w:rsid w:val="00B02C5C"/>
    <w:rsid w:val="00B02C7E"/>
    <w:rsid w:val="00B048E6"/>
    <w:rsid w:val="00B06EE1"/>
    <w:rsid w:val="00B07A57"/>
    <w:rsid w:val="00B11159"/>
    <w:rsid w:val="00B141B1"/>
    <w:rsid w:val="00B145CA"/>
    <w:rsid w:val="00B16E89"/>
    <w:rsid w:val="00B17C67"/>
    <w:rsid w:val="00B17DBB"/>
    <w:rsid w:val="00B231BB"/>
    <w:rsid w:val="00B25FAB"/>
    <w:rsid w:val="00B26BCB"/>
    <w:rsid w:val="00B26DFA"/>
    <w:rsid w:val="00B27030"/>
    <w:rsid w:val="00B27CD6"/>
    <w:rsid w:val="00B309AD"/>
    <w:rsid w:val="00B359AC"/>
    <w:rsid w:val="00B360B0"/>
    <w:rsid w:val="00B36A07"/>
    <w:rsid w:val="00B37EA0"/>
    <w:rsid w:val="00B40087"/>
    <w:rsid w:val="00B411E3"/>
    <w:rsid w:val="00B4163E"/>
    <w:rsid w:val="00B444F3"/>
    <w:rsid w:val="00B44652"/>
    <w:rsid w:val="00B4641B"/>
    <w:rsid w:val="00B46F7F"/>
    <w:rsid w:val="00B479AE"/>
    <w:rsid w:val="00B47E13"/>
    <w:rsid w:val="00B50036"/>
    <w:rsid w:val="00B503A7"/>
    <w:rsid w:val="00B513C4"/>
    <w:rsid w:val="00B51AE2"/>
    <w:rsid w:val="00B52617"/>
    <w:rsid w:val="00B52E8F"/>
    <w:rsid w:val="00B537CC"/>
    <w:rsid w:val="00B55DD8"/>
    <w:rsid w:val="00B600ED"/>
    <w:rsid w:val="00B628D8"/>
    <w:rsid w:val="00B63883"/>
    <w:rsid w:val="00B67305"/>
    <w:rsid w:val="00B705A0"/>
    <w:rsid w:val="00B70C42"/>
    <w:rsid w:val="00B7206F"/>
    <w:rsid w:val="00B72294"/>
    <w:rsid w:val="00B74831"/>
    <w:rsid w:val="00B760C0"/>
    <w:rsid w:val="00B80303"/>
    <w:rsid w:val="00B805AD"/>
    <w:rsid w:val="00B80E38"/>
    <w:rsid w:val="00B848CD"/>
    <w:rsid w:val="00B9020E"/>
    <w:rsid w:val="00B92A16"/>
    <w:rsid w:val="00B936B3"/>
    <w:rsid w:val="00B9735B"/>
    <w:rsid w:val="00B9767B"/>
    <w:rsid w:val="00BA00A8"/>
    <w:rsid w:val="00BA3E3E"/>
    <w:rsid w:val="00BA40C5"/>
    <w:rsid w:val="00BA4C58"/>
    <w:rsid w:val="00BA6F39"/>
    <w:rsid w:val="00BA7103"/>
    <w:rsid w:val="00BC01F0"/>
    <w:rsid w:val="00BC0C59"/>
    <w:rsid w:val="00BC1630"/>
    <w:rsid w:val="00BC5239"/>
    <w:rsid w:val="00BC583F"/>
    <w:rsid w:val="00BD3C7A"/>
    <w:rsid w:val="00BD6093"/>
    <w:rsid w:val="00BD6329"/>
    <w:rsid w:val="00BE210F"/>
    <w:rsid w:val="00BE32EA"/>
    <w:rsid w:val="00BF256F"/>
    <w:rsid w:val="00BF26DA"/>
    <w:rsid w:val="00BF2798"/>
    <w:rsid w:val="00BF2DF6"/>
    <w:rsid w:val="00BF35CD"/>
    <w:rsid w:val="00BF3D43"/>
    <w:rsid w:val="00BF63CD"/>
    <w:rsid w:val="00BF683C"/>
    <w:rsid w:val="00BF7D89"/>
    <w:rsid w:val="00C01133"/>
    <w:rsid w:val="00C0224B"/>
    <w:rsid w:val="00C02FBE"/>
    <w:rsid w:val="00C030D9"/>
    <w:rsid w:val="00C03D48"/>
    <w:rsid w:val="00C05813"/>
    <w:rsid w:val="00C072A9"/>
    <w:rsid w:val="00C108BA"/>
    <w:rsid w:val="00C10D32"/>
    <w:rsid w:val="00C12438"/>
    <w:rsid w:val="00C15E49"/>
    <w:rsid w:val="00C208E2"/>
    <w:rsid w:val="00C21BE3"/>
    <w:rsid w:val="00C2297F"/>
    <w:rsid w:val="00C23479"/>
    <w:rsid w:val="00C23D04"/>
    <w:rsid w:val="00C2695F"/>
    <w:rsid w:val="00C2717D"/>
    <w:rsid w:val="00C30E48"/>
    <w:rsid w:val="00C314D4"/>
    <w:rsid w:val="00C31A03"/>
    <w:rsid w:val="00C34417"/>
    <w:rsid w:val="00C35785"/>
    <w:rsid w:val="00C37306"/>
    <w:rsid w:val="00C3741A"/>
    <w:rsid w:val="00C44282"/>
    <w:rsid w:val="00C535ED"/>
    <w:rsid w:val="00C54E1D"/>
    <w:rsid w:val="00C5525B"/>
    <w:rsid w:val="00C56B6E"/>
    <w:rsid w:val="00C57CCF"/>
    <w:rsid w:val="00C62AEE"/>
    <w:rsid w:val="00C62BA0"/>
    <w:rsid w:val="00C6364A"/>
    <w:rsid w:val="00C63B49"/>
    <w:rsid w:val="00C6539D"/>
    <w:rsid w:val="00C6648D"/>
    <w:rsid w:val="00C73A24"/>
    <w:rsid w:val="00C76192"/>
    <w:rsid w:val="00C77DEB"/>
    <w:rsid w:val="00C82029"/>
    <w:rsid w:val="00C83B33"/>
    <w:rsid w:val="00C8413E"/>
    <w:rsid w:val="00C8578A"/>
    <w:rsid w:val="00C8637C"/>
    <w:rsid w:val="00C86779"/>
    <w:rsid w:val="00C87053"/>
    <w:rsid w:val="00C8747F"/>
    <w:rsid w:val="00C9119E"/>
    <w:rsid w:val="00C94E69"/>
    <w:rsid w:val="00C95D63"/>
    <w:rsid w:val="00C97731"/>
    <w:rsid w:val="00CA196D"/>
    <w:rsid w:val="00CA3B0B"/>
    <w:rsid w:val="00CA3C27"/>
    <w:rsid w:val="00CA3C76"/>
    <w:rsid w:val="00CA5283"/>
    <w:rsid w:val="00CA683F"/>
    <w:rsid w:val="00CB033F"/>
    <w:rsid w:val="00CB2F91"/>
    <w:rsid w:val="00CB6946"/>
    <w:rsid w:val="00CB7D92"/>
    <w:rsid w:val="00CC40DF"/>
    <w:rsid w:val="00CC50F0"/>
    <w:rsid w:val="00CC5114"/>
    <w:rsid w:val="00CD3053"/>
    <w:rsid w:val="00CD7ABE"/>
    <w:rsid w:val="00CE092F"/>
    <w:rsid w:val="00CE412F"/>
    <w:rsid w:val="00CE4B25"/>
    <w:rsid w:val="00CE4C43"/>
    <w:rsid w:val="00CE600A"/>
    <w:rsid w:val="00CE72B8"/>
    <w:rsid w:val="00CF0124"/>
    <w:rsid w:val="00CF3ECA"/>
    <w:rsid w:val="00CF651C"/>
    <w:rsid w:val="00CF7F2D"/>
    <w:rsid w:val="00D017FB"/>
    <w:rsid w:val="00D04C22"/>
    <w:rsid w:val="00D07188"/>
    <w:rsid w:val="00D127C2"/>
    <w:rsid w:val="00D14E75"/>
    <w:rsid w:val="00D177AE"/>
    <w:rsid w:val="00D216EE"/>
    <w:rsid w:val="00D24D3A"/>
    <w:rsid w:val="00D266D7"/>
    <w:rsid w:val="00D26CC5"/>
    <w:rsid w:val="00D30387"/>
    <w:rsid w:val="00D30AB2"/>
    <w:rsid w:val="00D32FBF"/>
    <w:rsid w:val="00D334D0"/>
    <w:rsid w:val="00D35B86"/>
    <w:rsid w:val="00D4396B"/>
    <w:rsid w:val="00D43CC9"/>
    <w:rsid w:val="00D5120A"/>
    <w:rsid w:val="00D52A5C"/>
    <w:rsid w:val="00D5406E"/>
    <w:rsid w:val="00D56DCB"/>
    <w:rsid w:val="00D63049"/>
    <w:rsid w:val="00D651AF"/>
    <w:rsid w:val="00D6624F"/>
    <w:rsid w:val="00D67F94"/>
    <w:rsid w:val="00D7009E"/>
    <w:rsid w:val="00D705A9"/>
    <w:rsid w:val="00D721D8"/>
    <w:rsid w:val="00D7372E"/>
    <w:rsid w:val="00D73EF3"/>
    <w:rsid w:val="00D774E8"/>
    <w:rsid w:val="00D77A78"/>
    <w:rsid w:val="00D806C3"/>
    <w:rsid w:val="00D82672"/>
    <w:rsid w:val="00D86095"/>
    <w:rsid w:val="00D863E2"/>
    <w:rsid w:val="00D87403"/>
    <w:rsid w:val="00D90CA6"/>
    <w:rsid w:val="00D91117"/>
    <w:rsid w:val="00D92031"/>
    <w:rsid w:val="00D943B9"/>
    <w:rsid w:val="00D97344"/>
    <w:rsid w:val="00D97B8E"/>
    <w:rsid w:val="00DA0347"/>
    <w:rsid w:val="00DA4FE8"/>
    <w:rsid w:val="00DB1133"/>
    <w:rsid w:val="00DB1AC9"/>
    <w:rsid w:val="00DB4B26"/>
    <w:rsid w:val="00DC00EE"/>
    <w:rsid w:val="00DC3CBC"/>
    <w:rsid w:val="00DC4077"/>
    <w:rsid w:val="00DC47B1"/>
    <w:rsid w:val="00DC514C"/>
    <w:rsid w:val="00DC59BC"/>
    <w:rsid w:val="00DC5FF8"/>
    <w:rsid w:val="00DC703E"/>
    <w:rsid w:val="00DC7610"/>
    <w:rsid w:val="00DD1FC9"/>
    <w:rsid w:val="00DD232A"/>
    <w:rsid w:val="00DD3838"/>
    <w:rsid w:val="00DD4F20"/>
    <w:rsid w:val="00DD5A0A"/>
    <w:rsid w:val="00DE1B4C"/>
    <w:rsid w:val="00DE2064"/>
    <w:rsid w:val="00DE2595"/>
    <w:rsid w:val="00DE329A"/>
    <w:rsid w:val="00DE3FBE"/>
    <w:rsid w:val="00DE4E81"/>
    <w:rsid w:val="00DE7AA0"/>
    <w:rsid w:val="00DE7DB2"/>
    <w:rsid w:val="00DF2317"/>
    <w:rsid w:val="00DF2AB9"/>
    <w:rsid w:val="00DF5610"/>
    <w:rsid w:val="00DF5E15"/>
    <w:rsid w:val="00DF5F39"/>
    <w:rsid w:val="00E026E1"/>
    <w:rsid w:val="00E02B55"/>
    <w:rsid w:val="00E033FA"/>
    <w:rsid w:val="00E05C78"/>
    <w:rsid w:val="00E06EF0"/>
    <w:rsid w:val="00E07AA5"/>
    <w:rsid w:val="00E10BF8"/>
    <w:rsid w:val="00E13827"/>
    <w:rsid w:val="00E15844"/>
    <w:rsid w:val="00E20BD5"/>
    <w:rsid w:val="00E210D4"/>
    <w:rsid w:val="00E222B0"/>
    <w:rsid w:val="00E22505"/>
    <w:rsid w:val="00E230A0"/>
    <w:rsid w:val="00E24B8D"/>
    <w:rsid w:val="00E32A97"/>
    <w:rsid w:val="00E33056"/>
    <w:rsid w:val="00E335B7"/>
    <w:rsid w:val="00E339B4"/>
    <w:rsid w:val="00E34C4A"/>
    <w:rsid w:val="00E42B4F"/>
    <w:rsid w:val="00E42FA7"/>
    <w:rsid w:val="00E43556"/>
    <w:rsid w:val="00E43574"/>
    <w:rsid w:val="00E473C6"/>
    <w:rsid w:val="00E47ED5"/>
    <w:rsid w:val="00E50F51"/>
    <w:rsid w:val="00E5195A"/>
    <w:rsid w:val="00E52234"/>
    <w:rsid w:val="00E531C9"/>
    <w:rsid w:val="00E55A2E"/>
    <w:rsid w:val="00E56022"/>
    <w:rsid w:val="00E57DB7"/>
    <w:rsid w:val="00E601D0"/>
    <w:rsid w:val="00E61884"/>
    <w:rsid w:val="00E66241"/>
    <w:rsid w:val="00E678C4"/>
    <w:rsid w:val="00E70B2B"/>
    <w:rsid w:val="00E70B5A"/>
    <w:rsid w:val="00E72260"/>
    <w:rsid w:val="00E7613F"/>
    <w:rsid w:val="00E761E1"/>
    <w:rsid w:val="00E82044"/>
    <w:rsid w:val="00E82AF7"/>
    <w:rsid w:val="00E866DF"/>
    <w:rsid w:val="00E91039"/>
    <w:rsid w:val="00E928F8"/>
    <w:rsid w:val="00E95832"/>
    <w:rsid w:val="00E959E2"/>
    <w:rsid w:val="00E960FB"/>
    <w:rsid w:val="00E97426"/>
    <w:rsid w:val="00EA2AD9"/>
    <w:rsid w:val="00EA3374"/>
    <w:rsid w:val="00EA3780"/>
    <w:rsid w:val="00EA4624"/>
    <w:rsid w:val="00EB21E1"/>
    <w:rsid w:val="00EB342D"/>
    <w:rsid w:val="00EB6FF4"/>
    <w:rsid w:val="00EB7730"/>
    <w:rsid w:val="00EC2085"/>
    <w:rsid w:val="00EC2F48"/>
    <w:rsid w:val="00EC3E96"/>
    <w:rsid w:val="00EC502A"/>
    <w:rsid w:val="00EC64BD"/>
    <w:rsid w:val="00EC6593"/>
    <w:rsid w:val="00ED055F"/>
    <w:rsid w:val="00ED095B"/>
    <w:rsid w:val="00ED12BE"/>
    <w:rsid w:val="00ED18B9"/>
    <w:rsid w:val="00ED1F0F"/>
    <w:rsid w:val="00ED3D29"/>
    <w:rsid w:val="00EE10B3"/>
    <w:rsid w:val="00EE301D"/>
    <w:rsid w:val="00EE7383"/>
    <w:rsid w:val="00EE7CE9"/>
    <w:rsid w:val="00EF3067"/>
    <w:rsid w:val="00EF32B8"/>
    <w:rsid w:val="00EF39B7"/>
    <w:rsid w:val="00EF3E8A"/>
    <w:rsid w:val="00EF5C41"/>
    <w:rsid w:val="00EF7035"/>
    <w:rsid w:val="00EF7B4E"/>
    <w:rsid w:val="00EF7CBB"/>
    <w:rsid w:val="00F0010A"/>
    <w:rsid w:val="00F02CEA"/>
    <w:rsid w:val="00F07E55"/>
    <w:rsid w:val="00F12E44"/>
    <w:rsid w:val="00F152BD"/>
    <w:rsid w:val="00F22B40"/>
    <w:rsid w:val="00F23F4F"/>
    <w:rsid w:val="00F26DA4"/>
    <w:rsid w:val="00F32452"/>
    <w:rsid w:val="00F33E20"/>
    <w:rsid w:val="00F34241"/>
    <w:rsid w:val="00F36E3D"/>
    <w:rsid w:val="00F400EA"/>
    <w:rsid w:val="00F43FC4"/>
    <w:rsid w:val="00F458BA"/>
    <w:rsid w:val="00F45936"/>
    <w:rsid w:val="00F50D52"/>
    <w:rsid w:val="00F51881"/>
    <w:rsid w:val="00F55F34"/>
    <w:rsid w:val="00F56BCE"/>
    <w:rsid w:val="00F62141"/>
    <w:rsid w:val="00F62374"/>
    <w:rsid w:val="00F623CD"/>
    <w:rsid w:val="00F63A4D"/>
    <w:rsid w:val="00F6466A"/>
    <w:rsid w:val="00F67C07"/>
    <w:rsid w:val="00F70649"/>
    <w:rsid w:val="00F72D7C"/>
    <w:rsid w:val="00F73A6D"/>
    <w:rsid w:val="00F741B9"/>
    <w:rsid w:val="00F744EC"/>
    <w:rsid w:val="00F75CE3"/>
    <w:rsid w:val="00F77543"/>
    <w:rsid w:val="00F77A93"/>
    <w:rsid w:val="00F77BBE"/>
    <w:rsid w:val="00F8167F"/>
    <w:rsid w:val="00F8348B"/>
    <w:rsid w:val="00F843D8"/>
    <w:rsid w:val="00F86078"/>
    <w:rsid w:val="00F86B0C"/>
    <w:rsid w:val="00F9258A"/>
    <w:rsid w:val="00F92ECD"/>
    <w:rsid w:val="00FA04F5"/>
    <w:rsid w:val="00FA0B75"/>
    <w:rsid w:val="00FA1627"/>
    <w:rsid w:val="00FA1652"/>
    <w:rsid w:val="00FA320B"/>
    <w:rsid w:val="00FA3547"/>
    <w:rsid w:val="00FA57D0"/>
    <w:rsid w:val="00FA5881"/>
    <w:rsid w:val="00FA5CA4"/>
    <w:rsid w:val="00FA5DEE"/>
    <w:rsid w:val="00FA6897"/>
    <w:rsid w:val="00FA7082"/>
    <w:rsid w:val="00FB18CD"/>
    <w:rsid w:val="00FB3A8D"/>
    <w:rsid w:val="00FB4148"/>
    <w:rsid w:val="00FB7A32"/>
    <w:rsid w:val="00FC0703"/>
    <w:rsid w:val="00FC1C87"/>
    <w:rsid w:val="00FC29E9"/>
    <w:rsid w:val="00FC6040"/>
    <w:rsid w:val="00FC7557"/>
    <w:rsid w:val="00FD23DB"/>
    <w:rsid w:val="00FD5140"/>
    <w:rsid w:val="00FD7A01"/>
    <w:rsid w:val="00FD7FEB"/>
    <w:rsid w:val="00FE0DA7"/>
    <w:rsid w:val="00FE3AE0"/>
    <w:rsid w:val="00FE3B08"/>
    <w:rsid w:val="00FE4B9D"/>
    <w:rsid w:val="00FF3A0D"/>
    <w:rsid w:val="00FF3C93"/>
    <w:rsid w:val="00FF5E2F"/>
    <w:rsid w:val="00FF6F4A"/>
    <w:rsid w:val="00FF7E05"/>
  </w:rsids>
  <m:mathPr>
    <m:mathFont m:val="Cambria Math"/>
    <m:brkBin m:val="before"/>
    <m:brkBinSub m:val="--"/>
    <m:smallFrac m:val="0"/>
    <m:dispDef/>
    <m:lMargin m:val="0"/>
    <m:rMargin m:val="0"/>
    <m:defJc m:val="centerGroup"/>
    <m:wrapIndent m:val="1440"/>
    <m:intLim m:val="subSup"/>
    <m:naryLim m:val="undOvr"/>
  </m:mathPr>
  <w:themeFontLang w:val="en-SG" w:eastAsia="zh-CN"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867E1"/>
  <w15:chartTrackingRefBased/>
  <w15:docId w15:val="{33C76C52-19E5-4768-8D34-D826BA4B8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SG" w:eastAsia="zh-CN" w:bidi="my-MM"/>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10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56F3"/>
    <w:rPr>
      <w:color w:val="0000FF"/>
      <w:u w:val="single"/>
    </w:rPr>
  </w:style>
  <w:style w:type="table" w:styleId="TableGrid">
    <w:name w:val="Table Grid"/>
    <w:basedOn w:val="TableNormal"/>
    <w:uiPriority w:val="39"/>
    <w:rsid w:val="00630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7259"/>
    <w:pPr>
      <w:ind w:left="720"/>
      <w:contextualSpacing/>
    </w:pPr>
  </w:style>
  <w:style w:type="paragraph" w:styleId="Header">
    <w:name w:val="header"/>
    <w:basedOn w:val="Normal"/>
    <w:link w:val="HeaderChar"/>
    <w:uiPriority w:val="99"/>
    <w:unhideWhenUsed/>
    <w:rsid w:val="00451A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A3A"/>
  </w:style>
  <w:style w:type="paragraph" w:styleId="Footer">
    <w:name w:val="footer"/>
    <w:basedOn w:val="Normal"/>
    <w:link w:val="FooterChar"/>
    <w:uiPriority w:val="99"/>
    <w:unhideWhenUsed/>
    <w:rsid w:val="00451A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A3A"/>
  </w:style>
  <w:style w:type="character" w:styleId="LineNumber">
    <w:name w:val="line number"/>
    <w:basedOn w:val="DefaultParagraphFont"/>
    <w:uiPriority w:val="99"/>
    <w:semiHidden/>
    <w:unhideWhenUsed/>
    <w:rsid w:val="00451A3A"/>
  </w:style>
  <w:style w:type="paragraph" w:styleId="BalloonText">
    <w:name w:val="Balloon Text"/>
    <w:basedOn w:val="Normal"/>
    <w:link w:val="BalloonTextChar"/>
    <w:uiPriority w:val="99"/>
    <w:semiHidden/>
    <w:unhideWhenUsed/>
    <w:rsid w:val="00097C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C8B"/>
    <w:rPr>
      <w:rFonts w:ascii="Segoe UI" w:hAnsi="Segoe UI" w:cs="Segoe UI"/>
      <w:sz w:val="18"/>
      <w:szCs w:val="18"/>
    </w:rPr>
  </w:style>
  <w:style w:type="paragraph" w:styleId="FootnoteText">
    <w:name w:val="footnote text"/>
    <w:basedOn w:val="Normal"/>
    <w:link w:val="FootnoteTextChar"/>
    <w:uiPriority w:val="99"/>
    <w:semiHidden/>
    <w:unhideWhenUsed/>
    <w:rsid w:val="008623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2385"/>
    <w:rPr>
      <w:sz w:val="20"/>
      <w:szCs w:val="20"/>
    </w:rPr>
  </w:style>
  <w:style w:type="character" w:styleId="FootnoteReference">
    <w:name w:val="footnote reference"/>
    <w:basedOn w:val="DefaultParagraphFont"/>
    <w:uiPriority w:val="99"/>
    <w:semiHidden/>
    <w:unhideWhenUsed/>
    <w:rsid w:val="00862385"/>
    <w:rPr>
      <w:vertAlign w:val="superscript"/>
    </w:rPr>
  </w:style>
  <w:style w:type="table" w:customStyle="1" w:styleId="TableGrid1">
    <w:name w:val="Table Grid1"/>
    <w:basedOn w:val="TableNormal"/>
    <w:next w:val="TableGrid"/>
    <w:uiPriority w:val="39"/>
    <w:rsid w:val="00E47ED5"/>
    <w:pPr>
      <w:spacing w:after="0" w:line="240" w:lineRule="auto"/>
    </w:pPr>
    <w:rPr>
      <w:sz w:val="24"/>
      <w:szCs w:val="24"/>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2717D"/>
    <w:pPr>
      <w:spacing w:after="0" w:line="240" w:lineRule="auto"/>
    </w:pPr>
    <w:rPr>
      <w:sz w:val="24"/>
      <w:szCs w:val="24"/>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24547"/>
    <w:rPr>
      <w:sz w:val="16"/>
      <w:szCs w:val="16"/>
    </w:rPr>
  </w:style>
  <w:style w:type="paragraph" w:styleId="CommentText">
    <w:name w:val="annotation text"/>
    <w:basedOn w:val="Normal"/>
    <w:link w:val="CommentTextChar"/>
    <w:uiPriority w:val="99"/>
    <w:semiHidden/>
    <w:unhideWhenUsed/>
    <w:rsid w:val="00924547"/>
    <w:pPr>
      <w:spacing w:line="240" w:lineRule="auto"/>
    </w:pPr>
    <w:rPr>
      <w:sz w:val="20"/>
      <w:szCs w:val="20"/>
    </w:rPr>
  </w:style>
  <w:style w:type="character" w:customStyle="1" w:styleId="CommentTextChar">
    <w:name w:val="Comment Text Char"/>
    <w:basedOn w:val="DefaultParagraphFont"/>
    <w:link w:val="CommentText"/>
    <w:uiPriority w:val="99"/>
    <w:semiHidden/>
    <w:rsid w:val="00924547"/>
    <w:rPr>
      <w:sz w:val="20"/>
      <w:szCs w:val="20"/>
    </w:rPr>
  </w:style>
  <w:style w:type="paragraph" w:styleId="CommentSubject">
    <w:name w:val="annotation subject"/>
    <w:basedOn w:val="CommentText"/>
    <w:next w:val="CommentText"/>
    <w:link w:val="CommentSubjectChar"/>
    <w:uiPriority w:val="99"/>
    <w:semiHidden/>
    <w:unhideWhenUsed/>
    <w:rsid w:val="00A92044"/>
    <w:rPr>
      <w:b/>
      <w:bCs/>
    </w:rPr>
  </w:style>
  <w:style w:type="character" w:customStyle="1" w:styleId="CommentSubjectChar">
    <w:name w:val="Comment Subject Char"/>
    <w:basedOn w:val="CommentTextChar"/>
    <w:link w:val="CommentSubject"/>
    <w:uiPriority w:val="99"/>
    <w:semiHidden/>
    <w:rsid w:val="00A92044"/>
    <w:rPr>
      <w:b/>
      <w:bCs/>
      <w:sz w:val="20"/>
      <w:szCs w:val="20"/>
    </w:rPr>
  </w:style>
  <w:style w:type="character" w:styleId="UnresolvedMention">
    <w:name w:val="Unresolved Mention"/>
    <w:basedOn w:val="DefaultParagraphFont"/>
    <w:uiPriority w:val="99"/>
    <w:semiHidden/>
    <w:unhideWhenUsed/>
    <w:rsid w:val="00F70649"/>
    <w:rPr>
      <w:color w:val="605E5C"/>
      <w:shd w:val="clear" w:color="auto" w:fill="E1DFDD"/>
    </w:rPr>
  </w:style>
  <w:style w:type="table" w:customStyle="1" w:styleId="TableGrid3">
    <w:name w:val="Table Grid3"/>
    <w:basedOn w:val="TableNormal"/>
    <w:next w:val="TableGrid"/>
    <w:uiPriority w:val="39"/>
    <w:rsid w:val="00F9258A"/>
    <w:pPr>
      <w:spacing w:after="0" w:line="240" w:lineRule="auto"/>
    </w:pPr>
    <w:rPr>
      <w:rFonts w:eastAsiaTheme="minorHAns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92B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502186">
      <w:bodyDiv w:val="1"/>
      <w:marLeft w:val="0"/>
      <w:marRight w:val="0"/>
      <w:marTop w:val="0"/>
      <w:marBottom w:val="0"/>
      <w:divBdr>
        <w:top w:val="none" w:sz="0" w:space="0" w:color="auto"/>
        <w:left w:val="none" w:sz="0" w:space="0" w:color="auto"/>
        <w:bottom w:val="none" w:sz="0" w:space="0" w:color="auto"/>
        <w:right w:val="none" w:sz="0" w:space="0" w:color="auto"/>
      </w:divBdr>
    </w:div>
    <w:div w:id="1368608161">
      <w:bodyDiv w:val="1"/>
      <w:marLeft w:val="0"/>
      <w:marRight w:val="0"/>
      <w:marTop w:val="0"/>
      <w:marBottom w:val="0"/>
      <w:divBdr>
        <w:top w:val="none" w:sz="0" w:space="0" w:color="auto"/>
        <w:left w:val="none" w:sz="0" w:space="0" w:color="auto"/>
        <w:bottom w:val="none" w:sz="0" w:space="0" w:color="auto"/>
        <w:right w:val="none" w:sz="0" w:space="0" w:color="auto"/>
      </w:divBdr>
    </w:div>
    <w:div w:id="157065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hirishwesinaung@fas.harvard.edu" TargetMode="External"/><Relationship Id="rId13" Type="http://schemas.microsoft.com/office/2007/relationships/hdphoto" Target="media/hdphoto2.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ports.com/sea-route/port-of-shanghai,china/port-of-yangon,myanmar/"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oogle.com/earth/ver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BD14F-E2AD-4AE7-8B9D-F01C51A3F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43359</Words>
  <Characters>247151</Characters>
  <Application>Microsoft Office Word</Application>
  <DocSecurity>0</DocSecurity>
  <Lines>2059</Lines>
  <Paragraphs>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thiri aung</dc:creator>
  <cp:keywords/>
  <dc:description/>
  <cp:lastModifiedBy>Fischer, Thomas</cp:lastModifiedBy>
  <cp:revision>2</cp:revision>
  <dcterms:created xsi:type="dcterms:W3CDTF">2020-10-20T14:48:00Z</dcterms:created>
  <dcterms:modified xsi:type="dcterms:W3CDTF">2020-10-20T14:48:00Z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24d99f47-967b-325a-abfd-21631bc25369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