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15B83" w14:textId="3AEEFE23" w:rsidR="00DA00DD" w:rsidRDefault="00DA00DD" w:rsidP="00DA00DD">
      <w:pPr>
        <w:spacing w:line="360" w:lineRule="auto"/>
        <w:jc w:val="center"/>
        <w:rPr>
          <w:rFonts w:asciiTheme="minorHAnsi" w:hAnsiTheme="minorHAnsi" w:cstheme="minorHAnsi"/>
          <w:b/>
        </w:rPr>
      </w:pPr>
      <w:bookmarkStart w:id="0" w:name="_Toc32848640"/>
      <w:r w:rsidRPr="00DA00DD">
        <w:rPr>
          <w:rFonts w:asciiTheme="minorHAnsi" w:hAnsiTheme="minorHAnsi" w:cstheme="minorHAnsi"/>
          <w:b/>
        </w:rPr>
        <w:t>Late effects arising from volumetric modulated arc therapy to the breast:</w:t>
      </w:r>
    </w:p>
    <w:p w14:paraId="6E55A79B" w14:textId="5D250C2F" w:rsidR="00DA00DD" w:rsidRDefault="00DA00DD" w:rsidP="00DA00DD">
      <w:pPr>
        <w:spacing w:line="360" w:lineRule="auto"/>
        <w:jc w:val="center"/>
        <w:rPr>
          <w:rFonts w:asciiTheme="minorHAnsi" w:hAnsiTheme="minorHAnsi" w:cstheme="minorHAnsi"/>
          <w:b/>
        </w:rPr>
      </w:pPr>
      <w:r w:rsidRPr="00DA00DD">
        <w:rPr>
          <w:rFonts w:asciiTheme="minorHAnsi" w:hAnsiTheme="minorHAnsi" w:cstheme="minorHAnsi"/>
          <w:b/>
        </w:rPr>
        <w:t>A systematic review</w:t>
      </w:r>
    </w:p>
    <w:p w14:paraId="533E5B1A" w14:textId="77777777" w:rsidR="00DA00DD" w:rsidRDefault="00DA00DD" w:rsidP="00DA00DD">
      <w:pPr>
        <w:spacing w:line="360" w:lineRule="auto"/>
        <w:rPr>
          <w:rFonts w:asciiTheme="minorHAnsi" w:hAnsiTheme="minorHAnsi" w:cstheme="minorHAnsi"/>
          <w:b/>
        </w:rPr>
      </w:pPr>
    </w:p>
    <w:p w14:paraId="61DB53BD" w14:textId="59D81F87" w:rsidR="00DA00DD" w:rsidRPr="00DA00DD" w:rsidRDefault="00DA00DD" w:rsidP="00DA00DD">
      <w:pPr>
        <w:spacing w:line="360" w:lineRule="auto"/>
        <w:rPr>
          <w:rFonts w:asciiTheme="minorHAnsi" w:hAnsiTheme="minorHAnsi" w:cstheme="minorHAnsi"/>
          <w:b/>
        </w:rPr>
      </w:pPr>
      <w:r w:rsidRPr="00DA00DD">
        <w:rPr>
          <w:rFonts w:asciiTheme="minorHAnsi" w:hAnsiTheme="minorHAnsi" w:cstheme="minorHAnsi"/>
          <w:b/>
        </w:rPr>
        <w:t>Abstract</w:t>
      </w:r>
    </w:p>
    <w:p w14:paraId="36286D5A" w14:textId="77777777" w:rsidR="00DA00DD" w:rsidRPr="00DA00DD" w:rsidRDefault="00DA00DD" w:rsidP="00DA00DD">
      <w:pPr>
        <w:spacing w:line="360" w:lineRule="auto"/>
        <w:rPr>
          <w:rFonts w:asciiTheme="minorHAnsi" w:hAnsiTheme="minorHAnsi" w:cstheme="minorHAnsi"/>
          <w:b/>
        </w:rPr>
      </w:pPr>
    </w:p>
    <w:p w14:paraId="47F7DA8E" w14:textId="77777777" w:rsidR="00DA00DD" w:rsidRPr="00DA00DD" w:rsidRDefault="00DA00DD" w:rsidP="00DA00DD">
      <w:pPr>
        <w:spacing w:line="276" w:lineRule="auto"/>
        <w:rPr>
          <w:rFonts w:asciiTheme="minorHAnsi" w:hAnsiTheme="minorHAnsi" w:cstheme="minorHAnsi"/>
          <w:b/>
        </w:rPr>
      </w:pPr>
      <w:r w:rsidRPr="00DA00DD">
        <w:rPr>
          <w:rFonts w:asciiTheme="minorHAnsi" w:hAnsiTheme="minorHAnsi" w:cstheme="minorHAnsi"/>
          <w:b/>
        </w:rPr>
        <w:t>Introduction</w:t>
      </w:r>
    </w:p>
    <w:p w14:paraId="0A8850A8" w14:textId="77777777" w:rsidR="00DA00DD" w:rsidRPr="00DA00DD" w:rsidRDefault="00DA00DD" w:rsidP="00DA00DD">
      <w:pPr>
        <w:spacing w:line="276" w:lineRule="auto"/>
        <w:rPr>
          <w:rFonts w:asciiTheme="minorHAnsi" w:hAnsiTheme="minorHAnsi" w:cstheme="minorHAnsi"/>
        </w:rPr>
      </w:pPr>
      <w:r w:rsidRPr="00DA00DD">
        <w:rPr>
          <w:rFonts w:asciiTheme="minorHAnsi" w:hAnsiTheme="minorHAnsi" w:cstheme="minorHAnsi"/>
        </w:rPr>
        <w:t>Volumetric modulated arc therapy (VMAT) to the breast offers the potential for excellent dose conformity with the possibility of integrating a simultaneous boost within the treatment plan. This technique, however, also delivers a low dose</w:t>
      </w:r>
      <w:bookmarkStart w:id="1" w:name="_GoBack"/>
      <w:bookmarkEnd w:id="1"/>
      <w:r w:rsidRPr="00DA00DD">
        <w:rPr>
          <w:rFonts w:asciiTheme="minorHAnsi" w:hAnsiTheme="minorHAnsi" w:cstheme="minorHAnsi"/>
        </w:rPr>
        <w:t xml:space="preserve"> to a large amount of healthy tissue.  This systematic review aimed to determine if VMAT offers a clinically significant difference in late effects compared with conformal radiotherapy techniques for breast radiotherapy.</w:t>
      </w:r>
    </w:p>
    <w:p w14:paraId="2A8AF30E" w14:textId="77777777" w:rsidR="00DA00DD" w:rsidRPr="00DA00DD" w:rsidRDefault="00DA00DD" w:rsidP="00DA00DD">
      <w:pPr>
        <w:spacing w:line="276" w:lineRule="auto"/>
        <w:rPr>
          <w:rFonts w:asciiTheme="minorHAnsi" w:hAnsiTheme="minorHAnsi" w:cstheme="minorHAnsi"/>
        </w:rPr>
      </w:pPr>
    </w:p>
    <w:p w14:paraId="2F9B3881" w14:textId="77777777" w:rsidR="00DA00DD" w:rsidRPr="00DA00DD" w:rsidRDefault="00DA00DD" w:rsidP="00DA00DD">
      <w:pPr>
        <w:spacing w:line="276" w:lineRule="auto"/>
        <w:rPr>
          <w:rFonts w:asciiTheme="minorHAnsi" w:hAnsiTheme="minorHAnsi" w:cstheme="minorHAnsi"/>
          <w:b/>
        </w:rPr>
      </w:pPr>
      <w:r w:rsidRPr="00DA00DD">
        <w:rPr>
          <w:rFonts w:asciiTheme="minorHAnsi" w:hAnsiTheme="minorHAnsi" w:cstheme="minorHAnsi"/>
          <w:b/>
        </w:rPr>
        <w:t>Methods</w:t>
      </w:r>
    </w:p>
    <w:p w14:paraId="70D36D39" w14:textId="77777777" w:rsidR="00DA00DD" w:rsidRPr="00DA00DD" w:rsidRDefault="00DA00DD" w:rsidP="00DA00DD">
      <w:pPr>
        <w:spacing w:line="276" w:lineRule="auto"/>
        <w:rPr>
          <w:rFonts w:asciiTheme="minorHAnsi" w:hAnsiTheme="minorHAnsi" w:cstheme="minorHAnsi"/>
        </w:rPr>
      </w:pPr>
      <w:r w:rsidRPr="00DA00DD">
        <w:rPr>
          <w:rFonts w:asciiTheme="minorHAnsi" w:hAnsiTheme="minorHAnsi" w:cstheme="minorHAnsi"/>
        </w:rPr>
        <w:t>A systematic review and quality appraisal of primary studies evaluating VMAT to the breast was performed, adopting the PRISMA checklist.</w:t>
      </w:r>
    </w:p>
    <w:p w14:paraId="7A122508" w14:textId="77777777" w:rsidR="00DA00DD" w:rsidRPr="00DA00DD" w:rsidRDefault="00DA00DD" w:rsidP="00DA00DD">
      <w:pPr>
        <w:spacing w:line="276" w:lineRule="auto"/>
        <w:rPr>
          <w:rFonts w:asciiTheme="minorHAnsi" w:hAnsiTheme="minorHAnsi" w:cstheme="minorHAnsi"/>
        </w:rPr>
      </w:pPr>
    </w:p>
    <w:p w14:paraId="25239187" w14:textId="77777777" w:rsidR="00DA00DD" w:rsidRPr="00DA00DD" w:rsidRDefault="00DA00DD" w:rsidP="00DA00DD">
      <w:pPr>
        <w:spacing w:line="276" w:lineRule="auto"/>
        <w:rPr>
          <w:rFonts w:asciiTheme="minorHAnsi" w:hAnsiTheme="minorHAnsi" w:cstheme="minorHAnsi"/>
          <w:b/>
        </w:rPr>
      </w:pPr>
      <w:r w:rsidRPr="00DA00DD">
        <w:rPr>
          <w:rFonts w:asciiTheme="minorHAnsi" w:hAnsiTheme="minorHAnsi" w:cstheme="minorHAnsi"/>
          <w:b/>
        </w:rPr>
        <w:t>Results</w:t>
      </w:r>
    </w:p>
    <w:p w14:paraId="6092B7FD" w14:textId="77777777" w:rsidR="00DA00DD" w:rsidRPr="00DA00DD" w:rsidRDefault="00DA00DD" w:rsidP="00DA00DD">
      <w:pPr>
        <w:spacing w:line="276" w:lineRule="auto"/>
        <w:rPr>
          <w:rFonts w:asciiTheme="minorHAnsi" w:hAnsiTheme="minorHAnsi" w:cstheme="minorHAnsi"/>
        </w:rPr>
      </w:pPr>
      <w:r w:rsidRPr="00DA00DD">
        <w:rPr>
          <w:rFonts w:asciiTheme="minorHAnsi" w:hAnsiTheme="minorHAnsi" w:cstheme="minorHAnsi"/>
        </w:rPr>
        <w:t xml:space="preserve">A total of 8 studies were included in the review. These demonstrated variation in prescription, outcome measures and cohort characteristics. Findings supported the value of VMAT for reducing organ at risk (OAR) doses but also confirmed the potential secondary cancer risk arising from the low dose bath. Hybrid techniques combining VMAT with tangential intensity modulated or standard radiotherapy showed promise when tangential plans failed to meet objectives. </w:t>
      </w:r>
    </w:p>
    <w:p w14:paraId="77A95DD7" w14:textId="77777777" w:rsidR="00DA00DD" w:rsidRPr="00DA00DD" w:rsidRDefault="00DA00DD" w:rsidP="00DA00DD">
      <w:pPr>
        <w:spacing w:line="276" w:lineRule="auto"/>
        <w:rPr>
          <w:rFonts w:asciiTheme="minorHAnsi" w:hAnsiTheme="minorHAnsi" w:cstheme="minorHAnsi"/>
        </w:rPr>
      </w:pPr>
    </w:p>
    <w:p w14:paraId="378207C1" w14:textId="77777777" w:rsidR="00DA00DD" w:rsidRPr="00DA00DD" w:rsidRDefault="00DA00DD" w:rsidP="00DA00DD">
      <w:pPr>
        <w:spacing w:line="276" w:lineRule="auto"/>
        <w:rPr>
          <w:rFonts w:asciiTheme="minorHAnsi" w:hAnsiTheme="minorHAnsi" w:cstheme="minorHAnsi"/>
          <w:b/>
        </w:rPr>
      </w:pPr>
      <w:r w:rsidRPr="00DA00DD">
        <w:rPr>
          <w:rFonts w:asciiTheme="minorHAnsi" w:hAnsiTheme="minorHAnsi" w:cstheme="minorHAnsi"/>
          <w:b/>
        </w:rPr>
        <w:t>Conclusion</w:t>
      </w:r>
    </w:p>
    <w:p w14:paraId="12703A54" w14:textId="77777777" w:rsidR="00DA00DD" w:rsidRPr="00DA00DD" w:rsidRDefault="00DA00DD" w:rsidP="00DA00DD">
      <w:pPr>
        <w:spacing w:line="276" w:lineRule="auto"/>
        <w:rPr>
          <w:rFonts w:asciiTheme="minorHAnsi" w:hAnsiTheme="minorHAnsi" w:cstheme="minorHAnsi"/>
        </w:rPr>
      </w:pPr>
      <w:r w:rsidRPr="00DA00DD">
        <w:rPr>
          <w:rFonts w:asciiTheme="minorHAnsi" w:hAnsiTheme="minorHAnsi" w:cstheme="minorHAnsi"/>
        </w:rPr>
        <w:t xml:space="preserve">VMAT alone does not offer any significant benefit to late effects over conventional for breast radiotherapy due to the creation of a low dose bath, despite improving OAR doses. More research into hybrid techniques is warranted to identify the most appropriate treatment for different patient subgroups and tumour locations.  </w:t>
      </w:r>
    </w:p>
    <w:p w14:paraId="767A595E" w14:textId="77777777" w:rsidR="00DA00DD" w:rsidRPr="00DA00DD" w:rsidRDefault="00DA00DD" w:rsidP="00DA00DD">
      <w:pPr>
        <w:spacing w:line="276" w:lineRule="auto"/>
        <w:rPr>
          <w:rFonts w:asciiTheme="minorHAnsi" w:hAnsiTheme="minorHAnsi" w:cstheme="minorHAnsi"/>
        </w:rPr>
      </w:pPr>
    </w:p>
    <w:p w14:paraId="4EC35579" w14:textId="77777777" w:rsidR="00DA00DD" w:rsidRPr="00DA00DD" w:rsidRDefault="00DA00DD" w:rsidP="00DA00DD">
      <w:pPr>
        <w:spacing w:line="276" w:lineRule="auto"/>
        <w:rPr>
          <w:rFonts w:asciiTheme="minorHAnsi" w:hAnsiTheme="minorHAnsi" w:cstheme="minorHAnsi"/>
          <w:b/>
        </w:rPr>
      </w:pPr>
      <w:r w:rsidRPr="00DA00DD">
        <w:rPr>
          <w:rFonts w:asciiTheme="minorHAnsi" w:hAnsiTheme="minorHAnsi" w:cstheme="minorHAnsi"/>
          <w:b/>
        </w:rPr>
        <w:t>Implications for Practice</w:t>
      </w:r>
    </w:p>
    <w:p w14:paraId="36B2D335" w14:textId="77777777" w:rsidR="00DA00DD" w:rsidRPr="00DA00DD" w:rsidRDefault="00DA00DD" w:rsidP="00DA00DD">
      <w:pPr>
        <w:spacing w:line="276" w:lineRule="auto"/>
        <w:rPr>
          <w:rFonts w:asciiTheme="minorHAnsi" w:hAnsiTheme="minorHAnsi" w:cstheme="minorHAnsi"/>
        </w:rPr>
      </w:pPr>
      <w:r w:rsidRPr="00DA00DD">
        <w:rPr>
          <w:rFonts w:asciiTheme="minorHAnsi" w:hAnsiTheme="minorHAnsi" w:cstheme="minorHAnsi"/>
        </w:rPr>
        <w:t xml:space="preserve">VMAT may not be the optimal technique for breast radiotherapy; hybrid plans combining tangential IMRT with VMAT are recommended.  </w:t>
      </w:r>
    </w:p>
    <w:p w14:paraId="6863525C" w14:textId="60182B9A" w:rsidR="003643C0" w:rsidRPr="00A1736D" w:rsidRDefault="00CA5A92" w:rsidP="009916B3">
      <w:pPr>
        <w:pStyle w:val="Heading1"/>
        <w:jc w:val="both"/>
        <w:rPr>
          <w:rFonts w:asciiTheme="minorHAnsi" w:hAnsiTheme="minorHAnsi" w:cstheme="minorHAnsi"/>
          <w:b/>
          <w:bCs/>
          <w:color w:val="000000" w:themeColor="text1"/>
          <w:sz w:val="22"/>
          <w:szCs w:val="22"/>
          <w:lang w:val="en-US"/>
        </w:rPr>
      </w:pPr>
      <w:r w:rsidRPr="00A1736D">
        <w:rPr>
          <w:rFonts w:asciiTheme="minorHAnsi" w:hAnsiTheme="minorHAnsi" w:cstheme="minorHAnsi"/>
          <w:b/>
          <w:bCs/>
          <w:color w:val="000000" w:themeColor="text1"/>
          <w:sz w:val="22"/>
          <w:szCs w:val="22"/>
          <w:lang w:val="en-US"/>
        </w:rPr>
        <w:lastRenderedPageBreak/>
        <w:t>Introduction</w:t>
      </w:r>
      <w:bookmarkEnd w:id="0"/>
    </w:p>
    <w:p w14:paraId="1A4DA5F6" w14:textId="77777777" w:rsidR="00E85829" w:rsidRPr="00892385" w:rsidRDefault="00E85829" w:rsidP="00E85829">
      <w:pPr>
        <w:rPr>
          <w:rFonts w:asciiTheme="minorHAnsi" w:hAnsiTheme="minorHAnsi" w:cstheme="minorHAnsi"/>
          <w:sz w:val="22"/>
          <w:szCs w:val="22"/>
          <w:lang w:val="en-US" w:eastAsia="en-US"/>
        </w:rPr>
      </w:pPr>
    </w:p>
    <w:p w14:paraId="665499C8" w14:textId="21E60589" w:rsidR="008E2C83" w:rsidRPr="00892385" w:rsidRDefault="008E2C83" w:rsidP="009916B3">
      <w:pPr>
        <w:autoSpaceDE w:val="0"/>
        <w:autoSpaceDN w:val="0"/>
        <w:adjustRightInd w:val="0"/>
        <w:spacing w:line="360" w:lineRule="auto"/>
        <w:jc w:val="both"/>
        <w:rPr>
          <w:rFonts w:asciiTheme="minorHAnsi" w:hAnsiTheme="minorHAnsi" w:cstheme="minorHAnsi"/>
          <w:bCs/>
          <w:color w:val="000000" w:themeColor="text1"/>
          <w:sz w:val="22"/>
          <w:szCs w:val="22"/>
          <w:lang w:val="en-US"/>
        </w:rPr>
      </w:pPr>
      <w:r w:rsidRPr="00892385">
        <w:rPr>
          <w:rFonts w:asciiTheme="minorHAnsi" w:hAnsiTheme="minorHAnsi" w:cstheme="minorHAnsi"/>
          <w:bCs/>
          <w:color w:val="000000" w:themeColor="text1"/>
          <w:sz w:val="22"/>
          <w:szCs w:val="22"/>
          <w:lang w:val="en-US"/>
        </w:rPr>
        <w:t>Breast cancer tr</w:t>
      </w:r>
      <w:r w:rsidR="00E221B9" w:rsidRPr="00892385">
        <w:rPr>
          <w:rFonts w:asciiTheme="minorHAnsi" w:hAnsiTheme="minorHAnsi" w:cstheme="minorHAnsi"/>
          <w:bCs/>
          <w:color w:val="000000" w:themeColor="text1"/>
          <w:sz w:val="22"/>
          <w:szCs w:val="22"/>
          <w:lang w:val="en-US"/>
        </w:rPr>
        <w:t>eatments form a major component</w:t>
      </w:r>
      <w:r w:rsidRPr="00892385">
        <w:rPr>
          <w:rFonts w:asciiTheme="minorHAnsi" w:hAnsiTheme="minorHAnsi" w:cstheme="minorHAnsi"/>
          <w:bCs/>
          <w:color w:val="000000" w:themeColor="text1"/>
          <w:sz w:val="22"/>
          <w:szCs w:val="22"/>
          <w:lang w:val="en-US"/>
        </w:rPr>
        <w:t xml:space="preserve"> of the daily radiotherapy department workload</w:t>
      </w:r>
      <w:r w:rsidR="00BD1929">
        <w:rPr>
          <w:rFonts w:asciiTheme="minorHAnsi" w:hAnsiTheme="minorHAnsi" w:cstheme="minorHAnsi"/>
          <w:bCs/>
          <w:color w:val="000000" w:themeColor="text1"/>
          <w:sz w:val="22"/>
          <w:szCs w:val="22"/>
          <w:vertAlign w:val="superscript"/>
          <w:lang w:val="en-US"/>
        </w:rPr>
        <w:t>1</w:t>
      </w:r>
      <w:r w:rsidR="003E15B6">
        <w:rPr>
          <w:rFonts w:asciiTheme="minorHAnsi" w:hAnsiTheme="minorHAnsi" w:cstheme="minorHAnsi"/>
          <w:bCs/>
          <w:color w:val="000000" w:themeColor="text1"/>
          <w:sz w:val="22"/>
          <w:szCs w:val="22"/>
          <w:lang w:val="en-US"/>
        </w:rPr>
        <w:t xml:space="preserve"> </w:t>
      </w:r>
      <w:r w:rsidRPr="00892385">
        <w:rPr>
          <w:rFonts w:asciiTheme="minorHAnsi" w:hAnsiTheme="minorHAnsi" w:cstheme="minorHAnsi"/>
          <w:bCs/>
          <w:color w:val="000000" w:themeColor="text1"/>
          <w:sz w:val="22"/>
          <w:szCs w:val="22"/>
          <w:lang w:val="en-US"/>
        </w:rPr>
        <w:t>but present a range of</w:t>
      </w:r>
      <w:r w:rsidR="00056FAE">
        <w:rPr>
          <w:rFonts w:asciiTheme="minorHAnsi" w:hAnsiTheme="minorHAnsi" w:cstheme="minorHAnsi"/>
          <w:bCs/>
          <w:color w:val="000000" w:themeColor="text1"/>
          <w:sz w:val="22"/>
          <w:szCs w:val="22"/>
          <w:lang w:val="en-US"/>
        </w:rPr>
        <w:t xml:space="preserve"> challenges</w:t>
      </w:r>
      <w:r w:rsidRPr="00892385">
        <w:rPr>
          <w:rFonts w:asciiTheme="minorHAnsi" w:hAnsiTheme="minorHAnsi" w:cstheme="minorHAnsi"/>
          <w:bCs/>
          <w:color w:val="000000" w:themeColor="text1"/>
          <w:sz w:val="22"/>
          <w:szCs w:val="22"/>
          <w:lang w:val="en-US"/>
        </w:rPr>
        <w:t xml:space="preserve"> related to the inconsistency in breast shape as well as respiratory and cardiac motion.</w:t>
      </w:r>
      <w:r w:rsidR="00BD1929">
        <w:rPr>
          <w:rFonts w:asciiTheme="minorHAnsi" w:hAnsiTheme="minorHAnsi" w:cstheme="minorHAnsi"/>
          <w:bCs/>
          <w:color w:val="000000" w:themeColor="text1"/>
          <w:sz w:val="22"/>
          <w:szCs w:val="22"/>
          <w:vertAlign w:val="superscript"/>
          <w:lang w:val="en-US"/>
        </w:rPr>
        <w:t>2</w:t>
      </w:r>
      <w:r w:rsidRPr="00892385">
        <w:rPr>
          <w:rFonts w:asciiTheme="minorHAnsi" w:hAnsiTheme="minorHAnsi" w:cstheme="minorHAnsi"/>
          <w:bCs/>
          <w:color w:val="000000" w:themeColor="text1"/>
          <w:sz w:val="22"/>
          <w:szCs w:val="22"/>
          <w:lang w:val="en-US"/>
        </w:rPr>
        <w:t xml:space="preserve"> T</w:t>
      </w:r>
      <w:r w:rsidRPr="00892385">
        <w:rPr>
          <w:rFonts w:asciiTheme="minorHAnsi" w:hAnsiTheme="minorHAnsi" w:cstheme="minorHAnsi"/>
          <w:bCs/>
          <w:color w:val="000000" w:themeColor="text1"/>
          <w:sz w:val="22"/>
          <w:szCs w:val="22"/>
        </w:rPr>
        <w:t>he</w:t>
      </w:r>
      <w:r w:rsidRPr="00892385">
        <w:rPr>
          <w:rFonts w:asciiTheme="minorHAnsi" w:hAnsiTheme="minorHAnsi" w:cstheme="minorHAnsi"/>
          <w:bCs/>
          <w:color w:val="000000" w:themeColor="text1"/>
          <w:sz w:val="22"/>
          <w:szCs w:val="22"/>
          <w:lang w:val="en-US"/>
        </w:rPr>
        <w:t xml:space="preserve"> treatment volume is within close proximity to a variety of </w:t>
      </w:r>
      <w:r w:rsidR="00D3016B">
        <w:rPr>
          <w:rFonts w:asciiTheme="minorHAnsi" w:hAnsiTheme="minorHAnsi" w:cstheme="minorHAnsi"/>
          <w:bCs/>
          <w:color w:val="000000" w:themeColor="text1"/>
          <w:sz w:val="22"/>
          <w:szCs w:val="22"/>
          <w:lang w:val="en-US"/>
        </w:rPr>
        <w:t>organs at risk (</w:t>
      </w:r>
      <w:r w:rsidRPr="00892385">
        <w:rPr>
          <w:rFonts w:asciiTheme="minorHAnsi" w:hAnsiTheme="minorHAnsi" w:cstheme="minorHAnsi"/>
          <w:bCs/>
          <w:color w:val="000000" w:themeColor="text1"/>
          <w:sz w:val="22"/>
          <w:szCs w:val="22"/>
          <w:lang w:val="en-US"/>
        </w:rPr>
        <w:t>OAR</w:t>
      </w:r>
      <w:r w:rsidR="00D3016B">
        <w:rPr>
          <w:rFonts w:asciiTheme="minorHAnsi" w:hAnsiTheme="minorHAnsi" w:cstheme="minorHAnsi"/>
          <w:bCs/>
          <w:color w:val="000000" w:themeColor="text1"/>
          <w:sz w:val="22"/>
          <w:szCs w:val="22"/>
          <w:lang w:val="en-US"/>
        </w:rPr>
        <w:t>)</w:t>
      </w:r>
      <w:r w:rsidRPr="00892385">
        <w:rPr>
          <w:rFonts w:asciiTheme="minorHAnsi" w:hAnsiTheme="minorHAnsi" w:cstheme="minorHAnsi"/>
          <w:bCs/>
          <w:color w:val="000000" w:themeColor="text1"/>
          <w:sz w:val="22"/>
          <w:szCs w:val="22"/>
          <w:lang w:val="en-US"/>
        </w:rPr>
        <w:t xml:space="preserve">s, such as the heart, lungs and contralateral breast, so planning and treatment requires great care to reduce the incidence of radiation-induced cardiomyopathy, carotid artery stenosis </w:t>
      </w:r>
      <w:r w:rsidR="003E15B6">
        <w:rPr>
          <w:rFonts w:asciiTheme="minorHAnsi" w:hAnsiTheme="minorHAnsi" w:cstheme="minorHAnsi"/>
          <w:bCs/>
          <w:color w:val="000000" w:themeColor="text1"/>
          <w:sz w:val="22"/>
          <w:szCs w:val="22"/>
          <w:lang w:val="en-US"/>
        </w:rPr>
        <w:t>and chronic pericardial disease.</w:t>
      </w:r>
      <w:r w:rsidR="00BD1929">
        <w:rPr>
          <w:rFonts w:asciiTheme="minorHAnsi" w:hAnsiTheme="minorHAnsi" w:cstheme="minorHAnsi"/>
          <w:bCs/>
          <w:color w:val="000000" w:themeColor="text1"/>
          <w:sz w:val="22"/>
          <w:szCs w:val="22"/>
          <w:vertAlign w:val="superscript"/>
          <w:lang w:val="en-US"/>
        </w:rPr>
        <w:t>3</w:t>
      </w:r>
      <w:r w:rsidRPr="00892385">
        <w:rPr>
          <w:rFonts w:asciiTheme="minorHAnsi" w:hAnsiTheme="minorHAnsi" w:cstheme="minorHAnsi"/>
          <w:bCs/>
          <w:color w:val="000000" w:themeColor="text1"/>
          <w:sz w:val="22"/>
          <w:szCs w:val="22"/>
          <w:lang w:val="en-US"/>
        </w:rPr>
        <w:t xml:space="preserve"> </w:t>
      </w:r>
    </w:p>
    <w:p w14:paraId="5BCD2CCC" w14:textId="77777777" w:rsidR="008E2C83" w:rsidRPr="00892385" w:rsidRDefault="008E2C83" w:rsidP="009916B3">
      <w:pPr>
        <w:autoSpaceDE w:val="0"/>
        <w:autoSpaceDN w:val="0"/>
        <w:adjustRightInd w:val="0"/>
        <w:spacing w:line="360" w:lineRule="auto"/>
        <w:jc w:val="both"/>
        <w:rPr>
          <w:rFonts w:asciiTheme="minorHAnsi" w:hAnsiTheme="minorHAnsi" w:cstheme="minorHAnsi"/>
          <w:bCs/>
          <w:color w:val="000000" w:themeColor="text1"/>
          <w:sz w:val="22"/>
          <w:szCs w:val="22"/>
          <w:lang w:val="en-US"/>
        </w:rPr>
      </w:pPr>
    </w:p>
    <w:p w14:paraId="72AC9F3E" w14:textId="43BECA6B" w:rsidR="00840136" w:rsidRPr="00892385" w:rsidRDefault="000059C5" w:rsidP="009916B3">
      <w:pPr>
        <w:autoSpaceDE w:val="0"/>
        <w:autoSpaceDN w:val="0"/>
        <w:adjustRightInd w:val="0"/>
        <w:spacing w:line="360" w:lineRule="auto"/>
        <w:jc w:val="both"/>
        <w:rPr>
          <w:rFonts w:asciiTheme="minorHAnsi" w:hAnsiTheme="minorHAnsi" w:cstheme="minorHAnsi"/>
          <w:bCs/>
          <w:color w:val="000000" w:themeColor="text1"/>
          <w:sz w:val="22"/>
          <w:szCs w:val="22"/>
        </w:rPr>
      </w:pPr>
      <w:r w:rsidRPr="00892385">
        <w:rPr>
          <w:rFonts w:asciiTheme="minorHAnsi" w:hAnsiTheme="minorHAnsi" w:cstheme="minorHAnsi"/>
          <w:bCs/>
          <w:color w:val="000000" w:themeColor="text1"/>
          <w:sz w:val="22"/>
          <w:szCs w:val="22"/>
          <w:lang w:val="en-US"/>
        </w:rPr>
        <w:t xml:space="preserve">Volumetric modulated arc therapy (VMAT) is </w:t>
      </w:r>
      <w:r w:rsidR="00D3016B">
        <w:rPr>
          <w:rFonts w:asciiTheme="minorHAnsi" w:hAnsiTheme="minorHAnsi" w:cstheme="minorHAnsi"/>
          <w:bCs/>
          <w:color w:val="000000" w:themeColor="text1"/>
          <w:sz w:val="22"/>
          <w:szCs w:val="22"/>
          <w:lang w:val="en-US"/>
        </w:rPr>
        <w:t>a dynamic form of intensity modulated radiotherapy</w:t>
      </w:r>
      <w:r w:rsidRPr="00892385">
        <w:rPr>
          <w:rFonts w:asciiTheme="minorHAnsi" w:hAnsiTheme="minorHAnsi" w:cstheme="minorHAnsi"/>
          <w:bCs/>
          <w:color w:val="000000" w:themeColor="text1"/>
          <w:sz w:val="22"/>
          <w:szCs w:val="22"/>
          <w:lang w:val="en-US"/>
        </w:rPr>
        <w:t xml:space="preserve"> </w:t>
      </w:r>
      <w:r w:rsidR="00D3016B">
        <w:rPr>
          <w:rFonts w:asciiTheme="minorHAnsi" w:hAnsiTheme="minorHAnsi" w:cstheme="minorHAnsi"/>
          <w:bCs/>
          <w:color w:val="000000" w:themeColor="text1"/>
          <w:sz w:val="22"/>
          <w:szCs w:val="22"/>
          <w:lang w:val="en-US"/>
        </w:rPr>
        <w:t>(</w:t>
      </w:r>
      <w:r w:rsidRPr="00892385">
        <w:rPr>
          <w:rFonts w:asciiTheme="minorHAnsi" w:hAnsiTheme="minorHAnsi" w:cstheme="minorHAnsi"/>
          <w:bCs/>
          <w:color w:val="000000" w:themeColor="text1"/>
          <w:sz w:val="22"/>
          <w:szCs w:val="22"/>
          <w:lang w:val="en-US"/>
        </w:rPr>
        <w:t>IMRT</w:t>
      </w:r>
      <w:r w:rsidR="00D3016B">
        <w:rPr>
          <w:rFonts w:asciiTheme="minorHAnsi" w:hAnsiTheme="minorHAnsi" w:cstheme="minorHAnsi"/>
          <w:bCs/>
          <w:color w:val="000000" w:themeColor="text1"/>
          <w:sz w:val="22"/>
          <w:szCs w:val="22"/>
          <w:lang w:val="en-US"/>
        </w:rPr>
        <w:t>)</w:t>
      </w:r>
      <w:proofErr w:type="gramStart"/>
      <w:r w:rsidR="008E2C83" w:rsidRPr="00892385">
        <w:rPr>
          <w:rFonts w:asciiTheme="minorHAnsi" w:hAnsiTheme="minorHAnsi" w:cstheme="minorHAnsi"/>
          <w:bCs/>
          <w:color w:val="000000" w:themeColor="text1"/>
          <w:sz w:val="22"/>
          <w:szCs w:val="22"/>
          <w:lang w:val="en-US"/>
        </w:rPr>
        <w:t>,</w:t>
      </w:r>
      <w:r w:rsidR="00BD1929">
        <w:rPr>
          <w:rFonts w:asciiTheme="minorHAnsi" w:hAnsiTheme="minorHAnsi" w:cstheme="minorHAnsi"/>
          <w:bCs/>
          <w:color w:val="000000" w:themeColor="text1"/>
          <w:sz w:val="22"/>
          <w:szCs w:val="22"/>
          <w:vertAlign w:val="superscript"/>
          <w:lang w:val="en-US"/>
        </w:rPr>
        <w:t>4</w:t>
      </w:r>
      <w:proofErr w:type="gramEnd"/>
      <w:r w:rsidR="008E2C83" w:rsidRPr="00892385">
        <w:rPr>
          <w:rFonts w:asciiTheme="minorHAnsi" w:hAnsiTheme="minorHAnsi" w:cstheme="minorHAnsi"/>
          <w:bCs/>
          <w:color w:val="000000" w:themeColor="text1"/>
          <w:sz w:val="22"/>
          <w:szCs w:val="22"/>
          <w:lang w:val="en-US"/>
        </w:rPr>
        <w:t xml:space="preserve"> </w:t>
      </w:r>
      <w:r w:rsidR="00D3016B">
        <w:rPr>
          <w:rFonts w:asciiTheme="minorHAnsi" w:hAnsiTheme="minorHAnsi" w:cstheme="minorHAnsi"/>
          <w:bCs/>
          <w:color w:val="000000" w:themeColor="text1"/>
          <w:sz w:val="22"/>
          <w:szCs w:val="22"/>
          <w:lang w:val="en-US"/>
        </w:rPr>
        <w:t xml:space="preserve">delivered as the gantry rotates through 1 or more arcs. It is </w:t>
      </w:r>
      <w:r w:rsidR="008E2C83" w:rsidRPr="00892385">
        <w:rPr>
          <w:rFonts w:asciiTheme="minorHAnsi" w:hAnsiTheme="minorHAnsi" w:cstheme="minorHAnsi"/>
          <w:bCs/>
          <w:color w:val="000000" w:themeColor="text1"/>
          <w:sz w:val="22"/>
          <w:szCs w:val="22"/>
          <w:lang w:val="en-US"/>
        </w:rPr>
        <w:t>capable of creating</w:t>
      </w:r>
      <w:r w:rsidR="0031317D" w:rsidRPr="00892385">
        <w:rPr>
          <w:rFonts w:asciiTheme="minorHAnsi" w:hAnsiTheme="minorHAnsi" w:cstheme="minorHAnsi"/>
          <w:bCs/>
          <w:color w:val="000000" w:themeColor="text1"/>
          <w:sz w:val="22"/>
          <w:szCs w:val="22"/>
          <w:lang w:val="en-US"/>
        </w:rPr>
        <w:t xml:space="preserve"> highly conformal dose distributions</w:t>
      </w:r>
      <w:r w:rsidR="00D3016B">
        <w:rPr>
          <w:rFonts w:asciiTheme="minorHAnsi" w:hAnsiTheme="minorHAnsi" w:cstheme="minorHAnsi"/>
          <w:bCs/>
          <w:color w:val="000000" w:themeColor="text1"/>
          <w:sz w:val="22"/>
          <w:szCs w:val="22"/>
          <w:lang w:val="en-US"/>
        </w:rPr>
        <w:t>, while</w:t>
      </w:r>
      <w:r w:rsidR="0031317D" w:rsidRPr="00892385">
        <w:rPr>
          <w:rFonts w:asciiTheme="minorHAnsi" w:hAnsiTheme="minorHAnsi" w:cstheme="minorHAnsi"/>
          <w:bCs/>
          <w:color w:val="000000" w:themeColor="text1"/>
          <w:sz w:val="22"/>
          <w:szCs w:val="22"/>
          <w:lang w:val="en-US"/>
        </w:rPr>
        <w:t xml:space="preserve"> requir</w:t>
      </w:r>
      <w:r w:rsidR="00874CA4" w:rsidRPr="00892385">
        <w:rPr>
          <w:rFonts w:asciiTheme="minorHAnsi" w:hAnsiTheme="minorHAnsi" w:cstheme="minorHAnsi"/>
          <w:bCs/>
          <w:color w:val="000000" w:themeColor="text1"/>
          <w:sz w:val="22"/>
          <w:szCs w:val="22"/>
          <w:lang w:val="en-US"/>
        </w:rPr>
        <w:t>ing</w:t>
      </w:r>
      <w:r w:rsidR="0031317D" w:rsidRPr="00892385">
        <w:rPr>
          <w:rFonts w:asciiTheme="minorHAnsi" w:hAnsiTheme="minorHAnsi" w:cstheme="minorHAnsi"/>
          <w:bCs/>
          <w:color w:val="000000" w:themeColor="text1"/>
          <w:sz w:val="22"/>
          <w:szCs w:val="22"/>
          <w:lang w:val="en-US"/>
        </w:rPr>
        <w:t xml:space="preserve"> fewer</w:t>
      </w:r>
      <w:r w:rsidR="00691DA5" w:rsidRPr="00892385">
        <w:rPr>
          <w:rFonts w:asciiTheme="minorHAnsi" w:hAnsiTheme="minorHAnsi" w:cstheme="minorHAnsi"/>
          <w:bCs/>
          <w:color w:val="000000" w:themeColor="text1"/>
          <w:sz w:val="22"/>
          <w:szCs w:val="22"/>
          <w:lang w:val="en-US"/>
        </w:rPr>
        <w:t xml:space="preserve"> monitor units</w:t>
      </w:r>
      <w:r w:rsidR="0031317D" w:rsidRPr="00892385">
        <w:rPr>
          <w:rFonts w:asciiTheme="minorHAnsi" w:hAnsiTheme="minorHAnsi" w:cstheme="minorHAnsi"/>
          <w:bCs/>
          <w:color w:val="000000" w:themeColor="text1"/>
          <w:sz w:val="22"/>
          <w:szCs w:val="22"/>
          <w:lang w:val="en-US"/>
        </w:rPr>
        <w:t xml:space="preserve"> </w:t>
      </w:r>
      <w:r w:rsidR="00892385">
        <w:rPr>
          <w:rFonts w:asciiTheme="minorHAnsi" w:hAnsiTheme="minorHAnsi" w:cstheme="minorHAnsi"/>
          <w:bCs/>
          <w:color w:val="000000" w:themeColor="text1"/>
          <w:sz w:val="22"/>
          <w:szCs w:val="22"/>
          <w:lang w:val="en-US"/>
        </w:rPr>
        <w:t>and</w:t>
      </w:r>
      <w:r w:rsidR="009D6BB2" w:rsidRPr="00892385">
        <w:rPr>
          <w:rFonts w:asciiTheme="minorHAnsi" w:hAnsiTheme="minorHAnsi" w:cstheme="minorHAnsi"/>
          <w:bCs/>
          <w:color w:val="000000" w:themeColor="text1"/>
          <w:sz w:val="22"/>
          <w:szCs w:val="22"/>
          <w:lang w:val="en-US"/>
        </w:rPr>
        <w:t xml:space="preserve"> </w:t>
      </w:r>
      <w:r w:rsidR="0031317D" w:rsidRPr="00892385">
        <w:rPr>
          <w:rFonts w:asciiTheme="minorHAnsi" w:hAnsiTheme="minorHAnsi" w:cstheme="minorHAnsi"/>
          <w:bCs/>
          <w:color w:val="000000" w:themeColor="text1"/>
          <w:sz w:val="22"/>
          <w:szCs w:val="22"/>
          <w:lang w:val="en-US"/>
        </w:rPr>
        <w:t>reducing treatment times</w:t>
      </w:r>
      <w:r w:rsidR="003E15B6">
        <w:rPr>
          <w:rFonts w:asciiTheme="minorHAnsi" w:hAnsiTheme="minorHAnsi" w:cstheme="minorHAnsi"/>
          <w:bCs/>
          <w:color w:val="000000" w:themeColor="text1"/>
          <w:sz w:val="22"/>
          <w:szCs w:val="22"/>
          <w:lang w:val="en-US"/>
        </w:rPr>
        <w:t>.</w:t>
      </w:r>
      <w:r w:rsidR="00BD1929">
        <w:rPr>
          <w:rFonts w:asciiTheme="minorHAnsi" w:hAnsiTheme="minorHAnsi" w:cstheme="minorHAnsi"/>
          <w:bCs/>
          <w:color w:val="000000" w:themeColor="text1"/>
          <w:sz w:val="22"/>
          <w:szCs w:val="22"/>
          <w:vertAlign w:val="superscript"/>
          <w:lang w:val="en-US"/>
        </w:rPr>
        <w:t>5</w:t>
      </w:r>
      <w:r w:rsidR="0031317D" w:rsidRPr="00892385">
        <w:rPr>
          <w:rFonts w:asciiTheme="minorHAnsi" w:hAnsiTheme="minorHAnsi" w:cstheme="minorHAnsi"/>
          <w:bCs/>
          <w:color w:val="000000" w:themeColor="text1"/>
          <w:sz w:val="22"/>
          <w:szCs w:val="22"/>
          <w:lang w:val="en-US"/>
        </w:rPr>
        <w:t xml:space="preserve"> </w:t>
      </w:r>
      <w:r w:rsidR="00D3016B">
        <w:rPr>
          <w:rFonts w:asciiTheme="minorHAnsi" w:hAnsiTheme="minorHAnsi" w:cstheme="minorHAnsi"/>
          <w:bCs/>
          <w:color w:val="000000" w:themeColor="text1"/>
          <w:sz w:val="22"/>
          <w:szCs w:val="22"/>
          <w:lang w:val="en-US"/>
        </w:rPr>
        <w:t>Understandably t</w:t>
      </w:r>
      <w:r w:rsidR="008E2C83" w:rsidRPr="00892385">
        <w:rPr>
          <w:rFonts w:asciiTheme="minorHAnsi" w:hAnsiTheme="minorHAnsi" w:cstheme="minorHAnsi"/>
          <w:bCs/>
          <w:color w:val="000000" w:themeColor="text1"/>
          <w:sz w:val="22"/>
          <w:szCs w:val="22"/>
          <w:lang w:val="en-US"/>
        </w:rPr>
        <w:t xml:space="preserve">here is increasing interest in using VMAT for </w:t>
      </w:r>
      <w:r w:rsidR="008E2C83" w:rsidRPr="00892385">
        <w:rPr>
          <w:rFonts w:asciiTheme="minorHAnsi" w:hAnsiTheme="minorHAnsi" w:cstheme="minorHAnsi"/>
          <w:bCs/>
          <w:color w:val="000000" w:themeColor="text1"/>
          <w:sz w:val="22"/>
          <w:szCs w:val="22"/>
        </w:rPr>
        <w:t xml:space="preserve">breast radiotherapy where it </w:t>
      </w:r>
      <w:r w:rsidR="008E2C83" w:rsidRPr="00892385">
        <w:rPr>
          <w:rFonts w:asciiTheme="minorHAnsi" w:hAnsiTheme="minorHAnsi" w:cstheme="minorHAnsi"/>
          <w:bCs/>
          <w:color w:val="000000" w:themeColor="text1"/>
          <w:sz w:val="22"/>
          <w:szCs w:val="22"/>
          <w:lang w:val="en-US"/>
        </w:rPr>
        <w:t>offers excellent</w:t>
      </w:r>
      <w:r w:rsidR="00840136" w:rsidRPr="00892385">
        <w:rPr>
          <w:rFonts w:asciiTheme="minorHAnsi" w:hAnsiTheme="minorHAnsi" w:cstheme="minorHAnsi"/>
          <w:bCs/>
          <w:color w:val="000000" w:themeColor="text1"/>
          <w:sz w:val="22"/>
          <w:szCs w:val="22"/>
          <w:lang w:val="en-US"/>
        </w:rPr>
        <w:t xml:space="preserve"> dose conformity, along with the potential to integrate a b</w:t>
      </w:r>
      <w:r w:rsidR="008E2C83" w:rsidRPr="00892385">
        <w:rPr>
          <w:rFonts w:asciiTheme="minorHAnsi" w:hAnsiTheme="minorHAnsi" w:cstheme="minorHAnsi"/>
          <w:bCs/>
          <w:color w:val="000000" w:themeColor="text1"/>
          <w:sz w:val="22"/>
          <w:szCs w:val="22"/>
          <w:lang w:val="en-US"/>
        </w:rPr>
        <w:t>oost within the treatment deliv</w:t>
      </w:r>
      <w:r w:rsidR="00840136" w:rsidRPr="00892385">
        <w:rPr>
          <w:rFonts w:asciiTheme="minorHAnsi" w:hAnsiTheme="minorHAnsi" w:cstheme="minorHAnsi"/>
          <w:bCs/>
          <w:color w:val="000000" w:themeColor="text1"/>
          <w:sz w:val="22"/>
          <w:szCs w:val="22"/>
          <w:lang w:val="en-US"/>
        </w:rPr>
        <w:t>ery</w:t>
      </w:r>
      <w:r w:rsidR="0064137E">
        <w:rPr>
          <w:rFonts w:asciiTheme="minorHAnsi" w:hAnsiTheme="minorHAnsi" w:cstheme="minorHAnsi"/>
          <w:bCs/>
          <w:color w:val="000000" w:themeColor="text1"/>
          <w:sz w:val="22"/>
          <w:szCs w:val="22"/>
          <w:lang w:val="en-US"/>
        </w:rPr>
        <w:t>.</w:t>
      </w:r>
      <w:r w:rsidR="00BD1929">
        <w:rPr>
          <w:rFonts w:asciiTheme="minorHAnsi" w:hAnsiTheme="minorHAnsi" w:cstheme="minorHAnsi"/>
          <w:bCs/>
          <w:color w:val="000000" w:themeColor="text1"/>
          <w:sz w:val="22"/>
          <w:szCs w:val="22"/>
          <w:vertAlign w:val="superscript"/>
          <w:lang w:val="en-US"/>
        </w:rPr>
        <w:t>2</w:t>
      </w:r>
      <w:r w:rsidR="001319D2" w:rsidRPr="00892385">
        <w:rPr>
          <w:rFonts w:asciiTheme="minorHAnsi" w:hAnsiTheme="minorHAnsi" w:cstheme="minorHAnsi"/>
          <w:bCs/>
          <w:color w:val="000000" w:themeColor="text1"/>
          <w:sz w:val="22"/>
          <w:szCs w:val="22"/>
          <w:lang w:val="en-US"/>
        </w:rPr>
        <w:t xml:space="preserve"> This techniq</w:t>
      </w:r>
      <w:r w:rsidR="008E2C83" w:rsidRPr="00892385">
        <w:rPr>
          <w:rFonts w:asciiTheme="minorHAnsi" w:hAnsiTheme="minorHAnsi" w:cstheme="minorHAnsi"/>
          <w:bCs/>
          <w:color w:val="000000" w:themeColor="text1"/>
          <w:sz w:val="22"/>
          <w:szCs w:val="22"/>
          <w:lang w:val="en-US"/>
        </w:rPr>
        <w:t xml:space="preserve">ue also possesses </w:t>
      </w:r>
      <w:r w:rsidR="0064137E">
        <w:rPr>
          <w:rFonts w:asciiTheme="minorHAnsi" w:hAnsiTheme="minorHAnsi" w:cstheme="minorHAnsi"/>
          <w:bCs/>
          <w:color w:val="000000" w:themeColor="text1"/>
          <w:sz w:val="22"/>
          <w:szCs w:val="22"/>
          <w:lang w:val="en-US"/>
        </w:rPr>
        <w:t xml:space="preserve">potential </w:t>
      </w:r>
      <w:r w:rsidR="008E2C83" w:rsidRPr="00892385">
        <w:rPr>
          <w:rFonts w:asciiTheme="minorHAnsi" w:hAnsiTheme="minorHAnsi" w:cstheme="minorHAnsi"/>
          <w:bCs/>
          <w:color w:val="000000" w:themeColor="text1"/>
          <w:sz w:val="22"/>
          <w:szCs w:val="22"/>
          <w:lang w:val="en-US"/>
        </w:rPr>
        <w:t>disadvantages; uppermost of these is the</w:t>
      </w:r>
      <w:r w:rsidR="00840136" w:rsidRPr="00892385">
        <w:rPr>
          <w:rFonts w:asciiTheme="minorHAnsi" w:hAnsiTheme="minorHAnsi" w:cstheme="minorHAnsi"/>
          <w:bCs/>
          <w:color w:val="000000" w:themeColor="text1"/>
          <w:sz w:val="22"/>
          <w:szCs w:val="22"/>
          <w:lang w:val="en-US"/>
        </w:rPr>
        <w:t xml:space="preserve"> low dose bath</w:t>
      </w:r>
      <w:r w:rsidR="00AC2979" w:rsidRPr="00892385">
        <w:rPr>
          <w:rFonts w:asciiTheme="minorHAnsi" w:hAnsiTheme="minorHAnsi" w:cstheme="minorHAnsi"/>
          <w:bCs/>
          <w:color w:val="000000" w:themeColor="text1"/>
          <w:sz w:val="22"/>
          <w:szCs w:val="22"/>
          <w:lang w:val="en-US"/>
        </w:rPr>
        <w:t xml:space="preserve"> (LDB)</w:t>
      </w:r>
      <w:r w:rsidR="00840136" w:rsidRPr="00892385">
        <w:rPr>
          <w:rFonts w:asciiTheme="minorHAnsi" w:hAnsiTheme="minorHAnsi" w:cstheme="minorHAnsi"/>
          <w:bCs/>
          <w:color w:val="000000" w:themeColor="text1"/>
          <w:sz w:val="22"/>
          <w:szCs w:val="22"/>
          <w:lang w:val="en-US"/>
        </w:rPr>
        <w:t>, where a large amount of healthy tissue recei</w:t>
      </w:r>
      <w:r w:rsidR="003E15B6">
        <w:rPr>
          <w:rFonts w:asciiTheme="minorHAnsi" w:hAnsiTheme="minorHAnsi" w:cstheme="minorHAnsi"/>
          <w:bCs/>
          <w:color w:val="000000" w:themeColor="text1"/>
          <w:sz w:val="22"/>
          <w:szCs w:val="22"/>
          <w:lang w:val="en-US"/>
        </w:rPr>
        <w:t>ves very low doses of radiation.</w:t>
      </w:r>
      <w:r w:rsidR="00530612">
        <w:rPr>
          <w:rFonts w:asciiTheme="minorHAnsi" w:hAnsiTheme="minorHAnsi" w:cstheme="minorHAnsi"/>
          <w:bCs/>
          <w:color w:val="000000" w:themeColor="text1"/>
          <w:sz w:val="22"/>
          <w:szCs w:val="22"/>
          <w:vertAlign w:val="superscript"/>
          <w:lang w:val="en-US"/>
        </w:rPr>
        <w:t xml:space="preserve"> </w:t>
      </w:r>
      <w:r w:rsidR="00056FAE">
        <w:rPr>
          <w:rFonts w:asciiTheme="minorHAnsi" w:hAnsiTheme="minorHAnsi" w:cstheme="minorHAnsi"/>
          <w:bCs/>
          <w:color w:val="000000" w:themeColor="text1"/>
          <w:sz w:val="22"/>
          <w:szCs w:val="22"/>
          <w:lang w:val="en-US"/>
        </w:rPr>
        <w:t>Although these doses are too low to cause acute effects, they do increase the incidence of stochastic effects such as secondary cancer induction.</w:t>
      </w:r>
      <w:r w:rsidR="00530612">
        <w:rPr>
          <w:rFonts w:asciiTheme="minorHAnsi" w:hAnsiTheme="minorHAnsi" w:cstheme="minorHAnsi"/>
          <w:bCs/>
          <w:color w:val="000000" w:themeColor="text1"/>
          <w:sz w:val="22"/>
          <w:szCs w:val="22"/>
          <w:vertAlign w:val="superscript"/>
          <w:lang w:val="en-US"/>
        </w:rPr>
        <w:t>2</w:t>
      </w:r>
      <w:r w:rsidR="00056FAE">
        <w:rPr>
          <w:rFonts w:asciiTheme="minorHAnsi" w:hAnsiTheme="minorHAnsi" w:cstheme="minorHAnsi"/>
          <w:bCs/>
          <w:color w:val="000000" w:themeColor="text1"/>
          <w:sz w:val="22"/>
          <w:szCs w:val="22"/>
          <w:lang w:val="en-US"/>
        </w:rPr>
        <w:t xml:space="preserve"> </w:t>
      </w:r>
    </w:p>
    <w:p w14:paraId="35C3FB4D" w14:textId="77777777" w:rsidR="00840136" w:rsidRPr="00892385" w:rsidRDefault="00840136" w:rsidP="009916B3">
      <w:pPr>
        <w:autoSpaceDE w:val="0"/>
        <w:autoSpaceDN w:val="0"/>
        <w:adjustRightInd w:val="0"/>
        <w:spacing w:line="360" w:lineRule="auto"/>
        <w:jc w:val="both"/>
        <w:rPr>
          <w:rFonts w:asciiTheme="minorHAnsi" w:hAnsiTheme="minorHAnsi" w:cstheme="minorHAnsi"/>
          <w:bCs/>
          <w:color w:val="000000" w:themeColor="text1"/>
          <w:sz w:val="22"/>
          <w:szCs w:val="22"/>
          <w:lang w:val="en-US"/>
        </w:rPr>
      </w:pPr>
    </w:p>
    <w:p w14:paraId="1CE79EA7" w14:textId="46DD36A7" w:rsidR="007026DF" w:rsidRPr="00892385" w:rsidRDefault="008E2C83" w:rsidP="009916B3">
      <w:pPr>
        <w:autoSpaceDE w:val="0"/>
        <w:autoSpaceDN w:val="0"/>
        <w:adjustRightInd w:val="0"/>
        <w:spacing w:line="360" w:lineRule="auto"/>
        <w:jc w:val="both"/>
        <w:rPr>
          <w:rFonts w:asciiTheme="minorHAnsi" w:hAnsiTheme="minorHAnsi" w:cstheme="minorHAnsi"/>
          <w:bCs/>
          <w:color w:val="000000" w:themeColor="text1"/>
          <w:sz w:val="22"/>
          <w:szCs w:val="22"/>
          <w:lang w:val="en-US"/>
        </w:rPr>
      </w:pPr>
      <w:r w:rsidRPr="00892385">
        <w:rPr>
          <w:rFonts w:asciiTheme="minorHAnsi" w:hAnsiTheme="minorHAnsi" w:cstheme="minorHAnsi"/>
          <w:bCs/>
          <w:color w:val="000000" w:themeColor="text1"/>
          <w:sz w:val="22"/>
          <w:szCs w:val="22"/>
          <w:lang w:val="en-US"/>
        </w:rPr>
        <w:t>This review aim</w:t>
      </w:r>
      <w:r w:rsidR="00382599">
        <w:rPr>
          <w:rFonts w:asciiTheme="minorHAnsi" w:hAnsiTheme="minorHAnsi" w:cstheme="minorHAnsi"/>
          <w:bCs/>
          <w:color w:val="000000" w:themeColor="text1"/>
          <w:sz w:val="22"/>
          <w:szCs w:val="22"/>
          <w:lang w:val="en-US"/>
        </w:rPr>
        <w:t>ed</w:t>
      </w:r>
      <w:r w:rsidRPr="00892385">
        <w:rPr>
          <w:rFonts w:asciiTheme="minorHAnsi" w:hAnsiTheme="minorHAnsi" w:cstheme="minorHAnsi"/>
          <w:bCs/>
          <w:color w:val="000000" w:themeColor="text1"/>
          <w:sz w:val="22"/>
          <w:szCs w:val="22"/>
          <w:lang w:val="en-US"/>
        </w:rPr>
        <w:t xml:space="preserve"> to </w:t>
      </w:r>
      <w:r w:rsidR="00722E01" w:rsidRPr="00892385">
        <w:rPr>
          <w:rFonts w:asciiTheme="minorHAnsi" w:hAnsiTheme="minorHAnsi" w:cstheme="minorHAnsi"/>
          <w:bCs/>
          <w:color w:val="000000" w:themeColor="text1"/>
          <w:sz w:val="22"/>
          <w:szCs w:val="22"/>
          <w:lang w:val="en-US"/>
        </w:rPr>
        <w:t>determine if there is a clinically significant difference</w:t>
      </w:r>
      <w:r w:rsidR="00D9740A" w:rsidRPr="00892385">
        <w:rPr>
          <w:rFonts w:asciiTheme="minorHAnsi" w:hAnsiTheme="minorHAnsi" w:cstheme="minorHAnsi"/>
          <w:bCs/>
          <w:color w:val="000000" w:themeColor="text1"/>
          <w:sz w:val="22"/>
          <w:szCs w:val="22"/>
          <w:lang w:val="en-US"/>
        </w:rPr>
        <w:t xml:space="preserve"> in </w:t>
      </w:r>
      <w:r w:rsidR="00EE5AD7" w:rsidRPr="00892385">
        <w:rPr>
          <w:rFonts w:asciiTheme="minorHAnsi" w:hAnsiTheme="minorHAnsi" w:cstheme="minorHAnsi"/>
          <w:bCs/>
          <w:color w:val="000000" w:themeColor="text1"/>
          <w:sz w:val="22"/>
          <w:szCs w:val="22"/>
          <w:lang w:val="en-US"/>
        </w:rPr>
        <w:t xml:space="preserve">the </w:t>
      </w:r>
      <w:r w:rsidR="00D9740A" w:rsidRPr="00892385">
        <w:rPr>
          <w:rFonts w:asciiTheme="minorHAnsi" w:hAnsiTheme="minorHAnsi" w:cstheme="minorHAnsi"/>
          <w:bCs/>
          <w:color w:val="000000" w:themeColor="text1"/>
          <w:sz w:val="22"/>
          <w:szCs w:val="22"/>
          <w:lang w:val="en-US"/>
        </w:rPr>
        <w:t>late effects</w:t>
      </w:r>
      <w:r w:rsidR="008A24C5" w:rsidRPr="00892385">
        <w:rPr>
          <w:rFonts w:asciiTheme="minorHAnsi" w:hAnsiTheme="minorHAnsi" w:cstheme="minorHAnsi"/>
          <w:bCs/>
          <w:color w:val="000000" w:themeColor="text1"/>
          <w:sz w:val="22"/>
          <w:szCs w:val="22"/>
          <w:lang w:val="en-US"/>
        </w:rPr>
        <w:t xml:space="preserve"> and </w:t>
      </w:r>
      <w:proofErr w:type="gramStart"/>
      <w:r w:rsidR="008A24C5" w:rsidRPr="00892385">
        <w:rPr>
          <w:rFonts w:asciiTheme="minorHAnsi" w:hAnsiTheme="minorHAnsi" w:cstheme="minorHAnsi"/>
          <w:bCs/>
          <w:color w:val="000000" w:themeColor="text1"/>
          <w:sz w:val="22"/>
          <w:szCs w:val="22"/>
          <w:lang w:val="en-US"/>
        </w:rPr>
        <w:t>secondary</w:t>
      </w:r>
      <w:proofErr w:type="gramEnd"/>
      <w:r w:rsidR="008A24C5" w:rsidRPr="00892385">
        <w:rPr>
          <w:rFonts w:asciiTheme="minorHAnsi" w:hAnsiTheme="minorHAnsi" w:cstheme="minorHAnsi"/>
          <w:bCs/>
          <w:color w:val="000000" w:themeColor="text1"/>
          <w:sz w:val="22"/>
          <w:szCs w:val="22"/>
          <w:lang w:val="en-US"/>
        </w:rPr>
        <w:t xml:space="preserve"> cancer induction</w:t>
      </w:r>
      <w:r w:rsidR="00722E01" w:rsidRPr="00892385">
        <w:rPr>
          <w:rFonts w:asciiTheme="minorHAnsi" w:hAnsiTheme="minorHAnsi" w:cstheme="minorHAnsi"/>
          <w:bCs/>
          <w:color w:val="000000" w:themeColor="text1"/>
          <w:sz w:val="22"/>
          <w:szCs w:val="22"/>
          <w:lang w:val="en-US"/>
        </w:rPr>
        <w:t xml:space="preserve"> when using </w:t>
      </w:r>
      <w:r w:rsidR="00382599">
        <w:rPr>
          <w:rFonts w:asciiTheme="minorHAnsi" w:hAnsiTheme="minorHAnsi" w:cstheme="minorHAnsi"/>
          <w:bCs/>
          <w:color w:val="000000" w:themeColor="text1"/>
          <w:sz w:val="22"/>
          <w:szCs w:val="22"/>
          <w:lang w:val="en-US"/>
        </w:rPr>
        <w:t>VMAT</w:t>
      </w:r>
      <w:r w:rsidR="00722E01" w:rsidRPr="00892385">
        <w:rPr>
          <w:rFonts w:asciiTheme="minorHAnsi" w:hAnsiTheme="minorHAnsi" w:cstheme="minorHAnsi"/>
          <w:bCs/>
          <w:color w:val="000000" w:themeColor="text1"/>
          <w:sz w:val="22"/>
          <w:szCs w:val="22"/>
          <w:lang w:val="en-US"/>
        </w:rPr>
        <w:t xml:space="preserve"> compared with </w:t>
      </w:r>
      <w:r w:rsidR="00382599">
        <w:rPr>
          <w:rFonts w:asciiTheme="minorHAnsi" w:hAnsiTheme="minorHAnsi" w:cstheme="minorHAnsi"/>
          <w:bCs/>
          <w:color w:val="000000" w:themeColor="text1"/>
          <w:sz w:val="22"/>
          <w:szCs w:val="22"/>
          <w:lang w:val="en-US"/>
        </w:rPr>
        <w:t>other</w:t>
      </w:r>
      <w:r w:rsidR="00722E01" w:rsidRPr="00892385">
        <w:rPr>
          <w:rFonts w:asciiTheme="minorHAnsi" w:hAnsiTheme="minorHAnsi" w:cstheme="minorHAnsi"/>
          <w:bCs/>
          <w:color w:val="000000" w:themeColor="text1"/>
          <w:sz w:val="22"/>
          <w:szCs w:val="22"/>
          <w:lang w:val="en-US"/>
        </w:rPr>
        <w:t xml:space="preserve"> techniques for breast</w:t>
      </w:r>
      <w:r w:rsidR="00D9740A" w:rsidRPr="00892385">
        <w:rPr>
          <w:rFonts w:asciiTheme="minorHAnsi" w:hAnsiTheme="minorHAnsi" w:cstheme="minorHAnsi"/>
          <w:bCs/>
          <w:color w:val="000000" w:themeColor="text1"/>
          <w:sz w:val="22"/>
          <w:szCs w:val="22"/>
          <w:lang w:val="en-US"/>
        </w:rPr>
        <w:t xml:space="preserve"> </w:t>
      </w:r>
      <w:r w:rsidR="002C3A1F" w:rsidRPr="00892385">
        <w:rPr>
          <w:rFonts w:asciiTheme="minorHAnsi" w:hAnsiTheme="minorHAnsi" w:cstheme="minorHAnsi"/>
          <w:bCs/>
          <w:color w:val="000000" w:themeColor="text1"/>
          <w:sz w:val="22"/>
          <w:szCs w:val="22"/>
          <w:lang w:val="en-US"/>
        </w:rPr>
        <w:t xml:space="preserve">cancer treatment. </w:t>
      </w:r>
    </w:p>
    <w:p w14:paraId="42CF170B" w14:textId="77777777" w:rsidR="00F21602" w:rsidRPr="00892385" w:rsidRDefault="00F21602" w:rsidP="009916B3">
      <w:pPr>
        <w:autoSpaceDE w:val="0"/>
        <w:autoSpaceDN w:val="0"/>
        <w:adjustRightInd w:val="0"/>
        <w:spacing w:line="360" w:lineRule="auto"/>
        <w:jc w:val="both"/>
        <w:rPr>
          <w:rFonts w:asciiTheme="minorHAnsi" w:hAnsiTheme="minorHAnsi" w:cstheme="minorHAnsi"/>
          <w:bCs/>
          <w:color w:val="000000" w:themeColor="text1"/>
          <w:sz w:val="22"/>
          <w:szCs w:val="22"/>
          <w:u w:val="single"/>
          <w:lang w:val="en-US"/>
        </w:rPr>
      </w:pPr>
    </w:p>
    <w:p w14:paraId="14D9D835" w14:textId="77777777" w:rsidR="00F21602" w:rsidRPr="00892385" w:rsidRDefault="00F21602" w:rsidP="009916B3">
      <w:pPr>
        <w:autoSpaceDE w:val="0"/>
        <w:autoSpaceDN w:val="0"/>
        <w:adjustRightInd w:val="0"/>
        <w:spacing w:line="360" w:lineRule="auto"/>
        <w:jc w:val="both"/>
        <w:rPr>
          <w:rFonts w:asciiTheme="minorHAnsi" w:hAnsiTheme="minorHAnsi" w:cstheme="minorHAnsi"/>
          <w:bCs/>
          <w:color w:val="000000" w:themeColor="text1"/>
          <w:sz w:val="22"/>
          <w:szCs w:val="22"/>
          <w:u w:val="single"/>
          <w:lang w:val="en-US"/>
        </w:rPr>
      </w:pPr>
    </w:p>
    <w:p w14:paraId="25EA2861" w14:textId="0E7DCF11" w:rsidR="00BF42B0" w:rsidRPr="00A1736D" w:rsidRDefault="00E85829" w:rsidP="009916B3">
      <w:pPr>
        <w:autoSpaceDE w:val="0"/>
        <w:autoSpaceDN w:val="0"/>
        <w:adjustRightInd w:val="0"/>
        <w:spacing w:line="360" w:lineRule="auto"/>
        <w:jc w:val="both"/>
        <w:rPr>
          <w:rFonts w:asciiTheme="minorHAnsi" w:hAnsiTheme="minorHAnsi" w:cstheme="minorHAnsi"/>
          <w:b/>
          <w:bCs/>
          <w:color w:val="000000" w:themeColor="text1"/>
          <w:sz w:val="22"/>
          <w:szCs w:val="22"/>
          <w:lang w:val="en-US"/>
        </w:rPr>
      </w:pPr>
      <w:r w:rsidRPr="00A1736D">
        <w:rPr>
          <w:rFonts w:asciiTheme="minorHAnsi" w:hAnsiTheme="minorHAnsi" w:cstheme="minorHAnsi"/>
          <w:b/>
          <w:bCs/>
          <w:color w:val="000000" w:themeColor="text1"/>
          <w:sz w:val="22"/>
          <w:szCs w:val="22"/>
          <w:lang w:val="en-US"/>
        </w:rPr>
        <w:t>Method</w:t>
      </w:r>
    </w:p>
    <w:p w14:paraId="60DE462E" w14:textId="77777777" w:rsidR="00BF42B0" w:rsidRPr="00892385" w:rsidRDefault="00BF42B0" w:rsidP="009916B3">
      <w:pPr>
        <w:autoSpaceDE w:val="0"/>
        <w:autoSpaceDN w:val="0"/>
        <w:adjustRightInd w:val="0"/>
        <w:spacing w:line="360" w:lineRule="auto"/>
        <w:jc w:val="both"/>
        <w:rPr>
          <w:rFonts w:asciiTheme="minorHAnsi" w:hAnsiTheme="minorHAnsi" w:cstheme="minorHAnsi"/>
          <w:bCs/>
          <w:color w:val="000000" w:themeColor="text1"/>
          <w:sz w:val="22"/>
          <w:szCs w:val="22"/>
          <w:lang w:val="en-US"/>
        </w:rPr>
      </w:pPr>
    </w:p>
    <w:p w14:paraId="68299667" w14:textId="381B6BF6" w:rsidR="00535D88" w:rsidRPr="00892385" w:rsidRDefault="00BB271D" w:rsidP="00193B7D">
      <w:pPr>
        <w:autoSpaceDE w:val="0"/>
        <w:autoSpaceDN w:val="0"/>
        <w:adjustRightInd w:val="0"/>
        <w:spacing w:line="360" w:lineRule="auto"/>
        <w:jc w:val="both"/>
        <w:rPr>
          <w:rFonts w:asciiTheme="minorHAnsi" w:hAnsiTheme="minorHAnsi" w:cstheme="minorHAnsi"/>
          <w:bCs/>
          <w:color w:val="000000" w:themeColor="text1"/>
          <w:sz w:val="22"/>
          <w:szCs w:val="22"/>
          <w:lang w:val="en-US"/>
        </w:rPr>
      </w:pPr>
      <w:r w:rsidRPr="00892385">
        <w:rPr>
          <w:rFonts w:asciiTheme="minorHAnsi" w:hAnsiTheme="minorHAnsi" w:cstheme="minorHAnsi"/>
          <w:bCs/>
          <w:color w:val="000000" w:themeColor="text1"/>
          <w:sz w:val="22"/>
          <w:szCs w:val="22"/>
          <w:lang w:val="en-US"/>
        </w:rPr>
        <w:t xml:space="preserve">A systematic </w:t>
      </w:r>
      <w:r w:rsidR="00F41212" w:rsidRPr="00892385">
        <w:rPr>
          <w:rFonts w:asciiTheme="minorHAnsi" w:hAnsiTheme="minorHAnsi" w:cstheme="minorHAnsi"/>
          <w:bCs/>
          <w:color w:val="000000" w:themeColor="text1"/>
          <w:sz w:val="22"/>
          <w:szCs w:val="22"/>
          <w:lang w:val="en-US"/>
        </w:rPr>
        <w:t>review</w:t>
      </w:r>
      <w:r w:rsidRPr="00892385">
        <w:rPr>
          <w:rFonts w:asciiTheme="minorHAnsi" w:hAnsiTheme="minorHAnsi" w:cstheme="minorHAnsi"/>
          <w:bCs/>
          <w:color w:val="000000" w:themeColor="text1"/>
          <w:sz w:val="22"/>
          <w:szCs w:val="22"/>
          <w:lang w:val="en-US"/>
        </w:rPr>
        <w:t xml:space="preserve"> was </w:t>
      </w:r>
      <w:r w:rsidR="00382599">
        <w:rPr>
          <w:rFonts w:asciiTheme="minorHAnsi" w:hAnsiTheme="minorHAnsi" w:cstheme="minorHAnsi"/>
          <w:bCs/>
          <w:color w:val="000000" w:themeColor="text1"/>
          <w:sz w:val="22"/>
          <w:szCs w:val="22"/>
          <w:lang w:val="en-US"/>
        </w:rPr>
        <w:t>adopted</w:t>
      </w:r>
      <w:r w:rsidRPr="00892385">
        <w:rPr>
          <w:rFonts w:asciiTheme="minorHAnsi" w:hAnsiTheme="minorHAnsi" w:cstheme="minorHAnsi"/>
          <w:bCs/>
          <w:color w:val="000000" w:themeColor="text1"/>
          <w:sz w:val="22"/>
          <w:szCs w:val="22"/>
          <w:lang w:val="en-US"/>
        </w:rPr>
        <w:t xml:space="preserve"> for this study</w:t>
      </w:r>
      <w:r w:rsidR="00535D88" w:rsidRPr="00892385">
        <w:rPr>
          <w:rFonts w:asciiTheme="minorHAnsi" w:hAnsiTheme="minorHAnsi" w:cstheme="minorHAnsi"/>
          <w:bCs/>
          <w:color w:val="000000" w:themeColor="text1"/>
          <w:sz w:val="22"/>
          <w:szCs w:val="22"/>
          <w:lang w:val="en-US"/>
        </w:rPr>
        <w:t xml:space="preserve">, </w:t>
      </w:r>
      <w:r w:rsidR="00382599">
        <w:rPr>
          <w:rFonts w:asciiTheme="minorHAnsi" w:hAnsiTheme="minorHAnsi" w:cstheme="minorHAnsi"/>
          <w:bCs/>
          <w:color w:val="000000" w:themeColor="text1"/>
          <w:sz w:val="22"/>
          <w:szCs w:val="22"/>
          <w:lang w:val="en-US"/>
        </w:rPr>
        <w:t>guided by t</w:t>
      </w:r>
      <w:r w:rsidR="006B62EB" w:rsidRPr="00892385">
        <w:rPr>
          <w:rFonts w:asciiTheme="minorHAnsi" w:hAnsiTheme="minorHAnsi" w:cstheme="minorHAnsi"/>
          <w:bCs/>
          <w:color w:val="000000" w:themeColor="text1"/>
          <w:sz w:val="22"/>
          <w:szCs w:val="22"/>
          <w:lang w:val="en-US"/>
        </w:rPr>
        <w:t xml:space="preserve">he </w:t>
      </w:r>
      <w:r w:rsidR="00193B7D" w:rsidRPr="00892385">
        <w:rPr>
          <w:rFonts w:asciiTheme="minorHAnsi" w:hAnsiTheme="minorHAnsi" w:cstheme="minorHAnsi"/>
          <w:bCs/>
          <w:color w:val="000000" w:themeColor="text1"/>
          <w:sz w:val="22"/>
          <w:szCs w:val="22"/>
          <w:lang w:val="en-US"/>
        </w:rPr>
        <w:t>Preferred Reporting Items for Systematic Reviews and Meta‐Analyses (PRISMA) checklis</w:t>
      </w:r>
      <w:r w:rsidR="003E15B6">
        <w:rPr>
          <w:rFonts w:asciiTheme="minorHAnsi" w:hAnsiTheme="minorHAnsi" w:cstheme="minorHAnsi"/>
          <w:bCs/>
          <w:color w:val="000000" w:themeColor="text1"/>
          <w:sz w:val="22"/>
          <w:szCs w:val="22"/>
          <w:lang w:val="en-US"/>
        </w:rPr>
        <w:t>t</w:t>
      </w:r>
      <w:r w:rsidR="00BD1929">
        <w:rPr>
          <w:rFonts w:asciiTheme="minorHAnsi" w:hAnsiTheme="minorHAnsi" w:cstheme="minorHAnsi"/>
          <w:bCs/>
          <w:color w:val="000000" w:themeColor="text1"/>
          <w:sz w:val="22"/>
          <w:szCs w:val="22"/>
          <w:vertAlign w:val="superscript"/>
          <w:lang w:val="en-US"/>
        </w:rPr>
        <w:t>6</w:t>
      </w:r>
      <w:r w:rsidR="003E15B6">
        <w:rPr>
          <w:rFonts w:asciiTheme="minorHAnsi" w:hAnsiTheme="minorHAnsi" w:cstheme="minorHAnsi"/>
          <w:bCs/>
          <w:color w:val="000000" w:themeColor="text1"/>
          <w:sz w:val="22"/>
          <w:szCs w:val="22"/>
          <w:lang w:val="en-US"/>
        </w:rPr>
        <w:t xml:space="preserve"> </w:t>
      </w:r>
      <w:r w:rsidR="00382599">
        <w:rPr>
          <w:rFonts w:asciiTheme="minorHAnsi" w:hAnsiTheme="minorHAnsi" w:cstheme="minorHAnsi"/>
          <w:bCs/>
          <w:color w:val="000000" w:themeColor="text1"/>
          <w:sz w:val="22"/>
          <w:szCs w:val="22"/>
          <w:lang w:val="en-US"/>
        </w:rPr>
        <w:t>for design</w:t>
      </w:r>
      <w:r w:rsidR="00193B7D" w:rsidRPr="00892385">
        <w:rPr>
          <w:rFonts w:asciiTheme="minorHAnsi" w:hAnsiTheme="minorHAnsi" w:cstheme="minorHAnsi"/>
          <w:bCs/>
          <w:color w:val="000000" w:themeColor="text1"/>
          <w:sz w:val="22"/>
          <w:szCs w:val="22"/>
          <w:lang w:val="en-US"/>
        </w:rPr>
        <w:t xml:space="preserve"> and reporting. </w:t>
      </w:r>
      <w:r w:rsidR="00535D88" w:rsidRPr="00892385">
        <w:rPr>
          <w:rFonts w:asciiTheme="minorHAnsi" w:hAnsiTheme="minorHAnsi" w:cstheme="minorHAnsi"/>
          <w:bCs/>
          <w:color w:val="000000" w:themeColor="text1"/>
          <w:sz w:val="22"/>
          <w:szCs w:val="22"/>
          <w:lang w:val="en-US"/>
        </w:rPr>
        <w:t xml:space="preserve">This type of review is frequently </w:t>
      </w:r>
      <w:r w:rsidR="00D85C17" w:rsidRPr="00892385">
        <w:rPr>
          <w:rFonts w:asciiTheme="minorHAnsi" w:hAnsiTheme="minorHAnsi" w:cstheme="minorHAnsi"/>
          <w:bCs/>
          <w:color w:val="000000" w:themeColor="text1"/>
          <w:sz w:val="22"/>
          <w:szCs w:val="22"/>
          <w:lang w:val="en-US"/>
        </w:rPr>
        <w:t xml:space="preserve">used </w:t>
      </w:r>
      <w:r w:rsidR="00535D88" w:rsidRPr="00892385">
        <w:rPr>
          <w:rFonts w:asciiTheme="minorHAnsi" w:hAnsiTheme="minorHAnsi" w:cstheme="minorHAnsi"/>
          <w:bCs/>
          <w:color w:val="000000" w:themeColor="text1"/>
          <w:sz w:val="22"/>
          <w:szCs w:val="22"/>
          <w:lang w:val="en-US"/>
        </w:rPr>
        <w:t>to</w:t>
      </w:r>
      <w:r w:rsidR="00D85C17" w:rsidRPr="00892385">
        <w:rPr>
          <w:rFonts w:asciiTheme="minorHAnsi" w:hAnsiTheme="minorHAnsi" w:cstheme="minorHAnsi"/>
          <w:bCs/>
          <w:color w:val="000000" w:themeColor="text1"/>
          <w:sz w:val="22"/>
          <w:szCs w:val="22"/>
          <w:lang w:val="en-US"/>
        </w:rPr>
        <w:t xml:space="preserve"> build upon the</w:t>
      </w:r>
      <w:r w:rsidR="00535D88" w:rsidRPr="00892385">
        <w:rPr>
          <w:rFonts w:asciiTheme="minorHAnsi" w:hAnsiTheme="minorHAnsi" w:cstheme="minorHAnsi"/>
          <w:bCs/>
          <w:color w:val="000000" w:themeColor="text1"/>
          <w:sz w:val="22"/>
          <w:szCs w:val="22"/>
          <w:lang w:val="en-US"/>
        </w:rPr>
        <w:t xml:space="preserve"> existing knowledge </w:t>
      </w:r>
      <w:r w:rsidR="00D85C17" w:rsidRPr="00892385">
        <w:rPr>
          <w:rFonts w:asciiTheme="minorHAnsi" w:hAnsiTheme="minorHAnsi" w:cstheme="minorHAnsi"/>
          <w:bCs/>
          <w:color w:val="000000" w:themeColor="text1"/>
          <w:sz w:val="22"/>
          <w:szCs w:val="22"/>
          <w:lang w:val="en-US"/>
        </w:rPr>
        <w:t xml:space="preserve">base </w:t>
      </w:r>
      <w:r w:rsidR="00535D88" w:rsidRPr="00892385">
        <w:rPr>
          <w:rFonts w:asciiTheme="minorHAnsi" w:hAnsiTheme="minorHAnsi" w:cstheme="minorHAnsi"/>
          <w:bCs/>
          <w:color w:val="000000" w:themeColor="text1"/>
          <w:sz w:val="22"/>
          <w:szCs w:val="22"/>
          <w:lang w:val="en-US"/>
        </w:rPr>
        <w:t>to guide the dev</w:t>
      </w:r>
      <w:r w:rsidR="003E15B6">
        <w:rPr>
          <w:rFonts w:asciiTheme="minorHAnsi" w:hAnsiTheme="minorHAnsi" w:cstheme="minorHAnsi"/>
          <w:bCs/>
          <w:color w:val="000000" w:themeColor="text1"/>
          <w:sz w:val="22"/>
          <w:szCs w:val="22"/>
          <w:lang w:val="en-US"/>
        </w:rPr>
        <w:t>elopment of healthcare practice.</w:t>
      </w:r>
      <w:r w:rsidR="00BD1929">
        <w:rPr>
          <w:rFonts w:asciiTheme="minorHAnsi" w:hAnsiTheme="minorHAnsi" w:cstheme="minorHAnsi"/>
          <w:bCs/>
          <w:color w:val="000000" w:themeColor="text1"/>
          <w:sz w:val="22"/>
          <w:szCs w:val="22"/>
          <w:vertAlign w:val="superscript"/>
          <w:lang w:val="en-US"/>
        </w:rPr>
        <w:t>7</w:t>
      </w:r>
      <w:r w:rsidR="00535D88" w:rsidRPr="00892385">
        <w:rPr>
          <w:rFonts w:asciiTheme="minorHAnsi" w:hAnsiTheme="minorHAnsi" w:cstheme="minorHAnsi"/>
          <w:bCs/>
          <w:color w:val="000000" w:themeColor="text1"/>
          <w:sz w:val="22"/>
          <w:szCs w:val="22"/>
          <w:lang w:val="en-US"/>
        </w:rPr>
        <w:t xml:space="preserve"> </w:t>
      </w:r>
    </w:p>
    <w:p w14:paraId="3F6EE52C" w14:textId="77777777" w:rsidR="002B7082" w:rsidRPr="00892385" w:rsidRDefault="002B7082" w:rsidP="009916B3">
      <w:pPr>
        <w:autoSpaceDE w:val="0"/>
        <w:autoSpaceDN w:val="0"/>
        <w:adjustRightInd w:val="0"/>
        <w:spacing w:line="360" w:lineRule="auto"/>
        <w:jc w:val="both"/>
        <w:rPr>
          <w:rFonts w:asciiTheme="minorHAnsi" w:hAnsiTheme="minorHAnsi" w:cstheme="minorHAnsi"/>
          <w:bCs/>
          <w:color w:val="000000" w:themeColor="text1"/>
          <w:sz w:val="22"/>
          <w:szCs w:val="22"/>
          <w:lang w:val="en-US"/>
        </w:rPr>
      </w:pPr>
    </w:p>
    <w:p w14:paraId="5CF7D125" w14:textId="0F098BCB" w:rsidR="00E71929" w:rsidRPr="00892385" w:rsidRDefault="00193B7D" w:rsidP="00A11C23">
      <w:pPr>
        <w:spacing w:line="360" w:lineRule="auto"/>
        <w:jc w:val="both"/>
        <w:rPr>
          <w:rFonts w:asciiTheme="minorHAnsi" w:hAnsiTheme="minorHAnsi" w:cstheme="minorHAnsi"/>
          <w:bCs/>
          <w:color w:val="000000" w:themeColor="text1"/>
          <w:sz w:val="22"/>
          <w:szCs w:val="22"/>
        </w:rPr>
      </w:pPr>
      <w:r w:rsidRPr="00892385">
        <w:rPr>
          <w:rFonts w:asciiTheme="minorHAnsi" w:hAnsiTheme="minorHAnsi" w:cstheme="minorHAnsi"/>
          <w:bCs/>
          <w:iCs/>
          <w:color w:val="000000" w:themeColor="text1"/>
          <w:sz w:val="22"/>
          <w:szCs w:val="22"/>
          <w:lang w:val="en-US"/>
        </w:rPr>
        <w:t>A search was performed across the Medline and Scopus databases using the “participants”, “</w:t>
      </w:r>
      <w:r w:rsidR="00AF3826">
        <w:rPr>
          <w:rFonts w:asciiTheme="minorHAnsi" w:hAnsiTheme="minorHAnsi" w:cstheme="minorHAnsi"/>
          <w:bCs/>
          <w:iCs/>
          <w:color w:val="000000" w:themeColor="text1"/>
          <w:sz w:val="22"/>
          <w:szCs w:val="22"/>
          <w:lang w:val="en-US"/>
        </w:rPr>
        <w:t>intervention</w:t>
      </w:r>
      <w:r w:rsidRPr="00892385">
        <w:rPr>
          <w:rFonts w:asciiTheme="minorHAnsi" w:hAnsiTheme="minorHAnsi" w:cstheme="minorHAnsi"/>
          <w:bCs/>
          <w:iCs/>
          <w:color w:val="000000" w:themeColor="text1"/>
          <w:sz w:val="22"/>
          <w:szCs w:val="22"/>
          <w:lang w:val="en-US"/>
        </w:rPr>
        <w:t>”,</w:t>
      </w:r>
      <w:r w:rsidR="00AF3826">
        <w:rPr>
          <w:rFonts w:asciiTheme="minorHAnsi" w:hAnsiTheme="minorHAnsi" w:cstheme="minorHAnsi"/>
          <w:bCs/>
          <w:iCs/>
          <w:color w:val="000000" w:themeColor="text1"/>
          <w:sz w:val="22"/>
          <w:szCs w:val="22"/>
          <w:lang w:val="en-US"/>
        </w:rPr>
        <w:t xml:space="preserve"> “comparison</w:t>
      </w:r>
      <w:r w:rsidRPr="00892385">
        <w:rPr>
          <w:rFonts w:asciiTheme="minorHAnsi" w:hAnsiTheme="minorHAnsi" w:cstheme="minorHAnsi"/>
          <w:bCs/>
          <w:iCs/>
          <w:color w:val="000000" w:themeColor="text1"/>
          <w:sz w:val="22"/>
          <w:szCs w:val="22"/>
          <w:lang w:val="en-US"/>
        </w:rPr>
        <w:t>”,</w:t>
      </w:r>
      <w:r w:rsidR="00AF3826">
        <w:rPr>
          <w:rFonts w:asciiTheme="minorHAnsi" w:hAnsiTheme="minorHAnsi" w:cstheme="minorHAnsi"/>
          <w:bCs/>
          <w:iCs/>
          <w:color w:val="000000" w:themeColor="text1"/>
          <w:sz w:val="22"/>
          <w:szCs w:val="22"/>
          <w:lang w:val="en-US"/>
        </w:rPr>
        <w:t xml:space="preserve"> “outcome</w:t>
      </w:r>
      <w:r w:rsidRPr="00892385">
        <w:rPr>
          <w:rFonts w:asciiTheme="minorHAnsi" w:hAnsiTheme="minorHAnsi" w:cstheme="minorHAnsi"/>
          <w:bCs/>
          <w:iCs/>
          <w:color w:val="000000" w:themeColor="text1"/>
          <w:sz w:val="22"/>
          <w:szCs w:val="22"/>
          <w:lang w:val="en-US"/>
        </w:rPr>
        <w:t>” (P</w:t>
      </w:r>
      <w:r w:rsidRPr="00892385">
        <w:rPr>
          <w:rFonts w:asciiTheme="minorHAnsi" w:hAnsiTheme="minorHAnsi" w:cstheme="minorHAnsi"/>
          <w:bCs/>
          <w:color w:val="000000" w:themeColor="text1"/>
          <w:sz w:val="22"/>
          <w:szCs w:val="22"/>
          <w:lang w:val="en-US"/>
        </w:rPr>
        <w:t>ICO) framewor</w:t>
      </w:r>
      <w:r w:rsidR="003E15B6">
        <w:rPr>
          <w:rFonts w:asciiTheme="minorHAnsi" w:hAnsiTheme="minorHAnsi" w:cstheme="minorHAnsi"/>
          <w:bCs/>
          <w:color w:val="000000" w:themeColor="text1"/>
          <w:sz w:val="22"/>
          <w:szCs w:val="22"/>
          <w:lang w:val="en-US"/>
        </w:rPr>
        <w:t>k</w:t>
      </w:r>
      <w:r w:rsidR="00BD1929">
        <w:rPr>
          <w:rFonts w:asciiTheme="minorHAnsi" w:hAnsiTheme="minorHAnsi" w:cstheme="minorHAnsi"/>
          <w:bCs/>
          <w:color w:val="000000" w:themeColor="text1"/>
          <w:sz w:val="22"/>
          <w:szCs w:val="22"/>
          <w:vertAlign w:val="superscript"/>
          <w:lang w:val="en-US"/>
        </w:rPr>
        <w:t>8</w:t>
      </w:r>
      <w:r w:rsidRPr="00892385">
        <w:rPr>
          <w:rFonts w:asciiTheme="minorHAnsi" w:hAnsiTheme="minorHAnsi" w:cstheme="minorHAnsi"/>
          <w:bCs/>
          <w:color w:val="000000" w:themeColor="text1"/>
          <w:sz w:val="22"/>
          <w:szCs w:val="22"/>
          <w:lang w:val="en-US"/>
        </w:rPr>
        <w:t xml:space="preserve"> </w:t>
      </w:r>
      <w:r w:rsidR="00A11C23" w:rsidRPr="00892385">
        <w:rPr>
          <w:rFonts w:asciiTheme="minorHAnsi" w:hAnsiTheme="minorHAnsi" w:cstheme="minorHAnsi"/>
          <w:bCs/>
          <w:color w:val="000000" w:themeColor="text1"/>
          <w:sz w:val="22"/>
          <w:szCs w:val="22"/>
          <w:lang w:val="en-US"/>
        </w:rPr>
        <w:t xml:space="preserve">to define </w:t>
      </w:r>
      <w:r w:rsidR="00382599">
        <w:rPr>
          <w:rFonts w:asciiTheme="minorHAnsi" w:hAnsiTheme="minorHAnsi" w:cstheme="minorHAnsi"/>
          <w:bCs/>
          <w:color w:val="000000" w:themeColor="text1"/>
          <w:sz w:val="22"/>
          <w:szCs w:val="22"/>
          <w:lang w:val="en-US"/>
        </w:rPr>
        <w:t xml:space="preserve">the </w:t>
      </w:r>
      <w:r w:rsidR="00A11C23" w:rsidRPr="00892385">
        <w:rPr>
          <w:rFonts w:asciiTheme="minorHAnsi" w:hAnsiTheme="minorHAnsi" w:cstheme="minorHAnsi"/>
          <w:bCs/>
          <w:color w:val="000000" w:themeColor="text1"/>
          <w:sz w:val="22"/>
          <w:szCs w:val="22"/>
          <w:lang w:val="en-US"/>
        </w:rPr>
        <w:t xml:space="preserve">search terms </w:t>
      </w:r>
      <w:r w:rsidRPr="00892385">
        <w:rPr>
          <w:rFonts w:asciiTheme="minorHAnsi" w:hAnsiTheme="minorHAnsi" w:cstheme="minorHAnsi"/>
          <w:bCs/>
          <w:color w:val="000000" w:themeColor="text1"/>
          <w:sz w:val="22"/>
          <w:szCs w:val="22"/>
          <w:lang w:val="en-US"/>
        </w:rPr>
        <w:t xml:space="preserve">shown in Table </w:t>
      </w:r>
      <w:r w:rsidR="0064137E">
        <w:rPr>
          <w:rFonts w:asciiTheme="minorHAnsi" w:hAnsiTheme="minorHAnsi" w:cstheme="minorHAnsi"/>
          <w:bCs/>
          <w:color w:val="000000" w:themeColor="text1"/>
          <w:sz w:val="22"/>
          <w:szCs w:val="22"/>
          <w:lang w:val="en-US"/>
        </w:rPr>
        <w:t>1</w:t>
      </w:r>
      <w:r w:rsidRPr="00892385">
        <w:rPr>
          <w:rFonts w:asciiTheme="minorHAnsi" w:hAnsiTheme="minorHAnsi" w:cstheme="minorHAnsi"/>
          <w:bCs/>
          <w:color w:val="000000" w:themeColor="text1"/>
          <w:sz w:val="22"/>
          <w:szCs w:val="22"/>
          <w:lang w:val="en-US"/>
        </w:rPr>
        <w:t xml:space="preserve">. </w:t>
      </w:r>
      <w:r w:rsidR="00A11C23" w:rsidRPr="00892385">
        <w:rPr>
          <w:rFonts w:asciiTheme="minorHAnsi" w:hAnsiTheme="minorHAnsi" w:cstheme="minorHAnsi"/>
          <w:bCs/>
          <w:color w:val="000000" w:themeColor="text1"/>
          <w:sz w:val="22"/>
          <w:szCs w:val="22"/>
          <w:lang w:val="en-US"/>
        </w:rPr>
        <w:t xml:space="preserve">Boolean combinations of search terms were used to ensure all relevant articles were located. </w:t>
      </w:r>
      <w:r w:rsidR="00A11C23" w:rsidRPr="00892385">
        <w:rPr>
          <w:rFonts w:asciiTheme="minorHAnsi" w:hAnsiTheme="minorHAnsi" w:cstheme="minorHAnsi"/>
          <w:bCs/>
          <w:color w:val="000000" w:themeColor="text1"/>
          <w:sz w:val="22"/>
          <w:szCs w:val="22"/>
          <w:lang w:val="en-US"/>
        </w:rPr>
        <w:lastRenderedPageBreak/>
        <w:t>Additional h</w:t>
      </w:r>
      <w:r w:rsidR="00A11C23" w:rsidRPr="00892385">
        <w:rPr>
          <w:rFonts w:asciiTheme="minorHAnsi" w:hAnsiTheme="minorHAnsi" w:cstheme="minorHAnsi"/>
          <w:bCs/>
          <w:color w:val="000000" w:themeColor="text1"/>
          <w:sz w:val="22"/>
          <w:szCs w:val="22"/>
        </w:rPr>
        <w:t>and searches of relevant journals were conducted, and reference lists were scanned for additional evidence.</w:t>
      </w:r>
    </w:p>
    <w:p w14:paraId="138EFB7F" w14:textId="77777777" w:rsidR="00A11C23" w:rsidRPr="00892385" w:rsidRDefault="00A11C23" w:rsidP="00A11C23">
      <w:pPr>
        <w:spacing w:line="360" w:lineRule="auto"/>
        <w:jc w:val="both"/>
        <w:rPr>
          <w:rFonts w:asciiTheme="minorHAnsi" w:hAnsiTheme="minorHAnsi" w:cstheme="minorHAnsi"/>
          <w:bCs/>
          <w:color w:val="000000" w:themeColor="text1"/>
          <w:sz w:val="22"/>
          <w:szCs w:val="22"/>
        </w:rPr>
      </w:pPr>
    </w:p>
    <w:p w14:paraId="66EEBF07" w14:textId="30760677" w:rsidR="00163D04" w:rsidRPr="0064137E" w:rsidRDefault="003C7C7C" w:rsidP="009916B3">
      <w:pPr>
        <w:pStyle w:val="Caption"/>
        <w:jc w:val="both"/>
        <w:rPr>
          <w:rFonts w:cstheme="minorHAnsi"/>
          <w:b/>
          <w:bCs/>
          <w:i w:val="0"/>
          <w:color w:val="000000" w:themeColor="text1"/>
          <w:sz w:val="22"/>
          <w:szCs w:val="22"/>
        </w:rPr>
      </w:pPr>
      <w:bookmarkStart w:id="2" w:name="_Toc32337718"/>
      <w:r w:rsidRPr="0064137E">
        <w:rPr>
          <w:rFonts w:cstheme="minorHAnsi"/>
          <w:b/>
          <w:i w:val="0"/>
          <w:color w:val="000000" w:themeColor="text1"/>
          <w:sz w:val="22"/>
          <w:szCs w:val="22"/>
        </w:rPr>
        <w:t xml:space="preserve">Table </w:t>
      </w:r>
      <w:r w:rsidR="0064137E" w:rsidRPr="0064137E">
        <w:rPr>
          <w:rFonts w:cstheme="minorHAnsi"/>
          <w:b/>
          <w:i w:val="0"/>
          <w:color w:val="000000" w:themeColor="text1"/>
          <w:sz w:val="22"/>
          <w:szCs w:val="22"/>
        </w:rPr>
        <w:t>1:</w:t>
      </w:r>
      <w:r w:rsidR="00AF3826" w:rsidRPr="0064137E">
        <w:rPr>
          <w:rFonts w:cstheme="minorHAnsi"/>
          <w:b/>
          <w:i w:val="0"/>
          <w:color w:val="000000" w:themeColor="text1"/>
          <w:sz w:val="22"/>
          <w:szCs w:val="22"/>
        </w:rPr>
        <w:t xml:space="preserve"> The PICO f</w:t>
      </w:r>
      <w:r w:rsidRPr="0064137E">
        <w:rPr>
          <w:rFonts w:cstheme="minorHAnsi"/>
          <w:b/>
          <w:i w:val="0"/>
          <w:color w:val="000000" w:themeColor="text1"/>
          <w:sz w:val="22"/>
          <w:szCs w:val="22"/>
        </w:rPr>
        <w:t xml:space="preserve">ramework </w:t>
      </w:r>
      <w:r w:rsidR="00AF3826" w:rsidRPr="0064137E">
        <w:rPr>
          <w:rFonts w:cstheme="minorHAnsi"/>
          <w:b/>
          <w:i w:val="0"/>
          <w:color w:val="000000" w:themeColor="text1"/>
          <w:sz w:val="22"/>
          <w:szCs w:val="22"/>
        </w:rPr>
        <w:t>and keywords utilised</w:t>
      </w:r>
      <w:bookmarkEnd w:id="2"/>
    </w:p>
    <w:tbl>
      <w:tblPr>
        <w:tblStyle w:val="TableGrid"/>
        <w:tblW w:w="0" w:type="auto"/>
        <w:tblLook w:val="04A0" w:firstRow="1" w:lastRow="0" w:firstColumn="1" w:lastColumn="0" w:noHBand="0" w:noVBand="1"/>
      </w:tblPr>
      <w:tblGrid>
        <w:gridCol w:w="2252"/>
        <w:gridCol w:w="2252"/>
        <w:gridCol w:w="2253"/>
        <w:gridCol w:w="2253"/>
      </w:tblGrid>
      <w:tr w:rsidR="00C40DB9" w:rsidRPr="00892385" w14:paraId="60EAAA27" w14:textId="77777777" w:rsidTr="00495A48">
        <w:tc>
          <w:tcPr>
            <w:tcW w:w="2252" w:type="dxa"/>
          </w:tcPr>
          <w:p w14:paraId="20CF9E32" w14:textId="2B0769C3" w:rsidR="00495A48" w:rsidRPr="00AF3826" w:rsidRDefault="00AF3826" w:rsidP="00AF3826">
            <w:pPr>
              <w:spacing w:after="160" w:line="360" w:lineRule="auto"/>
              <w:jc w:val="center"/>
              <w:rPr>
                <w:rFonts w:asciiTheme="minorHAnsi" w:hAnsiTheme="minorHAnsi" w:cstheme="minorHAnsi"/>
                <w:b/>
                <w:bCs/>
                <w:color w:val="000000" w:themeColor="text1"/>
                <w:sz w:val="22"/>
                <w:szCs w:val="22"/>
              </w:rPr>
            </w:pPr>
            <w:r w:rsidRPr="00AF3826">
              <w:rPr>
                <w:rFonts w:asciiTheme="minorHAnsi" w:hAnsiTheme="minorHAnsi" w:cstheme="minorHAnsi"/>
                <w:b/>
                <w:bCs/>
                <w:color w:val="000000" w:themeColor="text1"/>
                <w:sz w:val="22"/>
                <w:szCs w:val="22"/>
              </w:rPr>
              <w:t>Participants</w:t>
            </w:r>
          </w:p>
        </w:tc>
        <w:tc>
          <w:tcPr>
            <w:tcW w:w="2252" w:type="dxa"/>
          </w:tcPr>
          <w:p w14:paraId="57F4A68D" w14:textId="0A4BE4CF" w:rsidR="00495A48" w:rsidRPr="00AF3826" w:rsidRDefault="00495A48" w:rsidP="00AF3826">
            <w:pPr>
              <w:spacing w:after="160" w:line="360" w:lineRule="auto"/>
              <w:jc w:val="center"/>
              <w:rPr>
                <w:rFonts w:asciiTheme="minorHAnsi" w:hAnsiTheme="minorHAnsi" w:cstheme="minorHAnsi"/>
                <w:b/>
                <w:bCs/>
                <w:color w:val="000000" w:themeColor="text1"/>
                <w:sz w:val="22"/>
                <w:szCs w:val="22"/>
              </w:rPr>
            </w:pPr>
            <w:r w:rsidRPr="00AF3826">
              <w:rPr>
                <w:rFonts w:asciiTheme="minorHAnsi" w:hAnsiTheme="minorHAnsi" w:cstheme="minorHAnsi"/>
                <w:b/>
                <w:bCs/>
                <w:color w:val="000000" w:themeColor="text1"/>
                <w:sz w:val="22"/>
                <w:szCs w:val="22"/>
              </w:rPr>
              <w:t>Intervention</w:t>
            </w:r>
          </w:p>
        </w:tc>
        <w:tc>
          <w:tcPr>
            <w:tcW w:w="2253" w:type="dxa"/>
          </w:tcPr>
          <w:p w14:paraId="5FA64683" w14:textId="1218819F" w:rsidR="00495A48" w:rsidRPr="00AF3826" w:rsidRDefault="00495A48" w:rsidP="00AF3826">
            <w:pPr>
              <w:spacing w:after="160" w:line="360" w:lineRule="auto"/>
              <w:jc w:val="center"/>
              <w:rPr>
                <w:rFonts w:asciiTheme="minorHAnsi" w:hAnsiTheme="minorHAnsi" w:cstheme="minorHAnsi"/>
                <w:b/>
                <w:bCs/>
                <w:color w:val="000000" w:themeColor="text1"/>
                <w:sz w:val="22"/>
                <w:szCs w:val="22"/>
              </w:rPr>
            </w:pPr>
            <w:r w:rsidRPr="00AF3826">
              <w:rPr>
                <w:rFonts w:asciiTheme="minorHAnsi" w:hAnsiTheme="minorHAnsi" w:cstheme="minorHAnsi"/>
                <w:b/>
                <w:bCs/>
                <w:color w:val="000000" w:themeColor="text1"/>
                <w:sz w:val="22"/>
                <w:szCs w:val="22"/>
              </w:rPr>
              <w:t>Comparison</w:t>
            </w:r>
          </w:p>
        </w:tc>
        <w:tc>
          <w:tcPr>
            <w:tcW w:w="2253" w:type="dxa"/>
          </w:tcPr>
          <w:p w14:paraId="08EC00E3" w14:textId="0A58E2AA" w:rsidR="00495A48" w:rsidRPr="00AF3826" w:rsidRDefault="00495A48" w:rsidP="00AF3826">
            <w:pPr>
              <w:spacing w:after="160" w:line="360" w:lineRule="auto"/>
              <w:jc w:val="center"/>
              <w:rPr>
                <w:rFonts w:asciiTheme="minorHAnsi" w:hAnsiTheme="minorHAnsi" w:cstheme="minorHAnsi"/>
                <w:b/>
                <w:bCs/>
                <w:color w:val="000000" w:themeColor="text1"/>
                <w:sz w:val="22"/>
                <w:szCs w:val="22"/>
              </w:rPr>
            </w:pPr>
            <w:r w:rsidRPr="00AF3826">
              <w:rPr>
                <w:rFonts w:asciiTheme="minorHAnsi" w:hAnsiTheme="minorHAnsi" w:cstheme="minorHAnsi"/>
                <w:b/>
                <w:bCs/>
                <w:color w:val="000000" w:themeColor="text1"/>
                <w:sz w:val="22"/>
                <w:szCs w:val="22"/>
              </w:rPr>
              <w:t>Outcomes</w:t>
            </w:r>
          </w:p>
        </w:tc>
      </w:tr>
      <w:tr w:rsidR="00495A48" w:rsidRPr="00892385" w14:paraId="230B2456" w14:textId="77777777" w:rsidTr="00495A48">
        <w:tc>
          <w:tcPr>
            <w:tcW w:w="2252" w:type="dxa"/>
          </w:tcPr>
          <w:p w14:paraId="5BBA269D" w14:textId="294F6207" w:rsidR="00495A48" w:rsidRPr="00892385" w:rsidRDefault="00AF3826" w:rsidP="0044391B">
            <w:pPr>
              <w:spacing w:after="160" w:line="360"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Breast cancer</w:t>
            </w:r>
          </w:p>
          <w:p w14:paraId="5A658585" w14:textId="43B7C37C" w:rsidR="00495A48" w:rsidRPr="00892385" w:rsidRDefault="00AF3826" w:rsidP="0044391B">
            <w:pPr>
              <w:spacing w:after="160" w:line="360"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Breast neoplasm</w:t>
            </w:r>
          </w:p>
          <w:p w14:paraId="5290CB22" w14:textId="08671D77" w:rsidR="00495A48" w:rsidRPr="00892385" w:rsidRDefault="00AF3826" w:rsidP="0044391B">
            <w:pPr>
              <w:spacing w:after="160" w:line="360"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Breast carcinoma</w:t>
            </w:r>
          </w:p>
          <w:p w14:paraId="029C76DB" w14:textId="689D666D" w:rsidR="00495A48" w:rsidRPr="00892385" w:rsidRDefault="00495A48" w:rsidP="0044391B">
            <w:pPr>
              <w:spacing w:after="160" w:line="360" w:lineRule="auto"/>
              <w:rPr>
                <w:rFonts w:asciiTheme="minorHAnsi" w:hAnsiTheme="minorHAnsi" w:cstheme="minorHAnsi"/>
                <w:bCs/>
                <w:color w:val="000000" w:themeColor="text1"/>
                <w:sz w:val="22"/>
                <w:szCs w:val="22"/>
              </w:rPr>
            </w:pPr>
            <w:r w:rsidRPr="00892385">
              <w:rPr>
                <w:rFonts w:asciiTheme="minorHAnsi" w:hAnsiTheme="minorHAnsi" w:cstheme="minorHAnsi"/>
                <w:bCs/>
                <w:color w:val="000000" w:themeColor="text1"/>
                <w:sz w:val="22"/>
                <w:szCs w:val="22"/>
              </w:rPr>
              <w:t>Breast tumour</w:t>
            </w:r>
          </w:p>
          <w:p w14:paraId="258E8205" w14:textId="61CDD6DF" w:rsidR="00F41212" w:rsidRPr="00892385" w:rsidRDefault="00AF3826" w:rsidP="0044391B">
            <w:pPr>
              <w:spacing w:after="160" w:line="360"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Breast </w:t>
            </w:r>
            <w:proofErr w:type="spellStart"/>
            <w:r>
              <w:rPr>
                <w:rFonts w:asciiTheme="minorHAnsi" w:hAnsiTheme="minorHAnsi" w:cstheme="minorHAnsi"/>
                <w:bCs/>
                <w:color w:val="000000" w:themeColor="text1"/>
                <w:sz w:val="22"/>
                <w:szCs w:val="22"/>
              </w:rPr>
              <w:t>t</w:t>
            </w:r>
            <w:r w:rsidR="00F41212" w:rsidRPr="00892385">
              <w:rPr>
                <w:rFonts w:asciiTheme="minorHAnsi" w:hAnsiTheme="minorHAnsi" w:cstheme="minorHAnsi"/>
                <w:bCs/>
                <w:color w:val="000000" w:themeColor="text1"/>
                <w:sz w:val="22"/>
                <w:szCs w:val="22"/>
              </w:rPr>
              <w:t>umor</w:t>
            </w:r>
            <w:proofErr w:type="spellEnd"/>
          </w:p>
        </w:tc>
        <w:tc>
          <w:tcPr>
            <w:tcW w:w="2252" w:type="dxa"/>
          </w:tcPr>
          <w:p w14:paraId="04880B51" w14:textId="50595FB4" w:rsidR="00495A48" w:rsidRPr="00892385" w:rsidRDefault="00495A48" w:rsidP="0044391B">
            <w:pPr>
              <w:spacing w:after="160" w:line="360" w:lineRule="auto"/>
              <w:rPr>
                <w:rFonts w:asciiTheme="minorHAnsi" w:hAnsiTheme="minorHAnsi" w:cstheme="minorHAnsi"/>
                <w:bCs/>
                <w:color w:val="000000" w:themeColor="text1"/>
                <w:sz w:val="22"/>
                <w:szCs w:val="22"/>
              </w:rPr>
            </w:pPr>
            <w:r w:rsidRPr="00892385">
              <w:rPr>
                <w:rFonts w:asciiTheme="minorHAnsi" w:hAnsiTheme="minorHAnsi" w:cstheme="minorHAnsi"/>
                <w:bCs/>
                <w:color w:val="000000" w:themeColor="text1"/>
                <w:sz w:val="22"/>
                <w:szCs w:val="22"/>
              </w:rPr>
              <w:t>V</w:t>
            </w:r>
            <w:r w:rsidR="00AF3826">
              <w:rPr>
                <w:rFonts w:asciiTheme="minorHAnsi" w:hAnsiTheme="minorHAnsi" w:cstheme="minorHAnsi"/>
                <w:bCs/>
                <w:color w:val="000000" w:themeColor="text1"/>
                <w:sz w:val="22"/>
                <w:szCs w:val="22"/>
              </w:rPr>
              <w:t>olumetric modulated arc therapy</w:t>
            </w:r>
          </w:p>
          <w:p w14:paraId="60A42612" w14:textId="531AAF1A" w:rsidR="00495A48" w:rsidRPr="00892385" w:rsidRDefault="00AF3826" w:rsidP="0044391B">
            <w:pPr>
              <w:spacing w:after="160" w:line="360"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VMAT</w:t>
            </w:r>
          </w:p>
          <w:p w14:paraId="671ECA36" w14:textId="4E99FEE9" w:rsidR="00495A48" w:rsidRPr="00892385" w:rsidRDefault="00AF3826" w:rsidP="0044391B">
            <w:pPr>
              <w:spacing w:after="160" w:line="360"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RapidArc</w:t>
            </w:r>
          </w:p>
        </w:tc>
        <w:tc>
          <w:tcPr>
            <w:tcW w:w="2253" w:type="dxa"/>
          </w:tcPr>
          <w:p w14:paraId="0D9E1B20" w14:textId="287B7AD9" w:rsidR="00495A48" w:rsidRPr="00892385" w:rsidRDefault="00AF3826" w:rsidP="0044391B">
            <w:pPr>
              <w:spacing w:after="160" w:line="360"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Conformal radiotherapy</w:t>
            </w:r>
          </w:p>
          <w:p w14:paraId="23407600" w14:textId="5439DE39" w:rsidR="00495A48" w:rsidRPr="00892385" w:rsidRDefault="00AF3826" w:rsidP="0044391B">
            <w:pPr>
              <w:spacing w:after="160" w:line="360"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3D-CRT</w:t>
            </w:r>
          </w:p>
        </w:tc>
        <w:tc>
          <w:tcPr>
            <w:tcW w:w="2253" w:type="dxa"/>
          </w:tcPr>
          <w:p w14:paraId="3512B663" w14:textId="6E03BAAA" w:rsidR="00495A48" w:rsidRDefault="00AF3826" w:rsidP="0044391B">
            <w:pPr>
              <w:spacing w:after="160" w:line="360"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Risk</w:t>
            </w:r>
          </w:p>
          <w:p w14:paraId="2BD0908A" w14:textId="77777777" w:rsidR="00AF3826" w:rsidRDefault="00AF3826" w:rsidP="0044391B">
            <w:pPr>
              <w:spacing w:after="160" w:line="360"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PTV dose</w:t>
            </w:r>
          </w:p>
          <w:p w14:paraId="58C491C0" w14:textId="77777777" w:rsidR="00AF3826" w:rsidRDefault="00AF3826" w:rsidP="0044391B">
            <w:pPr>
              <w:spacing w:after="160" w:line="360"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OAR dose</w:t>
            </w:r>
          </w:p>
          <w:p w14:paraId="7AFBA58E" w14:textId="4138553A" w:rsidR="00AF3826" w:rsidRPr="00892385" w:rsidRDefault="00AF3826" w:rsidP="0044391B">
            <w:pPr>
              <w:spacing w:after="160" w:line="360" w:lineRule="auto"/>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Low dose bath</w:t>
            </w:r>
          </w:p>
        </w:tc>
      </w:tr>
    </w:tbl>
    <w:p w14:paraId="41AB875D" w14:textId="77777777" w:rsidR="00EC3B4A" w:rsidRPr="00892385" w:rsidRDefault="00EC3B4A" w:rsidP="009916B3">
      <w:pPr>
        <w:spacing w:after="160" w:line="360" w:lineRule="auto"/>
        <w:jc w:val="both"/>
        <w:rPr>
          <w:rFonts w:asciiTheme="minorHAnsi" w:hAnsiTheme="minorHAnsi" w:cstheme="minorHAnsi"/>
          <w:bCs/>
          <w:color w:val="000000" w:themeColor="text1"/>
          <w:sz w:val="22"/>
          <w:szCs w:val="22"/>
        </w:rPr>
      </w:pPr>
    </w:p>
    <w:p w14:paraId="7D0A1768" w14:textId="7C44B2E6" w:rsidR="00E85829" w:rsidRPr="00892385" w:rsidRDefault="00CC274C" w:rsidP="00E85829">
      <w:pPr>
        <w:tabs>
          <w:tab w:val="left" w:pos="5542"/>
        </w:tabs>
        <w:autoSpaceDE w:val="0"/>
        <w:autoSpaceDN w:val="0"/>
        <w:adjustRightInd w:val="0"/>
        <w:spacing w:line="360" w:lineRule="auto"/>
        <w:jc w:val="both"/>
        <w:rPr>
          <w:rFonts w:asciiTheme="minorHAnsi" w:hAnsiTheme="minorHAnsi" w:cstheme="minorHAnsi"/>
          <w:bCs/>
          <w:color w:val="000000" w:themeColor="text1"/>
          <w:sz w:val="22"/>
          <w:szCs w:val="22"/>
          <w:lang w:val="en-US"/>
        </w:rPr>
      </w:pPr>
      <w:r w:rsidRPr="00892385">
        <w:rPr>
          <w:rFonts w:asciiTheme="minorHAnsi" w:hAnsiTheme="minorHAnsi" w:cstheme="minorHAnsi"/>
          <w:bCs/>
          <w:color w:val="000000" w:themeColor="text1"/>
          <w:sz w:val="22"/>
          <w:szCs w:val="22"/>
        </w:rPr>
        <w:t>When</w:t>
      </w:r>
      <w:r w:rsidR="0047038B" w:rsidRPr="00892385">
        <w:rPr>
          <w:rFonts w:asciiTheme="minorHAnsi" w:hAnsiTheme="minorHAnsi" w:cstheme="minorHAnsi"/>
          <w:bCs/>
          <w:color w:val="000000" w:themeColor="text1"/>
          <w:sz w:val="22"/>
          <w:szCs w:val="22"/>
        </w:rPr>
        <w:t xml:space="preserve"> the search </w:t>
      </w:r>
      <w:r w:rsidRPr="00892385">
        <w:rPr>
          <w:rFonts w:asciiTheme="minorHAnsi" w:hAnsiTheme="minorHAnsi" w:cstheme="minorHAnsi"/>
          <w:bCs/>
          <w:color w:val="000000" w:themeColor="text1"/>
          <w:sz w:val="22"/>
          <w:szCs w:val="22"/>
        </w:rPr>
        <w:t>had been</w:t>
      </w:r>
      <w:r w:rsidR="0047038B" w:rsidRPr="00892385">
        <w:rPr>
          <w:rFonts w:asciiTheme="minorHAnsi" w:hAnsiTheme="minorHAnsi" w:cstheme="minorHAnsi"/>
          <w:bCs/>
          <w:color w:val="000000" w:themeColor="text1"/>
          <w:sz w:val="22"/>
          <w:szCs w:val="22"/>
        </w:rPr>
        <w:t xml:space="preserve"> conducted the results </w:t>
      </w:r>
      <w:r w:rsidRPr="00892385">
        <w:rPr>
          <w:rFonts w:asciiTheme="minorHAnsi" w:hAnsiTheme="minorHAnsi" w:cstheme="minorHAnsi"/>
          <w:bCs/>
          <w:color w:val="000000" w:themeColor="text1"/>
          <w:sz w:val="22"/>
          <w:szCs w:val="22"/>
        </w:rPr>
        <w:t>required</w:t>
      </w:r>
      <w:r w:rsidR="0047038B" w:rsidRPr="00892385">
        <w:rPr>
          <w:rFonts w:asciiTheme="minorHAnsi" w:hAnsiTheme="minorHAnsi" w:cstheme="minorHAnsi"/>
          <w:bCs/>
          <w:color w:val="000000" w:themeColor="text1"/>
          <w:sz w:val="22"/>
          <w:szCs w:val="22"/>
        </w:rPr>
        <w:t xml:space="preserve"> filter</w:t>
      </w:r>
      <w:r w:rsidRPr="00892385">
        <w:rPr>
          <w:rFonts w:asciiTheme="minorHAnsi" w:hAnsiTheme="minorHAnsi" w:cstheme="minorHAnsi"/>
          <w:bCs/>
          <w:color w:val="000000" w:themeColor="text1"/>
          <w:sz w:val="22"/>
          <w:szCs w:val="22"/>
        </w:rPr>
        <w:t>ing</w:t>
      </w:r>
      <w:r w:rsidR="00D51C66" w:rsidRPr="00892385">
        <w:rPr>
          <w:rFonts w:asciiTheme="minorHAnsi" w:hAnsiTheme="minorHAnsi" w:cstheme="minorHAnsi"/>
          <w:bCs/>
          <w:color w:val="000000" w:themeColor="text1"/>
          <w:sz w:val="22"/>
          <w:szCs w:val="22"/>
        </w:rPr>
        <w:t xml:space="preserve">; </w:t>
      </w:r>
      <w:r w:rsidR="00AB690C" w:rsidRPr="00892385">
        <w:rPr>
          <w:rFonts w:asciiTheme="minorHAnsi" w:hAnsiTheme="minorHAnsi" w:cstheme="minorHAnsi"/>
          <w:bCs/>
          <w:color w:val="000000" w:themeColor="text1"/>
          <w:sz w:val="22"/>
          <w:szCs w:val="22"/>
        </w:rPr>
        <w:t>according to th</w:t>
      </w:r>
      <w:r w:rsidR="0047038B" w:rsidRPr="00892385">
        <w:rPr>
          <w:rFonts w:asciiTheme="minorHAnsi" w:hAnsiTheme="minorHAnsi" w:cstheme="minorHAnsi"/>
          <w:bCs/>
          <w:color w:val="000000" w:themeColor="text1"/>
          <w:sz w:val="22"/>
          <w:szCs w:val="22"/>
        </w:rPr>
        <w:t>e inclusion and exclusion criteria</w:t>
      </w:r>
      <w:r w:rsidR="00A11C23" w:rsidRPr="00892385">
        <w:rPr>
          <w:rFonts w:asciiTheme="minorHAnsi" w:hAnsiTheme="minorHAnsi" w:cstheme="minorHAnsi"/>
          <w:bCs/>
          <w:color w:val="000000" w:themeColor="text1"/>
          <w:sz w:val="22"/>
          <w:szCs w:val="22"/>
        </w:rPr>
        <w:t xml:space="preserve"> shown in T</w:t>
      </w:r>
      <w:r w:rsidR="00352466" w:rsidRPr="00892385">
        <w:rPr>
          <w:rFonts w:asciiTheme="minorHAnsi" w:hAnsiTheme="minorHAnsi" w:cstheme="minorHAnsi"/>
          <w:bCs/>
          <w:color w:val="000000" w:themeColor="text1"/>
          <w:sz w:val="22"/>
          <w:szCs w:val="22"/>
        </w:rPr>
        <w:t xml:space="preserve">able </w:t>
      </w:r>
      <w:r w:rsidR="0064137E">
        <w:rPr>
          <w:rFonts w:asciiTheme="minorHAnsi" w:hAnsiTheme="minorHAnsi" w:cstheme="minorHAnsi"/>
          <w:bCs/>
          <w:color w:val="000000" w:themeColor="text1"/>
          <w:sz w:val="22"/>
          <w:szCs w:val="22"/>
        </w:rPr>
        <w:t>2</w:t>
      </w:r>
      <w:r w:rsidR="00AB690C" w:rsidRPr="00892385">
        <w:rPr>
          <w:rFonts w:asciiTheme="minorHAnsi" w:hAnsiTheme="minorHAnsi" w:cstheme="minorHAnsi"/>
          <w:bCs/>
          <w:color w:val="000000" w:themeColor="text1"/>
          <w:sz w:val="22"/>
          <w:szCs w:val="22"/>
        </w:rPr>
        <w:t>.</w:t>
      </w:r>
      <w:r w:rsidR="00352466" w:rsidRPr="00892385">
        <w:rPr>
          <w:rFonts w:asciiTheme="minorHAnsi" w:hAnsiTheme="minorHAnsi" w:cstheme="minorHAnsi"/>
          <w:bCs/>
          <w:color w:val="000000" w:themeColor="text1"/>
          <w:sz w:val="22"/>
          <w:szCs w:val="22"/>
        </w:rPr>
        <w:t xml:space="preserve"> </w:t>
      </w:r>
      <w:r w:rsidR="00AB690C" w:rsidRPr="00892385">
        <w:rPr>
          <w:rFonts w:asciiTheme="minorHAnsi" w:hAnsiTheme="minorHAnsi" w:cstheme="minorHAnsi"/>
          <w:bCs/>
          <w:color w:val="000000" w:themeColor="text1"/>
          <w:sz w:val="22"/>
          <w:szCs w:val="22"/>
          <w:lang w:val="en-US"/>
        </w:rPr>
        <w:t xml:space="preserve">Manual screening of the titles and abstracts eliminated all duplicates and irrelevant papers from the search as seen in Figure 1. Then, full-text articles were read to further filter the search and eliminate inappropriate papers. The screened papers were then subjected to critical appraisal </w:t>
      </w:r>
      <w:r w:rsidR="00E85829" w:rsidRPr="00892385">
        <w:rPr>
          <w:rFonts w:asciiTheme="minorHAnsi" w:hAnsiTheme="minorHAnsi" w:cstheme="minorHAnsi"/>
          <w:bCs/>
          <w:color w:val="000000" w:themeColor="text1"/>
          <w:sz w:val="22"/>
          <w:szCs w:val="22"/>
          <w:lang w:val="en-US"/>
        </w:rPr>
        <w:t>using the well-validated Critical Appraisal Skills Programme (CASP)</w:t>
      </w:r>
      <w:r w:rsidR="00E85829" w:rsidRPr="00892385">
        <w:rPr>
          <w:rFonts w:asciiTheme="minorHAnsi" w:hAnsiTheme="minorHAnsi" w:cstheme="minorHAnsi"/>
          <w:bCs/>
          <w:color w:val="000000" w:themeColor="text1"/>
          <w:sz w:val="22"/>
          <w:szCs w:val="22"/>
        </w:rPr>
        <w:t xml:space="preserve"> checklist</w:t>
      </w:r>
      <w:r w:rsidR="003E15B6">
        <w:rPr>
          <w:rFonts w:asciiTheme="minorHAnsi" w:hAnsiTheme="minorHAnsi" w:cstheme="minorHAnsi"/>
          <w:bCs/>
          <w:color w:val="000000" w:themeColor="text1"/>
          <w:sz w:val="22"/>
          <w:szCs w:val="22"/>
        </w:rPr>
        <w:t>s</w:t>
      </w:r>
      <w:r w:rsidR="00BD1929">
        <w:rPr>
          <w:rFonts w:asciiTheme="minorHAnsi" w:hAnsiTheme="minorHAnsi" w:cstheme="minorHAnsi"/>
          <w:bCs/>
          <w:color w:val="000000" w:themeColor="text1"/>
          <w:sz w:val="22"/>
          <w:szCs w:val="22"/>
          <w:vertAlign w:val="superscript"/>
        </w:rPr>
        <w:t>9</w:t>
      </w:r>
      <w:r w:rsidR="00E85829" w:rsidRPr="00892385">
        <w:rPr>
          <w:rFonts w:asciiTheme="minorHAnsi" w:hAnsiTheme="minorHAnsi" w:cstheme="minorHAnsi"/>
          <w:bCs/>
          <w:color w:val="000000" w:themeColor="text1"/>
          <w:sz w:val="22"/>
          <w:szCs w:val="22"/>
        </w:rPr>
        <w:t xml:space="preserve"> </w:t>
      </w:r>
      <w:r w:rsidR="00E85829" w:rsidRPr="00892385">
        <w:rPr>
          <w:rFonts w:asciiTheme="minorHAnsi" w:hAnsiTheme="minorHAnsi" w:cstheme="minorHAnsi"/>
          <w:bCs/>
          <w:color w:val="000000" w:themeColor="text1"/>
          <w:sz w:val="22"/>
          <w:szCs w:val="22"/>
          <w:lang w:val="en-US"/>
        </w:rPr>
        <w:t xml:space="preserve">to assess the quality and relevance of the papers. </w:t>
      </w:r>
      <w:r w:rsidR="00BD1929">
        <w:rPr>
          <w:rFonts w:asciiTheme="minorHAnsi" w:hAnsiTheme="minorHAnsi" w:cstheme="minorHAnsi"/>
          <w:bCs/>
          <w:color w:val="000000" w:themeColor="text1"/>
          <w:sz w:val="22"/>
          <w:szCs w:val="22"/>
          <w:lang w:val="en-US"/>
        </w:rPr>
        <w:t xml:space="preserve">Papers scoring low with the CASP checklists were rejected and not included in the review. </w:t>
      </w:r>
    </w:p>
    <w:p w14:paraId="4C7E2DBF" w14:textId="25D4288C" w:rsidR="00E85829" w:rsidRDefault="00E85829" w:rsidP="00E85829">
      <w:pPr>
        <w:rPr>
          <w:rFonts w:asciiTheme="minorHAnsi" w:hAnsiTheme="minorHAnsi" w:cstheme="minorHAnsi"/>
          <w:sz w:val="22"/>
          <w:szCs w:val="22"/>
          <w:lang w:eastAsia="en-US"/>
        </w:rPr>
      </w:pPr>
      <w:bookmarkStart w:id="3" w:name="_Toc32337719"/>
    </w:p>
    <w:p w14:paraId="57245CC6" w14:textId="660EAD85" w:rsidR="00886D93" w:rsidRDefault="00886D93" w:rsidP="00E85829">
      <w:pPr>
        <w:rPr>
          <w:rFonts w:asciiTheme="minorHAnsi" w:hAnsiTheme="minorHAnsi" w:cstheme="minorHAnsi"/>
          <w:sz w:val="22"/>
          <w:szCs w:val="22"/>
          <w:lang w:eastAsia="en-US"/>
        </w:rPr>
      </w:pPr>
    </w:p>
    <w:p w14:paraId="5C23C113" w14:textId="77777777" w:rsidR="00886D93" w:rsidRPr="00892385" w:rsidRDefault="00886D93" w:rsidP="00E85829">
      <w:pPr>
        <w:rPr>
          <w:rFonts w:asciiTheme="minorHAnsi" w:hAnsiTheme="minorHAnsi" w:cstheme="minorHAnsi"/>
          <w:sz w:val="22"/>
          <w:szCs w:val="22"/>
          <w:lang w:eastAsia="en-US"/>
        </w:rPr>
      </w:pPr>
    </w:p>
    <w:p w14:paraId="1A8AC9C8" w14:textId="3080738C" w:rsidR="00540ECF" w:rsidRPr="0064137E" w:rsidRDefault="00835013" w:rsidP="009916B3">
      <w:pPr>
        <w:pStyle w:val="Caption"/>
        <w:jc w:val="both"/>
        <w:rPr>
          <w:rFonts w:cstheme="minorHAnsi"/>
          <w:b/>
          <w:bCs/>
          <w:i w:val="0"/>
          <w:color w:val="000000" w:themeColor="text1"/>
          <w:sz w:val="22"/>
          <w:szCs w:val="22"/>
        </w:rPr>
      </w:pPr>
      <w:r w:rsidRPr="0064137E">
        <w:rPr>
          <w:rFonts w:cstheme="minorHAnsi"/>
          <w:b/>
          <w:i w:val="0"/>
          <w:color w:val="000000" w:themeColor="text1"/>
          <w:sz w:val="22"/>
          <w:szCs w:val="22"/>
        </w:rPr>
        <w:t xml:space="preserve">Table </w:t>
      </w:r>
      <w:r w:rsidR="0064137E" w:rsidRPr="0064137E">
        <w:rPr>
          <w:rFonts w:cstheme="minorHAnsi"/>
          <w:b/>
          <w:i w:val="0"/>
          <w:color w:val="000000" w:themeColor="text1"/>
          <w:sz w:val="22"/>
          <w:szCs w:val="22"/>
        </w:rPr>
        <w:t>2</w:t>
      </w:r>
      <w:r w:rsidR="00A11C23" w:rsidRPr="0064137E">
        <w:rPr>
          <w:rFonts w:cstheme="minorHAnsi"/>
          <w:b/>
          <w:bCs/>
          <w:i w:val="0"/>
          <w:color w:val="000000" w:themeColor="text1"/>
          <w:sz w:val="22"/>
          <w:szCs w:val="22"/>
        </w:rPr>
        <w:t>: I</w:t>
      </w:r>
      <w:r w:rsidRPr="0064137E">
        <w:rPr>
          <w:rFonts w:cstheme="minorHAnsi"/>
          <w:b/>
          <w:bCs/>
          <w:i w:val="0"/>
          <w:color w:val="000000" w:themeColor="text1"/>
          <w:sz w:val="22"/>
          <w:szCs w:val="22"/>
        </w:rPr>
        <w:t xml:space="preserve">nclusion </w:t>
      </w:r>
      <w:r w:rsidR="00A11C23" w:rsidRPr="0064137E">
        <w:rPr>
          <w:rFonts w:cstheme="minorHAnsi"/>
          <w:b/>
          <w:bCs/>
          <w:i w:val="0"/>
          <w:color w:val="000000" w:themeColor="text1"/>
          <w:sz w:val="22"/>
          <w:szCs w:val="22"/>
        </w:rPr>
        <w:t xml:space="preserve">and exclusion </w:t>
      </w:r>
      <w:r w:rsidRPr="0064137E">
        <w:rPr>
          <w:rFonts w:cstheme="minorHAnsi"/>
          <w:b/>
          <w:bCs/>
          <w:i w:val="0"/>
          <w:color w:val="000000" w:themeColor="text1"/>
          <w:sz w:val="22"/>
          <w:szCs w:val="22"/>
        </w:rPr>
        <w:t>criteria</w:t>
      </w:r>
      <w:bookmarkEnd w:id="3"/>
    </w:p>
    <w:tbl>
      <w:tblPr>
        <w:tblStyle w:val="TableGrid"/>
        <w:tblW w:w="0" w:type="auto"/>
        <w:tblLook w:val="04A0" w:firstRow="1" w:lastRow="0" w:firstColumn="1" w:lastColumn="0" w:noHBand="0" w:noVBand="1"/>
      </w:tblPr>
      <w:tblGrid>
        <w:gridCol w:w="4505"/>
        <w:gridCol w:w="4505"/>
      </w:tblGrid>
      <w:tr w:rsidR="00A11C23" w:rsidRPr="00892385" w14:paraId="52530DEC" w14:textId="77777777" w:rsidTr="004E063D">
        <w:tc>
          <w:tcPr>
            <w:tcW w:w="4505" w:type="dxa"/>
          </w:tcPr>
          <w:p w14:paraId="7F32A1A0" w14:textId="3A468EBF" w:rsidR="00A11C23" w:rsidRPr="0064137E" w:rsidRDefault="00892385" w:rsidP="00892385">
            <w:pPr>
              <w:autoSpaceDE w:val="0"/>
              <w:autoSpaceDN w:val="0"/>
              <w:adjustRightInd w:val="0"/>
              <w:spacing w:line="360" w:lineRule="auto"/>
              <w:jc w:val="center"/>
              <w:rPr>
                <w:rFonts w:asciiTheme="minorHAnsi" w:hAnsiTheme="minorHAnsi" w:cstheme="minorHAnsi"/>
                <w:b/>
                <w:bCs/>
                <w:color w:val="000000" w:themeColor="text1"/>
                <w:sz w:val="22"/>
                <w:szCs w:val="22"/>
              </w:rPr>
            </w:pPr>
            <w:r w:rsidRPr="0064137E">
              <w:rPr>
                <w:rFonts w:asciiTheme="minorHAnsi" w:hAnsiTheme="minorHAnsi" w:cstheme="minorHAnsi"/>
                <w:b/>
                <w:bCs/>
                <w:color w:val="000000" w:themeColor="text1"/>
                <w:sz w:val="22"/>
                <w:szCs w:val="22"/>
              </w:rPr>
              <w:t>Inclusion Criteria</w:t>
            </w:r>
          </w:p>
        </w:tc>
        <w:tc>
          <w:tcPr>
            <w:tcW w:w="4505" w:type="dxa"/>
          </w:tcPr>
          <w:p w14:paraId="546F711B" w14:textId="3FEECE3F" w:rsidR="00A11C23" w:rsidRPr="0064137E" w:rsidRDefault="00892385" w:rsidP="00892385">
            <w:pPr>
              <w:autoSpaceDE w:val="0"/>
              <w:autoSpaceDN w:val="0"/>
              <w:adjustRightInd w:val="0"/>
              <w:spacing w:line="360" w:lineRule="auto"/>
              <w:jc w:val="center"/>
              <w:rPr>
                <w:rFonts w:asciiTheme="minorHAnsi" w:hAnsiTheme="minorHAnsi" w:cstheme="minorHAnsi"/>
                <w:b/>
                <w:bCs/>
                <w:color w:val="000000" w:themeColor="text1"/>
                <w:sz w:val="22"/>
                <w:szCs w:val="22"/>
              </w:rPr>
            </w:pPr>
            <w:r w:rsidRPr="0064137E">
              <w:rPr>
                <w:rFonts w:asciiTheme="minorHAnsi" w:hAnsiTheme="minorHAnsi" w:cstheme="minorHAnsi"/>
                <w:b/>
                <w:sz w:val="22"/>
                <w:szCs w:val="22"/>
              </w:rPr>
              <w:t>Exclusion Criteria</w:t>
            </w:r>
          </w:p>
        </w:tc>
      </w:tr>
      <w:tr w:rsidR="00A11C23" w:rsidRPr="00892385" w14:paraId="36B1B2A6" w14:textId="77777777" w:rsidTr="004E063D">
        <w:tc>
          <w:tcPr>
            <w:tcW w:w="4505" w:type="dxa"/>
          </w:tcPr>
          <w:p w14:paraId="5749ECE7" w14:textId="13E372B4" w:rsidR="00A11C23" w:rsidRPr="00892385" w:rsidRDefault="00A11C23" w:rsidP="00A11C23">
            <w:pPr>
              <w:autoSpaceDE w:val="0"/>
              <w:autoSpaceDN w:val="0"/>
              <w:adjustRightInd w:val="0"/>
              <w:spacing w:line="360" w:lineRule="auto"/>
              <w:rPr>
                <w:rFonts w:asciiTheme="minorHAnsi" w:hAnsiTheme="minorHAnsi" w:cstheme="minorHAnsi"/>
                <w:bCs/>
                <w:color w:val="000000" w:themeColor="text1"/>
                <w:sz w:val="22"/>
                <w:szCs w:val="22"/>
              </w:rPr>
            </w:pPr>
            <w:r w:rsidRPr="00892385">
              <w:rPr>
                <w:rFonts w:asciiTheme="minorHAnsi" w:hAnsiTheme="minorHAnsi" w:cstheme="minorHAnsi"/>
                <w:bCs/>
                <w:color w:val="000000" w:themeColor="text1"/>
                <w:sz w:val="22"/>
                <w:szCs w:val="22"/>
                <w:lang w:val="en-US"/>
              </w:rPr>
              <w:t>All papers must be written in English.</w:t>
            </w:r>
          </w:p>
        </w:tc>
        <w:tc>
          <w:tcPr>
            <w:tcW w:w="4505" w:type="dxa"/>
          </w:tcPr>
          <w:p w14:paraId="4A122F69" w14:textId="043DB2A3" w:rsidR="00A11C23" w:rsidRPr="00892385" w:rsidRDefault="00A11C23" w:rsidP="00A11C23">
            <w:pPr>
              <w:autoSpaceDE w:val="0"/>
              <w:autoSpaceDN w:val="0"/>
              <w:adjustRightInd w:val="0"/>
              <w:spacing w:line="360" w:lineRule="auto"/>
              <w:rPr>
                <w:rFonts w:asciiTheme="minorHAnsi" w:hAnsiTheme="minorHAnsi" w:cstheme="minorHAnsi"/>
                <w:bCs/>
                <w:color w:val="000000" w:themeColor="text1"/>
                <w:sz w:val="22"/>
                <w:szCs w:val="22"/>
              </w:rPr>
            </w:pPr>
            <w:r w:rsidRPr="00892385">
              <w:rPr>
                <w:rFonts w:asciiTheme="minorHAnsi" w:hAnsiTheme="minorHAnsi" w:cstheme="minorHAnsi"/>
                <w:sz w:val="22"/>
                <w:szCs w:val="22"/>
              </w:rPr>
              <w:t>Qualitative studies</w:t>
            </w:r>
          </w:p>
        </w:tc>
      </w:tr>
      <w:tr w:rsidR="00A11C23" w:rsidRPr="00892385" w14:paraId="74D2D2AD" w14:textId="77777777" w:rsidTr="004E063D">
        <w:tc>
          <w:tcPr>
            <w:tcW w:w="4505" w:type="dxa"/>
          </w:tcPr>
          <w:p w14:paraId="5A1F6C89" w14:textId="2FA96A89" w:rsidR="00A11C23" w:rsidRPr="00892385" w:rsidRDefault="00892385" w:rsidP="00892385">
            <w:pPr>
              <w:autoSpaceDE w:val="0"/>
              <w:autoSpaceDN w:val="0"/>
              <w:adjustRightInd w:val="0"/>
              <w:spacing w:line="360" w:lineRule="auto"/>
              <w:rPr>
                <w:rFonts w:asciiTheme="minorHAnsi" w:hAnsiTheme="minorHAnsi" w:cstheme="minorHAnsi"/>
                <w:bCs/>
                <w:color w:val="000000" w:themeColor="text1"/>
                <w:sz w:val="22"/>
                <w:szCs w:val="22"/>
              </w:rPr>
            </w:pPr>
            <w:r w:rsidRPr="00892385">
              <w:rPr>
                <w:rFonts w:asciiTheme="minorHAnsi" w:hAnsiTheme="minorHAnsi" w:cstheme="minorHAnsi"/>
                <w:bCs/>
                <w:color w:val="000000" w:themeColor="text1"/>
                <w:sz w:val="22"/>
                <w:szCs w:val="22"/>
              </w:rPr>
              <w:t>Primary</w:t>
            </w:r>
            <w:r w:rsidR="00A11C23" w:rsidRPr="00892385">
              <w:rPr>
                <w:rFonts w:asciiTheme="minorHAnsi" w:hAnsiTheme="minorHAnsi" w:cstheme="minorHAnsi"/>
                <w:bCs/>
                <w:color w:val="000000" w:themeColor="text1"/>
                <w:sz w:val="22"/>
                <w:szCs w:val="22"/>
              </w:rPr>
              <w:t xml:space="preserve"> sources of data</w:t>
            </w:r>
          </w:p>
        </w:tc>
        <w:tc>
          <w:tcPr>
            <w:tcW w:w="4505" w:type="dxa"/>
          </w:tcPr>
          <w:p w14:paraId="0293A2A2" w14:textId="6D619D38" w:rsidR="00A11C23" w:rsidRPr="00892385" w:rsidRDefault="00A11C23" w:rsidP="00A11C23">
            <w:pPr>
              <w:autoSpaceDE w:val="0"/>
              <w:autoSpaceDN w:val="0"/>
              <w:adjustRightInd w:val="0"/>
              <w:spacing w:line="360" w:lineRule="auto"/>
              <w:rPr>
                <w:rFonts w:asciiTheme="minorHAnsi" w:hAnsiTheme="minorHAnsi" w:cstheme="minorHAnsi"/>
                <w:bCs/>
                <w:color w:val="000000" w:themeColor="text1"/>
                <w:sz w:val="22"/>
                <w:szCs w:val="22"/>
                <w:lang w:val="en-US"/>
              </w:rPr>
            </w:pPr>
            <w:r w:rsidRPr="00892385">
              <w:rPr>
                <w:rFonts w:asciiTheme="minorHAnsi" w:hAnsiTheme="minorHAnsi" w:cstheme="minorHAnsi"/>
                <w:sz w:val="22"/>
                <w:szCs w:val="22"/>
              </w:rPr>
              <w:t xml:space="preserve">Duplicated papers </w:t>
            </w:r>
          </w:p>
        </w:tc>
      </w:tr>
      <w:tr w:rsidR="00A11C23" w:rsidRPr="00892385" w14:paraId="004F74F4" w14:textId="77777777" w:rsidTr="004E063D">
        <w:tc>
          <w:tcPr>
            <w:tcW w:w="4505" w:type="dxa"/>
          </w:tcPr>
          <w:p w14:paraId="56E92F09" w14:textId="617996E3" w:rsidR="00A11C23" w:rsidRPr="00892385" w:rsidRDefault="00A11C23" w:rsidP="00A11C23">
            <w:pPr>
              <w:autoSpaceDE w:val="0"/>
              <w:autoSpaceDN w:val="0"/>
              <w:adjustRightInd w:val="0"/>
              <w:spacing w:line="360" w:lineRule="auto"/>
              <w:rPr>
                <w:rFonts w:asciiTheme="minorHAnsi" w:hAnsiTheme="minorHAnsi" w:cstheme="minorHAnsi"/>
                <w:bCs/>
                <w:color w:val="000000" w:themeColor="text1"/>
                <w:sz w:val="22"/>
                <w:szCs w:val="22"/>
              </w:rPr>
            </w:pPr>
            <w:r w:rsidRPr="00892385">
              <w:rPr>
                <w:rFonts w:asciiTheme="minorHAnsi" w:hAnsiTheme="minorHAnsi" w:cstheme="minorHAnsi"/>
                <w:bCs/>
                <w:color w:val="000000" w:themeColor="text1"/>
                <w:sz w:val="22"/>
                <w:szCs w:val="22"/>
                <w:lang w:val="en-US"/>
              </w:rPr>
              <w:t>Resea</w:t>
            </w:r>
            <w:r w:rsidR="00892385" w:rsidRPr="00892385">
              <w:rPr>
                <w:rFonts w:asciiTheme="minorHAnsi" w:hAnsiTheme="minorHAnsi" w:cstheme="minorHAnsi"/>
                <w:bCs/>
                <w:color w:val="000000" w:themeColor="text1"/>
                <w:sz w:val="22"/>
                <w:szCs w:val="22"/>
                <w:lang w:val="en-US"/>
              </w:rPr>
              <w:t>rch conducted from 2007 onwards</w:t>
            </w:r>
          </w:p>
        </w:tc>
        <w:tc>
          <w:tcPr>
            <w:tcW w:w="4505" w:type="dxa"/>
          </w:tcPr>
          <w:p w14:paraId="4ABE444F" w14:textId="070BAE98" w:rsidR="00A11C23" w:rsidRPr="00892385" w:rsidRDefault="00A11C23" w:rsidP="00A11C23">
            <w:pPr>
              <w:autoSpaceDE w:val="0"/>
              <w:autoSpaceDN w:val="0"/>
              <w:adjustRightInd w:val="0"/>
              <w:spacing w:line="360" w:lineRule="auto"/>
              <w:rPr>
                <w:rFonts w:asciiTheme="minorHAnsi" w:hAnsiTheme="minorHAnsi" w:cstheme="minorHAnsi"/>
                <w:bCs/>
                <w:color w:val="000000" w:themeColor="text1"/>
                <w:sz w:val="22"/>
                <w:szCs w:val="22"/>
              </w:rPr>
            </w:pPr>
            <w:r w:rsidRPr="00892385">
              <w:rPr>
                <w:rFonts w:asciiTheme="minorHAnsi" w:hAnsiTheme="minorHAnsi" w:cstheme="minorHAnsi"/>
                <w:sz w:val="22"/>
                <w:szCs w:val="22"/>
              </w:rPr>
              <w:t>Editorials / opinion pieces</w:t>
            </w:r>
          </w:p>
        </w:tc>
      </w:tr>
    </w:tbl>
    <w:p w14:paraId="4DE94FD3" w14:textId="7F9EE5CB" w:rsidR="003D63B5" w:rsidRPr="00892385" w:rsidRDefault="003D63B5" w:rsidP="009916B3">
      <w:pPr>
        <w:autoSpaceDE w:val="0"/>
        <w:autoSpaceDN w:val="0"/>
        <w:adjustRightInd w:val="0"/>
        <w:spacing w:line="360" w:lineRule="auto"/>
        <w:jc w:val="both"/>
        <w:rPr>
          <w:rFonts w:asciiTheme="minorHAnsi" w:hAnsiTheme="minorHAnsi" w:cstheme="minorHAnsi"/>
          <w:bCs/>
          <w:color w:val="000000" w:themeColor="text1"/>
          <w:sz w:val="22"/>
          <w:szCs w:val="22"/>
        </w:rPr>
      </w:pPr>
    </w:p>
    <w:p w14:paraId="4B0B2BD4" w14:textId="77777777" w:rsidR="007042D5" w:rsidRPr="00892385" w:rsidRDefault="007042D5" w:rsidP="00786D33">
      <w:pPr>
        <w:autoSpaceDE w:val="0"/>
        <w:autoSpaceDN w:val="0"/>
        <w:adjustRightInd w:val="0"/>
        <w:spacing w:line="360" w:lineRule="auto"/>
        <w:jc w:val="both"/>
        <w:rPr>
          <w:rFonts w:asciiTheme="minorHAnsi" w:hAnsiTheme="minorHAnsi" w:cstheme="minorHAnsi"/>
          <w:color w:val="000000" w:themeColor="text1"/>
          <w:sz w:val="22"/>
          <w:szCs w:val="22"/>
        </w:rPr>
      </w:pPr>
      <w:bookmarkStart w:id="4" w:name="_Toc32338112"/>
    </w:p>
    <w:p w14:paraId="575B2340" w14:textId="77777777" w:rsidR="007042D5" w:rsidRPr="00892385" w:rsidRDefault="007042D5" w:rsidP="00786D33">
      <w:pPr>
        <w:autoSpaceDE w:val="0"/>
        <w:autoSpaceDN w:val="0"/>
        <w:adjustRightInd w:val="0"/>
        <w:spacing w:line="360" w:lineRule="auto"/>
        <w:jc w:val="both"/>
        <w:rPr>
          <w:rFonts w:asciiTheme="minorHAnsi" w:hAnsiTheme="minorHAnsi" w:cstheme="minorHAnsi"/>
          <w:color w:val="000000" w:themeColor="text1"/>
          <w:sz w:val="22"/>
          <w:szCs w:val="22"/>
        </w:rPr>
      </w:pPr>
    </w:p>
    <w:p w14:paraId="0088E762" w14:textId="77777777" w:rsidR="0064137E" w:rsidRDefault="0064137E">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18F228F4" w14:textId="5882A253" w:rsidR="00AB690C" w:rsidRPr="00892385" w:rsidRDefault="00E70940" w:rsidP="00886D93">
      <w:pPr>
        <w:autoSpaceDE w:val="0"/>
        <w:autoSpaceDN w:val="0"/>
        <w:adjustRightInd w:val="0"/>
        <w:spacing w:line="360" w:lineRule="auto"/>
        <w:jc w:val="both"/>
        <w:rPr>
          <w:rFonts w:asciiTheme="minorHAnsi" w:hAnsiTheme="minorHAnsi" w:cstheme="minorHAnsi"/>
          <w:color w:val="000000" w:themeColor="text1"/>
          <w:sz w:val="22"/>
          <w:szCs w:val="22"/>
        </w:rPr>
      </w:pPr>
      <w:r w:rsidRPr="0064137E">
        <w:rPr>
          <w:rFonts w:asciiTheme="minorHAnsi" w:hAnsiTheme="minorHAnsi" w:cstheme="minorHAnsi"/>
          <w:b/>
          <w:color w:val="000000" w:themeColor="text1"/>
          <w:sz w:val="22"/>
          <w:szCs w:val="22"/>
        </w:rPr>
        <w:lastRenderedPageBreak/>
        <w:t xml:space="preserve">Figure </w:t>
      </w:r>
      <w:r w:rsidRPr="0064137E">
        <w:rPr>
          <w:rFonts w:asciiTheme="minorHAnsi" w:hAnsiTheme="minorHAnsi" w:cstheme="minorHAnsi"/>
          <w:b/>
          <w:color w:val="000000" w:themeColor="text1"/>
          <w:sz w:val="22"/>
          <w:szCs w:val="22"/>
        </w:rPr>
        <w:fldChar w:fldCharType="begin"/>
      </w:r>
      <w:r w:rsidRPr="0064137E">
        <w:rPr>
          <w:rFonts w:asciiTheme="minorHAnsi" w:hAnsiTheme="minorHAnsi" w:cstheme="minorHAnsi"/>
          <w:b/>
          <w:color w:val="000000" w:themeColor="text1"/>
          <w:sz w:val="22"/>
          <w:szCs w:val="22"/>
        </w:rPr>
        <w:instrText xml:space="preserve"> SEQ Figure \* ARABIC </w:instrText>
      </w:r>
      <w:r w:rsidRPr="0064137E">
        <w:rPr>
          <w:rFonts w:asciiTheme="minorHAnsi" w:hAnsiTheme="minorHAnsi" w:cstheme="minorHAnsi"/>
          <w:b/>
          <w:color w:val="000000" w:themeColor="text1"/>
          <w:sz w:val="22"/>
          <w:szCs w:val="22"/>
        </w:rPr>
        <w:fldChar w:fldCharType="separate"/>
      </w:r>
      <w:r w:rsidR="006430A0" w:rsidRPr="0064137E">
        <w:rPr>
          <w:rFonts w:asciiTheme="minorHAnsi" w:hAnsiTheme="minorHAnsi" w:cstheme="minorHAnsi"/>
          <w:b/>
          <w:noProof/>
          <w:color w:val="000000" w:themeColor="text1"/>
          <w:sz w:val="22"/>
          <w:szCs w:val="22"/>
        </w:rPr>
        <w:t>1</w:t>
      </w:r>
      <w:r w:rsidRPr="0064137E">
        <w:rPr>
          <w:rFonts w:asciiTheme="minorHAnsi" w:hAnsiTheme="minorHAnsi" w:cstheme="minorHAnsi"/>
          <w:b/>
          <w:color w:val="000000" w:themeColor="text1"/>
          <w:sz w:val="22"/>
          <w:szCs w:val="22"/>
        </w:rPr>
        <w:fldChar w:fldCharType="end"/>
      </w:r>
      <w:r w:rsidR="0064137E" w:rsidRPr="0064137E">
        <w:rPr>
          <w:rFonts w:asciiTheme="minorHAnsi" w:hAnsiTheme="minorHAnsi" w:cstheme="minorHAnsi"/>
          <w:b/>
          <w:color w:val="000000" w:themeColor="text1"/>
          <w:sz w:val="22"/>
          <w:szCs w:val="22"/>
        </w:rPr>
        <w:t>:</w:t>
      </w:r>
      <w:r w:rsidR="00886D93">
        <w:rPr>
          <w:rFonts w:asciiTheme="minorHAnsi" w:hAnsiTheme="minorHAnsi" w:cstheme="minorHAnsi"/>
          <w:b/>
          <w:bCs/>
          <w:color w:val="000000" w:themeColor="text1"/>
          <w:sz w:val="22"/>
          <w:szCs w:val="22"/>
        </w:rPr>
        <w:t xml:space="preserve"> PRISMA flow diagram demonstrating paper s</w:t>
      </w:r>
      <w:r w:rsidRPr="0064137E">
        <w:rPr>
          <w:rFonts w:asciiTheme="minorHAnsi" w:hAnsiTheme="minorHAnsi" w:cstheme="minorHAnsi"/>
          <w:b/>
          <w:bCs/>
          <w:color w:val="000000" w:themeColor="text1"/>
          <w:sz w:val="22"/>
          <w:szCs w:val="22"/>
        </w:rPr>
        <w:t>election</w:t>
      </w:r>
      <w:bookmarkStart w:id="5" w:name="_Toc32848653"/>
      <w:bookmarkEnd w:id="4"/>
    </w:p>
    <w:p w14:paraId="7CB197B9" w14:textId="781B3008" w:rsidR="00AB690C" w:rsidRPr="00892385" w:rsidRDefault="0086346A" w:rsidP="009916B3">
      <w:pPr>
        <w:pStyle w:val="Heading2"/>
        <w:jc w:val="both"/>
        <w:rPr>
          <w:rFonts w:asciiTheme="minorHAnsi" w:hAnsiTheme="minorHAnsi" w:cstheme="minorHAnsi"/>
          <w:color w:val="000000" w:themeColor="text1"/>
          <w:sz w:val="22"/>
          <w:szCs w:val="22"/>
        </w:rPr>
      </w:pPr>
      <w:r>
        <w:rPr>
          <w:rFonts w:asciiTheme="minorHAnsi" w:hAnsiTheme="minorHAnsi" w:cstheme="minorHAnsi"/>
          <w:noProof/>
          <w:color w:val="000000" w:themeColor="text1"/>
          <w:sz w:val="22"/>
          <w:szCs w:val="22"/>
          <w:lang w:val="en-GB" w:eastAsia="en-GB"/>
        </w:rPr>
        <w:drawing>
          <wp:inline distT="0" distB="0" distL="0" distR="0" wp14:anchorId="460E8D61" wp14:editId="575C8A13">
            <wp:extent cx="5288738" cy="6165114"/>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8">
                      <a:extLst>
                        <a:ext uri="{28A0092B-C50C-407E-A947-70E740481C1C}">
                          <a14:useLocalDpi xmlns:a14="http://schemas.microsoft.com/office/drawing/2010/main" val="0"/>
                        </a:ext>
                      </a:extLst>
                    </a:blip>
                    <a:stretch>
                      <a:fillRect/>
                    </a:stretch>
                  </pic:blipFill>
                  <pic:spPr>
                    <a:xfrm>
                      <a:off x="0" y="0"/>
                      <a:ext cx="5288738" cy="6165114"/>
                    </a:xfrm>
                    <a:prstGeom prst="rect">
                      <a:avLst/>
                    </a:prstGeom>
                  </pic:spPr>
                </pic:pic>
              </a:graphicData>
            </a:graphic>
          </wp:inline>
        </w:drawing>
      </w:r>
    </w:p>
    <w:p w14:paraId="60005EA3" w14:textId="77777777" w:rsidR="0028658D" w:rsidRPr="00892385" w:rsidRDefault="0028658D" w:rsidP="0028658D">
      <w:pPr>
        <w:tabs>
          <w:tab w:val="left" w:pos="5542"/>
        </w:tabs>
        <w:autoSpaceDE w:val="0"/>
        <w:autoSpaceDN w:val="0"/>
        <w:adjustRightInd w:val="0"/>
        <w:spacing w:line="360" w:lineRule="auto"/>
        <w:jc w:val="both"/>
        <w:rPr>
          <w:rFonts w:asciiTheme="minorHAnsi" w:hAnsiTheme="minorHAnsi" w:cstheme="minorHAnsi"/>
          <w:bCs/>
          <w:color w:val="000000" w:themeColor="text1"/>
          <w:sz w:val="22"/>
          <w:szCs w:val="22"/>
          <w:lang w:val="en-US"/>
        </w:rPr>
      </w:pPr>
      <w:bookmarkStart w:id="6" w:name="_Toc32848654"/>
      <w:bookmarkEnd w:id="5"/>
    </w:p>
    <w:p w14:paraId="3D0AC214" w14:textId="699A2965" w:rsidR="0028658D" w:rsidRPr="00A1736D" w:rsidRDefault="0028658D" w:rsidP="0028658D">
      <w:pPr>
        <w:tabs>
          <w:tab w:val="left" w:pos="5542"/>
        </w:tabs>
        <w:autoSpaceDE w:val="0"/>
        <w:autoSpaceDN w:val="0"/>
        <w:adjustRightInd w:val="0"/>
        <w:spacing w:line="360" w:lineRule="auto"/>
        <w:jc w:val="both"/>
        <w:rPr>
          <w:rFonts w:asciiTheme="minorHAnsi" w:hAnsiTheme="minorHAnsi" w:cstheme="minorHAnsi"/>
          <w:b/>
          <w:bCs/>
          <w:color w:val="000000" w:themeColor="text1"/>
          <w:sz w:val="22"/>
          <w:szCs w:val="22"/>
          <w:lang w:val="en-US"/>
        </w:rPr>
      </w:pPr>
      <w:r w:rsidRPr="00A1736D">
        <w:rPr>
          <w:rFonts w:asciiTheme="minorHAnsi" w:hAnsiTheme="minorHAnsi" w:cstheme="minorHAnsi"/>
          <w:b/>
          <w:bCs/>
          <w:color w:val="000000" w:themeColor="text1"/>
          <w:sz w:val="22"/>
          <w:szCs w:val="22"/>
          <w:lang w:val="en-US"/>
        </w:rPr>
        <w:t>Results</w:t>
      </w:r>
    </w:p>
    <w:p w14:paraId="5FCFAA6D" w14:textId="1DF6069A" w:rsidR="00A1736D" w:rsidRDefault="0086346A" w:rsidP="00BA1211">
      <w:pPr>
        <w:tabs>
          <w:tab w:val="left" w:pos="5542"/>
        </w:tabs>
        <w:autoSpaceDE w:val="0"/>
        <w:autoSpaceDN w:val="0"/>
        <w:adjustRightInd w:val="0"/>
        <w:spacing w:line="360" w:lineRule="auto"/>
        <w:jc w:val="both"/>
        <w:rPr>
          <w:rFonts w:asciiTheme="minorHAnsi" w:hAnsiTheme="minorHAnsi" w:cstheme="minorHAnsi"/>
          <w:b/>
          <w:bCs/>
          <w:color w:val="000000" w:themeColor="text1"/>
          <w:sz w:val="22"/>
          <w:szCs w:val="22"/>
        </w:rPr>
      </w:pPr>
      <w:r>
        <w:rPr>
          <w:rFonts w:asciiTheme="minorHAnsi" w:hAnsiTheme="minorHAnsi" w:cstheme="minorHAnsi"/>
          <w:bCs/>
          <w:color w:val="000000" w:themeColor="text1"/>
          <w:sz w:val="22"/>
          <w:szCs w:val="22"/>
          <w:lang w:val="en-US"/>
        </w:rPr>
        <w:t>A total of 8</w:t>
      </w:r>
      <w:r w:rsidR="0028658D" w:rsidRPr="00892385">
        <w:rPr>
          <w:rFonts w:asciiTheme="minorHAnsi" w:hAnsiTheme="minorHAnsi" w:cstheme="minorHAnsi"/>
          <w:bCs/>
          <w:color w:val="000000" w:themeColor="text1"/>
          <w:sz w:val="22"/>
          <w:szCs w:val="22"/>
          <w:lang w:val="en-US"/>
        </w:rPr>
        <w:t xml:space="preserve"> papers were used within the </w:t>
      </w:r>
      <w:r w:rsidR="00974B07" w:rsidRPr="00892385">
        <w:rPr>
          <w:rFonts w:asciiTheme="minorHAnsi" w:hAnsiTheme="minorHAnsi" w:cstheme="minorHAnsi"/>
          <w:bCs/>
          <w:color w:val="000000" w:themeColor="text1"/>
          <w:sz w:val="22"/>
          <w:szCs w:val="22"/>
          <w:lang w:val="en-US"/>
        </w:rPr>
        <w:t>systematic</w:t>
      </w:r>
      <w:r w:rsidR="0028658D" w:rsidRPr="00892385">
        <w:rPr>
          <w:rFonts w:asciiTheme="minorHAnsi" w:hAnsiTheme="minorHAnsi" w:cstheme="minorHAnsi"/>
          <w:bCs/>
          <w:color w:val="000000" w:themeColor="text1"/>
          <w:sz w:val="22"/>
          <w:szCs w:val="22"/>
          <w:lang w:val="en-US"/>
        </w:rPr>
        <w:t xml:space="preserve"> review; their key </w:t>
      </w:r>
      <w:r w:rsidR="0001502A" w:rsidRPr="00892385">
        <w:rPr>
          <w:rFonts w:asciiTheme="minorHAnsi" w:hAnsiTheme="minorHAnsi" w:cstheme="minorHAnsi"/>
          <w:bCs/>
          <w:color w:val="000000" w:themeColor="text1"/>
          <w:sz w:val="22"/>
          <w:szCs w:val="22"/>
          <w:lang w:val="en-US"/>
        </w:rPr>
        <w:t>characteristics</w:t>
      </w:r>
      <w:r w:rsidR="0028658D" w:rsidRPr="00892385">
        <w:rPr>
          <w:rFonts w:asciiTheme="minorHAnsi" w:hAnsiTheme="minorHAnsi" w:cstheme="minorHAnsi"/>
          <w:bCs/>
          <w:color w:val="000000" w:themeColor="text1"/>
          <w:sz w:val="22"/>
          <w:szCs w:val="22"/>
          <w:lang w:val="en-US"/>
        </w:rPr>
        <w:t xml:space="preserve"> are</w:t>
      </w:r>
      <w:r w:rsidR="0028658D" w:rsidRPr="00056FAE">
        <w:rPr>
          <w:rFonts w:asciiTheme="minorHAnsi" w:hAnsiTheme="minorHAnsi" w:cstheme="minorHAnsi"/>
          <w:bCs/>
          <w:color w:val="000000" w:themeColor="text1"/>
          <w:sz w:val="22"/>
          <w:szCs w:val="22"/>
        </w:rPr>
        <w:t xml:space="preserve"> summarised</w:t>
      </w:r>
      <w:r w:rsidR="00A81D2A" w:rsidRPr="00892385">
        <w:rPr>
          <w:rFonts w:asciiTheme="minorHAnsi" w:hAnsiTheme="minorHAnsi" w:cstheme="minorHAnsi"/>
          <w:bCs/>
          <w:color w:val="000000" w:themeColor="text1"/>
          <w:sz w:val="22"/>
          <w:szCs w:val="22"/>
          <w:lang w:val="en-US"/>
        </w:rPr>
        <w:t xml:space="preserve"> in Table </w:t>
      </w:r>
      <w:r w:rsidR="00886D93">
        <w:rPr>
          <w:rFonts w:asciiTheme="minorHAnsi" w:hAnsiTheme="minorHAnsi" w:cstheme="minorHAnsi"/>
          <w:bCs/>
          <w:color w:val="000000" w:themeColor="text1"/>
          <w:sz w:val="22"/>
          <w:szCs w:val="22"/>
          <w:lang w:val="en-US"/>
        </w:rPr>
        <w:t>3</w:t>
      </w:r>
      <w:r w:rsidR="0028658D" w:rsidRPr="00892385">
        <w:rPr>
          <w:rFonts w:asciiTheme="minorHAnsi" w:hAnsiTheme="minorHAnsi" w:cstheme="minorHAnsi"/>
          <w:bCs/>
          <w:color w:val="000000" w:themeColor="text1"/>
          <w:sz w:val="22"/>
          <w:szCs w:val="22"/>
          <w:lang w:val="en-US"/>
        </w:rPr>
        <w:t>.</w:t>
      </w:r>
      <w:r w:rsidR="00B9028F">
        <w:rPr>
          <w:rFonts w:asciiTheme="minorHAnsi" w:hAnsiTheme="minorHAnsi" w:cstheme="minorHAnsi"/>
          <w:bCs/>
          <w:color w:val="000000" w:themeColor="text1"/>
          <w:sz w:val="22"/>
          <w:szCs w:val="22"/>
          <w:lang w:val="en-US"/>
        </w:rPr>
        <w:t xml:space="preserve"> There was considerable variability in the reported papers in terms of reported outcome measures, </w:t>
      </w:r>
      <w:proofErr w:type="spellStart"/>
      <w:r w:rsidR="00B9028F">
        <w:rPr>
          <w:rFonts w:asciiTheme="minorHAnsi" w:hAnsiTheme="minorHAnsi" w:cstheme="minorHAnsi"/>
          <w:bCs/>
          <w:color w:val="000000" w:themeColor="text1"/>
          <w:sz w:val="22"/>
          <w:szCs w:val="22"/>
          <w:lang w:val="en-US"/>
        </w:rPr>
        <w:t>tumour</w:t>
      </w:r>
      <w:proofErr w:type="spellEnd"/>
      <w:r w:rsidR="00B9028F">
        <w:rPr>
          <w:rFonts w:asciiTheme="minorHAnsi" w:hAnsiTheme="minorHAnsi" w:cstheme="minorHAnsi"/>
          <w:bCs/>
          <w:color w:val="000000" w:themeColor="text1"/>
          <w:sz w:val="22"/>
          <w:szCs w:val="22"/>
          <w:lang w:val="en-US"/>
        </w:rPr>
        <w:t xml:space="preserve"> laterality and modalities compared. All the papers reported similar outcomes in terms of PTV coverage but considerabl</w:t>
      </w:r>
      <w:r w:rsidR="00056FAE">
        <w:rPr>
          <w:rFonts w:asciiTheme="minorHAnsi" w:hAnsiTheme="minorHAnsi" w:cstheme="minorHAnsi"/>
          <w:bCs/>
          <w:color w:val="000000" w:themeColor="text1"/>
          <w:sz w:val="22"/>
          <w:szCs w:val="22"/>
          <w:lang w:val="en-US"/>
        </w:rPr>
        <w:t>e</w:t>
      </w:r>
      <w:r w:rsidR="00B9028F">
        <w:rPr>
          <w:rFonts w:asciiTheme="minorHAnsi" w:hAnsiTheme="minorHAnsi" w:cstheme="minorHAnsi"/>
          <w:bCs/>
          <w:color w:val="000000" w:themeColor="text1"/>
          <w:sz w:val="22"/>
          <w:szCs w:val="22"/>
          <w:lang w:val="en-US"/>
        </w:rPr>
        <w:t xml:space="preserve"> variation in OAR doses; these are summarized in Table 4 and form the basis for later discussion. </w:t>
      </w:r>
      <w:r w:rsidR="00E43280">
        <w:rPr>
          <w:rFonts w:asciiTheme="minorHAnsi" w:hAnsiTheme="minorHAnsi" w:cstheme="minorHAnsi"/>
          <w:bCs/>
          <w:color w:val="000000" w:themeColor="text1"/>
          <w:sz w:val="22"/>
          <w:szCs w:val="22"/>
          <w:lang w:val="en-US"/>
        </w:rPr>
        <w:t>Comparative doses stated in Table 4 show the difference in dose between two modalities</w:t>
      </w:r>
      <w:r w:rsidR="00BD1929">
        <w:rPr>
          <w:rFonts w:asciiTheme="minorHAnsi" w:hAnsiTheme="minorHAnsi" w:cstheme="minorHAnsi"/>
          <w:bCs/>
          <w:color w:val="000000" w:themeColor="text1"/>
          <w:sz w:val="22"/>
          <w:szCs w:val="22"/>
          <w:lang w:val="en-US"/>
        </w:rPr>
        <w:t xml:space="preserve"> (for example “VMAT-FIF” columns show the dose arising from a FIF plan subtracted from that for a VMAT plan)</w:t>
      </w:r>
      <w:r w:rsidR="00E43280">
        <w:rPr>
          <w:rFonts w:asciiTheme="minorHAnsi" w:hAnsiTheme="minorHAnsi" w:cstheme="minorHAnsi"/>
          <w:bCs/>
          <w:color w:val="000000" w:themeColor="text1"/>
          <w:sz w:val="22"/>
          <w:szCs w:val="22"/>
          <w:lang w:val="en-US"/>
        </w:rPr>
        <w:t>.</w:t>
      </w:r>
      <w:r w:rsidR="00A1736D">
        <w:rPr>
          <w:rFonts w:asciiTheme="minorHAnsi" w:hAnsiTheme="minorHAnsi" w:cstheme="minorHAnsi"/>
          <w:b/>
          <w:bCs/>
          <w:color w:val="000000" w:themeColor="text1"/>
          <w:sz w:val="22"/>
          <w:szCs w:val="22"/>
        </w:rPr>
        <w:br w:type="page"/>
      </w:r>
    </w:p>
    <w:p w14:paraId="71F8E734" w14:textId="01B6E083" w:rsidR="00A81D2A" w:rsidRPr="00886D93" w:rsidRDefault="00A81D2A" w:rsidP="00A81D2A">
      <w:pPr>
        <w:spacing w:line="360" w:lineRule="auto"/>
        <w:rPr>
          <w:rFonts w:asciiTheme="minorHAnsi" w:hAnsiTheme="minorHAnsi" w:cstheme="minorHAnsi"/>
          <w:b/>
          <w:bCs/>
          <w:color w:val="000000" w:themeColor="text1"/>
          <w:sz w:val="22"/>
          <w:szCs w:val="22"/>
        </w:rPr>
      </w:pPr>
      <w:r w:rsidRPr="00886D93">
        <w:rPr>
          <w:rFonts w:asciiTheme="minorHAnsi" w:hAnsiTheme="minorHAnsi" w:cstheme="minorHAnsi"/>
          <w:b/>
          <w:bCs/>
          <w:color w:val="000000" w:themeColor="text1"/>
          <w:sz w:val="22"/>
          <w:szCs w:val="22"/>
        </w:rPr>
        <w:lastRenderedPageBreak/>
        <w:t>Table</w:t>
      </w:r>
      <w:r w:rsidR="00886D93" w:rsidRPr="00886D93">
        <w:rPr>
          <w:rFonts w:asciiTheme="minorHAnsi" w:hAnsiTheme="minorHAnsi" w:cstheme="minorHAnsi"/>
          <w:b/>
          <w:bCs/>
          <w:color w:val="000000" w:themeColor="text1"/>
          <w:sz w:val="22"/>
          <w:szCs w:val="22"/>
        </w:rPr>
        <w:t xml:space="preserve"> 3</w:t>
      </w:r>
      <w:r w:rsidRPr="00886D93">
        <w:rPr>
          <w:rFonts w:asciiTheme="minorHAnsi" w:hAnsiTheme="minorHAnsi" w:cstheme="minorHAnsi"/>
          <w:b/>
          <w:bCs/>
          <w:color w:val="000000" w:themeColor="text1"/>
          <w:sz w:val="22"/>
          <w:szCs w:val="22"/>
        </w:rPr>
        <w:t>: Summary of included papers</w:t>
      </w:r>
    </w:p>
    <w:p w14:paraId="153D4183" w14:textId="77777777" w:rsidR="00A81D2A" w:rsidRPr="00892385" w:rsidRDefault="00A81D2A" w:rsidP="00A81D2A">
      <w:pPr>
        <w:spacing w:line="360" w:lineRule="auto"/>
        <w:rPr>
          <w:rFonts w:asciiTheme="minorHAnsi" w:hAnsiTheme="minorHAnsi" w:cstheme="minorHAnsi"/>
          <w:bCs/>
          <w:color w:val="000000" w:themeColor="text1"/>
          <w:sz w:val="22"/>
          <w:szCs w:val="22"/>
        </w:rPr>
      </w:pPr>
    </w:p>
    <w:tbl>
      <w:tblPr>
        <w:tblStyle w:val="TableGrid"/>
        <w:tblW w:w="0" w:type="auto"/>
        <w:tblLook w:val="04A0" w:firstRow="1" w:lastRow="0" w:firstColumn="1" w:lastColumn="0" w:noHBand="0" w:noVBand="1"/>
      </w:tblPr>
      <w:tblGrid>
        <w:gridCol w:w="2405"/>
        <w:gridCol w:w="3544"/>
        <w:gridCol w:w="2835"/>
      </w:tblGrid>
      <w:tr w:rsidR="00A1736D" w:rsidRPr="00892385" w14:paraId="15284BCD" w14:textId="77777777" w:rsidTr="003E15B6">
        <w:tc>
          <w:tcPr>
            <w:tcW w:w="2405" w:type="dxa"/>
          </w:tcPr>
          <w:p w14:paraId="74CA9EDD" w14:textId="01403059" w:rsidR="00A1736D" w:rsidRPr="00892385" w:rsidRDefault="003E1379" w:rsidP="00E85829">
            <w:pPr>
              <w:spacing w:line="360" w:lineRule="auto"/>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Paper</w:t>
            </w:r>
          </w:p>
        </w:tc>
        <w:tc>
          <w:tcPr>
            <w:tcW w:w="3544" w:type="dxa"/>
          </w:tcPr>
          <w:p w14:paraId="1C3D708F" w14:textId="532ACB67" w:rsidR="00A1736D" w:rsidRPr="00892385" w:rsidRDefault="00A1736D" w:rsidP="00E85829">
            <w:pPr>
              <w:spacing w:line="360" w:lineRule="auto"/>
              <w:jc w:val="center"/>
              <w:rPr>
                <w:rFonts w:asciiTheme="minorHAnsi" w:hAnsiTheme="minorHAnsi" w:cstheme="minorHAnsi"/>
                <w:b/>
                <w:bCs/>
                <w:color w:val="000000" w:themeColor="text1"/>
                <w:sz w:val="22"/>
                <w:szCs w:val="22"/>
              </w:rPr>
            </w:pPr>
            <w:r w:rsidRPr="00892385">
              <w:rPr>
                <w:rFonts w:asciiTheme="minorHAnsi" w:hAnsiTheme="minorHAnsi" w:cstheme="minorHAnsi"/>
                <w:b/>
                <w:bCs/>
                <w:color w:val="000000" w:themeColor="text1"/>
                <w:sz w:val="22"/>
                <w:szCs w:val="22"/>
              </w:rPr>
              <w:t>Design</w:t>
            </w:r>
          </w:p>
        </w:tc>
        <w:tc>
          <w:tcPr>
            <w:tcW w:w="2835" w:type="dxa"/>
          </w:tcPr>
          <w:p w14:paraId="7C13E38E" w14:textId="075C81AC" w:rsidR="00A1736D" w:rsidRPr="00892385" w:rsidRDefault="00A1736D" w:rsidP="00E85829">
            <w:pPr>
              <w:spacing w:line="360" w:lineRule="auto"/>
              <w:jc w:val="center"/>
              <w:rPr>
                <w:rFonts w:asciiTheme="minorHAnsi" w:hAnsiTheme="minorHAnsi" w:cstheme="minorHAnsi"/>
                <w:b/>
                <w:bCs/>
                <w:color w:val="000000" w:themeColor="text1"/>
                <w:sz w:val="22"/>
                <w:szCs w:val="22"/>
              </w:rPr>
            </w:pPr>
            <w:r w:rsidRPr="00892385">
              <w:rPr>
                <w:rFonts w:asciiTheme="minorHAnsi" w:hAnsiTheme="minorHAnsi" w:cstheme="minorHAnsi"/>
                <w:b/>
                <w:bCs/>
                <w:color w:val="000000" w:themeColor="text1"/>
                <w:sz w:val="22"/>
                <w:szCs w:val="22"/>
              </w:rPr>
              <w:t>Cohort</w:t>
            </w:r>
          </w:p>
        </w:tc>
      </w:tr>
      <w:tr w:rsidR="00A1736D" w:rsidRPr="00892385" w14:paraId="1064F827" w14:textId="77777777" w:rsidTr="003E15B6">
        <w:tc>
          <w:tcPr>
            <w:tcW w:w="2405" w:type="dxa"/>
          </w:tcPr>
          <w:p w14:paraId="0D953B96" w14:textId="0268127F" w:rsidR="00A1736D" w:rsidRPr="003E15B6" w:rsidRDefault="003E1379">
            <w:pPr>
              <w:spacing w:line="360" w:lineRule="auto"/>
              <w:rPr>
                <w:rFonts w:asciiTheme="minorHAnsi" w:hAnsiTheme="minorHAnsi" w:cstheme="minorHAnsi"/>
                <w:bCs/>
                <w:color w:val="000000" w:themeColor="text1"/>
                <w:sz w:val="22"/>
                <w:szCs w:val="22"/>
              </w:rPr>
            </w:pPr>
            <w:proofErr w:type="spellStart"/>
            <w:r>
              <w:rPr>
                <w:rFonts w:asciiTheme="minorHAnsi" w:hAnsiTheme="minorHAnsi" w:cstheme="minorHAnsi"/>
                <w:bCs/>
                <w:color w:val="000000" w:themeColor="text1"/>
                <w:sz w:val="22"/>
                <w:szCs w:val="22"/>
              </w:rPr>
              <w:t>Fogliata</w:t>
            </w:r>
            <w:proofErr w:type="spellEnd"/>
            <w:r w:rsidR="00A1736D" w:rsidRPr="00892385">
              <w:rPr>
                <w:rFonts w:asciiTheme="minorHAnsi" w:hAnsiTheme="minorHAnsi" w:cstheme="minorHAnsi"/>
                <w:bCs/>
                <w:color w:val="000000" w:themeColor="text1"/>
                <w:sz w:val="22"/>
                <w:szCs w:val="22"/>
              </w:rPr>
              <w:t xml:space="preserve"> 2018</w:t>
            </w:r>
            <w:r w:rsidR="00BD1929">
              <w:rPr>
                <w:rFonts w:asciiTheme="minorHAnsi" w:hAnsiTheme="minorHAnsi" w:cstheme="minorHAnsi"/>
                <w:bCs/>
                <w:color w:val="000000" w:themeColor="text1"/>
                <w:sz w:val="22"/>
                <w:szCs w:val="22"/>
                <w:vertAlign w:val="superscript"/>
              </w:rPr>
              <w:t>10</w:t>
            </w:r>
          </w:p>
        </w:tc>
        <w:tc>
          <w:tcPr>
            <w:tcW w:w="3544" w:type="dxa"/>
          </w:tcPr>
          <w:p w14:paraId="311B8F8F" w14:textId="7DAB0355" w:rsidR="00A1736D" w:rsidRPr="00892385" w:rsidRDefault="002024E8">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Single centre prospective planning study comparing</w:t>
            </w:r>
            <w:r w:rsidR="00502178">
              <w:rPr>
                <w:rFonts w:asciiTheme="minorHAnsi" w:hAnsiTheme="minorHAnsi" w:cstheme="minorHAnsi"/>
                <w:bCs/>
                <w:color w:val="000000" w:themeColor="text1"/>
                <w:sz w:val="22"/>
                <w:szCs w:val="22"/>
              </w:rPr>
              <w:t xml:space="preserve"> excess absolute risk </w:t>
            </w:r>
            <w:r w:rsidR="00A1736D" w:rsidRPr="00892385">
              <w:rPr>
                <w:rFonts w:asciiTheme="minorHAnsi" w:hAnsiTheme="minorHAnsi" w:cstheme="minorHAnsi"/>
                <w:bCs/>
                <w:color w:val="000000" w:themeColor="text1"/>
                <w:sz w:val="22"/>
                <w:szCs w:val="22"/>
              </w:rPr>
              <w:t xml:space="preserve">between </w:t>
            </w:r>
            <w:r w:rsidR="00056FAE">
              <w:rPr>
                <w:rFonts w:asciiTheme="minorHAnsi" w:hAnsiTheme="minorHAnsi" w:cstheme="minorHAnsi"/>
                <w:bCs/>
                <w:color w:val="000000" w:themeColor="text1"/>
                <w:sz w:val="22"/>
                <w:szCs w:val="22"/>
              </w:rPr>
              <w:t>“Field-in-field “(FIF)</w:t>
            </w:r>
            <w:r w:rsidR="00A1736D" w:rsidRPr="00892385">
              <w:rPr>
                <w:rFonts w:asciiTheme="minorHAnsi" w:hAnsiTheme="minorHAnsi" w:cstheme="minorHAnsi"/>
                <w:bCs/>
                <w:color w:val="000000" w:themeColor="text1"/>
                <w:sz w:val="22"/>
                <w:szCs w:val="22"/>
              </w:rPr>
              <w:t xml:space="preserve"> and VMAT</w:t>
            </w:r>
          </w:p>
        </w:tc>
        <w:tc>
          <w:tcPr>
            <w:tcW w:w="2835" w:type="dxa"/>
          </w:tcPr>
          <w:p w14:paraId="095F1EEB" w14:textId="24ABDE46" w:rsidR="00A1736D" w:rsidRPr="00892385" w:rsidRDefault="00A1736D" w:rsidP="003E15B6">
            <w:pPr>
              <w:rPr>
                <w:rFonts w:asciiTheme="minorHAnsi" w:hAnsiTheme="minorHAnsi" w:cstheme="minorHAnsi"/>
                <w:bCs/>
                <w:color w:val="000000" w:themeColor="text1"/>
                <w:sz w:val="22"/>
                <w:szCs w:val="22"/>
              </w:rPr>
            </w:pPr>
            <w:r w:rsidRPr="00892385">
              <w:rPr>
                <w:rFonts w:asciiTheme="minorHAnsi" w:hAnsiTheme="minorHAnsi" w:cstheme="minorHAnsi"/>
                <w:bCs/>
                <w:color w:val="000000" w:themeColor="text1"/>
                <w:sz w:val="22"/>
                <w:szCs w:val="22"/>
              </w:rPr>
              <w:t>20</w:t>
            </w:r>
            <w:r w:rsidR="00056FAE">
              <w:rPr>
                <w:rFonts w:asciiTheme="minorHAnsi" w:hAnsiTheme="minorHAnsi" w:cstheme="minorHAnsi"/>
                <w:bCs/>
                <w:color w:val="000000" w:themeColor="text1"/>
                <w:sz w:val="22"/>
                <w:szCs w:val="22"/>
              </w:rPr>
              <w:t xml:space="preserve"> left sided</w:t>
            </w:r>
            <w:r w:rsidRPr="00892385">
              <w:rPr>
                <w:rFonts w:asciiTheme="minorHAnsi" w:hAnsiTheme="minorHAnsi" w:cstheme="minorHAnsi"/>
                <w:bCs/>
                <w:color w:val="000000" w:themeColor="text1"/>
                <w:sz w:val="22"/>
                <w:szCs w:val="22"/>
              </w:rPr>
              <w:t xml:space="preserve"> at </w:t>
            </w:r>
            <w:r w:rsidR="00056FAE">
              <w:rPr>
                <w:rFonts w:asciiTheme="minorHAnsi" w:hAnsiTheme="minorHAnsi" w:cstheme="minorHAnsi"/>
                <w:bCs/>
                <w:color w:val="000000" w:themeColor="text1"/>
                <w:sz w:val="22"/>
                <w:szCs w:val="22"/>
              </w:rPr>
              <w:t>deep inspiration breath-hold (</w:t>
            </w:r>
            <w:r w:rsidRPr="00892385">
              <w:rPr>
                <w:rFonts w:asciiTheme="minorHAnsi" w:hAnsiTheme="minorHAnsi" w:cstheme="minorHAnsi"/>
                <w:bCs/>
                <w:color w:val="000000" w:themeColor="text1"/>
                <w:sz w:val="22"/>
                <w:szCs w:val="22"/>
              </w:rPr>
              <w:t>DIBH</w:t>
            </w:r>
            <w:r w:rsidR="00056FAE">
              <w:rPr>
                <w:rFonts w:asciiTheme="minorHAnsi" w:hAnsiTheme="minorHAnsi" w:cstheme="minorHAnsi"/>
                <w:bCs/>
                <w:color w:val="000000" w:themeColor="text1"/>
                <w:sz w:val="22"/>
                <w:szCs w:val="22"/>
              </w:rPr>
              <w:t>)</w:t>
            </w:r>
          </w:p>
        </w:tc>
      </w:tr>
      <w:tr w:rsidR="00A1736D" w:rsidRPr="00892385" w14:paraId="30866DC8" w14:textId="77777777" w:rsidTr="003E15B6">
        <w:tc>
          <w:tcPr>
            <w:tcW w:w="2405" w:type="dxa"/>
          </w:tcPr>
          <w:p w14:paraId="5D9241C5" w14:textId="707AE9C9" w:rsidR="00A1736D" w:rsidRPr="003E1379" w:rsidRDefault="003E15B6">
            <w:pPr>
              <w:spacing w:line="360" w:lineRule="auto"/>
              <w:rPr>
                <w:rFonts w:asciiTheme="minorHAnsi" w:hAnsiTheme="minorHAnsi" w:cstheme="minorHAnsi"/>
                <w:bCs/>
                <w:color w:val="000000" w:themeColor="text1"/>
                <w:sz w:val="22"/>
                <w:szCs w:val="22"/>
                <w:vertAlign w:val="superscript"/>
              </w:rPr>
            </w:pPr>
            <w:r>
              <w:rPr>
                <w:rFonts w:asciiTheme="minorHAnsi" w:hAnsiTheme="minorHAnsi" w:cstheme="minorHAnsi"/>
                <w:bCs/>
                <w:color w:val="000000" w:themeColor="text1"/>
                <w:sz w:val="22"/>
                <w:szCs w:val="22"/>
              </w:rPr>
              <w:t>Xu et al 2016</w:t>
            </w:r>
            <w:r w:rsidR="00BD1929">
              <w:rPr>
                <w:rFonts w:asciiTheme="minorHAnsi" w:hAnsiTheme="minorHAnsi" w:cstheme="minorHAnsi"/>
                <w:bCs/>
                <w:color w:val="000000" w:themeColor="text1"/>
                <w:sz w:val="22"/>
                <w:szCs w:val="22"/>
                <w:vertAlign w:val="superscript"/>
              </w:rPr>
              <w:t>11</w:t>
            </w:r>
          </w:p>
        </w:tc>
        <w:tc>
          <w:tcPr>
            <w:tcW w:w="3544" w:type="dxa"/>
          </w:tcPr>
          <w:p w14:paraId="4EF21B80" w14:textId="54F5EEDF" w:rsidR="00A1736D" w:rsidRPr="00892385" w:rsidRDefault="002024E8">
            <w:pPr>
              <w:rPr>
                <w:rFonts w:asciiTheme="minorHAnsi" w:hAnsiTheme="minorHAnsi" w:cstheme="minorHAnsi"/>
                <w:bCs/>
                <w:color w:val="000000" w:themeColor="text1"/>
                <w:sz w:val="22"/>
                <w:szCs w:val="22"/>
              </w:rPr>
            </w:pPr>
            <w:r w:rsidRPr="002024E8">
              <w:rPr>
                <w:rFonts w:asciiTheme="minorHAnsi" w:hAnsiTheme="minorHAnsi" w:cstheme="minorHAnsi"/>
                <w:bCs/>
                <w:color w:val="000000" w:themeColor="text1"/>
                <w:sz w:val="22"/>
                <w:szCs w:val="22"/>
              </w:rPr>
              <w:t xml:space="preserve">Single centre prospective planning study comparing </w:t>
            </w:r>
            <w:r>
              <w:rPr>
                <w:rFonts w:asciiTheme="minorHAnsi" w:hAnsiTheme="minorHAnsi" w:cstheme="minorHAnsi"/>
                <w:bCs/>
                <w:color w:val="000000" w:themeColor="text1"/>
                <w:sz w:val="22"/>
                <w:szCs w:val="22"/>
              </w:rPr>
              <w:t>d</w:t>
            </w:r>
            <w:r w:rsidR="00502178">
              <w:rPr>
                <w:rFonts w:asciiTheme="minorHAnsi" w:hAnsiTheme="minorHAnsi" w:cstheme="minorHAnsi"/>
                <w:bCs/>
                <w:color w:val="000000" w:themeColor="text1"/>
                <w:sz w:val="22"/>
                <w:szCs w:val="22"/>
              </w:rPr>
              <w:t>osimetr</w:t>
            </w:r>
            <w:r>
              <w:rPr>
                <w:rFonts w:asciiTheme="minorHAnsi" w:hAnsiTheme="minorHAnsi" w:cstheme="minorHAnsi"/>
                <w:bCs/>
                <w:color w:val="000000" w:themeColor="text1"/>
                <w:sz w:val="22"/>
                <w:szCs w:val="22"/>
              </w:rPr>
              <w:t>y</w:t>
            </w:r>
            <w:r w:rsidR="00502178">
              <w:rPr>
                <w:rFonts w:asciiTheme="minorHAnsi" w:hAnsiTheme="minorHAnsi" w:cstheme="minorHAnsi"/>
                <w:bCs/>
                <w:color w:val="000000" w:themeColor="text1"/>
                <w:sz w:val="22"/>
                <w:szCs w:val="22"/>
              </w:rPr>
              <w:t xml:space="preserve"> of FI</w:t>
            </w:r>
            <w:r w:rsidR="00A1736D" w:rsidRPr="00892385">
              <w:rPr>
                <w:rFonts w:asciiTheme="minorHAnsi" w:hAnsiTheme="minorHAnsi" w:cstheme="minorHAnsi"/>
                <w:bCs/>
                <w:color w:val="000000" w:themeColor="text1"/>
                <w:sz w:val="22"/>
                <w:szCs w:val="22"/>
              </w:rPr>
              <w:t>F and VMAT</w:t>
            </w:r>
            <w:r>
              <w:rPr>
                <w:rFonts w:asciiTheme="minorHAnsi" w:hAnsiTheme="minorHAnsi" w:cstheme="minorHAnsi"/>
                <w:bCs/>
                <w:color w:val="000000" w:themeColor="text1"/>
                <w:sz w:val="22"/>
                <w:szCs w:val="22"/>
              </w:rPr>
              <w:t xml:space="preserve"> plans</w:t>
            </w:r>
          </w:p>
        </w:tc>
        <w:tc>
          <w:tcPr>
            <w:tcW w:w="2835" w:type="dxa"/>
          </w:tcPr>
          <w:p w14:paraId="3915DDC9" w14:textId="79D9C69C" w:rsidR="00A1736D" w:rsidRPr="00892385" w:rsidRDefault="00A1736D" w:rsidP="003E15B6">
            <w:pPr>
              <w:rPr>
                <w:rFonts w:asciiTheme="minorHAnsi" w:hAnsiTheme="minorHAnsi" w:cstheme="minorHAnsi"/>
                <w:bCs/>
                <w:color w:val="000000" w:themeColor="text1"/>
                <w:sz w:val="22"/>
                <w:szCs w:val="22"/>
              </w:rPr>
            </w:pPr>
            <w:r w:rsidRPr="00892385">
              <w:rPr>
                <w:rFonts w:asciiTheme="minorHAnsi" w:hAnsiTheme="minorHAnsi" w:cstheme="minorHAnsi"/>
                <w:bCs/>
                <w:color w:val="000000" w:themeColor="text1"/>
                <w:sz w:val="22"/>
                <w:szCs w:val="22"/>
              </w:rPr>
              <w:t>22</w:t>
            </w:r>
            <w:r w:rsidR="00056FAE">
              <w:rPr>
                <w:rFonts w:asciiTheme="minorHAnsi" w:hAnsiTheme="minorHAnsi" w:cstheme="minorHAnsi"/>
                <w:bCs/>
                <w:color w:val="000000" w:themeColor="text1"/>
                <w:sz w:val="22"/>
                <w:szCs w:val="22"/>
              </w:rPr>
              <w:t xml:space="preserve"> left sided</w:t>
            </w:r>
            <w:r w:rsidRPr="00892385">
              <w:rPr>
                <w:rFonts w:asciiTheme="minorHAnsi" w:hAnsiTheme="minorHAnsi" w:cstheme="minorHAnsi"/>
                <w:bCs/>
                <w:color w:val="000000" w:themeColor="text1"/>
                <w:sz w:val="22"/>
                <w:szCs w:val="22"/>
              </w:rPr>
              <w:t xml:space="preserve"> chest wall node positive</w:t>
            </w:r>
          </w:p>
        </w:tc>
      </w:tr>
      <w:tr w:rsidR="00A1736D" w:rsidRPr="00892385" w14:paraId="40059841" w14:textId="77777777" w:rsidTr="003E15B6">
        <w:tc>
          <w:tcPr>
            <w:tcW w:w="2405" w:type="dxa"/>
          </w:tcPr>
          <w:p w14:paraId="3573074F" w14:textId="32A55A90" w:rsidR="00A1736D" w:rsidRPr="003E1379" w:rsidRDefault="00A1736D">
            <w:pPr>
              <w:spacing w:line="360" w:lineRule="auto"/>
              <w:rPr>
                <w:rFonts w:asciiTheme="minorHAnsi" w:hAnsiTheme="minorHAnsi" w:cstheme="minorHAnsi"/>
                <w:bCs/>
                <w:color w:val="000000" w:themeColor="text1"/>
                <w:sz w:val="22"/>
                <w:szCs w:val="22"/>
                <w:vertAlign w:val="superscript"/>
              </w:rPr>
            </w:pPr>
            <w:proofErr w:type="spellStart"/>
            <w:r w:rsidRPr="00892385">
              <w:rPr>
                <w:rFonts w:asciiTheme="minorHAnsi" w:hAnsiTheme="minorHAnsi" w:cstheme="minorHAnsi"/>
                <w:bCs/>
                <w:color w:val="000000" w:themeColor="text1"/>
                <w:sz w:val="22"/>
                <w:szCs w:val="22"/>
              </w:rPr>
              <w:t>P</w:t>
            </w:r>
            <w:r w:rsidR="003E1379">
              <w:rPr>
                <w:rFonts w:asciiTheme="minorHAnsi" w:hAnsiTheme="minorHAnsi" w:cstheme="minorHAnsi"/>
                <w:bCs/>
                <w:color w:val="000000" w:themeColor="text1"/>
                <w:sz w:val="22"/>
                <w:szCs w:val="22"/>
              </w:rPr>
              <w:t>asler</w:t>
            </w:r>
            <w:proofErr w:type="spellEnd"/>
            <w:r w:rsidR="003E1379">
              <w:rPr>
                <w:rFonts w:asciiTheme="minorHAnsi" w:hAnsiTheme="minorHAnsi" w:cstheme="minorHAnsi"/>
                <w:bCs/>
                <w:color w:val="000000" w:themeColor="text1"/>
                <w:sz w:val="22"/>
                <w:szCs w:val="22"/>
              </w:rPr>
              <w:t xml:space="preserve"> </w:t>
            </w:r>
            <w:r w:rsidR="003E15B6">
              <w:rPr>
                <w:rFonts w:asciiTheme="minorHAnsi" w:hAnsiTheme="minorHAnsi" w:cstheme="minorHAnsi"/>
                <w:bCs/>
                <w:color w:val="000000" w:themeColor="text1"/>
                <w:sz w:val="22"/>
                <w:szCs w:val="22"/>
              </w:rPr>
              <w:t>2013</w:t>
            </w:r>
            <w:r w:rsidR="00BD1929">
              <w:rPr>
                <w:rFonts w:asciiTheme="minorHAnsi" w:hAnsiTheme="minorHAnsi" w:cstheme="minorHAnsi"/>
                <w:bCs/>
                <w:color w:val="000000" w:themeColor="text1"/>
                <w:sz w:val="22"/>
                <w:szCs w:val="22"/>
                <w:vertAlign w:val="superscript"/>
              </w:rPr>
              <w:t>12</w:t>
            </w:r>
          </w:p>
        </w:tc>
        <w:tc>
          <w:tcPr>
            <w:tcW w:w="3544" w:type="dxa"/>
          </w:tcPr>
          <w:p w14:paraId="18EC2D4E" w14:textId="0C9024F3" w:rsidR="00A1736D" w:rsidRPr="00892385" w:rsidRDefault="0032239E" w:rsidP="003E15B6">
            <w:pPr>
              <w:rPr>
                <w:rFonts w:asciiTheme="minorHAnsi" w:hAnsiTheme="minorHAnsi" w:cstheme="minorHAnsi"/>
                <w:bCs/>
                <w:color w:val="000000" w:themeColor="text1"/>
                <w:sz w:val="22"/>
                <w:szCs w:val="22"/>
              </w:rPr>
            </w:pPr>
            <w:r w:rsidRPr="0032239E">
              <w:rPr>
                <w:rFonts w:asciiTheme="minorHAnsi" w:hAnsiTheme="minorHAnsi" w:cstheme="minorHAnsi"/>
                <w:bCs/>
                <w:color w:val="000000" w:themeColor="text1"/>
                <w:sz w:val="22"/>
                <w:szCs w:val="22"/>
              </w:rPr>
              <w:t xml:space="preserve">Single centre prospective planning study comparing dosimetry of </w:t>
            </w:r>
            <w:r w:rsidR="00A1736D" w:rsidRPr="00892385">
              <w:rPr>
                <w:rFonts w:asciiTheme="minorHAnsi" w:hAnsiTheme="minorHAnsi" w:cstheme="minorHAnsi"/>
                <w:bCs/>
                <w:color w:val="000000" w:themeColor="text1"/>
                <w:sz w:val="22"/>
                <w:szCs w:val="22"/>
              </w:rPr>
              <w:t>VMAT with IMRT</w:t>
            </w:r>
          </w:p>
        </w:tc>
        <w:tc>
          <w:tcPr>
            <w:tcW w:w="2835" w:type="dxa"/>
          </w:tcPr>
          <w:p w14:paraId="3792C761" w14:textId="1CF609E4" w:rsidR="00A1736D" w:rsidRPr="00892385" w:rsidRDefault="00A1736D" w:rsidP="003E15B6">
            <w:pPr>
              <w:rPr>
                <w:rFonts w:asciiTheme="minorHAnsi" w:hAnsiTheme="minorHAnsi" w:cstheme="minorHAnsi"/>
                <w:bCs/>
                <w:color w:val="000000" w:themeColor="text1"/>
                <w:sz w:val="22"/>
                <w:szCs w:val="22"/>
              </w:rPr>
            </w:pPr>
            <w:r w:rsidRPr="00892385">
              <w:rPr>
                <w:rFonts w:asciiTheme="minorHAnsi" w:hAnsiTheme="minorHAnsi" w:cstheme="minorHAnsi"/>
                <w:bCs/>
                <w:color w:val="000000" w:themeColor="text1"/>
                <w:sz w:val="22"/>
                <w:szCs w:val="22"/>
              </w:rPr>
              <w:t>10 large breast volumes</w:t>
            </w:r>
          </w:p>
        </w:tc>
      </w:tr>
      <w:tr w:rsidR="008F6338" w:rsidRPr="00892385" w14:paraId="338BDADE" w14:textId="77777777" w:rsidTr="003E15B6">
        <w:tc>
          <w:tcPr>
            <w:tcW w:w="2405" w:type="dxa"/>
          </w:tcPr>
          <w:p w14:paraId="6EAFCEC7" w14:textId="10E64191" w:rsidR="008F6338" w:rsidRPr="00892385" w:rsidRDefault="003E15B6">
            <w:pPr>
              <w:spacing w:line="360" w:lineRule="auto"/>
              <w:rPr>
                <w:rFonts w:asciiTheme="minorHAnsi" w:hAnsiTheme="minorHAnsi" w:cstheme="minorHAnsi"/>
                <w:bCs/>
                <w:color w:val="000000" w:themeColor="text1"/>
                <w:sz w:val="22"/>
                <w:szCs w:val="22"/>
              </w:rPr>
            </w:pPr>
            <w:proofErr w:type="spellStart"/>
            <w:r>
              <w:rPr>
                <w:rFonts w:asciiTheme="minorHAnsi" w:hAnsiTheme="minorHAnsi" w:cstheme="minorHAnsi"/>
                <w:bCs/>
                <w:color w:val="000000" w:themeColor="text1"/>
                <w:sz w:val="22"/>
                <w:szCs w:val="22"/>
              </w:rPr>
              <w:t>Jin</w:t>
            </w:r>
            <w:proofErr w:type="spellEnd"/>
            <w:r>
              <w:rPr>
                <w:rFonts w:asciiTheme="minorHAnsi" w:hAnsiTheme="minorHAnsi" w:cstheme="minorHAnsi"/>
                <w:bCs/>
                <w:color w:val="000000" w:themeColor="text1"/>
                <w:sz w:val="22"/>
                <w:szCs w:val="22"/>
              </w:rPr>
              <w:t xml:space="preserve"> 2013</w:t>
            </w:r>
            <w:r w:rsidR="00BD1929">
              <w:rPr>
                <w:rFonts w:asciiTheme="minorHAnsi" w:hAnsiTheme="minorHAnsi" w:cstheme="minorHAnsi"/>
                <w:bCs/>
                <w:color w:val="000000" w:themeColor="text1"/>
                <w:sz w:val="22"/>
                <w:szCs w:val="22"/>
                <w:vertAlign w:val="superscript"/>
              </w:rPr>
              <w:t>13</w:t>
            </w:r>
          </w:p>
        </w:tc>
        <w:tc>
          <w:tcPr>
            <w:tcW w:w="3544" w:type="dxa"/>
          </w:tcPr>
          <w:p w14:paraId="699CABA4" w14:textId="55556157" w:rsidR="008F6338" w:rsidRPr="00892385" w:rsidRDefault="0032239E" w:rsidP="003E15B6">
            <w:pPr>
              <w:rPr>
                <w:rFonts w:asciiTheme="minorHAnsi" w:hAnsiTheme="minorHAnsi" w:cstheme="minorHAnsi"/>
                <w:bCs/>
                <w:color w:val="000000" w:themeColor="text1"/>
                <w:sz w:val="22"/>
                <w:szCs w:val="22"/>
              </w:rPr>
            </w:pPr>
            <w:r w:rsidRPr="0032239E">
              <w:rPr>
                <w:rFonts w:asciiTheme="minorHAnsi" w:hAnsiTheme="minorHAnsi" w:cstheme="minorHAnsi"/>
                <w:bCs/>
                <w:color w:val="000000" w:themeColor="text1"/>
                <w:sz w:val="22"/>
                <w:szCs w:val="22"/>
              </w:rPr>
              <w:t xml:space="preserve">Single centre prospective planning study comparing dosimetry of </w:t>
            </w:r>
            <w:r w:rsidR="008F6338">
              <w:rPr>
                <w:rFonts w:asciiTheme="minorHAnsi" w:hAnsiTheme="minorHAnsi" w:cstheme="minorHAnsi"/>
                <w:bCs/>
                <w:color w:val="000000" w:themeColor="text1"/>
                <w:sz w:val="22"/>
                <w:szCs w:val="22"/>
              </w:rPr>
              <w:t xml:space="preserve">VMAT, Hybrid, </w:t>
            </w:r>
            <w:r w:rsidR="00056FAE">
              <w:rPr>
                <w:rFonts w:asciiTheme="minorHAnsi" w:hAnsiTheme="minorHAnsi" w:cstheme="minorHAnsi"/>
                <w:bCs/>
                <w:color w:val="000000" w:themeColor="text1"/>
                <w:sz w:val="22"/>
                <w:szCs w:val="22"/>
              </w:rPr>
              <w:t>conformal radiotherapy (</w:t>
            </w:r>
            <w:r w:rsidR="008F6338">
              <w:rPr>
                <w:rFonts w:asciiTheme="minorHAnsi" w:hAnsiTheme="minorHAnsi" w:cstheme="minorHAnsi"/>
                <w:bCs/>
                <w:color w:val="000000" w:themeColor="text1"/>
                <w:sz w:val="22"/>
                <w:szCs w:val="22"/>
              </w:rPr>
              <w:t>CRT</w:t>
            </w:r>
            <w:r w:rsidR="00056FAE">
              <w:rPr>
                <w:rFonts w:asciiTheme="minorHAnsi" w:hAnsiTheme="minorHAnsi" w:cstheme="minorHAnsi"/>
                <w:bCs/>
                <w:color w:val="000000" w:themeColor="text1"/>
                <w:sz w:val="22"/>
                <w:szCs w:val="22"/>
              </w:rPr>
              <w:t>)</w:t>
            </w:r>
            <w:r w:rsidR="008F6338">
              <w:rPr>
                <w:rFonts w:asciiTheme="minorHAnsi" w:hAnsiTheme="minorHAnsi" w:cstheme="minorHAnsi"/>
                <w:bCs/>
                <w:color w:val="000000" w:themeColor="text1"/>
                <w:sz w:val="22"/>
                <w:szCs w:val="22"/>
              </w:rPr>
              <w:t xml:space="preserve"> and IMRT</w:t>
            </w:r>
          </w:p>
        </w:tc>
        <w:tc>
          <w:tcPr>
            <w:tcW w:w="2835" w:type="dxa"/>
          </w:tcPr>
          <w:p w14:paraId="3A719C74" w14:textId="47841727" w:rsidR="008F6338" w:rsidRPr="00892385" w:rsidRDefault="008F6338" w:rsidP="003E15B6">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20</w:t>
            </w:r>
            <w:r w:rsidR="00056FAE">
              <w:rPr>
                <w:rFonts w:asciiTheme="minorHAnsi" w:hAnsiTheme="minorHAnsi" w:cstheme="minorHAnsi"/>
                <w:bCs/>
                <w:color w:val="000000" w:themeColor="text1"/>
                <w:sz w:val="22"/>
                <w:szCs w:val="22"/>
              </w:rPr>
              <w:t xml:space="preserve"> left sided</w:t>
            </w:r>
            <w:r>
              <w:rPr>
                <w:rFonts w:asciiTheme="minorHAnsi" w:hAnsiTheme="minorHAnsi" w:cstheme="minorHAnsi"/>
                <w:bCs/>
                <w:color w:val="000000" w:themeColor="text1"/>
                <w:sz w:val="22"/>
                <w:szCs w:val="22"/>
              </w:rPr>
              <w:t xml:space="preserve"> small breast volumes</w:t>
            </w:r>
          </w:p>
        </w:tc>
      </w:tr>
      <w:tr w:rsidR="008F6338" w:rsidRPr="00892385" w14:paraId="7D72C4AE" w14:textId="77777777" w:rsidTr="003E15B6">
        <w:tc>
          <w:tcPr>
            <w:tcW w:w="2405" w:type="dxa"/>
          </w:tcPr>
          <w:p w14:paraId="0789B42C" w14:textId="31791720" w:rsidR="008F6338" w:rsidRPr="003E1379" w:rsidRDefault="008F6338">
            <w:pPr>
              <w:spacing w:line="360" w:lineRule="auto"/>
              <w:rPr>
                <w:rFonts w:asciiTheme="minorHAnsi" w:hAnsiTheme="minorHAnsi" w:cstheme="minorHAnsi"/>
                <w:bCs/>
                <w:color w:val="000000" w:themeColor="text1"/>
                <w:sz w:val="22"/>
                <w:szCs w:val="22"/>
                <w:vertAlign w:val="superscript"/>
              </w:rPr>
            </w:pPr>
            <w:proofErr w:type="spellStart"/>
            <w:r w:rsidRPr="00892385">
              <w:rPr>
                <w:rFonts w:asciiTheme="minorHAnsi" w:hAnsiTheme="minorHAnsi" w:cstheme="minorHAnsi"/>
                <w:bCs/>
                <w:color w:val="000000" w:themeColor="text1"/>
                <w:sz w:val="22"/>
                <w:szCs w:val="22"/>
              </w:rPr>
              <w:t>Corradini</w:t>
            </w:r>
            <w:proofErr w:type="spellEnd"/>
            <w:r>
              <w:rPr>
                <w:rFonts w:asciiTheme="minorHAnsi" w:hAnsiTheme="minorHAnsi" w:cstheme="minorHAnsi"/>
                <w:bCs/>
                <w:color w:val="000000" w:themeColor="text1"/>
                <w:sz w:val="22"/>
                <w:szCs w:val="22"/>
              </w:rPr>
              <w:t xml:space="preserve"> </w:t>
            </w:r>
            <w:r w:rsidR="003E15B6">
              <w:rPr>
                <w:rFonts w:asciiTheme="minorHAnsi" w:hAnsiTheme="minorHAnsi" w:cstheme="minorHAnsi"/>
                <w:bCs/>
                <w:color w:val="000000" w:themeColor="text1"/>
                <w:sz w:val="22"/>
                <w:szCs w:val="22"/>
              </w:rPr>
              <w:t>2017</w:t>
            </w:r>
            <w:r w:rsidR="00BD1929">
              <w:rPr>
                <w:rFonts w:asciiTheme="minorHAnsi" w:hAnsiTheme="minorHAnsi" w:cstheme="minorHAnsi"/>
                <w:bCs/>
                <w:color w:val="000000" w:themeColor="text1"/>
                <w:sz w:val="22"/>
                <w:szCs w:val="22"/>
                <w:vertAlign w:val="superscript"/>
              </w:rPr>
              <w:t>14</w:t>
            </w:r>
          </w:p>
        </w:tc>
        <w:tc>
          <w:tcPr>
            <w:tcW w:w="3544" w:type="dxa"/>
          </w:tcPr>
          <w:p w14:paraId="48D1B9BA" w14:textId="0D78E5F1" w:rsidR="008F6338" w:rsidRPr="00892385" w:rsidRDefault="0032239E" w:rsidP="003E15B6">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Single centre retrospective d</w:t>
            </w:r>
            <w:r w:rsidR="008F6338">
              <w:rPr>
                <w:rFonts w:asciiTheme="minorHAnsi" w:hAnsiTheme="minorHAnsi" w:cstheme="minorHAnsi"/>
                <w:bCs/>
                <w:color w:val="000000" w:themeColor="text1"/>
                <w:sz w:val="22"/>
                <w:szCs w:val="22"/>
              </w:rPr>
              <w:t xml:space="preserve">osimetric comparison of </w:t>
            </w:r>
            <w:r w:rsidR="008F6338" w:rsidRPr="00892385">
              <w:rPr>
                <w:rFonts w:asciiTheme="minorHAnsi" w:hAnsiTheme="minorHAnsi" w:cstheme="minorHAnsi"/>
                <w:bCs/>
                <w:color w:val="000000" w:themeColor="text1"/>
                <w:sz w:val="22"/>
                <w:szCs w:val="22"/>
              </w:rPr>
              <w:t xml:space="preserve">CRT and VMAT </w:t>
            </w:r>
          </w:p>
        </w:tc>
        <w:tc>
          <w:tcPr>
            <w:tcW w:w="2835" w:type="dxa"/>
          </w:tcPr>
          <w:p w14:paraId="30CEE1D3" w14:textId="721A14AE" w:rsidR="008F6338" w:rsidRPr="00892385" w:rsidRDefault="008F6338" w:rsidP="003E15B6">
            <w:pPr>
              <w:rPr>
                <w:rFonts w:asciiTheme="minorHAnsi" w:hAnsiTheme="minorHAnsi" w:cstheme="minorHAnsi"/>
                <w:bCs/>
                <w:color w:val="000000" w:themeColor="text1"/>
                <w:sz w:val="22"/>
                <w:szCs w:val="22"/>
              </w:rPr>
            </w:pPr>
            <w:r w:rsidRPr="00892385">
              <w:rPr>
                <w:rFonts w:asciiTheme="minorHAnsi" w:hAnsiTheme="minorHAnsi" w:cstheme="minorHAnsi"/>
                <w:bCs/>
                <w:color w:val="000000" w:themeColor="text1"/>
                <w:sz w:val="22"/>
                <w:szCs w:val="22"/>
              </w:rPr>
              <w:t>10</w:t>
            </w:r>
            <w:r w:rsidR="00056FAE">
              <w:rPr>
                <w:rFonts w:asciiTheme="minorHAnsi" w:hAnsiTheme="minorHAnsi" w:cstheme="minorHAnsi"/>
                <w:bCs/>
                <w:color w:val="000000" w:themeColor="text1"/>
                <w:sz w:val="22"/>
                <w:szCs w:val="22"/>
              </w:rPr>
              <w:t xml:space="preserve"> left sided</w:t>
            </w:r>
            <w:r w:rsidRPr="00892385">
              <w:rPr>
                <w:rFonts w:asciiTheme="minorHAnsi" w:hAnsiTheme="minorHAnsi" w:cstheme="minorHAnsi"/>
                <w:bCs/>
                <w:color w:val="000000" w:themeColor="text1"/>
                <w:sz w:val="22"/>
                <w:szCs w:val="22"/>
              </w:rPr>
              <w:t xml:space="preserve"> early-stage </w:t>
            </w:r>
          </w:p>
        </w:tc>
      </w:tr>
      <w:tr w:rsidR="008F6338" w:rsidRPr="00892385" w14:paraId="5499A963" w14:textId="77777777" w:rsidTr="003E15B6">
        <w:tc>
          <w:tcPr>
            <w:tcW w:w="2405" w:type="dxa"/>
          </w:tcPr>
          <w:p w14:paraId="4EE8F22B" w14:textId="6D985803" w:rsidR="008F6338" w:rsidRPr="003E1379" w:rsidRDefault="008F6338">
            <w:pPr>
              <w:spacing w:line="360" w:lineRule="auto"/>
              <w:rPr>
                <w:rFonts w:asciiTheme="minorHAnsi" w:hAnsiTheme="minorHAnsi" w:cstheme="minorHAnsi"/>
                <w:bCs/>
                <w:color w:val="000000" w:themeColor="text1"/>
                <w:sz w:val="22"/>
                <w:szCs w:val="22"/>
                <w:vertAlign w:val="superscript"/>
              </w:rPr>
            </w:pPr>
            <w:r w:rsidRPr="00892385">
              <w:rPr>
                <w:rFonts w:asciiTheme="minorHAnsi" w:hAnsiTheme="minorHAnsi" w:cstheme="minorHAnsi"/>
                <w:bCs/>
                <w:color w:val="000000" w:themeColor="text1"/>
                <w:sz w:val="22"/>
                <w:szCs w:val="22"/>
              </w:rPr>
              <w:t>A</w:t>
            </w:r>
            <w:r>
              <w:rPr>
                <w:rFonts w:asciiTheme="minorHAnsi" w:hAnsiTheme="minorHAnsi" w:cstheme="minorHAnsi"/>
                <w:bCs/>
                <w:color w:val="000000" w:themeColor="text1"/>
                <w:sz w:val="22"/>
                <w:szCs w:val="22"/>
              </w:rPr>
              <w:t>bo-</w:t>
            </w:r>
            <w:proofErr w:type="spellStart"/>
            <w:r>
              <w:rPr>
                <w:rFonts w:asciiTheme="minorHAnsi" w:hAnsiTheme="minorHAnsi" w:cstheme="minorHAnsi"/>
                <w:bCs/>
                <w:color w:val="000000" w:themeColor="text1"/>
                <w:sz w:val="22"/>
                <w:szCs w:val="22"/>
              </w:rPr>
              <w:t>Madyan</w:t>
            </w:r>
            <w:proofErr w:type="spellEnd"/>
            <w:r w:rsidR="003E15B6">
              <w:rPr>
                <w:rFonts w:asciiTheme="minorHAnsi" w:hAnsiTheme="minorHAnsi" w:cstheme="minorHAnsi"/>
                <w:bCs/>
                <w:color w:val="000000" w:themeColor="text1"/>
                <w:sz w:val="22"/>
                <w:szCs w:val="22"/>
              </w:rPr>
              <w:t xml:space="preserve"> 2014</w:t>
            </w:r>
            <w:r w:rsidR="00BD1929">
              <w:rPr>
                <w:rFonts w:asciiTheme="minorHAnsi" w:hAnsiTheme="minorHAnsi" w:cstheme="minorHAnsi"/>
                <w:bCs/>
                <w:color w:val="000000" w:themeColor="text1"/>
                <w:sz w:val="22"/>
                <w:szCs w:val="22"/>
                <w:vertAlign w:val="superscript"/>
              </w:rPr>
              <w:t>15</w:t>
            </w:r>
          </w:p>
        </w:tc>
        <w:tc>
          <w:tcPr>
            <w:tcW w:w="3544" w:type="dxa"/>
          </w:tcPr>
          <w:p w14:paraId="599F4412" w14:textId="08754E39" w:rsidR="008F6338" w:rsidRPr="00892385" w:rsidRDefault="0032239E" w:rsidP="003E15B6">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Single centre retrospective d</w:t>
            </w:r>
            <w:r w:rsidR="008F6338" w:rsidRPr="00892385">
              <w:rPr>
                <w:rFonts w:asciiTheme="minorHAnsi" w:hAnsiTheme="minorHAnsi" w:cstheme="minorHAnsi"/>
                <w:bCs/>
                <w:color w:val="000000" w:themeColor="text1"/>
                <w:sz w:val="22"/>
                <w:szCs w:val="22"/>
              </w:rPr>
              <w:t>osimetric comparison of CRT, tangential IMRT and VMAT</w:t>
            </w:r>
          </w:p>
        </w:tc>
        <w:tc>
          <w:tcPr>
            <w:tcW w:w="2835" w:type="dxa"/>
          </w:tcPr>
          <w:p w14:paraId="4E035F53" w14:textId="0B7B8C0F" w:rsidR="008F6338" w:rsidRPr="00892385" w:rsidRDefault="008F6338" w:rsidP="003E15B6">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10 (5</w:t>
            </w:r>
            <w:r w:rsidR="00056FAE">
              <w:rPr>
                <w:rFonts w:asciiTheme="minorHAnsi" w:hAnsiTheme="minorHAnsi" w:cstheme="minorHAnsi"/>
                <w:bCs/>
                <w:color w:val="000000" w:themeColor="text1"/>
                <w:sz w:val="22"/>
                <w:szCs w:val="22"/>
              </w:rPr>
              <w:t xml:space="preserve"> left</w:t>
            </w:r>
            <w:r>
              <w:rPr>
                <w:rFonts w:asciiTheme="minorHAnsi" w:hAnsiTheme="minorHAnsi" w:cstheme="minorHAnsi"/>
                <w:bCs/>
                <w:color w:val="000000" w:themeColor="text1"/>
                <w:sz w:val="22"/>
                <w:szCs w:val="22"/>
              </w:rPr>
              <w:t xml:space="preserve"> and</w:t>
            </w:r>
            <w:r w:rsidRPr="00892385">
              <w:rPr>
                <w:rFonts w:asciiTheme="minorHAnsi" w:hAnsiTheme="minorHAnsi" w:cstheme="minorHAnsi"/>
                <w:bCs/>
                <w:color w:val="000000" w:themeColor="text1"/>
                <w:sz w:val="22"/>
                <w:szCs w:val="22"/>
              </w:rPr>
              <w:t xml:space="preserve"> 5</w:t>
            </w:r>
            <w:r w:rsidR="00056FAE">
              <w:rPr>
                <w:rFonts w:asciiTheme="minorHAnsi" w:hAnsiTheme="minorHAnsi" w:cstheme="minorHAnsi"/>
                <w:bCs/>
                <w:color w:val="000000" w:themeColor="text1"/>
                <w:sz w:val="22"/>
                <w:szCs w:val="22"/>
              </w:rPr>
              <w:t xml:space="preserve"> right</w:t>
            </w:r>
            <w:r w:rsidRPr="00892385">
              <w:rPr>
                <w:rFonts w:asciiTheme="minorHAnsi" w:hAnsiTheme="minorHAnsi" w:cstheme="minorHAnsi"/>
                <w:bCs/>
                <w:color w:val="000000" w:themeColor="text1"/>
                <w:sz w:val="22"/>
                <w:szCs w:val="22"/>
              </w:rPr>
              <w:t>)</w:t>
            </w:r>
          </w:p>
        </w:tc>
      </w:tr>
      <w:tr w:rsidR="008F6338" w:rsidRPr="00892385" w14:paraId="413F6832" w14:textId="77777777" w:rsidTr="003E15B6">
        <w:tc>
          <w:tcPr>
            <w:tcW w:w="2405" w:type="dxa"/>
          </w:tcPr>
          <w:p w14:paraId="303E0EC8" w14:textId="1DB8C749" w:rsidR="008F6338" w:rsidRPr="00892385" w:rsidRDefault="008F6338">
            <w:pPr>
              <w:spacing w:line="360" w:lineRule="auto"/>
              <w:rPr>
                <w:rFonts w:asciiTheme="minorHAnsi" w:hAnsiTheme="minorHAnsi" w:cstheme="minorHAnsi"/>
                <w:bCs/>
                <w:color w:val="000000" w:themeColor="text1"/>
                <w:sz w:val="22"/>
                <w:szCs w:val="22"/>
              </w:rPr>
            </w:pPr>
            <w:proofErr w:type="spellStart"/>
            <w:r>
              <w:rPr>
                <w:rFonts w:asciiTheme="minorHAnsi" w:hAnsiTheme="minorHAnsi" w:cstheme="minorHAnsi"/>
                <w:bCs/>
                <w:color w:val="000000" w:themeColor="text1"/>
                <w:sz w:val="22"/>
                <w:szCs w:val="22"/>
              </w:rPr>
              <w:t>Dumane</w:t>
            </w:r>
            <w:proofErr w:type="spellEnd"/>
            <w:r>
              <w:rPr>
                <w:rFonts w:asciiTheme="minorHAnsi" w:hAnsiTheme="minorHAnsi" w:cstheme="minorHAnsi"/>
                <w:bCs/>
                <w:color w:val="000000" w:themeColor="text1"/>
                <w:sz w:val="22"/>
                <w:szCs w:val="22"/>
              </w:rPr>
              <w:t xml:space="preserve"> </w:t>
            </w:r>
            <w:r w:rsidR="003E15B6">
              <w:rPr>
                <w:rFonts w:asciiTheme="minorHAnsi" w:hAnsiTheme="minorHAnsi" w:cstheme="minorHAnsi"/>
                <w:bCs/>
                <w:color w:val="000000" w:themeColor="text1"/>
                <w:sz w:val="22"/>
                <w:szCs w:val="22"/>
              </w:rPr>
              <w:t>2018</w:t>
            </w:r>
            <w:r w:rsidR="00BD1929">
              <w:rPr>
                <w:rFonts w:asciiTheme="minorHAnsi" w:hAnsiTheme="minorHAnsi" w:cstheme="minorHAnsi"/>
                <w:bCs/>
                <w:color w:val="000000" w:themeColor="text1"/>
                <w:sz w:val="22"/>
                <w:szCs w:val="22"/>
                <w:vertAlign w:val="superscript"/>
              </w:rPr>
              <w:t>16</w:t>
            </w:r>
          </w:p>
        </w:tc>
        <w:tc>
          <w:tcPr>
            <w:tcW w:w="3544" w:type="dxa"/>
          </w:tcPr>
          <w:p w14:paraId="57C9ECEB" w14:textId="3078CD1C" w:rsidR="008F6338" w:rsidRPr="00892385" w:rsidRDefault="0032239E">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Single centre retrospective dosimetric</w:t>
            </w:r>
            <w:r w:rsidR="008F6338">
              <w:rPr>
                <w:rFonts w:asciiTheme="minorHAnsi" w:hAnsiTheme="minorHAnsi" w:cstheme="minorHAnsi"/>
                <w:bCs/>
                <w:color w:val="000000" w:themeColor="text1"/>
                <w:sz w:val="22"/>
                <w:szCs w:val="22"/>
              </w:rPr>
              <w:t xml:space="preserve"> comparison of hybrid VMAT + CRT with VMAT alone</w:t>
            </w:r>
          </w:p>
        </w:tc>
        <w:tc>
          <w:tcPr>
            <w:tcW w:w="2835" w:type="dxa"/>
          </w:tcPr>
          <w:p w14:paraId="7892C5AD" w14:textId="0EEB6F12" w:rsidR="008F6338" w:rsidRPr="00892385" w:rsidRDefault="008F6338" w:rsidP="003E15B6">
            <w:pPr>
              <w:rPr>
                <w:rFonts w:asciiTheme="minorHAnsi" w:hAnsiTheme="minorHAnsi" w:cstheme="minorHAnsi"/>
                <w:bCs/>
                <w:color w:val="000000" w:themeColor="text1"/>
                <w:sz w:val="22"/>
                <w:szCs w:val="22"/>
              </w:rPr>
            </w:pPr>
            <w:r w:rsidRPr="00892385">
              <w:rPr>
                <w:rFonts w:asciiTheme="minorHAnsi" w:hAnsiTheme="minorHAnsi" w:cstheme="minorHAnsi"/>
                <w:bCs/>
                <w:color w:val="000000" w:themeColor="text1"/>
                <w:sz w:val="22"/>
                <w:szCs w:val="22"/>
              </w:rPr>
              <w:t>10 (6 VMAT and 4 hybrid)</w:t>
            </w:r>
          </w:p>
        </w:tc>
      </w:tr>
      <w:tr w:rsidR="008F6338" w:rsidRPr="00892385" w14:paraId="26815418" w14:textId="77777777" w:rsidTr="003E15B6">
        <w:tc>
          <w:tcPr>
            <w:tcW w:w="2405" w:type="dxa"/>
          </w:tcPr>
          <w:p w14:paraId="5695867D" w14:textId="2561798C" w:rsidR="008F6338" w:rsidRPr="003E1379" w:rsidRDefault="008F6338">
            <w:pPr>
              <w:spacing w:line="360" w:lineRule="auto"/>
              <w:rPr>
                <w:rFonts w:asciiTheme="minorHAnsi" w:hAnsiTheme="minorHAnsi" w:cstheme="minorHAnsi"/>
                <w:bCs/>
                <w:color w:val="000000" w:themeColor="text1"/>
                <w:sz w:val="22"/>
                <w:szCs w:val="22"/>
              </w:rPr>
            </w:pPr>
            <w:proofErr w:type="spellStart"/>
            <w:r>
              <w:rPr>
                <w:rFonts w:asciiTheme="minorHAnsi" w:hAnsiTheme="minorHAnsi" w:cstheme="minorHAnsi"/>
                <w:bCs/>
                <w:color w:val="000000" w:themeColor="text1"/>
                <w:sz w:val="22"/>
                <w:szCs w:val="22"/>
              </w:rPr>
              <w:t>Jöst</w:t>
            </w:r>
            <w:proofErr w:type="spellEnd"/>
            <w:r>
              <w:rPr>
                <w:rFonts w:asciiTheme="minorHAnsi" w:hAnsiTheme="minorHAnsi" w:cstheme="minorHAnsi"/>
                <w:bCs/>
                <w:color w:val="000000" w:themeColor="text1"/>
                <w:sz w:val="22"/>
                <w:szCs w:val="22"/>
              </w:rPr>
              <w:t xml:space="preserve"> </w:t>
            </w:r>
            <w:r w:rsidR="003E15B6">
              <w:rPr>
                <w:rFonts w:asciiTheme="minorHAnsi" w:hAnsiTheme="minorHAnsi" w:cstheme="minorHAnsi"/>
                <w:bCs/>
                <w:color w:val="000000" w:themeColor="text1"/>
                <w:sz w:val="22"/>
                <w:szCs w:val="22"/>
              </w:rPr>
              <w:t>2015</w:t>
            </w:r>
            <w:r w:rsidR="00BD1929">
              <w:rPr>
                <w:rFonts w:asciiTheme="minorHAnsi" w:hAnsiTheme="minorHAnsi" w:cstheme="minorHAnsi"/>
                <w:bCs/>
                <w:color w:val="000000" w:themeColor="text1"/>
                <w:sz w:val="22"/>
                <w:szCs w:val="22"/>
                <w:vertAlign w:val="superscript"/>
              </w:rPr>
              <w:t>17</w:t>
            </w:r>
          </w:p>
        </w:tc>
        <w:tc>
          <w:tcPr>
            <w:tcW w:w="3544" w:type="dxa"/>
          </w:tcPr>
          <w:p w14:paraId="41554054" w14:textId="2780C98D" w:rsidR="008F6338" w:rsidRPr="00892385" w:rsidRDefault="00BD1929" w:rsidP="003E15B6">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Single centre retrospective d</w:t>
            </w:r>
            <w:r w:rsidR="008F6338" w:rsidRPr="00892385">
              <w:rPr>
                <w:rFonts w:asciiTheme="minorHAnsi" w:hAnsiTheme="minorHAnsi" w:cstheme="minorHAnsi"/>
                <w:bCs/>
                <w:color w:val="000000" w:themeColor="text1"/>
                <w:sz w:val="22"/>
                <w:szCs w:val="22"/>
              </w:rPr>
              <w:t xml:space="preserve">osimetric comparison of </w:t>
            </w:r>
            <w:r w:rsidR="008F6338">
              <w:rPr>
                <w:rFonts w:asciiTheme="minorHAnsi" w:hAnsiTheme="minorHAnsi" w:cstheme="minorHAnsi"/>
                <w:bCs/>
                <w:color w:val="000000" w:themeColor="text1"/>
                <w:sz w:val="22"/>
                <w:szCs w:val="22"/>
              </w:rPr>
              <w:t>FIF</w:t>
            </w:r>
            <w:r w:rsidR="008F6338" w:rsidRPr="00892385">
              <w:rPr>
                <w:rFonts w:asciiTheme="minorHAnsi" w:hAnsiTheme="minorHAnsi" w:cstheme="minorHAnsi"/>
                <w:bCs/>
                <w:color w:val="000000" w:themeColor="text1"/>
                <w:sz w:val="22"/>
                <w:szCs w:val="22"/>
              </w:rPr>
              <w:t xml:space="preserve"> vs </w:t>
            </w:r>
            <w:r w:rsidR="008F6338">
              <w:rPr>
                <w:rFonts w:asciiTheme="minorHAnsi" w:hAnsiTheme="minorHAnsi" w:cstheme="minorHAnsi"/>
                <w:bCs/>
                <w:color w:val="000000" w:themeColor="text1"/>
                <w:sz w:val="22"/>
                <w:szCs w:val="22"/>
              </w:rPr>
              <w:t>Hybrid (IMRT tangential + VMAT)</w:t>
            </w:r>
          </w:p>
        </w:tc>
        <w:tc>
          <w:tcPr>
            <w:tcW w:w="2835" w:type="dxa"/>
          </w:tcPr>
          <w:p w14:paraId="7E91A4F6" w14:textId="0DDC3DA4" w:rsidR="008F6338" w:rsidRPr="00892385" w:rsidRDefault="008F6338" w:rsidP="003E15B6">
            <w:pPr>
              <w:rPr>
                <w:rFonts w:asciiTheme="minorHAnsi" w:hAnsiTheme="minorHAnsi" w:cstheme="minorHAnsi"/>
                <w:bCs/>
                <w:color w:val="000000" w:themeColor="text1"/>
                <w:sz w:val="22"/>
                <w:szCs w:val="22"/>
              </w:rPr>
            </w:pPr>
            <w:r w:rsidRPr="00892385">
              <w:rPr>
                <w:rFonts w:asciiTheme="minorHAnsi" w:hAnsiTheme="minorHAnsi" w:cstheme="minorHAnsi"/>
                <w:bCs/>
                <w:color w:val="000000" w:themeColor="text1"/>
                <w:sz w:val="22"/>
                <w:szCs w:val="22"/>
              </w:rPr>
              <w:t>20 (10</w:t>
            </w:r>
            <w:r w:rsidR="00056FAE">
              <w:rPr>
                <w:rFonts w:asciiTheme="minorHAnsi" w:hAnsiTheme="minorHAnsi" w:cstheme="minorHAnsi"/>
                <w:bCs/>
                <w:color w:val="000000" w:themeColor="text1"/>
                <w:sz w:val="22"/>
                <w:szCs w:val="22"/>
              </w:rPr>
              <w:t xml:space="preserve"> left</w:t>
            </w:r>
            <w:r w:rsidRPr="00892385">
              <w:rPr>
                <w:rFonts w:asciiTheme="minorHAnsi" w:hAnsiTheme="minorHAnsi" w:cstheme="minorHAnsi"/>
                <w:bCs/>
                <w:color w:val="000000" w:themeColor="text1"/>
                <w:sz w:val="22"/>
                <w:szCs w:val="22"/>
              </w:rPr>
              <w:t xml:space="preserve"> and 10</w:t>
            </w:r>
            <w:r w:rsidR="00056FAE">
              <w:rPr>
                <w:rFonts w:asciiTheme="minorHAnsi" w:hAnsiTheme="minorHAnsi" w:cstheme="minorHAnsi"/>
                <w:bCs/>
                <w:color w:val="000000" w:themeColor="text1"/>
                <w:sz w:val="22"/>
                <w:szCs w:val="22"/>
              </w:rPr>
              <w:t xml:space="preserve"> right</w:t>
            </w:r>
            <w:r w:rsidRPr="00892385">
              <w:rPr>
                <w:rFonts w:asciiTheme="minorHAnsi" w:hAnsiTheme="minorHAnsi" w:cstheme="minorHAnsi"/>
                <w:bCs/>
                <w:color w:val="000000" w:themeColor="text1"/>
                <w:sz w:val="22"/>
                <w:szCs w:val="22"/>
              </w:rPr>
              <w:t>)</w:t>
            </w:r>
          </w:p>
          <w:p w14:paraId="34727864" w14:textId="77777777" w:rsidR="008F6338" w:rsidRPr="00892385" w:rsidRDefault="008F6338" w:rsidP="003E15B6">
            <w:pPr>
              <w:rPr>
                <w:rFonts w:asciiTheme="minorHAnsi" w:hAnsiTheme="minorHAnsi" w:cstheme="minorHAnsi"/>
                <w:bCs/>
                <w:color w:val="000000" w:themeColor="text1"/>
                <w:sz w:val="22"/>
                <w:szCs w:val="22"/>
              </w:rPr>
            </w:pPr>
            <w:r w:rsidRPr="00892385">
              <w:rPr>
                <w:rFonts w:asciiTheme="minorHAnsi" w:hAnsiTheme="minorHAnsi" w:cstheme="minorHAnsi"/>
                <w:bCs/>
                <w:color w:val="000000" w:themeColor="text1"/>
                <w:sz w:val="22"/>
                <w:szCs w:val="22"/>
              </w:rPr>
              <w:t>No nodal involvement</w:t>
            </w:r>
          </w:p>
        </w:tc>
      </w:tr>
    </w:tbl>
    <w:p w14:paraId="6D8D2CD0" w14:textId="77777777" w:rsidR="00A81D2A" w:rsidRPr="00892385" w:rsidRDefault="00A81D2A" w:rsidP="0028658D">
      <w:pPr>
        <w:tabs>
          <w:tab w:val="left" w:pos="5542"/>
        </w:tabs>
        <w:autoSpaceDE w:val="0"/>
        <w:autoSpaceDN w:val="0"/>
        <w:adjustRightInd w:val="0"/>
        <w:spacing w:line="360" w:lineRule="auto"/>
        <w:jc w:val="both"/>
        <w:rPr>
          <w:rFonts w:asciiTheme="minorHAnsi" w:hAnsiTheme="minorHAnsi" w:cstheme="minorHAnsi"/>
          <w:bCs/>
          <w:color w:val="000000" w:themeColor="text1"/>
          <w:sz w:val="22"/>
          <w:szCs w:val="22"/>
          <w:lang w:val="en-US"/>
        </w:rPr>
      </w:pPr>
    </w:p>
    <w:p w14:paraId="01586E14" w14:textId="77777777" w:rsidR="0004234D" w:rsidRPr="00892385" w:rsidRDefault="0004234D">
      <w:pPr>
        <w:rPr>
          <w:rFonts w:asciiTheme="minorHAnsi" w:hAnsiTheme="minorHAnsi" w:cstheme="minorHAnsi"/>
          <w:bCs/>
          <w:color w:val="000000" w:themeColor="text1"/>
          <w:kern w:val="28"/>
          <w:sz w:val="22"/>
          <w:szCs w:val="22"/>
          <w:lang w:val="en-CA" w:eastAsia="en-CA"/>
        </w:rPr>
      </w:pPr>
      <w:bookmarkStart w:id="7" w:name="_Toc32848657"/>
      <w:bookmarkEnd w:id="6"/>
      <w:r w:rsidRPr="00892385">
        <w:rPr>
          <w:rFonts w:asciiTheme="minorHAnsi" w:hAnsiTheme="minorHAnsi" w:cstheme="minorHAnsi"/>
          <w:color w:val="000000" w:themeColor="text1"/>
          <w:sz w:val="22"/>
          <w:szCs w:val="22"/>
        </w:rPr>
        <w:br w:type="page"/>
      </w:r>
    </w:p>
    <w:p w14:paraId="41D4FB24" w14:textId="553563B1" w:rsidR="00B9028F" w:rsidRPr="007B42F1" w:rsidRDefault="00B9028F" w:rsidP="009916B3">
      <w:pPr>
        <w:pStyle w:val="Heading1"/>
        <w:jc w:val="both"/>
        <w:rPr>
          <w:rFonts w:asciiTheme="minorHAnsi" w:hAnsiTheme="minorHAnsi" w:cstheme="minorHAnsi"/>
          <w:b/>
          <w:bCs/>
          <w:color w:val="000000" w:themeColor="text1"/>
          <w:sz w:val="22"/>
          <w:szCs w:val="22"/>
        </w:rPr>
      </w:pPr>
      <w:bookmarkStart w:id="8" w:name="_Toc32848662"/>
      <w:bookmarkEnd w:id="7"/>
      <w:r w:rsidRPr="007B42F1">
        <w:rPr>
          <w:rFonts w:asciiTheme="minorHAnsi" w:hAnsiTheme="minorHAnsi" w:cstheme="minorHAnsi"/>
          <w:b/>
          <w:bCs/>
          <w:color w:val="000000" w:themeColor="text1"/>
          <w:sz w:val="22"/>
          <w:szCs w:val="22"/>
        </w:rPr>
        <w:lastRenderedPageBreak/>
        <w:t>Table 4:</w:t>
      </w:r>
      <w:r w:rsidR="004F593A">
        <w:rPr>
          <w:rFonts w:asciiTheme="minorHAnsi" w:hAnsiTheme="minorHAnsi" w:cstheme="minorHAnsi"/>
          <w:b/>
          <w:bCs/>
          <w:color w:val="000000" w:themeColor="text1"/>
          <w:sz w:val="22"/>
          <w:szCs w:val="22"/>
        </w:rPr>
        <w:t xml:space="preserve"> Comparative O</w:t>
      </w:r>
      <w:r w:rsidR="00E43280">
        <w:rPr>
          <w:rFonts w:asciiTheme="minorHAnsi" w:hAnsiTheme="minorHAnsi" w:cstheme="minorHAnsi"/>
          <w:b/>
          <w:bCs/>
          <w:color w:val="000000" w:themeColor="text1"/>
          <w:sz w:val="22"/>
          <w:szCs w:val="22"/>
        </w:rPr>
        <w:t>rgan at Risk (O)</w:t>
      </w:r>
      <w:r w:rsidR="004F593A">
        <w:rPr>
          <w:rFonts w:asciiTheme="minorHAnsi" w:hAnsiTheme="minorHAnsi" w:cstheme="minorHAnsi"/>
          <w:b/>
          <w:bCs/>
          <w:color w:val="000000" w:themeColor="text1"/>
          <w:sz w:val="22"/>
          <w:szCs w:val="22"/>
        </w:rPr>
        <w:t xml:space="preserve"> Do</w:t>
      </w:r>
      <w:r w:rsidR="00653385">
        <w:rPr>
          <w:rFonts w:asciiTheme="minorHAnsi" w:hAnsiTheme="minorHAnsi" w:cstheme="minorHAnsi"/>
          <w:b/>
          <w:bCs/>
          <w:color w:val="000000" w:themeColor="text1"/>
          <w:sz w:val="22"/>
          <w:szCs w:val="22"/>
        </w:rPr>
        <w:t>ses</w:t>
      </w:r>
    </w:p>
    <w:p w14:paraId="303B4341" w14:textId="01556DD1" w:rsidR="007B42F1" w:rsidRDefault="007B42F1" w:rsidP="007B42F1">
      <w:pPr>
        <w:rPr>
          <w:lang w:eastAsia="en-US"/>
        </w:rPr>
      </w:pPr>
    </w:p>
    <w:tbl>
      <w:tblPr>
        <w:tblStyle w:val="TableGrid1"/>
        <w:tblW w:w="9067" w:type="dxa"/>
        <w:tblLook w:val="04A0" w:firstRow="1" w:lastRow="0" w:firstColumn="1" w:lastColumn="0" w:noHBand="0" w:noVBand="1"/>
      </w:tblPr>
      <w:tblGrid>
        <w:gridCol w:w="814"/>
        <w:gridCol w:w="1057"/>
        <w:gridCol w:w="812"/>
        <w:gridCol w:w="848"/>
        <w:gridCol w:w="1000"/>
        <w:gridCol w:w="993"/>
        <w:gridCol w:w="854"/>
        <w:gridCol w:w="896"/>
        <w:gridCol w:w="897"/>
        <w:gridCol w:w="896"/>
      </w:tblGrid>
      <w:tr w:rsidR="003E15B6" w:rsidRPr="003E15B6" w14:paraId="615888D6" w14:textId="66755D26" w:rsidTr="003E15B6">
        <w:tc>
          <w:tcPr>
            <w:tcW w:w="814" w:type="dxa"/>
          </w:tcPr>
          <w:p w14:paraId="1C9C05D0" w14:textId="77777777" w:rsidR="009B09AF" w:rsidRPr="003E15B6" w:rsidRDefault="009B09AF" w:rsidP="009B09AF">
            <w:pPr>
              <w:jc w:val="center"/>
              <w:rPr>
                <w:rFonts w:ascii="Calibri" w:eastAsia="Calibri" w:hAnsi="Calibri"/>
                <w:b/>
                <w:sz w:val="18"/>
                <w:szCs w:val="18"/>
                <w:lang w:eastAsia="en-US"/>
              </w:rPr>
            </w:pPr>
            <w:r w:rsidRPr="003E15B6">
              <w:rPr>
                <w:rFonts w:ascii="Calibri" w:eastAsia="Calibri" w:hAnsi="Calibri"/>
                <w:b/>
                <w:sz w:val="18"/>
                <w:szCs w:val="18"/>
                <w:lang w:eastAsia="en-US"/>
              </w:rPr>
              <w:t>OAR</w:t>
            </w:r>
          </w:p>
        </w:tc>
        <w:tc>
          <w:tcPr>
            <w:tcW w:w="1057" w:type="dxa"/>
          </w:tcPr>
          <w:p w14:paraId="2897C638" w14:textId="77777777" w:rsidR="009B09AF" w:rsidRPr="003E15B6" w:rsidRDefault="009B09AF" w:rsidP="009B09AF">
            <w:pPr>
              <w:jc w:val="center"/>
              <w:rPr>
                <w:rFonts w:ascii="Calibri" w:eastAsia="Calibri" w:hAnsi="Calibri"/>
                <w:b/>
                <w:sz w:val="18"/>
                <w:szCs w:val="18"/>
                <w:lang w:eastAsia="en-US"/>
              </w:rPr>
            </w:pPr>
            <w:r w:rsidRPr="003E15B6">
              <w:rPr>
                <w:rFonts w:ascii="Calibri" w:eastAsia="Calibri" w:hAnsi="Calibri"/>
                <w:b/>
                <w:sz w:val="18"/>
                <w:szCs w:val="18"/>
                <w:lang w:eastAsia="en-US"/>
              </w:rPr>
              <w:t>Outcome</w:t>
            </w:r>
          </w:p>
        </w:tc>
        <w:tc>
          <w:tcPr>
            <w:tcW w:w="812" w:type="dxa"/>
          </w:tcPr>
          <w:p w14:paraId="6C381215" w14:textId="7C3E5018" w:rsidR="009B09AF" w:rsidRPr="003E15B6" w:rsidRDefault="009B09AF">
            <w:pPr>
              <w:rPr>
                <w:rFonts w:ascii="Calibri" w:eastAsia="Calibri" w:hAnsi="Calibri"/>
                <w:b/>
                <w:sz w:val="18"/>
                <w:szCs w:val="18"/>
                <w:lang w:eastAsia="en-US"/>
              </w:rPr>
            </w:pPr>
            <w:r w:rsidRPr="003E15B6">
              <w:rPr>
                <w:rFonts w:ascii="Calibri" w:eastAsia="Calibri" w:hAnsi="Calibri"/>
                <w:b/>
                <w:sz w:val="18"/>
                <w:szCs w:val="18"/>
                <w:lang w:eastAsia="en-US"/>
              </w:rPr>
              <w:t>VMAT –</w:t>
            </w:r>
            <w:r w:rsidR="00502178" w:rsidRPr="003E15B6">
              <w:rPr>
                <w:rFonts w:ascii="Calibri" w:eastAsia="Calibri" w:hAnsi="Calibri"/>
                <w:b/>
                <w:sz w:val="18"/>
                <w:szCs w:val="18"/>
                <w:lang w:eastAsia="en-US"/>
              </w:rPr>
              <w:t>FI</w:t>
            </w:r>
            <w:r w:rsidR="003E15B6" w:rsidRPr="003E15B6">
              <w:rPr>
                <w:rFonts w:ascii="Calibri" w:eastAsia="Calibri" w:hAnsi="Calibri"/>
                <w:b/>
                <w:sz w:val="18"/>
                <w:szCs w:val="18"/>
                <w:lang w:eastAsia="en-US"/>
              </w:rPr>
              <w:t>F</w:t>
            </w:r>
            <w:r w:rsidR="00BD1929">
              <w:rPr>
                <w:rFonts w:ascii="Calibri" w:eastAsia="Calibri" w:hAnsi="Calibri"/>
                <w:b/>
                <w:sz w:val="18"/>
                <w:szCs w:val="18"/>
                <w:vertAlign w:val="superscript"/>
                <w:lang w:eastAsia="en-US"/>
              </w:rPr>
              <w:t>10</w:t>
            </w:r>
          </w:p>
        </w:tc>
        <w:tc>
          <w:tcPr>
            <w:tcW w:w="848" w:type="dxa"/>
          </w:tcPr>
          <w:p w14:paraId="1EDB9E06" w14:textId="7D939DE7" w:rsidR="009B09AF" w:rsidRPr="003E15B6" w:rsidRDefault="00502178" w:rsidP="003E15B6">
            <w:pPr>
              <w:rPr>
                <w:rFonts w:ascii="Calibri" w:eastAsia="Calibri" w:hAnsi="Calibri"/>
                <w:b/>
                <w:sz w:val="18"/>
                <w:szCs w:val="18"/>
                <w:lang w:eastAsia="en-US"/>
              </w:rPr>
            </w:pPr>
            <w:r w:rsidRPr="003E15B6">
              <w:rPr>
                <w:rFonts w:ascii="Calibri" w:eastAsia="Calibri" w:hAnsi="Calibri"/>
                <w:b/>
                <w:sz w:val="18"/>
                <w:szCs w:val="18"/>
                <w:lang w:eastAsia="en-US"/>
              </w:rPr>
              <w:t>VMAT – FI</w:t>
            </w:r>
            <w:r w:rsidR="003E15B6" w:rsidRPr="003E15B6">
              <w:rPr>
                <w:rFonts w:ascii="Calibri" w:eastAsia="Calibri" w:hAnsi="Calibri"/>
                <w:b/>
                <w:sz w:val="18"/>
                <w:szCs w:val="18"/>
                <w:lang w:eastAsia="en-US"/>
              </w:rPr>
              <w:t>F</w:t>
            </w:r>
            <w:r w:rsidR="00BD1929">
              <w:rPr>
                <w:rFonts w:ascii="Calibri" w:eastAsia="Calibri" w:hAnsi="Calibri"/>
                <w:b/>
                <w:sz w:val="18"/>
                <w:szCs w:val="18"/>
                <w:vertAlign w:val="superscript"/>
                <w:lang w:eastAsia="en-US"/>
              </w:rPr>
              <w:t>11</w:t>
            </w:r>
          </w:p>
        </w:tc>
        <w:tc>
          <w:tcPr>
            <w:tcW w:w="1000" w:type="dxa"/>
          </w:tcPr>
          <w:p w14:paraId="33940532" w14:textId="231DAA6B" w:rsidR="009B09AF" w:rsidRPr="003E15B6" w:rsidRDefault="003E15B6" w:rsidP="003E15B6">
            <w:pPr>
              <w:rPr>
                <w:rFonts w:ascii="Calibri" w:eastAsia="Calibri" w:hAnsi="Calibri"/>
                <w:b/>
                <w:sz w:val="18"/>
                <w:szCs w:val="18"/>
                <w:lang w:eastAsia="en-US"/>
              </w:rPr>
            </w:pPr>
            <w:r w:rsidRPr="003E15B6">
              <w:rPr>
                <w:rFonts w:ascii="Calibri" w:eastAsia="Calibri" w:hAnsi="Calibri"/>
                <w:b/>
                <w:sz w:val="18"/>
                <w:szCs w:val="18"/>
                <w:lang w:eastAsia="en-US"/>
              </w:rPr>
              <w:t>VMAT – IMRT</w:t>
            </w:r>
            <w:r w:rsidR="00BD1929">
              <w:rPr>
                <w:rFonts w:ascii="Calibri" w:eastAsia="Calibri" w:hAnsi="Calibri"/>
                <w:b/>
                <w:sz w:val="18"/>
                <w:szCs w:val="18"/>
                <w:vertAlign w:val="superscript"/>
                <w:lang w:eastAsia="en-US"/>
              </w:rPr>
              <w:t>12</w:t>
            </w:r>
          </w:p>
        </w:tc>
        <w:tc>
          <w:tcPr>
            <w:tcW w:w="993" w:type="dxa"/>
          </w:tcPr>
          <w:p w14:paraId="2A2CC439" w14:textId="441F9C51" w:rsidR="009B09AF" w:rsidRPr="003E15B6" w:rsidRDefault="003E15B6">
            <w:pPr>
              <w:rPr>
                <w:rFonts w:ascii="Calibri" w:eastAsia="Calibri" w:hAnsi="Calibri"/>
                <w:b/>
                <w:sz w:val="18"/>
                <w:szCs w:val="18"/>
                <w:lang w:eastAsia="en-US"/>
              </w:rPr>
            </w:pPr>
            <w:r w:rsidRPr="003E15B6">
              <w:rPr>
                <w:rFonts w:ascii="Calibri" w:eastAsia="Calibri" w:hAnsi="Calibri"/>
                <w:b/>
                <w:sz w:val="18"/>
                <w:szCs w:val="18"/>
                <w:lang w:eastAsia="en-US"/>
              </w:rPr>
              <w:t>VMAT – IMRT</w:t>
            </w:r>
            <w:r w:rsidR="00BD1929">
              <w:rPr>
                <w:rFonts w:ascii="Calibri" w:eastAsia="Calibri" w:hAnsi="Calibri"/>
                <w:b/>
                <w:sz w:val="18"/>
                <w:szCs w:val="18"/>
                <w:vertAlign w:val="superscript"/>
                <w:lang w:eastAsia="en-US"/>
              </w:rPr>
              <w:t>13</w:t>
            </w:r>
          </w:p>
        </w:tc>
        <w:tc>
          <w:tcPr>
            <w:tcW w:w="854" w:type="dxa"/>
          </w:tcPr>
          <w:p w14:paraId="77C60467" w14:textId="0BBCBA47" w:rsidR="009B09AF" w:rsidRPr="003E15B6" w:rsidRDefault="003E15B6" w:rsidP="003E15B6">
            <w:pPr>
              <w:rPr>
                <w:rFonts w:ascii="Calibri" w:eastAsia="Calibri" w:hAnsi="Calibri"/>
                <w:b/>
                <w:sz w:val="18"/>
                <w:szCs w:val="18"/>
                <w:lang w:eastAsia="en-US"/>
              </w:rPr>
            </w:pPr>
            <w:r w:rsidRPr="003E15B6">
              <w:rPr>
                <w:rFonts w:ascii="Calibri" w:eastAsia="Calibri" w:hAnsi="Calibri"/>
                <w:b/>
                <w:sz w:val="18"/>
                <w:szCs w:val="18"/>
                <w:lang w:eastAsia="en-US"/>
              </w:rPr>
              <w:t>VMAT – CRT</w:t>
            </w:r>
            <w:r w:rsidR="00BD1929">
              <w:rPr>
                <w:rFonts w:ascii="Calibri" w:eastAsia="Calibri" w:hAnsi="Calibri"/>
                <w:b/>
                <w:sz w:val="18"/>
                <w:szCs w:val="18"/>
                <w:vertAlign w:val="superscript"/>
                <w:lang w:eastAsia="en-US"/>
              </w:rPr>
              <w:t>14</w:t>
            </w:r>
          </w:p>
        </w:tc>
        <w:tc>
          <w:tcPr>
            <w:tcW w:w="896" w:type="dxa"/>
          </w:tcPr>
          <w:p w14:paraId="393FD844" w14:textId="6242EA04" w:rsidR="009B09AF" w:rsidRPr="003E15B6" w:rsidRDefault="003E15B6" w:rsidP="003E15B6">
            <w:pPr>
              <w:rPr>
                <w:rFonts w:ascii="Calibri" w:eastAsia="Calibri" w:hAnsi="Calibri"/>
                <w:b/>
                <w:sz w:val="18"/>
                <w:szCs w:val="18"/>
                <w:lang w:eastAsia="en-US"/>
              </w:rPr>
            </w:pPr>
            <w:r w:rsidRPr="003E15B6">
              <w:rPr>
                <w:rFonts w:ascii="Calibri" w:eastAsia="Calibri" w:hAnsi="Calibri"/>
                <w:b/>
                <w:sz w:val="18"/>
                <w:szCs w:val="18"/>
                <w:lang w:eastAsia="en-US"/>
              </w:rPr>
              <w:t>VMAT – CRT</w:t>
            </w:r>
            <w:r w:rsidR="00BD1929">
              <w:rPr>
                <w:rFonts w:ascii="Calibri" w:eastAsia="Calibri" w:hAnsi="Calibri"/>
                <w:b/>
                <w:sz w:val="18"/>
                <w:szCs w:val="18"/>
                <w:vertAlign w:val="superscript"/>
                <w:lang w:eastAsia="en-US"/>
              </w:rPr>
              <w:t>15</w:t>
            </w:r>
          </w:p>
        </w:tc>
        <w:tc>
          <w:tcPr>
            <w:tcW w:w="897" w:type="dxa"/>
          </w:tcPr>
          <w:p w14:paraId="1DD3B655" w14:textId="3C188C72" w:rsidR="009B09AF" w:rsidRPr="003E15B6" w:rsidRDefault="003E15B6" w:rsidP="003E15B6">
            <w:pPr>
              <w:rPr>
                <w:rFonts w:ascii="Calibri" w:eastAsia="Calibri" w:hAnsi="Calibri"/>
                <w:b/>
                <w:sz w:val="18"/>
                <w:szCs w:val="18"/>
                <w:lang w:eastAsia="en-US"/>
              </w:rPr>
            </w:pPr>
            <w:r w:rsidRPr="003E15B6">
              <w:rPr>
                <w:rFonts w:ascii="Calibri" w:eastAsia="Calibri" w:hAnsi="Calibri"/>
                <w:b/>
                <w:sz w:val="18"/>
                <w:szCs w:val="18"/>
                <w:lang w:eastAsia="en-US"/>
              </w:rPr>
              <w:t>VMAT-HY</w:t>
            </w:r>
            <w:r w:rsidR="00BD1929">
              <w:rPr>
                <w:rFonts w:ascii="Calibri" w:eastAsia="Calibri" w:hAnsi="Calibri"/>
                <w:b/>
                <w:sz w:val="18"/>
                <w:szCs w:val="18"/>
                <w:vertAlign w:val="superscript"/>
                <w:lang w:eastAsia="en-US"/>
              </w:rPr>
              <w:t>16</w:t>
            </w:r>
          </w:p>
        </w:tc>
        <w:tc>
          <w:tcPr>
            <w:tcW w:w="896" w:type="dxa"/>
          </w:tcPr>
          <w:p w14:paraId="21774D38" w14:textId="14D0C7F6" w:rsidR="009B09AF" w:rsidRPr="003E15B6" w:rsidRDefault="003E15B6" w:rsidP="003E15B6">
            <w:pPr>
              <w:rPr>
                <w:rFonts w:ascii="Calibri" w:eastAsia="Calibri" w:hAnsi="Calibri"/>
                <w:b/>
                <w:sz w:val="18"/>
                <w:szCs w:val="18"/>
                <w:lang w:eastAsia="en-US"/>
              </w:rPr>
            </w:pPr>
            <w:r w:rsidRPr="003E15B6">
              <w:rPr>
                <w:rFonts w:ascii="Calibri" w:eastAsia="Calibri" w:hAnsi="Calibri"/>
                <w:b/>
                <w:sz w:val="18"/>
                <w:szCs w:val="18"/>
                <w:lang w:eastAsia="en-US"/>
              </w:rPr>
              <w:t>HY-CRT</w:t>
            </w:r>
            <w:r w:rsidR="00BD1929">
              <w:rPr>
                <w:rFonts w:ascii="Calibri" w:eastAsia="Calibri" w:hAnsi="Calibri"/>
                <w:b/>
                <w:sz w:val="18"/>
                <w:szCs w:val="18"/>
                <w:vertAlign w:val="superscript"/>
                <w:lang w:eastAsia="en-US"/>
              </w:rPr>
              <w:t>17</w:t>
            </w:r>
          </w:p>
        </w:tc>
      </w:tr>
      <w:tr w:rsidR="003E15B6" w:rsidRPr="003E15B6" w14:paraId="7EC0299C" w14:textId="321E4CE2" w:rsidTr="003E15B6">
        <w:tc>
          <w:tcPr>
            <w:tcW w:w="814" w:type="dxa"/>
          </w:tcPr>
          <w:p w14:paraId="1C86554F"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Heart</w:t>
            </w:r>
          </w:p>
        </w:tc>
        <w:tc>
          <w:tcPr>
            <w:tcW w:w="1057" w:type="dxa"/>
          </w:tcPr>
          <w:p w14:paraId="688369D3" w14:textId="77777777" w:rsidR="009B09AF" w:rsidRPr="003E15B6" w:rsidRDefault="009B09AF" w:rsidP="009B09AF">
            <w:pPr>
              <w:rPr>
                <w:rFonts w:ascii="Calibri" w:eastAsia="Calibri" w:hAnsi="Calibri"/>
                <w:sz w:val="18"/>
                <w:szCs w:val="18"/>
                <w:lang w:eastAsia="en-US"/>
              </w:rPr>
            </w:pPr>
            <w:proofErr w:type="spellStart"/>
            <w:r w:rsidRPr="003E15B6">
              <w:rPr>
                <w:rFonts w:ascii="Calibri" w:eastAsia="Calibri" w:hAnsi="Calibri"/>
                <w:sz w:val="18"/>
                <w:szCs w:val="18"/>
                <w:lang w:eastAsia="en-US"/>
              </w:rPr>
              <w:t>Dmean</w:t>
            </w:r>
            <w:proofErr w:type="spellEnd"/>
          </w:p>
        </w:tc>
        <w:tc>
          <w:tcPr>
            <w:tcW w:w="812" w:type="dxa"/>
          </w:tcPr>
          <w:p w14:paraId="01C37A2E"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0.3Gy</w:t>
            </w:r>
          </w:p>
        </w:tc>
        <w:tc>
          <w:tcPr>
            <w:tcW w:w="848" w:type="dxa"/>
          </w:tcPr>
          <w:p w14:paraId="4332D7D4" w14:textId="77777777" w:rsidR="009B09AF" w:rsidRPr="003E15B6" w:rsidRDefault="009B09AF" w:rsidP="009B09AF">
            <w:pPr>
              <w:rPr>
                <w:rFonts w:ascii="Calibri" w:eastAsia="Calibri" w:hAnsi="Calibri"/>
                <w:sz w:val="18"/>
                <w:szCs w:val="18"/>
                <w:lang w:eastAsia="en-US"/>
              </w:rPr>
            </w:pPr>
          </w:p>
        </w:tc>
        <w:tc>
          <w:tcPr>
            <w:tcW w:w="1000" w:type="dxa"/>
          </w:tcPr>
          <w:p w14:paraId="108EC4CD"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0.3Gy</w:t>
            </w:r>
          </w:p>
        </w:tc>
        <w:tc>
          <w:tcPr>
            <w:tcW w:w="993" w:type="dxa"/>
          </w:tcPr>
          <w:p w14:paraId="01DE83F6" w14:textId="451B1881"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2.4Gy</w:t>
            </w:r>
          </w:p>
        </w:tc>
        <w:tc>
          <w:tcPr>
            <w:tcW w:w="854" w:type="dxa"/>
          </w:tcPr>
          <w:p w14:paraId="50209C5A" w14:textId="74943A6E"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0.96Gy</w:t>
            </w:r>
          </w:p>
        </w:tc>
        <w:tc>
          <w:tcPr>
            <w:tcW w:w="896" w:type="dxa"/>
          </w:tcPr>
          <w:p w14:paraId="3DA1AEEA" w14:textId="77777777" w:rsidR="009B09AF" w:rsidRPr="003E15B6" w:rsidRDefault="009B09AF" w:rsidP="009B09AF">
            <w:pPr>
              <w:rPr>
                <w:rFonts w:ascii="Calibri" w:eastAsia="Calibri" w:hAnsi="Calibri"/>
                <w:sz w:val="18"/>
                <w:szCs w:val="18"/>
                <w:lang w:eastAsia="en-US"/>
              </w:rPr>
            </w:pPr>
          </w:p>
        </w:tc>
        <w:tc>
          <w:tcPr>
            <w:tcW w:w="897" w:type="dxa"/>
          </w:tcPr>
          <w:p w14:paraId="4027E159" w14:textId="3BB8E652"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1Gy</w:t>
            </w:r>
          </w:p>
        </w:tc>
        <w:tc>
          <w:tcPr>
            <w:tcW w:w="896" w:type="dxa"/>
          </w:tcPr>
          <w:p w14:paraId="644AB15A" w14:textId="7F5FCB72"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-0.7Gy</w:t>
            </w:r>
          </w:p>
        </w:tc>
      </w:tr>
      <w:tr w:rsidR="003E15B6" w:rsidRPr="003E15B6" w14:paraId="37D82624" w14:textId="53AF7373" w:rsidTr="003E15B6">
        <w:tc>
          <w:tcPr>
            <w:tcW w:w="814" w:type="dxa"/>
          </w:tcPr>
          <w:p w14:paraId="2D094760" w14:textId="77777777" w:rsidR="009B09AF" w:rsidRPr="003E15B6" w:rsidRDefault="009B09AF" w:rsidP="009B09AF">
            <w:pPr>
              <w:rPr>
                <w:rFonts w:ascii="Calibri" w:eastAsia="Calibri" w:hAnsi="Calibri"/>
                <w:sz w:val="18"/>
                <w:szCs w:val="18"/>
                <w:lang w:eastAsia="en-US"/>
              </w:rPr>
            </w:pPr>
          </w:p>
        </w:tc>
        <w:tc>
          <w:tcPr>
            <w:tcW w:w="1057" w:type="dxa"/>
          </w:tcPr>
          <w:p w14:paraId="5803F189"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D2%</w:t>
            </w:r>
          </w:p>
        </w:tc>
        <w:tc>
          <w:tcPr>
            <w:tcW w:w="812" w:type="dxa"/>
          </w:tcPr>
          <w:p w14:paraId="3DCF46EC" w14:textId="77777777" w:rsidR="009B09AF" w:rsidRPr="003E15B6" w:rsidRDefault="009B09AF" w:rsidP="009B09AF">
            <w:pPr>
              <w:rPr>
                <w:rFonts w:ascii="Calibri" w:eastAsia="Calibri" w:hAnsi="Calibri"/>
                <w:sz w:val="18"/>
                <w:szCs w:val="18"/>
                <w:lang w:eastAsia="en-US"/>
              </w:rPr>
            </w:pPr>
          </w:p>
        </w:tc>
        <w:tc>
          <w:tcPr>
            <w:tcW w:w="848" w:type="dxa"/>
          </w:tcPr>
          <w:p w14:paraId="53E09E28" w14:textId="77777777" w:rsidR="009B09AF" w:rsidRPr="003E15B6" w:rsidRDefault="009B09AF" w:rsidP="009B09AF">
            <w:pPr>
              <w:rPr>
                <w:rFonts w:ascii="Calibri" w:eastAsia="Calibri" w:hAnsi="Calibri"/>
                <w:sz w:val="18"/>
                <w:szCs w:val="18"/>
                <w:lang w:eastAsia="en-US"/>
              </w:rPr>
            </w:pPr>
          </w:p>
        </w:tc>
        <w:tc>
          <w:tcPr>
            <w:tcW w:w="1000" w:type="dxa"/>
          </w:tcPr>
          <w:p w14:paraId="6B2036E0"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-3.6Gy</w:t>
            </w:r>
          </w:p>
        </w:tc>
        <w:tc>
          <w:tcPr>
            <w:tcW w:w="993" w:type="dxa"/>
          </w:tcPr>
          <w:p w14:paraId="53817510" w14:textId="77777777" w:rsidR="009B09AF" w:rsidRPr="003E15B6" w:rsidRDefault="009B09AF" w:rsidP="009B09AF">
            <w:pPr>
              <w:rPr>
                <w:rFonts w:ascii="Calibri" w:eastAsia="Calibri" w:hAnsi="Calibri"/>
                <w:sz w:val="18"/>
                <w:szCs w:val="18"/>
                <w:lang w:eastAsia="en-US"/>
              </w:rPr>
            </w:pPr>
          </w:p>
        </w:tc>
        <w:tc>
          <w:tcPr>
            <w:tcW w:w="854" w:type="dxa"/>
          </w:tcPr>
          <w:p w14:paraId="4DE6211E" w14:textId="0FF20F33" w:rsidR="009B09AF" w:rsidRPr="003E15B6" w:rsidRDefault="009B09AF" w:rsidP="009B09AF">
            <w:pPr>
              <w:rPr>
                <w:rFonts w:ascii="Calibri" w:eastAsia="Calibri" w:hAnsi="Calibri"/>
                <w:sz w:val="18"/>
                <w:szCs w:val="18"/>
                <w:lang w:eastAsia="en-US"/>
              </w:rPr>
            </w:pPr>
          </w:p>
        </w:tc>
        <w:tc>
          <w:tcPr>
            <w:tcW w:w="896" w:type="dxa"/>
          </w:tcPr>
          <w:p w14:paraId="310C16EC" w14:textId="77777777" w:rsidR="009B09AF" w:rsidRPr="003E15B6" w:rsidRDefault="009B09AF" w:rsidP="009B09AF">
            <w:pPr>
              <w:rPr>
                <w:rFonts w:ascii="Calibri" w:eastAsia="Calibri" w:hAnsi="Calibri"/>
                <w:sz w:val="18"/>
                <w:szCs w:val="18"/>
                <w:lang w:eastAsia="en-US"/>
              </w:rPr>
            </w:pPr>
          </w:p>
        </w:tc>
        <w:tc>
          <w:tcPr>
            <w:tcW w:w="897" w:type="dxa"/>
          </w:tcPr>
          <w:p w14:paraId="03EA5C44" w14:textId="77777777" w:rsidR="009B09AF" w:rsidRPr="003E15B6" w:rsidRDefault="009B09AF" w:rsidP="009B09AF">
            <w:pPr>
              <w:rPr>
                <w:rFonts w:ascii="Calibri" w:eastAsia="Calibri" w:hAnsi="Calibri"/>
                <w:sz w:val="18"/>
                <w:szCs w:val="18"/>
                <w:lang w:eastAsia="en-US"/>
              </w:rPr>
            </w:pPr>
          </w:p>
        </w:tc>
        <w:tc>
          <w:tcPr>
            <w:tcW w:w="896" w:type="dxa"/>
          </w:tcPr>
          <w:p w14:paraId="5043FF5F" w14:textId="77777777" w:rsidR="009B09AF" w:rsidRPr="003E15B6" w:rsidRDefault="009B09AF" w:rsidP="009B09AF">
            <w:pPr>
              <w:rPr>
                <w:rFonts w:ascii="Calibri" w:eastAsia="Calibri" w:hAnsi="Calibri"/>
                <w:sz w:val="18"/>
                <w:szCs w:val="18"/>
                <w:lang w:eastAsia="en-US"/>
              </w:rPr>
            </w:pPr>
          </w:p>
        </w:tc>
      </w:tr>
      <w:tr w:rsidR="003E15B6" w:rsidRPr="003E15B6" w14:paraId="2331DACA" w14:textId="775F597B" w:rsidTr="003E15B6">
        <w:tc>
          <w:tcPr>
            <w:tcW w:w="814" w:type="dxa"/>
          </w:tcPr>
          <w:p w14:paraId="7A3BF4B6" w14:textId="77777777" w:rsidR="009B09AF" w:rsidRPr="003E15B6" w:rsidRDefault="009B09AF" w:rsidP="009B09AF">
            <w:pPr>
              <w:rPr>
                <w:rFonts w:ascii="Calibri" w:eastAsia="Calibri" w:hAnsi="Calibri"/>
                <w:sz w:val="18"/>
                <w:szCs w:val="18"/>
                <w:lang w:eastAsia="en-US"/>
              </w:rPr>
            </w:pPr>
          </w:p>
        </w:tc>
        <w:tc>
          <w:tcPr>
            <w:tcW w:w="1057" w:type="dxa"/>
          </w:tcPr>
          <w:p w14:paraId="6927EED0"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V5Gy</w:t>
            </w:r>
          </w:p>
        </w:tc>
        <w:tc>
          <w:tcPr>
            <w:tcW w:w="812" w:type="dxa"/>
          </w:tcPr>
          <w:p w14:paraId="23DBC292" w14:textId="01907022" w:rsidR="009B09AF" w:rsidRPr="003E15B6" w:rsidRDefault="009B09AF" w:rsidP="009B09AF">
            <w:pPr>
              <w:jc w:val="center"/>
              <w:rPr>
                <w:rFonts w:ascii="Calibri" w:eastAsia="Calibri" w:hAnsi="Calibri"/>
                <w:sz w:val="18"/>
                <w:szCs w:val="18"/>
                <w:lang w:eastAsia="en-US"/>
              </w:rPr>
            </w:pPr>
          </w:p>
        </w:tc>
        <w:tc>
          <w:tcPr>
            <w:tcW w:w="848" w:type="dxa"/>
          </w:tcPr>
          <w:p w14:paraId="40C41542"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13%</w:t>
            </w:r>
          </w:p>
        </w:tc>
        <w:tc>
          <w:tcPr>
            <w:tcW w:w="1000" w:type="dxa"/>
          </w:tcPr>
          <w:p w14:paraId="3D7063FC"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3.8%</w:t>
            </w:r>
          </w:p>
        </w:tc>
        <w:tc>
          <w:tcPr>
            <w:tcW w:w="993" w:type="dxa"/>
          </w:tcPr>
          <w:p w14:paraId="2528F4A6" w14:textId="3B87EF78"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19.8%</w:t>
            </w:r>
          </w:p>
        </w:tc>
        <w:tc>
          <w:tcPr>
            <w:tcW w:w="854" w:type="dxa"/>
          </w:tcPr>
          <w:p w14:paraId="1BB8A0AD" w14:textId="6505CFFA" w:rsidR="009B09AF" w:rsidRPr="003E15B6" w:rsidRDefault="009B09AF" w:rsidP="009B09AF">
            <w:pPr>
              <w:rPr>
                <w:rFonts w:ascii="Calibri" w:eastAsia="Calibri" w:hAnsi="Calibri"/>
                <w:sz w:val="18"/>
                <w:szCs w:val="18"/>
                <w:lang w:eastAsia="en-US"/>
              </w:rPr>
            </w:pPr>
          </w:p>
        </w:tc>
        <w:tc>
          <w:tcPr>
            <w:tcW w:w="896" w:type="dxa"/>
          </w:tcPr>
          <w:p w14:paraId="2946FBAD" w14:textId="77777777" w:rsidR="009B09AF" w:rsidRPr="003E15B6" w:rsidRDefault="009B09AF" w:rsidP="009B09AF">
            <w:pPr>
              <w:rPr>
                <w:rFonts w:ascii="Calibri" w:eastAsia="Calibri" w:hAnsi="Calibri"/>
                <w:sz w:val="18"/>
                <w:szCs w:val="18"/>
                <w:lang w:eastAsia="en-US"/>
              </w:rPr>
            </w:pPr>
          </w:p>
        </w:tc>
        <w:tc>
          <w:tcPr>
            <w:tcW w:w="897" w:type="dxa"/>
          </w:tcPr>
          <w:p w14:paraId="16A63551" w14:textId="3F68A304"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-1.2%</w:t>
            </w:r>
          </w:p>
        </w:tc>
        <w:tc>
          <w:tcPr>
            <w:tcW w:w="896" w:type="dxa"/>
          </w:tcPr>
          <w:p w14:paraId="71C1D00A" w14:textId="190CCA94"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-6.5%</w:t>
            </w:r>
          </w:p>
        </w:tc>
      </w:tr>
      <w:tr w:rsidR="003E15B6" w:rsidRPr="003E15B6" w14:paraId="4779C2A0" w14:textId="21ED9657" w:rsidTr="003E15B6">
        <w:tc>
          <w:tcPr>
            <w:tcW w:w="814" w:type="dxa"/>
          </w:tcPr>
          <w:p w14:paraId="4AA34109" w14:textId="77777777" w:rsidR="009B09AF" w:rsidRPr="003E15B6" w:rsidRDefault="009B09AF" w:rsidP="009B09AF">
            <w:pPr>
              <w:rPr>
                <w:rFonts w:ascii="Calibri" w:eastAsia="Calibri" w:hAnsi="Calibri"/>
                <w:sz w:val="18"/>
                <w:szCs w:val="18"/>
                <w:lang w:eastAsia="en-US"/>
              </w:rPr>
            </w:pPr>
          </w:p>
        </w:tc>
        <w:tc>
          <w:tcPr>
            <w:tcW w:w="1057" w:type="dxa"/>
          </w:tcPr>
          <w:p w14:paraId="7402E54F"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V10Gy</w:t>
            </w:r>
          </w:p>
        </w:tc>
        <w:tc>
          <w:tcPr>
            <w:tcW w:w="812" w:type="dxa"/>
          </w:tcPr>
          <w:p w14:paraId="3869ADFE" w14:textId="1D2A72B1" w:rsidR="009B09AF" w:rsidRPr="003E15B6" w:rsidRDefault="009B09AF" w:rsidP="009B09AF">
            <w:pPr>
              <w:jc w:val="center"/>
              <w:rPr>
                <w:rFonts w:ascii="Calibri" w:eastAsia="Calibri" w:hAnsi="Calibri"/>
                <w:sz w:val="18"/>
                <w:szCs w:val="18"/>
                <w:lang w:eastAsia="en-US"/>
              </w:rPr>
            </w:pPr>
          </w:p>
        </w:tc>
        <w:tc>
          <w:tcPr>
            <w:tcW w:w="848" w:type="dxa"/>
          </w:tcPr>
          <w:p w14:paraId="4944B566" w14:textId="77777777" w:rsidR="009B09AF" w:rsidRPr="003E15B6" w:rsidRDefault="009B09AF" w:rsidP="009B09AF">
            <w:pPr>
              <w:rPr>
                <w:rFonts w:ascii="Calibri" w:eastAsia="Calibri" w:hAnsi="Calibri"/>
                <w:sz w:val="18"/>
                <w:szCs w:val="18"/>
                <w:lang w:eastAsia="en-US"/>
              </w:rPr>
            </w:pPr>
          </w:p>
        </w:tc>
        <w:tc>
          <w:tcPr>
            <w:tcW w:w="1000" w:type="dxa"/>
          </w:tcPr>
          <w:p w14:paraId="6BEFF8DF" w14:textId="77777777" w:rsidR="009B09AF" w:rsidRPr="003E15B6" w:rsidRDefault="009B09AF" w:rsidP="009B09AF">
            <w:pPr>
              <w:rPr>
                <w:rFonts w:ascii="Calibri" w:eastAsia="Calibri" w:hAnsi="Calibri"/>
                <w:sz w:val="18"/>
                <w:szCs w:val="18"/>
                <w:lang w:eastAsia="en-US"/>
              </w:rPr>
            </w:pPr>
          </w:p>
        </w:tc>
        <w:tc>
          <w:tcPr>
            <w:tcW w:w="993" w:type="dxa"/>
          </w:tcPr>
          <w:p w14:paraId="02E2EED4" w14:textId="68FAA9EE"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3.4%</w:t>
            </w:r>
          </w:p>
        </w:tc>
        <w:tc>
          <w:tcPr>
            <w:tcW w:w="854" w:type="dxa"/>
          </w:tcPr>
          <w:p w14:paraId="702B75A6" w14:textId="03D497DC" w:rsidR="009B09AF" w:rsidRPr="003E15B6" w:rsidRDefault="009B09AF" w:rsidP="009B09AF">
            <w:pPr>
              <w:rPr>
                <w:rFonts w:ascii="Calibri" w:eastAsia="Calibri" w:hAnsi="Calibri"/>
                <w:sz w:val="18"/>
                <w:szCs w:val="18"/>
                <w:lang w:eastAsia="en-US"/>
              </w:rPr>
            </w:pPr>
          </w:p>
        </w:tc>
        <w:tc>
          <w:tcPr>
            <w:tcW w:w="896" w:type="dxa"/>
          </w:tcPr>
          <w:p w14:paraId="09240FAB" w14:textId="77777777" w:rsidR="009B09AF" w:rsidRPr="003E15B6" w:rsidRDefault="009B09AF" w:rsidP="009B09AF">
            <w:pPr>
              <w:rPr>
                <w:rFonts w:ascii="Calibri" w:eastAsia="Calibri" w:hAnsi="Calibri"/>
                <w:sz w:val="18"/>
                <w:szCs w:val="18"/>
                <w:lang w:eastAsia="en-US"/>
              </w:rPr>
            </w:pPr>
          </w:p>
        </w:tc>
        <w:tc>
          <w:tcPr>
            <w:tcW w:w="897" w:type="dxa"/>
          </w:tcPr>
          <w:p w14:paraId="2A801744" w14:textId="77777777" w:rsidR="009B09AF" w:rsidRPr="003E15B6" w:rsidRDefault="009B09AF" w:rsidP="009B09AF">
            <w:pPr>
              <w:rPr>
                <w:rFonts w:ascii="Calibri" w:eastAsia="Calibri" w:hAnsi="Calibri"/>
                <w:sz w:val="18"/>
                <w:szCs w:val="18"/>
                <w:lang w:eastAsia="en-US"/>
              </w:rPr>
            </w:pPr>
          </w:p>
        </w:tc>
        <w:tc>
          <w:tcPr>
            <w:tcW w:w="896" w:type="dxa"/>
          </w:tcPr>
          <w:p w14:paraId="2B3E7690" w14:textId="1AC4547A"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-1.2%</w:t>
            </w:r>
          </w:p>
        </w:tc>
      </w:tr>
      <w:tr w:rsidR="003E15B6" w:rsidRPr="003E15B6" w14:paraId="714F8D43" w14:textId="3CA63072" w:rsidTr="003E15B6">
        <w:tc>
          <w:tcPr>
            <w:tcW w:w="814" w:type="dxa"/>
          </w:tcPr>
          <w:p w14:paraId="252C541C" w14:textId="77777777" w:rsidR="009B09AF" w:rsidRPr="003E15B6" w:rsidRDefault="009B09AF" w:rsidP="009B09AF">
            <w:pPr>
              <w:rPr>
                <w:rFonts w:ascii="Calibri" w:eastAsia="Calibri" w:hAnsi="Calibri"/>
                <w:sz w:val="18"/>
                <w:szCs w:val="18"/>
                <w:lang w:eastAsia="en-US"/>
              </w:rPr>
            </w:pPr>
          </w:p>
        </w:tc>
        <w:tc>
          <w:tcPr>
            <w:tcW w:w="1057" w:type="dxa"/>
          </w:tcPr>
          <w:p w14:paraId="30A383CD"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V20Gy</w:t>
            </w:r>
          </w:p>
        </w:tc>
        <w:tc>
          <w:tcPr>
            <w:tcW w:w="812" w:type="dxa"/>
          </w:tcPr>
          <w:p w14:paraId="11FA6A0E" w14:textId="77777777" w:rsidR="009B09AF" w:rsidRPr="003E15B6" w:rsidRDefault="009B09AF" w:rsidP="009B09AF">
            <w:pPr>
              <w:jc w:val="center"/>
              <w:rPr>
                <w:rFonts w:ascii="Calibri" w:eastAsia="Calibri" w:hAnsi="Calibri"/>
                <w:sz w:val="18"/>
                <w:szCs w:val="18"/>
                <w:lang w:eastAsia="en-US"/>
              </w:rPr>
            </w:pPr>
          </w:p>
        </w:tc>
        <w:tc>
          <w:tcPr>
            <w:tcW w:w="848" w:type="dxa"/>
          </w:tcPr>
          <w:p w14:paraId="4EC3529B" w14:textId="77777777" w:rsidR="009B09AF" w:rsidRPr="003E15B6" w:rsidRDefault="009B09AF" w:rsidP="009B09AF">
            <w:pPr>
              <w:rPr>
                <w:rFonts w:ascii="Calibri" w:eastAsia="Calibri" w:hAnsi="Calibri"/>
                <w:sz w:val="18"/>
                <w:szCs w:val="18"/>
                <w:lang w:eastAsia="en-US"/>
              </w:rPr>
            </w:pPr>
          </w:p>
        </w:tc>
        <w:tc>
          <w:tcPr>
            <w:tcW w:w="1000" w:type="dxa"/>
          </w:tcPr>
          <w:p w14:paraId="3644F500"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3.9%</w:t>
            </w:r>
          </w:p>
        </w:tc>
        <w:tc>
          <w:tcPr>
            <w:tcW w:w="993" w:type="dxa"/>
          </w:tcPr>
          <w:p w14:paraId="75AF15CA" w14:textId="7355F968"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0.5%</w:t>
            </w:r>
          </w:p>
        </w:tc>
        <w:tc>
          <w:tcPr>
            <w:tcW w:w="854" w:type="dxa"/>
          </w:tcPr>
          <w:p w14:paraId="0E77E209" w14:textId="5FF68EAD" w:rsidR="009B09AF" w:rsidRPr="003E15B6" w:rsidRDefault="009B09AF" w:rsidP="009B09AF">
            <w:pPr>
              <w:rPr>
                <w:rFonts w:ascii="Calibri" w:eastAsia="Calibri" w:hAnsi="Calibri"/>
                <w:sz w:val="18"/>
                <w:szCs w:val="18"/>
                <w:lang w:eastAsia="en-US"/>
              </w:rPr>
            </w:pPr>
          </w:p>
        </w:tc>
        <w:tc>
          <w:tcPr>
            <w:tcW w:w="896" w:type="dxa"/>
          </w:tcPr>
          <w:p w14:paraId="0250D031" w14:textId="77777777" w:rsidR="009B09AF" w:rsidRPr="003E15B6" w:rsidRDefault="009B09AF" w:rsidP="009B09AF">
            <w:pPr>
              <w:rPr>
                <w:rFonts w:ascii="Calibri" w:eastAsia="Calibri" w:hAnsi="Calibri"/>
                <w:sz w:val="18"/>
                <w:szCs w:val="18"/>
                <w:lang w:eastAsia="en-US"/>
              </w:rPr>
            </w:pPr>
          </w:p>
        </w:tc>
        <w:tc>
          <w:tcPr>
            <w:tcW w:w="897" w:type="dxa"/>
          </w:tcPr>
          <w:p w14:paraId="73C082BD" w14:textId="77777777" w:rsidR="009B09AF" w:rsidRPr="003E15B6" w:rsidRDefault="009B09AF" w:rsidP="009B09AF">
            <w:pPr>
              <w:rPr>
                <w:rFonts w:ascii="Calibri" w:eastAsia="Calibri" w:hAnsi="Calibri"/>
                <w:sz w:val="18"/>
                <w:szCs w:val="18"/>
                <w:lang w:eastAsia="en-US"/>
              </w:rPr>
            </w:pPr>
          </w:p>
        </w:tc>
        <w:tc>
          <w:tcPr>
            <w:tcW w:w="896" w:type="dxa"/>
          </w:tcPr>
          <w:p w14:paraId="2CFA7263" w14:textId="77777777" w:rsidR="009B09AF" w:rsidRPr="003E15B6" w:rsidRDefault="009B09AF" w:rsidP="009B09AF">
            <w:pPr>
              <w:rPr>
                <w:rFonts w:ascii="Calibri" w:eastAsia="Calibri" w:hAnsi="Calibri"/>
                <w:sz w:val="18"/>
                <w:szCs w:val="18"/>
                <w:lang w:eastAsia="en-US"/>
              </w:rPr>
            </w:pPr>
          </w:p>
        </w:tc>
      </w:tr>
      <w:tr w:rsidR="003E15B6" w:rsidRPr="003E15B6" w14:paraId="6EBBEFBD" w14:textId="0567BD48" w:rsidTr="003E15B6">
        <w:tc>
          <w:tcPr>
            <w:tcW w:w="814" w:type="dxa"/>
          </w:tcPr>
          <w:p w14:paraId="13EB3CA7" w14:textId="77777777" w:rsidR="009B09AF" w:rsidRPr="003E15B6" w:rsidRDefault="009B09AF" w:rsidP="009B09AF">
            <w:pPr>
              <w:rPr>
                <w:rFonts w:ascii="Calibri" w:eastAsia="Calibri" w:hAnsi="Calibri"/>
                <w:sz w:val="18"/>
                <w:szCs w:val="18"/>
                <w:lang w:eastAsia="en-US"/>
              </w:rPr>
            </w:pPr>
          </w:p>
        </w:tc>
        <w:tc>
          <w:tcPr>
            <w:tcW w:w="1057" w:type="dxa"/>
          </w:tcPr>
          <w:p w14:paraId="4282A012"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V25Gy</w:t>
            </w:r>
          </w:p>
        </w:tc>
        <w:tc>
          <w:tcPr>
            <w:tcW w:w="812" w:type="dxa"/>
          </w:tcPr>
          <w:p w14:paraId="451F4F18" w14:textId="007EA0F8" w:rsidR="009B09AF" w:rsidRPr="003E15B6" w:rsidRDefault="009B09AF" w:rsidP="009B09AF">
            <w:pPr>
              <w:jc w:val="center"/>
              <w:rPr>
                <w:rFonts w:ascii="Calibri" w:eastAsia="Calibri" w:hAnsi="Calibri"/>
                <w:sz w:val="18"/>
                <w:szCs w:val="18"/>
                <w:lang w:eastAsia="en-US"/>
              </w:rPr>
            </w:pPr>
          </w:p>
        </w:tc>
        <w:tc>
          <w:tcPr>
            <w:tcW w:w="848" w:type="dxa"/>
          </w:tcPr>
          <w:p w14:paraId="5D2A287B" w14:textId="77777777" w:rsidR="009B09AF" w:rsidRPr="003E15B6" w:rsidRDefault="009B09AF" w:rsidP="009B09AF">
            <w:pPr>
              <w:rPr>
                <w:rFonts w:ascii="Calibri" w:eastAsia="Calibri" w:hAnsi="Calibri"/>
                <w:sz w:val="18"/>
                <w:szCs w:val="18"/>
                <w:lang w:eastAsia="en-US"/>
              </w:rPr>
            </w:pPr>
          </w:p>
        </w:tc>
        <w:tc>
          <w:tcPr>
            <w:tcW w:w="1000" w:type="dxa"/>
          </w:tcPr>
          <w:p w14:paraId="355FCB94" w14:textId="77777777" w:rsidR="009B09AF" w:rsidRPr="003E15B6" w:rsidRDefault="009B09AF" w:rsidP="009B09AF">
            <w:pPr>
              <w:rPr>
                <w:rFonts w:ascii="Calibri" w:eastAsia="Calibri" w:hAnsi="Calibri"/>
                <w:sz w:val="18"/>
                <w:szCs w:val="18"/>
                <w:lang w:eastAsia="en-US"/>
              </w:rPr>
            </w:pPr>
          </w:p>
        </w:tc>
        <w:tc>
          <w:tcPr>
            <w:tcW w:w="993" w:type="dxa"/>
          </w:tcPr>
          <w:p w14:paraId="35D06B2E" w14:textId="77777777" w:rsidR="009B09AF" w:rsidRPr="003E15B6" w:rsidRDefault="009B09AF" w:rsidP="009B09AF">
            <w:pPr>
              <w:rPr>
                <w:rFonts w:ascii="Calibri" w:eastAsia="Calibri" w:hAnsi="Calibri"/>
                <w:sz w:val="18"/>
                <w:szCs w:val="18"/>
                <w:lang w:eastAsia="en-US"/>
              </w:rPr>
            </w:pPr>
          </w:p>
        </w:tc>
        <w:tc>
          <w:tcPr>
            <w:tcW w:w="854" w:type="dxa"/>
          </w:tcPr>
          <w:p w14:paraId="3711BEE3" w14:textId="0AA52245" w:rsidR="009B09AF" w:rsidRPr="003E15B6" w:rsidRDefault="009B09AF" w:rsidP="009B09AF">
            <w:pPr>
              <w:rPr>
                <w:rFonts w:ascii="Calibri" w:eastAsia="Calibri" w:hAnsi="Calibri"/>
                <w:sz w:val="18"/>
                <w:szCs w:val="18"/>
                <w:lang w:eastAsia="en-US"/>
              </w:rPr>
            </w:pPr>
          </w:p>
        </w:tc>
        <w:tc>
          <w:tcPr>
            <w:tcW w:w="896" w:type="dxa"/>
          </w:tcPr>
          <w:p w14:paraId="08BA50D7" w14:textId="77777777" w:rsidR="009B09AF" w:rsidRPr="003E15B6" w:rsidRDefault="009B09AF" w:rsidP="009B09AF">
            <w:pPr>
              <w:rPr>
                <w:rFonts w:ascii="Calibri" w:eastAsia="Calibri" w:hAnsi="Calibri"/>
                <w:sz w:val="18"/>
                <w:szCs w:val="18"/>
                <w:lang w:eastAsia="en-US"/>
              </w:rPr>
            </w:pPr>
          </w:p>
        </w:tc>
        <w:tc>
          <w:tcPr>
            <w:tcW w:w="897" w:type="dxa"/>
          </w:tcPr>
          <w:p w14:paraId="1B8C9B5C" w14:textId="2C42B861"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0.1%</w:t>
            </w:r>
          </w:p>
        </w:tc>
        <w:tc>
          <w:tcPr>
            <w:tcW w:w="896" w:type="dxa"/>
          </w:tcPr>
          <w:p w14:paraId="519ACCB1" w14:textId="78E99572"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-0.9%</w:t>
            </w:r>
          </w:p>
        </w:tc>
      </w:tr>
      <w:tr w:rsidR="003E15B6" w:rsidRPr="003E15B6" w14:paraId="6952FAFA" w14:textId="47E73EA2" w:rsidTr="003E15B6">
        <w:tc>
          <w:tcPr>
            <w:tcW w:w="814" w:type="dxa"/>
          </w:tcPr>
          <w:p w14:paraId="3AE9293C" w14:textId="77777777" w:rsidR="009B09AF" w:rsidRPr="003E15B6" w:rsidRDefault="009B09AF" w:rsidP="009B09AF">
            <w:pPr>
              <w:rPr>
                <w:rFonts w:ascii="Calibri" w:eastAsia="Calibri" w:hAnsi="Calibri"/>
                <w:sz w:val="18"/>
                <w:szCs w:val="18"/>
                <w:lang w:eastAsia="en-US"/>
              </w:rPr>
            </w:pPr>
          </w:p>
        </w:tc>
        <w:tc>
          <w:tcPr>
            <w:tcW w:w="1057" w:type="dxa"/>
          </w:tcPr>
          <w:p w14:paraId="1DDFBB24"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V30Gy</w:t>
            </w:r>
          </w:p>
        </w:tc>
        <w:tc>
          <w:tcPr>
            <w:tcW w:w="812" w:type="dxa"/>
          </w:tcPr>
          <w:p w14:paraId="47E0BA0A" w14:textId="77777777" w:rsidR="009B09AF" w:rsidRPr="003E15B6" w:rsidRDefault="009B09AF" w:rsidP="009B09AF">
            <w:pPr>
              <w:jc w:val="center"/>
              <w:rPr>
                <w:rFonts w:ascii="Calibri" w:eastAsia="Calibri" w:hAnsi="Calibri"/>
                <w:sz w:val="18"/>
                <w:szCs w:val="18"/>
                <w:lang w:eastAsia="en-US"/>
              </w:rPr>
            </w:pPr>
          </w:p>
        </w:tc>
        <w:tc>
          <w:tcPr>
            <w:tcW w:w="848" w:type="dxa"/>
          </w:tcPr>
          <w:p w14:paraId="134DFEBB" w14:textId="77777777" w:rsidR="009B09AF" w:rsidRPr="003E15B6" w:rsidRDefault="009B09AF" w:rsidP="009B09AF">
            <w:pPr>
              <w:rPr>
                <w:rFonts w:ascii="Calibri" w:eastAsia="Calibri" w:hAnsi="Calibri"/>
                <w:sz w:val="18"/>
                <w:szCs w:val="18"/>
                <w:lang w:eastAsia="en-US"/>
              </w:rPr>
            </w:pPr>
          </w:p>
        </w:tc>
        <w:tc>
          <w:tcPr>
            <w:tcW w:w="1000" w:type="dxa"/>
          </w:tcPr>
          <w:p w14:paraId="32321165"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-1.5%</w:t>
            </w:r>
          </w:p>
        </w:tc>
        <w:tc>
          <w:tcPr>
            <w:tcW w:w="993" w:type="dxa"/>
          </w:tcPr>
          <w:p w14:paraId="526D2FAE" w14:textId="444E04D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-0.1%</w:t>
            </w:r>
          </w:p>
        </w:tc>
        <w:tc>
          <w:tcPr>
            <w:tcW w:w="854" w:type="dxa"/>
          </w:tcPr>
          <w:p w14:paraId="45D211C7" w14:textId="00E943BE" w:rsidR="009B09AF" w:rsidRPr="003E15B6" w:rsidRDefault="009B09AF" w:rsidP="009B09AF">
            <w:pPr>
              <w:rPr>
                <w:rFonts w:ascii="Calibri" w:eastAsia="Calibri" w:hAnsi="Calibri"/>
                <w:sz w:val="18"/>
                <w:szCs w:val="18"/>
                <w:lang w:eastAsia="en-US"/>
              </w:rPr>
            </w:pPr>
          </w:p>
        </w:tc>
        <w:tc>
          <w:tcPr>
            <w:tcW w:w="896" w:type="dxa"/>
          </w:tcPr>
          <w:p w14:paraId="67C77150" w14:textId="77777777" w:rsidR="009B09AF" w:rsidRPr="003E15B6" w:rsidRDefault="009B09AF" w:rsidP="009B09AF">
            <w:pPr>
              <w:rPr>
                <w:rFonts w:ascii="Calibri" w:eastAsia="Calibri" w:hAnsi="Calibri"/>
                <w:sz w:val="18"/>
                <w:szCs w:val="18"/>
                <w:lang w:eastAsia="en-US"/>
              </w:rPr>
            </w:pPr>
          </w:p>
        </w:tc>
        <w:tc>
          <w:tcPr>
            <w:tcW w:w="897" w:type="dxa"/>
          </w:tcPr>
          <w:p w14:paraId="7AE4FBDD" w14:textId="77777777" w:rsidR="009B09AF" w:rsidRPr="003E15B6" w:rsidRDefault="009B09AF" w:rsidP="009B09AF">
            <w:pPr>
              <w:rPr>
                <w:rFonts w:ascii="Calibri" w:eastAsia="Calibri" w:hAnsi="Calibri"/>
                <w:sz w:val="18"/>
                <w:szCs w:val="18"/>
                <w:lang w:eastAsia="en-US"/>
              </w:rPr>
            </w:pPr>
          </w:p>
        </w:tc>
        <w:tc>
          <w:tcPr>
            <w:tcW w:w="896" w:type="dxa"/>
          </w:tcPr>
          <w:p w14:paraId="62DCBF2F" w14:textId="77777777" w:rsidR="009B09AF" w:rsidRPr="003E15B6" w:rsidRDefault="009B09AF" w:rsidP="009B09AF">
            <w:pPr>
              <w:rPr>
                <w:rFonts w:ascii="Calibri" w:eastAsia="Calibri" w:hAnsi="Calibri"/>
                <w:sz w:val="18"/>
                <w:szCs w:val="18"/>
                <w:lang w:eastAsia="en-US"/>
              </w:rPr>
            </w:pPr>
          </w:p>
        </w:tc>
      </w:tr>
      <w:tr w:rsidR="003E15B6" w:rsidRPr="003E15B6" w14:paraId="574239A8" w14:textId="6C3D8900" w:rsidTr="003E15B6">
        <w:tc>
          <w:tcPr>
            <w:tcW w:w="814" w:type="dxa"/>
          </w:tcPr>
          <w:p w14:paraId="5A838DE3" w14:textId="77777777" w:rsidR="009B09AF" w:rsidRPr="003E15B6" w:rsidRDefault="009B09AF" w:rsidP="009B09AF">
            <w:pPr>
              <w:rPr>
                <w:rFonts w:ascii="Calibri" w:eastAsia="Calibri" w:hAnsi="Calibri"/>
                <w:sz w:val="18"/>
                <w:szCs w:val="18"/>
                <w:lang w:eastAsia="en-US"/>
              </w:rPr>
            </w:pPr>
          </w:p>
        </w:tc>
        <w:tc>
          <w:tcPr>
            <w:tcW w:w="1057" w:type="dxa"/>
          </w:tcPr>
          <w:p w14:paraId="03E71B94" w14:textId="0E569FE8"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V40Gy</w:t>
            </w:r>
          </w:p>
        </w:tc>
        <w:tc>
          <w:tcPr>
            <w:tcW w:w="812" w:type="dxa"/>
          </w:tcPr>
          <w:p w14:paraId="795A02E1" w14:textId="77777777" w:rsidR="009B09AF" w:rsidRPr="003E15B6" w:rsidRDefault="009B09AF" w:rsidP="009B09AF">
            <w:pPr>
              <w:jc w:val="center"/>
              <w:rPr>
                <w:rFonts w:ascii="Calibri" w:eastAsia="Calibri" w:hAnsi="Calibri"/>
                <w:sz w:val="18"/>
                <w:szCs w:val="18"/>
                <w:lang w:eastAsia="en-US"/>
              </w:rPr>
            </w:pPr>
          </w:p>
        </w:tc>
        <w:tc>
          <w:tcPr>
            <w:tcW w:w="848" w:type="dxa"/>
          </w:tcPr>
          <w:p w14:paraId="0D2D7BAF" w14:textId="77777777" w:rsidR="009B09AF" w:rsidRPr="003E15B6" w:rsidRDefault="009B09AF" w:rsidP="009B09AF">
            <w:pPr>
              <w:rPr>
                <w:rFonts w:ascii="Calibri" w:eastAsia="Calibri" w:hAnsi="Calibri"/>
                <w:sz w:val="18"/>
                <w:szCs w:val="18"/>
                <w:lang w:eastAsia="en-US"/>
              </w:rPr>
            </w:pPr>
          </w:p>
        </w:tc>
        <w:tc>
          <w:tcPr>
            <w:tcW w:w="1000" w:type="dxa"/>
          </w:tcPr>
          <w:p w14:paraId="24EEAB7D" w14:textId="77777777" w:rsidR="009B09AF" w:rsidRPr="003E15B6" w:rsidRDefault="009B09AF" w:rsidP="009B09AF">
            <w:pPr>
              <w:rPr>
                <w:rFonts w:ascii="Calibri" w:eastAsia="Calibri" w:hAnsi="Calibri"/>
                <w:sz w:val="18"/>
                <w:szCs w:val="18"/>
                <w:lang w:eastAsia="en-US"/>
              </w:rPr>
            </w:pPr>
          </w:p>
        </w:tc>
        <w:tc>
          <w:tcPr>
            <w:tcW w:w="993" w:type="dxa"/>
          </w:tcPr>
          <w:p w14:paraId="263D8855" w14:textId="001C81E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-0.2%</w:t>
            </w:r>
          </w:p>
        </w:tc>
        <w:tc>
          <w:tcPr>
            <w:tcW w:w="854" w:type="dxa"/>
          </w:tcPr>
          <w:p w14:paraId="733595C0" w14:textId="7FDD9B4F" w:rsidR="009B09AF" w:rsidRPr="003E15B6" w:rsidRDefault="009B09AF" w:rsidP="009B09AF">
            <w:pPr>
              <w:rPr>
                <w:rFonts w:ascii="Calibri" w:eastAsia="Calibri" w:hAnsi="Calibri"/>
                <w:sz w:val="18"/>
                <w:szCs w:val="18"/>
                <w:lang w:eastAsia="en-US"/>
              </w:rPr>
            </w:pPr>
          </w:p>
        </w:tc>
        <w:tc>
          <w:tcPr>
            <w:tcW w:w="896" w:type="dxa"/>
          </w:tcPr>
          <w:p w14:paraId="5ADFF9B3" w14:textId="77777777" w:rsidR="009B09AF" w:rsidRPr="003E15B6" w:rsidRDefault="009B09AF" w:rsidP="009B09AF">
            <w:pPr>
              <w:rPr>
                <w:rFonts w:ascii="Calibri" w:eastAsia="Calibri" w:hAnsi="Calibri"/>
                <w:sz w:val="18"/>
                <w:szCs w:val="18"/>
                <w:lang w:eastAsia="en-US"/>
              </w:rPr>
            </w:pPr>
          </w:p>
        </w:tc>
        <w:tc>
          <w:tcPr>
            <w:tcW w:w="897" w:type="dxa"/>
          </w:tcPr>
          <w:p w14:paraId="24413C97" w14:textId="77777777" w:rsidR="009B09AF" w:rsidRPr="003E15B6" w:rsidRDefault="009B09AF" w:rsidP="009B09AF">
            <w:pPr>
              <w:rPr>
                <w:rFonts w:ascii="Calibri" w:eastAsia="Calibri" w:hAnsi="Calibri"/>
                <w:sz w:val="18"/>
                <w:szCs w:val="18"/>
                <w:lang w:eastAsia="en-US"/>
              </w:rPr>
            </w:pPr>
          </w:p>
        </w:tc>
        <w:tc>
          <w:tcPr>
            <w:tcW w:w="896" w:type="dxa"/>
          </w:tcPr>
          <w:p w14:paraId="0128F011" w14:textId="77777777" w:rsidR="009B09AF" w:rsidRPr="003E15B6" w:rsidRDefault="009B09AF" w:rsidP="009B09AF">
            <w:pPr>
              <w:rPr>
                <w:rFonts w:ascii="Calibri" w:eastAsia="Calibri" w:hAnsi="Calibri"/>
                <w:sz w:val="18"/>
                <w:szCs w:val="18"/>
                <w:lang w:eastAsia="en-US"/>
              </w:rPr>
            </w:pPr>
          </w:p>
        </w:tc>
      </w:tr>
      <w:tr w:rsidR="003E15B6" w:rsidRPr="003E15B6" w14:paraId="59E61F79" w14:textId="7DD5F28C" w:rsidTr="003E15B6">
        <w:tc>
          <w:tcPr>
            <w:tcW w:w="814" w:type="dxa"/>
          </w:tcPr>
          <w:p w14:paraId="2F733EC2" w14:textId="56686F84"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LADCA</w:t>
            </w:r>
          </w:p>
        </w:tc>
        <w:tc>
          <w:tcPr>
            <w:tcW w:w="1057" w:type="dxa"/>
          </w:tcPr>
          <w:p w14:paraId="733B6E91" w14:textId="77777777" w:rsidR="009B09AF" w:rsidRPr="003E15B6" w:rsidRDefault="009B09AF" w:rsidP="009B09AF">
            <w:pPr>
              <w:rPr>
                <w:rFonts w:ascii="Calibri" w:eastAsia="Calibri" w:hAnsi="Calibri"/>
                <w:sz w:val="18"/>
                <w:szCs w:val="18"/>
                <w:lang w:eastAsia="en-US"/>
              </w:rPr>
            </w:pPr>
            <w:proofErr w:type="spellStart"/>
            <w:r w:rsidRPr="003E15B6">
              <w:rPr>
                <w:rFonts w:ascii="Calibri" w:eastAsia="Calibri" w:hAnsi="Calibri"/>
                <w:sz w:val="18"/>
                <w:szCs w:val="18"/>
                <w:lang w:eastAsia="en-US"/>
              </w:rPr>
              <w:t>Dmean</w:t>
            </w:r>
            <w:proofErr w:type="spellEnd"/>
          </w:p>
        </w:tc>
        <w:tc>
          <w:tcPr>
            <w:tcW w:w="812" w:type="dxa"/>
          </w:tcPr>
          <w:p w14:paraId="08956CF1" w14:textId="66DB042D"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-2.3Gy</w:t>
            </w:r>
          </w:p>
        </w:tc>
        <w:tc>
          <w:tcPr>
            <w:tcW w:w="848" w:type="dxa"/>
          </w:tcPr>
          <w:p w14:paraId="6781150B" w14:textId="77777777" w:rsidR="009B09AF" w:rsidRPr="003E15B6" w:rsidRDefault="009B09AF" w:rsidP="009B09AF">
            <w:pPr>
              <w:rPr>
                <w:rFonts w:ascii="Calibri" w:eastAsia="Calibri" w:hAnsi="Calibri"/>
                <w:sz w:val="18"/>
                <w:szCs w:val="18"/>
                <w:lang w:eastAsia="en-US"/>
              </w:rPr>
            </w:pPr>
          </w:p>
        </w:tc>
        <w:tc>
          <w:tcPr>
            <w:tcW w:w="1000" w:type="dxa"/>
          </w:tcPr>
          <w:p w14:paraId="5E112960" w14:textId="77777777" w:rsidR="009B09AF" w:rsidRPr="003E15B6" w:rsidRDefault="009B09AF" w:rsidP="009B09AF">
            <w:pPr>
              <w:rPr>
                <w:rFonts w:ascii="Calibri" w:eastAsia="Calibri" w:hAnsi="Calibri"/>
                <w:sz w:val="18"/>
                <w:szCs w:val="18"/>
                <w:lang w:eastAsia="en-US"/>
              </w:rPr>
            </w:pPr>
          </w:p>
        </w:tc>
        <w:tc>
          <w:tcPr>
            <w:tcW w:w="993" w:type="dxa"/>
          </w:tcPr>
          <w:p w14:paraId="29955FDB" w14:textId="60B02D91"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2.1Gy</w:t>
            </w:r>
          </w:p>
        </w:tc>
        <w:tc>
          <w:tcPr>
            <w:tcW w:w="854" w:type="dxa"/>
          </w:tcPr>
          <w:p w14:paraId="536D34AC" w14:textId="46D302DF" w:rsidR="009B09AF" w:rsidRPr="003E15B6" w:rsidRDefault="009B09AF" w:rsidP="009B09AF">
            <w:pPr>
              <w:rPr>
                <w:rFonts w:ascii="Calibri" w:eastAsia="Calibri" w:hAnsi="Calibri"/>
                <w:sz w:val="18"/>
                <w:szCs w:val="18"/>
                <w:lang w:eastAsia="en-US"/>
              </w:rPr>
            </w:pPr>
          </w:p>
        </w:tc>
        <w:tc>
          <w:tcPr>
            <w:tcW w:w="896" w:type="dxa"/>
          </w:tcPr>
          <w:p w14:paraId="1E87C6E6" w14:textId="77777777" w:rsidR="009B09AF" w:rsidRPr="003E15B6" w:rsidRDefault="009B09AF" w:rsidP="009B09AF">
            <w:pPr>
              <w:rPr>
                <w:rFonts w:ascii="Calibri" w:eastAsia="Calibri" w:hAnsi="Calibri"/>
                <w:sz w:val="18"/>
                <w:szCs w:val="18"/>
                <w:lang w:eastAsia="en-US"/>
              </w:rPr>
            </w:pPr>
          </w:p>
        </w:tc>
        <w:tc>
          <w:tcPr>
            <w:tcW w:w="897" w:type="dxa"/>
          </w:tcPr>
          <w:p w14:paraId="1B2FFFF1" w14:textId="77777777" w:rsidR="009B09AF" w:rsidRPr="003E15B6" w:rsidRDefault="009B09AF" w:rsidP="009B09AF">
            <w:pPr>
              <w:rPr>
                <w:rFonts w:ascii="Calibri" w:eastAsia="Calibri" w:hAnsi="Calibri"/>
                <w:sz w:val="18"/>
                <w:szCs w:val="18"/>
                <w:lang w:eastAsia="en-US"/>
              </w:rPr>
            </w:pPr>
          </w:p>
        </w:tc>
        <w:tc>
          <w:tcPr>
            <w:tcW w:w="896" w:type="dxa"/>
          </w:tcPr>
          <w:p w14:paraId="679A319A" w14:textId="77777777" w:rsidR="009B09AF" w:rsidRPr="003E15B6" w:rsidRDefault="009B09AF" w:rsidP="009B09AF">
            <w:pPr>
              <w:rPr>
                <w:rFonts w:ascii="Calibri" w:eastAsia="Calibri" w:hAnsi="Calibri"/>
                <w:sz w:val="18"/>
                <w:szCs w:val="18"/>
                <w:lang w:eastAsia="en-US"/>
              </w:rPr>
            </w:pPr>
          </w:p>
        </w:tc>
      </w:tr>
      <w:tr w:rsidR="003E15B6" w:rsidRPr="003E15B6" w14:paraId="41A24062" w14:textId="51C137CD" w:rsidTr="003E15B6">
        <w:tc>
          <w:tcPr>
            <w:tcW w:w="814" w:type="dxa"/>
          </w:tcPr>
          <w:p w14:paraId="6C524E74" w14:textId="1B1E7162" w:rsidR="009B09AF" w:rsidRPr="003E15B6" w:rsidRDefault="00502178" w:rsidP="009B09AF">
            <w:pPr>
              <w:rPr>
                <w:rFonts w:ascii="Calibri" w:eastAsia="Calibri" w:hAnsi="Calibri"/>
                <w:sz w:val="18"/>
                <w:szCs w:val="18"/>
                <w:lang w:eastAsia="en-US"/>
              </w:rPr>
            </w:pPr>
            <w:r w:rsidRPr="003E15B6">
              <w:rPr>
                <w:rFonts w:ascii="Calibri" w:eastAsia="Calibri" w:hAnsi="Calibri"/>
                <w:sz w:val="18"/>
                <w:szCs w:val="18"/>
                <w:lang w:eastAsia="en-US"/>
              </w:rPr>
              <w:t xml:space="preserve">L </w:t>
            </w:r>
            <w:r w:rsidR="009B09AF" w:rsidRPr="003E15B6">
              <w:rPr>
                <w:rFonts w:ascii="Calibri" w:eastAsia="Calibri" w:hAnsi="Calibri"/>
                <w:sz w:val="18"/>
                <w:szCs w:val="18"/>
                <w:lang w:eastAsia="en-US"/>
              </w:rPr>
              <w:t>(IP)</w:t>
            </w:r>
          </w:p>
        </w:tc>
        <w:tc>
          <w:tcPr>
            <w:tcW w:w="1057" w:type="dxa"/>
          </w:tcPr>
          <w:p w14:paraId="2C98AEC1" w14:textId="77777777" w:rsidR="009B09AF" w:rsidRPr="003E15B6" w:rsidRDefault="009B09AF" w:rsidP="009B09AF">
            <w:pPr>
              <w:rPr>
                <w:rFonts w:ascii="Calibri" w:eastAsia="Calibri" w:hAnsi="Calibri"/>
                <w:sz w:val="18"/>
                <w:szCs w:val="18"/>
                <w:lang w:eastAsia="en-US"/>
              </w:rPr>
            </w:pPr>
            <w:proofErr w:type="spellStart"/>
            <w:r w:rsidRPr="003E15B6">
              <w:rPr>
                <w:rFonts w:ascii="Calibri" w:eastAsia="Calibri" w:hAnsi="Calibri"/>
                <w:sz w:val="18"/>
                <w:szCs w:val="18"/>
                <w:lang w:eastAsia="en-US"/>
              </w:rPr>
              <w:t>Dmean</w:t>
            </w:r>
            <w:proofErr w:type="spellEnd"/>
          </w:p>
        </w:tc>
        <w:tc>
          <w:tcPr>
            <w:tcW w:w="812" w:type="dxa"/>
          </w:tcPr>
          <w:p w14:paraId="384C2FD6"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-1Gy</w:t>
            </w:r>
          </w:p>
        </w:tc>
        <w:tc>
          <w:tcPr>
            <w:tcW w:w="848" w:type="dxa"/>
          </w:tcPr>
          <w:p w14:paraId="5DD3E567" w14:textId="77777777" w:rsidR="009B09AF" w:rsidRPr="003E15B6" w:rsidRDefault="009B09AF" w:rsidP="009B09AF">
            <w:pPr>
              <w:rPr>
                <w:rFonts w:ascii="Calibri" w:eastAsia="Calibri" w:hAnsi="Calibri"/>
                <w:sz w:val="18"/>
                <w:szCs w:val="18"/>
                <w:lang w:eastAsia="en-US"/>
              </w:rPr>
            </w:pPr>
          </w:p>
        </w:tc>
        <w:tc>
          <w:tcPr>
            <w:tcW w:w="1000" w:type="dxa"/>
          </w:tcPr>
          <w:p w14:paraId="25149742"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w:t>
            </w:r>
          </w:p>
        </w:tc>
        <w:tc>
          <w:tcPr>
            <w:tcW w:w="993" w:type="dxa"/>
          </w:tcPr>
          <w:p w14:paraId="0ED943BE" w14:textId="61D10BC9"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3.3Gy</w:t>
            </w:r>
          </w:p>
        </w:tc>
        <w:tc>
          <w:tcPr>
            <w:tcW w:w="854" w:type="dxa"/>
          </w:tcPr>
          <w:p w14:paraId="21FB759A" w14:textId="3D45EB55" w:rsidR="009B09AF" w:rsidRPr="003E15B6" w:rsidRDefault="009B09AF" w:rsidP="009B09AF">
            <w:pPr>
              <w:rPr>
                <w:rFonts w:ascii="Calibri" w:eastAsia="Calibri" w:hAnsi="Calibri"/>
                <w:sz w:val="18"/>
                <w:szCs w:val="18"/>
                <w:lang w:eastAsia="en-US"/>
              </w:rPr>
            </w:pPr>
          </w:p>
        </w:tc>
        <w:tc>
          <w:tcPr>
            <w:tcW w:w="896" w:type="dxa"/>
          </w:tcPr>
          <w:p w14:paraId="67DA6D5C"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2.5Gy</w:t>
            </w:r>
          </w:p>
        </w:tc>
        <w:tc>
          <w:tcPr>
            <w:tcW w:w="897" w:type="dxa"/>
          </w:tcPr>
          <w:p w14:paraId="42E78C0B" w14:textId="16A8389C"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-1.1Gy</w:t>
            </w:r>
          </w:p>
        </w:tc>
        <w:tc>
          <w:tcPr>
            <w:tcW w:w="896" w:type="dxa"/>
          </w:tcPr>
          <w:p w14:paraId="0EE07654" w14:textId="34174168"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-1.4Gy</w:t>
            </w:r>
          </w:p>
        </w:tc>
      </w:tr>
      <w:tr w:rsidR="003E15B6" w:rsidRPr="003E15B6" w14:paraId="6031BAA7" w14:textId="51A89F12" w:rsidTr="003E15B6">
        <w:tc>
          <w:tcPr>
            <w:tcW w:w="814" w:type="dxa"/>
          </w:tcPr>
          <w:p w14:paraId="088CC0E7" w14:textId="77777777" w:rsidR="009B09AF" w:rsidRPr="003E15B6" w:rsidRDefault="009B09AF" w:rsidP="009B09AF">
            <w:pPr>
              <w:rPr>
                <w:rFonts w:ascii="Calibri" w:eastAsia="Calibri" w:hAnsi="Calibri"/>
                <w:sz w:val="18"/>
                <w:szCs w:val="18"/>
                <w:lang w:eastAsia="en-US"/>
              </w:rPr>
            </w:pPr>
          </w:p>
        </w:tc>
        <w:tc>
          <w:tcPr>
            <w:tcW w:w="1057" w:type="dxa"/>
          </w:tcPr>
          <w:p w14:paraId="1AD11478"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D2%</w:t>
            </w:r>
          </w:p>
        </w:tc>
        <w:tc>
          <w:tcPr>
            <w:tcW w:w="812" w:type="dxa"/>
          </w:tcPr>
          <w:p w14:paraId="5A74BBB1" w14:textId="77777777" w:rsidR="009B09AF" w:rsidRPr="003E15B6" w:rsidRDefault="009B09AF" w:rsidP="009B09AF">
            <w:pPr>
              <w:rPr>
                <w:rFonts w:ascii="Calibri" w:eastAsia="Calibri" w:hAnsi="Calibri"/>
                <w:sz w:val="18"/>
                <w:szCs w:val="18"/>
                <w:lang w:eastAsia="en-US"/>
              </w:rPr>
            </w:pPr>
          </w:p>
        </w:tc>
        <w:tc>
          <w:tcPr>
            <w:tcW w:w="848" w:type="dxa"/>
          </w:tcPr>
          <w:p w14:paraId="4B5152E3" w14:textId="77777777" w:rsidR="009B09AF" w:rsidRPr="003E15B6" w:rsidRDefault="009B09AF" w:rsidP="009B09AF">
            <w:pPr>
              <w:rPr>
                <w:rFonts w:ascii="Calibri" w:eastAsia="Calibri" w:hAnsi="Calibri"/>
                <w:sz w:val="18"/>
                <w:szCs w:val="18"/>
                <w:lang w:eastAsia="en-US"/>
              </w:rPr>
            </w:pPr>
          </w:p>
        </w:tc>
        <w:tc>
          <w:tcPr>
            <w:tcW w:w="1000" w:type="dxa"/>
          </w:tcPr>
          <w:p w14:paraId="09E5A34A"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-3.6Gy</w:t>
            </w:r>
          </w:p>
        </w:tc>
        <w:tc>
          <w:tcPr>
            <w:tcW w:w="993" w:type="dxa"/>
          </w:tcPr>
          <w:p w14:paraId="2064C5CA" w14:textId="77777777" w:rsidR="009B09AF" w:rsidRPr="003E15B6" w:rsidRDefault="009B09AF" w:rsidP="009B09AF">
            <w:pPr>
              <w:rPr>
                <w:rFonts w:ascii="Calibri" w:eastAsia="Calibri" w:hAnsi="Calibri"/>
                <w:sz w:val="18"/>
                <w:szCs w:val="18"/>
                <w:lang w:eastAsia="en-US"/>
              </w:rPr>
            </w:pPr>
          </w:p>
        </w:tc>
        <w:tc>
          <w:tcPr>
            <w:tcW w:w="854" w:type="dxa"/>
          </w:tcPr>
          <w:p w14:paraId="49B5F2AC" w14:textId="4BE08AC3" w:rsidR="009B09AF" w:rsidRPr="003E15B6" w:rsidRDefault="009B09AF" w:rsidP="009B09AF">
            <w:pPr>
              <w:rPr>
                <w:rFonts w:ascii="Calibri" w:eastAsia="Calibri" w:hAnsi="Calibri"/>
                <w:sz w:val="18"/>
                <w:szCs w:val="18"/>
                <w:lang w:eastAsia="en-US"/>
              </w:rPr>
            </w:pPr>
          </w:p>
        </w:tc>
        <w:tc>
          <w:tcPr>
            <w:tcW w:w="896" w:type="dxa"/>
          </w:tcPr>
          <w:p w14:paraId="76777789" w14:textId="77777777" w:rsidR="009B09AF" w:rsidRPr="003E15B6" w:rsidRDefault="009B09AF" w:rsidP="009B09AF">
            <w:pPr>
              <w:rPr>
                <w:rFonts w:ascii="Calibri" w:eastAsia="Calibri" w:hAnsi="Calibri"/>
                <w:sz w:val="18"/>
                <w:szCs w:val="18"/>
                <w:lang w:eastAsia="en-US"/>
              </w:rPr>
            </w:pPr>
          </w:p>
        </w:tc>
        <w:tc>
          <w:tcPr>
            <w:tcW w:w="897" w:type="dxa"/>
          </w:tcPr>
          <w:p w14:paraId="05542855" w14:textId="77777777" w:rsidR="009B09AF" w:rsidRPr="003E15B6" w:rsidRDefault="009B09AF" w:rsidP="009B09AF">
            <w:pPr>
              <w:rPr>
                <w:rFonts w:ascii="Calibri" w:eastAsia="Calibri" w:hAnsi="Calibri"/>
                <w:sz w:val="18"/>
                <w:szCs w:val="18"/>
                <w:lang w:eastAsia="en-US"/>
              </w:rPr>
            </w:pPr>
          </w:p>
        </w:tc>
        <w:tc>
          <w:tcPr>
            <w:tcW w:w="896" w:type="dxa"/>
          </w:tcPr>
          <w:p w14:paraId="2256DB2C" w14:textId="77777777" w:rsidR="009B09AF" w:rsidRPr="003E15B6" w:rsidRDefault="009B09AF" w:rsidP="009B09AF">
            <w:pPr>
              <w:rPr>
                <w:rFonts w:ascii="Calibri" w:eastAsia="Calibri" w:hAnsi="Calibri"/>
                <w:sz w:val="18"/>
                <w:szCs w:val="18"/>
                <w:lang w:eastAsia="en-US"/>
              </w:rPr>
            </w:pPr>
          </w:p>
        </w:tc>
      </w:tr>
      <w:tr w:rsidR="003E15B6" w:rsidRPr="003E15B6" w14:paraId="5B596E40" w14:textId="79205B9E" w:rsidTr="003E15B6">
        <w:tc>
          <w:tcPr>
            <w:tcW w:w="814" w:type="dxa"/>
          </w:tcPr>
          <w:p w14:paraId="6ED28A7B" w14:textId="77777777" w:rsidR="009B09AF" w:rsidRPr="003E15B6" w:rsidRDefault="009B09AF" w:rsidP="009B09AF">
            <w:pPr>
              <w:rPr>
                <w:rFonts w:ascii="Calibri" w:eastAsia="Calibri" w:hAnsi="Calibri"/>
                <w:sz w:val="18"/>
                <w:szCs w:val="18"/>
                <w:lang w:eastAsia="en-US"/>
              </w:rPr>
            </w:pPr>
          </w:p>
        </w:tc>
        <w:tc>
          <w:tcPr>
            <w:tcW w:w="1057" w:type="dxa"/>
          </w:tcPr>
          <w:p w14:paraId="1E178D84"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V5Gy</w:t>
            </w:r>
          </w:p>
        </w:tc>
        <w:tc>
          <w:tcPr>
            <w:tcW w:w="812" w:type="dxa"/>
          </w:tcPr>
          <w:p w14:paraId="024F08C5" w14:textId="2AEDE69B" w:rsidR="009B09AF" w:rsidRPr="003E15B6" w:rsidRDefault="009B09AF" w:rsidP="009B09AF">
            <w:pPr>
              <w:jc w:val="center"/>
              <w:rPr>
                <w:rFonts w:ascii="Calibri" w:eastAsia="Calibri" w:hAnsi="Calibri"/>
                <w:sz w:val="18"/>
                <w:szCs w:val="18"/>
                <w:lang w:eastAsia="en-US"/>
              </w:rPr>
            </w:pPr>
          </w:p>
        </w:tc>
        <w:tc>
          <w:tcPr>
            <w:tcW w:w="848" w:type="dxa"/>
          </w:tcPr>
          <w:p w14:paraId="2D1022B1"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32.1%</w:t>
            </w:r>
          </w:p>
        </w:tc>
        <w:tc>
          <w:tcPr>
            <w:tcW w:w="1000" w:type="dxa"/>
          </w:tcPr>
          <w:p w14:paraId="5F0FB1D3" w14:textId="77777777" w:rsidR="009B09AF" w:rsidRPr="003E15B6" w:rsidRDefault="009B09AF" w:rsidP="009B09AF">
            <w:pPr>
              <w:rPr>
                <w:rFonts w:ascii="Calibri" w:eastAsia="Calibri" w:hAnsi="Calibri"/>
                <w:sz w:val="18"/>
                <w:szCs w:val="18"/>
                <w:lang w:eastAsia="en-US"/>
              </w:rPr>
            </w:pPr>
          </w:p>
        </w:tc>
        <w:tc>
          <w:tcPr>
            <w:tcW w:w="993" w:type="dxa"/>
          </w:tcPr>
          <w:p w14:paraId="2AE46630" w14:textId="2BBE0CC4"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26.9%</w:t>
            </w:r>
          </w:p>
        </w:tc>
        <w:tc>
          <w:tcPr>
            <w:tcW w:w="854" w:type="dxa"/>
          </w:tcPr>
          <w:p w14:paraId="7825CE1B" w14:textId="06DC8DCD" w:rsidR="009B09AF" w:rsidRPr="003E15B6" w:rsidRDefault="009B09AF" w:rsidP="009B09AF">
            <w:pPr>
              <w:rPr>
                <w:rFonts w:ascii="Calibri" w:eastAsia="Calibri" w:hAnsi="Calibri"/>
                <w:sz w:val="18"/>
                <w:szCs w:val="18"/>
                <w:lang w:eastAsia="en-US"/>
              </w:rPr>
            </w:pPr>
          </w:p>
        </w:tc>
        <w:tc>
          <w:tcPr>
            <w:tcW w:w="896" w:type="dxa"/>
          </w:tcPr>
          <w:p w14:paraId="66EE344D" w14:textId="77777777" w:rsidR="009B09AF" w:rsidRPr="003E15B6" w:rsidRDefault="009B09AF" w:rsidP="009B09AF">
            <w:pPr>
              <w:rPr>
                <w:rFonts w:ascii="Calibri" w:eastAsia="Calibri" w:hAnsi="Calibri"/>
                <w:sz w:val="18"/>
                <w:szCs w:val="18"/>
                <w:lang w:eastAsia="en-US"/>
              </w:rPr>
            </w:pPr>
          </w:p>
        </w:tc>
        <w:tc>
          <w:tcPr>
            <w:tcW w:w="897" w:type="dxa"/>
          </w:tcPr>
          <w:p w14:paraId="6054A698" w14:textId="4E906434"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-0.6%</w:t>
            </w:r>
          </w:p>
        </w:tc>
        <w:tc>
          <w:tcPr>
            <w:tcW w:w="896" w:type="dxa"/>
          </w:tcPr>
          <w:p w14:paraId="4DC3FD42" w14:textId="7B350A85"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-5.5%</w:t>
            </w:r>
          </w:p>
        </w:tc>
      </w:tr>
      <w:tr w:rsidR="003E15B6" w:rsidRPr="003E15B6" w14:paraId="74D18B4C" w14:textId="48235B14" w:rsidTr="003E15B6">
        <w:tc>
          <w:tcPr>
            <w:tcW w:w="814" w:type="dxa"/>
          </w:tcPr>
          <w:p w14:paraId="10E765E5" w14:textId="77777777" w:rsidR="009B09AF" w:rsidRPr="003E15B6" w:rsidRDefault="009B09AF" w:rsidP="009B09AF">
            <w:pPr>
              <w:rPr>
                <w:rFonts w:ascii="Calibri" w:eastAsia="Calibri" w:hAnsi="Calibri"/>
                <w:sz w:val="18"/>
                <w:szCs w:val="18"/>
                <w:lang w:eastAsia="en-US"/>
              </w:rPr>
            </w:pPr>
          </w:p>
        </w:tc>
        <w:tc>
          <w:tcPr>
            <w:tcW w:w="1057" w:type="dxa"/>
          </w:tcPr>
          <w:p w14:paraId="183CB119"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V10Gy</w:t>
            </w:r>
          </w:p>
        </w:tc>
        <w:tc>
          <w:tcPr>
            <w:tcW w:w="812" w:type="dxa"/>
          </w:tcPr>
          <w:p w14:paraId="4A6C33CE" w14:textId="03B498C9" w:rsidR="009B09AF" w:rsidRPr="003E15B6" w:rsidRDefault="009B09AF" w:rsidP="009B09AF">
            <w:pPr>
              <w:jc w:val="center"/>
              <w:rPr>
                <w:rFonts w:ascii="Calibri" w:eastAsia="Calibri" w:hAnsi="Calibri"/>
                <w:sz w:val="18"/>
                <w:szCs w:val="18"/>
                <w:lang w:eastAsia="en-US"/>
              </w:rPr>
            </w:pPr>
          </w:p>
        </w:tc>
        <w:tc>
          <w:tcPr>
            <w:tcW w:w="848" w:type="dxa"/>
          </w:tcPr>
          <w:p w14:paraId="340C4393" w14:textId="77777777" w:rsidR="009B09AF" w:rsidRPr="003E15B6" w:rsidRDefault="009B09AF" w:rsidP="009B09AF">
            <w:pPr>
              <w:rPr>
                <w:rFonts w:ascii="Calibri" w:eastAsia="Calibri" w:hAnsi="Calibri"/>
                <w:sz w:val="18"/>
                <w:szCs w:val="18"/>
                <w:lang w:eastAsia="en-US"/>
              </w:rPr>
            </w:pPr>
          </w:p>
        </w:tc>
        <w:tc>
          <w:tcPr>
            <w:tcW w:w="1000" w:type="dxa"/>
          </w:tcPr>
          <w:p w14:paraId="55891ACB" w14:textId="77777777" w:rsidR="009B09AF" w:rsidRPr="003E15B6" w:rsidRDefault="009B09AF" w:rsidP="009B09AF">
            <w:pPr>
              <w:rPr>
                <w:rFonts w:ascii="Calibri" w:eastAsia="Calibri" w:hAnsi="Calibri"/>
                <w:sz w:val="18"/>
                <w:szCs w:val="18"/>
                <w:lang w:eastAsia="en-US"/>
              </w:rPr>
            </w:pPr>
          </w:p>
        </w:tc>
        <w:tc>
          <w:tcPr>
            <w:tcW w:w="993" w:type="dxa"/>
          </w:tcPr>
          <w:p w14:paraId="51AC2A13" w14:textId="34FC8083"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12.2%</w:t>
            </w:r>
          </w:p>
        </w:tc>
        <w:tc>
          <w:tcPr>
            <w:tcW w:w="854" w:type="dxa"/>
          </w:tcPr>
          <w:p w14:paraId="07D5C706" w14:textId="568459AB" w:rsidR="009B09AF" w:rsidRPr="003E15B6" w:rsidRDefault="009B09AF" w:rsidP="009B09AF">
            <w:pPr>
              <w:rPr>
                <w:rFonts w:ascii="Calibri" w:eastAsia="Calibri" w:hAnsi="Calibri"/>
                <w:sz w:val="18"/>
                <w:szCs w:val="18"/>
                <w:lang w:eastAsia="en-US"/>
              </w:rPr>
            </w:pPr>
          </w:p>
        </w:tc>
        <w:tc>
          <w:tcPr>
            <w:tcW w:w="896" w:type="dxa"/>
          </w:tcPr>
          <w:p w14:paraId="68BEA51F" w14:textId="77777777" w:rsidR="009B09AF" w:rsidRPr="003E15B6" w:rsidRDefault="009B09AF" w:rsidP="009B09AF">
            <w:pPr>
              <w:rPr>
                <w:rFonts w:ascii="Calibri" w:eastAsia="Calibri" w:hAnsi="Calibri"/>
                <w:sz w:val="18"/>
                <w:szCs w:val="18"/>
                <w:lang w:eastAsia="en-US"/>
              </w:rPr>
            </w:pPr>
          </w:p>
        </w:tc>
        <w:tc>
          <w:tcPr>
            <w:tcW w:w="897" w:type="dxa"/>
          </w:tcPr>
          <w:p w14:paraId="3EA284D3" w14:textId="14610D30"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-2.3%</w:t>
            </w:r>
          </w:p>
        </w:tc>
        <w:tc>
          <w:tcPr>
            <w:tcW w:w="896" w:type="dxa"/>
          </w:tcPr>
          <w:p w14:paraId="54A0832F" w14:textId="3CE1850E"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-3.5%</w:t>
            </w:r>
          </w:p>
        </w:tc>
      </w:tr>
      <w:tr w:rsidR="003E15B6" w:rsidRPr="003E15B6" w14:paraId="6791EE65" w14:textId="6A5C639C" w:rsidTr="003E15B6">
        <w:tc>
          <w:tcPr>
            <w:tcW w:w="814" w:type="dxa"/>
          </w:tcPr>
          <w:p w14:paraId="25D9D82C" w14:textId="77777777" w:rsidR="009B09AF" w:rsidRPr="003E15B6" w:rsidRDefault="009B09AF" w:rsidP="009B09AF">
            <w:pPr>
              <w:rPr>
                <w:rFonts w:ascii="Calibri" w:eastAsia="Calibri" w:hAnsi="Calibri"/>
                <w:sz w:val="18"/>
                <w:szCs w:val="18"/>
                <w:lang w:eastAsia="en-US"/>
              </w:rPr>
            </w:pPr>
          </w:p>
        </w:tc>
        <w:tc>
          <w:tcPr>
            <w:tcW w:w="1057" w:type="dxa"/>
          </w:tcPr>
          <w:p w14:paraId="3146E9AD"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V20Gy</w:t>
            </w:r>
          </w:p>
        </w:tc>
        <w:tc>
          <w:tcPr>
            <w:tcW w:w="812" w:type="dxa"/>
          </w:tcPr>
          <w:p w14:paraId="180316C3" w14:textId="42560DA4" w:rsidR="009B09AF" w:rsidRPr="003E15B6" w:rsidRDefault="009B09AF" w:rsidP="009B09AF">
            <w:pPr>
              <w:jc w:val="center"/>
              <w:rPr>
                <w:rFonts w:ascii="Calibri" w:eastAsia="Calibri" w:hAnsi="Calibri"/>
                <w:sz w:val="18"/>
                <w:szCs w:val="18"/>
                <w:lang w:eastAsia="en-US"/>
              </w:rPr>
            </w:pPr>
          </w:p>
        </w:tc>
        <w:tc>
          <w:tcPr>
            <w:tcW w:w="848" w:type="dxa"/>
          </w:tcPr>
          <w:p w14:paraId="498D0451"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-12.3%</w:t>
            </w:r>
          </w:p>
        </w:tc>
        <w:tc>
          <w:tcPr>
            <w:tcW w:w="1000" w:type="dxa"/>
          </w:tcPr>
          <w:p w14:paraId="41EB6A39"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2.9%</w:t>
            </w:r>
          </w:p>
        </w:tc>
        <w:tc>
          <w:tcPr>
            <w:tcW w:w="993" w:type="dxa"/>
          </w:tcPr>
          <w:p w14:paraId="594C2298" w14:textId="55DAFC1A"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3.5%</w:t>
            </w:r>
          </w:p>
        </w:tc>
        <w:tc>
          <w:tcPr>
            <w:tcW w:w="854" w:type="dxa"/>
          </w:tcPr>
          <w:p w14:paraId="7F56DB87" w14:textId="3C301D77" w:rsidR="009B09AF" w:rsidRPr="003E15B6" w:rsidRDefault="009B09AF" w:rsidP="009B09AF">
            <w:pPr>
              <w:rPr>
                <w:rFonts w:ascii="Calibri" w:eastAsia="Calibri" w:hAnsi="Calibri"/>
                <w:sz w:val="18"/>
                <w:szCs w:val="18"/>
                <w:lang w:eastAsia="en-US"/>
              </w:rPr>
            </w:pPr>
          </w:p>
        </w:tc>
        <w:tc>
          <w:tcPr>
            <w:tcW w:w="896" w:type="dxa"/>
          </w:tcPr>
          <w:p w14:paraId="654A1EF1" w14:textId="77777777" w:rsidR="009B09AF" w:rsidRPr="003E15B6" w:rsidRDefault="009B09AF" w:rsidP="009B09AF">
            <w:pPr>
              <w:rPr>
                <w:rFonts w:ascii="Calibri" w:eastAsia="Calibri" w:hAnsi="Calibri"/>
                <w:sz w:val="18"/>
                <w:szCs w:val="18"/>
                <w:lang w:eastAsia="en-US"/>
              </w:rPr>
            </w:pPr>
          </w:p>
        </w:tc>
        <w:tc>
          <w:tcPr>
            <w:tcW w:w="897" w:type="dxa"/>
          </w:tcPr>
          <w:p w14:paraId="39196FF7" w14:textId="6A43AC4C"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-3.1%</w:t>
            </w:r>
          </w:p>
        </w:tc>
        <w:tc>
          <w:tcPr>
            <w:tcW w:w="896" w:type="dxa"/>
          </w:tcPr>
          <w:p w14:paraId="1874E9DA" w14:textId="32BA43ED"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-2.4%</w:t>
            </w:r>
          </w:p>
        </w:tc>
      </w:tr>
      <w:tr w:rsidR="003E15B6" w:rsidRPr="003E15B6" w14:paraId="087218D2" w14:textId="725FDCE1" w:rsidTr="003E15B6">
        <w:tc>
          <w:tcPr>
            <w:tcW w:w="814" w:type="dxa"/>
          </w:tcPr>
          <w:p w14:paraId="647399A4" w14:textId="77777777" w:rsidR="009B09AF" w:rsidRPr="003E15B6" w:rsidRDefault="009B09AF" w:rsidP="009B09AF">
            <w:pPr>
              <w:rPr>
                <w:rFonts w:ascii="Calibri" w:eastAsia="Calibri" w:hAnsi="Calibri"/>
                <w:sz w:val="18"/>
                <w:szCs w:val="18"/>
                <w:lang w:eastAsia="en-US"/>
              </w:rPr>
            </w:pPr>
          </w:p>
        </w:tc>
        <w:tc>
          <w:tcPr>
            <w:tcW w:w="1057" w:type="dxa"/>
          </w:tcPr>
          <w:p w14:paraId="41DA1992"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V30Gy</w:t>
            </w:r>
          </w:p>
        </w:tc>
        <w:tc>
          <w:tcPr>
            <w:tcW w:w="812" w:type="dxa"/>
          </w:tcPr>
          <w:p w14:paraId="7D9C4219" w14:textId="77777777" w:rsidR="009B09AF" w:rsidRPr="003E15B6" w:rsidRDefault="009B09AF" w:rsidP="009B09AF">
            <w:pPr>
              <w:jc w:val="center"/>
              <w:rPr>
                <w:rFonts w:ascii="Calibri" w:eastAsia="Calibri" w:hAnsi="Calibri"/>
                <w:sz w:val="18"/>
                <w:szCs w:val="18"/>
                <w:lang w:eastAsia="en-US"/>
              </w:rPr>
            </w:pPr>
          </w:p>
        </w:tc>
        <w:tc>
          <w:tcPr>
            <w:tcW w:w="848" w:type="dxa"/>
          </w:tcPr>
          <w:p w14:paraId="6EA0AE58" w14:textId="77777777" w:rsidR="009B09AF" w:rsidRPr="003E15B6" w:rsidRDefault="009B09AF" w:rsidP="009B09AF">
            <w:pPr>
              <w:rPr>
                <w:rFonts w:ascii="Calibri" w:eastAsia="Calibri" w:hAnsi="Calibri"/>
                <w:sz w:val="18"/>
                <w:szCs w:val="18"/>
                <w:lang w:eastAsia="en-US"/>
              </w:rPr>
            </w:pPr>
          </w:p>
        </w:tc>
        <w:tc>
          <w:tcPr>
            <w:tcW w:w="1000" w:type="dxa"/>
          </w:tcPr>
          <w:p w14:paraId="254D4A26"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-1.5%</w:t>
            </w:r>
          </w:p>
        </w:tc>
        <w:tc>
          <w:tcPr>
            <w:tcW w:w="993" w:type="dxa"/>
          </w:tcPr>
          <w:p w14:paraId="72D54874" w14:textId="4D065B78"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0.7%</w:t>
            </w:r>
          </w:p>
        </w:tc>
        <w:tc>
          <w:tcPr>
            <w:tcW w:w="854" w:type="dxa"/>
          </w:tcPr>
          <w:p w14:paraId="2122681A" w14:textId="6E0B5473" w:rsidR="009B09AF" w:rsidRPr="003E15B6" w:rsidRDefault="009B09AF" w:rsidP="009B09AF">
            <w:pPr>
              <w:rPr>
                <w:rFonts w:ascii="Calibri" w:eastAsia="Calibri" w:hAnsi="Calibri"/>
                <w:sz w:val="18"/>
                <w:szCs w:val="18"/>
                <w:lang w:eastAsia="en-US"/>
              </w:rPr>
            </w:pPr>
          </w:p>
        </w:tc>
        <w:tc>
          <w:tcPr>
            <w:tcW w:w="896" w:type="dxa"/>
          </w:tcPr>
          <w:p w14:paraId="6B8FD883" w14:textId="77777777" w:rsidR="009B09AF" w:rsidRPr="003E15B6" w:rsidRDefault="009B09AF" w:rsidP="009B09AF">
            <w:pPr>
              <w:rPr>
                <w:rFonts w:ascii="Calibri" w:eastAsia="Calibri" w:hAnsi="Calibri"/>
                <w:sz w:val="18"/>
                <w:szCs w:val="18"/>
                <w:lang w:eastAsia="en-US"/>
              </w:rPr>
            </w:pPr>
          </w:p>
        </w:tc>
        <w:tc>
          <w:tcPr>
            <w:tcW w:w="897" w:type="dxa"/>
          </w:tcPr>
          <w:p w14:paraId="4CA648FE" w14:textId="77777777" w:rsidR="009B09AF" w:rsidRPr="003E15B6" w:rsidRDefault="009B09AF" w:rsidP="009B09AF">
            <w:pPr>
              <w:rPr>
                <w:rFonts w:ascii="Calibri" w:eastAsia="Calibri" w:hAnsi="Calibri"/>
                <w:sz w:val="18"/>
                <w:szCs w:val="18"/>
                <w:lang w:eastAsia="en-US"/>
              </w:rPr>
            </w:pPr>
          </w:p>
        </w:tc>
        <w:tc>
          <w:tcPr>
            <w:tcW w:w="896" w:type="dxa"/>
          </w:tcPr>
          <w:p w14:paraId="10D5F5A0" w14:textId="77777777" w:rsidR="009B09AF" w:rsidRPr="003E15B6" w:rsidRDefault="009B09AF" w:rsidP="009B09AF">
            <w:pPr>
              <w:rPr>
                <w:rFonts w:ascii="Calibri" w:eastAsia="Calibri" w:hAnsi="Calibri"/>
                <w:sz w:val="18"/>
                <w:szCs w:val="18"/>
                <w:lang w:eastAsia="en-US"/>
              </w:rPr>
            </w:pPr>
          </w:p>
        </w:tc>
      </w:tr>
      <w:tr w:rsidR="003E15B6" w:rsidRPr="003E15B6" w14:paraId="3FE63BA3" w14:textId="2125A4BF" w:rsidTr="003E15B6">
        <w:tc>
          <w:tcPr>
            <w:tcW w:w="814" w:type="dxa"/>
          </w:tcPr>
          <w:p w14:paraId="4A0B79C5" w14:textId="77777777" w:rsidR="009B09AF" w:rsidRPr="003E15B6" w:rsidRDefault="009B09AF" w:rsidP="009B09AF">
            <w:pPr>
              <w:rPr>
                <w:rFonts w:ascii="Calibri" w:eastAsia="Calibri" w:hAnsi="Calibri"/>
                <w:sz w:val="18"/>
                <w:szCs w:val="18"/>
                <w:lang w:eastAsia="en-US"/>
              </w:rPr>
            </w:pPr>
          </w:p>
        </w:tc>
        <w:tc>
          <w:tcPr>
            <w:tcW w:w="1057" w:type="dxa"/>
          </w:tcPr>
          <w:p w14:paraId="354B4C3D" w14:textId="07521EC4"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V40Gy</w:t>
            </w:r>
          </w:p>
        </w:tc>
        <w:tc>
          <w:tcPr>
            <w:tcW w:w="812" w:type="dxa"/>
          </w:tcPr>
          <w:p w14:paraId="58E78472" w14:textId="77777777" w:rsidR="009B09AF" w:rsidRPr="003E15B6" w:rsidRDefault="009B09AF" w:rsidP="009B09AF">
            <w:pPr>
              <w:jc w:val="center"/>
              <w:rPr>
                <w:rFonts w:ascii="Calibri" w:eastAsia="Calibri" w:hAnsi="Calibri"/>
                <w:sz w:val="18"/>
                <w:szCs w:val="18"/>
                <w:lang w:eastAsia="en-US"/>
              </w:rPr>
            </w:pPr>
          </w:p>
        </w:tc>
        <w:tc>
          <w:tcPr>
            <w:tcW w:w="848" w:type="dxa"/>
          </w:tcPr>
          <w:p w14:paraId="44D0FB88" w14:textId="77777777" w:rsidR="009B09AF" w:rsidRPr="003E15B6" w:rsidRDefault="009B09AF" w:rsidP="009B09AF">
            <w:pPr>
              <w:rPr>
                <w:rFonts w:ascii="Calibri" w:eastAsia="Calibri" w:hAnsi="Calibri"/>
                <w:sz w:val="18"/>
                <w:szCs w:val="18"/>
                <w:lang w:eastAsia="en-US"/>
              </w:rPr>
            </w:pPr>
          </w:p>
        </w:tc>
        <w:tc>
          <w:tcPr>
            <w:tcW w:w="1000" w:type="dxa"/>
          </w:tcPr>
          <w:p w14:paraId="204E5C63" w14:textId="77777777" w:rsidR="009B09AF" w:rsidRPr="003E15B6" w:rsidRDefault="009B09AF" w:rsidP="009B09AF">
            <w:pPr>
              <w:rPr>
                <w:rFonts w:ascii="Calibri" w:eastAsia="Calibri" w:hAnsi="Calibri"/>
                <w:sz w:val="18"/>
                <w:szCs w:val="18"/>
                <w:lang w:eastAsia="en-US"/>
              </w:rPr>
            </w:pPr>
          </w:p>
        </w:tc>
        <w:tc>
          <w:tcPr>
            <w:tcW w:w="993" w:type="dxa"/>
          </w:tcPr>
          <w:p w14:paraId="4B733000" w14:textId="07EFE543"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-1.2%</w:t>
            </w:r>
          </w:p>
        </w:tc>
        <w:tc>
          <w:tcPr>
            <w:tcW w:w="854" w:type="dxa"/>
          </w:tcPr>
          <w:p w14:paraId="793AFC7B" w14:textId="5F383031" w:rsidR="009B09AF" w:rsidRPr="003E15B6" w:rsidRDefault="009B09AF" w:rsidP="009B09AF">
            <w:pPr>
              <w:rPr>
                <w:rFonts w:ascii="Calibri" w:eastAsia="Calibri" w:hAnsi="Calibri"/>
                <w:sz w:val="18"/>
                <w:szCs w:val="18"/>
                <w:lang w:eastAsia="en-US"/>
              </w:rPr>
            </w:pPr>
          </w:p>
        </w:tc>
        <w:tc>
          <w:tcPr>
            <w:tcW w:w="896" w:type="dxa"/>
          </w:tcPr>
          <w:p w14:paraId="5E7D9151" w14:textId="77777777" w:rsidR="009B09AF" w:rsidRPr="003E15B6" w:rsidRDefault="009B09AF" w:rsidP="009B09AF">
            <w:pPr>
              <w:rPr>
                <w:rFonts w:ascii="Calibri" w:eastAsia="Calibri" w:hAnsi="Calibri"/>
                <w:sz w:val="18"/>
                <w:szCs w:val="18"/>
                <w:lang w:eastAsia="en-US"/>
              </w:rPr>
            </w:pPr>
          </w:p>
        </w:tc>
        <w:tc>
          <w:tcPr>
            <w:tcW w:w="897" w:type="dxa"/>
          </w:tcPr>
          <w:p w14:paraId="33C6826F" w14:textId="77777777" w:rsidR="009B09AF" w:rsidRPr="003E15B6" w:rsidRDefault="009B09AF" w:rsidP="009B09AF">
            <w:pPr>
              <w:rPr>
                <w:rFonts w:ascii="Calibri" w:eastAsia="Calibri" w:hAnsi="Calibri"/>
                <w:sz w:val="18"/>
                <w:szCs w:val="18"/>
                <w:lang w:eastAsia="en-US"/>
              </w:rPr>
            </w:pPr>
          </w:p>
        </w:tc>
        <w:tc>
          <w:tcPr>
            <w:tcW w:w="896" w:type="dxa"/>
          </w:tcPr>
          <w:p w14:paraId="641403D2" w14:textId="77777777" w:rsidR="009B09AF" w:rsidRPr="003E15B6" w:rsidRDefault="009B09AF" w:rsidP="009B09AF">
            <w:pPr>
              <w:rPr>
                <w:rFonts w:ascii="Calibri" w:eastAsia="Calibri" w:hAnsi="Calibri"/>
                <w:sz w:val="18"/>
                <w:szCs w:val="18"/>
                <w:lang w:eastAsia="en-US"/>
              </w:rPr>
            </w:pPr>
          </w:p>
        </w:tc>
      </w:tr>
      <w:tr w:rsidR="003E15B6" w:rsidRPr="003E15B6" w14:paraId="60284460" w14:textId="4D0EE3A1" w:rsidTr="003E15B6">
        <w:tc>
          <w:tcPr>
            <w:tcW w:w="814" w:type="dxa"/>
          </w:tcPr>
          <w:p w14:paraId="1C2EF440" w14:textId="56F3EDED"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L (CN)</w:t>
            </w:r>
          </w:p>
        </w:tc>
        <w:tc>
          <w:tcPr>
            <w:tcW w:w="1057" w:type="dxa"/>
          </w:tcPr>
          <w:p w14:paraId="505D0B6C" w14:textId="77777777" w:rsidR="009B09AF" w:rsidRPr="003E15B6" w:rsidRDefault="009B09AF" w:rsidP="009B09AF">
            <w:pPr>
              <w:rPr>
                <w:rFonts w:ascii="Calibri" w:eastAsia="Calibri" w:hAnsi="Calibri"/>
                <w:sz w:val="18"/>
                <w:szCs w:val="18"/>
                <w:lang w:eastAsia="en-US"/>
              </w:rPr>
            </w:pPr>
            <w:proofErr w:type="spellStart"/>
            <w:r w:rsidRPr="003E15B6">
              <w:rPr>
                <w:rFonts w:ascii="Calibri" w:eastAsia="Calibri" w:hAnsi="Calibri"/>
                <w:sz w:val="18"/>
                <w:szCs w:val="18"/>
                <w:lang w:eastAsia="en-US"/>
              </w:rPr>
              <w:t>Dmean</w:t>
            </w:r>
            <w:proofErr w:type="spellEnd"/>
          </w:p>
        </w:tc>
        <w:tc>
          <w:tcPr>
            <w:tcW w:w="812" w:type="dxa"/>
          </w:tcPr>
          <w:p w14:paraId="4529BB09"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0.03Gy</w:t>
            </w:r>
          </w:p>
        </w:tc>
        <w:tc>
          <w:tcPr>
            <w:tcW w:w="848" w:type="dxa"/>
          </w:tcPr>
          <w:p w14:paraId="6CF932E4" w14:textId="77777777" w:rsidR="009B09AF" w:rsidRPr="003E15B6" w:rsidRDefault="009B09AF" w:rsidP="009B09AF">
            <w:pPr>
              <w:rPr>
                <w:rFonts w:ascii="Calibri" w:eastAsia="Calibri" w:hAnsi="Calibri"/>
                <w:sz w:val="18"/>
                <w:szCs w:val="18"/>
                <w:lang w:eastAsia="en-US"/>
              </w:rPr>
            </w:pPr>
          </w:p>
        </w:tc>
        <w:tc>
          <w:tcPr>
            <w:tcW w:w="1000" w:type="dxa"/>
          </w:tcPr>
          <w:p w14:paraId="2F2240E0"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-0.3Gy</w:t>
            </w:r>
          </w:p>
        </w:tc>
        <w:tc>
          <w:tcPr>
            <w:tcW w:w="993" w:type="dxa"/>
          </w:tcPr>
          <w:p w14:paraId="6DFD19A3" w14:textId="77777777" w:rsidR="009B09AF" w:rsidRPr="003E15B6" w:rsidRDefault="009B09AF" w:rsidP="009B09AF">
            <w:pPr>
              <w:rPr>
                <w:rFonts w:ascii="Calibri" w:eastAsia="Calibri" w:hAnsi="Calibri"/>
                <w:sz w:val="18"/>
                <w:szCs w:val="18"/>
                <w:lang w:eastAsia="en-US"/>
              </w:rPr>
            </w:pPr>
          </w:p>
        </w:tc>
        <w:tc>
          <w:tcPr>
            <w:tcW w:w="854" w:type="dxa"/>
          </w:tcPr>
          <w:p w14:paraId="501FA884" w14:textId="01122DF3" w:rsidR="009B09AF" w:rsidRPr="003E15B6" w:rsidRDefault="009B09AF" w:rsidP="009B09AF">
            <w:pPr>
              <w:rPr>
                <w:rFonts w:ascii="Calibri" w:eastAsia="Calibri" w:hAnsi="Calibri"/>
                <w:sz w:val="18"/>
                <w:szCs w:val="18"/>
                <w:lang w:eastAsia="en-US"/>
              </w:rPr>
            </w:pPr>
          </w:p>
        </w:tc>
        <w:tc>
          <w:tcPr>
            <w:tcW w:w="896" w:type="dxa"/>
          </w:tcPr>
          <w:p w14:paraId="6F3BB1FE" w14:textId="6366DB9E" w:rsidR="009B09AF" w:rsidRPr="003E15B6" w:rsidRDefault="008F6338" w:rsidP="009B09AF">
            <w:pPr>
              <w:rPr>
                <w:rFonts w:ascii="Calibri" w:eastAsia="Calibri" w:hAnsi="Calibri"/>
                <w:sz w:val="18"/>
                <w:szCs w:val="18"/>
                <w:lang w:eastAsia="en-US"/>
              </w:rPr>
            </w:pPr>
            <w:r w:rsidRPr="003E15B6">
              <w:rPr>
                <w:rFonts w:ascii="Calibri" w:eastAsia="Calibri" w:hAnsi="Calibri"/>
                <w:sz w:val="18"/>
                <w:szCs w:val="18"/>
                <w:lang w:eastAsia="en-US"/>
              </w:rPr>
              <w:t>1.6</w:t>
            </w:r>
            <w:r w:rsidR="009B09AF" w:rsidRPr="003E15B6">
              <w:rPr>
                <w:rFonts w:ascii="Calibri" w:eastAsia="Calibri" w:hAnsi="Calibri"/>
                <w:sz w:val="18"/>
                <w:szCs w:val="18"/>
                <w:lang w:eastAsia="en-US"/>
              </w:rPr>
              <w:t>Gy</w:t>
            </w:r>
          </w:p>
        </w:tc>
        <w:tc>
          <w:tcPr>
            <w:tcW w:w="897" w:type="dxa"/>
          </w:tcPr>
          <w:p w14:paraId="06E7C7DE" w14:textId="4135D2D9"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0.4Gy</w:t>
            </w:r>
          </w:p>
        </w:tc>
        <w:tc>
          <w:tcPr>
            <w:tcW w:w="896" w:type="dxa"/>
          </w:tcPr>
          <w:p w14:paraId="269259A9" w14:textId="2ECCACC5"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w:t>
            </w:r>
          </w:p>
        </w:tc>
      </w:tr>
      <w:tr w:rsidR="003E15B6" w:rsidRPr="003E15B6" w14:paraId="06B22F46" w14:textId="5307B15D" w:rsidTr="003E15B6">
        <w:tc>
          <w:tcPr>
            <w:tcW w:w="814" w:type="dxa"/>
          </w:tcPr>
          <w:p w14:paraId="03D3EE52" w14:textId="77777777" w:rsidR="009B09AF" w:rsidRPr="003E15B6" w:rsidRDefault="009B09AF" w:rsidP="009B09AF">
            <w:pPr>
              <w:rPr>
                <w:rFonts w:ascii="Calibri" w:eastAsia="Calibri" w:hAnsi="Calibri"/>
                <w:sz w:val="18"/>
                <w:szCs w:val="18"/>
                <w:lang w:eastAsia="en-US"/>
              </w:rPr>
            </w:pPr>
          </w:p>
        </w:tc>
        <w:tc>
          <w:tcPr>
            <w:tcW w:w="1057" w:type="dxa"/>
          </w:tcPr>
          <w:p w14:paraId="746A724A"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D2%</w:t>
            </w:r>
          </w:p>
        </w:tc>
        <w:tc>
          <w:tcPr>
            <w:tcW w:w="812" w:type="dxa"/>
          </w:tcPr>
          <w:p w14:paraId="0EAAE0C4" w14:textId="309E2BC3" w:rsidR="009B09AF" w:rsidRPr="003E15B6" w:rsidRDefault="009B09AF" w:rsidP="009B09AF">
            <w:pPr>
              <w:jc w:val="center"/>
              <w:rPr>
                <w:rFonts w:ascii="Calibri" w:eastAsia="Calibri" w:hAnsi="Calibri"/>
                <w:sz w:val="18"/>
                <w:szCs w:val="18"/>
                <w:lang w:eastAsia="en-US"/>
              </w:rPr>
            </w:pPr>
          </w:p>
        </w:tc>
        <w:tc>
          <w:tcPr>
            <w:tcW w:w="848" w:type="dxa"/>
          </w:tcPr>
          <w:p w14:paraId="4C7D692A" w14:textId="77777777" w:rsidR="009B09AF" w:rsidRPr="003E15B6" w:rsidRDefault="009B09AF" w:rsidP="009B09AF">
            <w:pPr>
              <w:rPr>
                <w:rFonts w:ascii="Calibri" w:eastAsia="Calibri" w:hAnsi="Calibri"/>
                <w:sz w:val="18"/>
                <w:szCs w:val="18"/>
                <w:lang w:eastAsia="en-US"/>
              </w:rPr>
            </w:pPr>
          </w:p>
        </w:tc>
        <w:tc>
          <w:tcPr>
            <w:tcW w:w="1000" w:type="dxa"/>
          </w:tcPr>
          <w:p w14:paraId="02383F50"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1.6Gy</w:t>
            </w:r>
          </w:p>
        </w:tc>
        <w:tc>
          <w:tcPr>
            <w:tcW w:w="993" w:type="dxa"/>
          </w:tcPr>
          <w:p w14:paraId="642253D7" w14:textId="77777777" w:rsidR="009B09AF" w:rsidRPr="003E15B6" w:rsidRDefault="009B09AF" w:rsidP="009B09AF">
            <w:pPr>
              <w:rPr>
                <w:rFonts w:ascii="Calibri" w:eastAsia="Calibri" w:hAnsi="Calibri"/>
                <w:sz w:val="18"/>
                <w:szCs w:val="18"/>
                <w:lang w:eastAsia="en-US"/>
              </w:rPr>
            </w:pPr>
          </w:p>
        </w:tc>
        <w:tc>
          <w:tcPr>
            <w:tcW w:w="854" w:type="dxa"/>
          </w:tcPr>
          <w:p w14:paraId="42E18560" w14:textId="1C82B3A4" w:rsidR="009B09AF" w:rsidRPr="003E15B6" w:rsidRDefault="009B09AF" w:rsidP="009B09AF">
            <w:pPr>
              <w:rPr>
                <w:rFonts w:ascii="Calibri" w:eastAsia="Calibri" w:hAnsi="Calibri"/>
                <w:sz w:val="18"/>
                <w:szCs w:val="18"/>
                <w:lang w:eastAsia="en-US"/>
              </w:rPr>
            </w:pPr>
          </w:p>
        </w:tc>
        <w:tc>
          <w:tcPr>
            <w:tcW w:w="896" w:type="dxa"/>
          </w:tcPr>
          <w:p w14:paraId="3ED82FE5" w14:textId="77777777" w:rsidR="009B09AF" w:rsidRPr="003E15B6" w:rsidRDefault="009B09AF" w:rsidP="009B09AF">
            <w:pPr>
              <w:rPr>
                <w:rFonts w:ascii="Calibri" w:eastAsia="Calibri" w:hAnsi="Calibri"/>
                <w:sz w:val="18"/>
                <w:szCs w:val="18"/>
                <w:lang w:eastAsia="en-US"/>
              </w:rPr>
            </w:pPr>
          </w:p>
        </w:tc>
        <w:tc>
          <w:tcPr>
            <w:tcW w:w="897" w:type="dxa"/>
          </w:tcPr>
          <w:p w14:paraId="4EEE4625" w14:textId="77777777" w:rsidR="009B09AF" w:rsidRPr="003E15B6" w:rsidRDefault="009B09AF" w:rsidP="009B09AF">
            <w:pPr>
              <w:rPr>
                <w:rFonts w:ascii="Calibri" w:eastAsia="Calibri" w:hAnsi="Calibri"/>
                <w:sz w:val="18"/>
                <w:szCs w:val="18"/>
                <w:lang w:eastAsia="en-US"/>
              </w:rPr>
            </w:pPr>
          </w:p>
        </w:tc>
        <w:tc>
          <w:tcPr>
            <w:tcW w:w="896" w:type="dxa"/>
          </w:tcPr>
          <w:p w14:paraId="5B8D2881" w14:textId="7D0CDAF4"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-1Gy</w:t>
            </w:r>
          </w:p>
        </w:tc>
      </w:tr>
      <w:tr w:rsidR="003E15B6" w:rsidRPr="003E15B6" w14:paraId="2EE295A7" w14:textId="5CC2DA68" w:rsidTr="003E15B6">
        <w:tc>
          <w:tcPr>
            <w:tcW w:w="814" w:type="dxa"/>
          </w:tcPr>
          <w:p w14:paraId="7CCC440D" w14:textId="77777777" w:rsidR="009B09AF" w:rsidRPr="003E15B6" w:rsidRDefault="009B09AF" w:rsidP="009B09AF">
            <w:pPr>
              <w:rPr>
                <w:rFonts w:ascii="Calibri" w:eastAsia="Calibri" w:hAnsi="Calibri"/>
                <w:sz w:val="18"/>
                <w:szCs w:val="18"/>
                <w:lang w:eastAsia="en-US"/>
              </w:rPr>
            </w:pPr>
          </w:p>
        </w:tc>
        <w:tc>
          <w:tcPr>
            <w:tcW w:w="1057" w:type="dxa"/>
          </w:tcPr>
          <w:p w14:paraId="435BACB2"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V5Gy</w:t>
            </w:r>
          </w:p>
        </w:tc>
        <w:tc>
          <w:tcPr>
            <w:tcW w:w="812" w:type="dxa"/>
          </w:tcPr>
          <w:p w14:paraId="3A086F8A" w14:textId="77777777" w:rsidR="009B09AF" w:rsidRPr="003E15B6" w:rsidRDefault="009B09AF" w:rsidP="009B09AF">
            <w:pPr>
              <w:jc w:val="center"/>
              <w:rPr>
                <w:rFonts w:ascii="Calibri" w:eastAsia="Calibri" w:hAnsi="Calibri"/>
                <w:sz w:val="18"/>
                <w:szCs w:val="18"/>
                <w:lang w:eastAsia="en-US"/>
              </w:rPr>
            </w:pPr>
          </w:p>
        </w:tc>
        <w:tc>
          <w:tcPr>
            <w:tcW w:w="848" w:type="dxa"/>
          </w:tcPr>
          <w:p w14:paraId="70ABC5D7"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15.8%</w:t>
            </w:r>
          </w:p>
        </w:tc>
        <w:tc>
          <w:tcPr>
            <w:tcW w:w="1000" w:type="dxa"/>
          </w:tcPr>
          <w:p w14:paraId="08D1B89A"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2.8%</w:t>
            </w:r>
          </w:p>
        </w:tc>
        <w:tc>
          <w:tcPr>
            <w:tcW w:w="993" w:type="dxa"/>
          </w:tcPr>
          <w:p w14:paraId="1155AACD" w14:textId="77777777" w:rsidR="009B09AF" w:rsidRPr="003E15B6" w:rsidRDefault="009B09AF" w:rsidP="009B09AF">
            <w:pPr>
              <w:rPr>
                <w:rFonts w:ascii="Calibri" w:eastAsia="Calibri" w:hAnsi="Calibri"/>
                <w:sz w:val="18"/>
                <w:szCs w:val="18"/>
                <w:lang w:eastAsia="en-US"/>
              </w:rPr>
            </w:pPr>
          </w:p>
        </w:tc>
        <w:tc>
          <w:tcPr>
            <w:tcW w:w="854" w:type="dxa"/>
          </w:tcPr>
          <w:p w14:paraId="70A3AA35" w14:textId="70E74E4A" w:rsidR="009B09AF" w:rsidRPr="003E15B6" w:rsidRDefault="009B09AF" w:rsidP="009B09AF">
            <w:pPr>
              <w:rPr>
                <w:rFonts w:ascii="Calibri" w:eastAsia="Calibri" w:hAnsi="Calibri"/>
                <w:sz w:val="18"/>
                <w:szCs w:val="18"/>
                <w:lang w:eastAsia="en-US"/>
              </w:rPr>
            </w:pPr>
          </w:p>
        </w:tc>
        <w:tc>
          <w:tcPr>
            <w:tcW w:w="896" w:type="dxa"/>
          </w:tcPr>
          <w:p w14:paraId="282F0514" w14:textId="77777777" w:rsidR="009B09AF" w:rsidRPr="003E15B6" w:rsidRDefault="009B09AF" w:rsidP="009B09AF">
            <w:pPr>
              <w:rPr>
                <w:rFonts w:ascii="Calibri" w:eastAsia="Calibri" w:hAnsi="Calibri"/>
                <w:sz w:val="18"/>
                <w:szCs w:val="18"/>
                <w:lang w:eastAsia="en-US"/>
              </w:rPr>
            </w:pPr>
          </w:p>
        </w:tc>
        <w:tc>
          <w:tcPr>
            <w:tcW w:w="897" w:type="dxa"/>
          </w:tcPr>
          <w:p w14:paraId="47734F3E" w14:textId="48E6B69C"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8.5%</w:t>
            </w:r>
          </w:p>
        </w:tc>
        <w:tc>
          <w:tcPr>
            <w:tcW w:w="896" w:type="dxa"/>
          </w:tcPr>
          <w:p w14:paraId="3175761C" w14:textId="77777777" w:rsidR="009B09AF" w:rsidRPr="003E15B6" w:rsidRDefault="009B09AF" w:rsidP="009B09AF">
            <w:pPr>
              <w:rPr>
                <w:rFonts w:ascii="Calibri" w:eastAsia="Calibri" w:hAnsi="Calibri"/>
                <w:sz w:val="18"/>
                <w:szCs w:val="18"/>
                <w:lang w:eastAsia="en-US"/>
              </w:rPr>
            </w:pPr>
          </w:p>
        </w:tc>
      </w:tr>
      <w:tr w:rsidR="003E15B6" w:rsidRPr="003E15B6" w14:paraId="3E5E85FA" w14:textId="040FF4DC" w:rsidTr="003E15B6">
        <w:tc>
          <w:tcPr>
            <w:tcW w:w="814" w:type="dxa"/>
          </w:tcPr>
          <w:p w14:paraId="4593E2C9" w14:textId="77777777" w:rsidR="009B09AF" w:rsidRPr="003E15B6" w:rsidRDefault="009B09AF" w:rsidP="009B09AF">
            <w:pPr>
              <w:rPr>
                <w:rFonts w:ascii="Calibri" w:eastAsia="Calibri" w:hAnsi="Calibri"/>
                <w:sz w:val="18"/>
                <w:szCs w:val="18"/>
                <w:lang w:eastAsia="en-US"/>
              </w:rPr>
            </w:pPr>
          </w:p>
        </w:tc>
        <w:tc>
          <w:tcPr>
            <w:tcW w:w="1057" w:type="dxa"/>
          </w:tcPr>
          <w:p w14:paraId="55701EEC"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V10Gy</w:t>
            </w:r>
          </w:p>
        </w:tc>
        <w:tc>
          <w:tcPr>
            <w:tcW w:w="812" w:type="dxa"/>
          </w:tcPr>
          <w:p w14:paraId="612C6001" w14:textId="77777777" w:rsidR="009B09AF" w:rsidRPr="003E15B6" w:rsidRDefault="009B09AF" w:rsidP="009B09AF">
            <w:pPr>
              <w:jc w:val="center"/>
              <w:rPr>
                <w:rFonts w:ascii="Calibri" w:eastAsia="Calibri" w:hAnsi="Calibri"/>
                <w:sz w:val="18"/>
                <w:szCs w:val="18"/>
                <w:lang w:eastAsia="en-US"/>
              </w:rPr>
            </w:pPr>
          </w:p>
        </w:tc>
        <w:tc>
          <w:tcPr>
            <w:tcW w:w="848" w:type="dxa"/>
          </w:tcPr>
          <w:p w14:paraId="7E6BEA8A" w14:textId="77777777" w:rsidR="009B09AF" w:rsidRPr="003E15B6" w:rsidRDefault="009B09AF" w:rsidP="009B09AF">
            <w:pPr>
              <w:rPr>
                <w:rFonts w:ascii="Calibri" w:eastAsia="Calibri" w:hAnsi="Calibri"/>
                <w:sz w:val="18"/>
                <w:szCs w:val="18"/>
                <w:lang w:eastAsia="en-US"/>
              </w:rPr>
            </w:pPr>
          </w:p>
        </w:tc>
        <w:tc>
          <w:tcPr>
            <w:tcW w:w="1000" w:type="dxa"/>
          </w:tcPr>
          <w:p w14:paraId="0D11AAB8"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-1.4%</w:t>
            </w:r>
          </w:p>
        </w:tc>
        <w:tc>
          <w:tcPr>
            <w:tcW w:w="993" w:type="dxa"/>
          </w:tcPr>
          <w:p w14:paraId="1D24AEE0" w14:textId="77777777" w:rsidR="009B09AF" w:rsidRPr="003E15B6" w:rsidRDefault="009B09AF" w:rsidP="009B09AF">
            <w:pPr>
              <w:rPr>
                <w:rFonts w:ascii="Calibri" w:eastAsia="Calibri" w:hAnsi="Calibri"/>
                <w:sz w:val="18"/>
                <w:szCs w:val="18"/>
                <w:lang w:eastAsia="en-US"/>
              </w:rPr>
            </w:pPr>
          </w:p>
        </w:tc>
        <w:tc>
          <w:tcPr>
            <w:tcW w:w="854" w:type="dxa"/>
          </w:tcPr>
          <w:p w14:paraId="79CF0E9C" w14:textId="21A09FD9" w:rsidR="009B09AF" w:rsidRPr="003E15B6" w:rsidRDefault="009B09AF" w:rsidP="009B09AF">
            <w:pPr>
              <w:rPr>
                <w:rFonts w:ascii="Calibri" w:eastAsia="Calibri" w:hAnsi="Calibri"/>
                <w:sz w:val="18"/>
                <w:szCs w:val="18"/>
                <w:lang w:eastAsia="en-US"/>
              </w:rPr>
            </w:pPr>
          </w:p>
        </w:tc>
        <w:tc>
          <w:tcPr>
            <w:tcW w:w="896" w:type="dxa"/>
          </w:tcPr>
          <w:p w14:paraId="50CF5E39" w14:textId="77777777" w:rsidR="009B09AF" w:rsidRPr="003E15B6" w:rsidRDefault="009B09AF" w:rsidP="009B09AF">
            <w:pPr>
              <w:rPr>
                <w:rFonts w:ascii="Calibri" w:eastAsia="Calibri" w:hAnsi="Calibri"/>
                <w:sz w:val="18"/>
                <w:szCs w:val="18"/>
                <w:lang w:eastAsia="en-US"/>
              </w:rPr>
            </w:pPr>
          </w:p>
        </w:tc>
        <w:tc>
          <w:tcPr>
            <w:tcW w:w="897" w:type="dxa"/>
          </w:tcPr>
          <w:p w14:paraId="6914888A" w14:textId="55F8481A"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2.1%</w:t>
            </w:r>
          </w:p>
        </w:tc>
        <w:tc>
          <w:tcPr>
            <w:tcW w:w="896" w:type="dxa"/>
          </w:tcPr>
          <w:p w14:paraId="0D6FDD02" w14:textId="77777777" w:rsidR="009B09AF" w:rsidRPr="003E15B6" w:rsidRDefault="009B09AF" w:rsidP="009B09AF">
            <w:pPr>
              <w:rPr>
                <w:rFonts w:ascii="Calibri" w:eastAsia="Calibri" w:hAnsi="Calibri"/>
                <w:sz w:val="18"/>
                <w:szCs w:val="18"/>
                <w:lang w:eastAsia="en-US"/>
              </w:rPr>
            </w:pPr>
          </w:p>
        </w:tc>
      </w:tr>
      <w:tr w:rsidR="003E15B6" w:rsidRPr="003E15B6" w14:paraId="2D31DD3E" w14:textId="441380FF" w:rsidTr="003E15B6">
        <w:tc>
          <w:tcPr>
            <w:tcW w:w="814" w:type="dxa"/>
          </w:tcPr>
          <w:p w14:paraId="4B46966B" w14:textId="76CCBC2A" w:rsidR="009B09AF" w:rsidRPr="003E15B6" w:rsidRDefault="00502178" w:rsidP="009B09AF">
            <w:pPr>
              <w:rPr>
                <w:rFonts w:ascii="Calibri" w:eastAsia="Calibri" w:hAnsi="Calibri"/>
                <w:sz w:val="18"/>
                <w:szCs w:val="18"/>
                <w:lang w:eastAsia="en-US"/>
              </w:rPr>
            </w:pPr>
            <w:r w:rsidRPr="003E15B6">
              <w:rPr>
                <w:rFonts w:ascii="Calibri" w:eastAsia="Calibri" w:hAnsi="Calibri"/>
                <w:sz w:val="18"/>
                <w:szCs w:val="18"/>
                <w:lang w:eastAsia="en-US"/>
              </w:rPr>
              <w:t>B</w:t>
            </w:r>
            <w:r w:rsidR="009B09AF" w:rsidRPr="003E15B6">
              <w:rPr>
                <w:rFonts w:ascii="Calibri" w:eastAsia="Calibri" w:hAnsi="Calibri"/>
                <w:sz w:val="18"/>
                <w:szCs w:val="18"/>
                <w:lang w:eastAsia="en-US"/>
              </w:rPr>
              <w:t xml:space="preserve"> (CN)</w:t>
            </w:r>
          </w:p>
        </w:tc>
        <w:tc>
          <w:tcPr>
            <w:tcW w:w="1057" w:type="dxa"/>
          </w:tcPr>
          <w:p w14:paraId="6E057576" w14:textId="77777777" w:rsidR="009B09AF" w:rsidRPr="003E15B6" w:rsidRDefault="009B09AF" w:rsidP="009B09AF">
            <w:pPr>
              <w:rPr>
                <w:rFonts w:ascii="Calibri" w:eastAsia="Calibri" w:hAnsi="Calibri"/>
                <w:sz w:val="18"/>
                <w:szCs w:val="18"/>
                <w:lang w:eastAsia="en-US"/>
              </w:rPr>
            </w:pPr>
            <w:proofErr w:type="spellStart"/>
            <w:r w:rsidRPr="003E15B6">
              <w:rPr>
                <w:rFonts w:ascii="Calibri" w:eastAsia="Calibri" w:hAnsi="Calibri"/>
                <w:sz w:val="18"/>
                <w:szCs w:val="18"/>
                <w:lang w:eastAsia="en-US"/>
              </w:rPr>
              <w:t>Dmean</w:t>
            </w:r>
            <w:proofErr w:type="spellEnd"/>
          </w:p>
        </w:tc>
        <w:tc>
          <w:tcPr>
            <w:tcW w:w="812" w:type="dxa"/>
          </w:tcPr>
          <w:p w14:paraId="386E6D90" w14:textId="68A6B10F" w:rsidR="009B09AF" w:rsidRPr="003E15B6" w:rsidRDefault="008F6338" w:rsidP="009B09AF">
            <w:pPr>
              <w:rPr>
                <w:rFonts w:ascii="Calibri" w:eastAsia="Calibri" w:hAnsi="Calibri"/>
                <w:sz w:val="18"/>
                <w:szCs w:val="18"/>
                <w:lang w:eastAsia="en-US"/>
              </w:rPr>
            </w:pPr>
            <w:r w:rsidRPr="003E15B6">
              <w:rPr>
                <w:rFonts w:ascii="Calibri" w:eastAsia="Calibri" w:hAnsi="Calibri"/>
                <w:sz w:val="18"/>
                <w:szCs w:val="18"/>
                <w:lang w:eastAsia="en-US"/>
              </w:rPr>
              <w:t>0.2</w:t>
            </w:r>
            <w:r w:rsidR="009B09AF" w:rsidRPr="003E15B6">
              <w:rPr>
                <w:rFonts w:ascii="Calibri" w:eastAsia="Calibri" w:hAnsi="Calibri"/>
                <w:sz w:val="18"/>
                <w:szCs w:val="18"/>
                <w:lang w:eastAsia="en-US"/>
              </w:rPr>
              <w:t>Gy</w:t>
            </w:r>
          </w:p>
        </w:tc>
        <w:tc>
          <w:tcPr>
            <w:tcW w:w="848" w:type="dxa"/>
          </w:tcPr>
          <w:p w14:paraId="7F6DF730" w14:textId="77777777" w:rsidR="009B09AF" w:rsidRPr="003E15B6" w:rsidRDefault="009B09AF" w:rsidP="009B09AF">
            <w:pPr>
              <w:rPr>
                <w:rFonts w:ascii="Calibri" w:eastAsia="Calibri" w:hAnsi="Calibri"/>
                <w:sz w:val="18"/>
                <w:szCs w:val="18"/>
                <w:lang w:eastAsia="en-US"/>
              </w:rPr>
            </w:pPr>
          </w:p>
        </w:tc>
        <w:tc>
          <w:tcPr>
            <w:tcW w:w="1000" w:type="dxa"/>
          </w:tcPr>
          <w:p w14:paraId="38B0F063"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w:t>
            </w:r>
          </w:p>
        </w:tc>
        <w:tc>
          <w:tcPr>
            <w:tcW w:w="993" w:type="dxa"/>
          </w:tcPr>
          <w:p w14:paraId="20FDB2E1" w14:textId="193AE693"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1.5Gy</w:t>
            </w:r>
          </w:p>
        </w:tc>
        <w:tc>
          <w:tcPr>
            <w:tcW w:w="854" w:type="dxa"/>
          </w:tcPr>
          <w:p w14:paraId="7702DADB" w14:textId="51E22E81" w:rsidR="009B09AF" w:rsidRPr="003E15B6" w:rsidRDefault="009B09AF" w:rsidP="009B09AF">
            <w:pPr>
              <w:rPr>
                <w:rFonts w:ascii="Calibri" w:eastAsia="Calibri" w:hAnsi="Calibri"/>
                <w:sz w:val="18"/>
                <w:szCs w:val="18"/>
                <w:lang w:eastAsia="en-US"/>
              </w:rPr>
            </w:pPr>
          </w:p>
        </w:tc>
        <w:tc>
          <w:tcPr>
            <w:tcW w:w="896" w:type="dxa"/>
          </w:tcPr>
          <w:p w14:paraId="78DC0ED4" w14:textId="125D6161"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1.3Gy</w:t>
            </w:r>
          </w:p>
        </w:tc>
        <w:tc>
          <w:tcPr>
            <w:tcW w:w="897" w:type="dxa"/>
          </w:tcPr>
          <w:p w14:paraId="148057A5" w14:textId="30F2E796"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0.1Gy</w:t>
            </w:r>
          </w:p>
        </w:tc>
        <w:tc>
          <w:tcPr>
            <w:tcW w:w="896" w:type="dxa"/>
          </w:tcPr>
          <w:p w14:paraId="657759C9" w14:textId="77777777" w:rsidR="009B09AF" w:rsidRPr="003E15B6" w:rsidRDefault="009B09AF" w:rsidP="009B09AF">
            <w:pPr>
              <w:rPr>
                <w:rFonts w:ascii="Calibri" w:eastAsia="Calibri" w:hAnsi="Calibri"/>
                <w:sz w:val="18"/>
                <w:szCs w:val="18"/>
                <w:lang w:eastAsia="en-US"/>
              </w:rPr>
            </w:pPr>
          </w:p>
        </w:tc>
      </w:tr>
      <w:tr w:rsidR="003E15B6" w:rsidRPr="003E15B6" w14:paraId="6AB37282" w14:textId="69D5AA40" w:rsidTr="003E15B6">
        <w:tc>
          <w:tcPr>
            <w:tcW w:w="814" w:type="dxa"/>
          </w:tcPr>
          <w:p w14:paraId="6D0161AC" w14:textId="77777777" w:rsidR="009B09AF" w:rsidRPr="003E15B6" w:rsidRDefault="009B09AF" w:rsidP="009B09AF">
            <w:pPr>
              <w:rPr>
                <w:rFonts w:ascii="Calibri" w:eastAsia="Calibri" w:hAnsi="Calibri"/>
                <w:sz w:val="18"/>
                <w:szCs w:val="18"/>
                <w:lang w:eastAsia="en-US"/>
              </w:rPr>
            </w:pPr>
          </w:p>
        </w:tc>
        <w:tc>
          <w:tcPr>
            <w:tcW w:w="1057" w:type="dxa"/>
          </w:tcPr>
          <w:p w14:paraId="690CEEA1"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D2%</w:t>
            </w:r>
          </w:p>
        </w:tc>
        <w:tc>
          <w:tcPr>
            <w:tcW w:w="812" w:type="dxa"/>
          </w:tcPr>
          <w:p w14:paraId="11D0E688" w14:textId="77777777" w:rsidR="009B09AF" w:rsidRPr="003E15B6" w:rsidRDefault="009B09AF" w:rsidP="009B09AF">
            <w:pPr>
              <w:rPr>
                <w:rFonts w:ascii="Calibri" w:eastAsia="Calibri" w:hAnsi="Calibri"/>
                <w:sz w:val="18"/>
                <w:szCs w:val="18"/>
                <w:lang w:eastAsia="en-US"/>
              </w:rPr>
            </w:pPr>
          </w:p>
        </w:tc>
        <w:tc>
          <w:tcPr>
            <w:tcW w:w="848" w:type="dxa"/>
          </w:tcPr>
          <w:p w14:paraId="162898D8" w14:textId="77777777" w:rsidR="009B09AF" w:rsidRPr="003E15B6" w:rsidRDefault="009B09AF" w:rsidP="009B09AF">
            <w:pPr>
              <w:rPr>
                <w:rFonts w:ascii="Calibri" w:eastAsia="Calibri" w:hAnsi="Calibri"/>
                <w:sz w:val="18"/>
                <w:szCs w:val="18"/>
                <w:lang w:eastAsia="en-US"/>
              </w:rPr>
            </w:pPr>
          </w:p>
        </w:tc>
        <w:tc>
          <w:tcPr>
            <w:tcW w:w="1000" w:type="dxa"/>
          </w:tcPr>
          <w:p w14:paraId="2E7C5B1B"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-0.2Gy</w:t>
            </w:r>
          </w:p>
        </w:tc>
        <w:tc>
          <w:tcPr>
            <w:tcW w:w="993" w:type="dxa"/>
          </w:tcPr>
          <w:p w14:paraId="62433B92" w14:textId="77777777" w:rsidR="009B09AF" w:rsidRPr="003E15B6" w:rsidRDefault="009B09AF" w:rsidP="009B09AF">
            <w:pPr>
              <w:rPr>
                <w:rFonts w:ascii="Calibri" w:eastAsia="Calibri" w:hAnsi="Calibri"/>
                <w:sz w:val="18"/>
                <w:szCs w:val="18"/>
                <w:lang w:eastAsia="en-US"/>
              </w:rPr>
            </w:pPr>
          </w:p>
        </w:tc>
        <w:tc>
          <w:tcPr>
            <w:tcW w:w="854" w:type="dxa"/>
          </w:tcPr>
          <w:p w14:paraId="73BFDCF8" w14:textId="5577DC37" w:rsidR="009B09AF" w:rsidRPr="003E15B6" w:rsidRDefault="009B09AF" w:rsidP="009B09AF">
            <w:pPr>
              <w:rPr>
                <w:rFonts w:ascii="Calibri" w:eastAsia="Calibri" w:hAnsi="Calibri"/>
                <w:sz w:val="18"/>
                <w:szCs w:val="18"/>
                <w:lang w:eastAsia="en-US"/>
              </w:rPr>
            </w:pPr>
          </w:p>
        </w:tc>
        <w:tc>
          <w:tcPr>
            <w:tcW w:w="896" w:type="dxa"/>
          </w:tcPr>
          <w:p w14:paraId="16197BEA" w14:textId="77777777" w:rsidR="009B09AF" w:rsidRPr="003E15B6" w:rsidRDefault="009B09AF" w:rsidP="009B09AF">
            <w:pPr>
              <w:rPr>
                <w:rFonts w:ascii="Calibri" w:eastAsia="Calibri" w:hAnsi="Calibri"/>
                <w:sz w:val="18"/>
                <w:szCs w:val="18"/>
                <w:lang w:eastAsia="en-US"/>
              </w:rPr>
            </w:pPr>
          </w:p>
        </w:tc>
        <w:tc>
          <w:tcPr>
            <w:tcW w:w="897" w:type="dxa"/>
          </w:tcPr>
          <w:p w14:paraId="4ABCE1B2" w14:textId="77777777" w:rsidR="009B09AF" w:rsidRPr="003E15B6" w:rsidRDefault="009B09AF" w:rsidP="009B09AF">
            <w:pPr>
              <w:rPr>
                <w:rFonts w:ascii="Calibri" w:eastAsia="Calibri" w:hAnsi="Calibri"/>
                <w:sz w:val="18"/>
                <w:szCs w:val="18"/>
                <w:lang w:eastAsia="en-US"/>
              </w:rPr>
            </w:pPr>
          </w:p>
        </w:tc>
        <w:tc>
          <w:tcPr>
            <w:tcW w:w="896" w:type="dxa"/>
          </w:tcPr>
          <w:p w14:paraId="0A14D650" w14:textId="77777777" w:rsidR="009B09AF" w:rsidRPr="003E15B6" w:rsidRDefault="009B09AF" w:rsidP="009B09AF">
            <w:pPr>
              <w:rPr>
                <w:rFonts w:ascii="Calibri" w:eastAsia="Calibri" w:hAnsi="Calibri"/>
                <w:sz w:val="18"/>
                <w:szCs w:val="18"/>
                <w:lang w:eastAsia="en-US"/>
              </w:rPr>
            </w:pPr>
          </w:p>
        </w:tc>
      </w:tr>
      <w:tr w:rsidR="003E15B6" w:rsidRPr="003E15B6" w14:paraId="200530C8" w14:textId="756CBD93" w:rsidTr="003E15B6">
        <w:tc>
          <w:tcPr>
            <w:tcW w:w="814" w:type="dxa"/>
          </w:tcPr>
          <w:p w14:paraId="013CCF67" w14:textId="77777777" w:rsidR="009B09AF" w:rsidRPr="003E15B6" w:rsidRDefault="009B09AF" w:rsidP="009B09AF">
            <w:pPr>
              <w:rPr>
                <w:rFonts w:ascii="Calibri" w:eastAsia="Calibri" w:hAnsi="Calibri"/>
                <w:sz w:val="18"/>
                <w:szCs w:val="18"/>
                <w:lang w:eastAsia="en-US"/>
              </w:rPr>
            </w:pPr>
          </w:p>
        </w:tc>
        <w:tc>
          <w:tcPr>
            <w:tcW w:w="1057" w:type="dxa"/>
          </w:tcPr>
          <w:p w14:paraId="14ED64A8"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V5Gy</w:t>
            </w:r>
          </w:p>
        </w:tc>
        <w:tc>
          <w:tcPr>
            <w:tcW w:w="812" w:type="dxa"/>
          </w:tcPr>
          <w:p w14:paraId="67A196A2" w14:textId="77777777" w:rsidR="009B09AF" w:rsidRPr="003E15B6" w:rsidRDefault="009B09AF" w:rsidP="009B09AF">
            <w:pPr>
              <w:rPr>
                <w:rFonts w:ascii="Calibri" w:eastAsia="Calibri" w:hAnsi="Calibri"/>
                <w:sz w:val="18"/>
                <w:szCs w:val="18"/>
                <w:lang w:eastAsia="en-US"/>
              </w:rPr>
            </w:pPr>
          </w:p>
        </w:tc>
        <w:tc>
          <w:tcPr>
            <w:tcW w:w="848" w:type="dxa"/>
          </w:tcPr>
          <w:p w14:paraId="3D1CC534"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12.1%</w:t>
            </w:r>
          </w:p>
        </w:tc>
        <w:tc>
          <w:tcPr>
            <w:tcW w:w="1000" w:type="dxa"/>
          </w:tcPr>
          <w:p w14:paraId="13C63B81" w14:textId="77777777" w:rsidR="009B09AF" w:rsidRPr="003E15B6" w:rsidRDefault="009B09AF" w:rsidP="009B09AF">
            <w:pPr>
              <w:rPr>
                <w:rFonts w:ascii="Calibri" w:eastAsia="Calibri" w:hAnsi="Calibri"/>
                <w:sz w:val="18"/>
                <w:szCs w:val="18"/>
                <w:lang w:eastAsia="en-US"/>
              </w:rPr>
            </w:pPr>
          </w:p>
        </w:tc>
        <w:tc>
          <w:tcPr>
            <w:tcW w:w="993" w:type="dxa"/>
          </w:tcPr>
          <w:p w14:paraId="6F80AEB9" w14:textId="03AC67D4"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4%</w:t>
            </w:r>
          </w:p>
        </w:tc>
        <w:tc>
          <w:tcPr>
            <w:tcW w:w="854" w:type="dxa"/>
          </w:tcPr>
          <w:p w14:paraId="36E56EA6" w14:textId="535F3793" w:rsidR="009B09AF" w:rsidRPr="003E15B6" w:rsidRDefault="009B09AF" w:rsidP="009B09AF">
            <w:pPr>
              <w:rPr>
                <w:rFonts w:ascii="Calibri" w:eastAsia="Calibri" w:hAnsi="Calibri"/>
                <w:sz w:val="18"/>
                <w:szCs w:val="18"/>
                <w:lang w:eastAsia="en-US"/>
              </w:rPr>
            </w:pPr>
          </w:p>
        </w:tc>
        <w:tc>
          <w:tcPr>
            <w:tcW w:w="896" w:type="dxa"/>
          </w:tcPr>
          <w:p w14:paraId="1E1B7FDE" w14:textId="77777777" w:rsidR="009B09AF" w:rsidRPr="003E15B6" w:rsidRDefault="009B09AF" w:rsidP="009B09AF">
            <w:pPr>
              <w:rPr>
                <w:rFonts w:ascii="Calibri" w:eastAsia="Calibri" w:hAnsi="Calibri"/>
                <w:sz w:val="18"/>
                <w:szCs w:val="18"/>
                <w:lang w:eastAsia="en-US"/>
              </w:rPr>
            </w:pPr>
          </w:p>
        </w:tc>
        <w:tc>
          <w:tcPr>
            <w:tcW w:w="897" w:type="dxa"/>
          </w:tcPr>
          <w:p w14:paraId="54149131" w14:textId="77777777" w:rsidR="009B09AF" w:rsidRPr="003E15B6" w:rsidRDefault="009B09AF" w:rsidP="009B09AF">
            <w:pPr>
              <w:rPr>
                <w:rFonts w:ascii="Calibri" w:eastAsia="Calibri" w:hAnsi="Calibri"/>
                <w:sz w:val="18"/>
                <w:szCs w:val="18"/>
                <w:lang w:eastAsia="en-US"/>
              </w:rPr>
            </w:pPr>
          </w:p>
        </w:tc>
        <w:tc>
          <w:tcPr>
            <w:tcW w:w="896" w:type="dxa"/>
          </w:tcPr>
          <w:p w14:paraId="1254642A" w14:textId="77777777" w:rsidR="009B09AF" w:rsidRPr="003E15B6" w:rsidRDefault="009B09AF" w:rsidP="009B09AF">
            <w:pPr>
              <w:rPr>
                <w:rFonts w:ascii="Calibri" w:eastAsia="Calibri" w:hAnsi="Calibri"/>
                <w:sz w:val="18"/>
                <w:szCs w:val="18"/>
                <w:lang w:eastAsia="en-US"/>
              </w:rPr>
            </w:pPr>
          </w:p>
        </w:tc>
      </w:tr>
      <w:tr w:rsidR="003E15B6" w:rsidRPr="003E15B6" w14:paraId="2D579507" w14:textId="25C2C837" w:rsidTr="003E15B6">
        <w:tc>
          <w:tcPr>
            <w:tcW w:w="814" w:type="dxa"/>
          </w:tcPr>
          <w:p w14:paraId="022D26ED" w14:textId="2E693F6B"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NT</w:t>
            </w:r>
          </w:p>
        </w:tc>
        <w:tc>
          <w:tcPr>
            <w:tcW w:w="1057" w:type="dxa"/>
          </w:tcPr>
          <w:p w14:paraId="193B0367" w14:textId="77777777" w:rsidR="009B09AF" w:rsidRPr="003E15B6" w:rsidRDefault="009B09AF" w:rsidP="009B09AF">
            <w:pPr>
              <w:rPr>
                <w:rFonts w:ascii="Calibri" w:eastAsia="Calibri" w:hAnsi="Calibri"/>
                <w:sz w:val="18"/>
                <w:szCs w:val="18"/>
                <w:lang w:eastAsia="en-US"/>
              </w:rPr>
            </w:pPr>
            <w:proofErr w:type="spellStart"/>
            <w:r w:rsidRPr="003E15B6">
              <w:rPr>
                <w:rFonts w:ascii="Calibri" w:eastAsia="Calibri" w:hAnsi="Calibri"/>
                <w:sz w:val="18"/>
                <w:szCs w:val="18"/>
                <w:lang w:eastAsia="en-US"/>
              </w:rPr>
              <w:t>Dmean</w:t>
            </w:r>
            <w:proofErr w:type="spellEnd"/>
          </w:p>
        </w:tc>
        <w:tc>
          <w:tcPr>
            <w:tcW w:w="812" w:type="dxa"/>
          </w:tcPr>
          <w:p w14:paraId="41FC8C77" w14:textId="77777777" w:rsidR="009B09AF" w:rsidRPr="003E15B6" w:rsidRDefault="009B09AF" w:rsidP="009B09AF">
            <w:pPr>
              <w:rPr>
                <w:rFonts w:ascii="Calibri" w:eastAsia="Calibri" w:hAnsi="Calibri"/>
                <w:sz w:val="18"/>
                <w:szCs w:val="18"/>
                <w:lang w:eastAsia="en-US"/>
              </w:rPr>
            </w:pPr>
          </w:p>
        </w:tc>
        <w:tc>
          <w:tcPr>
            <w:tcW w:w="848" w:type="dxa"/>
          </w:tcPr>
          <w:p w14:paraId="10A591E4" w14:textId="77777777" w:rsidR="009B09AF" w:rsidRPr="003E15B6" w:rsidRDefault="009B09AF" w:rsidP="009B09AF">
            <w:pPr>
              <w:rPr>
                <w:rFonts w:ascii="Calibri" w:eastAsia="Calibri" w:hAnsi="Calibri"/>
                <w:sz w:val="18"/>
                <w:szCs w:val="18"/>
                <w:lang w:eastAsia="en-US"/>
              </w:rPr>
            </w:pPr>
          </w:p>
        </w:tc>
        <w:tc>
          <w:tcPr>
            <w:tcW w:w="1000" w:type="dxa"/>
          </w:tcPr>
          <w:p w14:paraId="3ADA9771" w14:textId="77777777" w:rsidR="009B09AF" w:rsidRPr="003E15B6" w:rsidRDefault="009B09AF" w:rsidP="009B09AF">
            <w:pPr>
              <w:rPr>
                <w:rFonts w:ascii="Calibri" w:eastAsia="Calibri" w:hAnsi="Calibri"/>
                <w:sz w:val="18"/>
                <w:szCs w:val="18"/>
                <w:lang w:eastAsia="en-US"/>
              </w:rPr>
            </w:pPr>
          </w:p>
        </w:tc>
        <w:tc>
          <w:tcPr>
            <w:tcW w:w="993" w:type="dxa"/>
          </w:tcPr>
          <w:p w14:paraId="60F696D2" w14:textId="77777777" w:rsidR="009B09AF" w:rsidRPr="003E15B6" w:rsidRDefault="009B09AF" w:rsidP="009B09AF">
            <w:pPr>
              <w:rPr>
                <w:rFonts w:ascii="Calibri" w:eastAsia="Calibri" w:hAnsi="Calibri"/>
                <w:sz w:val="18"/>
                <w:szCs w:val="18"/>
                <w:lang w:eastAsia="en-US"/>
              </w:rPr>
            </w:pPr>
          </w:p>
        </w:tc>
        <w:tc>
          <w:tcPr>
            <w:tcW w:w="854" w:type="dxa"/>
          </w:tcPr>
          <w:p w14:paraId="6EF0AC0E" w14:textId="72115F53" w:rsidR="009B09AF" w:rsidRPr="003E15B6" w:rsidRDefault="009B09AF" w:rsidP="009B09AF">
            <w:pPr>
              <w:rPr>
                <w:rFonts w:ascii="Calibri" w:eastAsia="Calibri" w:hAnsi="Calibri"/>
                <w:sz w:val="18"/>
                <w:szCs w:val="18"/>
                <w:lang w:eastAsia="en-US"/>
              </w:rPr>
            </w:pPr>
          </w:p>
        </w:tc>
        <w:tc>
          <w:tcPr>
            <w:tcW w:w="896" w:type="dxa"/>
          </w:tcPr>
          <w:p w14:paraId="48DBA50C" w14:textId="77777777" w:rsidR="009B09AF" w:rsidRPr="003E15B6" w:rsidRDefault="009B09AF" w:rsidP="009B09AF">
            <w:pPr>
              <w:rPr>
                <w:rFonts w:ascii="Calibri" w:eastAsia="Calibri" w:hAnsi="Calibri"/>
                <w:sz w:val="18"/>
                <w:szCs w:val="18"/>
                <w:lang w:eastAsia="en-US"/>
              </w:rPr>
            </w:pPr>
          </w:p>
        </w:tc>
        <w:tc>
          <w:tcPr>
            <w:tcW w:w="897" w:type="dxa"/>
          </w:tcPr>
          <w:p w14:paraId="54C5B64C" w14:textId="77777777" w:rsidR="009B09AF" w:rsidRPr="003E15B6" w:rsidRDefault="009B09AF" w:rsidP="009B09AF">
            <w:pPr>
              <w:rPr>
                <w:rFonts w:ascii="Calibri" w:eastAsia="Calibri" w:hAnsi="Calibri"/>
                <w:sz w:val="18"/>
                <w:szCs w:val="18"/>
                <w:lang w:eastAsia="en-US"/>
              </w:rPr>
            </w:pPr>
          </w:p>
        </w:tc>
        <w:tc>
          <w:tcPr>
            <w:tcW w:w="896" w:type="dxa"/>
          </w:tcPr>
          <w:p w14:paraId="10586DCB" w14:textId="7138B73A"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-0.3Gy</w:t>
            </w:r>
          </w:p>
        </w:tc>
      </w:tr>
      <w:tr w:rsidR="003E15B6" w:rsidRPr="003E15B6" w14:paraId="648CA293" w14:textId="3AA0BD75" w:rsidTr="003E15B6">
        <w:tc>
          <w:tcPr>
            <w:tcW w:w="814" w:type="dxa"/>
          </w:tcPr>
          <w:p w14:paraId="13FCF4F4" w14:textId="77777777" w:rsidR="009B09AF" w:rsidRPr="003E15B6" w:rsidRDefault="009B09AF" w:rsidP="009B09AF">
            <w:pPr>
              <w:rPr>
                <w:rFonts w:ascii="Calibri" w:eastAsia="Calibri" w:hAnsi="Calibri"/>
                <w:sz w:val="18"/>
                <w:szCs w:val="18"/>
                <w:lang w:eastAsia="en-US"/>
              </w:rPr>
            </w:pPr>
          </w:p>
        </w:tc>
        <w:tc>
          <w:tcPr>
            <w:tcW w:w="1057" w:type="dxa"/>
          </w:tcPr>
          <w:p w14:paraId="6A4DEC16"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D2%</w:t>
            </w:r>
          </w:p>
        </w:tc>
        <w:tc>
          <w:tcPr>
            <w:tcW w:w="812" w:type="dxa"/>
          </w:tcPr>
          <w:p w14:paraId="6A53DEA2" w14:textId="77777777" w:rsidR="009B09AF" w:rsidRPr="003E15B6" w:rsidRDefault="009B09AF" w:rsidP="009B09AF">
            <w:pPr>
              <w:rPr>
                <w:rFonts w:ascii="Calibri" w:eastAsia="Calibri" w:hAnsi="Calibri"/>
                <w:sz w:val="18"/>
                <w:szCs w:val="18"/>
                <w:lang w:eastAsia="en-US"/>
              </w:rPr>
            </w:pPr>
          </w:p>
        </w:tc>
        <w:tc>
          <w:tcPr>
            <w:tcW w:w="848" w:type="dxa"/>
          </w:tcPr>
          <w:p w14:paraId="2E90CEEF" w14:textId="77777777" w:rsidR="009B09AF" w:rsidRPr="003E15B6" w:rsidRDefault="009B09AF" w:rsidP="009B09AF">
            <w:pPr>
              <w:rPr>
                <w:rFonts w:ascii="Calibri" w:eastAsia="Calibri" w:hAnsi="Calibri"/>
                <w:sz w:val="18"/>
                <w:szCs w:val="18"/>
                <w:lang w:eastAsia="en-US"/>
              </w:rPr>
            </w:pPr>
          </w:p>
        </w:tc>
        <w:tc>
          <w:tcPr>
            <w:tcW w:w="1000" w:type="dxa"/>
          </w:tcPr>
          <w:p w14:paraId="045F77C0" w14:textId="77777777" w:rsidR="009B09AF" w:rsidRPr="003E15B6" w:rsidRDefault="009B09AF" w:rsidP="009B09AF">
            <w:pPr>
              <w:rPr>
                <w:rFonts w:ascii="Calibri" w:eastAsia="Calibri" w:hAnsi="Calibri"/>
                <w:sz w:val="18"/>
                <w:szCs w:val="18"/>
                <w:lang w:eastAsia="en-US"/>
              </w:rPr>
            </w:pPr>
          </w:p>
        </w:tc>
        <w:tc>
          <w:tcPr>
            <w:tcW w:w="993" w:type="dxa"/>
          </w:tcPr>
          <w:p w14:paraId="2999D22B" w14:textId="77777777" w:rsidR="009B09AF" w:rsidRPr="003E15B6" w:rsidRDefault="009B09AF" w:rsidP="009B09AF">
            <w:pPr>
              <w:rPr>
                <w:rFonts w:ascii="Calibri" w:eastAsia="Calibri" w:hAnsi="Calibri"/>
                <w:sz w:val="18"/>
                <w:szCs w:val="18"/>
                <w:lang w:eastAsia="en-US"/>
              </w:rPr>
            </w:pPr>
          </w:p>
        </w:tc>
        <w:tc>
          <w:tcPr>
            <w:tcW w:w="854" w:type="dxa"/>
          </w:tcPr>
          <w:p w14:paraId="5D81BAD1" w14:textId="7DFDF8F5" w:rsidR="009B09AF" w:rsidRPr="003E15B6" w:rsidRDefault="009B09AF" w:rsidP="009B09AF">
            <w:pPr>
              <w:rPr>
                <w:rFonts w:ascii="Calibri" w:eastAsia="Calibri" w:hAnsi="Calibri"/>
                <w:sz w:val="18"/>
                <w:szCs w:val="18"/>
                <w:lang w:eastAsia="en-US"/>
              </w:rPr>
            </w:pPr>
          </w:p>
        </w:tc>
        <w:tc>
          <w:tcPr>
            <w:tcW w:w="896" w:type="dxa"/>
          </w:tcPr>
          <w:p w14:paraId="043446CC" w14:textId="77777777" w:rsidR="009B09AF" w:rsidRPr="003E15B6" w:rsidRDefault="009B09AF" w:rsidP="009B09AF">
            <w:pPr>
              <w:rPr>
                <w:rFonts w:ascii="Calibri" w:eastAsia="Calibri" w:hAnsi="Calibri"/>
                <w:sz w:val="18"/>
                <w:szCs w:val="18"/>
                <w:lang w:eastAsia="en-US"/>
              </w:rPr>
            </w:pPr>
          </w:p>
        </w:tc>
        <w:tc>
          <w:tcPr>
            <w:tcW w:w="897" w:type="dxa"/>
          </w:tcPr>
          <w:p w14:paraId="5FF275A6" w14:textId="77777777" w:rsidR="009B09AF" w:rsidRPr="003E15B6" w:rsidRDefault="009B09AF" w:rsidP="009B09AF">
            <w:pPr>
              <w:rPr>
                <w:rFonts w:ascii="Calibri" w:eastAsia="Calibri" w:hAnsi="Calibri"/>
                <w:sz w:val="18"/>
                <w:szCs w:val="18"/>
                <w:lang w:eastAsia="en-US"/>
              </w:rPr>
            </w:pPr>
          </w:p>
        </w:tc>
        <w:tc>
          <w:tcPr>
            <w:tcW w:w="896" w:type="dxa"/>
          </w:tcPr>
          <w:p w14:paraId="503AA026" w14:textId="27DA1E30"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-5.1Gy</w:t>
            </w:r>
          </w:p>
        </w:tc>
      </w:tr>
      <w:tr w:rsidR="003E15B6" w:rsidRPr="003E15B6" w14:paraId="5B3AD862" w14:textId="2FFC8EAA" w:rsidTr="003E15B6">
        <w:tc>
          <w:tcPr>
            <w:tcW w:w="814" w:type="dxa"/>
          </w:tcPr>
          <w:p w14:paraId="0245D086" w14:textId="77777777" w:rsidR="009B09AF" w:rsidRPr="003E15B6" w:rsidRDefault="009B09AF" w:rsidP="009B09AF">
            <w:pPr>
              <w:rPr>
                <w:rFonts w:ascii="Calibri" w:eastAsia="Calibri" w:hAnsi="Calibri"/>
                <w:sz w:val="18"/>
                <w:szCs w:val="18"/>
                <w:lang w:eastAsia="en-US"/>
              </w:rPr>
            </w:pPr>
          </w:p>
        </w:tc>
        <w:tc>
          <w:tcPr>
            <w:tcW w:w="1057" w:type="dxa"/>
          </w:tcPr>
          <w:p w14:paraId="4B5D6677"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V5Gy</w:t>
            </w:r>
          </w:p>
        </w:tc>
        <w:tc>
          <w:tcPr>
            <w:tcW w:w="812" w:type="dxa"/>
          </w:tcPr>
          <w:p w14:paraId="40956466" w14:textId="77777777" w:rsidR="009B09AF" w:rsidRPr="003E15B6" w:rsidRDefault="009B09AF" w:rsidP="009B09AF">
            <w:pPr>
              <w:rPr>
                <w:rFonts w:ascii="Calibri" w:eastAsia="Calibri" w:hAnsi="Calibri"/>
                <w:sz w:val="18"/>
                <w:szCs w:val="18"/>
                <w:lang w:eastAsia="en-US"/>
              </w:rPr>
            </w:pPr>
          </w:p>
        </w:tc>
        <w:tc>
          <w:tcPr>
            <w:tcW w:w="848" w:type="dxa"/>
          </w:tcPr>
          <w:p w14:paraId="3E398368" w14:textId="77777777" w:rsidR="009B09AF" w:rsidRPr="003E15B6" w:rsidRDefault="009B09AF" w:rsidP="009B09AF">
            <w:pPr>
              <w:rPr>
                <w:rFonts w:ascii="Calibri" w:eastAsia="Calibri" w:hAnsi="Calibri"/>
                <w:sz w:val="18"/>
                <w:szCs w:val="18"/>
                <w:lang w:eastAsia="en-US"/>
              </w:rPr>
            </w:pPr>
          </w:p>
        </w:tc>
        <w:tc>
          <w:tcPr>
            <w:tcW w:w="1000" w:type="dxa"/>
          </w:tcPr>
          <w:p w14:paraId="3F730B44" w14:textId="77777777" w:rsidR="009B09AF" w:rsidRPr="003E15B6" w:rsidRDefault="009B09AF" w:rsidP="009B09AF">
            <w:pPr>
              <w:rPr>
                <w:rFonts w:ascii="Calibri" w:eastAsia="Calibri" w:hAnsi="Calibri"/>
                <w:sz w:val="18"/>
                <w:szCs w:val="18"/>
                <w:lang w:eastAsia="en-US"/>
              </w:rPr>
            </w:pPr>
          </w:p>
        </w:tc>
        <w:tc>
          <w:tcPr>
            <w:tcW w:w="993" w:type="dxa"/>
          </w:tcPr>
          <w:p w14:paraId="314A18A2" w14:textId="77777777" w:rsidR="009B09AF" w:rsidRPr="003E15B6" w:rsidRDefault="009B09AF" w:rsidP="009B09AF">
            <w:pPr>
              <w:rPr>
                <w:rFonts w:ascii="Calibri" w:eastAsia="Calibri" w:hAnsi="Calibri"/>
                <w:sz w:val="18"/>
                <w:szCs w:val="18"/>
                <w:lang w:eastAsia="en-US"/>
              </w:rPr>
            </w:pPr>
          </w:p>
        </w:tc>
        <w:tc>
          <w:tcPr>
            <w:tcW w:w="854" w:type="dxa"/>
          </w:tcPr>
          <w:p w14:paraId="3B840B6A" w14:textId="50B162BA" w:rsidR="009B09AF" w:rsidRPr="003E15B6" w:rsidRDefault="009B09AF" w:rsidP="009B09AF">
            <w:pPr>
              <w:rPr>
                <w:rFonts w:ascii="Calibri" w:eastAsia="Calibri" w:hAnsi="Calibri"/>
                <w:sz w:val="18"/>
                <w:szCs w:val="18"/>
                <w:lang w:eastAsia="en-US"/>
              </w:rPr>
            </w:pPr>
          </w:p>
        </w:tc>
        <w:tc>
          <w:tcPr>
            <w:tcW w:w="896" w:type="dxa"/>
          </w:tcPr>
          <w:p w14:paraId="26210147" w14:textId="77777777" w:rsidR="009B09AF" w:rsidRPr="003E15B6" w:rsidRDefault="009B09AF" w:rsidP="009B09AF">
            <w:pPr>
              <w:rPr>
                <w:rFonts w:ascii="Calibri" w:eastAsia="Calibri" w:hAnsi="Calibri"/>
                <w:sz w:val="18"/>
                <w:szCs w:val="18"/>
                <w:lang w:eastAsia="en-US"/>
              </w:rPr>
            </w:pPr>
          </w:p>
        </w:tc>
        <w:tc>
          <w:tcPr>
            <w:tcW w:w="897" w:type="dxa"/>
          </w:tcPr>
          <w:p w14:paraId="3682D9AD" w14:textId="77777777" w:rsidR="009B09AF" w:rsidRPr="003E15B6" w:rsidRDefault="009B09AF" w:rsidP="009B09AF">
            <w:pPr>
              <w:rPr>
                <w:rFonts w:ascii="Calibri" w:eastAsia="Calibri" w:hAnsi="Calibri"/>
                <w:sz w:val="18"/>
                <w:szCs w:val="18"/>
                <w:lang w:eastAsia="en-US"/>
              </w:rPr>
            </w:pPr>
          </w:p>
        </w:tc>
        <w:tc>
          <w:tcPr>
            <w:tcW w:w="896" w:type="dxa"/>
          </w:tcPr>
          <w:p w14:paraId="564FDA43" w14:textId="75C4E37D"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-1.4%</w:t>
            </w:r>
          </w:p>
        </w:tc>
      </w:tr>
      <w:tr w:rsidR="003E15B6" w:rsidRPr="003E15B6" w14:paraId="696C4DC4" w14:textId="3CD6C081" w:rsidTr="003E15B6">
        <w:tc>
          <w:tcPr>
            <w:tcW w:w="814" w:type="dxa"/>
          </w:tcPr>
          <w:p w14:paraId="7B8C0E66" w14:textId="77777777" w:rsidR="009B09AF" w:rsidRPr="003E15B6" w:rsidRDefault="009B09AF" w:rsidP="009B09AF">
            <w:pPr>
              <w:rPr>
                <w:rFonts w:ascii="Calibri" w:eastAsia="Calibri" w:hAnsi="Calibri"/>
                <w:sz w:val="18"/>
                <w:szCs w:val="18"/>
                <w:lang w:eastAsia="en-US"/>
              </w:rPr>
            </w:pPr>
          </w:p>
        </w:tc>
        <w:tc>
          <w:tcPr>
            <w:tcW w:w="1057" w:type="dxa"/>
          </w:tcPr>
          <w:p w14:paraId="47116759"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V10Gy</w:t>
            </w:r>
          </w:p>
        </w:tc>
        <w:tc>
          <w:tcPr>
            <w:tcW w:w="812" w:type="dxa"/>
          </w:tcPr>
          <w:p w14:paraId="57C19DC1" w14:textId="77777777" w:rsidR="009B09AF" w:rsidRPr="003E15B6" w:rsidRDefault="009B09AF" w:rsidP="009B09AF">
            <w:pPr>
              <w:rPr>
                <w:rFonts w:ascii="Calibri" w:eastAsia="Calibri" w:hAnsi="Calibri"/>
                <w:sz w:val="18"/>
                <w:szCs w:val="18"/>
                <w:lang w:eastAsia="en-US"/>
              </w:rPr>
            </w:pPr>
          </w:p>
        </w:tc>
        <w:tc>
          <w:tcPr>
            <w:tcW w:w="848" w:type="dxa"/>
          </w:tcPr>
          <w:p w14:paraId="39CDE7AF" w14:textId="77777777" w:rsidR="009B09AF" w:rsidRPr="003E15B6" w:rsidRDefault="009B09AF" w:rsidP="009B09AF">
            <w:pPr>
              <w:rPr>
                <w:rFonts w:ascii="Calibri" w:eastAsia="Calibri" w:hAnsi="Calibri"/>
                <w:sz w:val="18"/>
                <w:szCs w:val="18"/>
                <w:lang w:eastAsia="en-US"/>
              </w:rPr>
            </w:pPr>
          </w:p>
        </w:tc>
        <w:tc>
          <w:tcPr>
            <w:tcW w:w="1000" w:type="dxa"/>
          </w:tcPr>
          <w:p w14:paraId="2B3DE4A4" w14:textId="77777777" w:rsidR="009B09AF" w:rsidRPr="003E15B6" w:rsidRDefault="009B09AF" w:rsidP="009B09AF">
            <w:pPr>
              <w:rPr>
                <w:rFonts w:ascii="Calibri" w:eastAsia="Calibri" w:hAnsi="Calibri"/>
                <w:sz w:val="18"/>
                <w:szCs w:val="18"/>
                <w:lang w:eastAsia="en-US"/>
              </w:rPr>
            </w:pPr>
          </w:p>
        </w:tc>
        <w:tc>
          <w:tcPr>
            <w:tcW w:w="993" w:type="dxa"/>
          </w:tcPr>
          <w:p w14:paraId="47D8E087" w14:textId="77777777" w:rsidR="009B09AF" w:rsidRPr="003E15B6" w:rsidRDefault="009B09AF" w:rsidP="009B09AF">
            <w:pPr>
              <w:rPr>
                <w:rFonts w:ascii="Calibri" w:eastAsia="Calibri" w:hAnsi="Calibri"/>
                <w:sz w:val="18"/>
                <w:szCs w:val="18"/>
                <w:lang w:eastAsia="en-US"/>
              </w:rPr>
            </w:pPr>
          </w:p>
        </w:tc>
        <w:tc>
          <w:tcPr>
            <w:tcW w:w="854" w:type="dxa"/>
          </w:tcPr>
          <w:p w14:paraId="007926AC" w14:textId="7692AB8F" w:rsidR="009B09AF" w:rsidRPr="003E15B6" w:rsidRDefault="009B09AF" w:rsidP="009B09AF">
            <w:pPr>
              <w:rPr>
                <w:rFonts w:ascii="Calibri" w:eastAsia="Calibri" w:hAnsi="Calibri"/>
                <w:sz w:val="18"/>
                <w:szCs w:val="18"/>
                <w:lang w:eastAsia="en-US"/>
              </w:rPr>
            </w:pPr>
          </w:p>
        </w:tc>
        <w:tc>
          <w:tcPr>
            <w:tcW w:w="896" w:type="dxa"/>
          </w:tcPr>
          <w:p w14:paraId="57F83DEB" w14:textId="77777777" w:rsidR="009B09AF" w:rsidRPr="003E15B6" w:rsidRDefault="009B09AF" w:rsidP="009B09AF">
            <w:pPr>
              <w:rPr>
                <w:rFonts w:ascii="Calibri" w:eastAsia="Calibri" w:hAnsi="Calibri"/>
                <w:sz w:val="18"/>
                <w:szCs w:val="18"/>
                <w:lang w:eastAsia="en-US"/>
              </w:rPr>
            </w:pPr>
          </w:p>
        </w:tc>
        <w:tc>
          <w:tcPr>
            <w:tcW w:w="897" w:type="dxa"/>
          </w:tcPr>
          <w:p w14:paraId="081C7A68" w14:textId="77777777" w:rsidR="009B09AF" w:rsidRPr="003E15B6" w:rsidRDefault="009B09AF" w:rsidP="009B09AF">
            <w:pPr>
              <w:rPr>
                <w:rFonts w:ascii="Calibri" w:eastAsia="Calibri" w:hAnsi="Calibri"/>
                <w:sz w:val="18"/>
                <w:szCs w:val="18"/>
                <w:lang w:eastAsia="en-US"/>
              </w:rPr>
            </w:pPr>
          </w:p>
        </w:tc>
        <w:tc>
          <w:tcPr>
            <w:tcW w:w="896" w:type="dxa"/>
          </w:tcPr>
          <w:p w14:paraId="36CF7529" w14:textId="1D581A43"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-0.8%</w:t>
            </w:r>
          </w:p>
        </w:tc>
      </w:tr>
      <w:tr w:rsidR="003E15B6" w:rsidRPr="003E15B6" w14:paraId="1527F454" w14:textId="4C4E6978" w:rsidTr="003E15B6">
        <w:tc>
          <w:tcPr>
            <w:tcW w:w="814" w:type="dxa"/>
          </w:tcPr>
          <w:p w14:paraId="7AF03988" w14:textId="77777777" w:rsidR="009B09AF" w:rsidRPr="003E15B6" w:rsidRDefault="009B09AF" w:rsidP="009B09AF">
            <w:pPr>
              <w:rPr>
                <w:rFonts w:ascii="Calibri" w:eastAsia="Calibri" w:hAnsi="Calibri"/>
                <w:sz w:val="18"/>
                <w:szCs w:val="18"/>
                <w:lang w:eastAsia="en-US"/>
              </w:rPr>
            </w:pPr>
            <w:r w:rsidRPr="003E15B6">
              <w:rPr>
                <w:rFonts w:ascii="Calibri" w:eastAsia="Calibri" w:hAnsi="Calibri"/>
                <w:sz w:val="18"/>
                <w:szCs w:val="18"/>
                <w:lang w:eastAsia="en-US"/>
              </w:rPr>
              <w:t>Skin</w:t>
            </w:r>
          </w:p>
        </w:tc>
        <w:tc>
          <w:tcPr>
            <w:tcW w:w="1057" w:type="dxa"/>
          </w:tcPr>
          <w:p w14:paraId="6CDC14BC" w14:textId="77777777" w:rsidR="009B09AF" w:rsidRPr="003E15B6" w:rsidRDefault="009B09AF" w:rsidP="009B09AF">
            <w:pPr>
              <w:rPr>
                <w:rFonts w:ascii="Calibri" w:eastAsia="Calibri" w:hAnsi="Calibri"/>
                <w:sz w:val="18"/>
                <w:szCs w:val="18"/>
                <w:lang w:eastAsia="en-US"/>
              </w:rPr>
            </w:pPr>
            <w:proofErr w:type="spellStart"/>
            <w:r w:rsidRPr="003E15B6">
              <w:rPr>
                <w:rFonts w:ascii="Calibri" w:eastAsia="Calibri" w:hAnsi="Calibri"/>
                <w:sz w:val="18"/>
                <w:szCs w:val="18"/>
                <w:lang w:eastAsia="en-US"/>
              </w:rPr>
              <w:t>Dmean</w:t>
            </w:r>
            <w:proofErr w:type="spellEnd"/>
          </w:p>
        </w:tc>
        <w:tc>
          <w:tcPr>
            <w:tcW w:w="812" w:type="dxa"/>
          </w:tcPr>
          <w:p w14:paraId="70DCE1E8" w14:textId="3C9E1B7B" w:rsidR="009B09AF" w:rsidRPr="003E15B6" w:rsidRDefault="008F6338" w:rsidP="009B09AF">
            <w:pPr>
              <w:rPr>
                <w:rFonts w:ascii="Calibri" w:eastAsia="Calibri" w:hAnsi="Calibri"/>
                <w:sz w:val="18"/>
                <w:szCs w:val="18"/>
                <w:lang w:eastAsia="en-US"/>
              </w:rPr>
            </w:pPr>
            <w:r w:rsidRPr="003E15B6">
              <w:rPr>
                <w:rFonts w:ascii="Calibri" w:eastAsia="Calibri" w:hAnsi="Calibri"/>
                <w:sz w:val="18"/>
                <w:szCs w:val="18"/>
                <w:lang w:eastAsia="en-US"/>
              </w:rPr>
              <w:t>-3.1</w:t>
            </w:r>
            <w:r w:rsidR="009B09AF" w:rsidRPr="003E15B6">
              <w:rPr>
                <w:rFonts w:ascii="Calibri" w:eastAsia="Calibri" w:hAnsi="Calibri"/>
                <w:sz w:val="18"/>
                <w:szCs w:val="18"/>
                <w:lang w:eastAsia="en-US"/>
              </w:rPr>
              <w:t>Gy</w:t>
            </w:r>
          </w:p>
        </w:tc>
        <w:tc>
          <w:tcPr>
            <w:tcW w:w="848" w:type="dxa"/>
          </w:tcPr>
          <w:p w14:paraId="64D36B3A" w14:textId="77777777" w:rsidR="009B09AF" w:rsidRPr="003E15B6" w:rsidRDefault="009B09AF" w:rsidP="009B09AF">
            <w:pPr>
              <w:rPr>
                <w:rFonts w:ascii="Calibri" w:eastAsia="Calibri" w:hAnsi="Calibri"/>
                <w:sz w:val="18"/>
                <w:szCs w:val="18"/>
                <w:lang w:eastAsia="en-US"/>
              </w:rPr>
            </w:pPr>
          </w:p>
        </w:tc>
        <w:tc>
          <w:tcPr>
            <w:tcW w:w="1000" w:type="dxa"/>
          </w:tcPr>
          <w:p w14:paraId="1DC58A48" w14:textId="77777777" w:rsidR="009B09AF" w:rsidRPr="003E15B6" w:rsidRDefault="009B09AF" w:rsidP="009B09AF">
            <w:pPr>
              <w:rPr>
                <w:rFonts w:ascii="Calibri" w:eastAsia="Calibri" w:hAnsi="Calibri"/>
                <w:sz w:val="18"/>
                <w:szCs w:val="18"/>
                <w:lang w:eastAsia="en-US"/>
              </w:rPr>
            </w:pPr>
          </w:p>
        </w:tc>
        <w:tc>
          <w:tcPr>
            <w:tcW w:w="993" w:type="dxa"/>
          </w:tcPr>
          <w:p w14:paraId="0451BC1C" w14:textId="77777777" w:rsidR="009B09AF" w:rsidRPr="003E15B6" w:rsidRDefault="009B09AF" w:rsidP="009B09AF">
            <w:pPr>
              <w:rPr>
                <w:rFonts w:ascii="Calibri" w:eastAsia="Calibri" w:hAnsi="Calibri"/>
                <w:sz w:val="18"/>
                <w:szCs w:val="18"/>
                <w:lang w:eastAsia="en-US"/>
              </w:rPr>
            </w:pPr>
          </w:p>
        </w:tc>
        <w:tc>
          <w:tcPr>
            <w:tcW w:w="854" w:type="dxa"/>
          </w:tcPr>
          <w:p w14:paraId="3E56A973" w14:textId="07B4D556" w:rsidR="009B09AF" w:rsidRPr="003E15B6" w:rsidRDefault="009B09AF" w:rsidP="009B09AF">
            <w:pPr>
              <w:rPr>
                <w:rFonts w:ascii="Calibri" w:eastAsia="Calibri" w:hAnsi="Calibri"/>
                <w:sz w:val="18"/>
                <w:szCs w:val="18"/>
                <w:lang w:eastAsia="en-US"/>
              </w:rPr>
            </w:pPr>
          </w:p>
        </w:tc>
        <w:tc>
          <w:tcPr>
            <w:tcW w:w="896" w:type="dxa"/>
          </w:tcPr>
          <w:p w14:paraId="6D98ACBE" w14:textId="77777777" w:rsidR="009B09AF" w:rsidRPr="003E15B6" w:rsidRDefault="009B09AF" w:rsidP="009B09AF">
            <w:pPr>
              <w:rPr>
                <w:rFonts w:ascii="Calibri" w:eastAsia="Calibri" w:hAnsi="Calibri"/>
                <w:sz w:val="18"/>
                <w:szCs w:val="18"/>
                <w:lang w:eastAsia="en-US"/>
              </w:rPr>
            </w:pPr>
          </w:p>
        </w:tc>
        <w:tc>
          <w:tcPr>
            <w:tcW w:w="897" w:type="dxa"/>
          </w:tcPr>
          <w:p w14:paraId="10A9CFC6" w14:textId="77777777" w:rsidR="009B09AF" w:rsidRPr="003E15B6" w:rsidRDefault="009B09AF" w:rsidP="009B09AF">
            <w:pPr>
              <w:rPr>
                <w:rFonts w:ascii="Calibri" w:eastAsia="Calibri" w:hAnsi="Calibri"/>
                <w:sz w:val="18"/>
                <w:szCs w:val="18"/>
                <w:lang w:eastAsia="en-US"/>
              </w:rPr>
            </w:pPr>
          </w:p>
        </w:tc>
        <w:tc>
          <w:tcPr>
            <w:tcW w:w="896" w:type="dxa"/>
          </w:tcPr>
          <w:p w14:paraId="3DEAB948" w14:textId="77777777" w:rsidR="009B09AF" w:rsidRPr="003E15B6" w:rsidRDefault="009B09AF" w:rsidP="009B09AF">
            <w:pPr>
              <w:rPr>
                <w:rFonts w:ascii="Calibri" w:eastAsia="Calibri" w:hAnsi="Calibri"/>
                <w:sz w:val="18"/>
                <w:szCs w:val="18"/>
                <w:lang w:eastAsia="en-US"/>
              </w:rPr>
            </w:pPr>
          </w:p>
        </w:tc>
      </w:tr>
    </w:tbl>
    <w:p w14:paraId="45628E11" w14:textId="54894972" w:rsidR="007B42F1" w:rsidRDefault="007B42F1" w:rsidP="007B42F1">
      <w:pPr>
        <w:rPr>
          <w:lang w:eastAsia="en-US"/>
        </w:rPr>
      </w:pPr>
    </w:p>
    <w:p w14:paraId="31D36EB6" w14:textId="7AA5D941" w:rsidR="00A00AC0" w:rsidRDefault="00A00AC0" w:rsidP="007B42F1">
      <w:pPr>
        <w:rPr>
          <w:rFonts w:asciiTheme="minorHAnsi" w:hAnsiTheme="minorHAnsi" w:cstheme="minorHAnsi"/>
          <w:sz w:val="22"/>
          <w:lang w:eastAsia="en-US"/>
        </w:rPr>
      </w:pPr>
      <w:r w:rsidRPr="00A00AC0">
        <w:rPr>
          <w:rFonts w:asciiTheme="minorHAnsi" w:hAnsiTheme="minorHAnsi" w:cstheme="minorHAnsi"/>
          <w:sz w:val="22"/>
          <w:lang w:eastAsia="en-US"/>
        </w:rPr>
        <w:t xml:space="preserve">Key: </w:t>
      </w:r>
      <w:r>
        <w:rPr>
          <w:rFonts w:asciiTheme="minorHAnsi" w:hAnsiTheme="minorHAnsi" w:cstheme="minorHAnsi"/>
          <w:sz w:val="22"/>
          <w:lang w:eastAsia="en-US"/>
        </w:rPr>
        <w:t>H</w:t>
      </w:r>
      <w:r w:rsidR="00653385">
        <w:rPr>
          <w:rFonts w:asciiTheme="minorHAnsi" w:hAnsiTheme="minorHAnsi" w:cstheme="minorHAnsi"/>
          <w:sz w:val="22"/>
          <w:lang w:eastAsia="en-US"/>
        </w:rPr>
        <w:t>Y</w:t>
      </w:r>
      <w:r>
        <w:rPr>
          <w:rFonts w:asciiTheme="minorHAnsi" w:hAnsiTheme="minorHAnsi" w:cstheme="minorHAnsi"/>
          <w:sz w:val="22"/>
          <w:lang w:eastAsia="en-US"/>
        </w:rPr>
        <w:t xml:space="preserve"> = Hybrid VMAT and Tangential IMRT; CRT = Conformal Radiotherapy; </w:t>
      </w:r>
      <w:r w:rsidR="00502178">
        <w:rPr>
          <w:rFonts w:asciiTheme="minorHAnsi" w:hAnsiTheme="minorHAnsi" w:cstheme="minorHAnsi"/>
          <w:sz w:val="22"/>
          <w:lang w:eastAsia="en-US"/>
        </w:rPr>
        <w:t>FI</w:t>
      </w:r>
      <w:r w:rsidR="00CD764F">
        <w:rPr>
          <w:rFonts w:asciiTheme="minorHAnsi" w:hAnsiTheme="minorHAnsi" w:cstheme="minorHAnsi"/>
          <w:sz w:val="22"/>
          <w:lang w:eastAsia="en-US"/>
        </w:rPr>
        <w:t xml:space="preserve">F = Field in Field </w:t>
      </w:r>
      <w:r w:rsidR="00653385">
        <w:rPr>
          <w:rFonts w:asciiTheme="minorHAnsi" w:hAnsiTheme="minorHAnsi" w:cstheme="minorHAnsi"/>
          <w:sz w:val="22"/>
          <w:lang w:eastAsia="en-US"/>
        </w:rPr>
        <w:t>IMRT</w:t>
      </w:r>
      <w:r w:rsidR="00CD764F">
        <w:rPr>
          <w:rFonts w:asciiTheme="minorHAnsi" w:hAnsiTheme="minorHAnsi" w:cstheme="minorHAnsi"/>
          <w:sz w:val="22"/>
          <w:lang w:eastAsia="en-US"/>
        </w:rPr>
        <w:t xml:space="preserve">; LADCA = Left Anterior Descending Coronary Artery; </w:t>
      </w:r>
      <w:r w:rsidR="00502178">
        <w:rPr>
          <w:rFonts w:asciiTheme="minorHAnsi" w:hAnsiTheme="minorHAnsi" w:cstheme="minorHAnsi"/>
          <w:sz w:val="22"/>
          <w:lang w:eastAsia="en-US"/>
        </w:rPr>
        <w:t>L (</w:t>
      </w:r>
      <w:r w:rsidR="00CD764F">
        <w:rPr>
          <w:rFonts w:asciiTheme="minorHAnsi" w:hAnsiTheme="minorHAnsi" w:cstheme="minorHAnsi"/>
          <w:sz w:val="22"/>
          <w:lang w:eastAsia="en-US"/>
        </w:rPr>
        <w:t>IP</w:t>
      </w:r>
      <w:r w:rsidR="00502178">
        <w:rPr>
          <w:rFonts w:asciiTheme="minorHAnsi" w:hAnsiTheme="minorHAnsi" w:cstheme="minorHAnsi"/>
          <w:sz w:val="22"/>
          <w:lang w:eastAsia="en-US"/>
        </w:rPr>
        <w:t>)</w:t>
      </w:r>
      <w:r w:rsidR="00CD764F">
        <w:rPr>
          <w:rFonts w:asciiTheme="minorHAnsi" w:hAnsiTheme="minorHAnsi" w:cstheme="minorHAnsi"/>
          <w:sz w:val="22"/>
          <w:lang w:eastAsia="en-US"/>
        </w:rPr>
        <w:t xml:space="preserve"> = Ipsilateral</w:t>
      </w:r>
      <w:r w:rsidR="00502178">
        <w:rPr>
          <w:rFonts w:asciiTheme="minorHAnsi" w:hAnsiTheme="minorHAnsi" w:cstheme="minorHAnsi"/>
          <w:sz w:val="22"/>
          <w:lang w:eastAsia="en-US"/>
        </w:rPr>
        <w:t xml:space="preserve"> lung</w:t>
      </w:r>
      <w:r w:rsidR="00CD764F">
        <w:rPr>
          <w:rFonts w:asciiTheme="minorHAnsi" w:hAnsiTheme="minorHAnsi" w:cstheme="minorHAnsi"/>
          <w:sz w:val="22"/>
          <w:lang w:eastAsia="en-US"/>
        </w:rPr>
        <w:t xml:space="preserve">; </w:t>
      </w:r>
      <w:r w:rsidR="00502178">
        <w:rPr>
          <w:rFonts w:asciiTheme="minorHAnsi" w:hAnsiTheme="minorHAnsi" w:cstheme="minorHAnsi"/>
          <w:sz w:val="22"/>
          <w:lang w:eastAsia="en-US"/>
        </w:rPr>
        <w:t>L (CN)</w:t>
      </w:r>
      <w:r w:rsidR="00CD764F">
        <w:rPr>
          <w:rFonts w:asciiTheme="minorHAnsi" w:hAnsiTheme="minorHAnsi" w:cstheme="minorHAnsi"/>
          <w:sz w:val="22"/>
          <w:lang w:eastAsia="en-US"/>
        </w:rPr>
        <w:t xml:space="preserve"> = Contralateral</w:t>
      </w:r>
      <w:r w:rsidR="00502178">
        <w:rPr>
          <w:rFonts w:asciiTheme="minorHAnsi" w:hAnsiTheme="minorHAnsi" w:cstheme="minorHAnsi"/>
          <w:sz w:val="22"/>
          <w:lang w:eastAsia="en-US"/>
        </w:rPr>
        <w:t xml:space="preserve"> lung</w:t>
      </w:r>
      <w:r w:rsidR="00E43280">
        <w:rPr>
          <w:rFonts w:asciiTheme="minorHAnsi" w:hAnsiTheme="minorHAnsi" w:cstheme="minorHAnsi"/>
          <w:sz w:val="22"/>
          <w:lang w:eastAsia="en-US"/>
        </w:rPr>
        <w:t>;</w:t>
      </w:r>
      <w:r w:rsidR="00502178">
        <w:rPr>
          <w:rFonts w:asciiTheme="minorHAnsi" w:hAnsiTheme="minorHAnsi" w:cstheme="minorHAnsi"/>
          <w:sz w:val="22"/>
          <w:lang w:eastAsia="en-US"/>
        </w:rPr>
        <w:t xml:space="preserve"> B (CN) = Contralateral breast</w:t>
      </w:r>
      <w:r w:rsidR="00CD764F">
        <w:rPr>
          <w:rFonts w:asciiTheme="minorHAnsi" w:hAnsiTheme="minorHAnsi" w:cstheme="minorHAnsi"/>
          <w:sz w:val="22"/>
          <w:lang w:eastAsia="en-US"/>
        </w:rPr>
        <w:t>; NT – Normal Tissue</w:t>
      </w:r>
    </w:p>
    <w:p w14:paraId="5F6A6672" w14:textId="3F06DC00" w:rsidR="00653385" w:rsidRDefault="00653385" w:rsidP="007B42F1">
      <w:pPr>
        <w:rPr>
          <w:rFonts w:asciiTheme="minorHAnsi" w:hAnsiTheme="minorHAnsi" w:cstheme="minorHAnsi"/>
          <w:sz w:val="22"/>
          <w:lang w:eastAsia="en-US"/>
        </w:rPr>
      </w:pPr>
    </w:p>
    <w:p w14:paraId="0532C744" w14:textId="388206BE" w:rsidR="00653385" w:rsidRDefault="00653385" w:rsidP="007B42F1">
      <w:pPr>
        <w:rPr>
          <w:rFonts w:asciiTheme="minorHAnsi" w:hAnsiTheme="minorHAnsi" w:cstheme="minorHAnsi"/>
          <w:sz w:val="22"/>
          <w:lang w:eastAsia="en-US"/>
        </w:rPr>
      </w:pPr>
    </w:p>
    <w:p w14:paraId="53D830DE" w14:textId="77777777" w:rsidR="00D77960" w:rsidRDefault="00D77960">
      <w:pPr>
        <w:rPr>
          <w:rFonts w:asciiTheme="minorHAnsi" w:hAnsiTheme="minorHAnsi" w:cstheme="minorHAnsi"/>
          <w:sz w:val="22"/>
          <w:lang w:eastAsia="en-US"/>
        </w:rPr>
      </w:pPr>
      <w:r>
        <w:rPr>
          <w:rFonts w:asciiTheme="minorHAnsi" w:hAnsiTheme="minorHAnsi" w:cstheme="minorHAnsi"/>
          <w:sz w:val="22"/>
          <w:lang w:eastAsia="en-US"/>
        </w:rPr>
        <w:br w:type="page"/>
      </w:r>
    </w:p>
    <w:p w14:paraId="2B2B2338" w14:textId="1EF0E218" w:rsidR="00B05710" w:rsidRPr="00A1736D" w:rsidRDefault="00653385" w:rsidP="00653385">
      <w:pPr>
        <w:rPr>
          <w:rFonts w:asciiTheme="minorHAnsi" w:hAnsiTheme="minorHAnsi" w:cstheme="minorHAnsi"/>
          <w:b/>
          <w:bCs/>
          <w:color w:val="000000" w:themeColor="text1"/>
          <w:sz w:val="22"/>
          <w:szCs w:val="22"/>
        </w:rPr>
      </w:pPr>
      <w:r w:rsidRPr="00A1736D">
        <w:rPr>
          <w:rFonts w:asciiTheme="minorHAnsi" w:hAnsiTheme="minorHAnsi" w:cstheme="minorHAnsi"/>
          <w:b/>
          <w:sz w:val="22"/>
          <w:lang w:eastAsia="en-US"/>
        </w:rPr>
        <w:lastRenderedPageBreak/>
        <w:t>Discussion</w:t>
      </w:r>
      <w:bookmarkEnd w:id="8"/>
    </w:p>
    <w:p w14:paraId="239F856C" w14:textId="7CC2D3E7" w:rsidR="00B01D2C" w:rsidRPr="00892385" w:rsidRDefault="00B01D2C" w:rsidP="009916B3">
      <w:pPr>
        <w:autoSpaceDE w:val="0"/>
        <w:autoSpaceDN w:val="0"/>
        <w:adjustRightInd w:val="0"/>
        <w:spacing w:line="360" w:lineRule="auto"/>
        <w:jc w:val="both"/>
        <w:rPr>
          <w:rFonts w:asciiTheme="minorHAnsi" w:hAnsiTheme="minorHAnsi" w:cstheme="minorHAnsi"/>
          <w:bCs/>
          <w:color w:val="000000" w:themeColor="text1"/>
          <w:sz w:val="22"/>
          <w:szCs w:val="22"/>
        </w:rPr>
      </w:pPr>
    </w:p>
    <w:p w14:paraId="7BD23F15" w14:textId="2D865C4C" w:rsidR="00332D3F" w:rsidRPr="00892385" w:rsidRDefault="00332D3F" w:rsidP="00332D3F">
      <w:pPr>
        <w:autoSpaceDE w:val="0"/>
        <w:autoSpaceDN w:val="0"/>
        <w:adjustRightInd w:val="0"/>
        <w:spacing w:line="360"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In general VMAT pr</w:t>
      </w:r>
      <w:r w:rsidR="00CA12DC">
        <w:rPr>
          <w:rFonts w:asciiTheme="minorHAnsi" w:hAnsiTheme="minorHAnsi" w:cstheme="minorHAnsi"/>
          <w:bCs/>
          <w:color w:val="000000" w:themeColor="text1"/>
          <w:sz w:val="22"/>
          <w:szCs w:val="22"/>
        </w:rPr>
        <w:t>oduced higher OAR doses than FI</w:t>
      </w:r>
      <w:r>
        <w:rPr>
          <w:rFonts w:asciiTheme="minorHAnsi" w:hAnsiTheme="minorHAnsi" w:cstheme="minorHAnsi"/>
          <w:bCs/>
          <w:color w:val="000000" w:themeColor="text1"/>
          <w:sz w:val="22"/>
          <w:szCs w:val="22"/>
        </w:rPr>
        <w:t xml:space="preserve">F, IMRT and CRT techniques. This was more dramatic for the low dose constraints than the higher ones where VMAT tended to outperform other techniques by limiting volumes receiving high doses. The V5Gy contralateral lung dose exhibited the greatest impact of this with VMAT producing over 25% more dose than the other techniques. The influence of the planner and choice of optimisation constraints and weighting must be acknowledged, but the high volumes receiving low doses associated with VMAT are associated with the unavoidable low dose bath (LDB). </w:t>
      </w:r>
      <w:r w:rsidRPr="00892385">
        <w:rPr>
          <w:rFonts w:asciiTheme="minorHAnsi" w:hAnsiTheme="minorHAnsi" w:cstheme="minorHAnsi"/>
          <w:bCs/>
          <w:color w:val="000000" w:themeColor="text1"/>
          <w:sz w:val="22"/>
          <w:szCs w:val="22"/>
        </w:rPr>
        <w:t xml:space="preserve">The </w:t>
      </w:r>
      <w:r>
        <w:rPr>
          <w:rFonts w:asciiTheme="minorHAnsi" w:hAnsiTheme="minorHAnsi" w:cstheme="minorHAnsi"/>
          <w:bCs/>
          <w:color w:val="000000" w:themeColor="text1"/>
          <w:sz w:val="22"/>
          <w:szCs w:val="22"/>
        </w:rPr>
        <w:t>authors</w:t>
      </w:r>
      <w:r w:rsidRPr="00892385">
        <w:rPr>
          <w:rFonts w:asciiTheme="minorHAnsi" w:hAnsiTheme="minorHAnsi" w:cstheme="minorHAnsi"/>
          <w:bCs/>
          <w:color w:val="000000" w:themeColor="text1"/>
          <w:sz w:val="22"/>
          <w:szCs w:val="22"/>
        </w:rPr>
        <w:t xml:space="preserve"> of </w:t>
      </w:r>
      <w:r>
        <w:rPr>
          <w:rFonts w:asciiTheme="minorHAnsi" w:hAnsiTheme="minorHAnsi" w:cstheme="minorHAnsi"/>
          <w:bCs/>
          <w:color w:val="000000" w:themeColor="text1"/>
          <w:sz w:val="22"/>
          <w:szCs w:val="22"/>
        </w:rPr>
        <w:t>two studies agreed</w:t>
      </w:r>
      <w:r w:rsidRPr="00892385">
        <w:rPr>
          <w:rFonts w:asciiTheme="minorHAnsi" w:hAnsiTheme="minorHAnsi" w:cstheme="minorHAnsi"/>
          <w:bCs/>
          <w:color w:val="000000" w:themeColor="text1"/>
          <w:sz w:val="22"/>
          <w:szCs w:val="22"/>
        </w:rPr>
        <w:t xml:space="preserve"> that VMAT plans </w:t>
      </w:r>
      <w:r>
        <w:rPr>
          <w:rFonts w:asciiTheme="minorHAnsi" w:hAnsiTheme="minorHAnsi" w:cstheme="minorHAnsi"/>
          <w:bCs/>
          <w:color w:val="000000" w:themeColor="text1"/>
          <w:sz w:val="22"/>
          <w:szCs w:val="22"/>
        </w:rPr>
        <w:t xml:space="preserve">should </w:t>
      </w:r>
      <w:r w:rsidRPr="00892385">
        <w:rPr>
          <w:rFonts w:asciiTheme="minorHAnsi" w:hAnsiTheme="minorHAnsi" w:cstheme="minorHAnsi"/>
          <w:bCs/>
          <w:color w:val="000000" w:themeColor="text1"/>
          <w:sz w:val="22"/>
          <w:szCs w:val="22"/>
        </w:rPr>
        <w:t>be used as an alternat</w:t>
      </w:r>
      <w:r w:rsidR="00CA12DC">
        <w:rPr>
          <w:rFonts w:asciiTheme="minorHAnsi" w:hAnsiTheme="minorHAnsi" w:cstheme="minorHAnsi"/>
          <w:bCs/>
          <w:color w:val="000000" w:themeColor="text1"/>
          <w:sz w:val="22"/>
          <w:szCs w:val="22"/>
        </w:rPr>
        <w:t xml:space="preserve">ive treatment technique when </w:t>
      </w:r>
      <w:r w:rsidRPr="00892385">
        <w:rPr>
          <w:rFonts w:asciiTheme="minorHAnsi" w:hAnsiTheme="minorHAnsi" w:cstheme="minorHAnsi"/>
          <w:bCs/>
          <w:color w:val="000000" w:themeColor="text1"/>
          <w:sz w:val="22"/>
          <w:szCs w:val="22"/>
        </w:rPr>
        <w:t>CRT is unable to meet planning constraints</w:t>
      </w:r>
      <w:r w:rsidR="00EB4EEF">
        <w:rPr>
          <w:rFonts w:asciiTheme="minorHAnsi" w:hAnsiTheme="minorHAnsi" w:cstheme="minorHAnsi"/>
          <w:bCs/>
          <w:color w:val="000000" w:themeColor="text1"/>
          <w:sz w:val="22"/>
          <w:szCs w:val="22"/>
        </w:rPr>
        <w:t>.</w:t>
      </w:r>
      <w:r w:rsidR="0038164D">
        <w:rPr>
          <w:rFonts w:asciiTheme="minorHAnsi" w:hAnsiTheme="minorHAnsi" w:cstheme="minorHAnsi"/>
          <w:bCs/>
          <w:color w:val="000000" w:themeColor="text1"/>
          <w:sz w:val="22"/>
          <w:szCs w:val="22"/>
          <w:vertAlign w:val="superscript"/>
        </w:rPr>
        <w:t>10</w:t>
      </w:r>
      <w:proofErr w:type="gramStart"/>
      <w:r w:rsidR="0038164D">
        <w:rPr>
          <w:rFonts w:asciiTheme="minorHAnsi" w:hAnsiTheme="minorHAnsi" w:cstheme="minorHAnsi"/>
          <w:bCs/>
          <w:color w:val="000000" w:themeColor="text1"/>
          <w:sz w:val="22"/>
          <w:szCs w:val="22"/>
          <w:vertAlign w:val="superscript"/>
        </w:rPr>
        <w:t>,11</w:t>
      </w:r>
      <w:proofErr w:type="gramEnd"/>
    </w:p>
    <w:p w14:paraId="70A48DA3" w14:textId="5BFE4946" w:rsidR="00332D3F" w:rsidRPr="00892385" w:rsidRDefault="00332D3F" w:rsidP="00332D3F">
      <w:pPr>
        <w:autoSpaceDE w:val="0"/>
        <w:autoSpaceDN w:val="0"/>
        <w:adjustRightInd w:val="0"/>
        <w:spacing w:line="360" w:lineRule="auto"/>
        <w:jc w:val="both"/>
        <w:rPr>
          <w:rFonts w:asciiTheme="minorHAnsi" w:hAnsiTheme="minorHAnsi" w:cstheme="minorHAnsi"/>
          <w:bCs/>
          <w:color w:val="000000" w:themeColor="text1"/>
          <w:sz w:val="22"/>
          <w:szCs w:val="22"/>
        </w:rPr>
      </w:pPr>
    </w:p>
    <w:p w14:paraId="08C132DD" w14:textId="168FAACD" w:rsidR="008321F9" w:rsidRDefault="00332D3F" w:rsidP="00155BA9">
      <w:pPr>
        <w:autoSpaceDE w:val="0"/>
        <w:autoSpaceDN w:val="0"/>
        <w:adjustRightInd w:val="0"/>
        <w:spacing w:line="360"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Conversely, </w:t>
      </w:r>
      <w:r w:rsidR="003B465A">
        <w:rPr>
          <w:rFonts w:asciiTheme="minorHAnsi" w:hAnsiTheme="minorHAnsi" w:cstheme="minorHAnsi"/>
          <w:bCs/>
          <w:color w:val="000000" w:themeColor="text1"/>
          <w:sz w:val="22"/>
          <w:szCs w:val="22"/>
        </w:rPr>
        <w:t>the two studies</w:t>
      </w:r>
      <w:r w:rsidR="0038164D">
        <w:rPr>
          <w:rFonts w:asciiTheme="minorHAnsi" w:hAnsiTheme="minorHAnsi" w:cstheme="minorHAnsi"/>
          <w:bCs/>
          <w:color w:val="000000" w:themeColor="text1"/>
          <w:sz w:val="22"/>
          <w:szCs w:val="22"/>
          <w:vertAlign w:val="superscript"/>
        </w:rPr>
        <w:t>16</w:t>
      </w:r>
      <w:proofErr w:type="gramStart"/>
      <w:r w:rsidR="0038164D">
        <w:rPr>
          <w:rFonts w:asciiTheme="minorHAnsi" w:hAnsiTheme="minorHAnsi" w:cstheme="minorHAnsi"/>
          <w:bCs/>
          <w:color w:val="000000" w:themeColor="text1"/>
          <w:sz w:val="22"/>
          <w:szCs w:val="22"/>
          <w:vertAlign w:val="superscript"/>
        </w:rPr>
        <w:t>,17</w:t>
      </w:r>
      <w:proofErr w:type="gramEnd"/>
      <w:r w:rsidR="003E15B6">
        <w:rPr>
          <w:rFonts w:asciiTheme="minorHAnsi" w:hAnsiTheme="minorHAnsi" w:cstheme="minorHAnsi"/>
          <w:bCs/>
          <w:color w:val="000000" w:themeColor="text1"/>
          <w:sz w:val="22"/>
          <w:szCs w:val="22"/>
        </w:rPr>
        <w:t xml:space="preserve"> </w:t>
      </w:r>
      <w:r w:rsidR="003B465A">
        <w:rPr>
          <w:rFonts w:asciiTheme="minorHAnsi" w:hAnsiTheme="minorHAnsi" w:cstheme="minorHAnsi"/>
          <w:bCs/>
          <w:color w:val="000000" w:themeColor="text1"/>
          <w:sz w:val="22"/>
          <w:szCs w:val="22"/>
        </w:rPr>
        <w:t>investigating hybrid techniques found that they were capable of outperforming both CRT and VMAT, especially for contralateral OARs. There were slightly higher doses associated with ipsilateral lung compared to VMAT but overall hybrid</w:t>
      </w:r>
      <w:r>
        <w:rPr>
          <w:rFonts w:asciiTheme="minorHAnsi" w:hAnsiTheme="minorHAnsi" w:cstheme="minorHAnsi"/>
          <w:bCs/>
          <w:color w:val="000000" w:themeColor="text1"/>
          <w:sz w:val="22"/>
          <w:szCs w:val="22"/>
        </w:rPr>
        <w:t xml:space="preserve"> techniques outperformed both CRT and VMAT alone treatments across a range of outcome measures. These combination techniques</w:t>
      </w:r>
      <w:r w:rsidRPr="00892385">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generally reduce</w:t>
      </w:r>
      <w:r w:rsidRPr="00892385">
        <w:rPr>
          <w:rFonts w:asciiTheme="minorHAnsi" w:hAnsiTheme="minorHAnsi" w:cstheme="minorHAnsi"/>
          <w:bCs/>
          <w:color w:val="000000" w:themeColor="text1"/>
          <w:sz w:val="22"/>
          <w:szCs w:val="22"/>
        </w:rPr>
        <w:t xml:space="preserve"> OAR doses</w:t>
      </w:r>
      <w:r>
        <w:rPr>
          <w:rFonts w:asciiTheme="minorHAnsi" w:hAnsiTheme="minorHAnsi" w:cstheme="minorHAnsi"/>
          <w:bCs/>
          <w:color w:val="000000" w:themeColor="text1"/>
          <w:sz w:val="22"/>
          <w:szCs w:val="22"/>
        </w:rPr>
        <w:t xml:space="preserve">, </w:t>
      </w:r>
      <w:r w:rsidR="003B465A">
        <w:rPr>
          <w:rFonts w:asciiTheme="minorHAnsi" w:hAnsiTheme="minorHAnsi" w:cstheme="minorHAnsi"/>
          <w:bCs/>
          <w:color w:val="000000" w:themeColor="text1"/>
          <w:sz w:val="22"/>
          <w:szCs w:val="22"/>
        </w:rPr>
        <w:t xml:space="preserve">suggesting </w:t>
      </w:r>
      <w:r>
        <w:rPr>
          <w:rFonts w:asciiTheme="minorHAnsi" w:hAnsiTheme="minorHAnsi" w:cstheme="minorHAnsi"/>
          <w:bCs/>
          <w:color w:val="000000" w:themeColor="text1"/>
          <w:sz w:val="22"/>
          <w:szCs w:val="22"/>
        </w:rPr>
        <w:t xml:space="preserve">that these more complex solutions be reserved for situations where CRT </w:t>
      </w:r>
      <w:r w:rsidR="003E15B6">
        <w:rPr>
          <w:rFonts w:asciiTheme="minorHAnsi" w:hAnsiTheme="minorHAnsi" w:cstheme="minorHAnsi"/>
          <w:bCs/>
          <w:color w:val="000000" w:themeColor="text1"/>
          <w:sz w:val="22"/>
          <w:szCs w:val="22"/>
        </w:rPr>
        <w:t xml:space="preserve">or VMAT alone </w:t>
      </w:r>
      <w:r>
        <w:rPr>
          <w:rFonts w:asciiTheme="minorHAnsi" w:hAnsiTheme="minorHAnsi" w:cstheme="minorHAnsi"/>
          <w:bCs/>
          <w:color w:val="000000" w:themeColor="text1"/>
          <w:sz w:val="22"/>
          <w:szCs w:val="22"/>
        </w:rPr>
        <w:t xml:space="preserve">failed to meet constraints. </w:t>
      </w:r>
    </w:p>
    <w:p w14:paraId="46F328B0" w14:textId="77777777" w:rsidR="00155BA9" w:rsidRDefault="00155BA9" w:rsidP="00155BA9">
      <w:pPr>
        <w:autoSpaceDE w:val="0"/>
        <w:autoSpaceDN w:val="0"/>
        <w:adjustRightInd w:val="0"/>
        <w:spacing w:line="360" w:lineRule="auto"/>
        <w:jc w:val="both"/>
        <w:rPr>
          <w:rFonts w:asciiTheme="minorHAnsi" w:hAnsiTheme="minorHAnsi" w:cstheme="minorHAnsi"/>
          <w:bCs/>
          <w:color w:val="000000" w:themeColor="text1"/>
          <w:sz w:val="22"/>
          <w:szCs w:val="22"/>
        </w:rPr>
      </w:pPr>
    </w:p>
    <w:p w14:paraId="1D99BDFE" w14:textId="2F574830" w:rsidR="00745F04" w:rsidRPr="00892385" w:rsidRDefault="009253A9" w:rsidP="00155BA9">
      <w:pPr>
        <w:pStyle w:val="Heading2"/>
        <w:spacing w:line="360" w:lineRule="auto"/>
        <w:jc w:val="both"/>
        <w:rPr>
          <w:rFonts w:asciiTheme="minorHAnsi" w:hAnsiTheme="minorHAnsi" w:cstheme="minorHAnsi"/>
          <w:bCs w:val="0"/>
          <w:color w:val="000000" w:themeColor="text1"/>
          <w:sz w:val="22"/>
          <w:szCs w:val="22"/>
        </w:rPr>
      </w:pPr>
      <w:r>
        <w:rPr>
          <w:rFonts w:asciiTheme="minorHAnsi" w:hAnsiTheme="minorHAnsi" w:cstheme="minorHAnsi"/>
          <w:color w:val="000000" w:themeColor="text1"/>
          <w:sz w:val="22"/>
          <w:szCs w:val="22"/>
        </w:rPr>
        <w:t xml:space="preserve">While the evidence presents a complex picture of varying performance across a range of dosimetric constraints, this must be </w:t>
      </w:r>
      <w:r w:rsidR="00155BA9">
        <w:rPr>
          <w:rFonts w:asciiTheme="minorHAnsi" w:hAnsiTheme="minorHAnsi" w:cstheme="minorHAnsi"/>
          <w:color w:val="000000" w:themeColor="text1"/>
          <w:sz w:val="22"/>
          <w:szCs w:val="22"/>
        </w:rPr>
        <w:t xml:space="preserve">related to the impact on patient toxicity. This was specifically addressed in several of the reviewed studies. </w:t>
      </w:r>
      <w:proofErr w:type="spellStart"/>
      <w:r w:rsidR="00CA12DC">
        <w:rPr>
          <w:rFonts w:asciiTheme="minorHAnsi" w:hAnsiTheme="minorHAnsi" w:cstheme="minorHAnsi"/>
          <w:bCs w:val="0"/>
          <w:color w:val="000000" w:themeColor="text1"/>
          <w:sz w:val="22"/>
          <w:szCs w:val="22"/>
        </w:rPr>
        <w:t>Fogliata’s</w:t>
      </w:r>
      <w:proofErr w:type="spellEnd"/>
      <w:r w:rsidR="00CA12DC">
        <w:rPr>
          <w:rFonts w:asciiTheme="minorHAnsi" w:hAnsiTheme="minorHAnsi" w:cstheme="minorHAnsi"/>
          <w:bCs w:val="0"/>
          <w:color w:val="000000" w:themeColor="text1"/>
          <w:sz w:val="22"/>
          <w:szCs w:val="22"/>
        </w:rPr>
        <w:t xml:space="preserve"> study</w:t>
      </w:r>
      <w:r w:rsidR="0038164D">
        <w:rPr>
          <w:rFonts w:asciiTheme="minorHAnsi" w:hAnsiTheme="minorHAnsi" w:cstheme="minorHAnsi"/>
          <w:bCs w:val="0"/>
          <w:color w:val="000000" w:themeColor="text1"/>
          <w:sz w:val="22"/>
          <w:szCs w:val="22"/>
          <w:vertAlign w:val="superscript"/>
        </w:rPr>
        <w:t>10</w:t>
      </w:r>
      <w:r w:rsidR="00033882" w:rsidRPr="00892385">
        <w:rPr>
          <w:rFonts w:asciiTheme="minorHAnsi" w:hAnsiTheme="minorHAnsi" w:cstheme="minorHAnsi"/>
          <w:bCs w:val="0"/>
          <w:color w:val="000000" w:themeColor="text1"/>
          <w:sz w:val="22"/>
          <w:szCs w:val="22"/>
        </w:rPr>
        <w:t xml:space="preserve"> </w:t>
      </w:r>
      <w:r w:rsidR="00CA12DC">
        <w:rPr>
          <w:rFonts w:asciiTheme="minorHAnsi" w:hAnsiTheme="minorHAnsi" w:cstheme="minorHAnsi"/>
          <w:bCs w:val="0"/>
          <w:color w:val="000000" w:themeColor="text1"/>
          <w:sz w:val="22"/>
          <w:szCs w:val="22"/>
        </w:rPr>
        <w:t>determined</w:t>
      </w:r>
      <w:r w:rsidR="00033882" w:rsidRPr="00892385">
        <w:rPr>
          <w:rFonts w:asciiTheme="minorHAnsi" w:hAnsiTheme="minorHAnsi" w:cstheme="minorHAnsi"/>
          <w:bCs w:val="0"/>
          <w:color w:val="000000" w:themeColor="text1"/>
          <w:sz w:val="22"/>
          <w:szCs w:val="22"/>
        </w:rPr>
        <w:t xml:space="preserve"> that </w:t>
      </w:r>
      <w:r w:rsidR="00B24DB0" w:rsidRPr="00892385">
        <w:rPr>
          <w:rFonts w:asciiTheme="minorHAnsi" w:hAnsiTheme="minorHAnsi" w:cstheme="minorHAnsi"/>
          <w:bCs w:val="0"/>
          <w:color w:val="000000" w:themeColor="text1"/>
          <w:sz w:val="22"/>
          <w:szCs w:val="22"/>
        </w:rPr>
        <w:t>VMAT’s</w:t>
      </w:r>
      <w:r w:rsidR="00033882" w:rsidRPr="00892385">
        <w:rPr>
          <w:rFonts w:asciiTheme="minorHAnsi" w:hAnsiTheme="minorHAnsi" w:cstheme="minorHAnsi"/>
          <w:bCs w:val="0"/>
          <w:color w:val="000000" w:themeColor="text1"/>
          <w:sz w:val="22"/>
          <w:szCs w:val="22"/>
        </w:rPr>
        <w:t xml:space="preserve"> dose sculpting abilities decreased the potential for radiation pneumonitis/fibrosis when compared with </w:t>
      </w:r>
      <w:r w:rsidR="00CA12DC">
        <w:rPr>
          <w:rFonts w:asciiTheme="minorHAnsi" w:hAnsiTheme="minorHAnsi" w:cstheme="minorHAnsi"/>
          <w:bCs w:val="0"/>
          <w:color w:val="000000" w:themeColor="text1"/>
          <w:sz w:val="22"/>
          <w:szCs w:val="22"/>
        </w:rPr>
        <w:t>conventional</w:t>
      </w:r>
      <w:r w:rsidR="00033882" w:rsidRPr="00892385">
        <w:rPr>
          <w:rFonts w:asciiTheme="minorHAnsi" w:hAnsiTheme="minorHAnsi" w:cstheme="minorHAnsi"/>
          <w:bCs w:val="0"/>
          <w:color w:val="000000" w:themeColor="text1"/>
          <w:sz w:val="22"/>
          <w:szCs w:val="22"/>
        </w:rPr>
        <w:t xml:space="preserve"> plans, due to the decrease</w:t>
      </w:r>
      <w:r w:rsidR="00B24DB0" w:rsidRPr="00892385">
        <w:rPr>
          <w:rFonts w:asciiTheme="minorHAnsi" w:hAnsiTheme="minorHAnsi" w:cstheme="minorHAnsi"/>
          <w:bCs w:val="0"/>
          <w:color w:val="000000" w:themeColor="text1"/>
          <w:sz w:val="22"/>
          <w:szCs w:val="22"/>
        </w:rPr>
        <w:t>d</w:t>
      </w:r>
      <w:r w:rsidR="00033882" w:rsidRPr="00892385">
        <w:rPr>
          <w:rFonts w:asciiTheme="minorHAnsi" w:hAnsiTheme="minorHAnsi" w:cstheme="minorHAnsi"/>
          <w:bCs w:val="0"/>
          <w:color w:val="000000" w:themeColor="text1"/>
          <w:sz w:val="22"/>
          <w:szCs w:val="22"/>
        </w:rPr>
        <w:t xml:space="preserve"> dose </w:t>
      </w:r>
      <w:r w:rsidR="00B24DB0" w:rsidRPr="00892385">
        <w:rPr>
          <w:rFonts w:asciiTheme="minorHAnsi" w:hAnsiTheme="minorHAnsi" w:cstheme="minorHAnsi"/>
          <w:bCs w:val="0"/>
          <w:color w:val="000000" w:themeColor="text1"/>
          <w:sz w:val="22"/>
          <w:szCs w:val="22"/>
        </w:rPr>
        <w:t>deposition</w:t>
      </w:r>
      <w:r w:rsidR="00033882" w:rsidRPr="00892385">
        <w:rPr>
          <w:rFonts w:asciiTheme="minorHAnsi" w:hAnsiTheme="minorHAnsi" w:cstheme="minorHAnsi"/>
          <w:bCs w:val="0"/>
          <w:color w:val="000000" w:themeColor="text1"/>
          <w:sz w:val="22"/>
          <w:szCs w:val="22"/>
        </w:rPr>
        <w:t xml:space="preserve">. </w:t>
      </w:r>
      <w:r w:rsidR="003C7154" w:rsidRPr="00892385">
        <w:rPr>
          <w:rFonts w:asciiTheme="minorHAnsi" w:hAnsiTheme="minorHAnsi" w:cstheme="minorHAnsi"/>
          <w:bCs w:val="0"/>
          <w:color w:val="000000" w:themeColor="text1"/>
          <w:sz w:val="22"/>
          <w:szCs w:val="22"/>
        </w:rPr>
        <w:t>These findings were</w:t>
      </w:r>
      <w:r w:rsidR="00B24DB0" w:rsidRPr="00892385">
        <w:rPr>
          <w:rFonts w:asciiTheme="minorHAnsi" w:hAnsiTheme="minorHAnsi" w:cstheme="minorHAnsi"/>
          <w:bCs w:val="0"/>
          <w:color w:val="000000" w:themeColor="text1"/>
          <w:sz w:val="22"/>
          <w:szCs w:val="22"/>
        </w:rPr>
        <w:t xml:space="preserve"> </w:t>
      </w:r>
      <w:r w:rsidR="003C7154" w:rsidRPr="00892385">
        <w:rPr>
          <w:rFonts w:asciiTheme="minorHAnsi" w:hAnsiTheme="minorHAnsi" w:cstheme="minorHAnsi"/>
          <w:bCs w:val="0"/>
          <w:color w:val="000000" w:themeColor="text1"/>
          <w:sz w:val="22"/>
          <w:szCs w:val="22"/>
        </w:rPr>
        <w:t xml:space="preserve">confirmed </w:t>
      </w:r>
      <w:r w:rsidR="00CA12DC">
        <w:rPr>
          <w:rFonts w:asciiTheme="minorHAnsi" w:hAnsiTheme="minorHAnsi" w:cstheme="minorHAnsi"/>
          <w:bCs w:val="0"/>
          <w:color w:val="000000" w:themeColor="text1"/>
          <w:sz w:val="22"/>
          <w:szCs w:val="22"/>
        </w:rPr>
        <w:t>by Xu</w:t>
      </w:r>
      <w:r w:rsidR="0038164D">
        <w:rPr>
          <w:rFonts w:asciiTheme="minorHAnsi" w:hAnsiTheme="minorHAnsi" w:cstheme="minorHAnsi"/>
          <w:bCs w:val="0"/>
          <w:color w:val="000000" w:themeColor="text1"/>
          <w:sz w:val="22"/>
          <w:szCs w:val="22"/>
          <w:vertAlign w:val="superscript"/>
        </w:rPr>
        <w:t>11</w:t>
      </w:r>
      <w:r w:rsidR="003C7154" w:rsidRPr="00892385">
        <w:rPr>
          <w:rFonts w:asciiTheme="minorHAnsi" w:hAnsiTheme="minorHAnsi" w:cstheme="minorHAnsi"/>
          <w:bCs w:val="0"/>
          <w:color w:val="000000" w:themeColor="text1"/>
          <w:sz w:val="22"/>
          <w:szCs w:val="22"/>
        </w:rPr>
        <w:t xml:space="preserve"> as a higher distribution of V</w:t>
      </w:r>
      <w:r w:rsidR="003C7154" w:rsidRPr="00892385">
        <w:rPr>
          <w:rFonts w:asciiTheme="minorHAnsi" w:hAnsiTheme="minorHAnsi" w:cstheme="minorHAnsi"/>
          <w:bCs w:val="0"/>
          <w:color w:val="000000" w:themeColor="text1"/>
          <w:sz w:val="22"/>
          <w:szCs w:val="22"/>
          <w:vertAlign w:val="subscript"/>
        </w:rPr>
        <w:t>20Gy</w:t>
      </w:r>
      <w:r w:rsidR="003C7154" w:rsidRPr="00892385">
        <w:rPr>
          <w:rFonts w:asciiTheme="minorHAnsi" w:hAnsiTheme="minorHAnsi" w:cstheme="minorHAnsi"/>
          <w:bCs w:val="0"/>
          <w:color w:val="000000" w:themeColor="text1"/>
          <w:sz w:val="22"/>
          <w:szCs w:val="22"/>
        </w:rPr>
        <w:t xml:space="preserve"> within the lungs is believed to be the caus</w:t>
      </w:r>
      <w:r w:rsidR="00986EFD" w:rsidRPr="00892385">
        <w:rPr>
          <w:rFonts w:asciiTheme="minorHAnsi" w:hAnsiTheme="minorHAnsi" w:cstheme="minorHAnsi"/>
          <w:bCs w:val="0"/>
          <w:color w:val="000000" w:themeColor="text1"/>
          <w:sz w:val="22"/>
          <w:szCs w:val="22"/>
        </w:rPr>
        <w:t>al</w:t>
      </w:r>
      <w:r w:rsidR="003C7154" w:rsidRPr="00892385">
        <w:rPr>
          <w:rFonts w:asciiTheme="minorHAnsi" w:hAnsiTheme="minorHAnsi" w:cstheme="minorHAnsi"/>
          <w:bCs w:val="0"/>
          <w:color w:val="000000" w:themeColor="text1"/>
          <w:sz w:val="22"/>
          <w:szCs w:val="22"/>
        </w:rPr>
        <w:t xml:space="preserve"> </w:t>
      </w:r>
      <w:r w:rsidR="00986EFD" w:rsidRPr="00892385">
        <w:rPr>
          <w:rFonts w:asciiTheme="minorHAnsi" w:hAnsiTheme="minorHAnsi" w:cstheme="minorHAnsi"/>
          <w:bCs w:val="0"/>
          <w:color w:val="000000" w:themeColor="text1"/>
          <w:sz w:val="22"/>
          <w:szCs w:val="22"/>
        </w:rPr>
        <w:t xml:space="preserve">factor </w:t>
      </w:r>
      <w:r w:rsidR="003C7154" w:rsidRPr="00892385">
        <w:rPr>
          <w:rFonts w:asciiTheme="minorHAnsi" w:hAnsiTheme="minorHAnsi" w:cstheme="minorHAnsi"/>
          <w:bCs w:val="0"/>
          <w:color w:val="000000" w:themeColor="text1"/>
          <w:sz w:val="22"/>
          <w:szCs w:val="22"/>
        </w:rPr>
        <w:t>o</w:t>
      </w:r>
      <w:r w:rsidR="00986EFD" w:rsidRPr="00892385">
        <w:rPr>
          <w:rFonts w:asciiTheme="minorHAnsi" w:hAnsiTheme="minorHAnsi" w:cstheme="minorHAnsi"/>
          <w:bCs w:val="0"/>
          <w:color w:val="000000" w:themeColor="text1"/>
          <w:sz w:val="22"/>
          <w:szCs w:val="22"/>
        </w:rPr>
        <w:t>f this late eff</w:t>
      </w:r>
      <w:r w:rsidR="00155BA9">
        <w:rPr>
          <w:rFonts w:asciiTheme="minorHAnsi" w:hAnsiTheme="minorHAnsi" w:cstheme="minorHAnsi"/>
          <w:bCs w:val="0"/>
          <w:color w:val="000000" w:themeColor="text1"/>
          <w:sz w:val="22"/>
          <w:szCs w:val="22"/>
        </w:rPr>
        <w:t>e</w:t>
      </w:r>
      <w:r w:rsidR="00986EFD" w:rsidRPr="00892385">
        <w:rPr>
          <w:rFonts w:asciiTheme="minorHAnsi" w:hAnsiTheme="minorHAnsi" w:cstheme="minorHAnsi"/>
          <w:bCs w:val="0"/>
          <w:color w:val="000000" w:themeColor="text1"/>
          <w:sz w:val="22"/>
          <w:szCs w:val="22"/>
        </w:rPr>
        <w:t>ct</w:t>
      </w:r>
      <w:r w:rsidR="003C7154" w:rsidRPr="00892385">
        <w:rPr>
          <w:rFonts w:asciiTheme="minorHAnsi" w:hAnsiTheme="minorHAnsi" w:cstheme="minorHAnsi"/>
          <w:bCs w:val="0"/>
          <w:color w:val="000000" w:themeColor="text1"/>
          <w:sz w:val="22"/>
          <w:szCs w:val="22"/>
        </w:rPr>
        <w:t xml:space="preserve">. </w:t>
      </w:r>
    </w:p>
    <w:p w14:paraId="43BE3C91" w14:textId="742651D3" w:rsidR="00112C0F" w:rsidRPr="00892385" w:rsidRDefault="00112C0F" w:rsidP="009916B3">
      <w:pPr>
        <w:autoSpaceDE w:val="0"/>
        <w:autoSpaceDN w:val="0"/>
        <w:adjustRightInd w:val="0"/>
        <w:spacing w:line="360" w:lineRule="auto"/>
        <w:jc w:val="both"/>
        <w:rPr>
          <w:rFonts w:asciiTheme="minorHAnsi" w:hAnsiTheme="minorHAnsi" w:cstheme="minorHAnsi"/>
          <w:bCs/>
          <w:color w:val="000000" w:themeColor="text1"/>
          <w:sz w:val="22"/>
          <w:szCs w:val="22"/>
        </w:rPr>
      </w:pPr>
    </w:p>
    <w:p w14:paraId="7D1E12F8" w14:textId="74530E5B" w:rsidR="00112C0F" w:rsidRPr="00892385" w:rsidRDefault="00112C0F" w:rsidP="009916B3">
      <w:pPr>
        <w:autoSpaceDE w:val="0"/>
        <w:autoSpaceDN w:val="0"/>
        <w:adjustRightInd w:val="0"/>
        <w:spacing w:line="360" w:lineRule="auto"/>
        <w:jc w:val="both"/>
        <w:rPr>
          <w:rFonts w:asciiTheme="minorHAnsi" w:hAnsiTheme="minorHAnsi" w:cstheme="minorHAnsi"/>
          <w:bCs/>
          <w:color w:val="000000" w:themeColor="text1"/>
          <w:sz w:val="22"/>
          <w:szCs w:val="22"/>
        </w:rPr>
      </w:pPr>
      <w:r w:rsidRPr="00892385">
        <w:rPr>
          <w:rFonts w:asciiTheme="minorHAnsi" w:hAnsiTheme="minorHAnsi" w:cstheme="minorHAnsi"/>
          <w:bCs/>
          <w:color w:val="000000" w:themeColor="text1"/>
          <w:sz w:val="22"/>
          <w:szCs w:val="22"/>
        </w:rPr>
        <w:t xml:space="preserve">The risk of radiation induced oesophagitis was explored in </w:t>
      </w:r>
      <w:r w:rsidR="00CA12DC">
        <w:rPr>
          <w:rFonts w:asciiTheme="minorHAnsi" w:hAnsiTheme="minorHAnsi" w:cstheme="minorHAnsi"/>
          <w:bCs/>
          <w:color w:val="000000" w:themeColor="text1"/>
          <w:sz w:val="22"/>
          <w:szCs w:val="22"/>
        </w:rPr>
        <w:t>a couple of studies</w:t>
      </w:r>
      <w:r w:rsidR="0038164D">
        <w:rPr>
          <w:rFonts w:asciiTheme="minorHAnsi" w:hAnsiTheme="minorHAnsi" w:cstheme="minorHAnsi"/>
          <w:bCs/>
          <w:color w:val="000000" w:themeColor="text1"/>
          <w:sz w:val="22"/>
          <w:szCs w:val="22"/>
          <w:vertAlign w:val="superscript"/>
        </w:rPr>
        <w:t>12</w:t>
      </w:r>
      <w:proofErr w:type="gramStart"/>
      <w:r w:rsidR="0038164D">
        <w:rPr>
          <w:rFonts w:asciiTheme="minorHAnsi" w:hAnsiTheme="minorHAnsi" w:cstheme="minorHAnsi"/>
          <w:bCs/>
          <w:color w:val="000000" w:themeColor="text1"/>
          <w:sz w:val="22"/>
          <w:szCs w:val="22"/>
          <w:vertAlign w:val="superscript"/>
        </w:rPr>
        <w:t>,16</w:t>
      </w:r>
      <w:proofErr w:type="gramEnd"/>
      <w:r w:rsidRPr="00892385">
        <w:rPr>
          <w:rFonts w:asciiTheme="minorHAnsi" w:hAnsiTheme="minorHAnsi" w:cstheme="minorHAnsi"/>
          <w:bCs/>
          <w:color w:val="000000" w:themeColor="text1"/>
          <w:sz w:val="22"/>
          <w:szCs w:val="22"/>
        </w:rPr>
        <w:t xml:space="preserve"> as VMAT planning </w:t>
      </w:r>
      <w:r w:rsidR="0025558B" w:rsidRPr="00892385">
        <w:rPr>
          <w:rFonts w:asciiTheme="minorHAnsi" w:hAnsiTheme="minorHAnsi" w:cstheme="minorHAnsi"/>
          <w:bCs/>
          <w:color w:val="000000" w:themeColor="text1"/>
          <w:sz w:val="22"/>
          <w:szCs w:val="22"/>
        </w:rPr>
        <w:t>was</w:t>
      </w:r>
      <w:r w:rsidRPr="00892385">
        <w:rPr>
          <w:rFonts w:asciiTheme="minorHAnsi" w:hAnsiTheme="minorHAnsi" w:cstheme="minorHAnsi"/>
          <w:bCs/>
          <w:color w:val="000000" w:themeColor="text1"/>
          <w:sz w:val="22"/>
          <w:szCs w:val="22"/>
        </w:rPr>
        <w:t xml:space="preserve"> found to increase </w:t>
      </w:r>
      <w:r w:rsidR="00CA12DC">
        <w:rPr>
          <w:rFonts w:asciiTheme="minorHAnsi" w:hAnsiTheme="minorHAnsi" w:cstheme="minorHAnsi"/>
          <w:bCs/>
          <w:color w:val="000000" w:themeColor="text1"/>
          <w:sz w:val="22"/>
          <w:szCs w:val="22"/>
        </w:rPr>
        <w:t xml:space="preserve">oesophageal </w:t>
      </w:r>
      <w:r w:rsidRPr="00892385">
        <w:rPr>
          <w:rFonts w:asciiTheme="minorHAnsi" w:hAnsiTheme="minorHAnsi" w:cstheme="minorHAnsi"/>
          <w:bCs/>
          <w:color w:val="000000" w:themeColor="text1"/>
          <w:sz w:val="22"/>
          <w:szCs w:val="22"/>
        </w:rPr>
        <w:t>dose</w:t>
      </w:r>
      <w:r w:rsidR="0025558B" w:rsidRPr="00892385">
        <w:rPr>
          <w:rFonts w:asciiTheme="minorHAnsi" w:hAnsiTheme="minorHAnsi" w:cstheme="minorHAnsi"/>
          <w:bCs/>
          <w:color w:val="000000" w:themeColor="text1"/>
          <w:sz w:val="22"/>
          <w:szCs w:val="22"/>
        </w:rPr>
        <w:t>.</w:t>
      </w:r>
      <w:r w:rsidRPr="00892385">
        <w:rPr>
          <w:rFonts w:asciiTheme="minorHAnsi" w:hAnsiTheme="minorHAnsi" w:cstheme="minorHAnsi"/>
          <w:bCs/>
          <w:color w:val="000000" w:themeColor="text1"/>
          <w:sz w:val="22"/>
          <w:szCs w:val="22"/>
        </w:rPr>
        <w:t xml:space="preserve"> </w:t>
      </w:r>
      <w:r w:rsidR="00CA12DC">
        <w:rPr>
          <w:rFonts w:asciiTheme="minorHAnsi" w:hAnsiTheme="minorHAnsi" w:cstheme="minorHAnsi"/>
          <w:bCs/>
          <w:color w:val="000000" w:themeColor="text1"/>
          <w:sz w:val="22"/>
          <w:szCs w:val="22"/>
        </w:rPr>
        <w:t>Inclusion of the internal mammary chain</w:t>
      </w:r>
      <w:r w:rsidR="0051249C" w:rsidRPr="00892385">
        <w:rPr>
          <w:rFonts w:asciiTheme="minorHAnsi" w:hAnsiTheme="minorHAnsi" w:cstheme="minorHAnsi"/>
          <w:bCs/>
          <w:color w:val="000000" w:themeColor="text1"/>
          <w:sz w:val="22"/>
          <w:szCs w:val="22"/>
        </w:rPr>
        <w:t xml:space="preserve"> in the treatment volume</w:t>
      </w:r>
      <w:r w:rsidR="0025558B" w:rsidRPr="00892385">
        <w:rPr>
          <w:rFonts w:asciiTheme="minorHAnsi" w:hAnsiTheme="minorHAnsi" w:cstheme="minorHAnsi"/>
          <w:bCs/>
          <w:color w:val="000000" w:themeColor="text1"/>
          <w:sz w:val="22"/>
          <w:szCs w:val="22"/>
        </w:rPr>
        <w:t xml:space="preserve"> </w:t>
      </w:r>
      <w:r w:rsidR="00D5562F" w:rsidRPr="00892385">
        <w:rPr>
          <w:rFonts w:asciiTheme="minorHAnsi" w:hAnsiTheme="minorHAnsi" w:cstheme="minorHAnsi"/>
          <w:bCs/>
          <w:color w:val="000000" w:themeColor="text1"/>
          <w:sz w:val="22"/>
          <w:szCs w:val="22"/>
        </w:rPr>
        <w:t>increase</w:t>
      </w:r>
      <w:r w:rsidR="0051249C" w:rsidRPr="00892385">
        <w:rPr>
          <w:rFonts w:asciiTheme="minorHAnsi" w:hAnsiTheme="minorHAnsi" w:cstheme="minorHAnsi"/>
          <w:bCs/>
          <w:color w:val="000000" w:themeColor="text1"/>
          <w:sz w:val="22"/>
          <w:szCs w:val="22"/>
        </w:rPr>
        <w:t>d</w:t>
      </w:r>
      <w:r w:rsidR="00D5562F" w:rsidRPr="00892385">
        <w:rPr>
          <w:rFonts w:asciiTheme="minorHAnsi" w:hAnsiTheme="minorHAnsi" w:cstheme="minorHAnsi"/>
          <w:bCs/>
          <w:color w:val="000000" w:themeColor="text1"/>
          <w:sz w:val="22"/>
          <w:szCs w:val="22"/>
        </w:rPr>
        <w:t xml:space="preserve"> dose</w:t>
      </w:r>
      <w:r w:rsidR="00423E88" w:rsidRPr="00892385">
        <w:rPr>
          <w:rFonts w:asciiTheme="minorHAnsi" w:hAnsiTheme="minorHAnsi" w:cstheme="minorHAnsi"/>
          <w:bCs/>
          <w:color w:val="000000" w:themeColor="text1"/>
          <w:sz w:val="22"/>
          <w:szCs w:val="22"/>
        </w:rPr>
        <w:t xml:space="preserve"> </w:t>
      </w:r>
      <w:r w:rsidR="0051249C" w:rsidRPr="00892385">
        <w:rPr>
          <w:rFonts w:asciiTheme="minorHAnsi" w:hAnsiTheme="minorHAnsi" w:cstheme="minorHAnsi"/>
          <w:bCs/>
          <w:color w:val="000000" w:themeColor="text1"/>
          <w:sz w:val="22"/>
          <w:szCs w:val="22"/>
        </w:rPr>
        <w:t>deposition</w:t>
      </w:r>
      <w:r w:rsidR="00AE27B0" w:rsidRPr="00892385">
        <w:rPr>
          <w:rFonts w:asciiTheme="minorHAnsi" w:hAnsiTheme="minorHAnsi" w:cstheme="minorHAnsi"/>
          <w:bCs/>
          <w:color w:val="000000" w:themeColor="text1"/>
          <w:sz w:val="22"/>
          <w:szCs w:val="22"/>
        </w:rPr>
        <w:t xml:space="preserve"> </w:t>
      </w:r>
      <w:r w:rsidR="00CA12DC">
        <w:rPr>
          <w:rFonts w:asciiTheme="minorHAnsi" w:hAnsiTheme="minorHAnsi" w:cstheme="minorHAnsi"/>
          <w:bCs/>
          <w:color w:val="000000" w:themeColor="text1"/>
          <w:sz w:val="22"/>
          <w:szCs w:val="22"/>
        </w:rPr>
        <w:t>and</w:t>
      </w:r>
      <w:r w:rsidR="00D5562F" w:rsidRPr="00892385">
        <w:rPr>
          <w:rFonts w:asciiTheme="minorHAnsi" w:hAnsiTheme="minorHAnsi" w:cstheme="minorHAnsi"/>
          <w:bCs/>
          <w:color w:val="000000" w:themeColor="text1"/>
          <w:sz w:val="22"/>
          <w:szCs w:val="22"/>
        </w:rPr>
        <w:t xml:space="preserve"> the toxicity of treatment. </w:t>
      </w:r>
      <w:r w:rsidR="00220268">
        <w:rPr>
          <w:rFonts w:asciiTheme="minorHAnsi" w:hAnsiTheme="minorHAnsi" w:cstheme="minorHAnsi"/>
          <w:bCs/>
          <w:color w:val="000000" w:themeColor="text1"/>
          <w:sz w:val="22"/>
          <w:szCs w:val="22"/>
        </w:rPr>
        <w:t>There was variation between studies</w:t>
      </w:r>
      <w:r w:rsidR="00CA12DC">
        <w:rPr>
          <w:rFonts w:asciiTheme="minorHAnsi" w:hAnsiTheme="minorHAnsi" w:cstheme="minorHAnsi"/>
          <w:bCs/>
          <w:color w:val="000000" w:themeColor="text1"/>
          <w:sz w:val="22"/>
          <w:szCs w:val="22"/>
        </w:rPr>
        <w:t xml:space="preserve"> </w:t>
      </w:r>
      <w:r w:rsidR="00220268">
        <w:rPr>
          <w:rFonts w:asciiTheme="minorHAnsi" w:hAnsiTheme="minorHAnsi" w:cstheme="minorHAnsi"/>
          <w:bCs/>
          <w:color w:val="000000" w:themeColor="text1"/>
          <w:sz w:val="22"/>
          <w:szCs w:val="22"/>
        </w:rPr>
        <w:t>regarding oesophageal dose;</w:t>
      </w:r>
      <w:r w:rsidR="00CA12DC">
        <w:rPr>
          <w:rFonts w:asciiTheme="minorHAnsi" w:hAnsiTheme="minorHAnsi" w:cstheme="minorHAnsi"/>
          <w:bCs/>
          <w:color w:val="000000" w:themeColor="text1"/>
          <w:sz w:val="22"/>
          <w:szCs w:val="22"/>
        </w:rPr>
        <w:t xml:space="preserve"> </w:t>
      </w:r>
      <w:r w:rsidR="00220268">
        <w:rPr>
          <w:rFonts w:asciiTheme="minorHAnsi" w:hAnsiTheme="minorHAnsi" w:cstheme="minorHAnsi"/>
          <w:bCs/>
          <w:color w:val="000000" w:themeColor="text1"/>
          <w:sz w:val="22"/>
          <w:szCs w:val="22"/>
        </w:rPr>
        <w:t>Pasler</w:t>
      </w:r>
      <w:r w:rsidR="0038164D">
        <w:rPr>
          <w:rFonts w:asciiTheme="minorHAnsi" w:hAnsiTheme="minorHAnsi" w:cstheme="minorHAnsi"/>
          <w:bCs/>
          <w:color w:val="000000" w:themeColor="text1"/>
          <w:sz w:val="22"/>
          <w:szCs w:val="22"/>
          <w:vertAlign w:val="superscript"/>
        </w:rPr>
        <w:t>12</w:t>
      </w:r>
      <w:r w:rsidR="00423E88" w:rsidRPr="00892385">
        <w:rPr>
          <w:rFonts w:asciiTheme="minorHAnsi" w:hAnsiTheme="minorHAnsi" w:cstheme="minorHAnsi"/>
          <w:bCs/>
          <w:color w:val="000000" w:themeColor="text1"/>
          <w:sz w:val="22"/>
          <w:szCs w:val="22"/>
        </w:rPr>
        <w:t xml:space="preserve"> found that</w:t>
      </w:r>
      <w:r w:rsidR="0026337F" w:rsidRPr="00892385">
        <w:rPr>
          <w:rFonts w:asciiTheme="minorHAnsi" w:hAnsiTheme="minorHAnsi" w:cstheme="minorHAnsi"/>
          <w:bCs/>
          <w:color w:val="000000" w:themeColor="text1"/>
          <w:sz w:val="22"/>
          <w:szCs w:val="22"/>
        </w:rPr>
        <w:t xml:space="preserve"> the</w:t>
      </w:r>
      <w:r w:rsidR="00423E88" w:rsidRPr="00892385">
        <w:rPr>
          <w:rFonts w:asciiTheme="minorHAnsi" w:hAnsiTheme="minorHAnsi" w:cstheme="minorHAnsi"/>
          <w:bCs/>
          <w:color w:val="000000" w:themeColor="text1"/>
          <w:sz w:val="22"/>
          <w:szCs w:val="22"/>
        </w:rPr>
        <w:t xml:space="preserve"> oesophag</w:t>
      </w:r>
      <w:r w:rsidR="0026337F" w:rsidRPr="00892385">
        <w:rPr>
          <w:rFonts w:asciiTheme="minorHAnsi" w:hAnsiTheme="minorHAnsi" w:cstheme="minorHAnsi"/>
          <w:bCs/>
          <w:color w:val="000000" w:themeColor="text1"/>
          <w:sz w:val="22"/>
          <w:szCs w:val="22"/>
        </w:rPr>
        <w:t>eal</w:t>
      </w:r>
      <w:r w:rsidR="00423E88" w:rsidRPr="00892385">
        <w:rPr>
          <w:rFonts w:asciiTheme="minorHAnsi" w:hAnsiTheme="minorHAnsi" w:cstheme="minorHAnsi"/>
          <w:bCs/>
          <w:color w:val="000000" w:themeColor="text1"/>
          <w:sz w:val="22"/>
          <w:szCs w:val="22"/>
        </w:rPr>
        <w:t xml:space="preserve"> doses </w:t>
      </w:r>
      <w:r w:rsidR="00220268">
        <w:rPr>
          <w:rFonts w:asciiTheme="minorHAnsi" w:hAnsiTheme="minorHAnsi" w:cstheme="minorHAnsi"/>
          <w:bCs/>
          <w:color w:val="000000" w:themeColor="text1"/>
          <w:sz w:val="22"/>
          <w:szCs w:val="22"/>
        </w:rPr>
        <w:t>remained within tolerance</w:t>
      </w:r>
      <w:r w:rsidR="00423E88" w:rsidRPr="00892385">
        <w:rPr>
          <w:rFonts w:asciiTheme="minorHAnsi" w:hAnsiTheme="minorHAnsi" w:cstheme="minorHAnsi"/>
          <w:bCs/>
          <w:color w:val="000000" w:themeColor="text1"/>
          <w:sz w:val="22"/>
          <w:szCs w:val="22"/>
        </w:rPr>
        <w:t xml:space="preserve"> </w:t>
      </w:r>
      <w:r w:rsidR="00220268">
        <w:rPr>
          <w:rFonts w:asciiTheme="minorHAnsi" w:hAnsiTheme="minorHAnsi" w:cstheme="minorHAnsi"/>
          <w:bCs/>
          <w:color w:val="000000" w:themeColor="text1"/>
          <w:sz w:val="22"/>
          <w:szCs w:val="22"/>
        </w:rPr>
        <w:t xml:space="preserve">making </w:t>
      </w:r>
      <w:r w:rsidR="00423E88" w:rsidRPr="00892385">
        <w:rPr>
          <w:rFonts w:asciiTheme="minorHAnsi" w:hAnsiTheme="minorHAnsi" w:cstheme="minorHAnsi"/>
          <w:bCs/>
          <w:color w:val="000000" w:themeColor="text1"/>
          <w:sz w:val="22"/>
          <w:szCs w:val="22"/>
        </w:rPr>
        <w:t>late effect</w:t>
      </w:r>
      <w:r w:rsidR="00220268">
        <w:rPr>
          <w:rFonts w:asciiTheme="minorHAnsi" w:hAnsiTheme="minorHAnsi" w:cstheme="minorHAnsi"/>
          <w:bCs/>
          <w:color w:val="000000" w:themeColor="text1"/>
          <w:sz w:val="22"/>
          <w:szCs w:val="22"/>
        </w:rPr>
        <w:t>s</w:t>
      </w:r>
      <w:r w:rsidR="00423E88" w:rsidRPr="00892385">
        <w:rPr>
          <w:rFonts w:asciiTheme="minorHAnsi" w:hAnsiTheme="minorHAnsi" w:cstheme="minorHAnsi"/>
          <w:bCs/>
          <w:color w:val="000000" w:themeColor="text1"/>
          <w:sz w:val="22"/>
          <w:szCs w:val="22"/>
        </w:rPr>
        <w:t xml:space="preserve"> unlikely</w:t>
      </w:r>
      <w:r w:rsidR="00502725" w:rsidRPr="00892385">
        <w:rPr>
          <w:rFonts w:asciiTheme="minorHAnsi" w:hAnsiTheme="minorHAnsi" w:cstheme="minorHAnsi"/>
          <w:bCs/>
          <w:color w:val="000000" w:themeColor="text1"/>
          <w:sz w:val="22"/>
          <w:szCs w:val="22"/>
        </w:rPr>
        <w:t>.</w:t>
      </w:r>
      <w:r w:rsidR="00BE3D4B" w:rsidRPr="00892385">
        <w:rPr>
          <w:rFonts w:asciiTheme="minorHAnsi" w:hAnsiTheme="minorHAnsi" w:cstheme="minorHAnsi"/>
          <w:bCs/>
          <w:color w:val="000000" w:themeColor="text1"/>
          <w:sz w:val="22"/>
          <w:szCs w:val="22"/>
        </w:rPr>
        <w:t xml:space="preserve"> </w:t>
      </w:r>
      <w:r w:rsidR="00220268">
        <w:rPr>
          <w:rFonts w:asciiTheme="minorHAnsi" w:hAnsiTheme="minorHAnsi" w:cstheme="minorHAnsi"/>
          <w:bCs/>
          <w:color w:val="000000" w:themeColor="text1"/>
          <w:sz w:val="22"/>
          <w:szCs w:val="22"/>
        </w:rPr>
        <w:t>This contrasts with Dumane’s</w:t>
      </w:r>
      <w:r w:rsidR="0038164D">
        <w:rPr>
          <w:rFonts w:asciiTheme="minorHAnsi" w:hAnsiTheme="minorHAnsi" w:cstheme="minorHAnsi"/>
          <w:bCs/>
          <w:color w:val="000000" w:themeColor="text1"/>
          <w:sz w:val="22"/>
          <w:szCs w:val="22"/>
          <w:vertAlign w:val="superscript"/>
        </w:rPr>
        <w:t>16</w:t>
      </w:r>
      <w:r w:rsidR="00220268">
        <w:rPr>
          <w:rFonts w:asciiTheme="minorHAnsi" w:hAnsiTheme="minorHAnsi" w:cstheme="minorHAnsi"/>
          <w:bCs/>
          <w:color w:val="000000" w:themeColor="text1"/>
          <w:sz w:val="22"/>
          <w:szCs w:val="22"/>
        </w:rPr>
        <w:t xml:space="preserve"> findings</w:t>
      </w:r>
      <w:r w:rsidR="00BE3D4B" w:rsidRPr="00892385">
        <w:rPr>
          <w:rFonts w:asciiTheme="minorHAnsi" w:hAnsiTheme="minorHAnsi" w:cstheme="minorHAnsi"/>
          <w:bCs/>
          <w:color w:val="000000" w:themeColor="text1"/>
          <w:sz w:val="22"/>
          <w:szCs w:val="22"/>
        </w:rPr>
        <w:t>,</w:t>
      </w:r>
      <w:r w:rsidR="00502725" w:rsidRPr="00892385">
        <w:rPr>
          <w:rFonts w:asciiTheme="minorHAnsi" w:hAnsiTheme="minorHAnsi" w:cstheme="minorHAnsi"/>
          <w:bCs/>
          <w:color w:val="000000" w:themeColor="text1"/>
          <w:sz w:val="22"/>
          <w:szCs w:val="22"/>
        </w:rPr>
        <w:t xml:space="preserve"> </w:t>
      </w:r>
      <w:r w:rsidR="00220268">
        <w:rPr>
          <w:rFonts w:asciiTheme="minorHAnsi" w:hAnsiTheme="minorHAnsi" w:cstheme="minorHAnsi"/>
          <w:bCs/>
          <w:color w:val="000000" w:themeColor="text1"/>
          <w:sz w:val="22"/>
          <w:szCs w:val="22"/>
        </w:rPr>
        <w:t xml:space="preserve">which linked </w:t>
      </w:r>
      <w:r w:rsidR="00502725" w:rsidRPr="00892385">
        <w:rPr>
          <w:rFonts w:asciiTheme="minorHAnsi" w:hAnsiTheme="minorHAnsi" w:cstheme="minorHAnsi"/>
          <w:bCs/>
          <w:color w:val="000000" w:themeColor="text1"/>
          <w:sz w:val="22"/>
          <w:szCs w:val="22"/>
        </w:rPr>
        <w:t>VMAT t</w:t>
      </w:r>
      <w:r w:rsidR="00220268">
        <w:rPr>
          <w:rFonts w:asciiTheme="minorHAnsi" w:hAnsiTheme="minorHAnsi" w:cstheme="minorHAnsi"/>
          <w:bCs/>
          <w:color w:val="000000" w:themeColor="text1"/>
          <w:sz w:val="22"/>
          <w:szCs w:val="22"/>
        </w:rPr>
        <w:t>echnique for chest wall and IMN with the development of</w:t>
      </w:r>
      <w:r w:rsidR="00502725" w:rsidRPr="00892385">
        <w:rPr>
          <w:rFonts w:asciiTheme="minorHAnsi" w:hAnsiTheme="minorHAnsi" w:cstheme="minorHAnsi"/>
          <w:bCs/>
          <w:color w:val="000000" w:themeColor="text1"/>
          <w:sz w:val="22"/>
          <w:szCs w:val="22"/>
        </w:rPr>
        <w:t xml:space="preserve"> grade 2 oesophagitis within 2-3 weeks of treatment commencing. </w:t>
      </w:r>
      <w:proofErr w:type="spellStart"/>
      <w:r w:rsidR="00E43280">
        <w:rPr>
          <w:rFonts w:asciiTheme="minorHAnsi" w:hAnsiTheme="minorHAnsi" w:cstheme="minorHAnsi"/>
          <w:bCs/>
          <w:color w:val="000000" w:themeColor="text1"/>
          <w:sz w:val="22"/>
          <w:szCs w:val="22"/>
        </w:rPr>
        <w:t>Dumane’s</w:t>
      </w:r>
      <w:proofErr w:type="spellEnd"/>
      <w:r w:rsidR="00E43280">
        <w:rPr>
          <w:rFonts w:asciiTheme="minorHAnsi" w:hAnsiTheme="minorHAnsi" w:cstheme="minorHAnsi"/>
          <w:bCs/>
          <w:color w:val="000000" w:themeColor="text1"/>
          <w:sz w:val="22"/>
          <w:szCs w:val="22"/>
        </w:rPr>
        <w:t xml:space="preserve"> study did, however, </w:t>
      </w:r>
      <w:r w:rsidR="0038164D">
        <w:rPr>
          <w:rFonts w:asciiTheme="minorHAnsi" w:hAnsiTheme="minorHAnsi" w:cstheme="minorHAnsi"/>
          <w:bCs/>
          <w:color w:val="000000" w:themeColor="text1"/>
          <w:sz w:val="22"/>
          <w:szCs w:val="22"/>
        </w:rPr>
        <w:t>investigate</w:t>
      </w:r>
      <w:r w:rsidR="001525AC" w:rsidRPr="001525AC">
        <w:t xml:space="preserve"> </w:t>
      </w:r>
      <w:r w:rsidR="001525AC" w:rsidRPr="001525AC">
        <w:rPr>
          <w:rFonts w:asciiTheme="minorHAnsi" w:hAnsiTheme="minorHAnsi" w:cstheme="minorHAnsi"/>
          <w:bCs/>
          <w:color w:val="000000" w:themeColor="text1"/>
          <w:sz w:val="22"/>
          <w:szCs w:val="22"/>
        </w:rPr>
        <w:t>regional nodal irradiation for potential metastatic lymph nodes in the internal mammary chain</w:t>
      </w:r>
      <w:r w:rsidR="00E43280">
        <w:rPr>
          <w:rFonts w:asciiTheme="minorHAnsi" w:hAnsiTheme="minorHAnsi" w:cstheme="minorHAnsi"/>
          <w:bCs/>
          <w:color w:val="000000" w:themeColor="text1"/>
          <w:sz w:val="22"/>
          <w:szCs w:val="22"/>
        </w:rPr>
        <w:t xml:space="preserve"> where higher oesophageal doses would be expected. </w:t>
      </w:r>
      <w:r w:rsidR="00023B31">
        <w:rPr>
          <w:rFonts w:asciiTheme="minorHAnsi" w:hAnsiTheme="minorHAnsi" w:cstheme="minorHAnsi"/>
          <w:bCs/>
          <w:color w:val="000000" w:themeColor="text1"/>
          <w:sz w:val="22"/>
          <w:szCs w:val="22"/>
        </w:rPr>
        <w:t>This issue</w:t>
      </w:r>
      <w:r w:rsidR="00E43280">
        <w:rPr>
          <w:rFonts w:asciiTheme="minorHAnsi" w:hAnsiTheme="minorHAnsi" w:cstheme="minorHAnsi"/>
          <w:bCs/>
          <w:color w:val="000000" w:themeColor="text1"/>
          <w:sz w:val="22"/>
          <w:szCs w:val="22"/>
        </w:rPr>
        <w:t>, nonetheless,</w:t>
      </w:r>
      <w:r w:rsidR="00023B31">
        <w:rPr>
          <w:rFonts w:asciiTheme="minorHAnsi" w:hAnsiTheme="minorHAnsi" w:cstheme="minorHAnsi"/>
          <w:bCs/>
          <w:color w:val="000000" w:themeColor="text1"/>
          <w:sz w:val="22"/>
          <w:szCs w:val="22"/>
        </w:rPr>
        <w:t xml:space="preserve"> was cited as strong rationale for developing</w:t>
      </w:r>
      <w:r w:rsidR="00502725" w:rsidRPr="00892385">
        <w:rPr>
          <w:rFonts w:asciiTheme="minorHAnsi" w:hAnsiTheme="minorHAnsi" w:cstheme="minorHAnsi"/>
          <w:bCs/>
          <w:color w:val="000000" w:themeColor="text1"/>
          <w:sz w:val="22"/>
          <w:szCs w:val="22"/>
        </w:rPr>
        <w:t xml:space="preserve"> </w:t>
      </w:r>
      <w:r w:rsidR="00155BA9">
        <w:rPr>
          <w:rFonts w:asciiTheme="minorHAnsi" w:hAnsiTheme="minorHAnsi" w:cstheme="minorHAnsi"/>
          <w:bCs/>
          <w:color w:val="000000" w:themeColor="text1"/>
          <w:sz w:val="22"/>
          <w:szCs w:val="22"/>
        </w:rPr>
        <w:t>hybrid</w:t>
      </w:r>
      <w:r w:rsidR="00502725" w:rsidRPr="00892385">
        <w:rPr>
          <w:rFonts w:asciiTheme="minorHAnsi" w:hAnsiTheme="minorHAnsi" w:cstheme="minorHAnsi"/>
          <w:bCs/>
          <w:color w:val="000000" w:themeColor="text1"/>
          <w:sz w:val="22"/>
          <w:szCs w:val="22"/>
        </w:rPr>
        <w:t xml:space="preserve"> plans</w:t>
      </w:r>
      <w:r w:rsidR="00866475" w:rsidRPr="00892385">
        <w:rPr>
          <w:rFonts w:asciiTheme="minorHAnsi" w:hAnsiTheme="minorHAnsi" w:cstheme="minorHAnsi"/>
          <w:bCs/>
          <w:color w:val="000000" w:themeColor="text1"/>
          <w:sz w:val="22"/>
          <w:szCs w:val="22"/>
        </w:rPr>
        <w:t xml:space="preserve"> </w:t>
      </w:r>
      <w:r w:rsidR="00023B31">
        <w:rPr>
          <w:rFonts w:asciiTheme="minorHAnsi" w:hAnsiTheme="minorHAnsi" w:cstheme="minorHAnsi"/>
          <w:bCs/>
          <w:color w:val="000000" w:themeColor="text1"/>
          <w:sz w:val="22"/>
          <w:szCs w:val="22"/>
        </w:rPr>
        <w:t xml:space="preserve">to </w:t>
      </w:r>
      <w:r w:rsidR="00502725" w:rsidRPr="00892385">
        <w:rPr>
          <w:rFonts w:asciiTheme="minorHAnsi" w:hAnsiTheme="minorHAnsi" w:cstheme="minorHAnsi"/>
          <w:bCs/>
          <w:color w:val="000000" w:themeColor="text1"/>
          <w:sz w:val="22"/>
          <w:szCs w:val="22"/>
        </w:rPr>
        <w:t>reduce</w:t>
      </w:r>
      <w:r w:rsidR="00023B31">
        <w:rPr>
          <w:rFonts w:asciiTheme="minorHAnsi" w:hAnsiTheme="minorHAnsi" w:cstheme="minorHAnsi"/>
          <w:bCs/>
          <w:color w:val="000000" w:themeColor="text1"/>
          <w:sz w:val="22"/>
          <w:szCs w:val="22"/>
        </w:rPr>
        <w:t xml:space="preserve"> </w:t>
      </w:r>
      <w:r w:rsidR="00023B31">
        <w:rPr>
          <w:rFonts w:asciiTheme="minorHAnsi" w:hAnsiTheme="minorHAnsi" w:cstheme="minorHAnsi"/>
          <w:bCs/>
          <w:color w:val="000000" w:themeColor="text1"/>
          <w:sz w:val="22"/>
          <w:szCs w:val="22"/>
        </w:rPr>
        <w:lastRenderedPageBreak/>
        <w:t>both LDB and</w:t>
      </w:r>
      <w:r w:rsidR="00502725" w:rsidRPr="00892385">
        <w:rPr>
          <w:rFonts w:asciiTheme="minorHAnsi" w:hAnsiTheme="minorHAnsi" w:cstheme="minorHAnsi"/>
          <w:bCs/>
          <w:color w:val="000000" w:themeColor="text1"/>
          <w:sz w:val="22"/>
          <w:szCs w:val="22"/>
        </w:rPr>
        <w:t xml:space="preserve"> the dose delivered to the </w:t>
      </w:r>
      <w:r w:rsidR="00866475" w:rsidRPr="00892385">
        <w:rPr>
          <w:rFonts w:asciiTheme="minorHAnsi" w:hAnsiTheme="minorHAnsi" w:cstheme="minorHAnsi"/>
          <w:bCs/>
          <w:color w:val="000000" w:themeColor="text1"/>
          <w:sz w:val="22"/>
          <w:szCs w:val="22"/>
        </w:rPr>
        <w:t xml:space="preserve">oesophagus. </w:t>
      </w:r>
      <w:r w:rsidR="00023B31">
        <w:rPr>
          <w:rFonts w:asciiTheme="minorHAnsi" w:hAnsiTheme="minorHAnsi" w:cstheme="minorHAnsi"/>
          <w:bCs/>
          <w:color w:val="000000" w:themeColor="text1"/>
          <w:sz w:val="22"/>
          <w:szCs w:val="22"/>
        </w:rPr>
        <w:t xml:space="preserve">Across the range of OARs, </w:t>
      </w:r>
      <w:r w:rsidR="001525AC">
        <w:rPr>
          <w:rFonts w:asciiTheme="minorHAnsi" w:hAnsiTheme="minorHAnsi" w:cstheme="minorHAnsi"/>
          <w:bCs/>
          <w:color w:val="000000" w:themeColor="text1"/>
          <w:sz w:val="22"/>
          <w:szCs w:val="22"/>
        </w:rPr>
        <w:t>there is a suggestion</w:t>
      </w:r>
      <w:r w:rsidR="00023B31">
        <w:rPr>
          <w:rFonts w:asciiTheme="minorHAnsi" w:hAnsiTheme="minorHAnsi" w:cstheme="minorHAnsi"/>
          <w:bCs/>
          <w:color w:val="000000" w:themeColor="text1"/>
          <w:sz w:val="22"/>
          <w:szCs w:val="22"/>
        </w:rPr>
        <w:t xml:space="preserve"> that both acute and late toxicities can be reduced with VMAT compared to FIF or standard IMRT; </w:t>
      </w:r>
      <w:r w:rsidR="001525AC">
        <w:rPr>
          <w:rFonts w:asciiTheme="minorHAnsi" w:hAnsiTheme="minorHAnsi" w:cstheme="minorHAnsi"/>
          <w:bCs/>
          <w:color w:val="000000" w:themeColor="text1"/>
          <w:sz w:val="22"/>
          <w:szCs w:val="22"/>
        </w:rPr>
        <w:t xml:space="preserve">further work is needed to confirm </w:t>
      </w:r>
      <w:r w:rsidR="00023B31">
        <w:rPr>
          <w:rFonts w:asciiTheme="minorHAnsi" w:hAnsiTheme="minorHAnsi" w:cstheme="minorHAnsi"/>
          <w:bCs/>
          <w:color w:val="000000" w:themeColor="text1"/>
          <w:sz w:val="22"/>
          <w:szCs w:val="22"/>
        </w:rPr>
        <w:t>this.</w:t>
      </w:r>
    </w:p>
    <w:p w14:paraId="0D681C13" w14:textId="77777777" w:rsidR="007519E6" w:rsidRPr="00892385" w:rsidRDefault="007519E6" w:rsidP="009916B3">
      <w:pPr>
        <w:autoSpaceDE w:val="0"/>
        <w:autoSpaceDN w:val="0"/>
        <w:adjustRightInd w:val="0"/>
        <w:spacing w:line="360" w:lineRule="auto"/>
        <w:jc w:val="both"/>
        <w:rPr>
          <w:rFonts w:asciiTheme="minorHAnsi" w:hAnsiTheme="minorHAnsi" w:cstheme="minorHAnsi"/>
          <w:bCs/>
          <w:color w:val="000000" w:themeColor="text1"/>
          <w:sz w:val="22"/>
          <w:szCs w:val="22"/>
        </w:rPr>
      </w:pPr>
    </w:p>
    <w:p w14:paraId="57CD4CF1" w14:textId="0759A5D4" w:rsidR="00454E6D" w:rsidRDefault="00A22EF5" w:rsidP="009916B3">
      <w:pPr>
        <w:autoSpaceDE w:val="0"/>
        <w:autoSpaceDN w:val="0"/>
        <w:adjustRightInd w:val="0"/>
        <w:spacing w:line="360" w:lineRule="auto"/>
        <w:jc w:val="both"/>
        <w:rPr>
          <w:rFonts w:asciiTheme="minorHAnsi" w:hAnsiTheme="minorHAnsi" w:cstheme="minorHAnsi"/>
          <w:bCs/>
          <w:color w:val="000000" w:themeColor="text1"/>
          <w:sz w:val="22"/>
          <w:szCs w:val="22"/>
        </w:rPr>
      </w:pPr>
      <w:r w:rsidRPr="00892385">
        <w:rPr>
          <w:rFonts w:asciiTheme="minorHAnsi" w:hAnsiTheme="minorHAnsi" w:cstheme="minorHAnsi"/>
          <w:bCs/>
          <w:color w:val="000000" w:themeColor="text1"/>
          <w:sz w:val="22"/>
          <w:szCs w:val="22"/>
        </w:rPr>
        <w:t>The</w:t>
      </w:r>
      <w:r w:rsidR="00155BA9">
        <w:rPr>
          <w:rFonts w:asciiTheme="minorHAnsi" w:hAnsiTheme="minorHAnsi" w:cstheme="minorHAnsi"/>
          <w:bCs/>
          <w:color w:val="000000" w:themeColor="text1"/>
          <w:sz w:val="22"/>
          <w:szCs w:val="22"/>
        </w:rPr>
        <w:t xml:space="preserve"> relative</w:t>
      </w:r>
      <w:r w:rsidRPr="00892385">
        <w:rPr>
          <w:rFonts w:asciiTheme="minorHAnsi" w:hAnsiTheme="minorHAnsi" w:cstheme="minorHAnsi"/>
          <w:bCs/>
          <w:color w:val="000000" w:themeColor="text1"/>
          <w:sz w:val="22"/>
          <w:szCs w:val="22"/>
        </w:rPr>
        <w:t xml:space="preserve"> </w:t>
      </w:r>
      <w:r w:rsidR="00155BA9">
        <w:rPr>
          <w:rFonts w:asciiTheme="minorHAnsi" w:hAnsiTheme="minorHAnsi" w:cstheme="minorHAnsi"/>
          <w:bCs/>
          <w:color w:val="000000" w:themeColor="text1"/>
          <w:sz w:val="22"/>
          <w:szCs w:val="22"/>
        </w:rPr>
        <w:t xml:space="preserve">risk of secondary cancer induction arising from a </w:t>
      </w:r>
      <w:r w:rsidR="00023B31">
        <w:rPr>
          <w:rFonts w:asciiTheme="minorHAnsi" w:hAnsiTheme="minorHAnsi" w:cstheme="minorHAnsi"/>
          <w:bCs/>
          <w:color w:val="000000" w:themeColor="text1"/>
          <w:sz w:val="22"/>
          <w:szCs w:val="22"/>
        </w:rPr>
        <w:t>LDB</w:t>
      </w:r>
      <w:r w:rsidR="00155BA9">
        <w:rPr>
          <w:rFonts w:asciiTheme="minorHAnsi" w:hAnsiTheme="minorHAnsi" w:cstheme="minorHAnsi"/>
          <w:bCs/>
          <w:color w:val="000000" w:themeColor="text1"/>
          <w:sz w:val="22"/>
          <w:szCs w:val="22"/>
        </w:rPr>
        <w:t xml:space="preserve"> compared to CRT </w:t>
      </w:r>
      <w:r w:rsidR="00023B31">
        <w:rPr>
          <w:rFonts w:asciiTheme="minorHAnsi" w:hAnsiTheme="minorHAnsi" w:cstheme="minorHAnsi"/>
          <w:bCs/>
          <w:color w:val="000000" w:themeColor="text1"/>
          <w:sz w:val="22"/>
          <w:szCs w:val="22"/>
        </w:rPr>
        <w:t>is increased</w:t>
      </w:r>
      <w:r w:rsidRPr="00892385">
        <w:rPr>
          <w:rFonts w:asciiTheme="minorHAnsi" w:hAnsiTheme="minorHAnsi" w:cstheme="minorHAnsi"/>
          <w:bCs/>
          <w:color w:val="000000" w:themeColor="text1"/>
          <w:sz w:val="22"/>
          <w:szCs w:val="22"/>
        </w:rPr>
        <w:t xml:space="preserve"> by</w:t>
      </w:r>
      <w:r w:rsidR="00023B31">
        <w:rPr>
          <w:rFonts w:asciiTheme="minorHAnsi" w:hAnsiTheme="minorHAnsi" w:cstheme="minorHAnsi"/>
          <w:bCs/>
          <w:color w:val="000000" w:themeColor="text1"/>
          <w:sz w:val="22"/>
          <w:szCs w:val="22"/>
        </w:rPr>
        <w:t xml:space="preserve"> use of VMAT.</w:t>
      </w:r>
      <w:r w:rsidR="0038164D">
        <w:rPr>
          <w:rFonts w:asciiTheme="minorHAnsi" w:hAnsiTheme="minorHAnsi" w:cstheme="minorHAnsi"/>
          <w:bCs/>
          <w:color w:val="000000" w:themeColor="text1"/>
          <w:sz w:val="22"/>
          <w:szCs w:val="22"/>
          <w:vertAlign w:val="superscript"/>
        </w:rPr>
        <w:t>10</w:t>
      </w:r>
      <w:proofErr w:type="gramStart"/>
      <w:r w:rsidR="0038164D">
        <w:rPr>
          <w:rFonts w:asciiTheme="minorHAnsi" w:hAnsiTheme="minorHAnsi" w:cstheme="minorHAnsi"/>
          <w:bCs/>
          <w:color w:val="000000" w:themeColor="text1"/>
          <w:sz w:val="22"/>
          <w:szCs w:val="22"/>
          <w:vertAlign w:val="superscript"/>
        </w:rPr>
        <w:t>,15</w:t>
      </w:r>
      <w:proofErr w:type="gramEnd"/>
      <w:r w:rsidR="00023B31">
        <w:rPr>
          <w:rFonts w:asciiTheme="minorHAnsi" w:hAnsiTheme="minorHAnsi" w:cstheme="minorHAnsi"/>
          <w:bCs/>
          <w:color w:val="000000" w:themeColor="text1"/>
          <w:sz w:val="22"/>
          <w:szCs w:val="22"/>
        </w:rPr>
        <w:t xml:space="preserve"> </w:t>
      </w:r>
      <w:r w:rsidR="00401B4B" w:rsidRPr="00892385">
        <w:rPr>
          <w:rFonts w:asciiTheme="minorHAnsi" w:hAnsiTheme="minorHAnsi" w:cstheme="minorHAnsi"/>
          <w:bCs/>
          <w:color w:val="000000" w:themeColor="text1"/>
          <w:sz w:val="22"/>
          <w:szCs w:val="22"/>
        </w:rPr>
        <w:t xml:space="preserve">This poses an issue for breast cancer patients, </w:t>
      </w:r>
      <w:r w:rsidR="00155BA9">
        <w:rPr>
          <w:rFonts w:asciiTheme="minorHAnsi" w:hAnsiTheme="minorHAnsi" w:cstheme="minorHAnsi"/>
          <w:bCs/>
          <w:color w:val="000000" w:themeColor="text1"/>
          <w:sz w:val="22"/>
          <w:szCs w:val="22"/>
        </w:rPr>
        <w:t>with their potential for g</w:t>
      </w:r>
      <w:r w:rsidR="007519E6" w:rsidRPr="00892385">
        <w:rPr>
          <w:rFonts w:asciiTheme="minorHAnsi" w:hAnsiTheme="minorHAnsi" w:cstheme="minorHAnsi"/>
          <w:bCs/>
          <w:color w:val="000000" w:themeColor="text1"/>
          <w:sz w:val="22"/>
          <w:szCs w:val="22"/>
        </w:rPr>
        <w:t>ood prognosis</w:t>
      </w:r>
      <w:r w:rsidR="00401B4B" w:rsidRPr="00892385">
        <w:rPr>
          <w:rFonts w:asciiTheme="minorHAnsi" w:hAnsiTheme="minorHAnsi" w:cstheme="minorHAnsi"/>
          <w:bCs/>
          <w:color w:val="000000" w:themeColor="text1"/>
          <w:sz w:val="22"/>
          <w:szCs w:val="22"/>
        </w:rPr>
        <w:t xml:space="preserve"> post-treatment</w:t>
      </w:r>
      <w:r w:rsidR="00023B31">
        <w:rPr>
          <w:rFonts w:asciiTheme="minorHAnsi" w:hAnsiTheme="minorHAnsi" w:cstheme="minorHAnsi"/>
          <w:bCs/>
          <w:color w:val="000000" w:themeColor="text1"/>
          <w:sz w:val="22"/>
          <w:szCs w:val="22"/>
        </w:rPr>
        <w:t>.</w:t>
      </w:r>
      <w:r w:rsidR="0038164D">
        <w:rPr>
          <w:rFonts w:asciiTheme="minorHAnsi" w:hAnsiTheme="minorHAnsi" w:cstheme="minorHAnsi"/>
          <w:bCs/>
          <w:color w:val="000000" w:themeColor="text1"/>
          <w:sz w:val="22"/>
          <w:szCs w:val="22"/>
          <w:vertAlign w:val="superscript"/>
        </w:rPr>
        <w:t>18</w:t>
      </w:r>
      <w:r w:rsidR="00401B4B" w:rsidRPr="00892385">
        <w:rPr>
          <w:rFonts w:asciiTheme="minorHAnsi" w:hAnsiTheme="minorHAnsi" w:cstheme="minorHAnsi"/>
          <w:bCs/>
          <w:color w:val="000000" w:themeColor="text1"/>
          <w:sz w:val="22"/>
          <w:szCs w:val="22"/>
        </w:rPr>
        <w:t xml:space="preserve"> </w:t>
      </w:r>
      <w:r w:rsidR="00023B31">
        <w:rPr>
          <w:rFonts w:asciiTheme="minorHAnsi" w:hAnsiTheme="minorHAnsi" w:cstheme="minorHAnsi"/>
          <w:bCs/>
          <w:color w:val="000000" w:themeColor="text1"/>
          <w:sz w:val="22"/>
          <w:szCs w:val="22"/>
        </w:rPr>
        <w:t>Abo-Madyan</w:t>
      </w:r>
      <w:r w:rsidR="0038164D">
        <w:rPr>
          <w:rFonts w:asciiTheme="minorHAnsi" w:hAnsiTheme="minorHAnsi" w:cstheme="minorHAnsi"/>
          <w:bCs/>
          <w:color w:val="000000" w:themeColor="text1"/>
          <w:sz w:val="22"/>
          <w:szCs w:val="22"/>
          <w:vertAlign w:val="superscript"/>
        </w:rPr>
        <w:t>15</w:t>
      </w:r>
      <w:r w:rsidR="0044563E" w:rsidRPr="00892385">
        <w:rPr>
          <w:rFonts w:asciiTheme="minorHAnsi" w:hAnsiTheme="minorHAnsi" w:cstheme="minorHAnsi"/>
          <w:bCs/>
          <w:color w:val="000000" w:themeColor="text1"/>
          <w:sz w:val="22"/>
          <w:szCs w:val="22"/>
        </w:rPr>
        <w:t xml:space="preserve"> </w:t>
      </w:r>
      <w:r w:rsidR="00155BA9">
        <w:rPr>
          <w:rFonts w:asciiTheme="minorHAnsi" w:hAnsiTheme="minorHAnsi" w:cstheme="minorHAnsi"/>
          <w:bCs/>
          <w:color w:val="000000" w:themeColor="text1"/>
          <w:sz w:val="22"/>
          <w:szCs w:val="22"/>
        </w:rPr>
        <w:t>identified</w:t>
      </w:r>
      <w:r w:rsidR="0044563E" w:rsidRPr="00892385">
        <w:rPr>
          <w:rFonts w:asciiTheme="minorHAnsi" w:hAnsiTheme="minorHAnsi" w:cstheme="minorHAnsi"/>
          <w:bCs/>
          <w:color w:val="000000" w:themeColor="text1"/>
          <w:sz w:val="22"/>
          <w:szCs w:val="22"/>
        </w:rPr>
        <w:t xml:space="preserve"> a 96-280% increase in </w:t>
      </w:r>
      <w:r w:rsidR="00023B31">
        <w:rPr>
          <w:rFonts w:asciiTheme="minorHAnsi" w:hAnsiTheme="minorHAnsi" w:cstheme="minorHAnsi"/>
          <w:bCs/>
          <w:color w:val="000000" w:themeColor="text1"/>
          <w:sz w:val="22"/>
          <w:szCs w:val="22"/>
        </w:rPr>
        <w:t>risk</w:t>
      </w:r>
      <w:r w:rsidR="0044563E" w:rsidRPr="00892385">
        <w:rPr>
          <w:rFonts w:asciiTheme="minorHAnsi" w:hAnsiTheme="minorHAnsi" w:cstheme="minorHAnsi"/>
          <w:bCs/>
          <w:color w:val="000000" w:themeColor="text1"/>
          <w:sz w:val="22"/>
          <w:szCs w:val="22"/>
        </w:rPr>
        <w:t xml:space="preserve"> when using VMAT </w:t>
      </w:r>
      <w:r w:rsidR="00155BA9">
        <w:rPr>
          <w:rFonts w:asciiTheme="minorHAnsi" w:hAnsiTheme="minorHAnsi" w:cstheme="minorHAnsi"/>
          <w:bCs/>
          <w:color w:val="000000" w:themeColor="text1"/>
          <w:sz w:val="22"/>
          <w:szCs w:val="22"/>
        </w:rPr>
        <w:t xml:space="preserve">compared to </w:t>
      </w:r>
      <w:r w:rsidR="0044563E" w:rsidRPr="00892385">
        <w:rPr>
          <w:rFonts w:asciiTheme="minorHAnsi" w:hAnsiTheme="minorHAnsi" w:cstheme="minorHAnsi"/>
          <w:bCs/>
          <w:color w:val="000000" w:themeColor="text1"/>
          <w:sz w:val="22"/>
          <w:szCs w:val="22"/>
        </w:rPr>
        <w:t>CRT.</w:t>
      </w:r>
      <w:r w:rsidR="002639B5" w:rsidRPr="00892385">
        <w:rPr>
          <w:rFonts w:asciiTheme="minorHAnsi" w:hAnsiTheme="minorHAnsi" w:cstheme="minorHAnsi"/>
          <w:bCs/>
          <w:color w:val="000000" w:themeColor="text1"/>
          <w:sz w:val="22"/>
          <w:szCs w:val="22"/>
        </w:rPr>
        <w:t xml:space="preserve"> The </w:t>
      </w:r>
      <w:r w:rsidR="00023B31">
        <w:rPr>
          <w:rFonts w:asciiTheme="minorHAnsi" w:hAnsiTheme="minorHAnsi" w:cstheme="minorHAnsi"/>
          <w:bCs/>
          <w:color w:val="000000" w:themeColor="text1"/>
          <w:sz w:val="22"/>
          <w:szCs w:val="22"/>
        </w:rPr>
        <w:t xml:space="preserve">resulting </w:t>
      </w:r>
      <w:r w:rsidR="002639B5" w:rsidRPr="00892385">
        <w:rPr>
          <w:rFonts w:asciiTheme="minorHAnsi" w:hAnsiTheme="minorHAnsi" w:cstheme="minorHAnsi"/>
          <w:bCs/>
          <w:color w:val="000000" w:themeColor="text1"/>
          <w:sz w:val="22"/>
          <w:szCs w:val="22"/>
        </w:rPr>
        <w:t>cost</w:t>
      </w:r>
      <w:r w:rsidR="007519E6" w:rsidRPr="00892385">
        <w:rPr>
          <w:rFonts w:asciiTheme="minorHAnsi" w:hAnsiTheme="minorHAnsi" w:cstheme="minorHAnsi"/>
          <w:bCs/>
          <w:color w:val="000000" w:themeColor="text1"/>
          <w:sz w:val="22"/>
          <w:szCs w:val="22"/>
        </w:rPr>
        <w:t>-</w:t>
      </w:r>
      <w:r w:rsidR="002639B5" w:rsidRPr="00892385">
        <w:rPr>
          <w:rFonts w:asciiTheme="minorHAnsi" w:hAnsiTheme="minorHAnsi" w:cstheme="minorHAnsi"/>
          <w:bCs/>
          <w:color w:val="000000" w:themeColor="text1"/>
          <w:sz w:val="22"/>
          <w:szCs w:val="22"/>
        </w:rPr>
        <w:t xml:space="preserve">benefit analysis </w:t>
      </w:r>
      <w:r w:rsidR="00023B31">
        <w:rPr>
          <w:rFonts w:asciiTheme="minorHAnsi" w:hAnsiTheme="minorHAnsi" w:cstheme="minorHAnsi"/>
          <w:bCs/>
          <w:color w:val="000000" w:themeColor="text1"/>
          <w:sz w:val="22"/>
          <w:szCs w:val="22"/>
        </w:rPr>
        <w:t>concluded that CRT and FI</w:t>
      </w:r>
      <w:r w:rsidR="002639B5" w:rsidRPr="00892385">
        <w:rPr>
          <w:rFonts w:asciiTheme="minorHAnsi" w:hAnsiTheme="minorHAnsi" w:cstheme="minorHAnsi"/>
          <w:bCs/>
          <w:color w:val="000000" w:themeColor="text1"/>
          <w:sz w:val="22"/>
          <w:szCs w:val="22"/>
        </w:rPr>
        <w:t xml:space="preserve">F techniques </w:t>
      </w:r>
      <w:r w:rsidR="00023B31">
        <w:rPr>
          <w:rFonts w:asciiTheme="minorHAnsi" w:hAnsiTheme="minorHAnsi" w:cstheme="minorHAnsi"/>
          <w:bCs/>
          <w:color w:val="000000" w:themeColor="text1"/>
          <w:sz w:val="22"/>
          <w:szCs w:val="22"/>
        </w:rPr>
        <w:t>carry a reduced risk of secondary cancer induction;</w:t>
      </w:r>
      <w:r w:rsidR="002639B5" w:rsidRPr="00892385">
        <w:rPr>
          <w:rFonts w:asciiTheme="minorHAnsi" w:hAnsiTheme="minorHAnsi" w:cstheme="minorHAnsi"/>
          <w:bCs/>
          <w:color w:val="000000" w:themeColor="text1"/>
          <w:sz w:val="22"/>
          <w:szCs w:val="22"/>
        </w:rPr>
        <w:t xml:space="preserve"> especially for younger patients. However, </w:t>
      </w:r>
      <w:r w:rsidR="00155BA9">
        <w:rPr>
          <w:rFonts w:asciiTheme="minorHAnsi" w:hAnsiTheme="minorHAnsi" w:cstheme="minorHAnsi"/>
          <w:bCs/>
          <w:color w:val="000000" w:themeColor="text1"/>
          <w:sz w:val="22"/>
          <w:szCs w:val="22"/>
        </w:rPr>
        <w:t xml:space="preserve">these papers concluded that </w:t>
      </w:r>
      <w:r w:rsidR="002639B5" w:rsidRPr="00892385">
        <w:rPr>
          <w:rFonts w:asciiTheme="minorHAnsi" w:hAnsiTheme="minorHAnsi" w:cstheme="minorHAnsi"/>
          <w:bCs/>
          <w:color w:val="000000" w:themeColor="text1"/>
          <w:sz w:val="22"/>
          <w:szCs w:val="22"/>
        </w:rPr>
        <w:t xml:space="preserve">VMAT </w:t>
      </w:r>
      <w:r w:rsidR="00155BA9">
        <w:rPr>
          <w:rFonts w:asciiTheme="minorHAnsi" w:hAnsiTheme="minorHAnsi" w:cstheme="minorHAnsi"/>
          <w:bCs/>
          <w:color w:val="000000" w:themeColor="text1"/>
          <w:sz w:val="22"/>
          <w:szCs w:val="22"/>
        </w:rPr>
        <w:t>should remain</w:t>
      </w:r>
      <w:r w:rsidR="002639B5" w:rsidRPr="00892385">
        <w:rPr>
          <w:rFonts w:asciiTheme="minorHAnsi" w:hAnsiTheme="minorHAnsi" w:cstheme="minorHAnsi"/>
          <w:bCs/>
          <w:color w:val="000000" w:themeColor="text1"/>
          <w:sz w:val="22"/>
          <w:szCs w:val="22"/>
        </w:rPr>
        <w:t xml:space="preserve"> a viable treatment</w:t>
      </w:r>
      <w:r w:rsidR="00CD5D8C" w:rsidRPr="00892385">
        <w:rPr>
          <w:rFonts w:asciiTheme="minorHAnsi" w:hAnsiTheme="minorHAnsi" w:cstheme="minorHAnsi"/>
          <w:bCs/>
          <w:color w:val="000000" w:themeColor="text1"/>
          <w:sz w:val="22"/>
          <w:szCs w:val="22"/>
        </w:rPr>
        <w:t xml:space="preserve"> option</w:t>
      </w:r>
      <w:r w:rsidR="00155BA9">
        <w:rPr>
          <w:rFonts w:asciiTheme="minorHAnsi" w:hAnsiTheme="minorHAnsi" w:cstheme="minorHAnsi"/>
          <w:bCs/>
          <w:color w:val="000000" w:themeColor="text1"/>
          <w:sz w:val="22"/>
          <w:szCs w:val="22"/>
        </w:rPr>
        <w:t>, especially in situations where standard</w:t>
      </w:r>
      <w:r w:rsidR="002639B5" w:rsidRPr="00892385">
        <w:rPr>
          <w:rFonts w:asciiTheme="minorHAnsi" w:hAnsiTheme="minorHAnsi" w:cstheme="minorHAnsi"/>
          <w:bCs/>
          <w:color w:val="000000" w:themeColor="text1"/>
          <w:sz w:val="22"/>
          <w:szCs w:val="22"/>
        </w:rPr>
        <w:t xml:space="preserve"> technique</w:t>
      </w:r>
      <w:r w:rsidR="00155BA9">
        <w:rPr>
          <w:rFonts w:asciiTheme="minorHAnsi" w:hAnsiTheme="minorHAnsi" w:cstheme="minorHAnsi"/>
          <w:bCs/>
          <w:color w:val="000000" w:themeColor="text1"/>
          <w:sz w:val="22"/>
          <w:szCs w:val="22"/>
        </w:rPr>
        <w:t>s</w:t>
      </w:r>
      <w:r w:rsidR="002639B5" w:rsidRPr="00892385">
        <w:rPr>
          <w:rFonts w:asciiTheme="minorHAnsi" w:hAnsiTheme="minorHAnsi" w:cstheme="minorHAnsi"/>
          <w:bCs/>
          <w:color w:val="000000" w:themeColor="text1"/>
          <w:sz w:val="22"/>
          <w:szCs w:val="22"/>
        </w:rPr>
        <w:t xml:space="preserve"> </w:t>
      </w:r>
      <w:r w:rsidR="00155BA9">
        <w:rPr>
          <w:rFonts w:asciiTheme="minorHAnsi" w:hAnsiTheme="minorHAnsi" w:cstheme="minorHAnsi"/>
          <w:bCs/>
          <w:color w:val="000000" w:themeColor="text1"/>
          <w:sz w:val="22"/>
          <w:szCs w:val="22"/>
        </w:rPr>
        <w:t>cannot</w:t>
      </w:r>
      <w:r w:rsidR="002639B5" w:rsidRPr="00892385">
        <w:rPr>
          <w:rFonts w:asciiTheme="minorHAnsi" w:hAnsiTheme="minorHAnsi" w:cstheme="minorHAnsi"/>
          <w:bCs/>
          <w:color w:val="000000" w:themeColor="text1"/>
          <w:sz w:val="22"/>
          <w:szCs w:val="22"/>
        </w:rPr>
        <w:t xml:space="preserve"> achieve the required dosimetric constraints. </w:t>
      </w:r>
      <w:r w:rsidR="002F7250">
        <w:rPr>
          <w:rFonts w:asciiTheme="minorHAnsi" w:hAnsiTheme="minorHAnsi" w:cstheme="minorHAnsi"/>
          <w:bCs/>
          <w:color w:val="000000" w:themeColor="text1"/>
          <w:sz w:val="22"/>
          <w:szCs w:val="22"/>
        </w:rPr>
        <w:t>Although not specifically measured, t</w:t>
      </w:r>
      <w:r w:rsidR="002A09B4" w:rsidRPr="00892385">
        <w:rPr>
          <w:rFonts w:asciiTheme="minorHAnsi" w:hAnsiTheme="minorHAnsi" w:cstheme="minorHAnsi"/>
          <w:bCs/>
          <w:color w:val="000000" w:themeColor="text1"/>
          <w:sz w:val="22"/>
          <w:szCs w:val="22"/>
        </w:rPr>
        <w:t>he</w:t>
      </w:r>
      <w:r w:rsidR="002F7250">
        <w:rPr>
          <w:rFonts w:asciiTheme="minorHAnsi" w:hAnsiTheme="minorHAnsi" w:cstheme="minorHAnsi"/>
          <w:bCs/>
          <w:color w:val="000000" w:themeColor="text1"/>
          <w:sz w:val="22"/>
          <w:szCs w:val="22"/>
        </w:rPr>
        <w:t>re was an indication of</w:t>
      </w:r>
      <w:r w:rsidR="002A09B4" w:rsidRPr="00892385">
        <w:rPr>
          <w:rFonts w:asciiTheme="minorHAnsi" w:hAnsiTheme="minorHAnsi" w:cstheme="minorHAnsi"/>
          <w:bCs/>
          <w:color w:val="000000" w:themeColor="text1"/>
          <w:sz w:val="22"/>
          <w:szCs w:val="22"/>
        </w:rPr>
        <w:t xml:space="preserve"> </w:t>
      </w:r>
      <w:r w:rsidR="002F7250">
        <w:rPr>
          <w:rFonts w:asciiTheme="minorHAnsi" w:hAnsiTheme="minorHAnsi" w:cstheme="minorHAnsi"/>
          <w:bCs/>
          <w:color w:val="000000" w:themeColor="text1"/>
          <w:sz w:val="22"/>
          <w:szCs w:val="22"/>
        </w:rPr>
        <w:t>reduced</w:t>
      </w:r>
      <w:r w:rsidR="00CD5D8C" w:rsidRPr="00892385">
        <w:rPr>
          <w:rFonts w:asciiTheme="minorHAnsi" w:hAnsiTheme="minorHAnsi" w:cstheme="minorHAnsi"/>
          <w:bCs/>
          <w:color w:val="000000" w:themeColor="text1"/>
          <w:sz w:val="22"/>
          <w:szCs w:val="22"/>
        </w:rPr>
        <w:t xml:space="preserve"> </w:t>
      </w:r>
      <w:r w:rsidR="002A09B4" w:rsidRPr="00892385">
        <w:rPr>
          <w:rFonts w:asciiTheme="minorHAnsi" w:hAnsiTheme="minorHAnsi" w:cstheme="minorHAnsi"/>
          <w:bCs/>
          <w:color w:val="000000" w:themeColor="text1"/>
          <w:sz w:val="22"/>
          <w:szCs w:val="22"/>
        </w:rPr>
        <w:t xml:space="preserve">LDB </w:t>
      </w:r>
      <w:r w:rsidR="002F7250">
        <w:rPr>
          <w:rFonts w:asciiTheme="minorHAnsi" w:hAnsiTheme="minorHAnsi" w:cstheme="minorHAnsi"/>
          <w:bCs/>
          <w:color w:val="000000" w:themeColor="text1"/>
          <w:sz w:val="22"/>
          <w:szCs w:val="22"/>
        </w:rPr>
        <w:t>associated with a</w:t>
      </w:r>
      <w:r w:rsidR="002A09B4" w:rsidRPr="00892385">
        <w:rPr>
          <w:rFonts w:asciiTheme="minorHAnsi" w:hAnsiTheme="minorHAnsi" w:cstheme="minorHAnsi"/>
          <w:bCs/>
          <w:color w:val="000000" w:themeColor="text1"/>
          <w:sz w:val="22"/>
          <w:szCs w:val="22"/>
        </w:rPr>
        <w:t xml:space="preserve"> hybrid technique </w:t>
      </w:r>
      <w:r w:rsidR="00454E6D">
        <w:rPr>
          <w:rFonts w:asciiTheme="minorHAnsi" w:hAnsiTheme="minorHAnsi" w:cstheme="minorHAnsi"/>
          <w:bCs/>
          <w:color w:val="000000" w:themeColor="text1"/>
          <w:sz w:val="22"/>
          <w:szCs w:val="22"/>
        </w:rPr>
        <w:t xml:space="preserve">combining </w:t>
      </w:r>
      <w:r w:rsidR="002F7250">
        <w:rPr>
          <w:rFonts w:asciiTheme="minorHAnsi" w:hAnsiTheme="minorHAnsi" w:cstheme="minorHAnsi"/>
          <w:bCs/>
          <w:color w:val="000000" w:themeColor="text1"/>
          <w:sz w:val="22"/>
          <w:szCs w:val="22"/>
        </w:rPr>
        <w:t>CRT and VMAT</w:t>
      </w:r>
      <w:r w:rsidR="002A09B4" w:rsidRPr="00892385">
        <w:rPr>
          <w:rFonts w:asciiTheme="minorHAnsi" w:hAnsiTheme="minorHAnsi" w:cstheme="minorHAnsi"/>
          <w:bCs/>
          <w:color w:val="000000" w:themeColor="text1"/>
          <w:sz w:val="22"/>
          <w:szCs w:val="22"/>
        </w:rPr>
        <w:t>.</w:t>
      </w:r>
      <w:r w:rsidR="0038164D">
        <w:rPr>
          <w:rFonts w:asciiTheme="minorHAnsi" w:hAnsiTheme="minorHAnsi" w:cstheme="minorHAnsi"/>
          <w:bCs/>
          <w:color w:val="000000" w:themeColor="text1"/>
          <w:sz w:val="22"/>
          <w:szCs w:val="22"/>
          <w:vertAlign w:val="superscript"/>
        </w:rPr>
        <w:t>16</w:t>
      </w:r>
      <w:r w:rsidR="002A09B4" w:rsidRPr="00892385">
        <w:rPr>
          <w:rFonts w:asciiTheme="minorHAnsi" w:hAnsiTheme="minorHAnsi" w:cstheme="minorHAnsi"/>
          <w:bCs/>
          <w:color w:val="000000" w:themeColor="text1"/>
          <w:sz w:val="22"/>
          <w:szCs w:val="22"/>
        </w:rPr>
        <w:t xml:space="preserve"> </w:t>
      </w:r>
      <w:r w:rsidR="00454E6D">
        <w:rPr>
          <w:rFonts w:asciiTheme="minorHAnsi" w:hAnsiTheme="minorHAnsi" w:cstheme="minorHAnsi"/>
          <w:bCs/>
          <w:color w:val="000000" w:themeColor="text1"/>
          <w:sz w:val="22"/>
          <w:szCs w:val="22"/>
        </w:rPr>
        <w:t>The reduced</w:t>
      </w:r>
      <w:r w:rsidR="00F70ADF" w:rsidRPr="00892385">
        <w:rPr>
          <w:rFonts w:asciiTheme="minorHAnsi" w:hAnsiTheme="minorHAnsi" w:cstheme="minorHAnsi"/>
          <w:bCs/>
          <w:color w:val="000000" w:themeColor="text1"/>
          <w:sz w:val="22"/>
          <w:szCs w:val="22"/>
        </w:rPr>
        <w:t xml:space="preserve"> V</w:t>
      </w:r>
      <w:r w:rsidR="00F70ADF" w:rsidRPr="00892385">
        <w:rPr>
          <w:rFonts w:asciiTheme="minorHAnsi" w:hAnsiTheme="minorHAnsi" w:cstheme="minorHAnsi"/>
          <w:bCs/>
          <w:color w:val="000000" w:themeColor="text1"/>
          <w:sz w:val="22"/>
          <w:szCs w:val="22"/>
          <w:vertAlign w:val="subscript"/>
        </w:rPr>
        <w:t>5Gy</w:t>
      </w:r>
      <w:r w:rsidR="00F70ADF" w:rsidRPr="00892385">
        <w:rPr>
          <w:rFonts w:asciiTheme="minorHAnsi" w:hAnsiTheme="minorHAnsi" w:cstheme="minorHAnsi"/>
          <w:bCs/>
          <w:color w:val="000000" w:themeColor="text1"/>
          <w:sz w:val="22"/>
          <w:szCs w:val="22"/>
        </w:rPr>
        <w:t xml:space="preserve"> </w:t>
      </w:r>
      <w:r w:rsidR="00454E6D">
        <w:rPr>
          <w:rFonts w:asciiTheme="minorHAnsi" w:hAnsiTheme="minorHAnsi" w:cstheme="minorHAnsi"/>
          <w:bCs/>
          <w:color w:val="000000" w:themeColor="text1"/>
          <w:sz w:val="22"/>
          <w:szCs w:val="22"/>
        </w:rPr>
        <w:t>dose</w:t>
      </w:r>
      <w:r w:rsidR="00F70ADF" w:rsidRPr="00892385">
        <w:rPr>
          <w:rFonts w:asciiTheme="minorHAnsi" w:hAnsiTheme="minorHAnsi" w:cstheme="minorHAnsi"/>
          <w:bCs/>
          <w:color w:val="000000" w:themeColor="text1"/>
          <w:sz w:val="22"/>
          <w:szCs w:val="22"/>
        </w:rPr>
        <w:t xml:space="preserve"> </w:t>
      </w:r>
      <w:r w:rsidR="00454E6D">
        <w:rPr>
          <w:rFonts w:asciiTheme="minorHAnsi" w:hAnsiTheme="minorHAnsi" w:cstheme="minorHAnsi"/>
          <w:bCs/>
          <w:color w:val="000000" w:themeColor="text1"/>
          <w:sz w:val="22"/>
          <w:szCs w:val="22"/>
        </w:rPr>
        <w:t>evident in Table 4 is associated with reduced ris</w:t>
      </w:r>
      <w:r w:rsidR="002F7250">
        <w:rPr>
          <w:rFonts w:asciiTheme="minorHAnsi" w:hAnsiTheme="minorHAnsi" w:cstheme="minorHAnsi"/>
          <w:bCs/>
          <w:color w:val="000000" w:themeColor="text1"/>
          <w:sz w:val="22"/>
          <w:szCs w:val="22"/>
        </w:rPr>
        <w:t>k of secondary cancer induction.</w:t>
      </w:r>
    </w:p>
    <w:p w14:paraId="4B544925" w14:textId="7B86FCB6" w:rsidR="00312E89" w:rsidRPr="00892385" w:rsidRDefault="00312E89" w:rsidP="009916B3">
      <w:pPr>
        <w:autoSpaceDE w:val="0"/>
        <w:autoSpaceDN w:val="0"/>
        <w:adjustRightInd w:val="0"/>
        <w:spacing w:line="360" w:lineRule="auto"/>
        <w:jc w:val="both"/>
        <w:rPr>
          <w:rFonts w:asciiTheme="minorHAnsi" w:hAnsiTheme="minorHAnsi" w:cstheme="minorHAnsi"/>
          <w:bCs/>
          <w:color w:val="000000" w:themeColor="text1"/>
          <w:sz w:val="22"/>
          <w:szCs w:val="22"/>
        </w:rPr>
      </w:pPr>
    </w:p>
    <w:p w14:paraId="21859B96" w14:textId="153B79D4" w:rsidR="00B70C1F" w:rsidRPr="00892385" w:rsidRDefault="005263C1" w:rsidP="009916B3">
      <w:pPr>
        <w:autoSpaceDE w:val="0"/>
        <w:autoSpaceDN w:val="0"/>
        <w:adjustRightInd w:val="0"/>
        <w:spacing w:line="360"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Several limitations of this review must be acknowledged. Firstly t</w:t>
      </w:r>
      <w:r w:rsidR="00B70C1F" w:rsidRPr="00892385">
        <w:rPr>
          <w:rFonts w:asciiTheme="minorHAnsi" w:hAnsiTheme="minorHAnsi" w:cstheme="minorHAnsi"/>
          <w:bCs/>
          <w:color w:val="000000" w:themeColor="text1"/>
          <w:sz w:val="22"/>
          <w:szCs w:val="22"/>
        </w:rPr>
        <w:t>he relatively small size of the evidence base was a limitation to the validity of the findings</w:t>
      </w:r>
      <w:r>
        <w:rPr>
          <w:rFonts w:asciiTheme="minorHAnsi" w:hAnsiTheme="minorHAnsi" w:cstheme="minorHAnsi"/>
          <w:bCs/>
          <w:color w:val="000000" w:themeColor="text1"/>
          <w:sz w:val="22"/>
          <w:szCs w:val="22"/>
        </w:rPr>
        <w:t xml:space="preserve"> and was further compounded by</w:t>
      </w:r>
      <w:r w:rsidR="00B70C1F" w:rsidRPr="00892385">
        <w:rPr>
          <w:rFonts w:asciiTheme="minorHAnsi" w:hAnsiTheme="minorHAnsi" w:cstheme="minorHAnsi"/>
          <w:bCs/>
          <w:color w:val="000000" w:themeColor="text1"/>
          <w:sz w:val="22"/>
          <w:szCs w:val="22"/>
        </w:rPr>
        <w:t xml:space="preserve"> the variations between the studies. </w:t>
      </w:r>
      <w:r w:rsidR="00BD1929">
        <w:rPr>
          <w:rFonts w:asciiTheme="minorHAnsi" w:hAnsiTheme="minorHAnsi" w:cstheme="minorHAnsi"/>
          <w:bCs/>
          <w:color w:val="000000" w:themeColor="text1"/>
          <w:sz w:val="22"/>
          <w:szCs w:val="22"/>
        </w:rPr>
        <w:t xml:space="preserve">Cohort populations and tumour sites varied between papers and internal validity for the studies was hard to judge. </w:t>
      </w:r>
      <w:r w:rsidR="00B70C1F" w:rsidRPr="00892385">
        <w:rPr>
          <w:rFonts w:asciiTheme="minorHAnsi" w:hAnsiTheme="minorHAnsi" w:cstheme="minorHAnsi"/>
          <w:bCs/>
          <w:color w:val="000000" w:themeColor="text1"/>
          <w:sz w:val="22"/>
          <w:szCs w:val="22"/>
        </w:rPr>
        <w:t xml:space="preserve">The prescription </w:t>
      </w:r>
      <w:r w:rsidR="002B2BC8" w:rsidRPr="00892385">
        <w:rPr>
          <w:rFonts w:asciiTheme="minorHAnsi" w:hAnsiTheme="minorHAnsi" w:cstheme="minorHAnsi"/>
          <w:bCs/>
          <w:color w:val="000000" w:themeColor="text1"/>
          <w:sz w:val="22"/>
          <w:szCs w:val="22"/>
        </w:rPr>
        <w:t xml:space="preserve">variation </w:t>
      </w:r>
      <w:r w:rsidR="00B70C1F" w:rsidRPr="00892385">
        <w:rPr>
          <w:rFonts w:asciiTheme="minorHAnsi" w:hAnsiTheme="minorHAnsi" w:cstheme="minorHAnsi"/>
          <w:bCs/>
          <w:color w:val="000000" w:themeColor="text1"/>
          <w:sz w:val="22"/>
          <w:szCs w:val="22"/>
        </w:rPr>
        <w:t>(ranging from 40.05Gy in 15#</w:t>
      </w:r>
      <w:r w:rsidR="00717390" w:rsidRPr="00892385">
        <w:rPr>
          <w:rFonts w:asciiTheme="minorHAnsi" w:hAnsiTheme="minorHAnsi" w:cstheme="minorHAnsi"/>
          <w:bCs/>
          <w:color w:val="000000" w:themeColor="text1"/>
          <w:sz w:val="22"/>
          <w:szCs w:val="22"/>
        </w:rPr>
        <w:t xml:space="preserve"> </w:t>
      </w:r>
      <w:r w:rsidR="00B70C1F" w:rsidRPr="00892385">
        <w:rPr>
          <w:rFonts w:asciiTheme="minorHAnsi" w:hAnsiTheme="minorHAnsi" w:cstheme="minorHAnsi"/>
          <w:bCs/>
          <w:color w:val="000000" w:themeColor="text1"/>
          <w:sz w:val="22"/>
          <w:szCs w:val="22"/>
        </w:rPr>
        <w:t xml:space="preserve">to 50Gy in 25#) and the range of OAR outcome measures presented </w:t>
      </w:r>
      <w:r w:rsidR="00BD1929">
        <w:rPr>
          <w:rFonts w:asciiTheme="minorHAnsi" w:hAnsiTheme="minorHAnsi" w:cstheme="minorHAnsi"/>
          <w:bCs/>
          <w:color w:val="000000" w:themeColor="text1"/>
          <w:sz w:val="22"/>
          <w:szCs w:val="22"/>
        </w:rPr>
        <w:t xml:space="preserve">also </w:t>
      </w:r>
      <w:r w:rsidR="00B70C1F" w:rsidRPr="00892385">
        <w:rPr>
          <w:rFonts w:asciiTheme="minorHAnsi" w:hAnsiTheme="minorHAnsi" w:cstheme="minorHAnsi"/>
          <w:bCs/>
          <w:color w:val="000000" w:themeColor="text1"/>
          <w:sz w:val="22"/>
          <w:szCs w:val="22"/>
        </w:rPr>
        <w:t xml:space="preserve">thwarted </w:t>
      </w:r>
      <w:r w:rsidR="00003206" w:rsidRPr="00892385">
        <w:rPr>
          <w:rFonts w:asciiTheme="minorHAnsi" w:hAnsiTheme="minorHAnsi" w:cstheme="minorHAnsi"/>
          <w:bCs/>
          <w:color w:val="000000" w:themeColor="text1"/>
          <w:sz w:val="22"/>
          <w:szCs w:val="22"/>
        </w:rPr>
        <w:t>comparisons between the papers assessed within this study</w:t>
      </w:r>
      <w:r w:rsidR="00717390" w:rsidRPr="00892385">
        <w:rPr>
          <w:rFonts w:asciiTheme="minorHAnsi" w:hAnsiTheme="minorHAnsi" w:cstheme="minorHAnsi"/>
          <w:bCs/>
          <w:color w:val="000000" w:themeColor="text1"/>
          <w:sz w:val="22"/>
          <w:szCs w:val="22"/>
        </w:rPr>
        <w:t xml:space="preserve">. </w:t>
      </w:r>
      <w:r w:rsidR="00B70C1F" w:rsidRPr="00892385">
        <w:rPr>
          <w:rFonts w:asciiTheme="minorHAnsi" w:hAnsiTheme="minorHAnsi" w:cstheme="minorHAnsi"/>
          <w:bCs/>
          <w:color w:val="000000" w:themeColor="text1"/>
          <w:sz w:val="22"/>
          <w:szCs w:val="22"/>
        </w:rPr>
        <w:t>Population size was also a limiting factor of this study, as the largest sample included only 22 patient</w:t>
      </w:r>
      <w:r w:rsidR="002F7250">
        <w:rPr>
          <w:rFonts w:asciiTheme="minorHAnsi" w:hAnsiTheme="minorHAnsi" w:cstheme="minorHAnsi"/>
          <w:bCs/>
          <w:color w:val="000000" w:themeColor="text1"/>
          <w:sz w:val="22"/>
          <w:szCs w:val="22"/>
        </w:rPr>
        <w:t>s</w:t>
      </w:r>
      <w:r w:rsidR="00EB4EEF">
        <w:rPr>
          <w:rFonts w:asciiTheme="minorHAnsi" w:hAnsiTheme="minorHAnsi" w:cstheme="minorHAnsi"/>
          <w:bCs/>
          <w:color w:val="000000" w:themeColor="text1"/>
          <w:sz w:val="22"/>
          <w:szCs w:val="22"/>
        </w:rPr>
        <w:t>.</w:t>
      </w:r>
      <w:r w:rsidR="0038164D">
        <w:rPr>
          <w:rFonts w:asciiTheme="minorHAnsi" w:hAnsiTheme="minorHAnsi" w:cstheme="minorHAnsi"/>
          <w:bCs/>
          <w:color w:val="000000" w:themeColor="text1"/>
          <w:sz w:val="22"/>
          <w:szCs w:val="22"/>
          <w:vertAlign w:val="superscript"/>
        </w:rPr>
        <w:t>11</w:t>
      </w:r>
      <w:r w:rsidR="00B70C1F" w:rsidRPr="00892385">
        <w:rPr>
          <w:rFonts w:asciiTheme="minorHAnsi" w:hAnsiTheme="minorHAnsi" w:cstheme="minorHAnsi"/>
          <w:bCs/>
          <w:color w:val="000000" w:themeColor="text1"/>
          <w:sz w:val="22"/>
          <w:szCs w:val="22"/>
        </w:rPr>
        <w:t xml:space="preserve"> More research, drawn from larger cohorts</w:t>
      </w:r>
      <w:r w:rsidR="00BD1929">
        <w:rPr>
          <w:rFonts w:asciiTheme="minorHAnsi" w:hAnsiTheme="minorHAnsi" w:cstheme="minorHAnsi"/>
          <w:bCs/>
          <w:color w:val="000000" w:themeColor="text1"/>
          <w:sz w:val="22"/>
          <w:szCs w:val="22"/>
        </w:rPr>
        <w:t xml:space="preserve"> and with more consistently used outcome measures</w:t>
      </w:r>
      <w:r w:rsidR="00B70C1F" w:rsidRPr="00892385">
        <w:rPr>
          <w:rFonts w:asciiTheme="minorHAnsi" w:hAnsiTheme="minorHAnsi" w:cstheme="minorHAnsi"/>
          <w:bCs/>
          <w:color w:val="000000" w:themeColor="text1"/>
          <w:sz w:val="22"/>
          <w:szCs w:val="22"/>
        </w:rPr>
        <w:t xml:space="preserve"> would have improved the reliability and validity of the findings.</w:t>
      </w:r>
    </w:p>
    <w:p w14:paraId="29F06DE3" w14:textId="77777777" w:rsidR="00B70C1F" w:rsidRPr="00892385" w:rsidRDefault="00B70C1F" w:rsidP="009916B3">
      <w:pPr>
        <w:autoSpaceDE w:val="0"/>
        <w:autoSpaceDN w:val="0"/>
        <w:adjustRightInd w:val="0"/>
        <w:spacing w:line="360" w:lineRule="auto"/>
        <w:jc w:val="both"/>
        <w:rPr>
          <w:rFonts w:asciiTheme="minorHAnsi" w:hAnsiTheme="minorHAnsi" w:cstheme="minorHAnsi"/>
          <w:bCs/>
          <w:color w:val="000000" w:themeColor="text1"/>
          <w:sz w:val="22"/>
          <w:szCs w:val="22"/>
        </w:rPr>
      </w:pPr>
    </w:p>
    <w:p w14:paraId="5AB5B703" w14:textId="7349B8B1" w:rsidR="00B70C1F" w:rsidRPr="005263C1" w:rsidRDefault="00B70C1F" w:rsidP="00B70C1F">
      <w:pPr>
        <w:autoSpaceDE w:val="0"/>
        <w:autoSpaceDN w:val="0"/>
        <w:adjustRightInd w:val="0"/>
        <w:spacing w:line="360" w:lineRule="auto"/>
        <w:jc w:val="both"/>
        <w:rPr>
          <w:rFonts w:asciiTheme="minorHAnsi" w:hAnsiTheme="minorHAnsi" w:cstheme="minorHAnsi"/>
          <w:b/>
          <w:bCs/>
          <w:color w:val="000000" w:themeColor="text1"/>
          <w:sz w:val="22"/>
          <w:szCs w:val="22"/>
        </w:rPr>
      </w:pPr>
      <w:r w:rsidRPr="005263C1">
        <w:rPr>
          <w:rFonts w:asciiTheme="minorHAnsi" w:hAnsiTheme="minorHAnsi" w:cstheme="minorHAnsi"/>
          <w:b/>
          <w:bCs/>
          <w:color w:val="000000" w:themeColor="text1"/>
          <w:sz w:val="22"/>
          <w:szCs w:val="22"/>
        </w:rPr>
        <w:t>Conclusion</w:t>
      </w:r>
    </w:p>
    <w:p w14:paraId="79D6D4F2" w14:textId="2E3DA611" w:rsidR="00B70C1F" w:rsidRDefault="00B70C1F" w:rsidP="00B70C1F">
      <w:pPr>
        <w:autoSpaceDE w:val="0"/>
        <w:autoSpaceDN w:val="0"/>
        <w:adjustRightInd w:val="0"/>
        <w:spacing w:line="360" w:lineRule="auto"/>
        <w:jc w:val="both"/>
        <w:rPr>
          <w:rFonts w:asciiTheme="minorHAnsi" w:hAnsiTheme="minorHAnsi" w:cstheme="minorHAnsi"/>
          <w:bCs/>
          <w:color w:val="000000" w:themeColor="text1"/>
          <w:sz w:val="22"/>
          <w:szCs w:val="22"/>
        </w:rPr>
      </w:pPr>
      <w:r w:rsidRPr="00892385">
        <w:rPr>
          <w:rFonts w:asciiTheme="minorHAnsi" w:hAnsiTheme="minorHAnsi" w:cstheme="minorHAnsi"/>
          <w:bCs/>
          <w:color w:val="000000" w:themeColor="text1"/>
          <w:sz w:val="22"/>
          <w:szCs w:val="22"/>
        </w:rPr>
        <w:t xml:space="preserve">Overall, the </w:t>
      </w:r>
      <w:r w:rsidR="00F42A2E" w:rsidRPr="00892385">
        <w:rPr>
          <w:rFonts w:asciiTheme="minorHAnsi" w:hAnsiTheme="minorHAnsi" w:cstheme="minorHAnsi"/>
          <w:bCs/>
          <w:color w:val="000000" w:themeColor="text1"/>
          <w:sz w:val="22"/>
          <w:szCs w:val="22"/>
        </w:rPr>
        <w:t>evidence supported the value of</w:t>
      </w:r>
      <w:r w:rsidRPr="00892385">
        <w:rPr>
          <w:rFonts w:asciiTheme="minorHAnsi" w:hAnsiTheme="minorHAnsi" w:cstheme="minorHAnsi"/>
          <w:bCs/>
          <w:color w:val="000000" w:themeColor="text1"/>
          <w:sz w:val="22"/>
          <w:szCs w:val="22"/>
        </w:rPr>
        <w:t xml:space="preserve"> VMAT </w:t>
      </w:r>
      <w:r w:rsidR="00F42A2E" w:rsidRPr="00892385">
        <w:rPr>
          <w:rFonts w:asciiTheme="minorHAnsi" w:hAnsiTheme="minorHAnsi" w:cstheme="minorHAnsi"/>
          <w:bCs/>
          <w:color w:val="000000" w:themeColor="text1"/>
          <w:sz w:val="22"/>
          <w:szCs w:val="22"/>
        </w:rPr>
        <w:t>in reducing</w:t>
      </w:r>
      <w:r w:rsidR="009253A9">
        <w:rPr>
          <w:rFonts w:asciiTheme="minorHAnsi" w:hAnsiTheme="minorHAnsi" w:cstheme="minorHAnsi"/>
          <w:bCs/>
          <w:color w:val="000000" w:themeColor="text1"/>
          <w:sz w:val="22"/>
          <w:szCs w:val="22"/>
        </w:rPr>
        <w:t xml:space="preserve"> high doses to OARs </w:t>
      </w:r>
      <w:r w:rsidR="00F42A2E" w:rsidRPr="00892385">
        <w:rPr>
          <w:rFonts w:asciiTheme="minorHAnsi" w:hAnsiTheme="minorHAnsi" w:cstheme="minorHAnsi"/>
          <w:bCs/>
          <w:color w:val="000000" w:themeColor="text1"/>
          <w:sz w:val="22"/>
          <w:szCs w:val="22"/>
        </w:rPr>
        <w:t xml:space="preserve">and thus reducing potential </w:t>
      </w:r>
      <w:r w:rsidRPr="00892385">
        <w:rPr>
          <w:rFonts w:asciiTheme="minorHAnsi" w:hAnsiTheme="minorHAnsi" w:cstheme="minorHAnsi"/>
          <w:bCs/>
          <w:color w:val="000000" w:themeColor="text1"/>
          <w:sz w:val="22"/>
          <w:szCs w:val="22"/>
        </w:rPr>
        <w:t xml:space="preserve">late toxicities. </w:t>
      </w:r>
      <w:r w:rsidR="00F42A2E" w:rsidRPr="00892385">
        <w:rPr>
          <w:rFonts w:asciiTheme="minorHAnsi" w:hAnsiTheme="minorHAnsi" w:cstheme="minorHAnsi"/>
          <w:bCs/>
          <w:color w:val="000000" w:themeColor="text1"/>
          <w:sz w:val="22"/>
          <w:szCs w:val="22"/>
        </w:rPr>
        <w:t>This dose reduction, however, is offset by</w:t>
      </w:r>
      <w:r w:rsidRPr="00892385">
        <w:rPr>
          <w:rFonts w:asciiTheme="minorHAnsi" w:hAnsiTheme="minorHAnsi" w:cstheme="minorHAnsi"/>
          <w:bCs/>
          <w:color w:val="000000" w:themeColor="text1"/>
          <w:sz w:val="22"/>
          <w:szCs w:val="22"/>
        </w:rPr>
        <w:t xml:space="preserve"> the spread of low dose around the patient </w:t>
      </w:r>
      <w:r w:rsidR="00F42A2E" w:rsidRPr="00892385">
        <w:rPr>
          <w:rFonts w:asciiTheme="minorHAnsi" w:hAnsiTheme="minorHAnsi" w:cstheme="minorHAnsi"/>
          <w:bCs/>
          <w:color w:val="000000" w:themeColor="text1"/>
          <w:sz w:val="22"/>
          <w:szCs w:val="22"/>
        </w:rPr>
        <w:t>and</w:t>
      </w:r>
      <w:r w:rsidRPr="00892385">
        <w:rPr>
          <w:rFonts w:asciiTheme="minorHAnsi" w:hAnsiTheme="minorHAnsi" w:cstheme="minorHAnsi"/>
          <w:bCs/>
          <w:color w:val="000000" w:themeColor="text1"/>
          <w:sz w:val="22"/>
          <w:szCs w:val="22"/>
        </w:rPr>
        <w:t xml:space="preserve"> increased </w:t>
      </w:r>
      <w:r w:rsidR="00E43280">
        <w:rPr>
          <w:rFonts w:asciiTheme="minorHAnsi" w:hAnsiTheme="minorHAnsi" w:cstheme="minorHAnsi"/>
          <w:bCs/>
          <w:color w:val="000000" w:themeColor="text1"/>
          <w:sz w:val="22"/>
          <w:szCs w:val="22"/>
        </w:rPr>
        <w:t>risk of secondary cancer induction</w:t>
      </w:r>
      <w:r w:rsidRPr="00892385">
        <w:rPr>
          <w:rFonts w:asciiTheme="minorHAnsi" w:hAnsiTheme="minorHAnsi" w:cstheme="minorHAnsi"/>
          <w:bCs/>
          <w:color w:val="000000" w:themeColor="text1"/>
          <w:sz w:val="22"/>
          <w:szCs w:val="22"/>
        </w:rPr>
        <w:t xml:space="preserve">. </w:t>
      </w:r>
      <w:r w:rsidR="009253A9">
        <w:rPr>
          <w:rFonts w:asciiTheme="minorHAnsi" w:hAnsiTheme="minorHAnsi" w:cstheme="minorHAnsi"/>
          <w:bCs/>
          <w:color w:val="000000" w:themeColor="text1"/>
          <w:sz w:val="22"/>
          <w:szCs w:val="22"/>
        </w:rPr>
        <w:t xml:space="preserve">Emerging hybrid techniques, combining the benefits of VMAT with the reduced low dose </w:t>
      </w:r>
      <w:r w:rsidR="00056FAE">
        <w:rPr>
          <w:rFonts w:asciiTheme="minorHAnsi" w:hAnsiTheme="minorHAnsi" w:cstheme="minorHAnsi"/>
          <w:bCs/>
          <w:color w:val="000000" w:themeColor="text1"/>
          <w:sz w:val="22"/>
          <w:szCs w:val="22"/>
        </w:rPr>
        <w:t>b</w:t>
      </w:r>
      <w:r w:rsidR="009253A9">
        <w:rPr>
          <w:rFonts w:asciiTheme="minorHAnsi" w:hAnsiTheme="minorHAnsi" w:cstheme="minorHAnsi"/>
          <w:bCs/>
          <w:color w:val="000000" w:themeColor="text1"/>
          <w:sz w:val="22"/>
          <w:szCs w:val="22"/>
        </w:rPr>
        <w:t xml:space="preserve">ath of conventional treatment may offer improved levels of toxicity. More work is recommended to confirm the role of hybrid techniques and clarify indications for use.  </w:t>
      </w:r>
      <w:r w:rsidR="00F42A2E" w:rsidRPr="00892385">
        <w:rPr>
          <w:rFonts w:asciiTheme="minorHAnsi" w:hAnsiTheme="minorHAnsi" w:cstheme="minorHAnsi"/>
          <w:bCs/>
          <w:color w:val="000000" w:themeColor="text1"/>
          <w:sz w:val="22"/>
          <w:szCs w:val="22"/>
        </w:rPr>
        <w:t>Fi</w:t>
      </w:r>
      <w:r w:rsidRPr="00892385">
        <w:rPr>
          <w:rFonts w:asciiTheme="minorHAnsi" w:hAnsiTheme="minorHAnsi" w:cstheme="minorHAnsi"/>
          <w:bCs/>
          <w:color w:val="000000" w:themeColor="text1"/>
          <w:sz w:val="22"/>
          <w:szCs w:val="22"/>
        </w:rPr>
        <w:t xml:space="preserve">ndings from this </w:t>
      </w:r>
      <w:r w:rsidR="00F42A2E" w:rsidRPr="00892385">
        <w:rPr>
          <w:rFonts w:asciiTheme="minorHAnsi" w:hAnsiTheme="minorHAnsi" w:cstheme="minorHAnsi"/>
          <w:bCs/>
          <w:color w:val="000000" w:themeColor="text1"/>
          <w:sz w:val="22"/>
          <w:szCs w:val="22"/>
        </w:rPr>
        <w:t xml:space="preserve">review support </w:t>
      </w:r>
      <w:r w:rsidRPr="00892385">
        <w:rPr>
          <w:rFonts w:asciiTheme="minorHAnsi" w:hAnsiTheme="minorHAnsi" w:cstheme="minorHAnsi"/>
          <w:bCs/>
          <w:color w:val="000000" w:themeColor="text1"/>
          <w:sz w:val="22"/>
          <w:szCs w:val="22"/>
        </w:rPr>
        <w:t>further evaluation of the hybrid</w:t>
      </w:r>
      <w:r w:rsidR="00F42A2E" w:rsidRPr="00892385">
        <w:rPr>
          <w:rFonts w:asciiTheme="minorHAnsi" w:hAnsiTheme="minorHAnsi" w:cstheme="minorHAnsi"/>
          <w:bCs/>
          <w:color w:val="000000" w:themeColor="text1"/>
          <w:sz w:val="22"/>
          <w:szCs w:val="22"/>
        </w:rPr>
        <w:t xml:space="preserve"> 3D-CRT and VMAT</w:t>
      </w:r>
      <w:r w:rsidRPr="00892385">
        <w:rPr>
          <w:rFonts w:asciiTheme="minorHAnsi" w:hAnsiTheme="minorHAnsi" w:cstheme="minorHAnsi"/>
          <w:bCs/>
          <w:color w:val="000000" w:themeColor="text1"/>
          <w:sz w:val="22"/>
          <w:szCs w:val="22"/>
        </w:rPr>
        <w:t xml:space="preserve"> technique </w:t>
      </w:r>
      <w:r w:rsidR="00892385" w:rsidRPr="00892385">
        <w:rPr>
          <w:rFonts w:asciiTheme="minorHAnsi" w:hAnsiTheme="minorHAnsi" w:cstheme="minorHAnsi"/>
          <w:bCs/>
          <w:color w:val="000000" w:themeColor="text1"/>
          <w:sz w:val="22"/>
          <w:szCs w:val="22"/>
        </w:rPr>
        <w:t>as a means of improving</w:t>
      </w:r>
      <w:r w:rsidRPr="00892385">
        <w:rPr>
          <w:rFonts w:asciiTheme="minorHAnsi" w:hAnsiTheme="minorHAnsi" w:cstheme="minorHAnsi"/>
          <w:bCs/>
          <w:color w:val="000000" w:themeColor="text1"/>
          <w:sz w:val="22"/>
          <w:szCs w:val="22"/>
        </w:rPr>
        <w:t xml:space="preserve"> dose conformity and OAR protection. </w:t>
      </w:r>
      <w:r w:rsidR="00892385" w:rsidRPr="00892385">
        <w:rPr>
          <w:rFonts w:asciiTheme="minorHAnsi" w:hAnsiTheme="minorHAnsi" w:cstheme="minorHAnsi"/>
          <w:bCs/>
          <w:color w:val="000000" w:themeColor="text1"/>
          <w:sz w:val="22"/>
          <w:szCs w:val="22"/>
        </w:rPr>
        <w:t xml:space="preserve">Future studies will need to overcome the current </w:t>
      </w:r>
      <w:r w:rsidRPr="00892385">
        <w:rPr>
          <w:rFonts w:asciiTheme="minorHAnsi" w:hAnsiTheme="minorHAnsi" w:cstheme="minorHAnsi"/>
          <w:bCs/>
          <w:color w:val="000000" w:themeColor="text1"/>
          <w:sz w:val="22"/>
          <w:szCs w:val="22"/>
        </w:rPr>
        <w:t>limitation</w:t>
      </w:r>
      <w:r w:rsidR="00892385" w:rsidRPr="00892385">
        <w:rPr>
          <w:rFonts w:asciiTheme="minorHAnsi" w:hAnsiTheme="minorHAnsi" w:cstheme="minorHAnsi"/>
          <w:bCs/>
          <w:color w:val="000000" w:themeColor="text1"/>
          <w:sz w:val="22"/>
          <w:szCs w:val="22"/>
        </w:rPr>
        <w:t>s</w:t>
      </w:r>
      <w:r w:rsidRPr="00892385">
        <w:rPr>
          <w:rFonts w:asciiTheme="minorHAnsi" w:hAnsiTheme="minorHAnsi" w:cstheme="minorHAnsi"/>
          <w:bCs/>
          <w:color w:val="000000" w:themeColor="text1"/>
          <w:sz w:val="22"/>
          <w:szCs w:val="22"/>
        </w:rPr>
        <w:t xml:space="preserve"> </w:t>
      </w:r>
      <w:r w:rsidR="00892385" w:rsidRPr="00892385">
        <w:rPr>
          <w:rFonts w:asciiTheme="minorHAnsi" w:hAnsiTheme="minorHAnsi" w:cstheme="minorHAnsi"/>
          <w:bCs/>
          <w:color w:val="000000" w:themeColor="text1"/>
          <w:sz w:val="22"/>
          <w:szCs w:val="22"/>
        </w:rPr>
        <w:t>within the evidence base arising from small sample sizes to identify which patients would benefit most from the technique</w:t>
      </w:r>
      <w:r w:rsidRPr="00892385">
        <w:rPr>
          <w:rFonts w:asciiTheme="minorHAnsi" w:hAnsiTheme="minorHAnsi" w:cstheme="minorHAnsi"/>
          <w:bCs/>
          <w:color w:val="000000" w:themeColor="text1"/>
          <w:sz w:val="22"/>
          <w:szCs w:val="22"/>
        </w:rPr>
        <w:t xml:space="preserve">.  </w:t>
      </w:r>
    </w:p>
    <w:p w14:paraId="0E18A46F" w14:textId="49C161E7" w:rsidR="00BA1211" w:rsidRDefault="00BA1211" w:rsidP="00B70C1F">
      <w:pPr>
        <w:autoSpaceDE w:val="0"/>
        <w:autoSpaceDN w:val="0"/>
        <w:adjustRightInd w:val="0"/>
        <w:spacing w:line="360" w:lineRule="auto"/>
        <w:jc w:val="both"/>
        <w:rPr>
          <w:rFonts w:asciiTheme="minorHAnsi" w:hAnsiTheme="minorHAnsi" w:cstheme="minorHAnsi"/>
          <w:bCs/>
          <w:color w:val="000000" w:themeColor="text1"/>
          <w:sz w:val="22"/>
          <w:szCs w:val="22"/>
        </w:rPr>
      </w:pPr>
    </w:p>
    <w:p w14:paraId="184B8E60" w14:textId="36EE3000" w:rsidR="000A62D4" w:rsidRPr="00892385" w:rsidRDefault="000A62D4" w:rsidP="00661818">
      <w:pPr>
        <w:pStyle w:val="Heading1"/>
        <w:rPr>
          <w:rFonts w:asciiTheme="minorHAnsi" w:eastAsia="Times New Roman" w:hAnsiTheme="minorHAnsi" w:cstheme="minorHAnsi"/>
          <w:bCs/>
          <w:color w:val="000000" w:themeColor="text1"/>
          <w:sz w:val="22"/>
          <w:szCs w:val="22"/>
          <w:lang w:eastAsia="en-GB"/>
        </w:rPr>
      </w:pPr>
      <w:bookmarkStart w:id="9" w:name="_Toc32848668"/>
      <w:r w:rsidRPr="00892385">
        <w:rPr>
          <w:rFonts w:asciiTheme="minorHAnsi" w:eastAsia="Times New Roman" w:hAnsiTheme="minorHAnsi" w:cstheme="minorHAnsi"/>
          <w:bCs/>
          <w:color w:val="000000" w:themeColor="text1"/>
          <w:sz w:val="22"/>
          <w:szCs w:val="22"/>
          <w:lang w:eastAsia="en-GB"/>
        </w:rPr>
        <w:lastRenderedPageBreak/>
        <w:t>References:</w:t>
      </w:r>
      <w:bookmarkEnd w:id="9"/>
    </w:p>
    <w:p w14:paraId="12346913" w14:textId="54970743" w:rsidR="00594E9F" w:rsidRPr="00594E9F" w:rsidRDefault="00594E9F" w:rsidP="00594E9F">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r w:rsidRPr="00594E9F">
        <w:rPr>
          <w:rFonts w:asciiTheme="minorHAnsi" w:hAnsiTheme="minorHAnsi" w:cstheme="minorHAnsi"/>
          <w:bCs/>
          <w:color w:val="000000" w:themeColor="text1"/>
          <w:sz w:val="22"/>
          <w:szCs w:val="22"/>
          <w:lang w:eastAsia="en-GB"/>
        </w:rPr>
        <w:t xml:space="preserve">Bridge P, Dempsey S, Giles E, </w:t>
      </w:r>
      <w:proofErr w:type="spellStart"/>
      <w:r w:rsidRPr="00594E9F">
        <w:rPr>
          <w:rFonts w:asciiTheme="minorHAnsi" w:hAnsiTheme="minorHAnsi" w:cstheme="minorHAnsi"/>
          <w:bCs/>
          <w:color w:val="000000" w:themeColor="text1"/>
          <w:sz w:val="22"/>
          <w:szCs w:val="22"/>
          <w:lang w:eastAsia="en-GB"/>
        </w:rPr>
        <w:t>Maresse</w:t>
      </w:r>
      <w:proofErr w:type="spellEnd"/>
      <w:r w:rsidRPr="00594E9F">
        <w:rPr>
          <w:rFonts w:asciiTheme="minorHAnsi" w:hAnsiTheme="minorHAnsi" w:cstheme="minorHAnsi"/>
          <w:bCs/>
          <w:color w:val="000000" w:themeColor="text1"/>
          <w:sz w:val="22"/>
          <w:szCs w:val="22"/>
          <w:lang w:eastAsia="en-GB"/>
        </w:rPr>
        <w:t xml:space="preserve"> S, </w:t>
      </w:r>
      <w:proofErr w:type="spellStart"/>
      <w:r w:rsidRPr="00594E9F">
        <w:rPr>
          <w:rFonts w:asciiTheme="minorHAnsi" w:hAnsiTheme="minorHAnsi" w:cstheme="minorHAnsi"/>
          <w:bCs/>
          <w:color w:val="000000" w:themeColor="text1"/>
          <w:sz w:val="22"/>
          <w:szCs w:val="22"/>
          <w:lang w:eastAsia="en-GB"/>
        </w:rPr>
        <w:t>McCorkell</w:t>
      </w:r>
      <w:proofErr w:type="spellEnd"/>
      <w:r w:rsidRPr="00594E9F">
        <w:rPr>
          <w:rFonts w:asciiTheme="minorHAnsi" w:hAnsiTheme="minorHAnsi" w:cstheme="minorHAnsi"/>
          <w:bCs/>
          <w:color w:val="000000" w:themeColor="text1"/>
          <w:sz w:val="22"/>
          <w:szCs w:val="22"/>
          <w:lang w:eastAsia="en-GB"/>
        </w:rPr>
        <w:t xml:space="preserve"> G, Opie C</w:t>
      </w:r>
      <w:r w:rsidR="00E43280">
        <w:rPr>
          <w:rFonts w:asciiTheme="minorHAnsi" w:hAnsiTheme="minorHAnsi" w:cstheme="minorHAnsi"/>
          <w:bCs/>
          <w:color w:val="000000" w:themeColor="text1"/>
          <w:sz w:val="22"/>
          <w:szCs w:val="22"/>
          <w:lang w:eastAsia="en-GB"/>
        </w:rPr>
        <w:t xml:space="preserve"> </w:t>
      </w:r>
      <w:proofErr w:type="gramStart"/>
      <w:r w:rsidR="00E43280">
        <w:rPr>
          <w:rFonts w:asciiTheme="minorHAnsi" w:hAnsiTheme="minorHAnsi" w:cstheme="minorHAnsi"/>
          <w:bCs/>
          <w:color w:val="000000" w:themeColor="text1"/>
          <w:sz w:val="22"/>
          <w:szCs w:val="22"/>
          <w:lang w:eastAsia="en-GB"/>
        </w:rPr>
        <w:t>et</w:t>
      </w:r>
      <w:proofErr w:type="gramEnd"/>
      <w:r w:rsidR="00E43280">
        <w:rPr>
          <w:rFonts w:asciiTheme="minorHAnsi" w:hAnsiTheme="minorHAnsi" w:cstheme="minorHAnsi"/>
          <w:bCs/>
          <w:color w:val="000000" w:themeColor="text1"/>
          <w:sz w:val="22"/>
          <w:szCs w:val="22"/>
          <w:lang w:eastAsia="en-GB"/>
        </w:rPr>
        <w:t xml:space="preserve"> </w:t>
      </w:r>
      <w:proofErr w:type="spellStart"/>
      <w:r w:rsidR="00E43280">
        <w:rPr>
          <w:rFonts w:asciiTheme="minorHAnsi" w:hAnsiTheme="minorHAnsi" w:cstheme="minorHAnsi"/>
          <w:bCs/>
          <w:color w:val="000000" w:themeColor="text1"/>
          <w:sz w:val="22"/>
          <w:szCs w:val="22"/>
          <w:lang w:eastAsia="en-GB"/>
        </w:rPr>
        <w:t>al.</w:t>
      </w:r>
      <w:r w:rsidRPr="00594E9F">
        <w:rPr>
          <w:rFonts w:asciiTheme="minorHAnsi" w:hAnsiTheme="minorHAnsi" w:cstheme="minorHAnsi"/>
          <w:bCs/>
          <w:color w:val="000000" w:themeColor="text1"/>
          <w:sz w:val="22"/>
          <w:szCs w:val="22"/>
          <w:lang w:eastAsia="en-GB"/>
        </w:rPr>
        <w:t>M</w:t>
      </w:r>
      <w:proofErr w:type="spellEnd"/>
      <w:r w:rsidRPr="00594E9F">
        <w:rPr>
          <w:rFonts w:asciiTheme="minorHAnsi" w:hAnsiTheme="minorHAnsi" w:cstheme="minorHAnsi"/>
          <w:bCs/>
          <w:color w:val="000000" w:themeColor="text1"/>
          <w:sz w:val="22"/>
          <w:szCs w:val="22"/>
          <w:lang w:eastAsia="en-GB"/>
        </w:rPr>
        <w:t>, Practice patterns of radiation therapy technology in Australia: results of a national audit. Journal of Medical Radiation Sciences 2015; 62(4): 253-260</w:t>
      </w:r>
    </w:p>
    <w:p w14:paraId="7FAFBE43" w14:textId="3BD70214" w:rsidR="00594E9F" w:rsidRPr="00594E9F" w:rsidRDefault="00594E9F" w:rsidP="00E43280">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proofErr w:type="spellStart"/>
      <w:r w:rsidRPr="00594E9F">
        <w:rPr>
          <w:rFonts w:asciiTheme="minorHAnsi" w:hAnsiTheme="minorHAnsi" w:cstheme="minorHAnsi"/>
          <w:bCs/>
          <w:color w:val="000000" w:themeColor="text1"/>
          <w:sz w:val="22"/>
          <w:szCs w:val="22"/>
          <w:lang w:eastAsia="en-GB"/>
        </w:rPr>
        <w:t>Balaji</w:t>
      </w:r>
      <w:proofErr w:type="spellEnd"/>
      <w:r w:rsidRPr="00594E9F">
        <w:rPr>
          <w:rFonts w:asciiTheme="minorHAnsi" w:hAnsiTheme="minorHAnsi" w:cstheme="minorHAnsi"/>
          <w:bCs/>
          <w:color w:val="000000" w:themeColor="text1"/>
          <w:sz w:val="22"/>
          <w:szCs w:val="22"/>
          <w:lang w:eastAsia="en-GB"/>
        </w:rPr>
        <w:t xml:space="preserve"> K, Subramanian B, Yadav P, </w:t>
      </w:r>
      <w:proofErr w:type="spellStart"/>
      <w:r w:rsidRPr="00594E9F">
        <w:rPr>
          <w:rFonts w:asciiTheme="minorHAnsi" w:hAnsiTheme="minorHAnsi" w:cstheme="minorHAnsi"/>
          <w:bCs/>
          <w:color w:val="000000" w:themeColor="text1"/>
          <w:sz w:val="22"/>
          <w:szCs w:val="22"/>
          <w:lang w:eastAsia="en-GB"/>
        </w:rPr>
        <w:t>Anu</w:t>
      </w:r>
      <w:proofErr w:type="spellEnd"/>
      <w:r w:rsidRPr="00594E9F">
        <w:rPr>
          <w:rFonts w:asciiTheme="minorHAnsi" w:hAnsiTheme="minorHAnsi" w:cstheme="minorHAnsi"/>
          <w:bCs/>
          <w:color w:val="000000" w:themeColor="text1"/>
          <w:sz w:val="22"/>
          <w:szCs w:val="22"/>
          <w:lang w:eastAsia="en-GB"/>
        </w:rPr>
        <w:t xml:space="preserve"> </w:t>
      </w:r>
      <w:proofErr w:type="spellStart"/>
      <w:r w:rsidRPr="00594E9F">
        <w:rPr>
          <w:rFonts w:asciiTheme="minorHAnsi" w:hAnsiTheme="minorHAnsi" w:cstheme="minorHAnsi"/>
          <w:bCs/>
          <w:color w:val="000000" w:themeColor="text1"/>
          <w:sz w:val="22"/>
          <w:szCs w:val="22"/>
          <w:lang w:eastAsia="en-GB"/>
        </w:rPr>
        <w:t>Radha</w:t>
      </w:r>
      <w:proofErr w:type="spellEnd"/>
      <w:r w:rsidRPr="00594E9F">
        <w:rPr>
          <w:rFonts w:asciiTheme="minorHAnsi" w:hAnsiTheme="minorHAnsi" w:cstheme="minorHAnsi"/>
          <w:bCs/>
          <w:color w:val="000000" w:themeColor="text1"/>
          <w:sz w:val="22"/>
          <w:szCs w:val="22"/>
          <w:lang w:eastAsia="en-GB"/>
        </w:rPr>
        <w:t xml:space="preserve"> C, </w:t>
      </w:r>
      <w:proofErr w:type="spellStart"/>
      <w:r w:rsidRPr="00594E9F">
        <w:rPr>
          <w:rFonts w:asciiTheme="minorHAnsi" w:hAnsiTheme="minorHAnsi" w:cstheme="minorHAnsi"/>
          <w:bCs/>
          <w:color w:val="000000" w:themeColor="text1"/>
          <w:sz w:val="22"/>
          <w:szCs w:val="22"/>
          <w:lang w:eastAsia="en-GB"/>
        </w:rPr>
        <w:t>Ramasubramanian</w:t>
      </w:r>
      <w:proofErr w:type="spellEnd"/>
      <w:r w:rsidRPr="00594E9F">
        <w:rPr>
          <w:rFonts w:asciiTheme="minorHAnsi" w:hAnsiTheme="minorHAnsi" w:cstheme="minorHAnsi"/>
          <w:bCs/>
          <w:color w:val="000000" w:themeColor="text1"/>
          <w:sz w:val="22"/>
          <w:szCs w:val="22"/>
          <w:lang w:eastAsia="en-GB"/>
        </w:rPr>
        <w:t xml:space="preserve"> V. Radiation therapy for breast cancer: Liter</w:t>
      </w:r>
      <w:r>
        <w:rPr>
          <w:rFonts w:asciiTheme="minorHAnsi" w:hAnsiTheme="minorHAnsi" w:cstheme="minorHAnsi"/>
          <w:bCs/>
          <w:color w:val="000000" w:themeColor="text1"/>
          <w:sz w:val="22"/>
          <w:szCs w:val="22"/>
          <w:lang w:eastAsia="en-GB"/>
        </w:rPr>
        <w:t>ature review. Medical Dosimetry</w:t>
      </w:r>
      <w:r w:rsidRPr="00594E9F">
        <w:rPr>
          <w:rFonts w:asciiTheme="minorHAnsi" w:hAnsiTheme="minorHAnsi" w:cstheme="minorHAnsi"/>
          <w:bCs/>
          <w:color w:val="000000" w:themeColor="text1"/>
          <w:sz w:val="22"/>
          <w:szCs w:val="22"/>
          <w:lang w:eastAsia="en-GB"/>
        </w:rPr>
        <w:t xml:space="preserve"> 2016;</w:t>
      </w:r>
      <w:r>
        <w:rPr>
          <w:rFonts w:asciiTheme="minorHAnsi" w:hAnsiTheme="minorHAnsi" w:cstheme="minorHAnsi"/>
          <w:bCs/>
          <w:color w:val="000000" w:themeColor="text1"/>
          <w:sz w:val="22"/>
          <w:szCs w:val="22"/>
          <w:lang w:eastAsia="en-GB"/>
        </w:rPr>
        <w:t xml:space="preserve"> </w:t>
      </w:r>
      <w:r w:rsidRPr="00594E9F">
        <w:rPr>
          <w:rFonts w:asciiTheme="minorHAnsi" w:hAnsiTheme="minorHAnsi" w:cstheme="minorHAnsi"/>
          <w:bCs/>
          <w:color w:val="000000" w:themeColor="text1"/>
          <w:sz w:val="22"/>
          <w:szCs w:val="22"/>
          <w:lang w:eastAsia="en-GB"/>
        </w:rPr>
        <w:t>41(3):</w:t>
      </w:r>
      <w:r>
        <w:rPr>
          <w:rFonts w:asciiTheme="minorHAnsi" w:hAnsiTheme="minorHAnsi" w:cstheme="minorHAnsi"/>
          <w:bCs/>
          <w:color w:val="000000" w:themeColor="text1"/>
          <w:sz w:val="22"/>
          <w:szCs w:val="22"/>
          <w:lang w:eastAsia="en-GB"/>
        </w:rPr>
        <w:t xml:space="preserve"> 253-257</w:t>
      </w:r>
      <w:r w:rsidRPr="00594E9F">
        <w:rPr>
          <w:rFonts w:asciiTheme="minorHAnsi" w:hAnsiTheme="minorHAnsi" w:cstheme="minorHAnsi"/>
          <w:bCs/>
          <w:color w:val="000000" w:themeColor="text1"/>
          <w:sz w:val="22"/>
          <w:szCs w:val="22"/>
          <w:lang w:eastAsia="en-GB"/>
        </w:rPr>
        <w:t xml:space="preserve"> </w:t>
      </w:r>
      <w:hyperlink r:id="rId9" w:history="1">
        <w:r w:rsidR="00E43280" w:rsidRPr="007E60E1">
          <w:rPr>
            <w:rStyle w:val="Hyperlink"/>
            <w:rFonts w:asciiTheme="minorHAnsi" w:hAnsiTheme="minorHAnsi" w:cstheme="minorHAnsi"/>
            <w:bCs/>
            <w:sz w:val="22"/>
            <w:szCs w:val="22"/>
            <w:lang w:eastAsia="en-GB"/>
          </w:rPr>
          <w:t>http://dx.doi.org/10.1016/j.meddos.2016.06.005</w:t>
        </w:r>
      </w:hyperlink>
      <w:r w:rsidR="00E43280">
        <w:rPr>
          <w:rFonts w:asciiTheme="minorHAnsi" w:hAnsiTheme="minorHAnsi" w:cstheme="minorHAnsi"/>
          <w:bCs/>
          <w:color w:val="000000" w:themeColor="text1"/>
          <w:sz w:val="22"/>
          <w:szCs w:val="22"/>
          <w:lang w:eastAsia="en-GB"/>
        </w:rPr>
        <w:t xml:space="preserve"> </w:t>
      </w:r>
    </w:p>
    <w:p w14:paraId="142311AB" w14:textId="2BE569B2" w:rsidR="00594E9F" w:rsidRPr="00594E9F" w:rsidRDefault="00594E9F" w:rsidP="00594E9F">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r w:rsidRPr="00594E9F">
        <w:rPr>
          <w:rFonts w:asciiTheme="minorHAnsi" w:hAnsiTheme="minorHAnsi" w:cstheme="minorHAnsi"/>
          <w:bCs/>
          <w:color w:val="000000" w:themeColor="text1"/>
          <w:sz w:val="22"/>
          <w:szCs w:val="22"/>
          <w:lang w:eastAsia="en-GB"/>
        </w:rPr>
        <w:t>Agrawal S. Late effects of cancer treatment in breast cancer survivors</w:t>
      </w:r>
      <w:r>
        <w:rPr>
          <w:rFonts w:asciiTheme="minorHAnsi" w:hAnsiTheme="minorHAnsi" w:cstheme="minorHAnsi"/>
          <w:bCs/>
          <w:color w:val="000000" w:themeColor="text1"/>
          <w:sz w:val="22"/>
          <w:szCs w:val="22"/>
          <w:lang w:eastAsia="en-GB"/>
        </w:rPr>
        <w:t>. South Asian Journal of Cancer</w:t>
      </w:r>
      <w:r w:rsidRPr="00594E9F">
        <w:rPr>
          <w:rFonts w:asciiTheme="minorHAnsi" w:hAnsiTheme="minorHAnsi" w:cstheme="minorHAnsi"/>
          <w:bCs/>
          <w:color w:val="000000" w:themeColor="text1"/>
          <w:sz w:val="22"/>
          <w:szCs w:val="22"/>
          <w:lang w:eastAsia="en-GB"/>
        </w:rPr>
        <w:t xml:space="preserve"> 2014;</w:t>
      </w:r>
      <w:r>
        <w:rPr>
          <w:rFonts w:asciiTheme="minorHAnsi" w:hAnsiTheme="minorHAnsi" w:cstheme="minorHAnsi"/>
          <w:bCs/>
          <w:color w:val="000000" w:themeColor="text1"/>
          <w:sz w:val="22"/>
          <w:szCs w:val="22"/>
          <w:lang w:eastAsia="en-GB"/>
        </w:rPr>
        <w:t xml:space="preserve"> </w:t>
      </w:r>
      <w:r w:rsidRPr="00594E9F">
        <w:rPr>
          <w:rFonts w:asciiTheme="minorHAnsi" w:hAnsiTheme="minorHAnsi" w:cstheme="minorHAnsi"/>
          <w:bCs/>
          <w:color w:val="000000" w:themeColor="text1"/>
          <w:sz w:val="22"/>
          <w:szCs w:val="22"/>
          <w:lang w:eastAsia="en-GB"/>
        </w:rPr>
        <w:t>3(2):</w:t>
      </w:r>
      <w:r>
        <w:rPr>
          <w:rFonts w:asciiTheme="minorHAnsi" w:hAnsiTheme="minorHAnsi" w:cstheme="minorHAnsi"/>
          <w:bCs/>
          <w:color w:val="000000" w:themeColor="text1"/>
          <w:sz w:val="22"/>
          <w:szCs w:val="22"/>
          <w:lang w:eastAsia="en-GB"/>
        </w:rPr>
        <w:t xml:space="preserve"> 112-115</w:t>
      </w:r>
    </w:p>
    <w:p w14:paraId="20699461" w14:textId="231525F7" w:rsidR="00594E9F" w:rsidRPr="00594E9F" w:rsidRDefault="00594E9F" w:rsidP="00594E9F">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r w:rsidRPr="00594E9F">
        <w:rPr>
          <w:rFonts w:asciiTheme="minorHAnsi" w:hAnsiTheme="minorHAnsi" w:cstheme="minorHAnsi"/>
          <w:bCs/>
          <w:color w:val="000000" w:themeColor="text1"/>
          <w:sz w:val="22"/>
          <w:szCs w:val="22"/>
          <w:lang w:eastAsia="en-GB"/>
        </w:rPr>
        <w:t xml:space="preserve">Yan H, Dai J, Li Y. A fast optimization approach for treatment planning of volumetric modulated </w:t>
      </w:r>
      <w:r>
        <w:rPr>
          <w:rFonts w:asciiTheme="minorHAnsi" w:hAnsiTheme="minorHAnsi" w:cstheme="minorHAnsi"/>
          <w:bCs/>
          <w:color w:val="000000" w:themeColor="text1"/>
          <w:sz w:val="22"/>
          <w:szCs w:val="22"/>
          <w:lang w:eastAsia="en-GB"/>
        </w:rPr>
        <w:t>arc therapy. Radiation Oncology</w:t>
      </w:r>
      <w:r w:rsidRPr="00594E9F">
        <w:rPr>
          <w:rFonts w:asciiTheme="minorHAnsi" w:hAnsiTheme="minorHAnsi" w:cstheme="minorHAnsi"/>
          <w:bCs/>
          <w:color w:val="000000" w:themeColor="text1"/>
          <w:sz w:val="22"/>
          <w:szCs w:val="22"/>
          <w:lang w:eastAsia="en-GB"/>
        </w:rPr>
        <w:t xml:space="preserve"> 2018;</w:t>
      </w:r>
      <w:r>
        <w:rPr>
          <w:rFonts w:asciiTheme="minorHAnsi" w:hAnsiTheme="minorHAnsi" w:cstheme="minorHAnsi"/>
          <w:bCs/>
          <w:color w:val="000000" w:themeColor="text1"/>
          <w:sz w:val="22"/>
          <w:szCs w:val="22"/>
          <w:lang w:eastAsia="en-GB"/>
        </w:rPr>
        <w:t xml:space="preserve"> 13(1): 1-13</w:t>
      </w:r>
    </w:p>
    <w:p w14:paraId="0D6E1D1E" w14:textId="39E54C91" w:rsidR="00594E9F" w:rsidRPr="00594E9F" w:rsidRDefault="00594E9F" w:rsidP="00594E9F">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proofErr w:type="spellStart"/>
      <w:r w:rsidRPr="00594E9F">
        <w:rPr>
          <w:rFonts w:asciiTheme="minorHAnsi" w:hAnsiTheme="minorHAnsi" w:cstheme="minorHAnsi"/>
          <w:bCs/>
          <w:color w:val="000000" w:themeColor="text1"/>
          <w:sz w:val="22"/>
          <w:szCs w:val="22"/>
          <w:lang w:eastAsia="en-GB"/>
        </w:rPr>
        <w:t>Dursun</w:t>
      </w:r>
      <w:proofErr w:type="spellEnd"/>
      <w:r w:rsidRPr="00594E9F">
        <w:rPr>
          <w:rFonts w:asciiTheme="minorHAnsi" w:hAnsiTheme="minorHAnsi" w:cstheme="minorHAnsi"/>
          <w:bCs/>
          <w:color w:val="000000" w:themeColor="text1"/>
          <w:sz w:val="22"/>
          <w:szCs w:val="22"/>
          <w:lang w:eastAsia="en-GB"/>
        </w:rPr>
        <w:t xml:space="preserve"> P, </w:t>
      </w:r>
      <w:proofErr w:type="spellStart"/>
      <w:r w:rsidRPr="00594E9F">
        <w:rPr>
          <w:rFonts w:asciiTheme="minorHAnsi" w:hAnsiTheme="minorHAnsi" w:cstheme="minorHAnsi"/>
          <w:bCs/>
          <w:color w:val="000000" w:themeColor="text1"/>
          <w:sz w:val="22"/>
          <w:szCs w:val="22"/>
          <w:lang w:eastAsia="en-GB"/>
        </w:rPr>
        <w:t>Taşkın</w:t>
      </w:r>
      <w:proofErr w:type="spellEnd"/>
      <w:r w:rsidRPr="00594E9F">
        <w:rPr>
          <w:rFonts w:asciiTheme="minorHAnsi" w:hAnsiTheme="minorHAnsi" w:cstheme="minorHAnsi"/>
          <w:bCs/>
          <w:color w:val="000000" w:themeColor="text1"/>
          <w:sz w:val="22"/>
          <w:szCs w:val="22"/>
          <w:lang w:eastAsia="en-GB"/>
        </w:rPr>
        <w:t xml:space="preserve"> Z, </w:t>
      </w:r>
      <w:proofErr w:type="spellStart"/>
      <w:r w:rsidRPr="00594E9F">
        <w:rPr>
          <w:rFonts w:asciiTheme="minorHAnsi" w:hAnsiTheme="minorHAnsi" w:cstheme="minorHAnsi"/>
          <w:bCs/>
          <w:color w:val="000000" w:themeColor="text1"/>
          <w:sz w:val="22"/>
          <w:szCs w:val="22"/>
          <w:lang w:eastAsia="en-GB"/>
        </w:rPr>
        <w:t>Altınel</w:t>
      </w:r>
      <w:proofErr w:type="spellEnd"/>
      <w:r w:rsidRPr="00594E9F">
        <w:rPr>
          <w:rFonts w:asciiTheme="minorHAnsi" w:hAnsiTheme="minorHAnsi" w:cstheme="minorHAnsi"/>
          <w:bCs/>
          <w:color w:val="000000" w:themeColor="text1"/>
          <w:sz w:val="22"/>
          <w:szCs w:val="22"/>
          <w:lang w:eastAsia="en-GB"/>
        </w:rPr>
        <w:t xml:space="preserve"> İ. The determination of optimal treatment plans for Volumetric Modulated Arc Therapy (VMAT). European </w:t>
      </w:r>
      <w:r>
        <w:rPr>
          <w:rFonts w:asciiTheme="minorHAnsi" w:hAnsiTheme="minorHAnsi" w:cstheme="minorHAnsi"/>
          <w:bCs/>
          <w:color w:val="000000" w:themeColor="text1"/>
          <w:sz w:val="22"/>
          <w:szCs w:val="22"/>
          <w:lang w:eastAsia="en-GB"/>
        </w:rPr>
        <w:t>Journal of Operational Research</w:t>
      </w:r>
      <w:r w:rsidRPr="00594E9F">
        <w:rPr>
          <w:rFonts w:asciiTheme="minorHAnsi" w:hAnsiTheme="minorHAnsi" w:cstheme="minorHAnsi"/>
          <w:bCs/>
          <w:color w:val="000000" w:themeColor="text1"/>
          <w:sz w:val="22"/>
          <w:szCs w:val="22"/>
          <w:lang w:eastAsia="en-GB"/>
        </w:rPr>
        <w:t xml:space="preserve"> 2019;</w:t>
      </w:r>
      <w:r>
        <w:rPr>
          <w:rFonts w:asciiTheme="minorHAnsi" w:hAnsiTheme="minorHAnsi" w:cstheme="minorHAnsi"/>
          <w:bCs/>
          <w:color w:val="000000" w:themeColor="text1"/>
          <w:sz w:val="22"/>
          <w:szCs w:val="22"/>
          <w:lang w:eastAsia="en-GB"/>
        </w:rPr>
        <w:t xml:space="preserve"> </w:t>
      </w:r>
      <w:r w:rsidRPr="00594E9F">
        <w:rPr>
          <w:rFonts w:asciiTheme="minorHAnsi" w:hAnsiTheme="minorHAnsi" w:cstheme="minorHAnsi"/>
          <w:bCs/>
          <w:color w:val="000000" w:themeColor="text1"/>
          <w:sz w:val="22"/>
          <w:szCs w:val="22"/>
          <w:lang w:eastAsia="en-GB"/>
        </w:rPr>
        <w:t>272(1):</w:t>
      </w:r>
      <w:r>
        <w:rPr>
          <w:rFonts w:asciiTheme="minorHAnsi" w:hAnsiTheme="minorHAnsi" w:cstheme="minorHAnsi"/>
          <w:bCs/>
          <w:color w:val="000000" w:themeColor="text1"/>
          <w:sz w:val="22"/>
          <w:szCs w:val="22"/>
          <w:lang w:eastAsia="en-GB"/>
        </w:rPr>
        <w:t xml:space="preserve"> 372-388</w:t>
      </w:r>
      <w:r w:rsidRPr="00594E9F">
        <w:rPr>
          <w:rFonts w:asciiTheme="minorHAnsi" w:hAnsiTheme="minorHAnsi" w:cstheme="minorHAnsi"/>
          <w:bCs/>
          <w:color w:val="000000" w:themeColor="text1"/>
          <w:sz w:val="22"/>
          <w:szCs w:val="22"/>
          <w:lang w:eastAsia="en-GB"/>
        </w:rPr>
        <w:t xml:space="preserve"> </w:t>
      </w:r>
    </w:p>
    <w:p w14:paraId="545FAD23" w14:textId="5B02DB6C" w:rsidR="00594E9F" w:rsidRPr="00594E9F" w:rsidRDefault="00594E9F" w:rsidP="00594E9F">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r w:rsidRPr="00594E9F">
        <w:rPr>
          <w:rFonts w:asciiTheme="minorHAnsi" w:hAnsiTheme="minorHAnsi" w:cstheme="minorHAnsi"/>
          <w:bCs/>
          <w:color w:val="000000" w:themeColor="text1"/>
          <w:sz w:val="22"/>
          <w:szCs w:val="22"/>
          <w:lang w:eastAsia="en-GB"/>
        </w:rPr>
        <w:t xml:space="preserve">Moher D, </w:t>
      </w:r>
      <w:proofErr w:type="spellStart"/>
      <w:r w:rsidRPr="00594E9F">
        <w:rPr>
          <w:rFonts w:asciiTheme="minorHAnsi" w:hAnsiTheme="minorHAnsi" w:cstheme="minorHAnsi"/>
          <w:bCs/>
          <w:color w:val="000000" w:themeColor="text1"/>
          <w:sz w:val="22"/>
          <w:szCs w:val="22"/>
          <w:lang w:eastAsia="en-GB"/>
        </w:rPr>
        <w:t>Liberati</w:t>
      </w:r>
      <w:proofErr w:type="spellEnd"/>
      <w:r w:rsidRPr="00594E9F">
        <w:rPr>
          <w:rFonts w:asciiTheme="minorHAnsi" w:hAnsiTheme="minorHAnsi" w:cstheme="minorHAnsi"/>
          <w:bCs/>
          <w:color w:val="000000" w:themeColor="text1"/>
          <w:sz w:val="22"/>
          <w:szCs w:val="22"/>
          <w:lang w:eastAsia="en-GB"/>
        </w:rPr>
        <w:t xml:space="preserve"> A, </w:t>
      </w:r>
      <w:proofErr w:type="spellStart"/>
      <w:r w:rsidRPr="00594E9F">
        <w:rPr>
          <w:rFonts w:asciiTheme="minorHAnsi" w:hAnsiTheme="minorHAnsi" w:cstheme="minorHAnsi"/>
          <w:bCs/>
          <w:color w:val="000000" w:themeColor="text1"/>
          <w:sz w:val="22"/>
          <w:szCs w:val="22"/>
          <w:lang w:eastAsia="en-GB"/>
        </w:rPr>
        <w:t>Tetzlaff</w:t>
      </w:r>
      <w:proofErr w:type="spellEnd"/>
      <w:r w:rsidRPr="00594E9F">
        <w:rPr>
          <w:rFonts w:asciiTheme="minorHAnsi" w:hAnsiTheme="minorHAnsi" w:cstheme="minorHAnsi"/>
          <w:bCs/>
          <w:color w:val="000000" w:themeColor="text1"/>
          <w:sz w:val="22"/>
          <w:szCs w:val="22"/>
          <w:lang w:eastAsia="en-GB"/>
        </w:rPr>
        <w:t xml:space="preserve"> J, Altman D. Preferred reporting items for systematic reviews and meta-anal</w:t>
      </w:r>
      <w:r>
        <w:rPr>
          <w:rFonts w:asciiTheme="minorHAnsi" w:hAnsiTheme="minorHAnsi" w:cstheme="minorHAnsi"/>
          <w:bCs/>
          <w:color w:val="000000" w:themeColor="text1"/>
          <w:sz w:val="22"/>
          <w:szCs w:val="22"/>
          <w:lang w:eastAsia="en-GB"/>
        </w:rPr>
        <w:t>yses: the PRISMA statement. BMJ</w:t>
      </w:r>
      <w:r w:rsidRPr="00594E9F">
        <w:rPr>
          <w:rFonts w:asciiTheme="minorHAnsi" w:hAnsiTheme="minorHAnsi" w:cstheme="minorHAnsi"/>
          <w:bCs/>
          <w:color w:val="000000" w:themeColor="text1"/>
          <w:sz w:val="22"/>
          <w:szCs w:val="22"/>
          <w:lang w:eastAsia="en-GB"/>
        </w:rPr>
        <w:t xml:space="preserve"> 2009;</w:t>
      </w:r>
      <w:r>
        <w:rPr>
          <w:rFonts w:asciiTheme="minorHAnsi" w:hAnsiTheme="minorHAnsi" w:cstheme="minorHAnsi"/>
          <w:bCs/>
          <w:color w:val="000000" w:themeColor="text1"/>
          <w:sz w:val="22"/>
          <w:szCs w:val="22"/>
          <w:lang w:eastAsia="en-GB"/>
        </w:rPr>
        <w:t xml:space="preserve"> 339(</w:t>
      </w:r>
      <w:r w:rsidRPr="00594E9F">
        <w:rPr>
          <w:rFonts w:asciiTheme="minorHAnsi" w:hAnsiTheme="minorHAnsi" w:cstheme="minorHAnsi"/>
          <w:bCs/>
          <w:color w:val="000000" w:themeColor="text1"/>
          <w:sz w:val="22"/>
          <w:szCs w:val="22"/>
          <w:lang w:eastAsia="en-GB"/>
        </w:rPr>
        <w:t>1):</w:t>
      </w:r>
      <w:r>
        <w:rPr>
          <w:rFonts w:asciiTheme="minorHAnsi" w:hAnsiTheme="minorHAnsi" w:cstheme="minorHAnsi"/>
          <w:bCs/>
          <w:color w:val="000000" w:themeColor="text1"/>
          <w:sz w:val="22"/>
          <w:szCs w:val="22"/>
          <w:lang w:eastAsia="en-GB"/>
        </w:rPr>
        <w:t xml:space="preserve"> </w:t>
      </w:r>
      <w:r w:rsidRPr="00594E9F">
        <w:rPr>
          <w:rFonts w:asciiTheme="minorHAnsi" w:hAnsiTheme="minorHAnsi" w:cstheme="minorHAnsi"/>
          <w:bCs/>
          <w:color w:val="000000" w:themeColor="text1"/>
          <w:sz w:val="22"/>
          <w:szCs w:val="22"/>
          <w:lang w:eastAsia="en-GB"/>
        </w:rPr>
        <w:t xml:space="preserve">b2535-b2535. </w:t>
      </w:r>
    </w:p>
    <w:p w14:paraId="7581FC1E" w14:textId="72620114" w:rsidR="00594E9F" w:rsidRPr="00594E9F" w:rsidRDefault="00594E9F" w:rsidP="00594E9F">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r w:rsidRPr="00594E9F">
        <w:rPr>
          <w:rFonts w:asciiTheme="minorHAnsi" w:hAnsiTheme="minorHAnsi" w:cstheme="minorHAnsi"/>
          <w:bCs/>
          <w:color w:val="000000" w:themeColor="text1"/>
          <w:sz w:val="22"/>
          <w:szCs w:val="22"/>
          <w:lang w:eastAsia="en-GB"/>
        </w:rPr>
        <w:t xml:space="preserve">Clarke </w:t>
      </w:r>
      <w:r w:rsidR="003560DD">
        <w:rPr>
          <w:rFonts w:asciiTheme="minorHAnsi" w:hAnsiTheme="minorHAnsi" w:cstheme="minorHAnsi"/>
          <w:bCs/>
          <w:color w:val="000000" w:themeColor="text1"/>
          <w:sz w:val="22"/>
          <w:szCs w:val="22"/>
          <w:lang w:eastAsia="en-GB"/>
        </w:rPr>
        <w:t>J. What is a systematic review? Evidence-Based Nursing</w:t>
      </w:r>
      <w:r w:rsidRPr="00594E9F">
        <w:rPr>
          <w:rFonts w:asciiTheme="minorHAnsi" w:hAnsiTheme="minorHAnsi" w:cstheme="minorHAnsi"/>
          <w:bCs/>
          <w:color w:val="000000" w:themeColor="text1"/>
          <w:sz w:val="22"/>
          <w:szCs w:val="22"/>
          <w:lang w:eastAsia="en-GB"/>
        </w:rPr>
        <w:t xml:space="preserve"> 2011;</w:t>
      </w:r>
      <w:r w:rsidR="003560DD">
        <w:rPr>
          <w:rFonts w:asciiTheme="minorHAnsi" w:hAnsiTheme="minorHAnsi" w:cstheme="minorHAnsi"/>
          <w:bCs/>
          <w:color w:val="000000" w:themeColor="text1"/>
          <w:sz w:val="22"/>
          <w:szCs w:val="22"/>
          <w:lang w:eastAsia="en-GB"/>
        </w:rPr>
        <w:t xml:space="preserve"> </w:t>
      </w:r>
      <w:r w:rsidRPr="00594E9F">
        <w:rPr>
          <w:rFonts w:asciiTheme="minorHAnsi" w:hAnsiTheme="minorHAnsi" w:cstheme="minorHAnsi"/>
          <w:bCs/>
          <w:color w:val="000000" w:themeColor="text1"/>
          <w:sz w:val="22"/>
          <w:szCs w:val="22"/>
          <w:lang w:eastAsia="en-GB"/>
        </w:rPr>
        <w:t>14(3):</w:t>
      </w:r>
      <w:r w:rsidR="003560DD">
        <w:rPr>
          <w:rFonts w:asciiTheme="minorHAnsi" w:hAnsiTheme="minorHAnsi" w:cstheme="minorHAnsi"/>
          <w:bCs/>
          <w:color w:val="000000" w:themeColor="text1"/>
          <w:sz w:val="22"/>
          <w:szCs w:val="22"/>
          <w:lang w:eastAsia="en-GB"/>
        </w:rPr>
        <w:t xml:space="preserve"> 64-64</w:t>
      </w:r>
      <w:r w:rsidRPr="00594E9F">
        <w:rPr>
          <w:rFonts w:asciiTheme="minorHAnsi" w:hAnsiTheme="minorHAnsi" w:cstheme="minorHAnsi"/>
          <w:bCs/>
          <w:color w:val="000000" w:themeColor="text1"/>
          <w:sz w:val="22"/>
          <w:szCs w:val="22"/>
          <w:lang w:eastAsia="en-GB"/>
        </w:rPr>
        <w:t xml:space="preserve"> </w:t>
      </w:r>
    </w:p>
    <w:p w14:paraId="16B1F407" w14:textId="7DA4F1DA" w:rsidR="00594E9F" w:rsidRPr="00594E9F" w:rsidRDefault="00594E9F" w:rsidP="00594E9F">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r w:rsidRPr="00594E9F">
        <w:rPr>
          <w:rFonts w:asciiTheme="minorHAnsi" w:hAnsiTheme="minorHAnsi" w:cstheme="minorHAnsi"/>
          <w:bCs/>
          <w:color w:val="000000" w:themeColor="text1"/>
          <w:sz w:val="22"/>
          <w:szCs w:val="22"/>
          <w:lang w:eastAsia="en-GB"/>
        </w:rPr>
        <w:t xml:space="preserve">De </w:t>
      </w:r>
      <w:proofErr w:type="spellStart"/>
      <w:r w:rsidRPr="00594E9F">
        <w:rPr>
          <w:rFonts w:asciiTheme="minorHAnsi" w:hAnsiTheme="minorHAnsi" w:cstheme="minorHAnsi"/>
          <w:bCs/>
          <w:color w:val="000000" w:themeColor="text1"/>
          <w:sz w:val="22"/>
          <w:szCs w:val="22"/>
          <w:lang w:eastAsia="en-GB"/>
        </w:rPr>
        <w:t>Brún</w:t>
      </w:r>
      <w:proofErr w:type="spellEnd"/>
      <w:r w:rsidRPr="00594E9F">
        <w:rPr>
          <w:rFonts w:asciiTheme="minorHAnsi" w:hAnsiTheme="minorHAnsi" w:cstheme="minorHAnsi"/>
          <w:bCs/>
          <w:color w:val="000000" w:themeColor="text1"/>
          <w:sz w:val="22"/>
          <w:szCs w:val="22"/>
          <w:lang w:eastAsia="en-GB"/>
        </w:rPr>
        <w:t xml:space="preserve"> C, Pearce-Smith N. Searching skills toolkit. Chich</w:t>
      </w:r>
      <w:r w:rsidR="003560DD">
        <w:rPr>
          <w:rFonts w:asciiTheme="minorHAnsi" w:hAnsiTheme="minorHAnsi" w:cstheme="minorHAnsi"/>
          <w:bCs/>
          <w:color w:val="000000" w:themeColor="text1"/>
          <w:sz w:val="22"/>
          <w:szCs w:val="22"/>
          <w:lang w:eastAsia="en-GB"/>
        </w:rPr>
        <w:t>ester, West Sussex: Wiley; 2014</w:t>
      </w:r>
      <w:r w:rsidRPr="00594E9F">
        <w:rPr>
          <w:rFonts w:asciiTheme="minorHAnsi" w:hAnsiTheme="minorHAnsi" w:cstheme="minorHAnsi"/>
          <w:bCs/>
          <w:color w:val="000000" w:themeColor="text1"/>
          <w:sz w:val="22"/>
          <w:szCs w:val="22"/>
          <w:lang w:eastAsia="en-GB"/>
        </w:rPr>
        <w:t xml:space="preserve"> </w:t>
      </w:r>
    </w:p>
    <w:p w14:paraId="43EB5E06" w14:textId="550D83A2" w:rsidR="00594E9F" w:rsidRPr="00594E9F" w:rsidRDefault="00594E9F" w:rsidP="00594E9F">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r w:rsidRPr="00594E9F">
        <w:rPr>
          <w:rFonts w:asciiTheme="minorHAnsi" w:hAnsiTheme="minorHAnsi" w:cstheme="minorHAnsi"/>
          <w:bCs/>
          <w:color w:val="000000" w:themeColor="text1"/>
          <w:sz w:val="22"/>
          <w:szCs w:val="22"/>
          <w:lang w:eastAsia="en-GB"/>
        </w:rPr>
        <w:t xml:space="preserve">Aveyard H. Doing a literature review in health and social care. 3rd ed. </w:t>
      </w:r>
      <w:r w:rsidR="003560DD">
        <w:rPr>
          <w:rFonts w:asciiTheme="minorHAnsi" w:hAnsiTheme="minorHAnsi" w:cstheme="minorHAnsi"/>
          <w:bCs/>
          <w:color w:val="000000" w:themeColor="text1"/>
          <w:sz w:val="22"/>
          <w:szCs w:val="22"/>
          <w:lang w:eastAsia="en-GB"/>
        </w:rPr>
        <w:t>Maidenhead: Open University Press; 2014</w:t>
      </w:r>
    </w:p>
    <w:p w14:paraId="3782EFD6" w14:textId="3DD7F840" w:rsidR="00594E9F" w:rsidRPr="00594E9F" w:rsidRDefault="00594E9F" w:rsidP="00594E9F">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proofErr w:type="spellStart"/>
      <w:r w:rsidRPr="00594E9F">
        <w:rPr>
          <w:rFonts w:asciiTheme="minorHAnsi" w:hAnsiTheme="minorHAnsi" w:cstheme="minorHAnsi"/>
          <w:bCs/>
          <w:color w:val="000000" w:themeColor="text1"/>
          <w:sz w:val="22"/>
          <w:szCs w:val="22"/>
          <w:lang w:eastAsia="en-GB"/>
        </w:rPr>
        <w:t>Fogliata</w:t>
      </w:r>
      <w:proofErr w:type="spellEnd"/>
      <w:r w:rsidRPr="00594E9F">
        <w:rPr>
          <w:rFonts w:asciiTheme="minorHAnsi" w:hAnsiTheme="minorHAnsi" w:cstheme="minorHAnsi"/>
          <w:bCs/>
          <w:color w:val="000000" w:themeColor="text1"/>
          <w:sz w:val="22"/>
          <w:szCs w:val="22"/>
          <w:lang w:eastAsia="en-GB"/>
        </w:rPr>
        <w:t xml:space="preserve"> A, De Rose F, </w:t>
      </w:r>
      <w:proofErr w:type="spellStart"/>
      <w:r w:rsidRPr="00594E9F">
        <w:rPr>
          <w:rFonts w:asciiTheme="minorHAnsi" w:hAnsiTheme="minorHAnsi" w:cstheme="minorHAnsi"/>
          <w:bCs/>
          <w:color w:val="000000" w:themeColor="text1"/>
          <w:sz w:val="22"/>
          <w:szCs w:val="22"/>
          <w:lang w:eastAsia="en-GB"/>
        </w:rPr>
        <w:t>Franceschini</w:t>
      </w:r>
      <w:proofErr w:type="spellEnd"/>
      <w:r w:rsidRPr="00594E9F">
        <w:rPr>
          <w:rFonts w:asciiTheme="minorHAnsi" w:hAnsiTheme="minorHAnsi" w:cstheme="minorHAnsi"/>
          <w:bCs/>
          <w:color w:val="000000" w:themeColor="text1"/>
          <w:sz w:val="22"/>
          <w:szCs w:val="22"/>
          <w:lang w:eastAsia="en-GB"/>
        </w:rPr>
        <w:t xml:space="preserve"> D, </w:t>
      </w:r>
      <w:proofErr w:type="spellStart"/>
      <w:r w:rsidRPr="00594E9F">
        <w:rPr>
          <w:rFonts w:asciiTheme="minorHAnsi" w:hAnsiTheme="minorHAnsi" w:cstheme="minorHAnsi"/>
          <w:bCs/>
          <w:color w:val="000000" w:themeColor="text1"/>
          <w:sz w:val="22"/>
          <w:szCs w:val="22"/>
          <w:lang w:eastAsia="en-GB"/>
        </w:rPr>
        <w:t>Stravato</w:t>
      </w:r>
      <w:proofErr w:type="spellEnd"/>
      <w:r w:rsidRPr="00594E9F">
        <w:rPr>
          <w:rFonts w:asciiTheme="minorHAnsi" w:hAnsiTheme="minorHAnsi" w:cstheme="minorHAnsi"/>
          <w:bCs/>
          <w:color w:val="000000" w:themeColor="text1"/>
          <w:sz w:val="22"/>
          <w:szCs w:val="22"/>
          <w:lang w:eastAsia="en-GB"/>
        </w:rPr>
        <w:t xml:space="preserve"> A, </w:t>
      </w:r>
      <w:proofErr w:type="spellStart"/>
      <w:r w:rsidRPr="00594E9F">
        <w:rPr>
          <w:rFonts w:asciiTheme="minorHAnsi" w:hAnsiTheme="minorHAnsi" w:cstheme="minorHAnsi"/>
          <w:bCs/>
          <w:color w:val="000000" w:themeColor="text1"/>
          <w:sz w:val="22"/>
          <w:szCs w:val="22"/>
          <w:lang w:eastAsia="en-GB"/>
        </w:rPr>
        <w:t>Seppälä</w:t>
      </w:r>
      <w:proofErr w:type="spellEnd"/>
      <w:r w:rsidRPr="00594E9F">
        <w:rPr>
          <w:rFonts w:asciiTheme="minorHAnsi" w:hAnsiTheme="minorHAnsi" w:cstheme="minorHAnsi"/>
          <w:bCs/>
          <w:color w:val="000000" w:themeColor="text1"/>
          <w:sz w:val="22"/>
          <w:szCs w:val="22"/>
          <w:lang w:eastAsia="en-GB"/>
        </w:rPr>
        <w:t xml:space="preserve"> J, </w:t>
      </w:r>
      <w:proofErr w:type="spellStart"/>
      <w:r w:rsidRPr="00594E9F">
        <w:rPr>
          <w:rFonts w:asciiTheme="minorHAnsi" w:hAnsiTheme="minorHAnsi" w:cstheme="minorHAnsi"/>
          <w:bCs/>
          <w:color w:val="000000" w:themeColor="text1"/>
          <w:sz w:val="22"/>
          <w:szCs w:val="22"/>
          <w:lang w:eastAsia="en-GB"/>
        </w:rPr>
        <w:t>Scorsetti</w:t>
      </w:r>
      <w:proofErr w:type="spellEnd"/>
      <w:r w:rsidRPr="00594E9F">
        <w:rPr>
          <w:rFonts w:asciiTheme="minorHAnsi" w:hAnsiTheme="minorHAnsi" w:cstheme="minorHAnsi"/>
          <w:bCs/>
          <w:color w:val="000000" w:themeColor="text1"/>
          <w:sz w:val="22"/>
          <w:szCs w:val="22"/>
          <w:lang w:eastAsia="en-GB"/>
        </w:rPr>
        <w:t xml:space="preserve"> M et al. Critical Appraisal of the Risk of Secondary Cancer Induction From Breast Radiation Therapy With Volumetric Modulated Arc Therapy Relative to 3D Conformal Therapy. International Journal of Radiation Oncology*Biology*Physics. 2018;</w:t>
      </w:r>
      <w:r w:rsidR="003560DD">
        <w:rPr>
          <w:rFonts w:asciiTheme="minorHAnsi" w:hAnsiTheme="minorHAnsi" w:cstheme="minorHAnsi"/>
          <w:bCs/>
          <w:color w:val="000000" w:themeColor="text1"/>
          <w:sz w:val="22"/>
          <w:szCs w:val="22"/>
          <w:lang w:eastAsia="en-GB"/>
        </w:rPr>
        <w:t xml:space="preserve"> </w:t>
      </w:r>
      <w:r w:rsidRPr="00594E9F">
        <w:rPr>
          <w:rFonts w:asciiTheme="minorHAnsi" w:hAnsiTheme="minorHAnsi" w:cstheme="minorHAnsi"/>
          <w:bCs/>
          <w:color w:val="000000" w:themeColor="text1"/>
          <w:sz w:val="22"/>
          <w:szCs w:val="22"/>
          <w:lang w:eastAsia="en-GB"/>
        </w:rPr>
        <w:t>100(3):</w:t>
      </w:r>
      <w:r w:rsidR="003560DD">
        <w:rPr>
          <w:rFonts w:asciiTheme="minorHAnsi" w:hAnsiTheme="minorHAnsi" w:cstheme="minorHAnsi"/>
          <w:bCs/>
          <w:color w:val="000000" w:themeColor="text1"/>
          <w:sz w:val="22"/>
          <w:szCs w:val="22"/>
          <w:lang w:eastAsia="en-GB"/>
        </w:rPr>
        <w:t xml:space="preserve"> 785-793</w:t>
      </w:r>
      <w:r w:rsidRPr="00594E9F">
        <w:rPr>
          <w:rFonts w:asciiTheme="minorHAnsi" w:hAnsiTheme="minorHAnsi" w:cstheme="minorHAnsi"/>
          <w:bCs/>
          <w:color w:val="000000" w:themeColor="text1"/>
          <w:sz w:val="22"/>
          <w:szCs w:val="22"/>
          <w:lang w:eastAsia="en-GB"/>
        </w:rPr>
        <w:t xml:space="preserve"> </w:t>
      </w:r>
    </w:p>
    <w:p w14:paraId="3537AE8C" w14:textId="13597CBE" w:rsidR="00594E9F" w:rsidRPr="00594E9F" w:rsidRDefault="00594E9F" w:rsidP="00594E9F">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r w:rsidRPr="00594E9F">
        <w:rPr>
          <w:rFonts w:asciiTheme="minorHAnsi" w:hAnsiTheme="minorHAnsi" w:cstheme="minorHAnsi"/>
          <w:bCs/>
          <w:color w:val="000000" w:themeColor="text1"/>
          <w:sz w:val="22"/>
          <w:szCs w:val="22"/>
          <w:lang w:eastAsia="en-GB"/>
        </w:rPr>
        <w:t>Xu H, Hatcher G. Treatment planning study of Volumetric Modulated Arc Therapy and three dimensional field-in-field techniques for left chest-wall cancers with regional lymph nodes. Reports of Pr</w:t>
      </w:r>
      <w:r w:rsidR="003560DD">
        <w:rPr>
          <w:rFonts w:asciiTheme="minorHAnsi" w:hAnsiTheme="minorHAnsi" w:cstheme="minorHAnsi"/>
          <w:bCs/>
          <w:color w:val="000000" w:themeColor="text1"/>
          <w:sz w:val="22"/>
          <w:szCs w:val="22"/>
          <w:lang w:eastAsia="en-GB"/>
        </w:rPr>
        <w:t>actical Oncology &amp; Radiotherapy</w:t>
      </w:r>
      <w:r w:rsidRPr="00594E9F">
        <w:rPr>
          <w:rFonts w:asciiTheme="minorHAnsi" w:hAnsiTheme="minorHAnsi" w:cstheme="minorHAnsi"/>
          <w:bCs/>
          <w:color w:val="000000" w:themeColor="text1"/>
          <w:sz w:val="22"/>
          <w:szCs w:val="22"/>
          <w:lang w:eastAsia="en-GB"/>
        </w:rPr>
        <w:t xml:space="preserve"> 2016;</w:t>
      </w:r>
      <w:r w:rsidR="003560DD">
        <w:rPr>
          <w:rFonts w:asciiTheme="minorHAnsi" w:hAnsiTheme="minorHAnsi" w:cstheme="minorHAnsi"/>
          <w:bCs/>
          <w:color w:val="000000" w:themeColor="text1"/>
          <w:sz w:val="22"/>
          <w:szCs w:val="22"/>
          <w:lang w:eastAsia="en-GB"/>
        </w:rPr>
        <w:t xml:space="preserve"> </w:t>
      </w:r>
      <w:r w:rsidRPr="00594E9F">
        <w:rPr>
          <w:rFonts w:asciiTheme="minorHAnsi" w:hAnsiTheme="minorHAnsi" w:cstheme="minorHAnsi"/>
          <w:bCs/>
          <w:color w:val="000000" w:themeColor="text1"/>
          <w:sz w:val="22"/>
          <w:szCs w:val="22"/>
          <w:lang w:eastAsia="en-GB"/>
        </w:rPr>
        <w:t>21(6):</w:t>
      </w:r>
      <w:r w:rsidR="003560DD">
        <w:rPr>
          <w:rFonts w:asciiTheme="minorHAnsi" w:hAnsiTheme="minorHAnsi" w:cstheme="minorHAnsi"/>
          <w:bCs/>
          <w:color w:val="000000" w:themeColor="text1"/>
          <w:sz w:val="22"/>
          <w:szCs w:val="22"/>
          <w:lang w:eastAsia="en-GB"/>
        </w:rPr>
        <w:t xml:space="preserve"> 517-524</w:t>
      </w:r>
      <w:r w:rsidRPr="00594E9F">
        <w:rPr>
          <w:rFonts w:asciiTheme="minorHAnsi" w:hAnsiTheme="minorHAnsi" w:cstheme="minorHAnsi"/>
          <w:bCs/>
          <w:color w:val="000000" w:themeColor="text1"/>
          <w:sz w:val="22"/>
          <w:szCs w:val="22"/>
          <w:lang w:eastAsia="en-GB"/>
        </w:rPr>
        <w:t xml:space="preserve"> </w:t>
      </w:r>
    </w:p>
    <w:p w14:paraId="3430077A" w14:textId="65E03BC6" w:rsidR="00594E9F" w:rsidRPr="00594E9F" w:rsidRDefault="00594E9F" w:rsidP="00594E9F">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proofErr w:type="spellStart"/>
      <w:r w:rsidRPr="00594E9F">
        <w:rPr>
          <w:rFonts w:asciiTheme="minorHAnsi" w:hAnsiTheme="minorHAnsi" w:cstheme="minorHAnsi"/>
          <w:bCs/>
          <w:color w:val="000000" w:themeColor="text1"/>
          <w:sz w:val="22"/>
          <w:szCs w:val="22"/>
          <w:lang w:eastAsia="en-GB"/>
        </w:rPr>
        <w:t>Pasler</w:t>
      </w:r>
      <w:proofErr w:type="spellEnd"/>
      <w:r w:rsidRPr="00594E9F">
        <w:rPr>
          <w:rFonts w:asciiTheme="minorHAnsi" w:hAnsiTheme="minorHAnsi" w:cstheme="minorHAnsi"/>
          <w:bCs/>
          <w:color w:val="000000" w:themeColor="text1"/>
          <w:sz w:val="22"/>
          <w:szCs w:val="22"/>
          <w:lang w:eastAsia="en-GB"/>
        </w:rPr>
        <w:t xml:space="preserve"> M, Georg D, </w:t>
      </w:r>
      <w:proofErr w:type="spellStart"/>
      <w:proofErr w:type="gramStart"/>
      <w:r w:rsidRPr="00594E9F">
        <w:rPr>
          <w:rFonts w:asciiTheme="minorHAnsi" w:hAnsiTheme="minorHAnsi" w:cstheme="minorHAnsi"/>
          <w:bCs/>
          <w:color w:val="000000" w:themeColor="text1"/>
          <w:sz w:val="22"/>
          <w:szCs w:val="22"/>
          <w:lang w:eastAsia="en-GB"/>
        </w:rPr>
        <w:t>Bartelt</w:t>
      </w:r>
      <w:proofErr w:type="spellEnd"/>
      <w:proofErr w:type="gramEnd"/>
      <w:r w:rsidRPr="00594E9F">
        <w:rPr>
          <w:rFonts w:asciiTheme="minorHAnsi" w:hAnsiTheme="minorHAnsi" w:cstheme="minorHAnsi"/>
          <w:bCs/>
          <w:color w:val="000000" w:themeColor="text1"/>
          <w:sz w:val="22"/>
          <w:szCs w:val="22"/>
          <w:lang w:eastAsia="en-GB"/>
        </w:rPr>
        <w:t xml:space="preserve"> S, </w:t>
      </w:r>
      <w:proofErr w:type="spellStart"/>
      <w:r w:rsidRPr="00594E9F">
        <w:rPr>
          <w:rFonts w:asciiTheme="minorHAnsi" w:hAnsiTheme="minorHAnsi" w:cstheme="minorHAnsi"/>
          <w:bCs/>
          <w:color w:val="000000" w:themeColor="text1"/>
          <w:sz w:val="22"/>
          <w:szCs w:val="22"/>
          <w:lang w:eastAsia="en-GB"/>
        </w:rPr>
        <w:t>Lutterbach</w:t>
      </w:r>
      <w:proofErr w:type="spellEnd"/>
      <w:r w:rsidRPr="00594E9F">
        <w:rPr>
          <w:rFonts w:asciiTheme="minorHAnsi" w:hAnsiTheme="minorHAnsi" w:cstheme="minorHAnsi"/>
          <w:bCs/>
          <w:color w:val="000000" w:themeColor="text1"/>
          <w:sz w:val="22"/>
          <w:szCs w:val="22"/>
          <w:lang w:eastAsia="en-GB"/>
        </w:rPr>
        <w:t xml:space="preserve"> J. Node-positive left-sided breast cancer: does VMAT improve treatment pla</w:t>
      </w:r>
      <w:r w:rsidR="003560DD">
        <w:rPr>
          <w:rFonts w:asciiTheme="minorHAnsi" w:hAnsiTheme="minorHAnsi" w:cstheme="minorHAnsi"/>
          <w:bCs/>
          <w:color w:val="000000" w:themeColor="text1"/>
          <w:sz w:val="22"/>
          <w:szCs w:val="22"/>
          <w:lang w:eastAsia="en-GB"/>
        </w:rPr>
        <w:t xml:space="preserve">n quality with respect to IMRT? </w:t>
      </w:r>
      <w:proofErr w:type="spellStart"/>
      <w:r w:rsidR="003560DD">
        <w:rPr>
          <w:rFonts w:asciiTheme="minorHAnsi" w:hAnsiTheme="minorHAnsi" w:cstheme="minorHAnsi"/>
          <w:bCs/>
          <w:color w:val="000000" w:themeColor="text1"/>
          <w:sz w:val="22"/>
          <w:szCs w:val="22"/>
          <w:lang w:eastAsia="en-GB"/>
        </w:rPr>
        <w:t>Strahlentherapie</w:t>
      </w:r>
      <w:proofErr w:type="spellEnd"/>
      <w:r w:rsidR="003560DD">
        <w:rPr>
          <w:rFonts w:asciiTheme="minorHAnsi" w:hAnsiTheme="minorHAnsi" w:cstheme="minorHAnsi"/>
          <w:bCs/>
          <w:color w:val="000000" w:themeColor="text1"/>
          <w:sz w:val="22"/>
          <w:szCs w:val="22"/>
          <w:lang w:eastAsia="en-GB"/>
        </w:rPr>
        <w:t xml:space="preserve"> und </w:t>
      </w:r>
      <w:proofErr w:type="spellStart"/>
      <w:r w:rsidR="003560DD">
        <w:rPr>
          <w:rFonts w:asciiTheme="minorHAnsi" w:hAnsiTheme="minorHAnsi" w:cstheme="minorHAnsi"/>
          <w:bCs/>
          <w:color w:val="000000" w:themeColor="text1"/>
          <w:sz w:val="22"/>
          <w:szCs w:val="22"/>
          <w:lang w:eastAsia="en-GB"/>
        </w:rPr>
        <w:t>Onkologie</w:t>
      </w:r>
      <w:proofErr w:type="spellEnd"/>
      <w:r w:rsidRPr="00594E9F">
        <w:rPr>
          <w:rFonts w:asciiTheme="minorHAnsi" w:hAnsiTheme="minorHAnsi" w:cstheme="minorHAnsi"/>
          <w:bCs/>
          <w:color w:val="000000" w:themeColor="text1"/>
          <w:sz w:val="22"/>
          <w:szCs w:val="22"/>
          <w:lang w:eastAsia="en-GB"/>
        </w:rPr>
        <w:t xml:space="preserve"> 2013;</w:t>
      </w:r>
      <w:r w:rsidR="003560DD">
        <w:rPr>
          <w:rFonts w:asciiTheme="minorHAnsi" w:hAnsiTheme="minorHAnsi" w:cstheme="minorHAnsi"/>
          <w:bCs/>
          <w:color w:val="000000" w:themeColor="text1"/>
          <w:sz w:val="22"/>
          <w:szCs w:val="22"/>
          <w:lang w:eastAsia="en-GB"/>
        </w:rPr>
        <w:t xml:space="preserve"> </w:t>
      </w:r>
      <w:r w:rsidRPr="00594E9F">
        <w:rPr>
          <w:rFonts w:asciiTheme="minorHAnsi" w:hAnsiTheme="minorHAnsi" w:cstheme="minorHAnsi"/>
          <w:bCs/>
          <w:color w:val="000000" w:themeColor="text1"/>
          <w:sz w:val="22"/>
          <w:szCs w:val="22"/>
          <w:lang w:eastAsia="en-GB"/>
        </w:rPr>
        <w:t>189(5):</w:t>
      </w:r>
      <w:r w:rsidR="003560DD">
        <w:rPr>
          <w:rFonts w:asciiTheme="minorHAnsi" w:hAnsiTheme="minorHAnsi" w:cstheme="minorHAnsi"/>
          <w:bCs/>
          <w:color w:val="000000" w:themeColor="text1"/>
          <w:sz w:val="22"/>
          <w:szCs w:val="22"/>
          <w:lang w:eastAsia="en-GB"/>
        </w:rPr>
        <w:t xml:space="preserve"> 380-386</w:t>
      </w:r>
      <w:r w:rsidRPr="00594E9F">
        <w:rPr>
          <w:rFonts w:asciiTheme="minorHAnsi" w:hAnsiTheme="minorHAnsi" w:cstheme="minorHAnsi"/>
          <w:bCs/>
          <w:color w:val="000000" w:themeColor="text1"/>
          <w:sz w:val="22"/>
          <w:szCs w:val="22"/>
          <w:lang w:eastAsia="en-GB"/>
        </w:rPr>
        <w:t xml:space="preserve"> </w:t>
      </w:r>
    </w:p>
    <w:p w14:paraId="319BAC43" w14:textId="3392A2F1" w:rsidR="00594E9F" w:rsidRPr="00594E9F" w:rsidRDefault="003560DD" w:rsidP="00594E9F">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proofErr w:type="spellStart"/>
      <w:r>
        <w:rPr>
          <w:rFonts w:asciiTheme="minorHAnsi" w:hAnsiTheme="minorHAnsi" w:cstheme="minorHAnsi"/>
          <w:bCs/>
          <w:color w:val="000000" w:themeColor="text1"/>
          <w:sz w:val="22"/>
          <w:szCs w:val="22"/>
          <w:lang w:eastAsia="en-GB"/>
        </w:rPr>
        <w:t>J</w:t>
      </w:r>
      <w:r w:rsidR="00594E9F" w:rsidRPr="00594E9F">
        <w:rPr>
          <w:rFonts w:asciiTheme="minorHAnsi" w:hAnsiTheme="minorHAnsi" w:cstheme="minorHAnsi"/>
          <w:bCs/>
          <w:color w:val="000000" w:themeColor="text1"/>
          <w:sz w:val="22"/>
          <w:szCs w:val="22"/>
          <w:lang w:eastAsia="en-GB"/>
        </w:rPr>
        <w:t>in</w:t>
      </w:r>
      <w:proofErr w:type="spellEnd"/>
      <w:r w:rsidR="00594E9F" w:rsidRPr="00594E9F">
        <w:rPr>
          <w:rFonts w:asciiTheme="minorHAnsi" w:hAnsiTheme="minorHAnsi" w:cstheme="minorHAnsi"/>
          <w:bCs/>
          <w:color w:val="000000" w:themeColor="text1"/>
          <w:sz w:val="22"/>
          <w:szCs w:val="22"/>
          <w:lang w:eastAsia="en-GB"/>
        </w:rPr>
        <w:t xml:space="preserve"> G, Chen L, Deng X, Liu X, Huang Y, Huang X. A comparative dosimetric study for treating left-sided breast cancer for small breast size using five different radiotherapy techniques: conventional tangential field, field-in-field, Tangential-IMRT, Multi-beam IM</w:t>
      </w:r>
      <w:r>
        <w:rPr>
          <w:rFonts w:asciiTheme="minorHAnsi" w:hAnsiTheme="minorHAnsi" w:cstheme="minorHAnsi"/>
          <w:bCs/>
          <w:color w:val="000000" w:themeColor="text1"/>
          <w:sz w:val="22"/>
          <w:szCs w:val="22"/>
          <w:lang w:eastAsia="en-GB"/>
        </w:rPr>
        <w:t>RT and VMAT. Radiation Oncology</w:t>
      </w:r>
      <w:r w:rsidR="00594E9F" w:rsidRPr="00594E9F">
        <w:rPr>
          <w:rFonts w:asciiTheme="minorHAnsi" w:hAnsiTheme="minorHAnsi" w:cstheme="minorHAnsi"/>
          <w:bCs/>
          <w:color w:val="000000" w:themeColor="text1"/>
          <w:sz w:val="22"/>
          <w:szCs w:val="22"/>
          <w:lang w:eastAsia="en-GB"/>
        </w:rPr>
        <w:t xml:space="preserve"> 2013;</w:t>
      </w:r>
      <w:r>
        <w:rPr>
          <w:rFonts w:asciiTheme="minorHAnsi" w:hAnsiTheme="minorHAnsi" w:cstheme="minorHAnsi"/>
          <w:bCs/>
          <w:color w:val="000000" w:themeColor="text1"/>
          <w:sz w:val="22"/>
          <w:szCs w:val="22"/>
          <w:lang w:eastAsia="en-GB"/>
        </w:rPr>
        <w:t xml:space="preserve"> </w:t>
      </w:r>
      <w:r w:rsidR="00594E9F" w:rsidRPr="00594E9F">
        <w:rPr>
          <w:rFonts w:asciiTheme="minorHAnsi" w:hAnsiTheme="minorHAnsi" w:cstheme="minorHAnsi"/>
          <w:bCs/>
          <w:color w:val="000000" w:themeColor="text1"/>
          <w:sz w:val="22"/>
          <w:szCs w:val="22"/>
          <w:lang w:eastAsia="en-GB"/>
        </w:rPr>
        <w:t>8(1):</w:t>
      </w:r>
      <w:r>
        <w:rPr>
          <w:rFonts w:asciiTheme="minorHAnsi" w:hAnsiTheme="minorHAnsi" w:cstheme="minorHAnsi"/>
          <w:bCs/>
          <w:color w:val="000000" w:themeColor="text1"/>
          <w:sz w:val="22"/>
          <w:szCs w:val="22"/>
          <w:lang w:eastAsia="en-GB"/>
        </w:rPr>
        <w:t xml:space="preserve"> 1-8</w:t>
      </w:r>
    </w:p>
    <w:p w14:paraId="3C2C511E" w14:textId="1827F3D4" w:rsidR="00594E9F" w:rsidRPr="00594E9F" w:rsidRDefault="00594E9F" w:rsidP="00594E9F">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proofErr w:type="spellStart"/>
      <w:r w:rsidRPr="00594E9F">
        <w:rPr>
          <w:rFonts w:asciiTheme="minorHAnsi" w:hAnsiTheme="minorHAnsi" w:cstheme="minorHAnsi"/>
          <w:bCs/>
          <w:color w:val="000000" w:themeColor="text1"/>
          <w:sz w:val="22"/>
          <w:szCs w:val="22"/>
          <w:lang w:eastAsia="en-GB"/>
        </w:rPr>
        <w:lastRenderedPageBreak/>
        <w:t>Corradini</w:t>
      </w:r>
      <w:proofErr w:type="spellEnd"/>
      <w:r w:rsidRPr="00594E9F">
        <w:rPr>
          <w:rFonts w:asciiTheme="minorHAnsi" w:hAnsiTheme="minorHAnsi" w:cstheme="minorHAnsi"/>
          <w:bCs/>
          <w:color w:val="000000" w:themeColor="text1"/>
          <w:sz w:val="22"/>
          <w:szCs w:val="22"/>
          <w:lang w:eastAsia="en-GB"/>
        </w:rPr>
        <w:t xml:space="preserve"> S, </w:t>
      </w:r>
      <w:proofErr w:type="spellStart"/>
      <w:r w:rsidRPr="00594E9F">
        <w:rPr>
          <w:rFonts w:asciiTheme="minorHAnsi" w:hAnsiTheme="minorHAnsi" w:cstheme="minorHAnsi"/>
          <w:bCs/>
          <w:color w:val="000000" w:themeColor="text1"/>
          <w:sz w:val="22"/>
          <w:szCs w:val="22"/>
          <w:lang w:eastAsia="en-GB"/>
        </w:rPr>
        <w:t>Ballhausen</w:t>
      </w:r>
      <w:proofErr w:type="spellEnd"/>
      <w:r w:rsidRPr="00594E9F">
        <w:rPr>
          <w:rFonts w:asciiTheme="minorHAnsi" w:hAnsiTheme="minorHAnsi" w:cstheme="minorHAnsi"/>
          <w:bCs/>
          <w:color w:val="000000" w:themeColor="text1"/>
          <w:sz w:val="22"/>
          <w:szCs w:val="22"/>
          <w:lang w:eastAsia="en-GB"/>
        </w:rPr>
        <w:t xml:space="preserve"> H, </w:t>
      </w:r>
      <w:proofErr w:type="spellStart"/>
      <w:r w:rsidRPr="00594E9F">
        <w:rPr>
          <w:rFonts w:asciiTheme="minorHAnsi" w:hAnsiTheme="minorHAnsi" w:cstheme="minorHAnsi"/>
          <w:bCs/>
          <w:color w:val="000000" w:themeColor="text1"/>
          <w:sz w:val="22"/>
          <w:szCs w:val="22"/>
          <w:lang w:eastAsia="en-GB"/>
        </w:rPr>
        <w:t>Weingandt</w:t>
      </w:r>
      <w:proofErr w:type="spellEnd"/>
      <w:r w:rsidRPr="00594E9F">
        <w:rPr>
          <w:rFonts w:asciiTheme="minorHAnsi" w:hAnsiTheme="minorHAnsi" w:cstheme="minorHAnsi"/>
          <w:bCs/>
          <w:color w:val="000000" w:themeColor="text1"/>
          <w:sz w:val="22"/>
          <w:szCs w:val="22"/>
          <w:lang w:eastAsia="en-GB"/>
        </w:rPr>
        <w:t xml:space="preserve"> H, </w:t>
      </w:r>
      <w:proofErr w:type="spellStart"/>
      <w:r w:rsidRPr="00594E9F">
        <w:rPr>
          <w:rFonts w:asciiTheme="minorHAnsi" w:hAnsiTheme="minorHAnsi" w:cstheme="minorHAnsi"/>
          <w:bCs/>
          <w:color w:val="000000" w:themeColor="text1"/>
          <w:sz w:val="22"/>
          <w:szCs w:val="22"/>
          <w:lang w:eastAsia="en-GB"/>
        </w:rPr>
        <w:t>Freislederer</w:t>
      </w:r>
      <w:proofErr w:type="spellEnd"/>
      <w:r w:rsidRPr="00594E9F">
        <w:rPr>
          <w:rFonts w:asciiTheme="minorHAnsi" w:hAnsiTheme="minorHAnsi" w:cstheme="minorHAnsi"/>
          <w:bCs/>
          <w:color w:val="000000" w:themeColor="text1"/>
          <w:sz w:val="22"/>
          <w:szCs w:val="22"/>
          <w:lang w:eastAsia="en-GB"/>
        </w:rPr>
        <w:t xml:space="preserve"> P, </w:t>
      </w:r>
      <w:proofErr w:type="spellStart"/>
      <w:r w:rsidRPr="00594E9F">
        <w:rPr>
          <w:rFonts w:asciiTheme="minorHAnsi" w:hAnsiTheme="minorHAnsi" w:cstheme="minorHAnsi"/>
          <w:bCs/>
          <w:color w:val="000000" w:themeColor="text1"/>
          <w:sz w:val="22"/>
          <w:szCs w:val="22"/>
          <w:lang w:eastAsia="en-GB"/>
        </w:rPr>
        <w:t>Schönecker</w:t>
      </w:r>
      <w:proofErr w:type="spellEnd"/>
      <w:r w:rsidRPr="00594E9F">
        <w:rPr>
          <w:rFonts w:asciiTheme="minorHAnsi" w:hAnsiTheme="minorHAnsi" w:cstheme="minorHAnsi"/>
          <w:bCs/>
          <w:color w:val="000000" w:themeColor="text1"/>
          <w:sz w:val="22"/>
          <w:szCs w:val="22"/>
          <w:lang w:eastAsia="en-GB"/>
        </w:rPr>
        <w:t xml:space="preserve"> S, </w:t>
      </w:r>
      <w:proofErr w:type="spellStart"/>
      <w:r w:rsidRPr="00594E9F">
        <w:rPr>
          <w:rFonts w:asciiTheme="minorHAnsi" w:hAnsiTheme="minorHAnsi" w:cstheme="minorHAnsi"/>
          <w:bCs/>
          <w:color w:val="000000" w:themeColor="text1"/>
          <w:sz w:val="22"/>
          <w:szCs w:val="22"/>
          <w:lang w:eastAsia="en-GB"/>
        </w:rPr>
        <w:t>Niyazi</w:t>
      </w:r>
      <w:proofErr w:type="spellEnd"/>
      <w:r w:rsidRPr="00594E9F">
        <w:rPr>
          <w:rFonts w:asciiTheme="minorHAnsi" w:hAnsiTheme="minorHAnsi" w:cstheme="minorHAnsi"/>
          <w:bCs/>
          <w:color w:val="000000" w:themeColor="text1"/>
          <w:sz w:val="22"/>
          <w:szCs w:val="22"/>
          <w:lang w:eastAsia="en-GB"/>
        </w:rPr>
        <w:t xml:space="preserve"> M et al. Left-sided breast cancer and risks of secondary lung cancer and ischemic heart disease.</w:t>
      </w:r>
      <w:r w:rsidR="003560DD">
        <w:rPr>
          <w:rFonts w:asciiTheme="minorHAnsi" w:hAnsiTheme="minorHAnsi" w:cstheme="minorHAnsi"/>
          <w:bCs/>
          <w:color w:val="000000" w:themeColor="text1"/>
          <w:sz w:val="22"/>
          <w:szCs w:val="22"/>
          <w:lang w:eastAsia="en-GB"/>
        </w:rPr>
        <w:t xml:space="preserve"> </w:t>
      </w:r>
      <w:proofErr w:type="spellStart"/>
      <w:r w:rsidR="003560DD">
        <w:rPr>
          <w:rFonts w:asciiTheme="minorHAnsi" w:hAnsiTheme="minorHAnsi" w:cstheme="minorHAnsi"/>
          <w:bCs/>
          <w:color w:val="000000" w:themeColor="text1"/>
          <w:sz w:val="22"/>
          <w:szCs w:val="22"/>
          <w:lang w:eastAsia="en-GB"/>
        </w:rPr>
        <w:t>Strahlentherapie</w:t>
      </w:r>
      <w:proofErr w:type="spellEnd"/>
      <w:r w:rsidR="003560DD">
        <w:rPr>
          <w:rFonts w:asciiTheme="minorHAnsi" w:hAnsiTheme="minorHAnsi" w:cstheme="minorHAnsi"/>
          <w:bCs/>
          <w:color w:val="000000" w:themeColor="text1"/>
          <w:sz w:val="22"/>
          <w:szCs w:val="22"/>
          <w:lang w:eastAsia="en-GB"/>
        </w:rPr>
        <w:t xml:space="preserve"> und </w:t>
      </w:r>
      <w:proofErr w:type="spellStart"/>
      <w:r w:rsidR="003560DD">
        <w:rPr>
          <w:rFonts w:asciiTheme="minorHAnsi" w:hAnsiTheme="minorHAnsi" w:cstheme="minorHAnsi"/>
          <w:bCs/>
          <w:color w:val="000000" w:themeColor="text1"/>
          <w:sz w:val="22"/>
          <w:szCs w:val="22"/>
          <w:lang w:eastAsia="en-GB"/>
        </w:rPr>
        <w:t>Onkologie</w:t>
      </w:r>
      <w:proofErr w:type="spellEnd"/>
      <w:r w:rsidRPr="00594E9F">
        <w:rPr>
          <w:rFonts w:asciiTheme="minorHAnsi" w:hAnsiTheme="minorHAnsi" w:cstheme="minorHAnsi"/>
          <w:bCs/>
          <w:color w:val="000000" w:themeColor="text1"/>
          <w:sz w:val="22"/>
          <w:szCs w:val="22"/>
          <w:lang w:eastAsia="en-GB"/>
        </w:rPr>
        <w:t xml:space="preserve"> 2017;</w:t>
      </w:r>
      <w:r w:rsidR="003560DD">
        <w:rPr>
          <w:rFonts w:asciiTheme="minorHAnsi" w:hAnsiTheme="minorHAnsi" w:cstheme="minorHAnsi"/>
          <w:bCs/>
          <w:color w:val="000000" w:themeColor="text1"/>
          <w:sz w:val="22"/>
          <w:szCs w:val="22"/>
          <w:lang w:eastAsia="en-GB"/>
        </w:rPr>
        <w:t xml:space="preserve"> </w:t>
      </w:r>
      <w:r w:rsidRPr="00594E9F">
        <w:rPr>
          <w:rFonts w:asciiTheme="minorHAnsi" w:hAnsiTheme="minorHAnsi" w:cstheme="minorHAnsi"/>
          <w:bCs/>
          <w:color w:val="000000" w:themeColor="text1"/>
          <w:sz w:val="22"/>
          <w:szCs w:val="22"/>
          <w:lang w:eastAsia="en-GB"/>
        </w:rPr>
        <w:t>194(3):</w:t>
      </w:r>
      <w:r w:rsidR="003560DD">
        <w:rPr>
          <w:rFonts w:asciiTheme="minorHAnsi" w:hAnsiTheme="minorHAnsi" w:cstheme="minorHAnsi"/>
          <w:bCs/>
          <w:color w:val="000000" w:themeColor="text1"/>
          <w:sz w:val="22"/>
          <w:szCs w:val="22"/>
          <w:lang w:eastAsia="en-GB"/>
        </w:rPr>
        <w:t xml:space="preserve"> 196-205</w:t>
      </w:r>
      <w:r w:rsidRPr="00594E9F">
        <w:rPr>
          <w:rFonts w:asciiTheme="minorHAnsi" w:hAnsiTheme="minorHAnsi" w:cstheme="minorHAnsi"/>
          <w:bCs/>
          <w:color w:val="000000" w:themeColor="text1"/>
          <w:sz w:val="22"/>
          <w:szCs w:val="22"/>
          <w:lang w:eastAsia="en-GB"/>
        </w:rPr>
        <w:t xml:space="preserve"> </w:t>
      </w:r>
    </w:p>
    <w:p w14:paraId="0B30D061" w14:textId="1F33DF21" w:rsidR="00594E9F" w:rsidRPr="00594E9F" w:rsidRDefault="00594E9F" w:rsidP="00594E9F">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r w:rsidRPr="00594E9F">
        <w:rPr>
          <w:rFonts w:asciiTheme="minorHAnsi" w:hAnsiTheme="minorHAnsi" w:cstheme="minorHAnsi"/>
          <w:bCs/>
          <w:color w:val="000000" w:themeColor="text1"/>
          <w:sz w:val="22"/>
          <w:szCs w:val="22"/>
          <w:lang w:eastAsia="en-GB"/>
        </w:rPr>
        <w:t>Abo-</w:t>
      </w:r>
      <w:proofErr w:type="spellStart"/>
      <w:r w:rsidRPr="00594E9F">
        <w:rPr>
          <w:rFonts w:asciiTheme="minorHAnsi" w:hAnsiTheme="minorHAnsi" w:cstheme="minorHAnsi"/>
          <w:bCs/>
          <w:color w:val="000000" w:themeColor="text1"/>
          <w:sz w:val="22"/>
          <w:szCs w:val="22"/>
          <w:lang w:eastAsia="en-GB"/>
        </w:rPr>
        <w:t>Madyan</w:t>
      </w:r>
      <w:proofErr w:type="spellEnd"/>
      <w:r w:rsidRPr="00594E9F">
        <w:rPr>
          <w:rFonts w:asciiTheme="minorHAnsi" w:hAnsiTheme="minorHAnsi" w:cstheme="minorHAnsi"/>
          <w:bCs/>
          <w:color w:val="000000" w:themeColor="text1"/>
          <w:sz w:val="22"/>
          <w:szCs w:val="22"/>
          <w:lang w:eastAsia="en-GB"/>
        </w:rPr>
        <w:t xml:space="preserve"> Y, Aziz M, Aly M, Schneider F, </w:t>
      </w:r>
      <w:proofErr w:type="spellStart"/>
      <w:r w:rsidRPr="00594E9F">
        <w:rPr>
          <w:rFonts w:asciiTheme="minorHAnsi" w:hAnsiTheme="minorHAnsi" w:cstheme="minorHAnsi"/>
          <w:bCs/>
          <w:color w:val="000000" w:themeColor="text1"/>
          <w:sz w:val="22"/>
          <w:szCs w:val="22"/>
          <w:lang w:eastAsia="en-GB"/>
        </w:rPr>
        <w:t>Sperk</w:t>
      </w:r>
      <w:proofErr w:type="spellEnd"/>
      <w:r w:rsidRPr="00594E9F">
        <w:rPr>
          <w:rFonts w:asciiTheme="minorHAnsi" w:hAnsiTheme="minorHAnsi" w:cstheme="minorHAnsi"/>
          <w:bCs/>
          <w:color w:val="000000" w:themeColor="text1"/>
          <w:sz w:val="22"/>
          <w:szCs w:val="22"/>
          <w:lang w:eastAsia="en-GB"/>
        </w:rPr>
        <w:t xml:space="preserve"> E, Clausen S et al. Second cancer risk after 3D-CRT, IMRT and VMAT for breast can</w:t>
      </w:r>
      <w:r w:rsidR="003560DD">
        <w:rPr>
          <w:rFonts w:asciiTheme="minorHAnsi" w:hAnsiTheme="minorHAnsi" w:cstheme="minorHAnsi"/>
          <w:bCs/>
          <w:color w:val="000000" w:themeColor="text1"/>
          <w:sz w:val="22"/>
          <w:szCs w:val="22"/>
          <w:lang w:eastAsia="en-GB"/>
        </w:rPr>
        <w:t xml:space="preserve">cer. Radiotherapy and Oncology </w:t>
      </w:r>
      <w:r w:rsidRPr="00594E9F">
        <w:rPr>
          <w:rFonts w:asciiTheme="minorHAnsi" w:hAnsiTheme="minorHAnsi" w:cstheme="minorHAnsi"/>
          <w:bCs/>
          <w:color w:val="000000" w:themeColor="text1"/>
          <w:sz w:val="22"/>
          <w:szCs w:val="22"/>
          <w:lang w:eastAsia="en-GB"/>
        </w:rPr>
        <w:t>2014;</w:t>
      </w:r>
      <w:r w:rsidR="003560DD">
        <w:rPr>
          <w:rFonts w:asciiTheme="minorHAnsi" w:hAnsiTheme="minorHAnsi" w:cstheme="minorHAnsi"/>
          <w:bCs/>
          <w:color w:val="000000" w:themeColor="text1"/>
          <w:sz w:val="22"/>
          <w:szCs w:val="22"/>
          <w:lang w:eastAsia="en-GB"/>
        </w:rPr>
        <w:t xml:space="preserve"> </w:t>
      </w:r>
      <w:r w:rsidRPr="00594E9F">
        <w:rPr>
          <w:rFonts w:asciiTheme="minorHAnsi" w:hAnsiTheme="minorHAnsi" w:cstheme="minorHAnsi"/>
          <w:bCs/>
          <w:color w:val="000000" w:themeColor="text1"/>
          <w:sz w:val="22"/>
          <w:szCs w:val="22"/>
          <w:lang w:eastAsia="en-GB"/>
        </w:rPr>
        <w:t>110(3):</w:t>
      </w:r>
      <w:r w:rsidR="003560DD">
        <w:rPr>
          <w:rFonts w:asciiTheme="minorHAnsi" w:hAnsiTheme="minorHAnsi" w:cstheme="minorHAnsi"/>
          <w:bCs/>
          <w:color w:val="000000" w:themeColor="text1"/>
          <w:sz w:val="22"/>
          <w:szCs w:val="22"/>
          <w:lang w:eastAsia="en-GB"/>
        </w:rPr>
        <w:t xml:space="preserve"> 471-476</w:t>
      </w:r>
      <w:r w:rsidRPr="00594E9F">
        <w:rPr>
          <w:rFonts w:asciiTheme="minorHAnsi" w:hAnsiTheme="minorHAnsi" w:cstheme="minorHAnsi"/>
          <w:bCs/>
          <w:color w:val="000000" w:themeColor="text1"/>
          <w:sz w:val="22"/>
          <w:szCs w:val="22"/>
          <w:lang w:eastAsia="en-GB"/>
        </w:rPr>
        <w:t xml:space="preserve"> </w:t>
      </w:r>
    </w:p>
    <w:p w14:paraId="6AB6E2F7" w14:textId="477901AF" w:rsidR="00594E9F" w:rsidRPr="00594E9F" w:rsidRDefault="00594E9F" w:rsidP="00594E9F">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proofErr w:type="spellStart"/>
      <w:r w:rsidRPr="00594E9F">
        <w:rPr>
          <w:rFonts w:asciiTheme="minorHAnsi" w:hAnsiTheme="minorHAnsi" w:cstheme="minorHAnsi"/>
          <w:bCs/>
          <w:color w:val="000000" w:themeColor="text1"/>
          <w:sz w:val="22"/>
          <w:szCs w:val="22"/>
          <w:lang w:eastAsia="en-GB"/>
        </w:rPr>
        <w:t>Dumane</w:t>
      </w:r>
      <w:proofErr w:type="spellEnd"/>
      <w:r w:rsidRPr="00594E9F">
        <w:rPr>
          <w:rFonts w:asciiTheme="minorHAnsi" w:hAnsiTheme="minorHAnsi" w:cstheme="minorHAnsi"/>
          <w:bCs/>
          <w:color w:val="000000" w:themeColor="text1"/>
          <w:sz w:val="22"/>
          <w:szCs w:val="22"/>
          <w:lang w:eastAsia="en-GB"/>
        </w:rPr>
        <w:t xml:space="preserve"> V, Bakst R, Green S. Dose to organs in the supraclavicular region when covering the Internal Mammary Nodes (IMNs) in breast cancer patients: A comparison of Volumetric Modulated Arc Therapy (VMA</w:t>
      </w:r>
      <w:r w:rsidR="003560DD">
        <w:rPr>
          <w:rFonts w:asciiTheme="minorHAnsi" w:hAnsiTheme="minorHAnsi" w:cstheme="minorHAnsi"/>
          <w:bCs/>
          <w:color w:val="000000" w:themeColor="text1"/>
          <w:sz w:val="22"/>
          <w:szCs w:val="22"/>
          <w:lang w:eastAsia="en-GB"/>
        </w:rPr>
        <w:t>T) versus 3D and VMAT. PLOS ONE</w:t>
      </w:r>
      <w:r w:rsidRPr="00594E9F">
        <w:rPr>
          <w:rFonts w:asciiTheme="minorHAnsi" w:hAnsiTheme="minorHAnsi" w:cstheme="minorHAnsi"/>
          <w:bCs/>
          <w:color w:val="000000" w:themeColor="text1"/>
          <w:sz w:val="22"/>
          <w:szCs w:val="22"/>
          <w:lang w:eastAsia="en-GB"/>
        </w:rPr>
        <w:t xml:space="preserve"> 2018;</w:t>
      </w:r>
      <w:r w:rsidR="003560DD">
        <w:rPr>
          <w:rFonts w:asciiTheme="minorHAnsi" w:hAnsiTheme="minorHAnsi" w:cstheme="minorHAnsi"/>
          <w:bCs/>
          <w:color w:val="000000" w:themeColor="text1"/>
          <w:sz w:val="22"/>
          <w:szCs w:val="22"/>
          <w:lang w:eastAsia="en-GB"/>
        </w:rPr>
        <w:t xml:space="preserve"> </w:t>
      </w:r>
      <w:r w:rsidRPr="00594E9F">
        <w:rPr>
          <w:rFonts w:asciiTheme="minorHAnsi" w:hAnsiTheme="minorHAnsi" w:cstheme="minorHAnsi"/>
          <w:bCs/>
          <w:color w:val="000000" w:themeColor="text1"/>
          <w:sz w:val="22"/>
          <w:szCs w:val="22"/>
          <w:lang w:eastAsia="en-GB"/>
        </w:rPr>
        <w:t>13(10):</w:t>
      </w:r>
      <w:r w:rsidR="003560DD">
        <w:rPr>
          <w:rFonts w:asciiTheme="minorHAnsi" w:hAnsiTheme="minorHAnsi" w:cstheme="minorHAnsi"/>
          <w:bCs/>
          <w:color w:val="000000" w:themeColor="text1"/>
          <w:sz w:val="22"/>
          <w:szCs w:val="22"/>
          <w:lang w:eastAsia="en-GB"/>
        </w:rPr>
        <w:t xml:space="preserve"> e0205770</w:t>
      </w:r>
      <w:r w:rsidRPr="00594E9F">
        <w:rPr>
          <w:rFonts w:asciiTheme="minorHAnsi" w:hAnsiTheme="minorHAnsi" w:cstheme="minorHAnsi"/>
          <w:bCs/>
          <w:color w:val="000000" w:themeColor="text1"/>
          <w:sz w:val="22"/>
          <w:szCs w:val="22"/>
          <w:lang w:eastAsia="en-GB"/>
        </w:rPr>
        <w:t xml:space="preserve"> </w:t>
      </w:r>
    </w:p>
    <w:p w14:paraId="052E13BF" w14:textId="3267734A" w:rsidR="00594E9F" w:rsidRPr="00594E9F" w:rsidRDefault="00594E9F" w:rsidP="00594E9F">
      <w:pPr>
        <w:pStyle w:val="NormalWeb"/>
        <w:numPr>
          <w:ilvl w:val="0"/>
          <w:numId w:val="15"/>
        </w:numPr>
        <w:spacing w:line="360" w:lineRule="auto"/>
        <w:jc w:val="both"/>
        <w:rPr>
          <w:rFonts w:asciiTheme="minorHAnsi" w:hAnsiTheme="minorHAnsi" w:cstheme="minorHAnsi"/>
          <w:bCs/>
          <w:color w:val="000000" w:themeColor="text1"/>
          <w:sz w:val="22"/>
          <w:szCs w:val="22"/>
          <w:lang w:eastAsia="en-GB"/>
        </w:rPr>
      </w:pPr>
      <w:proofErr w:type="spellStart"/>
      <w:r w:rsidRPr="00594E9F">
        <w:rPr>
          <w:rFonts w:asciiTheme="minorHAnsi" w:hAnsiTheme="minorHAnsi" w:cstheme="minorHAnsi"/>
          <w:bCs/>
          <w:color w:val="000000" w:themeColor="text1"/>
          <w:sz w:val="22"/>
          <w:szCs w:val="22"/>
          <w:lang w:eastAsia="en-GB"/>
        </w:rPr>
        <w:t>Jöst</w:t>
      </w:r>
      <w:proofErr w:type="spellEnd"/>
      <w:r w:rsidRPr="00594E9F">
        <w:rPr>
          <w:rFonts w:asciiTheme="minorHAnsi" w:hAnsiTheme="minorHAnsi" w:cstheme="minorHAnsi"/>
          <w:bCs/>
          <w:color w:val="000000" w:themeColor="text1"/>
          <w:sz w:val="22"/>
          <w:szCs w:val="22"/>
          <w:lang w:eastAsia="en-GB"/>
        </w:rPr>
        <w:t xml:space="preserve"> V, </w:t>
      </w:r>
      <w:proofErr w:type="spellStart"/>
      <w:r w:rsidRPr="00594E9F">
        <w:rPr>
          <w:rFonts w:asciiTheme="minorHAnsi" w:hAnsiTheme="minorHAnsi" w:cstheme="minorHAnsi"/>
          <w:bCs/>
          <w:color w:val="000000" w:themeColor="text1"/>
          <w:sz w:val="22"/>
          <w:szCs w:val="22"/>
          <w:lang w:eastAsia="en-GB"/>
        </w:rPr>
        <w:t>Kretschmer</w:t>
      </w:r>
      <w:proofErr w:type="spellEnd"/>
      <w:r w:rsidRPr="00594E9F">
        <w:rPr>
          <w:rFonts w:asciiTheme="minorHAnsi" w:hAnsiTheme="minorHAnsi" w:cstheme="minorHAnsi"/>
          <w:bCs/>
          <w:color w:val="000000" w:themeColor="text1"/>
          <w:sz w:val="22"/>
          <w:szCs w:val="22"/>
          <w:lang w:eastAsia="en-GB"/>
        </w:rPr>
        <w:t xml:space="preserve"> M, </w:t>
      </w:r>
      <w:proofErr w:type="spellStart"/>
      <w:r w:rsidRPr="00594E9F">
        <w:rPr>
          <w:rFonts w:asciiTheme="minorHAnsi" w:hAnsiTheme="minorHAnsi" w:cstheme="minorHAnsi"/>
          <w:bCs/>
          <w:color w:val="000000" w:themeColor="text1"/>
          <w:sz w:val="22"/>
          <w:szCs w:val="22"/>
          <w:lang w:eastAsia="en-GB"/>
        </w:rPr>
        <w:t>Sabatino</w:t>
      </w:r>
      <w:proofErr w:type="spellEnd"/>
      <w:r w:rsidRPr="00594E9F">
        <w:rPr>
          <w:rFonts w:asciiTheme="minorHAnsi" w:hAnsiTheme="minorHAnsi" w:cstheme="minorHAnsi"/>
          <w:bCs/>
          <w:color w:val="000000" w:themeColor="text1"/>
          <w:sz w:val="22"/>
          <w:szCs w:val="22"/>
          <w:lang w:eastAsia="en-GB"/>
        </w:rPr>
        <w:t xml:space="preserve"> M, </w:t>
      </w:r>
      <w:proofErr w:type="spellStart"/>
      <w:r w:rsidRPr="00594E9F">
        <w:rPr>
          <w:rFonts w:asciiTheme="minorHAnsi" w:hAnsiTheme="minorHAnsi" w:cstheme="minorHAnsi"/>
          <w:bCs/>
          <w:color w:val="000000" w:themeColor="text1"/>
          <w:sz w:val="22"/>
          <w:szCs w:val="22"/>
          <w:lang w:eastAsia="en-GB"/>
        </w:rPr>
        <w:t>Würschmidt</w:t>
      </w:r>
      <w:proofErr w:type="spellEnd"/>
      <w:r w:rsidRPr="00594E9F">
        <w:rPr>
          <w:rFonts w:asciiTheme="minorHAnsi" w:hAnsiTheme="minorHAnsi" w:cstheme="minorHAnsi"/>
          <w:bCs/>
          <w:color w:val="000000" w:themeColor="text1"/>
          <w:sz w:val="22"/>
          <w:szCs w:val="22"/>
          <w:lang w:eastAsia="en-GB"/>
        </w:rPr>
        <w:t xml:space="preserve"> F, </w:t>
      </w:r>
      <w:proofErr w:type="spellStart"/>
      <w:r w:rsidRPr="00594E9F">
        <w:rPr>
          <w:rFonts w:asciiTheme="minorHAnsi" w:hAnsiTheme="minorHAnsi" w:cstheme="minorHAnsi"/>
          <w:bCs/>
          <w:color w:val="000000" w:themeColor="text1"/>
          <w:sz w:val="22"/>
          <w:szCs w:val="22"/>
          <w:lang w:eastAsia="en-GB"/>
        </w:rPr>
        <w:t>Dahle</w:t>
      </w:r>
      <w:proofErr w:type="spellEnd"/>
      <w:r w:rsidRPr="00594E9F">
        <w:rPr>
          <w:rFonts w:asciiTheme="minorHAnsi" w:hAnsiTheme="minorHAnsi" w:cstheme="minorHAnsi"/>
          <w:bCs/>
          <w:color w:val="000000" w:themeColor="text1"/>
          <w:sz w:val="22"/>
          <w:szCs w:val="22"/>
          <w:lang w:eastAsia="en-GB"/>
        </w:rPr>
        <w:t xml:space="preserve"> J, </w:t>
      </w:r>
      <w:proofErr w:type="spellStart"/>
      <w:r w:rsidRPr="00594E9F">
        <w:rPr>
          <w:rFonts w:asciiTheme="minorHAnsi" w:hAnsiTheme="minorHAnsi" w:cstheme="minorHAnsi"/>
          <w:bCs/>
          <w:color w:val="000000" w:themeColor="text1"/>
          <w:sz w:val="22"/>
          <w:szCs w:val="22"/>
          <w:lang w:eastAsia="en-GB"/>
        </w:rPr>
        <w:t>Ueberle</w:t>
      </w:r>
      <w:proofErr w:type="spellEnd"/>
      <w:r w:rsidRPr="00594E9F">
        <w:rPr>
          <w:rFonts w:asciiTheme="minorHAnsi" w:hAnsiTheme="minorHAnsi" w:cstheme="minorHAnsi"/>
          <w:bCs/>
          <w:color w:val="000000" w:themeColor="text1"/>
          <w:sz w:val="22"/>
          <w:szCs w:val="22"/>
          <w:lang w:eastAsia="en-GB"/>
        </w:rPr>
        <w:t xml:space="preserve"> F et al. Heart dose reduction in breast cancer treatment with simultaneous integrated boost.</w:t>
      </w:r>
      <w:r w:rsidR="003560DD">
        <w:rPr>
          <w:rFonts w:asciiTheme="minorHAnsi" w:hAnsiTheme="minorHAnsi" w:cstheme="minorHAnsi"/>
          <w:bCs/>
          <w:color w:val="000000" w:themeColor="text1"/>
          <w:sz w:val="22"/>
          <w:szCs w:val="22"/>
          <w:lang w:eastAsia="en-GB"/>
        </w:rPr>
        <w:t xml:space="preserve"> </w:t>
      </w:r>
      <w:proofErr w:type="spellStart"/>
      <w:r w:rsidR="003560DD">
        <w:rPr>
          <w:rFonts w:asciiTheme="minorHAnsi" w:hAnsiTheme="minorHAnsi" w:cstheme="minorHAnsi"/>
          <w:bCs/>
          <w:color w:val="000000" w:themeColor="text1"/>
          <w:sz w:val="22"/>
          <w:szCs w:val="22"/>
          <w:lang w:eastAsia="en-GB"/>
        </w:rPr>
        <w:t>Strahlentherapie</w:t>
      </w:r>
      <w:proofErr w:type="spellEnd"/>
      <w:r w:rsidR="003560DD">
        <w:rPr>
          <w:rFonts w:asciiTheme="minorHAnsi" w:hAnsiTheme="minorHAnsi" w:cstheme="minorHAnsi"/>
          <w:bCs/>
          <w:color w:val="000000" w:themeColor="text1"/>
          <w:sz w:val="22"/>
          <w:szCs w:val="22"/>
          <w:lang w:eastAsia="en-GB"/>
        </w:rPr>
        <w:t xml:space="preserve"> und </w:t>
      </w:r>
      <w:proofErr w:type="spellStart"/>
      <w:r w:rsidR="003560DD">
        <w:rPr>
          <w:rFonts w:asciiTheme="minorHAnsi" w:hAnsiTheme="minorHAnsi" w:cstheme="minorHAnsi"/>
          <w:bCs/>
          <w:color w:val="000000" w:themeColor="text1"/>
          <w:sz w:val="22"/>
          <w:szCs w:val="22"/>
          <w:lang w:eastAsia="en-GB"/>
        </w:rPr>
        <w:t>Onkologie</w:t>
      </w:r>
      <w:proofErr w:type="spellEnd"/>
      <w:r w:rsidRPr="00594E9F">
        <w:rPr>
          <w:rFonts w:asciiTheme="minorHAnsi" w:hAnsiTheme="minorHAnsi" w:cstheme="minorHAnsi"/>
          <w:bCs/>
          <w:color w:val="000000" w:themeColor="text1"/>
          <w:sz w:val="22"/>
          <w:szCs w:val="22"/>
          <w:lang w:eastAsia="en-GB"/>
        </w:rPr>
        <w:t xml:space="preserve"> 2015;</w:t>
      </w:r>
      <w:r w:rsidR="003560DD">
        <w:rPr>
          <w:rFonts w:asciiTheme="minorHAnsi" w:hAnsiTheme="minorHAnsi" w:cstheme="minorHAnsi"/>
          <w:bCs/>
          <w:color w:val="000000" w:themeColor="text1"/>
          <w:sz w:val="22"/>
          <w:szCs w:val="22"/>
          <w:lang w:eastAsia="en-GB"/>
        </w:rPr>
        <w:t xml:space="preserve"> </w:t>
      </w:r>
      <w:r w:rsidRPr="00594E9F">
        <w:rPr>
          <w:rFonts w:asciiTheme="minorHAnsi" w:hAnsiTheme="minorHAnsi" w:cstheme="minorHAnsi"/>
          <w:bCs/>
          <w:color w:val="000000" w:themeColor="text1"/>
          <w:sz w:val="22"/>
          <w:szCs w:val="22"/>
          <w:lang w:eastAsia="en-GB"/>
        </w:rPr>
        <w:t>191(9):</w:t>
      </w:r>
      <w:r w:rsidR="003560DD">
        <w:rPr>
          <w:rFonts w:asciiTheme="minorHAnsi" w:hAnsiTheme="minorHAnsi" w:cstheme="minorHAnsi"/>
          <w:bCs/>
          <w:color w:val="000000" w:themeColor="text1"/>
          <w:sz w:val="22"/>
          <w:szCs w:val="22"/>
          <w:lang w:eastAsia="en-GB"/>
        </w:rPr>
        <w:t xml:space="preserve"> 734-741</w:t>
      </w:r>
      <w:r w:rsidRPr="00594E9F">
        <w:rPr>
          <w:rFonts w:asciiTheme="minorHAnsi" w:hAnsiTheme="minorHAnsi" w:cstheme="minorHAnsi"/>
          <w:bCs/>
          <w:color w:val="000000" w:themeColor="text1"/>
          <w:sz w:val="22"/>
          <w:szCs w:val="22"/>
          <w:lang w:eastAsia="en-GB"/>
        </w:rPr>
        <w:t xml:space="preserve"> </w:t>
      </w:r>
    </w:p>
    <w:p w14:paraId="6DA66DF7" w14:textId="3575F00D" w:rsidR="000A523E" w:rsidRPr="00892385" w:rsidRDefault="00594E9F" w:rsidP="00594E9F">
      <w:pPr>
        <w:pStyle w:val="NormalWeb"/>
        <w:numPr>
          <w:ilvl w:val="0"/>
          <w:numId w:val="15"/>
        </w:numPr>
        <w:spacing w:line="360" w:lineRule="auto"/>
        <w:jc w:val="both"/>
        <w:rPr>
          <w:rFonts w:asciiTheme="minorHAnsi" w:hAnsiTheme="minorHAnsi" w:cstheme="minorHAnsi"/>
          <w:bCs/>
          <w:color w:val="000000" w:themeColor="text1"/>
          <w:sz w:val="22"/>
          <w:szCs w:val="22"/>
        </w:rPr>
      </w:pPr>
      <w:proofErr w:type="spellStart"/>
      <w:r w:rsidRPr="00594E9F">
        <w:rPr>
          <w:rFonts w:asciiTheme="minorHAnsi" w:hAnsiTheme="minorHAnsi" w:cstheme="minorHAnsi"/>
          <w:bCs/>
          <w:color w:val="000000" w:themeColor="text1"/>
          <w:sz w:val="22"/>
          <w:szCs w:val="22"/>
          <w:lang w:eastAsia="en-GB"/>
        </w:rPr>
        <w:t>Fogliata</w:t>
      </w:r>
      <w:proofErr w:type="spellEnd"/>
      <w:r w:rsidRPr="00594E9F">
        <w:rPr>
          <w:rFonts w:asciiTheme="minorHAnsi" w:hAnsiTheme="minorHAnsi" w:cstheme="minorHAnsi"/>
          <w:bCs/>
          <w:color w:val="000000" w:themeColor="text1"/>
          <w:sz w:val="22"/>
          <w:szCs w:val="22"/>
          <w:lang w:eastAsia="en-GB"/>
        </w:rPr>
        <w:t xml:space="preserve"> A, </w:t>
      </w:r>
      <w:proofErr w:type="spellStart"/>
      <w:r w:rsidRPr="00594E9F">
        <w:rPr>
          <w:rFonts w:asciiTheme="minorHAnsi" w:hAnsiTheme="minorHAnsi" w:cstheme="minorHAnsi"/>
          <w:bCs/>
          <w:color w:val="000000" w:themeColor="text1"/>
          <w:sz w:val="22"/>
          <w:szCs w:val="22"/>
          <w:lang w:eastAsia="en-GB"/>
        </w:rPr>
        <w:t>Seppälä</w:t>
      </w:r>
      <w:proofErr w:type="spellEnd"/>
      <w:r w:rsidRPr="00594E9F">
        <w:rPr>
          <w:rFonts w:asciiTheme="minorHAnsi" w:hAnsiTheme="minorHAnsi" w:cstheme="minorHAnsi"/>
          <w:bCs/>
          <w:color w:val="000000" w:themeColor="text1"/>
          <w:sz w:val="22"/>
          <w:szCs w:val="22"/>
          <w:lang w:eastAsia="en-GB"/>
        </w:rPr>
        <w:t xml:space="preserve"> J, </w:t>
      </w:r>
      <w:proofErr w:type="spellStart"/>
      <w:r w:rsidRPr="00594E9F">
        <w:rPr>
          <w:rFonts w:asciiTheme="minorHAnsi" w:hAnsiTheme="minorHAnsi" w:cstheme="minorHAnsi"/>
          <w:bCs/>
          <w:color w:val="000000" w:themeColor="text1"/>
          <w:sz w:val="22"/>
          <w:szCs w:val="22"/>
          <w:lang w:eastAsia="en-GB"/>
        </w:rPr>
        <w:t>Reggiori</w:t>
      </w:r>
      <w:proofErr w:type="spellEnd"/>
      <w:r w:rsidRPr="00594E9F">
        <w:rPr>
          <w:rFonts w:asciiTheme="minorHAnsi" w:hAnsiTheme="minorHAnsi" w:cstheme="minorHAnsi"/>
          <w:bCs/>
          <w:color w:val="000000" w:themeColor="text1"/>
          <w:sz w:val="22"/>
          <w:szCs w:val="22"/>
          <w:lang w:eastAsia="en-GB"/>
        </w:rPr>
        <w:t xml:space="preserve"> G, </w:t>
      </w:r>
      <w:proofErr w:type="spellStart"/>
      <w:r w:rsidRPr="00594E9F">
        <w:rPr>
          <w:rFonts w:asciiTheme="minorHAnsi" w:hAnsiTheme="minorHAnsi" w:cstheme="minorHAnsi"/>
          <w:bCs/>
          <w:color w:val="000000" w:themeColor="text1"/>
          <w:sz w:val="22"/>
          <w:szCs w:val="22"/>
          <w:lang w:eastAsia="en-GB"/>
        </w:rPr>
        <w:t>Lobefalo</w:t>
      </w:r>
      <w:proofErr w:type="spellEnd"/>
      <w:r w:rsidRPr="00594E9F">
        <w:rPr>
          <w:rFonts w:asciiTheme="minorHAnsi" w:hAnsiTheme="minorHAnsi" w:cstheme="minorHAnsi"/>
          <w:bCs/>
          <w:color w:val="000000" w:themeColor="text1"/>
          <w:sz w:val="22"/>
          <w:szCs w:val="22"/>
          <w:lang w:eastAsia="en-GB"/>
        </w:rPr>
        <w:t xml:space="preserve"> F, Palumbo V, De Rose F et al. Dosimetric trade-offs in breast treatment with VMAT technique. T</w:t>
      </w:r>
      <w:r w:rsidR="003560DD">
        <w:rPr>
          <w:rFonts w:asciiTheme="minorHAnsi" w:hAnsiTheme="minorHAnsi" w:cstheme="minorHAnsi"/>
          <w:bCs/>
          <w:color w:val="000000" w:themeColor="text1"/>
          <w:sz w:val="22"/>
          <w:szCs w:val="22"/>
          <w:lang w:eastAsia="en-GB"/>
        </w:rPr>
        <w:t>he British Journal of Radiology</w:t>
      </w:r>
      <w:r w:rsidRPr="00594E9F">
        <w:rPr>
          <w:rFonts w:asciiTheme="minorHAnsi" w:hAnsiTheme="minorHAnsi" w:cstheme="minorHAnsi"/>
          <w:bCs/>
          <w:color w:val="000000" w:themeColor="text1"/>
          <w:sz w:val="22"/>
          <w:szCs w:val="22"/>
          <w:lang w:eastAsia="en-GB"/>
        </w:rPr>
        <w:t xml:space="preserve"> 2017;</w:t>
      </w:r>
      <w:r w:rsidR="003560DD">
        <w:rPr>
          <w:rFonts w:asciiTheme="minorHAnsi" w:hAnsiTheme="minorHAnsi" w:cstheme="minorHAnsi"/>
          <w:bCs/>
          <w:color w:val="000000" w:themeColor="text1"/>
          <w:sz w:val="22"/>
          <w:szCs w:val="22"/>
          <w:lang w:eastAsia="en-GB"/>
        </w:rPr>
        <w:t xml:space="preserve"> </w:t>
      </w:r>
      <w:r w:rsidRPr="00594E9F">
        <w:rPr>
          <w:rFonts w:asciiTheme="minorHAnsi" w:hAnsiTheme="minorHAnsi" w:cstheme="minorHAnsi"/>
          <w:bCs/>
          <w:color w:val="000000" w:themeColor="text1"/>
          <w:sz w:val="22"/>
          <w:szCs w:val="22"/>
          <w:lang w:eastAsia="en-GB"/>
        </w:rPr>
        <w:t>90(1070):</w:t>
      </w:r>
      <w:r w:rsidR="003560DD">
        <w:rPr>
          <w:rFonts w:asciiTheme="minorHAnsi" w:hAnsiTheme="minorHAnsi" w:cstheme="minorHAnsi"/>
          <w:bCs/>
          <w:color w:val="000000" w:themeColor="text1"/>
          <w:sz w:val="22"/>
          <w:szCs w:val="22"/>
          <w:lang w:eastAsia="en-GB"/>
        </w:rPr>
        <w:t xml:space="preserve"> 20160701</w:t>
      </w:r>
    </w:p>
    <w:p w14:paraId="658764CF" w14:textId="16334FAA" w:rsidR="00215224" w:rsidRPr="00892385" w:rsidRDefault="00215224" w:rsidP="009916B3">
      <w:pPr>
        <w:autoSpaceDE w:val="0"/>
        <w:autoSpaceDN w:val="0"/>
        <w:adjustRightInd w:val="0"/>
        <w:spacing w:line="360" w:lineRule="auto"/>
        <w:jc w:val="both"/>
        <w:rPr>
          <w:rFonts w:asciiTheme="minorHAnsi" w:hAnsiTheme="minorHAnsi" w:cstheme="minorHAnsi"/>
          <w:bCs/>
          <w:color w:val="000000" w:themeColor="text1"/>
          <w:sz w:val="22"/>
          <w:szCs w:val="22"/>
        </w:rPr>
      </w:pPr>
    </w:p>
    <w:p w14:paraId="1E9D0E54" w14:textId="77777777" w:rsidR="006503A0" w:rsidRPr="00892385" w:rsidRDefault="006503A0" w:rsidP="009916B3">
      <w:pPr>
        <w:spacing w:line="360" w:lineRule="auto"/>
        <w:jc w:val="both"/>
        <w:rPr>
          <w:rFonts w:asciiTheme="minorHAnsi" w:hAnsiTheme="minorHAnsi" w:cstheme="minorHAnsi"/>
          <w:bCs/>
          <w:color w:val="000000" w:themeColor="text1"/>
          <w:sz w:val="22"/>
          <w:szCs w:val="22"/>
        </w:rPr>
      </w:pPr>
    </w:p>
    <w:sectPr w:rsidR="006503A0" w:rsidRPr="00892385" w:rsidSect="00096968">
      <w:footerReference w:type="default" r:id="rId10"/>
      <w:pgSz w:w="11900"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AB007" w14:textId="77777777" w:rsidR="006758AC" w:rsidRDefault="006758AC" w:rsidP="00400130">
      <w:r>
        <w:separator/>
      </w:r>
    </w:p>
  </w:endnote>
  <w:endnote w:type="continuationSeparator" w:id="0">
    <w:p w14:paraId="36959331" w14:textId="77777777" w:rsidR="006758AC" w:rsidRDefault="006758AC" w:rsidP="0040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0323965"/>
      <w:docPartObj>
        <w:docPartGallery w:val="Page Numbers (Bottom of Page)"/>
        <w:docPartUnique/>
      </w:docPartObj>
    </w:sdtPr>
    <w:sdtEndPr>
      <w:rPr>
        <w:rStyle w:val="PageNumber"/>
      </w:rPr>
    </w:sdtEndPr>
    <w:sdtContent>
      <w:p w14:paraId="02175B5B" w14:textId="36FBD074" w:rsidR="00023B31" w:rsidRDefault="00023B31" w:rsidP="00E709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A00DD">
          <w:rPr>
            <w:rStyle w:val="PageNumber"/>
            <w:noProof/>
          </w:rPr>
          <w:t>11</w:t>
        </w:r>
        <w:r>
          <w:rPr>
            <w:rStyle w:val="PageNumber"/>
          </w:rPr>
          <w:fldChar w:fldCharType="end"/>
        </w:r>
      </w:p>
    </w:sdtContent>
  </w:sdt>
  <w:p w14:paraId="2FA19712" w14:textId="77777777" w:rsidR="00023B31" w:rsidRDefault="00023B31" w:rsidP="000969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87929" w14:textId="77777777" w:rsidR="006758AC" w:rsidRDefault="006758AC" w:rsidP="00400130">
      <w:r>
        <w:separator/>
      </w:r>
    </w:p>
  </w:footnote>
  <w:footnote w:type="continuationSeparator" w:id="0">
    <w:p w14:paraId="65081EE5" w14:textId="77777777" w:rsidR="006758AC" w:rsidRDefault="006758AC" w:rsidP="00400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365"/>
    <w:multiLevelType w:val="hybridMultilevel"/>
    <w:tmpl w:val="16565E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094A05"/>
    <w:multiLevelType w:val="hybridMultilevel"/>
    <w:tmpl w:val="A61A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47F7F"/>
    <w:multiLevelType w:val="hybridMultilevel"/>
    <w:tmpl w:val="245E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D2CEC"/>
    <w:multiLevelType w:val="hybridMultilevel"/>
    <w:tmpl w:val="4C3ADCD8"/>
    <w:lvl w:ilvl="0" w:tplc="A5729132">
      <w:start w:val="1"/>
      <w:numFmt w:val="bullet"/>
      <w:lvlText w:val=""/>
      <w:lvlJc w:val="left"/>
      <w:pPr>
        <w:ind w:left="720" w:hanging="360"/>
      </w:pPr>
      <w:rPr>
        <w:rFonts w:ascii="Symbol" w:hAnsi="Symbol" w:hint="default"/>
      </w:rPr>
    </w:lvl>
    <w:lvl w:ilvl="1" w:tplc="CC3A813E" w:tentative="1">
      <w:start w:val="1"/>
      <w:numFmt w:val="bullet"/>
      <w:lvlText w:val="o"/>
      <w:lvlJc w:val="left"/>
      <w:pPr>
        <w:ind w:left="1440" w:hanging="360"/>
      </w:pPr>
      <w:rPr>
        <w:rFonts w:ascii="Courier New" w:hAnsi="Courier New" w:cs="Courier New" w:hint="default"/>
      </w:rPr>
    </w:lvl>
    <w:lvl w:ilvl="2" w:tplc="C158E1AA" w:tentative="1">
      <w:start w:val="1"/>
      <w:numFmt w:val="bullet"/>
      <w:lvlText w:val=""/>
      <w:lvlJc w:val="left"/>
      <w:pPr>
        <w:ind w:left="2160" w:hanging="360"/>
      </w:pPr>
      <w:rPr>
        <w:rFonts w:ascii="Wingdings" w:hAnsi="Wingdings" w:hint="default"/>
      </w:rPr>
    </w:lvl>
    <w:lvl w:ilvl="3" w:tplc="F38A89BC" w:tentative="1">
      <w:start w:val="1"/>
      <w:numFmt w:val="bullet"/>
      <w:lvlText w:val=""/>
      <w:lvlJc w:val="left"/>
      <w:pPr>
        <w:ind w:left="2880" w:hanging="360"/>
      </w:pPr>
      <w:rPr>
        <w:rFonts w:ascii="Symbol" w:hAnsi="Symbol" w:hint="default"/>
      </w:rPr>
    </w:lvl>
    <w:lvl w:ilvl="4" w:tplc="5B82242C" w:tentative="1">
      <w:start w:val="1"/>
      <w:numFmt w:val="bullet"/>
      <w:lvlText w:val="o"/>
      <w:lvlJc w:val="left"/>
      <w:pPr>
        <w:ind w:left="3600" w:hanging="360"/>
      </w:pPr>
      <w:rPr>
        <w:rFonts w:ascii="Courier New" w:hAnsi="Courier New" w:cs="Courier New" w:hint="default"/>
      </w:rPr>
    </w:lvl>
    <w:lvl w:ilvl="5" w:tplc="2D1E274E" w:tentative="1">
      <w:start w:val="1"/>
      <w:numFmt w:val="bullet"/>
      <w:lvlText w:val=""/>
      <w:lvlJc w:val="left"/>
      <w:pPr>
        <w:ind w:left="4320" w:hanging="360"/>
      </w:pPr>
      <w:rPr>
        <w:rFonts w:ascii="Wingdings" w:hAnsi="Wingdings" w:hint="default"/>
      </w:rPr>
    </w:lvl>
    <w:lvl w:ilvl="6" w:tplc="2B1A007C" w:tentative="1">
      <w:start w:val="1"/>
      <w:numFmt w:val="bullet"/>
      <w:lvlText w:val=""/>
      <w:lvlJc w:val="left"/>
      <w:pPr>
        <w:ind w:left="5040" w:hanging="360"/>
      </w:pPr>
      <w:rPr>
        <w:rFonts w:ascii="Symbol" w:hAnsi="Symbol" w:hint="default"/>
      </w:rPr>
    </w:lvl>
    <w:lvl w:ilvl="7" w:tplc="FC9EE3B6" w:tentative="1">
      <w:start w:val="1"/>
      <w:numFmt w:val="bullet"/>
      <w:lvlText w:val="o"/>
      <w:lvlJc w:val="left"/>
      <w:pPr>
        <w:ind w:left="5760" w:hanging="360"/>
      </w:pPr>
      <w:rPr>
        <w:rFonts w:ascii="Courier New" w:hAnsi="Courier New" w:cs="Courier New" w:hint="default"/>
      </w:rPr>
    </w:lvl>
    <w:lvl w:ilvl="8" w:tplc="52D2D572" w:tentative="1">
      <w:start w:val="1"/>
      <w:numFmt w:val="bullet"/>
      <w:lvlText w:val=""/>
      <w:lvlJc w:val="left"/>
      <w:pPr>
        <w:ind w:left="6480" w:hanging="360"/>
      </w:pPr>
      <w:rPr>
        <w:rFonts w:ascii="Wingdings" w:hAnsi="Wingdings" w:hint="default"/>
      </w:rPr>
    </w:lvl>
  </w:abstractNum>
  <w:abstractNum w:abstractNumId="4" w15:restartNumberingAfterBreak="0">
    <w:nsid w:val="1C0B09EB"/>
    <w:multiLevelType w:val="hybridMultilevel"/>
    <w:tmpl w:val="4910826A"/>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783889"/>
    <w:multiLevelType w:val="multilevel"/>
    <w:tmpl w:val="D48230EC"/>
    <w:lvl w:ilvl="0">
      <w:start w:val="1"/>
      <w:numFmt w:val="decimal"/>
      <w:lvlText w:val="%1."/>
      <w:lvlJc w:val="left"/>
      <w:pPr>
        <w:ind w:left="36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15:restartNumberingAfterBreak="0">
    <w:nsid w:val="1DF14B40"/>
    <w:multiLevelType w:val="hybridMultilevel"/>
    <w:tmpl w:val="126C00D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E2A00"/>
    <w:multiLevelType w:val="hybridMultilevel"/>
    <w:tmpl w:val="DF962978"/>
    <w:lvl w:ilvl="0" w:tplc="BE64AB58">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95676"/>
    <w:multiLevelType w:val="hybridMultilevel"/>
    <w:tmpl w:val="813E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E7325"/>
    <w:multiLevelType w:val="hybridMultilevel"/>
    <w:tmpl w:val="4190BB50"/>
    <w:lvl w:ilvl="0" w:tplc="16308DD8">
      <w:start w:val="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300D62"/>
    <w:multiLevelType w:val="hybridMultilevel"/>
    <w:tmpl w:val="59A813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00AD0"/>
    <w:multiLevelType w:val="hybridMultilevel"/>
    <w:tmpl w:val="DE10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D4ECE"/>
    <w:multiLevelType w:val="hybridMultilevel"/>
    <w:tmpl w:val="051423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88C1EEB"/>
    <w:multiLevelType w:val="hybridMultilevel"/>
    <w:tmpl w:val="CCE0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81D66"/>
    <w:multiLevelType w:val="hybridMultilevel"/>
    <w:tmpl w:val="2006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3"/>
  </w:num>
  <w:num w:numId="5">
    <w:abstractNumId w:val="2"/>
  </w:num>
  <w:num w:numId="6">
    <w:abstractNumId w:val="10"/>
  </w:num>
  <w:num w:numId="7">
    <w:abstractNumId w:val="1"/>
  </w:num>
  <w:num w:numId="8">
    <w:abstractNumId w:val="14"/>
  </w:num>
  <w:num w:numId="9">
    <w:abstractNumId w:val="0"/>
  </w:num>
  <w:num w:numId="10">
    <w:abstractNumId w:val="5"/>
  </w:num>
  <w:num w:numId="11">
    <w:abstractNumId w:val="4"/>
  </w:num>
  <w:num w:numId="12">
    <w:abstractNumId w:val="6"/>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01"/>
    <w:rsid w:val="00001DEC"/>
    <w:rsid w:val="00003206"/>
    <w:rsid w:val="000033D6"/>
    <w:rsid w:val="0000372F"/>
    <w:rsid w:val="00004350"/>
    <w:rsid w:val="000051AB"/>
    <w:rsid w:val="000052B2"/>
    <w:rsid w:val="000059C5"/>
    <w:rsid w:val="0000672D"/>
    <w:rsid w:val="000107CC"/>
    <w:rsid w:val="0001369D"/>
    <w:rsid w:val="000136DF"/>
    <w:rsid w:val="00013949"/>
    <w:rsid w:val="0001502A"/>
    <w:rsid w:val="00015629"/>
    <w:rsid w:val="00015AAD"/>
    <w:rsid w:val="00023B31"/>
    <w:rsid w:val="0002676C"/>
    <w:rsid w:val="0003248F"/>
    <w:rsid w:val="00032FC0"/>
    <w:rsid w:val="00033882"/>
    <w:rsid w:val="0004058A"/>
    <w:rsid w:val="0004234D"/>
    <w:rsid w:val="00042629"/>
    <w:rsid w:val="000446B3"/>
    <w:rsid w:val="0004671C"/>
    <w:rsid w:val="0004724A"/>
    <w:rsid w:val="00055C1B"/>
    <w:rsid w:val="00056FAE"/>
    <w:rsid w:val="00063DB2"/>
    <w:rsid w:val="00067F23"/>
    <w:rsid w:val="00070832"/>
    <w:rsid w:val="00071465"/>
    <w:rsid w:val="000748D2"/>
    <w:rsid w:val="000803E9"/>
    <w:rsid w:val="00084EDA"/>
    <w:rsid w:val="0009505C"/>
    <w:rsid w:val="00095326"/>
    <w:rsid w:val="00095B4D"/>
    <w:rsid w:val="00096968"/>
    <w:rsid w:val="000A0FE4"/>
    <w:rsid w:val="000A2F5F"/>
    <w:rsid w:val="000A4518"/>
    <w:rsid w:val="000A523E"/>
    <w:rsid w:val="000A58B8"/>
    <w:rsid w:val="000A62D4"/>
    <w:rsid w:val="000B40C0"/>
    <w:rsid w:val="000B6413"/>
    <w:rsid w:val="000C2A45"/>
    <w:rsid w:val="000D2370"/>
    <w:rsid w:val="000D37BB"/>
    <w:rsid w:val="000D5B23"/>
    <w:rsid w:val="000D6D2B"/>
    <w:rsid w:val="000E1EB1"/>
    <w:rsid w:val="000E2648"/>
    <w:rsid w:val="000E7986"/>
    <w:rsid w:val="000F45E6"/>
    <w:rsid w:val="000F49F1"/>
    <w:rsid w:val="00105D6D"/>
    <w:rsid w:val="00106EFE"/>
    <w:rsid w:val="00112C0F"/>
    <w:rsid w:val="00112FFA"/>
    <w:rsid w:val="001144C3"/>
    <w:rsid w:val="001146DB"/>
    <w:rsid w:val="001205C7"/>
    <w:rsid w:val="00120C1F"/>
    <w:rsid w:val="00123148"/>
    <w:rsid w:val="00124A5B"/>
    <w:rsid w:val="00126756"/>
    <w:rsid w:val="001319D2"/>
    <w:rsid w:val="00136684"/>
    <w:rsid w:val="001425A9"/>
    <w:rsid w:val="001475FF"/>
    <w:rsid w:val="0015128B"/>
    <w:rsid w:val="001525AC"/>
    <w:rsid w:val="001542AB"/>
    <w:rsid w:val="0015492B"/>
    <w:rsid w:val="00155BA9"/>
    <w:rsid w:val="00156231"/>
    <w:rsid w:val="00163D04"/>
    <w:rsid w:val="001710F1"/>
    <w:rsid w:val="00174AC2"/>
    <w:rsid w:val="00175E4E"/>
    <w:rsid w:val="00177152"/>
    <w:rsid w:val="00180F27"/>
    <w:rsid w:val="0018292A"/>
    <w:rsid w:val="00187EB2"/>
    <w:rsid w:val="00192341"/>
    <w:rsid w:val="00193B7D"/>
    <w:rsid w:val="00195E77"/>
    <w:rsid w:val="00197930"/>
    <w:rsid w:val="001A225E"/>
    <w:rsid w:val="001A33FE"/>
    <w:rsid w:val="001A4E9B"/>
    <w:rsid w:val="001A5EDD"/>
    <w:rsid w:val="001A65E3"/>
    <w:rsid w:val="001A7C43"/>
    <w:rsid w:val="001B3ED1"/>
    <w:rsid w:val="001B494D"/>
    <w:rsid w:val="001B5415"/>
    <w:rsid w:val="001C3B58"/>
    <w:rsid w:val="001C4854"/>
    <w:rsid w:val="001D2D24"/>
    <w:rsid w:val="001D521B"/>
    <w:rsid w:val="001D6CF8"/>
    <w:rsid w:val="001E4D78"/>
    <w:rsid w:val="001E706C"/>
    <w:rsid w:val="001E77E5"/>
    <w:rsid w:val="001F1591"/>
    <w:rsid w:val="001F53C3"/>
    <w:rsid w:val="002024E8"/>
    <w:rsid w:val="002137F7"/>
    <w:rsid w:val="00215224"/>
    <w:rsid w:val="00215737"/>
    <w:rsid w:val="002177BC"/>
    <w:rsid w:val="002200DF"/>
    <w:rsid w:val="00220268"/>
    <w:rsid w:val="00220513"/>
    <w:rsid w:val="00223A41"/>
    <w:rsid w:val="0022421C"/>
    <w:rsid w:val="00224459"/>
    <w:rsid w:val="0022554B"/>
    <w:rsid w:val="00225995"/>
    <w:rsid w:val="0022607B"/>
    <w:rsid w:val="002269AD"/>
    <w:rsid w:val="002314AC"/>
    <w:rsid w:val="002327C7"/>
    <w:rsid w:val="002368DD"/>
    <w:rsid w:val="00236B9B"/>
    <w:rsid w:val="00240D0A"/>
    <w:rsid w:val="00242D4E"/>
    <w:rsid w:val="00243782"/>
    <w:rsid w:val="0025358E"/>
    <w:rsid w:val="00253D27"/>
    <w:rsid w:val="002545A1"/>
    <w:rsid w:val="002551EE"/>
    <w:rsid w:val="0025558B"/>
    <w:rsid w:val="00256C59"/>
    <w:rsid w:val="0026337F"/>
    <w:rsid w:val="002639B5"/>
    <w:rsid w:val="002727F9"/>
    <w:rsid w:val="0027592D"/>
    <w:rsid w:val="00280C8B"/>
    <w:rsid w:val="00281BC0"/>
    <w:rsid w:val="00282CC5"/>
    <w:rsid w:val="00284E39"/>
    <w:rsid w:val="0028658D"/>
    <w:rsid w:val="002879C6"/>
    <w:rsid w:val="00291E51"/>
    <w:rsid w:val="00291F4C"/>
    <w:rsid w:val="00293AD4"/>
    <w:rsid w:val="00294C96"/>
    <w:rsid w:val="00296E18"/>
    <w:rsid w:val="002A09B4"/>
    <w:rsid w:val="002A2F00"/>
    <w:rsid w:val="002A3A88"/>
    <w:rsid w:val="002A4E11"/>
    <w:rsid w:val="002A5C2B"/>
    <w:rsid w:val="002A704D"/>
    <w:rsid w:val="002B02B4"/>
    <w:rsid w:val="002B0C80"/>
    <w:rsid w:val="002B25D2"/>
    <w:rsid w:val="002B2BC8"/>
    <w:rsid w:val="002B2C56"/>
    <w:rsid w:val="002B2CB9"/>
    <w:rsid w:val="002B4618"/>
    <w:rsid w:val="002B5B8F"/>
    <w:rsid w:val="002B5CB6"/>
    <w:rsid w:val="002B7082"/>
    <w:rsid w:val="002C3A1F"/>
    <w:rsid w:val="002C41D9"/>
    <w:rsid w:val="002C6133"/>
    <w:rsid w:val="002C67D5"/>
    <w:rsid w:val="002D2664"/>
    <w:rsid w:val="002D2E33"/>
    <w:rsid w:val="002D34EF"/>
    <w:rsid w:val="002E1939"/>
    <w:rsid w:val="002E527A"/>
    <w:rsid w:val="002E718B"/>
    <w:rsid w:val="002E75B5"/>
    <w:rsid w:val="002E7BB3"/>
    <w:rsid w:val="002E7BE9"/>
    <w:rsid w:val="002F356E"/>
    <w:rsid w:val="002F5C24"/>
    <w:rsid w:val="002F70E3"/>
    <w:rsid w:val="002F7250"/>
    <w:rsid w:val="0030001F"/>
    <w:rsid w:val="003037CF"/>
    <w:rsid w:val="003066FF"/>
    <w:rsid w:val="003117D4"/>
    <w:rsid w:val="00312B98"/>
    <w:rsid w:val="00312D6B"/>
    <w:rsid w:val="00312E89"/>
    <w:rsid w:val="0031317D"/>
    <w:rsid w:val="003133B9"/>
    <w:rsid w:val="00313C9E"/>
    <w:rsid w:val="003150C3"/>
    <w:rsid w:val="0031717E"/>
    <w:rsid w:val="0032066B"/>
    <w:rsid w:val="00320F24"/>
    <w:rsid w:val="00321221"/>
    <w:rsid w:val="0032239E"/>
    <w:rsid w:val="00323BCE"/>
    <w:rsid w:val="003257B3"/>
    <w:rsid w:val="00327833"/>
    <w:rsid w:val="00327835"/>
    <w:rsid w:val="00332D3F"/>
    <w:rsid w:val="003348F3"/>
    <w:rsid w:val="00336152"/>
    <w:rsid w:val="0033628E"/>
    <w:rsid w:val="003378F7"/>
    <w:rsid w:val="00340C71"/>
    <w:rsid w:val="003422D8"/>
    <w:rsid w:val="00343CB1"/>
    <w:rsid w:val="003444FC"/>
    <w:rsid w:val="00344E2C"/>
    <w:rsid w:val="00346DFD"/>
    <w:rsid w:val="00347262"/>
    <w:rsid w:val="00347B6D"/>
    <w:rsid w:val="00352466"/>
    <w:rsid w:val="003560DD"/>
    <w:rsid w:val="00357034"/>
    <w:rsid w:val="00360850"/>
    <w:rsid w:val="00362879"/>
    <w:rsid w:val="003643C0"/>
    <w:rsid w:val="00364FB4"/>
    <w:rsid w:val="0036547C"/>
    <w:rsid w:val="003665C1"/>
    <w:rsid w:val="0037374E"/>
    <w:rsid w:val="00373F34"/>
    <w:rsid w:val="00374905"/>
    <w:rsid w:val="00375279"/>
    <w:rsid w:val="00377962"/>
    <w:rsid w:val="003811DB"/>
    <w:rsid w:val="0038164D"/>
    <w:rsid w:val="00382599"/>
    <w:rsid w:val="00382702"/>
    <w:rsid w:val="00382A97"/>
    <w:rsid w:val="003845AE"/>
    <w:rsid w:val="00385A65"/>
    <w:rsid w:val="00385EED"/>
    <w:rsid w:val="00386FE2"/>
    <w:rsid w:val="00387488"/>
    <w:rsid w:val="003902DE"/>
    <w:rsid w:val="00390855"/>
    <w:rsid w:val="00391215"/>
    <w:rsid w:val="0039575B"/>
    <w:rsid w:val="003A1D28"/>
    <w:rsid w:val="003A5E92"/>
    <w:rsid w:val="003A7709"/>
    <w:rsid w:val="003A7F5B"/>
    <w:rsid w:val="003B0E0E"/>
    <w:rsid w:val="003B12A5"/>
    <w:rsid w:val="003B34A4"/>
    <w:rsid w:val="003B40BC"/>
    <w:rsid w:val="003B465A"/>
    <w:rsid w:val="003B79BD"/>
    <w:rsid w:val="003B7BF8"/>
    <w:rsid w:val="003C1941"/>
    <w:rsid w:val="003C4B90"/>
    <w:rsid w:val="003C619B"/>
    <w:rsid w:val="003C6371"/>
    <w:rsid w:val="003C7154"/>
    <w:rsid w:val="003C7C7C"/>
    <w:rsid w:val="003D0F81"/>
    <w:rsid w:val="003D164E"/>
    <w:rsid w:val="003D44E9"/>
    <w:rsid w:val="003D5EA3"/>
    <w:rsid w:val="003D63B5"/>
    <w:rsid w:val="003D7E6F"/>
    <w:rsid w:val="003E039F"/>
    <w:rsid w:val="003E1379"/>
    <w:rsid w:val="003E15B6"/>
    <w:rsid w:val="003E434F"/>
    <w:rsid w:val="003E522C"/>
    <w:rsid w:val="003F138C"/>
    <w:rsid w:val="003F27EC"/>
    <w:rsid w:val="003F52B0"/>
    <w:rsid w:val="003F5712"/>
    <w:rsid w:val="003F6317"/>
    <w:rsid w:val="00400130"/>
    <w:rsid w:val="00401B4B"/>
    <w:rsid w:val="004029D5"/>
    <w:rsid w:val="00402B32"/>
    <w:rsid w:val="00403FCF"/>
    <w:rsid w:val="00404B87"/>
    <w:rsid w:val="004078A6"/>
    <w:rsid w:val="004107C9"/>
    <w:rsid w:val="00413BBC"/>
    <w:rsid w:val="004150DA"/>
    <w:rsid w:val="00415ECB"/>
    <w:rsid w:val="00416467"/>
    <w:rsid w:val="00417025"/>
    <w:rsid w:val="00421CBD"/>
    <w:rsid w:val="00421ED6"/>
    <w:rsid w:val="00423E88"/>
    <w:rsid w:val="004242D9"/>
    <w:rsid w:val="004250E5"/>
    <w:rsid w:val="0043042E"/>
    <w:rsid w:val="00431130"/>
    <w:rsid w:val="00431200"/>
    <w:rsid w:val="00432776"/>
    <w:rsid w:val="004331D6"/>
    <w:rsid w:val="004331EA"/>
    <w:rsid w:val="00441DEB"/>
    <w:rsid w:val="00441EED"/>
    <w:rsid w:val="0044391B"/>
    <w:rsid w:val="00444633"/>
    <w:rsid w:val="0044563E"/>
    <w:rsid w:val="00446D98"/>
    <w:rsid w:val="00447EEA"/>
    <w:rsid w:val="00454ABB"/>
    <w:rsid w:val="00454DE5"/>
    <w:rsid w:val="00454E6D"/>
    <w:rsid w:val="00455C70"/>
    <w:rsid w:val="0045620D"/>
    <w:rsid w:val="00456FC2"/>
    <w:rsid w:val="0046041A"/>
    <w:rsid w:val="00460977"/>
    <w:rsid w:val="004618FA"/>
    <w:rsid w:val="00461BE3"/>
    <w:rsid w:val="00461E99"/>
    <w:rsid w:val="004641F6"/>
    <w:rsid w:val="0047038B"/>
    <w:rsid w:val="00472E48"/>
    <w:rsid w:val="004736E1"/>
    <w:rsid w:val="004775AE"/>
    <w:rsid w:val="00477794"/>
    <w:rsid w:val="00492C11"/>
    <w:rsid w:val="0049393A"/>
    <w:rsid w:val="0049548B"/>
    <w:rsid w:val="00495A48"/>
    <w:rsid w:val="004A2B9D"/>
    <w:rsid w:val="004A3DD3"/>
    <w:rsid w:val="004A6271"/>
    <w:rsid w:val="004A6D61"/>
    <w:rsid w:val="004A7653"/>
    <w:rsid w:val="004C3D9E"/>
    <w:rsid w:val="004C432F"/>
    <w:rsid w:val="004C7FAE"/>
    <w:rsid w:val="004D3C42"/>
    <w:rsid w:val="004D4AC4"/>
    <w:rsid w:val="004E063D"/>
    <w:rsid w:val="004E2A8A"/>
    <w:rsid w:val="004F0EA3"/>
    <w:rsid w:val="004F1AAD"/>
    <w:rsid w:val="004F337C"/>
    <w:rsid w:val="004F593A"/>
    <w:rsid w:val="004F6629"/>
    <w:rsid w:val="004F6D53"/>
    <w:rsid w:val="005009E7"/>
    <w:rsid w:val="00502178"/>
    <w:rsid w:val="005021D3"/>
    <w:rsid w:val="00502725"/>
    <w:rsid w:val="00502F97"/>
    <w:rsid w:val="00504E96"/>
    <w:rsid w:val="0051249C"/>
    <w:rsid w:val="00515007"/>
    <w:rsid w:val="0051508E"/>
    <w:rsid w:val="005154D0"/>
    <w:rsid w:val="00520C65"/>
    <w:rsid w:val="00520FB3"/>
    <w:rsid w:val="00526275"/>
    <w:rsid w:val="005263C1"/>
    <w:rsid w:val="005275E4"/>
    <w:rsid w:val="00530612"/>
    <w:rsid w:val="0053108B"/>
    <w:rsid w:val="0053177B"/>
    <w:rsid w:val="00531C68"/>
    <w:rsid w:val="005355A3"/>
    <w:rsid w:val="00535D88"/>
    <w:rsid w:val="00535F96"/>
    <w:rsid w:val="00540ECF"/>
    <w:rsid w:val="005423D8"/>
    <w:rsid w:val="00542D9C"/>
    <w:rsid w:val="00543271"/>
    <w:rsid w:val="005439B4"/>
    <w:rsid w:val="00543F30"/>
    <w:rsid w:val="00545126"/>
    <w:rsid w:val="0054590A"/>
    <w:rsid w:val="00546FBE"/>
    <w:rsid w:val="00551F27"/>
    <w:rsid w:val="005577A6"/>
    <w:rsid w:val="005601E5"/>
    <w:rsid w:val="005633C3"/>
    <w:rsid w:val="00565E7D"/>
    <w:rsid w:val="00570DE6"/>
    <w:rsid w:val="00575A21"/>
    <w:rsid w:val="00576589"/>
    <w:rsid w:val="005768A2"/>
    <w:rsid w:val="00580FDF"/>
    <w:rsid w:val="00581721"/>
    <w:rsid w:val="005879DD"/>
    <w:rsid w:val="00594E9F"/>
    <w:rsid w:val="005961E2"/>
    <w:rsid w:val="005963C8"/>
    <w:rsid w:val="005966F4"/>
    <w:rsid w:val="005A05DB"/>
    <w:rsid w:val="005A61DF"/>
    <w:rsid w:val="005B3CB4"/>
    <w:rsid w:val="005B42D8"/>
    <w:rsid w:val="005C2F4B"/>
    <w:rsid w:val="005C661A"/>
    <w:rsid w:val="005E60A0"/>
    <w:rsid w:val="005E72B2"/>
    <w:rsid w:val="005E7B7C"/>
    <w:rsid w:val="005F0CA3"/>
    <w:rsid w:val="005F5611"/>
    <w:rsid w:val="005F5717"/>
    <w:rsid w:val="006002F8"/>
    <w:rsid w:val="006006EA"/>
    <w:rsid w:val="00614990"/>
    <w:rsid w:val="00616044"/>
    <w:rsid w:val="00620D6C"/>
    <w:rsid w:val="0062775A"/>
    <w:rsid w:val="006278E2"/>
    <w:rsid w:val="00630E10"/>
    <w:rsid w:val="006320A5"/>
    <w:rsid w:val="00632C3A"/>
    <w:rsid w:val="00637BAF"/>
    <w:rsid w:val="0064137E"/>
    <w:rsid w:val="006425D9"/>
    <w:rsid w:val="006430A0"/>
    <w:rsid w:val="006432C1"/>
    <w:rsid w:val="00647A70"/>
    <w:rsid w:val="006503A0"/>
    <w:rsid w:val="00653385"/>
    <w:rsid w:val="00654386"/>
    <w:rsid w:val="00656901"/>
    <w:rsid w:val="00661818"/>
    <w:rsid w:val="00662145"/>
    <w:rsid w:val="00663C19"/>
    <w:rsid w:val="00664466"/>
    <w:rsid w:val="0066701A"/>
    <w:rsid w:val="00671FD5"/>
    <w:rsid w:val="00673E16"/>
    <w:rsid w:val="006758AC"/>
    <w:rsid w:val="00676489"/>
    <w:rsid w:val="00676A7C"/>
    <w:rsid w:val="00676C16"/>
    <w:rsid w:val="00680011"/>
    <w:rsid w:val="006800B2"/>
    <w:rsid w:val="00680436"/>
    <w:rsid w:val="0068057C"/>
    <w:rsid w:val="00680DD1"/>
    <w:rsid w:val="006849B7"/>
    <w:rsid w:val="0068586C"/>
    <w:rsid w:val="00690549"/>
    <w:rsid w:val="00691DA5"/>
    <w:rsid w:val="00694924"/>
    <w:rsid w:val="006A0314"/>
    <w:rsid w:val="006A098A"/>
    <w:rsid w:val="006A24BF"/>
    <w:rsid w:val="006A52B9"/>
    <w:rsid w:val="006A63AD"/>
    <w:rsid w:val="006A760C"/>
    <w:rsid w:val="006B22AE"/>
    <w:rsid w:val="006B2524"/>
    <w:rsid w:val="006B38D3"/>
    <w:rsid w:val="006B62EB"/>
    <w:rsid w:val="006C22C9"/>
    <w:rsid w:val="006C2D2B"/>
    <w:rsid w:val="006C3313"/>
    <w:rsid w:val="006C5D92"/>
    <w:rsid w:val="006C6BB4"/>
    <w:rsid w:val="006D6634"/>
    <w:rsid w:val="006D7D12"/>
    <w:rsid w:val="006E0564"/>
    <w:rsid w:val="006E2DB0"/>
    <w:rsid w:val="006E361B"/>
    <w:rsid w:val="006E3A88"/>
    <w:rsid w:val="006F10AF"/>
    <w:rsid w:val="006F1859"/>
    <w:rsid w:val="007020EA"/>
    <w:rsid w:val="007026DF"/>
    <w:rsid w:val="007042D5"/>
    <w:rsid w:val="007164B9"/>
    <w:rsid w:val="007167B8"/>
    <w:rsid w:val="00717390"/>
    <w:rsid w:val="00722E01"/>
    <w:rsid w:val="00723D5C"/>
    <w:rsid w:val="00726910"/>
    <w:rsid w:val="00730A44"/>
    <w:rsid w:val="00730DCC"/>
    <w:rsid w:val="00731DF7"/>
    <w:rsid w:val="0073347D"/>
    <w:rsid w:val="00734C31"/>
    <w:rsid w:val="00740D5B"/>
    <w:rsid w:val="00745027"/>
    <w:rsid w:val="00745BE0"/>
    <w:rsid w:val="00745DE0"/>
    <w:rsid w:val="00745F04"/>
    <w:rsid w:val="007519E6"/>
    <w:rsid w:val="007602D2"/>
    <w:rsid w:val="007615BE"/>
    <w:rsid w:val="00763328"/>
    <w:rsid w:val="00764916"/>
    <w:rsid w:val="007652AF"/>
    <w:rsid w:val="00765B76"/>
    <w:rsid w:val="0076605A"/>
    <w:rsid w:val="00774475"/>
    <w:rsid w:val="007745E6"/>
    <w:rsid w:val="00786D33"/>
    <w:rsid w:val="007905B0"/>
    <w:rsid w:val="007921D7"/>
    <w:rsid w:val="00796C8A"/>
    <w:rsid w:val="007A40FD"/>
    <w:rsid w:val="007A484B"/>
    <w:rsid w:val="007B1A92"/>
    <w:rsid w:val="007B3E51"/>
    <w:rsid w:val="007B42F1"/>
    <w:rsid w:val="007B50CE"/>
    <w:rsid w:val="007B5F61"/>
    <w:rsid w:val="007B749E"/>
    <w:rsid w:val="007C0103"/>
    <w:rsid w:val="007C11AB"/>
    <w:rsid w:val="007C2802"/>
    <w:rsid w:val="007C3A38"/>
    <w:rsid w:val="007D116D"/>
    <w:rsid w:val="007D25B3"/>
    <w:rsid w:val="007D2D8D"/>
    <w:rsid w:val="007D3E04"/>
    <w:rsid w:val="007D48BB"/>
    <w:rsid w:val="007D4D7B"/>
    <w:rsid w:val="007D7CEF"/>
    <w:rsid w:val="007E0780"/>
    <w:rsid w:val="007E14F5"/>
    <w:rsid w:val="007E195C"/>
    <w:rsid w:val="007E368C"/>
    <w:rsid w:val="00803878"/>
    <w:rsid w:val="008168E3"/>
    <w:rsid w:val="00823792"/>
    <w:rsid w:val="008252C1"/>
    <w:rsid w:val="008268B7"/>
    <w:rsid w:val="0082799B"/>
    <w:rsid w:val="008320E9"/>
    <w:rsid w:val="008321F9"/>
    <w:rsid w:val="00833710"/>
    <w:rsid w:val="00834666"/>
    <w:rsid w:val="00835013"/>
    <w:rsid w:val="00836499"/>
    <w:rsid w:val="0083730E"/>
    <w:rsid w:val="00840136"/>
    <w:rsid w:val="0084533C"/>
    <w:rsid w:val="00850AD5"/>
    <w:rsid w:val="00850CFA"/>
    <w:rsid w:val="008516BF"/>
    <w:rsid w:val="00852533"/>
    <w:rsid w:val="008604A7"/>
    <w:rsid w:val="0086346A"/>
    <w:rsid w:val="008652DA"/>
    <w:rsid w:val="008661AE"/>
    <w:rsid w:val="00866475"/>
    <w:rsid w:val="0086707A"/>
    <w:rsid w:val="00874CA4"/>
    <w:rsid w:val="0088533C"/>
    <w:rsid w:val="00886D93"/>
    <w:rsid w:val="00887AF4"/>
    <w:rsid w:val="00887FD5"/>
    <w:rsid w:val="00892385"/>
    <w:rsid w:val="0089393D"/>
    <w:rsid w:val="008A0225"/>
    <w:rsid w:val="008A1658"/>
    <w:rsid w:val="008A24C5"/>
    <w:rsid w:val="008A674E"/>
    <w:rsid w:val="008B1571"/>
    <w:rsid w:val="008B44D6"/>
    <w:rsid w:val="008B5E52"/>
    <w:rsid w:val="008B6ECD"/>
    <w:rsid w:val="008C0226"/>
    <w:rsid w:val="008C5261"/>
    <w:rsid w:val="008C609C"/>
    <w:rsid w:val="008D3FB6"/>
    <w:rsid w:val="008D51AA"/>
    <w:rsid w:val="008D6166"/>
    <w:rsid w:val="008D650E"/>
    <w:rsid w:val="008E2C83"/>
    <w:rsid w:val="008E5F5E"/>
    <w:rsid w:val="008E6647"/>
    <w:rsid w:val="008E707F"/>
    <w:rsid w:val="008E7838"/>
    <w:rsid w:val="008E7852"/>
    <w:rsid w:val="008F20DD"/>
    <w:rsid w:val="008F2D5F"/>
    <w:rsid w:val="008F6338"/>
    <w:rsid w:val="008F678B"/>
    <w:rsid w:val="008F7E65"/>
    <w:rsid w:val="00900397"/>
    <w:rsid w:val="009057BA"/>
    <w:rsid w:val="00905B39"/>
    <w:rsid w:val="00906896"/>
    <w:rsid w:val="009102E3"/>
    <w:rsid w:val="009110E3"/>
    <w:rsid w:val="00921FBD"/>
    <w:rsid w:val="009227BE"/>
    <w:rsid w:val="00923141"/>
    <w:rsid w:val="009253A9"/>
    <w:rsid w:val="00930380"/>
    <w:rsid w:val="00933F37"/>
    <w:rsid w:val="00934250"/>
    <w:rsid w:val="009346AE"/>
    <w:rsid w:val="00935318"/>
    <w:rsid w:val="009354A0"/>
    <w:rsid w:val="00935C78"/>
    <w:rsid w:val="00941092"/>
    <w:rsid w:val="0094444F"/>
    <w:rsid w:val="0094587F"/>
    <w:rsid w:val="00945A9A"/>
    <w:rsid w:val="00953121"/>
    <w:rsid w:val="009545A8"/>
    <w:rsid w:val="009567C3"/>
    <w:rsid w:val="0095754D"/>
    <w:rsid w:val="00960688"/>
    <w:rsid w:val="009648AD"/>
    <w:rsid w:val="00966C94"/>
    <w:rsid w:val="009708E6"/>
    <w:rsid w:val="00974B07"/>
    <w:rsid w:val="009835D9"/>
    <w:rsid w:val="00986EFD"/>
    <w:rsid w:val="009916B3"/>
    <w:rsid w:val="00993420"/>
    <w:rsid w:val="009A060C"/>
    <w:rsid w:val="009B09AF"/>
    <w:rsid w:val="009B0B1C"/>
    <w:rsid w:val="009B0B5F"/>
    <w:rsid w:val="009B2ECB"/>
    <w:rsid w:val="009B7859"/>
    <w:rsid w:val="009C0D32"/>
    <w:rsid w:val="009C7B15"/>
    <w:rsid w:val="009C7B9B"/>
    <w:rsid w:val="009D2157"/>
    <w:rsid w:val="009D2AE3"/>
    <w:rsid w:val="009D31E7"/>
    <w:rsid w:val="009D3AEA"/>
    <w:rsid w:val="009D4069"/>
    <w:rsid w:val="009D5082"/>
    <w:rsid w:val="009D6BB2"/>
    <w:rsid w:val="009D7841"/>
    <w:rsid w:val="009E271F"/>
    <w:rsid w:val="009E60D1"/>
    <w:rsid w:val="009E615F"/>
    <w:rsid w:val="009E6B54"/>
    <w:rsid w:val="009F2408"/>
    <w:rsid w:val="009F3240"/>
    <w:rsid w:val="009F71CB"/>
    <w:rsid w:val="00A000B6"/>
    <w:rsid w:val="00A00AC0"/>
    <w:rsid w:val="00A02824"/>
    <w:rsid w:val="00A0311D"/>
    <w:rsid w:val="00A036B9"/>
    <w:rsid w:val="00A04C3E"/>
    <w:rsid w:val="00A07CCB"/>
    <w:rsid w:val="00A11C23"/>
    <w:rsid w:val="00A1736D"/>
    <w:rsid w:val="00A212B4"/>
    <w:rsid w:val="00A22EF5"/>
    <w:rsid w:val="00A240F0"/>
    <w:rsid w:val="00A25136"/>
    <w:rsid w:val="00A25392"/>
    <w:rsid w:val="00A3084B"/>
    <w:rsid w:val="00A358FA"/>
    <w:rsid w:val="00A366A8"/>
    <w:rsid w:val="00A40E2A"/>
    <w:rsid w:val="00A42215"/>
    <w:rsid w:val="00A43DEF"/>
    <w:rsid w:val="00A44957"/>
    <w:rsid w:val="00A45098"/>
    <w:rsid w:val="00A50254"/>
    <w:rsid w:val="00A53CB8"/>
    <w:rsid w:val="00A55DF9"/>
    <w:rsid w:val="00A60F66"/>
    <w:rsid w:val="00A61767"/>
    <w:rsid w:val="00A64C70"/>
    <w:rsid w:val="00A708FC"/>
    <w:rsid w:val="00A70936"/>
    <w:rsid w:val="00A7324E"/>
    <w:rsid w:val="00A74DD8"/>
    <w:rsid w:val="00A757FA"/>
    <w:rsid w:val="00A7588B"/>
    <w:rsid w:val="00A759F3"/>
    <w:rsid w:val="00A76D00"/>
    <w:rsid w:val="00A81D2A"/>
    <w:rsid w:val="00A84479"/>
    <w:rsid w:val="00A861D9"/>
    <w:rsid w:val="00A9007D"/>
    <w:rsid w:val="00A91076"/>
    <w:rsid w:val="00A91454"/>
    <w:rsid w:val="00AA6729"/>
    <w:rsid w:val="00AA77CE"/>
    <w:rsid w:val="00AB4849"/>
    <w:rsid w:val="00AB690C"/>
    <w:rsid w:val="00AB7E05"/>
    <w:rsid w:val="00AC0CF0"/>
    <w:rsid w:val="00AC2979"/>
    <w:rsid w:val="00AD2191"/>
    <w:rsid w:val="00AD2AD8"/>
    <w:rsid w:val="00AD5A5F"/>
    <w:rsid w:val="00AE0B35"/>
    <w:rsid w:val="00AE221F"/>
    <w:rsid w:val="00AE27B0"/>
    <w:rsid w:val="00AE3588"/>
    <w:rsid w:val="00AE395A"/>
    <w:rsid w:val="00AE3E1D"/>
    <w:rsid w:val="00AE5162"/>
    <w:rsid w:val="00AE74B5"/>
    <w:rsid w:val="00AF2984"/>
    <w:rsid w:val="00AF2F8D"/>
    <w:rsid w:val="00AF3826"/>
    <w:rsid w:val="00AF45D6"/>
    <w:rsid w:val="00AF4E38"/>
    <w:rsid w:val="00AF6DF2"/>
    <w:rsid w:val="00AF788B"/>
    <w:rsid w:val="00B01183"/>
    <w:rsid w:val="00B01D2C"/>
    <w:rsid w:val="00B032CC"/>
    <w:rsid w:val="00B03486"/>
    <w:rsid w:val="00B035A9"/>
    <w:rsid w:val="00B05710"/>
    <w:rsid w:val="00B06683"/>
    <w:rsid w:val="00B12890"/>
    <w:rsid w:val="00B13402"/>
    <w:rsid w:val="00B200B8"/>
    <w:rsid w:val="00B22D18"/>
    <w:rsid w:val="00B23A2E"/>
    <w:rsid w:val="00B24DB0"/>
    <w:rsid w:val="00B300A4"/>
    <w:rsid w:val="00B32A1E"/>
    <w:rsid w:val="00B32F82"/>
    <w:rsid w:val="00B35F2F"/>
    <w:rsid w:val="00B370C7"/>
    <w:rsid w:val="00B42147"/>
    <w:rsid w:val="00B454FC"/>
    <w:rsid w:val="00B46619"/>
    <w:rsid w:val="00B47FAF"/>
    <w:rsid w:val="00B5115D"/>
    <w:rsid w:val="00B52B96"/>
    <w:rsid w:val="00B54FB8"/>
    <w:rsid w:val="00B60BC1"/>
    <w:rsid w:val="00B633CB"/>
    <w:rsid w:val="00B6623D"/>
    <w:rsid w:val="00B6695C"/>
    <w:rsid w:val="00B6698C"/>
    <w:rsid w:val="00B70C1F"/>
    <w:rsid w:val="00B72944"/>
    <w:rsid w:val="00B72B67"/>
    <w:rsid w:val="00B747C5"/>
    <w:rsid w:val="00B75827"/>
    <w:rsid w:val="00B76366"/>
    <w:rsid w:val="00B7779B"/>
    <w:rsid w:val="00B8157C"/>
    <w:rsid w:val="00B832D0"/>
    <w:rsid w:val="00B872D8"/>
    <w:rsid w:val="00B879EA"/>
    <w:rsid w:val="00B9028F"/>
    <w:rsid w:val="00B914ED"/>
    <w:rsid w:val="00B915F2"/>
    <w:rsid w:val="00B919B0"/>
    <w:rsid w:val="00B94992"/>
    <w:rsid w:val="00BA1211"/>
    <w:rsid w:val="00BA1787"/>
    <w:rsid w:val="00BA5619"/>
    <w:rsid w:val="00BA5ECA"/>
    <w:rsid w:val="00BA612C"/>
    <w:rsid w:val="00BA792C"/>
    <w:rsid w:val="00BB271D"/>
    <w:rsid w:val="00BB3D40"/>
    <w:rsid w:val="00BB4641"/>
    <w:rsid w:val="00BB4642"/>
    <w:rsid w:val="00BB5A74"/>
    <w:rsid w:val="00BB7E30"/>
    <w:rsid w:val="00BC06DA"/>
    <w:rsid w:val="00BC2B67"/>
    <w:rsid w:val="00BC511B"/>
    <w:rsid w:val="00BD0012"/>
    <w:rsid w:val="00BD0BE1"/>
    <w:rsid w:val="00BD1929"/>
    <w:rsid w:val="00BD3BD5"/>
    <w:rsid w:val="00BD3DC3"/>
    <w:rsid w:val="00BD5003"/>
    <w:rsid w:val="00BD7859"/>
    <w:rsid w:val="00BD7CAF"/>
    <w:rsid w:val="00BE19CA"/>
    <w:rsid w:val="00BE25D2"/>
    <w:rsid w:val="00BE276A"/>
    <w:rsid w:val="00BE3BAA"/>
    <w:rsid w:val="00BE3D4B"/>
    <w:rsid w:val="00BE6707"/>
    <w:rsid w:val="00BF3B68"/>
    <w:rsid w:val="00BF42B0"/>
    <w:rsid w:val="00C02EFC"/>
    <w:rsid w:val="00C04A76"/>
    <w:rsid w:val="00C05464"/>
    <w:rsid w:val="00C0569E"/>
    <w:rsid w:val="00C11BF5"/>
    <w:rsid w:val="00C176A9"/>
    <w:rsid w:val="00C17852"/>
    <w:rsid w:val="00C20F0D"/>
    <w:rsid w:val="00C32050"/>
    <w:rsid w:val="00C323E8"/>
    <w:rsid w:val="00C33BF0"/>
    <w:rsid w:val="00C37886"/>
    <w:rsid w:val="00C40DB9"/>
    <w:rsid w:val="00C436B3"/>
    <w:rsid w:val="00C44882"/>
    <w:rsid w:val="00C50505"/>
    <w:rsid w:val="00C5126C"/>
    <w:rsid w:val="00C51E7D"/>
    <w:rsid w:val="00C53C15"/>
    <w:rsid w:val="00C61C38"/>
    <w:rsid w:val="00C64465"/>
    <w:rsid w:val="00C672AD"/>
    <w:rsid w:val="00C70501"/>
    <w:rsid w:val="00C71CF5"/>
    <w:rsid w:val="00C724D0"/>
    <w:rsid w:val="00C72565"/>
    <w:rsid w:val="00C73CAA"/>
    <w:rsid w:val="00C77C97"/>
    <w:rsid w:val="00C80B46"/>
    <w:rsid w:val="00C83030"/>
    <w:rsid w:val="00C8376E"/>
    <w:rsid w:val="00C83AD7"/>
    <w:rsid w:val="00C85EF4"/>
    <w:rsid w:val="00C923B1"/>
    <w:rsid w:val="00C92E08"/>
    <w:rsid w:val="00C93748"/>
    <w:rsid w:val="00C957E5"/>
    <w:rsid w:val="00C95991"/>
    <w:rsid w:val="00CA12DC"/>
    <w:rsid w:val="00CA1E8B"/>
    <w:rsid w:val="00CA3FAD"/>
    <w:rsid w:val="00CA5A92"/>
    <w:rsid w:val="00CA6F08"/>
    <w:rsid w:val="00CB5A19"/>
    <w:rsid w:val="00CC112F"/>
    <w:rsid w:val="00CC1F08"/>
    <w:rsid w:val="00CC274C"/>
    <w:rsid w:val="00CD1798"/>
    <w:rsid w:val="00CD1934"/>
    <w:rsid w:val="00CD21FC"/>
    <w:rsid w:val="00CD5B70"/>
    <w:rsid w:val="00CD5D8C"/>
    <w:rsid w:val="00CD6CC5"/>
    <w:rsid w:val="00CD764F"/>
    <w:rsid w:val="00CD7D7C"/>
    <w:rsid w:val="00CE2741"/>
    <w:rsid w:val="00CE2FDF"/>
    <w:rsid w:val="00CE397C"/>
    <w:rsid w:val="00CE49E4"/>
    <w:rsid w:val="00CE5A26"/>
    <w:rsid w:val="00CE5FBD"/>
    <w:rsid w:val="00CF1FFB"/>
    <w:rsid w:val="00CF3441"/>
    <w:rsid w:val="00CF5D5F"/>
    <w:rsid w:val="00CF6213"/>
    <w:rsid w:val="00CF70C7"/>
    <w:rsid w:val="00CF7687"/>
    <w:rsid w:val="00D00DE5"/>
    <w:rsid w:val="00D00EAF"/>
    <w:rsid w:val="00D01D5C"/>
    <w:rsid w:val="00D0455E"/>
    <w:rsid w:val="00D07880"/>
    <w:rsid w:val="00D115B3"/>
    <w:rsid w:val="00D12982"/>
    <w:rsid w:val="00D21E15"/>
    <w:rsid w:val="00D2366E"/>
    <w:rsid w:val="00D23ADE"/>
    <w:rsid w:val="00D272EA"/>
    <w:rsid w:val="00D3010A"/>
    <w:rsid w:val="00D3016B"/>
    <w:rsid w:val="00D319DB"/>
    <w:rsid w:val="00D331E9"/>
    <w:rsid w:val="00D437A8"/>
    <w:rsid w:val="00D45BDE"/>
    <w:rsid w:val="00D46459"/>
    <w:rsid w:val="00D51244"/>
    <w:rsid w:val="00D51C66"/>
    <w:rsid w:val="00D53356"/>
    <w:rsid w:val="00D53856"/>
    <w:rsid w:val="00D53BA4"/>
    <w:rsid w:val="00D5562F"/>
    <w:rsid w:val="00D55E0B"/>
    <w:rsid w:val="00D56430"/>
    <w:rsid w:val="00D57DAD"/>
    <w:rsid w:val="00D64408"/>
    <w:rsid w:val="00D67CFF"/>
    <w:rsid w:val="00D714FE"/>
    <w:rsid w:val="00D71A91"/>
    <w:rsid w:val="00D7498A"/>
    <w:rsid w:val="00D7522B"/>
    <w:rsid w:val="00D77960"/>
    <w:rsid w:val="00D8265A"/>
    <w:rsid w:val="00D85C17"/>
    <w:rsid w:val="00D8781E"/>
    <w:rsid w:val="00D87ADE"/>
    <w:rsid w:val="00D87C73"/>
    <w:rsid w:val="00D91A0F"/>
    <w:rsid w:val="00D95D27"/>
    <w:rsid w:val="00D9740A"/>
    <w:rsid w:val="00D979C2"/>
    <w:rsid w:val="00DA00DD"/>
    <w:rsid w:val="00DA13F7"/>
    <w:rsid w:val="00DA155A"/>
    <w:rsid w:val="00DA2936"/>
    <w:rsid w:val="00DA5B01"/>
    <w:rsid w:val="00DB0904"/>
    <w:rsid w:val="00DB3897"/>
    <w:rsid w:val="00DB3CA8"/>
    <w:rsid w:val="00DB736F"/>
    <w:rsid w:val="00DD3A95"/>
    <w:rsid w:val="00DD4E1A"/>
    <w:rsid w:val="00DD7546"/>
    <w:rsid w:val="00DE2BD3"/>
    <w:rsid w:val="00DE573C"/>
    <w:rsid w:val="00DF05E5"/>
    <w:rsid w:val="00DF2362"/>
    <w:rsid w:val="00DF48D4"/>
    <w:rsid w:val="00E01E3E"/>
    <w:rsid w:val="00E04723"/>
    <w:rsid w:val="00E05957"/>
    <w:rsid w:val="00E07B3C"/>
    <w:rsid w:val="00E129C7"/>
    <w:rsid w:val="00E15EB1"/>
    <w:rsid w:val="00E202BB"/>
    <w:rsid w:val="00E221B9"/>
    <w:rsid w:val="00E22922"/>
    <w:rsid w:val="00E25423"/>
    <w:rsid w:val="00E27B1B"/>
    <w:rsid w:val="00E3049A"/>
    <w:rsid w:val="00E33443"/>
    <w:rsid w:val="00E355FC"/>
    <w:rsid w:val="00E43280"/>
    <w:rsid w:val="00E453F9"/>
    <w:rsid w:val="00E46D04"/>
    <w:rsid w:val="00E47C19"/>
    <w:rsid w:val="00E52E50"/>
    <w:rsid w:val="00E57527"/>
    <w:rsid w:val="00E57806"/>
    <w:rsid w:val="00E60730"/>
    <w:rsid w:val="00E61971"/>
    <w:rsid w:val="00E62F5F"/>
    <w:rsid w:val="00E65D73"/>
    <w:rsid w:val="00E66BCC"/>
    <w:rsid w:val="00E70940"/>
    <w:rsid w:val="00E71929"/>
    <w:rsid w:val="00E72593"/>
    <w:rsid w:val="00E73104"/>
    <w:rsid w:val="00E74761"/>
    <w:rsid w:val="00E75458"/>
    <w:rsid w:val="00E75DD0"/>
    <w:rsid w:val="00E76E06"/>
    <w:rsid w:val="00E7718A"/>
    <w:rsid w:val="00E82C7D"/>
    <w:rsid w:val="00E839BC"/>
    <w:rsid w:val="00E85829"/>
    <w:rsid w:val="00E867C6"/>
    <w:rsid w:val="00E943C6"/>
    <w:rsid w:val="00E97335"/>
    <w:rsid w:val="00EA1803"/>
    <w:rsid w:val="00EA21F0"/>
    <w:rsid w:val="00EA2414"/>
    <w:rsid w:val="00EA407C"/>
    <w:rsid w:val="00EA5F05"/>
    <w:rsid w:val="00EA752A"/>
    <w:rsid w:val="00EB228B"/>
    <w:rsid w:val="00EB2324"/>
    <w:rsid w:val="00EB3418"/>
    <w:rsid w:val="00EB4EEF"/>
    <w:rsid w:val="00EB6148"/>
    <w:rsid w:val="00EB7FA5"/>
    <w:rsid w:val="00EC055A"/>
    <w:rsid w:val="00EC24EC"/>
    <w:rsid w:val="00EC3B4A"/>
    <w:rsid w:val="00EC728A"/>
    <w:rsid w:val="00EE49F6"/>
    <w:rsid w:val="00EE50C6"/>
    <w:rsid w:val="00EE52F1"/>
    <w:rsid w:val="00EE5AD7"/>
    <w:rsid w:val="00EE5BB1"/>
    <w:rsid w:val="00EF5D31"/>
    <w:rsid w:val="00EF7BA4"/>
    <w:rsid w:val="00F027DB"/>
    <w:rsid w:val="00F02CEE"/>
    <w:rsid w:val="00F0419C"/>
    <w:rsid w:val="00F05D34"/>
    <w:rsid w:val="00F0678C"/>
    <w:rsid w:val="00F10943"/>
    <w:rsid w:val="00F10E47"/>
    <w:rsid w:val="00F11E98"/>
    <w:rsid w:val="00F12E5E"/>
    <w:rsid w:val="00F17813"/>
    <w:rsid w:val="00F179A0"/>
    <w:rsid w:val="00F21602"/>
    <w:rsid w:val="00F26ACD"/>
    <w:rsid w:val="00F403A6"/>
    <w:rsid w:val="00F4047A"/>
    <w:rsid w:val="00F409E3"/>
    <w:rsid w:val="00F41212"/>
    <w:rsid w:val="00F426C5"/>
    <w:rsid w:val="00F42A2E"/>
    <w:rsid w:val="00F4482D"/>
    <w:rsid w:val="00F514B7"/>
    <w:rsid w:val="00F555E7"/>
    <w:rsid w:val="00F647D2"/>
    <w:rsid w:val="00F659B3"/>
    <w:rsid w:val="00F70ADF"/>
    <w:rsid w:val="00F71C34"/>
    <w:rsid w:val="00F73332"/>
    <w:rsid w:val="00F76917"/>
    <w:rsid w:val="00F80118"/>
    <w:rsid w:val="00F83AC9"/>
    <w:rsid w:val="00F855F9"/>
    <w:rsid w:val="00F87F2B"/>
    <w:rsid w:val="00F9192E"/>
    <w:rsid w:val="00F94A76"/>
    <w:rsid w:val="00F953AC"/>
    <w:rsid w:val="00F97C73"/>
    <w:rsid w:val="00FA38E5"/>
    <w:rsid w:val="00FA6FA6"/>
    <w:rsid w:val="00FA7ECF"/>
    <w:rsid w:val="00FB0027"/>
    <w:rsid w:val="00FB1A00"/>
    <w:rsid w:val="00FB280E"/>
    <w:rsid w:val="00FB2EAB"/>
    <w:rsid w:val="00FC3D54"/>
    <w:rsid w:val="00FC415E"/>
    <w:rsid w:val="00FC4A6F"/>
    <w:rsid w:val="00FD36AC"/>
    <w:rsid w:val="00FD37D6"/>
    <w:rsid w:val="00FD4983"/>
    <w:rsid w:val="00FE2408"/>
    <w:rsid w:val="00FE5DC5"/>
    <w:rsid w:val="00FF3C2B"/>
    <w:rsid w:val="00FF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4618"/>
  <w14:defaultImageDpi w14:val="32767"/>
  <w15:chartTrackingRefBased/>
  <w15:docId w15:val="{813B70E7-1C4B-E845-BCEE-CD29E43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16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E25D2"/>
    <w:pPr>
      <w:keepNext/>
      <w:keepLines/>
      <w:pageBreakBefore/>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qFormat/>
    <w:rsid w:val="00E3049A"/>
    <w:pPr>
      <w:spacing w:before="120" w:after="120"/>
      <w:outlineLvl w:val="1"/>
    </w:pPr>
    <w:rPr>
      <w:rFonts w:ascii="Arial" w:hAnsi="Arial"/>
      <w:bCs/>
      <w:color w:val="000000"/>
      <w:kern w:val="28"/>
      <w:sz w:val="28"/>
      <w:lang w:val="en-CA" w:eastAsia="en-CA"/>
    </w:rPr>
  </w:style>
  <w:style w:type="paragraph" w:styleId="Heading3">
    <w:name w:val="heading 3"/>
    <w:basedOn w:val="Normal"/>
    <w:next w:val="Normal"/>
    <w:link w:val="Heading3Char"/>
    <w:uiPriority w:val="9"/>
    <w:unhideWhenUsed/>
    <w:qFormat/>
    <w:rsid w:val="00015AAD"/>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5">
    <w:name w:val="heading 5"/>
    <w:basedOn w:val="Normal"/>
    <w:next w:val="Normal"/>
    <w:link w:val="Heading5Char"/>
    <w:uiPriority w:val="9"/>
    <w:semiHidden/>
    <w:unhideWhenUsed/>
    <w:qFormat/>
    <w:rsid w:val="00F05D3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AD2191"/>
    <w:pPr>
      <w:spacing w:before="100" w:beforeAutospacing="1" w:after="100" w:afterAutospacing="1"/>
    </w:pPr>
    <w:rPr>
      <w:lang w:eastAsia="en-US"/>
    </w:rPr>
  </w:style>
  <w:style w:type="character" w:styleId="Hyperlink">
    <w:name w:val="Hyperlink"/>
    <w:basedOn w:val="DefaultParagraphFont"/>
    <w:uiPriority w:val="99"/>
    <w:unhideWhenUsed/>
    <w:rsid w:val="00AD2191"/>
    <w:rPr>
      <w:color w:val="0000FF"/>
      <w:u w:val="single"/>
    </w:rPr>
  </w:style>
  <w:style w:type="paragraph" w:styleId="ListParagraph">
    <w:name w:val="List Paragraph"/>
    <w:basedOn w:val="Normal"/>
    <w:uiPriority w:val="34"/>
    <w:qFormat/>
    <w:rsid w:val="00AD2191"/>
    <w:pPr>
      <w:ind w:left="720"/>
      <w:contextualSpacing/>
    </w:pPr>
    <w:rPr>
      <w:rFonts w:asciiTheme="minorHAnsi" w:eastAsiaTheme="minorHAnsi" w:hAnsiTheme="minorHAnsi" w:cstheme="minorBidi"/>
      <w:lang w:eastAsia="en-US"/>
    </w:rPr>
  </w:style>
  <w:style w:type="character" w:customStyle="1" w:styleId="UnresolvedMention">
    <w:name w:val="Unresolved Mention"/>
    <w:basedOn w:val="DefaultParagraphFont"/>
    <w:uiPriority w:val="99"/>
    <w:rsid w:val="00AD2191"/>
    <w:rPr>
      <w:color w:val="605E5C"/>
      <w:shd w:val="clear" w:color="auto" w:fill="E1DFDD"/>
    </w:rPr>
  </w:style>
  <w:style w:type="table" w:styleId="TableGrid">
    <w:name w:val="Table Grid"/>
    <w:basedOn w:val="TableNormal"/>
    <w:uiPriority w:val="39"/>
    <w:rsid w:val="00AD2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1508E"/>
    <w:pPr>
      <w:spacing w:before="100" w:beforeAutospacing="1" w:after="100" w:afterAutospacing="1"/>
    </w:pPr>
    <w:rPr>
      <w:lang w:eastAsia="en-US"/>
    </w:rPr>
  </w:style>
  <w:style w:type="character" w:styleId="CommentReference">
    <w:name w:val="annotation reference"/>
    <w:basedOn w:val="DefaultParagraphFont"/>
    <w:uiPriority w:val="99"/>
    <w:semiHidden/>
    <w:unhideWhenUsed/>
    <w:rsid w:val="00520C65"/>
    <w:rPr>
      <w:sz w:val="16"/>
      <w:szCs w:val="16"/>
    </w:rPr>
  </w:style>
  <w:style w:type="paragraph" w:styleId="CommentText">
    <w:name w:val="annotation text"/>
    <w:basedOn w:val="Normal"/>
    <w:link w:val="CommentTextChar"/>
    <w:uiPriority w:val="99"/>
    <w:semiHidden/>
    <w:unhideWhenUsed/>
    <w:rsid w:val="00520C65"/>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20C65"/>
    <w:rPr>
      <w:sz w:val="20"/>
      <w:szCs w:val="20"/>
    </w:rPr>
  </w:style>
  <w:style w:type="paragraph" w:styleId="CommentSubject">
    <w:name w:val="annotation subject"/>
    <w:basedOn w:val="CommentText"/>
    <w:next w:val="CommentText"/>
    <w:link w:val="CommentSubjectChar"/>
    <w:uiPriority w:val="99"/>
    <w:semiHidden/>
    <w:unhideWhenUsed/>
    <w:rsid w:val="00520C65"/>
    <w:rPr>
      <w:b/>
      <w:bCs/>
    </w:rPr>
  </w:style>
  <w:style w:type="character" w:customStyle="1" w:styleId="CommentSubjectChar">
    <w:name w:val="Comment Subject Char"/>
    <w:basedOn w:val="CommentTextChar"/>
    <w:link w:val="CommentSubject"/>
    <w:uiPriority w:val="99"/>
    <w:semiHidden/>
    <w:rsid w:val="00520C65"/>
    <w:rPr>
      <w:b/>
      <w:bCs/>
      <w:sz w:val="20"/>
      <w:szCs w:val="20"/>
    </w:rPr>
  </w:style>
  <w:style w:type="paragraph" w:styleId="BalloonText">
    <w:name w:val="Balloon Text"/>
    <w:basedOn w:val="Normal"/>
    <w:link w:val="BalloonTextChar"/>
    <w:uiPriority w:val="99"/>
    <w:semiHidden/>
    <w:unhideWhenUsed/>
    <w:rsid w:val="00520C65"/>
    <w:rPr>
      <w:sz w:val="18"/>
      <w:szCs w:val="18"/>
    </w:rPr>
  </w:style>
  <w:style w:type="character" w:customStyle="1" w:styleId="BalloonTextChar">
    <w:name w:val="Balloon Text Char"/>
    <w:basedOn w:val="DefaultParagraphFont"/>
    <w:link w:val="BalloonText"/>
    <w:uiPriority w:val="99"/>
    <w:semiHidden/>
    <w:rsid w:val="00520C6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25995"/>
    <w:rPr>
      <w:color w:val="954F72" w:themeColor="followedHyperlink"/>
      <w:u w:val="single"/>
    </w:rPr>
  </w:style>
  <w:style w:type="character" w:customStyle="1" w:styleId="Heading2Char">
    <w:name w:val="Heading 2 Char"/>
    <w:basedOn w:val="DefaultParagraphFont"/>
    <w:link w:val="Heading2"/>
    <w:rsid w:val="00E3049A"/>
    <w:rPr>
      <w:rFonts w:ascii="Arial" w:eastAsia="Times New Roman" w:hAnsi="Arial" w:cs="Times New Roman"/>
      <w:bCs/>
      <w:color w:val="000000"/>
      <w:kern w:val="28"/>
      <w:sz w:val="28"/>
      <w:lang w:val="en-CA" w:eastAsia="en-CA"/>
    </w:rPr>
  </w:style>
  <w:style w:type="character" w:customStyle="1" w:styleId="Heading1Char">
    <w:name w:val="Heading 1 Char"/>
    <w:basedOn w:val="DefaultParagraphFont"/>
    <w:link w:val="Heading1"/>
    <w:uiPriority w:val="9"/>
    <w:rsid w:val="00BE25D2"/>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F05D34"/>
    <w:rPr>
      <w:rFonts w:asciiTheme="majorHAnsi" w:eastAsiaTheme="majorEastAsia" w:hAnsiTheme="majorHAnsi" w:cstheme="majorBidi"/>
      <w:color w:val="2F5496" w:themeColor="accent1" w:themeShade="BF"/>
    </w:rPr>
  </w:style>
  <w:style w:type="paragraph" w:styleId="Subtitle">
    <w:name w:val="Subtitle"/>
    <w:basedOn w:val="Normal"/>
    <w:next w:val="Normal"/>
    <w:link w:val="SubtitleChar"/>
    <w:uiPriority w:val="11"/>
    <w:qFormat/>
    <w:rsid w:val="00015AAD"/>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015AAD"/>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015AAD"/>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BE25D2"/>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BE25D2"/>
    <w:pPr>
      <w:spacing w:before="240"/>
    </w:pPr>
    <w:rPr>
      <w:rFonts w:asciiTheme="minorHAnsi" w:eastAsiaTheme="minorHAnsi" w:hAnsiTheme="minorHAnsi" w:cstheme="minorBidi"/>
      <w:b/>
      <w:bCs/>
      <w:sz w:val="20"/>
      <w:szCs w:val="20"/>
      <w:lang w:eastAsia="en-US"/>
    </w:rPr>
  </w:style>
  <w:style w:type="paragraph" w:styleId="TOC1">
    <w:name w:val="toc 1"/>
    <w:basedOn w:val="Normal"/>
    <w:next w:val="Normal"/>
    <w:autoRedefine/>
    <w:uiPriority w:val="39"/>
    <w:unhideWhenUsed/>
    <w:rsid w:val="00F10E47"/>
    <w:pPr>
      <w:tabs>
        <w:tab w:val="right" w:pos="9010"/>
      </w:tabs>
      <w:spacing w:before="360" w:line="360" w:lineRule="auto"/>
    </w:pPr>
    <w:rPr>
      <w:rFonts w:ascii="Arial" w:eastAsiaTheme="minorHAnsi" w:hAnsi="Arial" w:cs="Arial"/>
      <w:bCs/>
      <w:caps/>
      <w:noProof/>
      <w:color w:val="000000" w:themeColor="text1"/>
      <w:lang w:val="en-US" w:eastAsia="en-US"/>
    </w:rPr>
  </w:style>
  <w:style w:type="paragraph" w:styleId="TOC3">
    <w:name w:val="toc 3"/>
    <w:basedOn w:val="Normal"/>
    <w:next w:val="Normal"/>
    <w:autoRedefine/>
    <w:uiPriority w:val="39"/>
    <w:unhideWhenUsed/>
    <w:rsid w:val="00BE25D2"/>
    <w:pPr>
      <w:ind w:left="240"/>
    </w:pPr>
    <w:rPr>
      <w:rFonts w:asciiTheme="minorHAnsi" w:eastAsiaTheme="minorHAnsi" w:hAnsiTheme="minorHAnsi" w:cstheme="minorBidi"/>
      <w:sz w:val="20"/>
      <w:szCs w:val="20"/>
      <w:lang w:eastAsia="en-US"/>
    </w:rPr>
  </w:style>
  <w:style w:type="paragraph" w:styleId="TOC4">
    <w:name w:val="toc 4"/>
    <w:basedOn w:val="Normal"/>
    <w:next w:val="Normal"/>
    <w:autoRedefine/>
    <w:uiPriority w:val="39"/>
    <w:unhideWhenUsed/>
    <w:rsid w:val="00BE25D2"/>
    <w:pPr>
      <w:ind w:left="480"/>
    </w:pPr>
    <w:rPr>
      <w:rFonts w:asciiTheme="minorHAnsi" w:eastAsiaTheme="minorHAnsi" w:hAnsiTheme="minorHAnsi" w:cstheme="minorBidi"/>
      <w:sz w:val="20"/>
      <w:szCs w:val="20"/>
      <w:lang w:eastAsia="en-US"/>
    </w:rPr>
  </w:style>
  <w:style w:type="paragraph" w:styleId="TOC5">
    <w:name w:val="toc 5"/>
    <w:basedOn w:val="Normal"/>
    <w:next w:val="Normal"/>
    <w:autoRedefine/>
    <w:uiPriority w:val="39"/>
    <w:unhideWhenUsed/>
    <w:rsid w:val="00BE25D2"/>
    <w:pPr>
      <w:ind w:left="720"/>
    </w:pPr>
    <w:rPr>
      <w:rFonts w:asciiTheme="minorHAnsi" w:eastAsiaTheme="minorHAnsi" w:hAnsiTheme="minorHAnsi" w:cstheme="minorBidi"/>
      <w:sz w:val="20"/>
      <w:szCs w:val="20"/>
      <w:lang w:eastAsia="en-US"/>
    </w:rPr>
  </w:style>
  <w:style w:type="paragraph" w:styleId="TOC6">
    <w:name w:val="toc 6"/>
    <w:basedOn w:val="Normal"/>
    <w:next w:val="Normal"/>
    <w:autoRedefine/>
    <w:uiPriority w:val="39"/>
    <w:unhideWhenUsed/>
    <w:rsid w:val="00BE25D2"/>
    <w:pPr>
      <w:ind w:left="960"/>
    </w:pPr>
    <w:rPr>
      <w:rFonts w:asciiTheme="minorHAnsi" w:eastAsiaTheme="minorHAnsi" w:hAnsiTheme="minorHAnsi" w:cstheme="minorBidi"/>
      <w:sz w:val="20"/>
      <w:szCs w:val="20"/>
      <w:lang w:eastAsia="en-US"/>
    </w:rPr>
  </w:style>
  <w:style w:type="paragraph" w:styleId="TOC7">
    <w:name w:val="toc 7"/>
    <w:basedOn w:val="Normal"/>
    <w:next w:val="Normal"/>
    <w:autoRedefine/>
    <w:uiPriority w:val="39"/>
    <w:unhideWhenUsed/>
    <w:rsid w:val="00BE25D2"/>
    <w:pPr>
      <w:ind w:left="1200"/>
    </w:pPr>
    <w:rPr>
      <w:rFonts w:asciiTheme="minorHAnsi" w:eastAsiaTheme="minorHAnsi" w:hAnsiTheme="minorHAnsi" w:cstheme="minorBidi"/>
      <w:sz w:val="20"/>
      <w:szCs w:val="20"/>
      <w:lang w:eastAsia="en-US"/>
    </w:rPr>
  </w:style>
  <w:style w:type="paragraph" w:styleId="TOC8">
    <w:name w:val="toc 8"/>
    <w:basedOn w:val="Normal"/>
    <w:next w:val="Normal"/>
    <w:autoRedefine/>
    <w:uiPriority w:val="39"/>
    <w:unhideWhenUsed/>
    <w:rsid w:val="00BE25D2"/>
    <w:pPr>
      <w:ind w:left="1440"/>
    </w:pPr>
    <w:rPr>
      <w:rFonts w:asciiTheme="minorHAnsi" w:eastAsiaTheme="minorHAnsi" w:hAnsiTheme="minorHAnsi" w:cstheme="minorBidi"/>
      <w:sz w:val="20"/>
      <w:szCs w:val="20"/>
      <w:lang w:eastAsia="en-US"/>
    </w:rPr>
  </w:style>
  <w:style w:type="paragraph" w:styleId="TOC9">
    <w:name w:val="toc 9"/>
    <w:basedOn w:val="Normal"/>
    <w:next w:val="Normal"/>
    <w:autoRedefine/>
    <w:uiPriority w:val="39"/>
    <w:unhideWhenUsed/>
    <w:rsid w:val="00BE25D2"/>
    <w:pPr>
      <w:ind w:left="1680"/>
    </w:pPr>
    <w:rPr>
      <w:rFonts w:asciiTheme="minorHAnsi" w:eastAsiaTheme="minorHAnsi" w:hAnsiTheme="minorHAnsi" w:cstheme="minorBidi"/>
      <w:sz w:val="20"/>
      <w:szCs w:val="20"/>
      <w:lang w:eastAsia="en-US"/>
    </w:rPr>
  </w:style>
  <w:style w:type="paragraph" w:styleId="Header">
    <w:name w:val="header"/>
    <w:basedOn w:val="Normal"/>
    <w:link w:val="HeaderChar"/>
    <w:uiPriority w:val="99"/>
    <w:unhideWhenUsed/>
    <w:rsid w:val="00400130"/>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400130"/>
  </w:style>
  <w:style w:type="paragraph" w:styleId="Footer">
    <w:name w:val="footer"/>
    <w:basedOn w:val="Normal"/>
    <w:link w:val="FooterChar"/>
    <w:uiPriority w:val="99"/>
    <w:unhideWhenUsed/>
    <w:rsid w:val="00400130"/>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400130"/>
  </w:style>
  <w:style w:type="character" w:styleId="PageNumber">
    <w:name w:val="page number"/>
    <w:basedOn w:val="DefaultParagraphFont"/>
    <w:uiPriority w:val="99"/>
    <w:semiHidden/>
    <w:unhideWhenUsed/>
    <w:rsid w:val="00096968"/>
  </w:style>
  <w:style w:type="paragraph" w:styleId="Caption">
    <w:name w:val="caption"/>
    <w:basedOn w:val="Normal"/>
    <w:next w:val="Normal"/>
    <w:uiPriority w:val="35"/>
    <w:unhideWhenUsed/>
    <w:qFormat/>
    <w:rsid w:val="00071465"/>
    <w:pPr>
      <w:spacing w:after="200"/>
    </w:pPr>
    <w:rPr>
      <w:rFonts w:asciiTheme="minorHAnsi" w:eastAsiaTheme="minorHAnsi" w:hAnsiTheme="minorHAnsi" w:cstheme="minorBidi"/>
      <w:i/>
      <w:iCs/>
      <w:color w:val="44546A" w:themeColor="text2"/>
      <w:sz w:val="18"/>
      <w:szCs w:val="18"/>
      <w:lang w:eastAsia="en-US"/>
    </w:rPr>
  </w:style>
  <w:style w:type="paragraph" w:styleId="TableofFigures">
    <w:name w:val="table of figures"/>
    <w:basedOn w:val="Normal"/>
    <w:next w:val="Normal"/>
    <w:uiPriority w:val="99"/>
    <w:unhideWhenUsed/>
    <w:rsid w:val="001146DB"/>
    <w:pPr>
      <w:ind w:left="480" w:hanging="480"/>
    </w:pPr>
    <w:rPr>
      <w:rFonts w:asciiTheme="minorHAnsi" w:eastAsiaTheme="minorHAnsi" w:hAnsiTheme="minorHAnsi" w:cstheme="minorBidi"/>
      <w:b/>
      <w:bCs/>
      <w:sz w:val="20"/>
      <w:szCs w:val="20"/>
      <w:lang w:eastAsia="en-US"/>
    </w:rPr>
  </w:style>
  <w:style w:type="character" w:customStyle="1" w:styleId="selectable">
    <w:name w:val="selectable"/>
    <w:basedOn w:val="DefaultParagraphFont"/>
    <w:rsid w:val="007D116D"/>
  </w:style>
  <w:style w:type="table" w:customStyle="1" w:styleId="TableGrid1">
    <w:name w:val="Table Grid1"/>
    <w:basedOn w:val="TableNormal"/>
    <w:next w:val="TableGrid"/>
    <w:uiPriority w:val="39"/>
    <w:rsid w:val="007B42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2761">
      <w:bodyDiv w:val="1"/>
      <w:marLeft w:val="0"/>
      <w:marRight w:val="0"/>
      <w:marTop w:val="0"/>
      <w:marBottom w:val="0"/>
      <w:divBdr>
        <w:top w:val="none" w:sz="0" w:space="0" w:color="auto"/>
        <w:left w:val="none" w:sz="0" w:space="0" w:color="auto"/>
        <w:bottom w:val="none" w:sz="0" w:space="0" w:color="auto"/>
        <w:right w:val="none" w:sz="0" w:space="0" w:color="auto"/>
      </w:divBdr>
    </w:div>
    <w:div w:id="116799055">
      <w:bodyDiv w:val="1"/>
      <w:marLeft w:val="0"/>
      <w:marRight w:val="0"/>
      <w:marTop w:val="0"/>
      <w:marBottom w:val="0"/>
      <w:divBdr>
        <w:top w:val="none" w:sz="0" w:space="0" w:color="auto"/>
        <w:left w:val="none" w:sz="0" w:space="0" w:color="auto"/>
        <w:bottom w:val="none" w:sz="0" w:space="0" w:color="auto"/>
        <w:right w:val="none" w:sz="0" w:space="0" w:color="auto"/>
      </w:divBdr>
    </w:div>
    <w:div w:id="142622331">
      <w:bodyDiv w:val="1"/>
      <w:marLeft w:val="0"/>
      <w:marRight w:val="0"/>
      <w:marTop w:val="0"/>
      <w:marBottom w:val="0"/>
      <w:divBdr>
        <w:top w:val="none" w:sz="0" w:space="0" w:color="auto"/>
        <w:left w:val="none" w:sz="0" w:space="0" w:color="auto"/>
        <w:bottom w:val="none" w:sz="0" w:space="0" w:color="auto"/>
        <w:right w:val="none" w:sz="0" w:space="0" w:color="auto"/>
      </w:divBdr>
    </w:div>
    <w:div w:id="155659123">
      <w:bodyDiv w:val="1"/>
      <w:marLeft w:val="0"/>
      <w:marRight w:val="0"/>
      <w:marTop w:val="0"/>
      <w:marBottom w:val="0"/>
      <w:divBdr>
        <w:top w:val="none" w:sz="0" w:space="0" w:color="auto"/>
        <w:left w:val="none" w:sz="0" w:space="0" w:color="auto"/>
        <w:bottom w:val="none" w:sz="0" w:space="0" w:color="auto"/>
        <w:right w:val="none" w:sz="0" w:space="0" w:color="auto"/>
      </w:divBdr>
    </w:div>
    <w:div w:id="203948911">
      <w:bodyDiv w:val="1"/>
      <w:marLeft w:val="0"/>
      <w:marRight w:val="0"/>
      <w:marTop w:val="0"/>
      <w:marBottom w:val="0"/>
      <w:divBdr>
        <w:top w:val="none" w:sz="0" w:space="0" w:color="auto"/>
        <w:left w:val="none" w:sz="0" w:space="0" w:color="auto"/>
        <w:bottom w:val="none" w:sz="0" w:space="0" w:color="auto"/>
        <w:right w:val="none" w:sz="0" w:space="0" w:color="auto"/>
      </w:divBdr>
    </w:div>
    <w:div w:id="313728126">
      <w:bodyDiv w:val="1"/>
      <w:marLeft w:val="0"/>
      <w:marRight w:val="0"/>
      <w:marTop w:val="0"/>
      <w:marBottom w:val="0"/>
      <w:divBdr>
        <w:top w:val="none" w:sz="0" w:space="0" w:color="auto"/>
        <w:left w:val="none" w:sz="0" w:space="0" w:color="auto"/>
        <w:bottom w:val="none" w:sz="0" w:space="0" w:color="auto"/>
        <w:right w:val="none" w:sz="0" w:space="0" w:color="auto"/>
      </w:divBdr>
      <w:divsChild>
        <w:div w:id="739014782">
          <w:marLeft w:val="0"/>
          <w:marRight w:val="0"/>
          <w:marTop w:val="0"/>
          <w:marBottom w:val="0"/>
          <w:divBdr>
            <w:top w:val="none" w:sz="0" w:space="0" w:color="auto"/>
            <w:left w:val="none" w:sz="0" w:space="0" w:color="auto"/>
            <w:bottom w:val="none" w:sz="0" w:space="0" w:color="auto"/>
            <w:right w:val="none" w:sz="0" w:space="0" w:color="auto"/>
          </w:divBdr>
          <w:divsChild>
            <w:div w:id="257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6442">
      <w:bodyDiv w:val="1"/>
      <w:marLeft w:val="0"/>
      <w:marRight w:val="0"/>
      <w:marTop w:val="0"/>
      <w:marBottom w:val="0"/>
      <w:divBdr>
        <w:top w:val="none" w:sz="0" w:space="0" w:color="auto"/>
        <w:left w:val="none" w:sz="0" w:space="0" w:color="auto"/>
        <w:bottom w:val="none" w:sz="0" w:space="0" w:color="auto"/>
        <w:right w:val="none" w:sz="0" w:space="0" w:color="auto"/>
      </w:divBdr>
    </w:div>
    <w:div w:id="556863653">
      <w:bodyDiv w:val="1"/>
      <w:marLeft w:val="0"/>
      <w:marRight w:val="0"/>
      <w:marTop w:val="0"/>
      <w:marBottom w:val="0"/>
      <w:divBdr>
        <w:top w:val="none" w:sz="0" w:space="0" w:color="auto"/>
        <w:left w:val="none" w:sz="0" w:space="0" w:color="auto"/>
        <w:bottom w:val="none" w:sz="0" w:space="0" w:color="auto"/>
        <w:right w:val="none" w:sz="0" w:space="0" w:color="auto"/>
      </w:divBdr>
      <w:divsChild>
        <w:div w:id="482506731">
          <w:marLeft w:val="0"/>
          <w:marRight w:val="0"/>
          <w:marTop w:val="0"/>
          <w:marBottom w:val="0"/>
          <w:divBdr>
            <w:top w:val="none" w:sz="0" w:space="0" w:color="auto"/>
            <w:left w:val="none" w:sz="0" w:space="0" w:color="auto"/>
            <w:bottom w:val="none" w:sz="0" w:space="0" w:color="auto"/>
            <w:right w:val="none" w:sz="0" w:space="0" w:color="auto"/>
          </w:divBdr>
          <w:divsChild>
            <w:div w:id="3106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89180">
      <w:bodyDiv w:val="1"/>
      <w:marLeft w:val="0"/>
      <w:marRight w:val="0"/>
      <w:marTop w:val="0"/>
      <w:marBottom w:val="0"/>
      <w:divBdr>
        <w:top w:val="none" w:sz="0" w:space="0" w:color="auto"/>
        <w:left w:val="none" w:sz="0" w:space="0" w:color="auto"/>
        <w:bottom w:val="none" w:sz="0" w:space="0" w:color="auto"/>
        <w:right w:val="none" w:sz="0" w:space="0" w:color="auto"/>
      </w:divBdr>
    </w:div>
    <w:div w:id="631710476">
      <w:bodyDiv w:val="1"/>
      <w:marLeft w:val="0"/>
      <w:marRight w:val="0"/>
      <w:marTop w:val="0"/>
      <w:marBottom w:val="0"/>
      <w:divBdr>
        <w:top w:val="none" w:sz="0" w:space="0" w:color="auto"/>
        <w:left w:val="none" w:sz="0" w:space="0" w:color="auto"/>
        <w:bottom w:val="none" w:sz="0" w:space="0" w:color="auto"/>
        <w:right w:val="none" w:sz="0" w:space="0" w:color="auto"/>
      </w:divBdr>
    </w:div>
    <w:div w:id="646016730">
      <w:bodyDiv w:val="1"/>
      <w:marLeft w:val="0"/>
      <w:marRight w:val="0"/>
      <w:marTop w:val="0"/>
      <w:marBottom w:val="0"/>
      <w:divBdr>
        <w:top w:val="none" w:sz="0" w:space="0" w:color="auto"/>
        <w:left w:val="none" w:sz="0" w:space="0" w:color="auto"/>
        <w:bottom w:val="none" w:sz="0" w:space="0" w:color="auto"/>
        <w:right w:val="none" w:sz="0" w:space="0" w:color="auto"/>
      </w:divBdr>
    </w:div>
    <w:div w:id="653610894">
      <w:bodyDiv w:val="1"/>
      <w:marLeft w:val="0"/>
      <w:marRight w:val="0"/>
      <w:marTop w:val="0"/>
      <w:marBottom w:val="0"/>
      <w:divBdr>
        <w:top w:val="none" w:sz="0" w:space="0" w:color="auto"/>
        <w:left w:val="none" w:sz="0" w:space="0" w:color="auto"/>
        <w:bottom w:val="none" w:sz="0" w:space="0" w:color="auto"/>
        <w:right w:val="none" w:sz="0" w:space="0" w:color="auto"/>
      </w:divBdr>
      <w:divsChild>
        <w:div w:id="1799911120">
          <w:marLeft w:val="0"/>
          <w:marRight w:val="0"/>
          <w:marTop w:val="0"/>
          <w:marBottom w:val="0"/>
          <w:divBdr>
            <w:top w:val="none" w:sz="0" w:space="0" w:color="auto"/>
            <w:left w:val="none" w:sz="0" w:space="0" w:color="auto"/>
            <w:bottom w:val="none" w:sz="0" w:space="0" w:color="auto"/>
            <w:right w:val="none" w:sz="0" w:space="0" w:color="auto"/>
          </w:divBdr>
          <w:divsChild>
            <w:div w:id="4606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8738">
      <w:bodyDiv w:val="1"/>
      <w:marLeft w:val="0"/>
      <w:marRight w:val="0"/>
      <w:marTop w:val="0"/>
      <w:marBottom w:val="0"/>
      <w:divBdr>
        <w:top w:val="none" w:sz="0" w:space="0" w:color="auto"/>
        <w:left w:val="none" w:sz="0" w:space="0" w:color="auto"/>
        <w:bottom w:val="none" w:sz="0" w:space="0" w:color="auto"/>
        <w:right w:val="none" w:sz="0" w:space="0" w:color="auto"/>
      </w:divBdr>
    </w:div>
    <w:div w:id="839278604">
      <w:bodyDiv w:val="1"/>
      <w:marLeft w:val="0"/>
      <w:marRight w:val="0"/>
      <w:marTop w:val="0"/>
      <w:marBottom w:val="0"/>
      <w:divBdr>
        <w:top w:val="none" w:sz="0" w:space="0" w:color="auto"/>
        <w:left w:val="none" w:sz="0" w:space="0" w:color="auto"/>
        <w:bottom w:val="none" w:sz="0" w:space="0" w:color="auto"/>
        <w:right w:val="none" w:sz="0" w:space="0" w:color="auto"/>
      </w:divBdr>
    </w:div>
    <w:div w:id="916283381">
      <w:bodyDiv w:val="1"/>
      <w:marLeft w:val="0"/>
      <w:marRight w:val="0"/>
      <w:marTop w:val="0"/>
      <w:marBottom w:val="0"/>
      <w:divBdr>
        <w:top w:val="none" w:sz="0" w:space="0" w:color="auto"/>
        <w:left w:val="none" w:sz="0" w:space="0" w:color="auto"/>
        <w:bottom w:val="none" w:sz="0" w:space="0" w:color="auto"/>
        <w:right w:val="none" w:sz="0" w:space="0" w:color="auto"/>
      </w:divBdr>
    </w:div>
    <w:div w:id="938679827">
      <w:bodyDiv w:val="1"/>
      <w:marLeft w:val="0"/>
      <w:marRight w:val="0"/>
      <w:marTop w:val="0"/>
      <w:marBottom w:val="0"/>
      <w:divBdr>
        <w:top w:val="none" w:sz="0" w:space="0" w:color="auto"/>
        <w:left w:val="none" w:sz="0" w:space="0" w:color="auto"/>
        <w:bottom w:val="none" w:sz="0" w:space="0" w:color="auto"/>
        <w:right w:val="none" w:sz="0" w:space="0" w:color="auto"/>
      </w:divBdr>
      <w:divsChild>
        <w:div w:id="1281258012">
          <w:marLeft w:val="0"/>
          <w:marRight w:val="0"/>
          <w:marTop w:val="0"/>
          <w:marBottom w:val="0"/>
          <w:divBdr>
            <w:top w:val="none" w:sz="0" w:space="0" w:color="auto"/>
            <w:left w:val="none" w:sz="0" w:space="0" w:color="auto"/>
            <w:bottom w:val="none" w:sz="0" w:space="0" w:color="auto"/>
            <w:right w:val="none" w:sz="0" w:space="0" w:color="auto"/>
          </w:divBdr>
          <w:divsChild>
            <w:div w:id="4194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1800">
      <w:bodyDiv w:val="1"/>
      <w:marLeft w:val="0"/>
      <w:marRight w:val="0"/>
      <w:marTop w:val="0"/>
      <w:marBottom w:val="0"/>
      <w:divBdr>
        <w:top w:val="none" w:sz="0" w:space="0" w:color="auto"/>
        <w:left w:val="none" w:sz="0" w:space="0" w:color="auto"/>
        <w:bottom w:val="none" w:sz="0" w:space="0" w:color="auto"/>
        <w:right w:val="none" w:sz="0" w:space="0" w:color="auto"/>
      </w:divBdr>
    </w:div>
    <w:div w:id="962922199">
      <w:bodyDiv w:val="1"/>
      <w:marLeft w:val="0"/>
      <w:marRight w:val="0"/>
      <w:marTop w:val="0"/>
      <w:marBottom w:val="0"/>
      <w:divBdr>
        <w:top w:val="none" w:sz="0" w:space="0" w:color="auto"/>
        <w:left w:val="none" w:sz="0" w:space="0" w:color="auto"/>
        <w:bottom w:val="none" w:sz="0" w:space="0" w:color="auto"/>
        <w:right w:val="none" w:sz="0" w:space="0" w:color="auto"/>
      </w:divBdr>
    </w:div>
    <w:div w:id="1021971687">
      <w:bodyDiv w:val="1"/>
      <w:marLeft w:val="0"/>
      <w:marRight w:val="0"/>
      <w:marTop w:val="0"/>
      <w:marBottom w:val="0"/>
      <w:divBdr>
        <w:top w:val="none" w:sz="0" w:space="0" w:color="auto"/>
        <w:left w:val="none" w:sz="0" w:space="0" w:color="auto"/>
        <w:bottom w:val="none" w:sz="0" w:space="0" w:color="auto"/>
        <w:right w:val="none" w:sz="0" w:space="0" w:color="auto"/>
      </w:divBdr>
    </w:div>
    <w:div w:id="1087535107">
      <w:bodyDiv w:val="1"/>
      <w:marLeft w:val="0"/>
      <w:marRight w:val="0"/>
      <w:marTop w:val="0"/>
      <w:marBottom w:val="0"/>
      <w:divBdr>
        <w:top w:val="none" w:sz="0" w:space="0" w:color="auto"/>
        <w:left w:val="none" w:sz="0" w:space="0" w:color="auto"/>
        <w:bottom w:val="none" w:sz="0" w:space="0" w:color="auto"/>
        <w:right w:val="none" w:sz="0" w:space="0" w:color="auto"/>
      </w:divBdr>
    </w:div>
    <w:div w:id="1257440481">
      <w:bodyDiv w:val="1"/>
      <w:marLeft w:val="0"/>
      <w:marRight w:val="0"/>
      <w:marTop w:val="0"/>
      <w:marBottom w:val="0"/>
      <w:divBdr>
        <w:top w:val="none" w:sz="0" w:space="0" w:color="auto"/>
        <w:left w:val="none" w:sz="0" w:space="0" w:color="auto"/>
        <w:bottom w:val="none" w:sz="0" w:space="0" w:color="auto"/>
        <w:right w:val="none" w:sz="0" w:space="0" w:color="auto"/>
      </w:divBdr>
    </w:div>
    <w:div w:id="1295331129">
      <w:bodyDiv w:val="1"/>
      <w:marLeft w:val="0"/>
      <w:marRight w:val="0"/>
      <w:marTop w:val="0"/>
      <w:marBottom w:val="0"/>
      <w:divBdr>
        <w:top w:val="none" w:sz="0" w:space="0" w:color="auto"/>
        <w:left w:val="none" w:sz="0" w:space="0" w:color="auto"/>
        <w:bottom w:val="none" w:sz="0" w:space="0" w:color="auto"/>
        <w:right w:val="none" w:sz="0" w:space="0" w:color="auto"/>
      </w:divBdr>
      <w:divsChild>
        <w:div w:id="1916932656">
          <w:marLeft w:val="0"/>
          <w:marRight w:val="0"/>
          <w:marTop w:val="0"/>
          <w:marBottom w:val="0"/>
          <w:divBdr>
            <w:top w:val="none" w:sz="0" w:space="0" w:color="auto"/>
            <w:left w:val="none" w:sz="0" w:space="0" w:color="auto"/>
            <w:bottom w:val="none" w:sz="0" w:space="0" w:color="auto"/>
            <w:right w:val="none" w:sz="0" w:space="0" w:color="auto"/>
          </w:divBdr>
          <w:divsChild>
            <w:div w:id="10342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7072">
      <w:bodyDiv w:val="1"/>
      <w:marLeft w:val="0"/>
      <w:marRight w:val="0"/>
      <w:marTop w:val="0"/>
      <w:marBottom w:val="0"/>
      <w:divBdr>
        <w:top w:val="none" w:sz="0" w:space="0" w:color="auto"/>
        <w:left w:val="none" w:sz="0" w:space="0" w:color="auto"/>
        <w:bottom w:val="none" w:sz="0" w:space="0" w:color="auto"/>
        <w:right w:val="none" w:sz="0" w:space="0" w:color="auto"/>
      </w:divBdr>
    </w:div>
    <w:div w:id="1962228320">
      <w:bodyDiv w:val="1"/>
      <w:marLeft w:val="0"/>
      <w:marRight w:val="0"/>
      <w:marTop w:val="0"/>
      <w:marBottom w:val="0"/>
      <w:divBdr>
        <w:top w:val="none" w:sz="0" w:space="0" w:color="auto"/>
        <w:left w:val="none" w:sz="0" w:space="0" w:color="auto"/>
        <w:bottom w:val="none" w:sz="0" w:space="0" w:color="auto"/>
        <w:right w:val="none" w:sz="0" w:space="0" w:color="auto"/>
      </w:divBdr>
    </w:div>
    <w:div w:id="1999532188">
      <w:bodyDiv w:val="1"/>
      <w:marLeft w:val="0"/>
      <w:marRight w:val="0"/>
      <w:marTop w:val="0"/>
      <w:marBottom w:val="0"/>
      <w:divBdr>
        <w:top w:val="none" w:sz="0" w:space="0" w:color="auto"/>
        <w:left w:val="none" w:sz="0" w:space="0" w:color="auto"/>
        <w:bottom w:val="none" w:sz="0" w:space="0" w:color="auto"/>
        <w:right w:val="none" w:sz="0" w:space="0" w:color="auto"/>
      </w:divBdr>
    </w:div>
    <w:div w:id="2041591478">
      <w:bodyDiv w:val="1"/>
      <w:marLeft w:val="0"/>
      <w:marRight w:val="0"/>
      <w:marTop w:val="0"/>
      <w:marBottom w:val="0"/>
      <w:divBdr>
        <w:top w:val="none" w:sz="0" w:space="0" w:color="auto"/>
        <w:left w:val="none" w:sz="0" w:space="0" w:color="auto"/>
        <w:bottom w:val="none" w:sz="0" w:space="0" w:color="auto"/>
        <w:right w:val="none" w:sz="0" w:space="0" w:color="auto"/>
      </w:divBdr>
      <w:divsChild>
        <w:div w:id="117722988">
          <w:marLeft w:val="0"/>
          <w:marRight w:val="0"/>
          <w:marTop w:val="0"/>
          <w:marBottom w:val="0"/>
          <w:divBdr>
            <w:top w:val="none" w:sz="0" w:space="0" w:color="auto"/>
            <w:left w:val="none" w:sz="0" w:space="0" w:color="auto"/>
            <w:bottom w:val="none" w:sz="0" w:space="0" w:color="auto"/>
            <w:right w:val="none" w:sz="0" w:space="0" w:color="auto"/>
          </w:divBdr>
          <w:divsChild>
            <w:div w:id="9020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2435">
      <w:bodyDiv w:val="1"/>
      <w:marLeft w:val="0"/>
      <w:marRight w:val="0"/>
      <w:marTop w:val="0"/>
      <w:marBottom w:val="0"/>
      <w:divBdr>
        <w:top w:val="none" w:sz="0" w:space="0" w:color="auto"/>
        <w:left w:val="none" w:sz="0" w:space="0" w:color="auto"/>
        <w:bottom w:val="none" w:sz="0" w:space="0" w:color="auto"/>
        <w:right w:val="none" w:sz="0" w:space="0" w:color="auto"/>
      </w:divBdr>
    </w:div>
    <w:div w:id="210136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16/j.meddos.2016.0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B5CA-A31F-4E3B-BB75-5EBFC0891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Ashby, Olivia</dc:creator>
  <cp:keywords/>
  <dc:description/>
  <cp:lastModifiedBy>Bridge, Pete</cp:lastModifiedBy>
  <cp:revision>3</cp:revision>
  <cp:lastPrinted>2020-02-17T19:35:00Z</cp:lastPrinted>
  <dcterms:created xsi:type="dcterms:W3CDTF">2020-09-03T08:12:00Z</dcterms:created>
  <dcterms:modified xsi:type="dcterms:W3CDTF">2020-09-03T08:13:00Z</dcterms:modified>
</cp:coreProperties>
</file>