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8AD17" w14:textId="3AF82C06" w:rsidR="00186A2D" w:rsidRPr="00186A2D" w:rsidRDefault="00186A2D" w:rsidP="00186A2D">
      <w:pPr>
        <w:rPr>
          <w:b/>
        </w:rPr>
      </w:pPr>
      <w:r w:rsidRPr="00186A2D">
        <w:rPr>
          <w:b/>
        </w:rPr>
        <w:t xml:space="preserve">From shame to blame: </w:t>
      </w:r>
      <w:r w:rsidR="001A156C">
        <w:rPr>
          <w:b/>
        </w:rPr>
        <w:t>Institutionalising</w:t>
      </w:r>
      <w:r w:rsidR="001A156C" w:rsidRPr="00186A2D">
        <w:rPr>
          <w:b/>
        </w:rPr>
        <w:t xml:space="preserve"> </w:t>
      </w:r>
      <w:r w:rsidRPr="00186A2D">
        <w:rPr>
          <w:b/>
        </w:rPr>
        <w:t>oppressi</w:t>
      </w:r>
      <w:r w:rsidR="00183920">
        <w:rPr>
          <w:b/>
        </w:rPr>
        <w:t>on through the moralisation</w:t>
      </w:r>
      <w:r w:rsidRPr="00186A2D">
        <w:rPr>
          <w:b/>
        </w:rPr>
        <w:t xml:space="preserve"> of mental </w:t>
      </w:r>
      <w:r>
        <w:rPr>
          <w:b/>
        </w:rPr>
        <w:t>distress</w:t>
      </w:r>
      <w:r w:rsidRPr="00186A2D">
        <w:rPr>
          <w:b/>
        </w:rPr>
        <w:t xml:space="preserve"> in austerity England </w:t>
      </w:r>
    </w:p>
    <w:p w14:paraId="1CD52B31" w14:textId="77777777" w:rsidR="00186A2D" w:rsidRDefault="00186A2D" w:rsidP="00186A2D">
      <w:pPr>
        <w:spacing w:after="120" w:line="360" w:lineRule="auto"/>
        <w:contextualSpacing/>
      </w:pPr>
    </w:p>
    <w:p w14:paraId="7ADD6B44" w14:textId="5E6B7629" w:rsidR="0089036D" w:rsidRPr="00BC4F5B" w:rsidRDefault="0089036D" w:rsidP="00186A2D">
      <w:pPr>
        <w:spacing w:after="120" w:line="360" w:lineRule="auto"/>
        <w:contextualSpacing/>
        <w:rPr>
          <w:b/>
        </w:rPr>
      </w:pPr>
      <w:r w:rsidRPr="00BC4F5B">
        <w:rPr>
          <w:b/>
        </w:rPr>
        <w:t>Abstract</w:t>
      </w:r>
    </w:p>
    <w:p w14:paraId="38E6B67E" w14:textId="78221A90" w:rsidR="00186A2D" w:rsidRDefault="00B25E91" w:rsidP="00A277A2">
      <w:pPr>
        <w:spacing w:after="120" w:line="360" w:lineRule="auto"/>
        <w:contextualSpacing/>
      </w:pPr>
      <w:r>
        <w:t>T</w:t>
      </w:r>
      <w:r w:rsidR="00186A2D" w:rsidRPr="00186A2D">
        <w:t xml:space="preserve">his paper interrogates qualitative data </w:t>
      </w:r>
      <w:r w:rsidR="00F9248B">
        <w:t>regarding the</w:t>
      </w:r>
      <w:r w:rsidR="00D00F13">
        <w:t xml:space="preserve"> changing experiences </w:t>
      </w:r>
      <w:r w:rsidR="00183920">
        <w:t xml:space="preserve">of </w:t>
      </w:r>
      <w:r w:rsidR="00D00F13">
        <w:t>mental</w:t>
      </w:r>
      <w:r w:rsidR="00183920">
        <w:t xml:space="preserve"> health</w:t>
      </w:r>
      <w:r w:rsidR="00186A2D" w:rsidRPr="00186A2D">
        <w:t xml:space="preserve"> service and welfare state interventions for those who self-identify as experie</w:t>
      </w:r>
      <w:r w:rsidR="00F9248B">
        <w:t>ncing long-term mental distress</w:t>
      </w:r>
      <w:r w:rsidR="00186A2D" w:rsidRPr="00186A2D">
        <w:t xml:space="preserve">. </w:t>
      </w:r>
      <w:r w:rsidR="00186A2D">
        <w:t>W</w:t>
      </w:r>
      <w:r w:rsidR="00186A2D" w:rsidRPr="00186A2D">
        <w:t xml:space="preserve">e focus on </w:t>
      </w:r>
      <w:r w:rsidR="00F9248B">
        <w:t xml:space="preserve">austerity-related </w:t>
      </w:r>
      <w:r w:rsidR="00274DD5">
        <w:t>reforms</w:t>
      </w:r>
      <w:r w:rsidR="00274DD5" w:rsidRPr="00186A2D">
        <w:t xml:space="preserve"> </w:t>
      </w:r>
      <w:r w:rsidR="008547A0">
        <w:t>in the</w:t>
      </w:r>
      <w:r w:rsidR="00F9248B">
        <w:t xml:space="preserve"> English</w:t>
      </w:r>
      <w:r w:rsidR="00186A2D" w:rsidRPr="00186A2D">
        <w:t xml:space="preserve"> welfare and mental health policy architecture </w:t>
      </w:r>
      <w:r>
        <w:t xml:space="preserve">to explore the </w:t>
      </w:r>
      <w:r w:rsidR="00186A2D" w:rsidRPr="00186A2D">
        <w:t>socio-cultural</w:t>
      </w:r>
      <w:r w:rsidR="00880862">
        <w:t xml:space="preserve"> and material</w:t>
      </w:r>
      <w:r w:rsidR="00186A2D" w:rsidRPr="00186A2D">
        <w:t xml:space="preserve"> </w:t>
      </w:r>
      <w:r w:rsidR="000A256C">
        <w:t xml:space="preserve">bases of benefit </w:t>
      </w:r>
      <w:r w:rsidR="00186A2D" w:rsidRPr="00186A2D">
        <w:t>claims</w:t>
      </w:r>
      <w:r w:rsidR="00274DD5">
        <w:t>-making in relation</w:t>
      </w:r>
      <w:r w:rsidR="008547A0">
        <w:t xml:space="preserve"> to long-</w:t>
      </w:r>
      <w:r w:rsidR="00186A2D" w:rsidRPr="00186A2D">
        <w:t>term illness and incapacity.</w:t>
      </w:r>
      <w:r w:rsidR="00240266">
        <w:t xml:space="preserve"> </w:t>
      </w:r>
      <w:r w:rsidR="000A256C">
        <w:t>Recent n</w:t>
      </w:r>
      <w:r w:rsidR="00A277A2">
        <w:t>eoliberal social policy reforms contest</w:t>
      </w:r>
      <w:r w:rsidR="006872DE">
        <w:t xml:space="preserve"> the ontological</w:t>
      </w:r>
      <w:r w:rsidR="00175DF5">
        <w:t xml:space="preserve"> status</w:t>
      </w:r>
      <w:r w:rsidR="00240266">
        <w:t xml:space="preserve"> of mental distress</w:t>
      </w:r>
      <w:r w:rsidR="00A277A2">
        <w:t>, with the effect recasting distress as a ‘moral’ status.</w:t>
      </w:r>
      <w:r w:rsidR="00240266">
        <w:t xml:space="preserve"> </w:t>
      </w:r>
      <w:r w:rsidR="00A277A2">
        <w:t xml:space="preserve"> </w:t>
      </w:r>
      <w:r w:rsidR="00175DF5">
        <w:t>This</w:t>
      </w:r>
      <w:r w:rsidR="000351E6">
        <w:t xml:space="preserve"> tendency</w:t>
      </w:r>
      <w:r w:rsidR="00175DF5">
        <w:t xml:space="preserve"> is reinforced via </w:t>
      </w:r>
      <w:r w:rsidR="00186A2D" w:rsidRPr="00186A2D">
        <w:t xml:space="preserve">three </w:t>
      </w:r>
      <w:r w:rsidR="00175DF5">
        <w:t>primary</w:t>
      </w:r>
      <w:r w:rsidR="000351E6">
        <w:t xml:space="preserve"> dynamics</w:t>
      </w:r>
      <w:r w:rsidR="00175DF5">
        <w:t xml:space="preserve"> </w:t>
      </w:r>
      <w:r w:rsidR="00AD131F">
        <w:t xml:space="preserve">in contemporary mental health and welfare </w:t>
      </w:r>
      <w:r w:rsidR="00AD131F" w:rsidRPr="00186A2D">
        <w:t>policy</w:t>
      </w:r>
      <w:r w:rsidR="00D00F13">
        <w:t>:</w:t>
      </w:r>
      <w:r w:rsidR="00186A2D" w:rsidRPr="00186A2D">
        <w:t xml:space="preserve"> </w:t>
      </w:r>
      <w:r w:rsidR="00175DF5">
        <w:t xml:space="preserve">the </w:t>
      </w:r>
      <w:r w:rsidR="00186A2D" w:rsidRPr="00186A2D">
        <w:t xml:space="preserve">de-legitimisation of </w:t>
      </w:r>
      <w:r w:rsidR="00152387">
        <w:t>sick role status in relation to mental distress</w:t>
      </w:r>
      <w:r w:rsidR="00A277A2">
        <w:t>;</w:t>
      </w:r>
      <w:r w:rsidR="00186A2D" w:rsidRPr="00186A2D">
        <w:t xml:space="preserve"> </w:t>
      </w:r>
      <w:r w:rsidR="00175DF5">
        <w:t xml:space="preserve">the </w:t>
      </w:r>
      <w:r w:rsidR="001A156C">
        <w:t xml:space="preserve">foregrounding of individual responsibility and concomitant </w:t>
      </w:r>
      <w:r w:rsidR="000351E6">
        <w:t>re-orientation</w:t>
      </w:r>
      <w:r w:rsidR="00186A2D" w:rsidRPr="00186A2D">
        <w:t xml:space="preserve"> </w:t>
      </w:r>
      <w:r w:rsidR="000351E6">
        <w:t xml:space="preserve">of services towards </w:t>
      </w:r>
      <w:r w:rsidR="00186A2D" w:rsidRPr="00186A2D">
        <w:t>self-help</w:t>
      </w:r>
      <w:r w:rsidR="00A277A2">
        <w:t xml:space="preserve">; </w:t>
      </w:r>
      <w:r w:rsidR="00186A2D" w:rsidRPr="00186A2D">
        <w:t>and</w:t>
      </w:r>
      <w:r w:rsidR="00A277A2">
        <w:t>, an</w:t>
      </w:r>
      <w:r w:rsidR="00186A2D" w:rsidRPr="00186A2D">
        <w:t xml:space="preserve"> increasing punitive conditionality. These</w:t>
      </w:r>
      <w:r w:rsidR="00152387">
        <w:t xml:space="preserve"> </w:t>
      </w:r>
      <w:r w:rsidR="0071434A">
        <w:t xml:space="preserve">intersecting </w:t>
      </w:r>
      <w:r w:rsidR="00186A2D" w:rsidRPr="00186A2D">
        <w:t>processes</w:t>
      </w:r>
      <w:r w:rsidR="00152387">
        <w:t xml:space="preserve"> </w:t>
      </w:r>
      <w:r w:rsidR="00A277A2">
        <w:t xml:space="preserve">represent an </w:t>
      </w:r>
      <w:r w:rsidR="00186A2D" w:rsidRPr="00186A2D">
        <w:t>institutionalisation of ‘blam</w:t>
      </w:r>
      <w:r w:rsidR="000351E6">
        <w:t>e</w:t>
      </w:r>
      <w:r w:rsidR="00186A2D" w:rsidRPr="00186A2D">
        <w:t>’</w:t>
      </w:r>
      <w:r w:rsidR="00050656">
        <w:t xml:space="preserve"> </w:t>
      </w:r>
      <w:r w:rsidR="00A277A2">
        <w:t>in various policy context</w:t>
      </w:r>
      <w:r w:rsidR="00F9248B">
        <w:t>s</w:t>
      </w:r>
      <w:r w:rsidR="0071434A">
        <w:t xml:space="preserve"> </w:t>
      </w:r>
      <w:r w:rsidR="00050656">
        <w:t>(</w:t>
      </w:r>
      <w:proofErr w:type="spellStart"/>
      <w:r w:rsidR="00050656">
        <w:t>Scambler</w:t>
      </w:r>
      <w:proofErr w:type="spellEnd"/>
      <w:r w:rsidR="00050656">
        <w:t>, 2009, 2018)</w:t>
      </w:r>
      <w:r w:rsidR="0071434A">
        <w:t>, the moral stigmatisation of mental distress</w:t>
      </w:r>
      <w:r w:rsidR="00186A2D" w:rsidRPr="00186A2D">
        <w:t xml:space="preserve"> and</w:t>
      </w:r>
      <w:r w:rsidR="000351E6">
        <w:t xml:space="preserve"> </w:t>
      </w:r>
      <w:r w:rsidR="00152387">
        <w:t>escalating</w:t>
      </w:r>
      <w:r w:rsidR="000351E6">
        <w:t xml:space="preserve"> experiences of oppression</w:t>
      </w:r>
      <w:r w:rsidR="00152387">
        <w:t xml:space="preserve"> for mental health service users and welfare recipients.</w:t>
      </w:r>
      <w:r w:rsidR="000351E6">
        <w:t xml:space="preserve"> </w:t>
      </w:r>
      <w:r w:rsidR="00A97C9B">
        <w:t>This reveals</w:t>
      </w:r>
      <w:r w:rsidR="0071434A">
        <w:t xml:space="preserve"> shifting conceptions</w:t>
      </w:r>
      <w:r w:rsidR="00A277A2">
        <w:t xml:space="preserve"> </w:t>
      </w:r>
      <w:r w:rsidR="0071434A">
        <w:t>of distress</w:t>
      </w:r>
      <w:r w:rsidR="00A97C9B">
        <w:t xml:space="preserve"> to be</w:t>
      </w:r>
      <w:r w:rsidR="00A277A2">
        <w:t xml:space="preserve"> entwined with transformations in social policy regimes and political economies. </w:t>
      </w:r>
      <w:r w:rsidR="00F9248B">
        <w:t xml:space="preserve">Painting distress as a personal failure </w:t>
      </w:r>
      <w:r w:rsidR="0071434A">
        <w:t>legitimate</w:t>
      </w:r>
      <w:r w:rsidR="00F9248B">
        <w:t>s</w:t>
      </w:r>
      <w:r w:rsidR="00186A2D" w:rsidRPr="00186A2D">
        <w:t xml:space="preserve"> </w:t>
      </w:r>
      <w:r w:rsidR="0071434A">
        <w:t>austerity-related</w:t>
      </w:r>
      <w:r w:rsidR="001A156C">
        <w:t xml:space="preserve"> restrictions on</w:t>
      </w:r>
      <w:r w:rsidR="0071434A" w:rsidRPr="00186A2D">
        <w:t xml:space="preserve"> </w:t>
      </w:r>
      <w:r w:rsidR="00B17F7C">
        <w:t xml:space="preserve">benefit and service </w:t>
      </w:r>
      <w:r w:rsidR="00186A2D" w:rsidRPr="00186A2D">
        <w:t xml:space="preserve">entitlements as part of a wider project of neoliberal welfare state transformation.  </w:t>
      </w:r>
    </w:p>
    <w:p w14:paraId="2E09DAAB" w14:textId="77777777" w:rsidR="00152387" w:rsidRPr="00186A2D" w:rsidRDefault="00152387" w:rsidP="00186A2D">
      <w:pPr>
        <w:spacing w:after="120" w:line="360" w:lineRule="auto"/>
        <w:contextualSpacing/>
      </w:pPr>
    </w:p>
    <w:p w14:paraId="737515CC" w14:textId="6ACAAA33" w:rsidR="00186A2D" w:rsidRPr="00186A2D" w:rsidRDefault="00186A2D" w:rsidP="00186A2D">
      <w:pPr>
        <w:spacing w:line="360" w:lineRule="auto"/>
      </w:pPr>
      <w:r w:rsidRPr="00186A2D">
        <w:t xml:space="preserve">Key words: </w:t>
      </w:r>
      <w:r w:rsidR="003D7553">
        <w:t>stigma</w:t>
      </w:r>
      <w:r w:rsidRPr="00186A2D">
        <w:t>,</w:t>
      </w:r>
      <w:r w:rsidR="003D7553">
        <w:t xml:space="preserve"> moralisation,</w:t>
      </w:r>
      <w:r w:rsidRPr="00186A2D">
        <w:t xml:space="preserve"> welfare reform, </w:t>
      </w:r>
      <w:r w:rsidR="00BC4F5B">
        <w:t xml:space="preserve">mental </w:t>
      </w:r>
      <w:r w:rsidRPr="00186A2D">
        <w:t>distress, austerity,</w:t>
      </w:r>
      <w:r w:rsidR="00986C5C">
        <w:t xml:space="preserve"> </w:t>
      </w:r>
      <w:bookmarkStart w:id="0" w:name="_GoBack"/>
      <w:bookmarkEnd w:id="0"/>
      <w:r w:rsidRPr="00186A2D">
        <w:t>sick role</w:t>
      </w:r>
      <w:r w:rsidRPr="00186A2D">
        <w:br/>
      </w:r>
    </w:p>
    <w:p w14:paraId="6DD21809" w14:textId="77777777" w:rsidR="00186A2D" w:rsidRPr="00186A2D" w:rsidRDefault="00186A2D" w:rsidP="00186A2D">
      <w:pPr>
        <w:spacing w:line="360" w:lineRule="auto"/>
        <w:rPr>
          <w:b/>
          <w:i/>
        </w:rPr>
      </w:pPr>
      <w:r w:rsidRPr="00186A2D">
        <w:rPr>
          <w:b/>
          <w:i/>
        </w:rPr>
        <w:t>Introduction</w:t>
      </w:r>
    </w:p>
    <w:p w14:paraId="2FF104E3" w14:textId="49152B98" w:rsidR="00186A2D" w:rsidRPr="00186A2D" w:rsidRDefault="00186A2D" w:rsidP="00186A2D">
      <w:pPr>
        <w:spacing w:line="360" w:lineRule="auto"/>
      </w:pPr>
      <w:r w:rsidRPr="00186A2D">
        <w:t>Since 2008, England has experienced the most intense reorganisation and restructuring of social policy since the inception of the contemporary welfare state in the 1940s.  Whyte and Cooper have described this set of changes as an attempt to ‘</w:t>
      </w:r>
      <w:r w:rsidRPr="00186A2D">
        <w:rPr>
          <w:i/>
        </w:rPr>
        <w:t>permanently dissemble the protection state</w:t>
      </w:r>
      <w:r w:rsidRPr="00186A2D">
        <w:t xml:space="preserve">’ (emphasis in original, 2017: 1).  Almost all aspects of welfare policy have undergone intense bureaucratic restructuring including cuts in expenditure, increasing involvement from the private sector and an escalating focus within services on ‘activation’ to engender labour market participation.  Reform of the state’s role in social protection can be implicated in shifting experiences of mental health and </w:t>
      </w:r>
      <w:r w:rsidR="00B17F7C">
        <w:t>distress</w:t>
      </w:r>
      <w:r w:rsidR="00B17F7C" w:rsidRPr="00186A2D">
        <w:t xml:space="preserve"> </w:t>
      </w:r>
      <w:r w:rsidRPr="00186A2D">
        <w:t>from a number of distinct angles. In one sense</w:t>
      </w:r>
      <w:r w:rsidR="004A11B3">
        <w:t xml:space="preserve">, </w:t>
      </w:r>
      <w:r w:rsidRPr="00186A2D">
        <w:t>direct support in relation to mental health</w:t>
      </w:r>
      <w:r w:rsidR="004A11B3">
        <w:t xml:space="preserve"> need</w:t>
      </w:r>
      <w:r w:rsidRPr="00186A2D">
        <w:t xml:space="preserve"> has been reduced through Local Authority (LA) and National Health </w:t>
      </w:r>
      <w:r w:rsidRPr="00186A2D">
        <w:lastRenderedPageBreak/>
        <w:t>Service (NHS) cuts (</w:t>
      </w:r>
      <w:proofErr w:type="spellStart"/>
      <w:r w:rsidRPr="00186A2D">
        <w:t>xxxxommitted</w:t>
      </w:r>
      <w:proofErr w:type="spellEnd"/>
      <w:r w:rsidRPr="00186A2D">
        <w:t xml:space="preserve"> for </w:t>
      </w:r>
      <w:proofErr w:type="spellStart"/>
      <w:r w:rsidRPr="00186A2D">
        <w:t>anonymityxxxx</w:t>
      </w:r>
      <w:proofErr w:type="spellEnd"/>
      <w:r w:rsidRPr="00186A2D">
        <w:t xml:space="preserve">).  The more general context of austerity has entrenched inequality and deepened labour market </w:t>
      </w:r>
      <w:proofErr w:type="spellStart"/>
      <w:r w:rsidRPr="00186A2D">
        <w:t>precarity</w:t>
      </w:r>
      <w:proofErr w:type="spellEnd"/>
      <w:r w:rsidRPr="00186A2D">
        <w:t xml:space="preserve">, personal debt and poverty, with </w:t>
      </w:r>
      <w:r w:rsidR="00B17F7C">
        <w:t>attendant implications</w:t>
      </w:r>
      <w:r w:rsidRPr="00186A2D">
        <w:t xml:space="preserve"> for the levels and intensity of distress</w:t>
      </w:r>
      <w:r w:rsidR="00B17F7C">
        <w:t xml:space="preserve"> across society</w:t>
      </w:r>
      <w:r w:rsidRPr="00186A2D">
        <w:t xml:space="preserve"> (</w:t>
      </w:r>
      <w:proofErr w:type="spellStart"/>
      <w:r w:rsidRPr="00186A2D">
        <w:t>xxxxommitted</w:t>
      </w:r>
      <w:proofErr w:type="spellEnd"/>
      <w:r w:rsidRPr="00186A2D">
        <w:t xml:space="preserve"> for </w:t>
      </w:r>
      <w:proofErr w:type="spellStart"/>
      <w:r w:rsidRPr="00186A2D">
        <w:t>anonymityxxxx</w:t>
      </w:r>
      <w:proofErr w:type="spellEnd"/>
      <w:r w:rsidRPr="00186A2D">
        <w:t>).  Policies directed towards those living with mental distress have undergone a series of transformations including reduced budgets, an increased focus on short-term interventions and moves to embed ‘</w:t>
      </w:r>
      <w:proofErr w:type="spellStart"/>
      <w:r w:rsidRPr="00186A2D">
        <w:t>responsiblisation</w:t>
      </w:r>
      <w:proofErr w:type="spellEnd"/>
      <w:r w:rsidRPr="00186A2D">
        <w:t xml:space="preserve">’ within services. The latter can be described as an increasing concern that the role of policy and practice is to promote self-governance and personal accountability, and is visible across a range of policy arenas (Liebenberg et al, 2015).  The rolling out of </w:t>
      </w:r>
      <w:proofErr w:type="spellStart"/>
      <w:r w:rsidRPr="00186A2D">
        <w:t>responsibilising</w:t>
      </w:r>
      <w:proofErr w:type="spellEnd"/>
      <w:r w:rsidRPr="00186A2D">
        <w:t xml:space="preserve"> policy frameworks, whether in welfare, mental health or criminal justice spheres, involves the mobilisation of ‘authoritarian mentalities and practices of rule…in order to enforce obligations on members of the public’ (Dean, 2002: 38), representing an attempt to </w:t>
      </w:r>
      <w:r w:rsidRPr="00186A2D">
        <w:rPr>
          <w:i/>
        </w:rPr>
        <w:t>impose</w:t>
      </w:r>
      <w:r w:rsidRPr="00186A2D">
        <w:t xml:space="preserve"> particular modes of individual ‘freedom’.  </w:t>
      </w:r>
    </w:p>
    <w:p w14:paraId="4C55366E" w14:textId="750339E0" w:rsidR="00D84C5B" w:rsidRDefault="00186A2D" w:rsidP="00050656">
      <w:pPr>
        <w:spacing w:line="360" w:lineRule="auto"/>
        <w:ind w:firstLine="720"/>
      </w:pPr>
      <w:r w:rsidRPr="00186A2D">
        <w:t xml:space="preserve">In this paper we explore the way in which neoliberal policy transformation in </w:t>
      </w:r>
      <w:r w:rsidR="00B17F7C">
        <w:t xml:space="preserve">welfare and </w:t>
      </w:r>
      <w:r w:rsidRPr="00186A2D">
        <w:t xml:space="preserve">mental health </w:t>
      </w:r>
      <w:r w:rsidR="00B17F7C">
        <w:t>service</w:t>
      </w:r>
      <w:r w:rsidRPr="00186A2D">
        <w:t xml:space="preserve"> contexts</w:t>
      </w:r>
      <w:r w:rsidR="004C5628">
        <w:t xml:space="preserve"> seek</w:t>
      </w:r>
      <w:r w:rsidR="00B17F7C">
        <w:t>s</w:t>
      </w:r>
      <w:r w:rsidR="004C5628">
        <w:t xml:space="preserve"> to enforce self-governance by undermining</w:t>
      </w:r>
      <w:r w:rsidRPr="00186A2D">
        <w:t xml:space="preserve"> claims to incapacity.  Our focus is on a group of individuals who, due to long-term ongoing use of mental health services, do not conform to the imperatives articulated within neoliberal policy frameworks and narratives in terms of individual ‘recovery’.</w:t>
      </w:r>
      <w:r w:rsidR="00742D54">
        <w:t xml:space="preserve">  </w:t>
      </w:r>
      <w:r w:rsidR="00742D54" w:rsidRPr="00186A2D">
        <w:t xml:space="preserve">In order to explore these </w:t>
      </w:r>
      <w:r w:rsidR="004A11B3">
        <w:t>changing</w:t>
      </w:r>
      <w:r w:rsidR="004A11B3" w:rsidRPr="00186A2D">
        <w:t xml:space="preserve"> </w:t>
      </w:r>
      <w:r w:rsidR="00742D54" w:rsidRPr="00186A2D">
        <w:t xml:space="preserve">dynamics within health and welfare policy, we draw on </w:t>
      </w:r>
      <w:proofErr w:type="spellStart"/>
      <w:r w:rsidR="00742D54" w:rsidRPr="00186A2D">
        <w:t>Scambler’s</w:t>
      </w:r>
      <w:proofErr w:type="spellEnd"/>
      <w:r w:rsidR="00742D54" w:rsidRPr="00186A2D">
        <w:t xml:space="preserve"> (2018) ‘shame to blame’ thesis. </w:t>
      </w:r>
      <w:r w:rsidRPr="00186A2D">
        <w:t xml:space="preserve"> </w:t>
      </w:r>
      <w:r w:rsidR="00AF7C77">
        <w:t>In doing so, we</w:t>
      </w:r>
      <w:r w:rsidR="00AF7C77" w:rsidRPr="00186A2D">
        <w:t xml:space="preserve"> </w:t>
      </w:r>
      <w:r w:rsidR="006872DE">
        <w:t xml:space="preserve">highlight the </w:t>
      </w:r>
      <w:proofErr w:type="spellStart"/>
      <w:r w:rsidR="006872DE">
        <w:t>weaponisation</w:t>
      </w:r>
      <w:proofErr w:type="spellEnd"/>
      <w:r w:rsidR="006872DE">
        <w:t xml:space="preserve"> </w:t>
      </w:r>
      <w:r w:rsidR="00742D54" w:rsidRPr="00186A2D">
        <w:t>of moral culpability within the state</w:t>
      </w:r>
      <w:r w:rsidR="006872DE">
        <w:t>’s social policy agenda as a justification for increasing</w:t>
      </w:r>
      <w:r w:rsidR="00742D54" w:rsidRPr="00186A2D">
        <w:t xml:space="preserve"> welfare restrictions including the limiting of</w:t>
      </w:r>
      <w:r w:rsidR="004929F1">
        <w:t xml:space="preserve"> sick role entitlements </w:t>
      </w:r>
      <w:r w:rsidR="00742D54" w:rsidRPr="00186A2D">
        <w:t xml:space="preserve">(Schneider and Conrad, 1983; </w:t>
      </w:r>
      <w:proofErr w:type="spellStart"/>
      <w:r w:rsidR="00742D54" w:rsidRPr="00186A2D">
        <w:t>Scambler</w:t>
      </w:r>
      <w:proofErr w:type="spellEnd"/>
      <w:r w:rsidR="00742D54" w:rsidRPr="00186A2D">
        <w:t xml:space="preserve">, 2004; Hansen et al, 2014). </w:t>
      </w:r>
    </w:p>
    <w:p w14:paraId="7275E2C9" w14:textId="77777777" w:rsidR="00186A2D" w:rsidRPr="00186A2D" w:rsidRDefault="00186A2D" w:rsidP="00186A2D">
      <w:pPr>
        <w:spacing w:line="360" w:lineRule="auto"/>
        <w:rPr>
          <w:b/>
          <w:i/>
        </w:rPr>
      </w:pPr>
      <w:r w:rsidRPr="00186A2D">
        <w:rPr>
          <w:b/>
          <w:i/>
        </w:rPr>
        <w:t xml:space="preserve">The </w:t>
      </w:r>
      <w:proofErr w:type="spellStart"/>
      <w:r w:rsidRPr="00186A2D">
        <w:rPr>
          <w:b/>
          <w:i/>
        </w:rPr>
        <w:t>w</w:t>
      </w:r>
      <w:r w:rsidR="006858A1">
        <w:rPr>
          <w:b/>
          <w:i/>
        </w:rPr>
        <w:t>eaponisation</w:t>
      </w:r>
      <w:proofErr w:type="spellEnd"/>
      <w:r w:rsidR="006858A1">
        <w:rPr>
          <w:b/>
          <w:i/>
        </w:rPr>
        <w:t xml:space="preserve"> of blame </w:t>
      </w:r>
      <w:r w:rsidR="003124A5">
        <w:rPr>
          <w:b/>
          <w:i/>
        </w:rPr>
        <w:t>and shifting conceptions of illness</w:t>
      </w:r>
    </w:p>
    <w:p w14:paraId="2F8A3BC5" w14:textId="5C9F4630" w:rsidR="00186A2D" w:rsidRPr="00186A2D" w:rsidRDefault="00186A2D" w:rsidP="006858A1">
      <w:pPr>
        <w:spacing w:line="360" w:lineRule="auto"/>
      </w:pPr>
      <w:proofErr w:type="spellStart"/>
      <w:r w:rsidRPr="00186A2D">
        <w:t>Scambler</w:t>
      </w:r>
      <w:proofErr w:type="spellEnd"/>
      <w:r w:rsidRPr="00186A2D">
        <w:t xml:space="preserve"> (2018) articulates the role of social structural mechanisms in generating or producing tendencies towards</w:t>
      </w:r>
      <w:r w:rsidR="00AF7C77">
        <w:t xml:space="preserve"> the</w:t>
      </w:r>
      <w:r w:rsidRPr="00186A2D">
        <w:t xml:space="preserve"> invalidation and denigration </w:t>
      </w:r>
      <w:r w:rsidR="00AF7C77">
        <w:t xml:space="preserve">of experiences of illness and disability </w:t>
      </w:r>
      <w:r w:rsidRPr="00186A2D">
        <w:t xml:space="preserve">in contemporary </w:t>
      </w:r>
      <w:r w:rsidR="00AF7C77">
        <w:t xml:space="preserve">welfare </w:t>
      </w:r>
      <w:r w:rsidRPr="00186A2D">
        <w:t xml:space="preserve">policy. </w:t>
      </w:r>
      <w:r w:rsidR="006872DE">
        <w:t>H</w:t>
      </w:r>
      <w:r w:rsidRPr="00186A2D">
        <w:t>e high</w:t>
      </w:r>
      <w:r w:rsidR="006872DE">
        <w:t xml:space="preserve">lights the way in which shaming </w:t>
      </w:r>
      <w:r w:rsidRPr="00186A2D">
        <w:t>(rel</w:t>
      </w:r>
      <w:r w:rsidR="00012853">
        <w:t>ated to relations of stigma) are frequently replaced or accompanied by</w:t>
      </w:r>
      <w:r w:rsidRPr="00186A2D">
        <w:t xml:space="preserve"> </w:t>
      </w:r>
      <w:r w:rsidR="002379A3">
        <w:t xml:space="preserve">the mobilisation of </w:t>
      </w:r>
      <w:r w:rsidRPr="00186A2D">
        <w:t>blame (rel</w:t>
      </w:r>
      <w:r w:rsidR="00012853">
        <w:t>ated to relations of deviance)</w:t>
      </w:r>
      <w:r w:rsidRPr="00186A2D">
        <w:t xml:space="preserve"> </w:t>
      </w:r>
      <w:r w:rsidR="002379A3">
        <w:t>with</w:t>
      </w:r>
      <w:r w:rsidRPr="00186A2D">
        <w:t>in</w:t>
      </w:r>
      <w:r w:rsidR="00012853">
        <w:t xml:space="preserve"> </w:t>
      </w:r>
      <w:r w:rsidRPr="00186A2D">
        <w:t xml:space="preserve">neoliberal </w:t>
      </w:r>
      <w:r w:rsidR="002379A3">
        <w:t xml:space="preserve">health and social </w:t>
      </w:r>
      <w:r w:rsidRPr="00186A2D">
        <w:t xml:space="preserve">policy reform </w:t>
      </w:r>
      <w:r w:rsidR="002379A3">
        <w:t xml:space="preserve">agendas </w:t>
      </w:r>
      <w:r w:rsidRPr="00186A2D">
        <w:t>(</w:t>
      </w:r>
      <w:proofErr w:type="spellStart"/>
      <w:r w:rsidRPr="00186A2D">
        <w:t>Scambler</w:t>
      </w:r>
      <w:proofErr w:type="spellEnd"/>
      <w:r w:rsidRPr="00186A2D">
        <w:t>, 2006; 2009; 2018). As he explains in relation to chronic illness:</w:t>
      </w:r>
      <w:r w:rsidR="006858A1">
        <w:t xml:space="preserve"> </w:t>
      </w:r>
      <w:r w:rsidRPr="006858A1">
        <w:t xml:space="preserve">‘…the tendency for people with chronic illness to be shunned and discriminated against because of their imperfection has been augmented or displaced of late by the tendency for them to be shunned or discriminated against because of their moral failure’ </w:t>
      </w:r>
      <w:r w:rsidRPr="00186A2D">
        <w:t>(</w:t>
      </w:r>
      <w:proofErr w:type="spellStart"/>
      <w:r w:rsidRPr="00186A2D">
        <w:t>Scambler</w:t>
      </w:r>
      <w:proofErr w:type="spellEnd"/>
      <w:r w:rsidRPr="00186A2D">
        <w:t xml:space="preserve">, 2006: 282).    </w:t>
      </w:r>
    </w:p>
    <w:p w14:paraId="6523CD0E" w14:textId="5294BC3F" w:rsidR="00012853" w:rsidRDefault="00186A2D" w:rsidP="00050656">
      <w:pPr>
        <w:spacing w:after="120" w:line="360" w:lineRule="auto"/>
        <w:ind w:firstLine="720"/>
      </w:pPr>
      <w:r w:rsidRPr="00186A2D">
        <w:lastRenderedPageBreak/>
        <w:t xml:space="preserve">This </w:t>
      </w:r>
      <w:proofErr w:type="spellStart"/>
      <w:r w:rsidRPr="00186A2D">
        <w:t>weaponisation</w:t>
      </w:r>
      <w:proofErr w:type="spellEnd"/>
      <w:r w:rsidRPr="00186A2D">
        <w:t xml:space="preserve"> of the politics of blame is an attempt to harness notions of deviance in the pursuit of a </w:t>
      </w:r>
      <w:r w:rsidR="00AF7C77">
        <w:t xml:space="preserve">wider neoliberal </w:t>
      </w:r>
      <w:r w:rsidRPr="00186A2D">
        <w:t xml:space="preserve">project to </w:t>
      </w:r>
      <w:r w:rsidR="00AE171A">
        <w:t>reconfigure and retrench the</w:t>
      </w:r>
      <w:r w:rsidRPr="00186A2D">
        <w:t xml:space="preserve"> welfare stat</w:t>
      </w:r>
      <w:r w:rsidR="00AE171A">
        <w:t>e</w:t>
      </w:r>
      <w:r w:rsidRPr="00186A2D">
        <w:t xml:space="preserve"> and social safety net. Appending blame to shame through the medium of state policy initiatives contributes to this aim by seeking to create a climate of popular hostility to funding for social protection. At the discursive level this involves the generation and reproduction of political narratives and frames of understanding that construct those who are out-of-work as </w:t>
      </w:r>
      <w:r w:rsidR="004C5628" w:rsidRPr="00186A2D">
        <w:t>abject</w:t>
      </w:r>
      <w:r w:rsidRPr="00186A2D">
        <w:t xml:space="preserve"> scroungers (Tyler and Slater, 2018).  These ideological representations undermine the legitimacy of redistributive welfare interventions and, when re-articulated at the </w:t>
      </w:r>
      <w:proofErr w:type="spellStart"/>
      <w:r w:rsidRPr="00186A2D">
        <w:rPr>
          <w:i/>
        </w:rPr>
        <w:t>meso</w:t>
      </w:r>
      <w:proofErr w:type="spellEnd"/>
      <w:r w:rsidRPr="00186A2D">
        <w:t xml:space="preserve"> (organisational) level via reforms to mechanisms and systems of policy delivery, institutionalise oppression (Hansen et al, 2014) in the form of stigmatising and moralising </w:t>
      </w:r>
      <w:r w:rsidR="002379A3">
        <w:t>explanatory frameworks for</w:t>
      </w:r>
      <w:r w:rsidR="002379A3" w:rsidRPr="00186A2D">
        <w:t xml:space="preserve"> </w:t>
      </w:r>
      <w:r w:rsidRPr="00186A2D">
        <w:t>ment</w:t>
      </w:r>
      <w:r w:rsidR="00050656">
        <w:t>al distress and “</w:t>
      </w:r>
      <w:proofErr w:type="spellStart"/>
      <w:r w:rsidR="00050656">
        <w:t>worklessness</w:t>
      </w:r>
      <w:proofErr w:type="spellEnd"/>
      <w:r w:rsidR="00050656">
        <w:t>”</w:t>
      </w:r>
      <w:r w:rsidR="001A5369">
        <w:t xml:space="preserve">.  </w:t>
      </w:r>
    </w:p>
    <w:p w14:paraId="297E7FC8" w14:textId="5D87F7EA" w:rsidR="006858A1" w:rsidRDefault="00186A2D" w:rsidP="00C241FD">
      <w:pPr>
        <w:spacing w:after="120" w:line="360" w:lineRule="auto"/>
        <w:ind w:firstLine="720"/>
      </w:pPr>
      <w:r w:rsidRPr="00186A2D">
        <w:t>The</w:t>
      </w:r>
      <w:r w:rsidR="001A5369">
        <w:t xml:space="preserve"> deployment </w:t>
      </w:r>
      <w:r w:rsidR="00072DE4">
        <w:t xml:space="preserve">of </w:t>
      </w:r>
      <w:r w:rsidR="001A5369">
        <w:t xml:space="preserve">blame </w:t>
      </w:r>
      <w:r w:rsidR="00AE171A">
        <w:t>constitutes a significant</w:t>
      </w:r>
      <w:r w:rsidR="00072DE4">
        <w:t xml:space="preserve"> normative dimension of </w:t>
      </w:r>
      <w:r w:rsidRPr="00186A2D">
        <w:t xml:space="preserve">a concerted </w:t>
      </w:r>
      <w:r w:rsidR="00072DE4">
        <w:t xml:space="preserve">material </w:t>
      </w:r>
      <w:r w:rsidRPr="00186A2D">
        <w:t>project by capital to mobilise state resources</w:t>
      </w:r>
      <w:r w:rsidR="00072DE4">
        <w:t xml:space="preserve"> and activities in</w:t>
      </w:r>
      <w:r w:rsidRPr="00186A2D">
        <w:t xml:space="preserve"> </w:t>
      </w:r>
      <w:r w:rsidR="00AE171A">
        <w:t>a project to</w:t>
      </w:r>
      <w:r w:rsidR="00AE171A" w:rsidRPr="00186A2D">
        <w:t xml:space="preserve"> </w:t>
      </w:r>
      <w:r w:rsidRPr="00186A2D">
        <w:t>aboli</w:t>
      </w:r>
      <w:r w:rsidR="00AE171A">
        <w:t>sh</w:t>
      </w:r>
      <w:r w:rsidRPr="00186A2D">
        <w:t xml:space="preserve"> the remaining sediment of Keynesian social policies. </w:t>
      </w:r>
      <w:r w:rsidR="00927DD7">
        <w:t xml:space="preserve">An </w:t>
      </w:r>
      <w:r w:rsidR="00A91E8B">
        <w:t xml:space="preserve">increasingly visible </w:t>
      </w:r>
      <w:r w:rsidR="00AE171A">
        <w:t xml:space="preserve">dimension </w:t>
      </w:r>
      <w:r w:rsidR="00CE74AD">
        <w:t>of this</w:t>
      </w:r>
      <w:r w:rsidR="00A91E8B">
        <w:t xml:space="preserve"> neoliberal policy agenda</w:t>
      </w:r>
      <w:r w:rsidR="00CE74AD">
        <w:t xml:space="preserve"> in relation to </w:t>
      </w:r>
      <w:r w:rsidR="00AE171A">
        <w:t xml:space="preserve">those experiencing </w:t>
      </w:r>
      <w:r w:rsidR="00CE74AD">
        <w:t>chronic illness</w:t>
      </w:r>
      <w:r w:rsidR="00A91E8B">
        <w:t xml:space="preserve"> </w:t>
      </w:r>
      <w:r w:rsidR="00EA369D">
        <w:t xml:space="preserve">is </w:t>
      </w:r>
      <w:r w:rsidR="00A91E8B">
        <w:t>the dismantling</w:t>
      </w:r>
      <w:r w:rsidR="00EA369D">
        <w:t xml:space="preserve"> </w:t>
      </w:r>
      <w:r w:rsidR="00A91E8B">
        <w:t xml:space="preserve">of </w:t>
      </w:r>
      <w:r w:rsidR="00EA369D">
        <w:t>‘sick role’</w:t>
      </w:r>
      <w:r w:rsidR="00A91E8B">
        <w:t xml:space="preserve"> provisions</w:t>
      </w:r>
      <w:r w:rsidR="00EA369D">
        <w:t xml:space="preserve"> (Parsons, 1975). Parsons’ (1975) ‘sick role’ thesis describes a set of informal social regulations in capitalist society established to manage the ‘deviance’ associated with being unable to fulfil expected familial or labour market-oriented social roles during periods of incapacity or illness.  With this role comes</w:t>
      </w:r>
      <w:r w:rsidR="00927DD7">
        <w:t xml:space="preserve"> a set of temporary rights (</w:t>
      </w:r>
      <w:r w:rsidR="00EA369D">
        <w:t>respite from work or care responsibilities and access to professionalised medical help, for example) and a set of obligations (such as following medical advice) intended to encourage recovery and re-adoption of duties as rapidly as possible.  The informal social rules of the sick role became more formally embedded in the post war</w:t>
      </w:r>
      <w:r w:rsidR="00AE171A">
        <w:t xml:space="preserve"> Keynesian</w:t>
      </w:r>
      <w:r w:rsidR="00EA369D">
        <w:t xml:space="preserve"> welfare state. </w:t>
      </w:r>
      <w:r w:rsidR="006858A1">
        <w:t>As van Hal et al (2013) suggest</w:t>
      </w:r>
      <w:r w:rsidR="00EA369D">
        <w:t xml:space="preserve">, the </w:t>
      </w:r>
      <w:r w:rsidR="00AE171A">
        <w:t xml:space="preserve">sick role governed the </w:t>
      </w:r>
      <w:r w:rsidR="00EA369D">
        <w:t xml:space="preserve">treatment of ill and disabled people </w:t>
      </w:r>
      <w:r w:rsidR="00AE171A">
        <w:t xml:space="preserve">under this earlier </w:t>
      </w:r>
      <w:r w:rsidR="00EA369D">
        <w:t xml:space="preserve">welfare </w:t>
      </w:r>
      <w:r w:rsidR="00AE171A">
        <w:t>state model and played an integral role</w:t>
      </w:r>
      <w:r w:rsidR="00EA369D">
        <w:t xml:space="preserve"> in the distribution of entitlements to support</w:t>
      </w:r>
      <w:r w:rsidR="006858A1">
        <w:t>, services and social security:</w:t>
      </w:r>
      <w:r w:rsidR="00EA369D">
        <w:t xml:space="preserve"> </w:t>
      </w:r>
    </w:p>
    <w:p w14:paraId="74F8F27F" w14:textId="77777777" w:rsidR="00EA369D" w:rsidRDefault="006858A1" w:rsidP="006858A1">
      <w:pPr>
        <w:spacing w:after="120" w:line="360" w:lineRule="auto"/>
        <w:ind w:left="720"/>
      </w:pPr>
      <w:r>
        <w:t xml:space="preserve">‘In </w:t>
      </w:r>
      <w:r w:rsidR="00EA369D">
        <w:t>Parsons’ sick role it is acknowledged that people can (temporarily) be ‘unable’ to perform societal obligations</w:t>
      </w:r>
      <w:r>
        <w:t>.</w:t>
      </w:r>
      <w:r w:rsidR="00EA369D">
        <w:t xml:space="preserve"> ‘Traditional’ social welfare states were constituted on this postulate and this logic constituted expectations towards sick persons’ (van Hal et al, 2013: 10).</w:t>
      </w:r>
    </w:p>
    <w:p w14:paraId="64C7006D" w14:textId="002B5249" w:rsidR="005655E7" w:rsidRDefault="006858A1">
      <w:pPr>
        <w:spacing w:after="120" w:line="360" w:lineRule="auto"/>
        <w:ind w:firstLine="720"/>
      </w:pPr>
      <w:r w:rsidRPr="006858A1">
        <w:t xml:space="preserve">One group for whom the recognition and attribution of the sick role has long been more precarious is </w:t>
      </w:r>
      <w:r w:rsidR="00AE171A">
        <w:t>those</w:t>
      </w:r>
      <w:r w:rsidR="00AE171A" w:rsidRPr="006858A1">
        <w:t xml:space="preserve"> </w:t>
      </w:r>
      <w:r w:rsidRPr="006858A1">
        <w:t>experiencing psychological or emotional distress. This has been underpinned by the uncertain and contested ontological status of mental distress (Pilgrim, 2014). An important dimension of this is that, historically, higher levels of personal responsibility have been attributed both to causal processes and coping strategies in relation to mental distress when compared with physical illness (</w:t>
      </w:r>
      <w:proofErr w:type="spellStart"/>
      <w:r w:rsidRPr="006858A1">
        <w:t>Segall</w:t>
      </w:r>
      <w:proofErr w:type="spellEnd"/>
      <w:r w:rsidRPr="006858A1">
        <w:t>, 1976).</w:t>
      </w:r>
      <w:r>
        <w:t xml:space="preserve"> </w:t>
      </w:r>
      <w:r w:rsidR="003F3E1E">
        <w:t xml:space="preserve">Barriers to, and problems with, claiming </w:t>
      </w:r>
      <w:r w:rsidR="000A4D39">
        <w:t>sick role entitlements on th</w:t>
      </w:r>
      <w:r w:rsidR="00FA7593">
        <w:t xml:space="preserve">e basis of mental distress </w:t>
      </w:r>
      <w:r w:rsidR="003F3E1E">
        <w:t>were therefore</w:t>
      </w:r>
      <w:r w:rsidR="00FA7593">
        <w:t xml:space="preserve"> historically</w:t>
      </w:r>
      <w:r w:rsidR="000A4D39">
        <w:t xml:space="preserve"> </w:t>
      </w:r>
      <w:r w:rsidR="003F3E1E">
        <w:t xml:space="preserve">visible </w:t>
      </w:r>
      <w:r w:rsidR="0007595F">
        <w:t xml:space="preserve">even during </w:t>
      </w:r>
      <w:r w:rsidR="00AE171A">
        <w:t>the high point of</w:t>
      </w:r>
      <w:r w:rsidR="0007595F">
        <w:t xml:space="preserve"> Keynesian </w:t>
      </w:r>
      <w:r w:rsidR="0007595F">
        <w:lastRenderedPageBreak/>
        <w:t xml:space="preserve">welfare </w:t>
      </w:r>
      <w:proofErr w:type="spellStart"/>
      <w:r w:rsidR="0007595F">
        <w:t>stat</w:t>
      </w:r>
      <w:r w:rsidR="00AE171A">
        <w:t>ism</w:t>
      </w:r>
      <w:proofErr w:type="spellEnd"/>
      <w:r w:rsidR="0007595F">
        <w:t>. Nonetheless,</w:t>
      </w:r>
      <w:r w:rsidR="006B4B5E">
        <w:t xml:space="preserve"> the institutional </w:t>
      </w:r>
      <w:r w:rsidR="00AE171A">
        <w:t>framework</w:t>
      </w:r>
      <w:r w:rsidR="006B4B5E">
        <w:t xml:space="preserve"> </w:t>
      </w:r>
      <w:r w:rsidR="00AE171A">
        <w:t>of</w:t>
      </w:r>
      <w:r w:rsidR="006B4B5E">
        <w:t xml:space="preserve"> the sick role offer</w:t>
      </w:r>
      <w:r w:rsidR="0007595F">
        <w:t>ed</w:t>
      </w:r>
      <w:r w:rsidR="003F3E1E">
        <w:t xml:space="preserve"> at least some formally </w:t>
      </w:r>
      <w:r w:rsidR="0007595F">
        <w:t>accredited status</w:t>
      </w:r>
      <w:r w:rsidR="00CE74E0">
        <w:t>es</w:t>
      </w:r>
      <w:r w:rsidR="0007595F">
        <w:t xml:space="preserve"> </w:t>
      </w:r>
      <w:r w:rsidR="003F3E1E">
        <w:t>to protect</w:t>
      </w:r>
      <w:r w:rsidR="0007595F">
        <w:t xml:space="preserve"> agai</w:t>
      </w:r>
      <w:r w:rsidR="00CE74E0">
        <w:t>nst</w:t>
      </w:r>
      <w:r w:rsidR="0007595F">
        <w:t xml:space="preserve"> assertions of moral failure</w:t>
      </w:r>
      <w:r w:rsidR="003F3E1E">
        <w:t xml:space="preserve"> for this group</w:t>
      </w:r>
      <w:r w:rsidR="006B4B5E">
        <w:t xml:space="preserve">.  </w:t>
      </w:r>
      <w:r w:rsidR="0007595F">
        <w:t xml:space="preserve">Thus </w:t>
      </w:r>
      <w:r w:rsidR="003F3E1E">
        <w:t xml:space="preserve">the implications </w:t>
      </w:r>
      <w:r w:rsidR="00A91E8B">
        <w:t xml:space="preserve">for mental health service users </w:t>
      </w:r>
      <w:r w:rsidR="003F3E1E">
        <w:t xml:space="preserve">of </w:t>
      </w:r>
      <w:r w:rsidR="0007595F">
        <w:t>wholescale</w:t>
      </w:r>
      <w:r w:rsidR="003F3E1E">
        <w:t xml:space="preserve"> </w:t>
      </w:r>
      <w:r w:rsidR="0007595F">
        <w:t>reformulation</w:t>
      </w:r>
      <w:r w:rsidR="003F3E1E">
        <w:t xml:space="preserve"> and destabilisation</w:t>
      </w:r>
      <w:r w:rsidR="0007595F">
        <w:t xml:space="preserve"> of </w:t>
      </w:r>
      <w:r w:rsidR="003F3E1E">
        <w:t>these established institutional processes</w:t>
      </w:r>
      <w:r w:rsidR="0007595F">
        <w:t xml:space="preserve"> </w:t>
      </w:r>
      <w:r w:rsidR="003F3E1E">
        <w:t>warrant</w:t>
      </w:r>
      <w:r w:rsidR="002379A3">
        <w:t>s</w:t>
      </w:r>
      <w:r w:rsidR="003F3E1E">
        <w:t xml:space="preserve"> close scrutiny</w:t>
      </w:r>
      <w:r w:rsidR="0099513C">
        <w:t xml:space="preserve">.  </w:t>
      </w:r>
      <w:r w:rsidR="005655E7">
        <w:t>Th</w:t>
      </w:r>
      <w:r w:rsidR="00CE74E0">
        <w:t xml:space="preserve">is </w:t>
      </w:r>
      <w:r w:rsidR="005655E7">
        <w:t xml:space="preserve">paper </w:t>
      </w:r>
      <w:r w:rsidR="002379A3">
        <w:t>sought</w:t>
      </w:r>
      <w:r w:rsidR="007C6A2B">
        <w:t xml:space="preserve"> to examine the shifting institutional arrangement</w:t>
      </w:r>
      <w:r w:rsidR="00CE74E0">
        <w:t xml:space="preserve">s which ascribe and assign </w:t>
      </w:r>
      <w:r w:rsidR="007C6A2B">
        <w:t xml:space="preserve">sick-roles, incapacity and </w:t>
      </w:r>
      <w:r w:rsidR="00CE74E0">
        <w:t>benefits/services</w:t>
      </w:r>
      <w:r w:rsidR="007C6A2B">
        <w:t xml:space="preserve"> for those living with mental distress in the </w:t>
      </w:r>
      <w:r w:rsidR="005655E7">
        <w:t>context of austerity-related reforms to welfare and mental health policy</w:t>
      </w:r>
      <w:r w:rsidR="00DF599B">
        <w:t xml:space="preserve"> in England. Before presenting the findings, the next section will briefly </w:t>
      </w:r>
      <w:r w:rsidR="002379A3">
        <w:t xml:space="preserve">elaborate the </w:t>
      </w:r>
      <w:r w:rsidR="00DF599B">
        <w:t>design and methodology</w:t>
      </w:r>
      <w:r w:rsidR="002379A3">
        <w:t xml:space="preserve"> of the study</w:t>
      </w:r>
      <w:r w:rsidR="00DF599B">
        <w:t>.</w:t>
      </w:r>
    </w:p>
    <w:p w14:paraId="669B76B6" w14:textId="77777777" w:rsidR="00186A2D" w:rsidRPr="00186A2D" w:rsidRDefault="00186A2D" w:rsidP="00186A2D">
      <w:pPr>
        <w:spacing w:after="120" w:line="360" w:lineRule="auto"/>
        <w:rPr>
          <w:rFonts w:eastAsia="Times New Roman"/>
          <w:iCs/>
          <w:color w:val="000000"/>
          <w:highlight w:val="yellow"/>
          <w:shd w:val="clear" w:color="auto" w:fill="FFFFFF"/>
          <w:lang w:val="en-GB"/>
        </w:rPr>
      </w:pPr>
      <w:r w:rsidRPr="00186A2D">
        <w:rPr>
          <w:rFonts w:eastAsia="MS Mincho" w:cs="Arial"/>
          <w:b/>
          <w:i/>
          <w:lang w:val="en-US"/>
        </w:rPr>
        <w:t xml:space="preserve">Methods </w:t>
      </w:r>
    </w:p>
    <w:p w14:paraId="6A3C9F19" w14:textId="7E337E19" w:rsidR="00DF599B" w:rsidRDefault="00186A2D" w:rsidP="00186A2D">
      <w:pPr>
        <w:spacing w:after="120" w:line="360" w:lineRule="auto"/>
        <w:rPr>
          <w:rFonts w:eastAsia="Times New Roman"/>
          <w:iCs/>
          <w:color w:val="000000"/>
          <w:shd w:val="clear" w:color="auto" w:fill="FFFFFF"/>
          <w:lang w:val="en-GB"/>
        </w:rPr>
      </w:pPr>
      <w:r w:rsidRPr="00186A2D">
        <w:rPr>
          <w:rFonts w:eastAsia="Times New Roman"/>
          <w:iCs/>
          <w:color w:val="000000"/>
          <w:shd w:val="clear" w:color="auto" w:fill="FFFFFF"/>
          <w:lang w:val="en-GB"/>
        </w:rPr>
        <w:t>This research was conducted as part of a large multi-sited, EU-funded project which explored the social impacts of austerity across 13 European Union countries (for more details about this larger project see RE-</w:t>
      </w:r>
      <w:proofErr w:type="spellStart"/>
      <w:r w:rsidRPr="00186A2D">
        <w:rPr>
          <w:rFonts w:eastAsia="Times New Roman"/>
          <w:iCs/>
          <w:color w:val="000000"/>
          <w:shd w:val="clear" w:color="auto" w:fill="FFFFFF"/>
          <w:lang w:val="en-GB"/>
        </w:rPr>
        <w:t>InVEST</w:t>
      </w:r>
      <w:proofErr w:type="spellEnd"/>
      <w:r w:rsidRPr="00186A2D">
        <w:rPr>
          <w:rFonts w:eastAsia="Times New Roman"/>
          <w:iCs/>
          <w:color w:val="000000"/>
          <w:shd w:val="clear" w:color="auto" w:fill="FFFFFF"/>
          <w:lang w:val="en-GB"/>
        </w:rPr>
        <w:t>, 2019a). This phase of the project gathered data to examine the ‘social damage</w:t>
      </w:r>
      <w:r w:rsidRPr="00186A2D">
        <w:rPr>
          <w:rFonts w:eastAsia="Times New Roman" w:hint="eastAsia"/>
          <w:iCs/>
          <w:color w:val="000000"/>
          <w:shd w:val="clear" w:color="auto" w:fill="FFFFFF"/>
          <w:lang w:val="en-GB"/>
        </w:rPr>
        <w:t>’</w:t>
      </w:r>
      <w:r w:rsidRPr="00186A2D">
        <w:rPr>
          <w:rFonts w:eastAsia="Times New Roman"/>
          <w:iCs/>
          <w:color w:val="000000"/>
          <w:shd w:val="clear" w:color="auto" w:fill="FFFFFF"/>
          <w:lang w:val="en-GB"/>
        </w:rPr>
        <w:t xml:space="preserve"> of the 2008 financial crisis across the participating countries. The findings presented here</w:t>
      </w:r>
      <w:r w:rsidRPr="00186A2D" w:rsidDel="00CF0ED5">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form the English component </w:t>
      </w:r>
      <w:r w:rsidR="00DF599B">
        <w:rPr>
          <w:rFonts w:eastAsia="Times New Roman"/>
          <w:iCs/>
          <w:color w:val="000000"/>
          <w:shd w:val="clear" w:color="auto" w:fill="FFFFFF"/>
          <w:lang w:val="en-GB"/>
        </w:rPr>
        <w:t>which</w:t>
      </w:r>
      <w:r w:rsidRPr="00186A2D">
        <w:rPr>
          <w:rFonts w:eastAsia="Times New Roman"/>
          <w:iCs/>
          <w:color w:val="000000"/>
          <w:shd w:val="clear" w:color="auto" w:fill="FFFFFF"/>
          <w:lang w:val="en-GB"/>
        </w:rPr>
        <w:t xml:space="preserve"> focus</w:t>
      </w:r>
      <w:r w:rsidR="00DF599B">
        <w:rPr>
          <w:rFonts w:eastAsia="Times New Roman"/>
          <w:iCs/>
          <w:color w:val="000000"/>
          <w:shd w:val="clear" w:color="auto" w:fill="FFFFFF"/>
          <w:lang w:val="en-GB"/>
        </w:rPr>
        <w:t>ed</w:t>
      </w:r>
      <w:r w:rsidRPr="00186A2D">
        <w:rPr>
          <w:rFonts w:eastAsia="Times New Roman"/>
          <w:iCs/>
          <w:color w:val="000000"/>
          <w:shd w:val="clear" w:color="auto" w:fill="FFFFFF"/>
          <w:lang w:val="en-GB"/>
        </w:rPr>
        <w:t xml:space="preserve"> on </w:t>
      </w:r>
      <w:r w:rsidR="002379A3">
        <w:rPr>
          <w:rFonts w:eastAsia="Times New Roman"/>
          <w:iCs/>
          <w:color w:val="000000"/>
          <w:shd w:val="clear" w:color="auto" w:fill="FFFFFF"/>
          <w:lang w:val="en-GB"/>
        </w:rPr>
        <w:t>processes</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of austerity-related social and economic change </w:t>
      </w:r>
      <w:r w:rsidR="002379A3">
        <w:rPr>
          <w:rFonts w:eastAsia="Times New Roman"/>
          <w:iCs/>
          <w:color w:val="000000"/>
          <w:shd w:val="clear" w:color="auto" w:fill="FFFFFF"/>
          <w:lang w:val="en-GB"/>
        </w:rPr>
        <w:t>as described by</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people with </w:t>
      </w:r>
      <w:r w:rsidR="002379A3" w:rsidRPr="00186A2D">
        <w:rPr>
          <w:rFonts w:eastAsia="Times New Roman"/>
          <w:iCs/>
          <w:color w:val="000000"/>
          <w:shd w:val="clear" w:color="auto" w:fill="FFFFFF"/>
          <w:lang w:val="en-GB"/>
        </w:rPr>
        <w:t>long</w:t>
      </w:r>
      <w:r w:rsidR="002379A3">
        <w:rPr>
          <w:rFonts w:eastAsia="Times New Roman"/>
          <w:iCs/>
          <w:color w:val="000000"/>
          <w:shd w:val="clear" w:color="auto" w:fill="FFFFFF"/>
          <w:lang w:val="en-GB"/>
        </w:rPr>
        <w:t>-term experiences of</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mental distress.  The </w:t>
      </w:r>
      <w:r w:rsidR="00DF599B">
        <w:rPr>
          <w:rFonts w:eastAsia="Times New Roman"/>
          <w:iCs/>
          <w:color w:val="000000"/>
          <w:shd w:val="clear" w:color="auto" w:fill="FFFFFF"/>
          <w:lang w:val="en-GB"/>
        </w:rPr>
        <w:t>data collected for the study</w:t>
      </w:r>
      <w:r w:rsidR="00DF599B" w:rsidRPr="00186A2D">
        <w:rPr>
          <w:rFonts w:eastAsia="Times New Roman"/>
          <w:iCs/>
          <w:color w:val="000000"/>
          <w:shd w:val="clear" w:color="auto" w:fill="FFFFFF"/>
          <w:lang w:val="en-GB"/>
        </w:rPr>
        <w:t xml:space="preserve"> </w:t>
      </w:r>
      <w:r w:rsidR="00DF599B">
        <w:rPr>
          <w:rFonts w:eastAsia="Times New Roman"/>
          <w:iCs/>
          <w:color w:val="000000"/>
          <w:shd w:val="clear" w:color="auto" w:fill="FFFFFF"/>
          <w:lang w:val="en-GB"/>
        </w:rPr>
        <w:t>enabled in-depth examination of</w:t>
      </w:r>
      <w:r w:rsidRPr="00186A2D">
        <w:rPr>
          <w:rFonts w:eastAsia="Times New Roman"/>
          <w:iCs/>
          <w:color w:val="000000"/>
          <w:shd w:val="clear" w:color="auto" w:fill="FFFFFF"/>
          <w:lang w:val="en-GB"/>
        </w:rPr>
        <w:t xml:space="preserve"> </w:t>
      </w:r>
      <w:r w:rsidR="002379A3">
        <w:rPr>
          <w:rFonts w:eastAsia="Times New Roman"/>
          <w:iCs/>
          <w:color w:val="000000"/>
          <w:shd w:val="clear" w:color="auto" w:fill="FFFFFF"/>
          <w:lang w:val="en-GB"/>
        </w:rPr>
        <w:t xml:space="preserve">lived experiences of </w:t>
      </w:r>
      <w:r w:rsidRPr="00186A2D">
        <w:rPr>
          <w:rFonts w:eastAsia="Times New Roman"/>
          <w:iCs/>
          <w:color w:val="000000"/>
          <w:shd w:val="clear" w:color="auto" w:fill="FFFFFF"/>
          <w:lang w:val="en-GB"/>
        </w:rPr>
        <w:t>the re-orientation of social policy, healthcare and the wider normative landscape</w:t>
      </w:r>
      <w:r w:rsidR="00DF599B">
        <w:rPr>
          <w:rFonts w:eastAsia="Times New Roman"/>
          <w:iCs/>
          <w:color w:val="000000"/>
          <w:shd w:val="clear" w:color="auto" w:fill="FFFFFF"/>
          <w:lang w:val="en-GB"/>
        </w:rPr>
        <w:t>,</w:t>
      </w:r>
      <w:r w:rsidRPr="00186A2D">
        <w:rPr>
          <w:rFonts w:eastAsia="Times New Roman"/>
          <w:iCs/>
          <w:color w:val="000000"/>
          <w:shd w:val="clear" w:color="auto" w:fill="FFFFFF"/>
          <w:lang w:val="en-GB"/>
        </w:rPr>
        <w:t xml:space="preserve"> and </w:t>
      </w:r>
      <w:r w:rsidR="00DF599B">
        <w:rPr>
          <w:rFonts w:eastAsia="Times New Roman"/>
          <w:iCs/>
          <w:color w:val="000000"/>
          <w:shd w:val="clear" w:color="auto" w:fill="FFFFFF"/>
          <w:lang w:val="en-GB"/>
        </w:rPr>
        <w:t>theorisation of the</w:t>
      </w:r>
      <w:r w:rsidRPr="00186A2D">
        <w:rPr>
          <w:rFonts w:eastAsia="Times New Roman"/>
          <w:iCs/>
          <w:color w:val="000000"/>
          <w:shd w:val="clear" w:color="auto" w:fill="FFFFFF"/>
          <w:lang w:val="en-GB"/>
        </w:rPr>
        <w:t xml:space="preserve"> structural forces </w:t>
      </w:r>
      <w:r w:rsidR="00F62DA9">
        <w:rPr>
          <w:rFonts w:eastAsia="Times New Roman"/>
          <w:iCs/>
          <w:color w:val="000000"/>
          <w:shd w:val="clear" w:color="auto" w:fill="FFFFFF"/>
          <w:lang w:val="en-GB"/>
        </w:rPr>
        <w:t>implicated in the</w:t>
      </w:r>
      <w:r w:rsidR="00F62DA9"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reframing </w:t>
      </w:r>
      <w:r w:rsidR="00F62DA9">
        <w:rPr>
          <w:rFonts w:eastAsia="Times New Roman"/>
          <w:iCs/>
          <w:color w:val="000000"/>
          <w:shd w:val="clear" w:color="auto" w:fill="FFFFFF"/>
          <w:lang w:val="en-GB"/>
        </w:rPr>
        <w:t>of</w:t>
      </w:r>
      <w:r w:rsidR="00F62DA9"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experiences of stigma and distress.  </w:t>
      </w:r>
    </w:p>
    <w:p w14:paraId="516AF85A" w14:textId="12810349" w:rsidR="00F62DA9" w:rsidRDefault="00DF599B" w:rsidP="00186A2D">
      <w:pPr>
        <w:spacing w:after="120" w:line="360" w:lineRule="auto"/>
        <w:rPr>
          <w:rFonts w:eastAsia="Times New Roman"/>
          <w:iCs/>
          <w:color w:val="000000"/>
          <w:shd w:val="clear" w:color="auto" w:fill="FFFFFF"/>
          <w:lang w:val="en-GB"/>
        </w:rPr>
      </w:pPr>
      <w:r>
        <w:rPr>
          <w:rFonts w:eastAsia="Times New Roman"/>
          <w:iCs/>
          <w:color w:val="000000"/>
          <w:shd w:val="clear" w:color="auto" w:fill="FFFFFF"/>
          <w:lang w:val="en-GB"/>
        </w:rPr>
        <w:t>The study utilised a qualitative design, and d</w:t>
      </w:r>
      <w:r w:rsidR="00186A2D" w:rsidRPr="00186A2D">
        <w:rPr>
          <w:rFonts w:eastAsia="Times New Roman"/>
          <w:iCs/>
          <w:color w:val="000000"/>
          <w:shd w:val="clear" w:color="auto" w:fill="FFFFFF"/>
          <w:lang w:val="en-GB"/>
        </w:rPr>
        <w:t xml:space="preserve">ata were collected through interviews and focus groups with 13 participants.  Participants were selected on the basis that they had been in long-term contact with </w:t>
      </w:r>
      <w:r w:rsidR="00F62DA9">
        <w:rPr>
          <w:rFonts w:eastAsia="Times New Roman"/>
          <w:iCs/>
          <w:color w:val="000000"/>
          <w:shd w:val="clear" w:color="auto" w:fill="FFFFFF"/>
          <w:lang w:val="en-GB"/>
        </w:rPr>
        <w:t xml:space="preserve">the </w:t>
      </w:r>
      <w:r w:rsidR="00186A2D" w:rsidRPr="00186A2D">
        <w:rPr>
          <w:rFonts w:eastAsia="Times New Roman"/>
          <w:iCs/>
          <w:color w:val="000000"/>
          <w:shd w:val="clear" w:color="auto" w:fill="FFFFFF"/>
          <w:lang w:val="en-GB"/>
        </w:rPr>
        <w:t xml:space="preserve">mental health </w:t>
      </w:r>
      <w:r w:rsidR="00F62DA9">
        <w:rPr>
          <w:rFonts w:eastAsia="Times New Roman"/>
          <w:iCs/>
          <w:color w:val="000000"/>
          <w:shd w:val="clear" w:color="auto" w:fill="FFFFFF"/>
          <w:lang w:val="en-GB"/>
        </w:rPr>
        <w:t xml:space="preserve">system as </w:t>
      </w:r>
      <w:r w:rsidR="00186A2D" w:rsidRPr="00186A2D">
        <w:rPr>
          <w:rFonts w:eastAsia="Times New Roman"/>
          <w:iCs/>
          <w:color w:val="000000"/>
          <w:shd w:val="clear" w:color="auto" w:fill="FFFFFF"/>
          <w:lang w:val="en-GB"/>
        </w:rPr>
        <w:t>service</w:t>
      </w:r>
      <w:r w:rsidR="00F62DA9">
        <w:rPr>
          <w:rFonts w:eastAsia="Times New Roman"/>
          <w:iCs/>
          <w:color w:val="000000"/>
          <w:shd w:val="clear" w:color="auto" w:fill="FFFFFF"/>
          <w:lang w:val="en-GB"/>
        </w:rPr>
        <w:t xml:space="preserve"> users</w:t>
      </w:r>
      <w:r w:rsidR="00186A2D" w:rsidRPr="00186A2D">
        <w:rPr>
          <w:rFonts w:eastAsia="Times New Roman"/>
          <w:iCs/>
          <w:color w:val="000000"/>
          <w:shd w:val="clear" w:color="auto" w:fill="FFFFFF"/>
          <w:lang w:val="en-GB"/>
        </w:rPr>
        <w:t xml:space="preserve"> </w:t>
      </w:r>
      <w:r w:rsidR="00F62DA9">
        <w:rPr>
          <w:rFonts w:eastAsia="Times New Roman"/>
          <w:iCs/>
          <w:color w:val="000000"/>
          <w:shd w:val="clear" w:color="auto" w:fill="FFFFFF"/>
          <w:lang w:val="en-GB"/>
        </w:rPr>
        <w:t>and were also</w:t>
      </w:r>
      <w:r w:rsidR="00186A2D" w:rsidRPr="00186A2D">
        <w:rPr>
          <w:rFonts w:eastAsia="Times New Roman"/>
          <w:iCs/>
          <w:color w:val="000000"/>
          <w:shd w:val="clear" w:color="auto" w:fill="FFFFFF"/>
          <w:lang w:val="en-GB"/>
        </w:rPr>
        <w:t xml:space="preserve"> claimants of various sickness, disability or unemployment benefits</w:t>
      </w:r>
      <w:r w:rsidR="00F62DA9">
        <w:rPr>
          <w:rFonts w:eastAsia="Times New Roman"/>
          <w:iCs/>
          <w:color w:val="000000"/>
          <w:shd w:val="clear" w:color="auto" w:fill="FFFFFF"/>
          <w:lang w:val="en-GB"/>
        </w:rPr>
        <w:t xml:space="preserve"> including Disability Living Allowance (DLA), Personal Independence Payments (PIP) and Employment and Support Allowance (ESA)</w:t>
      </w:r>
      <w:r w:rsidR="00186A2D" w:rsidRPr="00186A2D">
        <w:rPr>
          <w:rFonts w:eastAsia="Times New Roman"/>
          <w:iCs/>
          <w:color w:val="000000"/>
          <w:shd w:val="clear" w:color="auto" w:fill="FFFFFF"/>
          <w:lang w:val="en-GB"/>
        </w:rPr>
        <w:t>. Altogether there were six focus groups (with</w:t>
      </w:r>
      <w:r w:rsidR="00E8369B">
        <w:rPr>
          <w:rFonts w:eastAsia="Times New Roman"/>
          <w:iCs/>
          <w:color w:val="000000"/>
          <w:shd w:val="clear" w:color="auto" w:fill="FFFFFF"/>
          <w:lang w:val="en-GB"/>
        </w:rPr>
        <w:t xml:space="preserve"> attendance of between</w:t>
      </w:r>
      <w:r w:rsidR="00186A2D" w:rsidRPr="00186A2D">
        <w:rPr>
          <w:rFonts w:eastAsia="Times New Roman"/>
          <w:iCs/>
          <w:color w:val="000000"/>
          <w:shd w:val="clear" w:color="auto" w:fill="FFFFFF"/>
          <w:lang w:val="en-GB"/>
        </w:rPr>
        <w:t xml:space="preserve"> 10 and 13 </w:t>
      </w:r>
      <w:r w:rsidR="00D140A0">
        <w:rPr>
          <w:rFonts w:eastAsia="Times New Roman"/>
          <w:iCs/>
          <w:color w:val="000000"/>
          <w:shd w:val="clear" w:color="auto" w:fill="FFFFFF"/>
          <w:lang w:val="en-GB"/>
        </w:rPr>
        <w:t xml:space="preserve">of the 13 selected </w:t>
      </w:r>
      <w:r w:rsidR="00186A2D" w:rsidRPr="00186A2D">
        <w:rPr>
          <w:rFonts w:eastAsia="Times New Roman"/>
          <w:iCs/>
          <w:color w:val="000000"/>
          <w:shd w:val="clear" w:color="auto" w:fill="FFFFFF"/>
          <w:lang w:val="en-GB"/>
        </w:rPr>
        <w:t>participants) and three of the</w:t>
      </w:r>
      <w:r w:rsidR="00D140A0">
        <w:rPr>
          <w:rFonts w:eastAsia="Times New Roman"/>
          <w:iCs/>
          <w:color w:val="000000"/>
          <w:shd w:val="clear" w:color="auto" w:fill="FFFFFF"/>
          <w:lang w:val="en-GB"/>
        </w:rPr>
        <w:t>se</w:t>
      </w:r>
      <w:r w:rsidR="00186A2D" w:rsidRPr="00186A2D">
        <w:rPr>
          <w:rFonts w:eastAsia="Times New Roman"/>
          <w:iCs/>
          <w:color w:val="000000"/>
          <w:shd w:val="clear" w:color="auto" w:fill="FFFFFF"/>
          <w:lang w:val="en-GB"/>
        </w:rPr>
        <w:t xml:space="preserve"> participants </w:t>
      </w:r>
      <w:r w:rsidR="00F62DA9">
        <w:rPr>
          <w:rFonts w:eastAsia="Times New Roman"/>
          <w:iCs/>
          <w:color w:val="000000"/>
          <w:shd w:val="clear" w:color="auto" w:fill="FFFFFF"/>
          <w:lang w:val="en-GB"/>
        </w:rPr>
        <w:t xml:space="preserve">were </w:t>
      </w:r>
      <w:r w:rsidR="00186A2D" w:rsidRPr="00186A2D">
        <w:rPr>
          <w:rFonts w:eastAsia="Times New Roman"/>
          <w:iCs/>
          <w:color w:val="000000"/>
          <w:shd w:val="clear" w:color="auto" w:fill="FFFFFF"/>
          <w:lang w:val="en-GB"/>
        </w:rPr>
        <w:t xml:space="preserve">selected for </w:t>
      </w:r>
      <w:r w:rsidR="00F62DA9">
        <w:rPr>
          <w:rFonts w:eastAsia="Times New Roman"/>
          <w:iCs/>
          <w:color w:val="000000"/>
          <w:shd w:val="clear" w:color="auto" w:fill="FFFFFF"/>
          <w:lang w:val="en-GB"/>
        </w:rPr>
        <w:t xml:space="preserve">a </w:t>
      </w:r>
      <w:r w:rsidR="00186A2D" w:rsidRPr="00186A2D">
        <w:rPr>
          <w:rFonts w:eastAsia="Times New Roman"/>
          <w:iCs/>
          <w:color w:val="000000"/>
          <w:shd w:val="clear" w:color="auto" w:fill="FFFFFF"/>
          <w:lang w:val="en-GB"/>
        </w:rPr>
        <w:t>more in-depth interview. The findings presented are based on the transcripts produced from these focus groups and interviews. The researchers were able to develop sustained relationships with participants, leading to more credible and comprehensive accounts. This repeat or sequential focus group research strategy was intended to promote a ‘crossing of knowledge’ (RE-</w:t>
      </w:r>
      <w:proofErr w:type="spellStart"/>
      <w:r w:rsidR="00186A2D" w:rsidRPr="00186A2D">
        <w:rPr>
          <w:rFonts w:eastAsia="Times New Roman"/>
          <w:iCs/>
          <w:color w:val="000000"/>
          <w:shd w:val="clear" w:color="auto" w:fill="FFFFFF"/>
          <w:lang w:val="en-GB"/>
        </w:rPr>
        <w:t>InVEST</w:t>
      </w:r>
      <w:proofErr w:type="spellEnd"/>
      <w:r w:rsidR="00186A2D" w:rsidRPr="00186A2D">
        <w:rPr>
          <w:rFonts w:eastAsia="Times New Roman"/>
          <w:iCs/>
          <w:color w:val="000000"/>
          <w:shd w:val="clear" w:color="auto" w:fill="FFFFFF"/>
          <w:lang w:val="en-GB"/>
        </w:rPr>
        <w:t xml:space="preserve">, 2019b), especially between academic and lay experiential knowledge.  While the numbers of respondents included in the study is relatively small, the data collection methods supported the gathering of very detailed accounts of oppression and mental distress </w:t>
      </w:r>
      <w:r w:rsidR="007C6A2B">
        <w:rPr>
          <w:rFonts w:eastAsia="Times New Roman"/>
          <w:iCs/>
          <w:color w:val="000000"/>
          <w:shd w:val="clear" w:color="auto" w:fill="FFFFFF"/>
          <w:lang w:val="en-GB"/>
        </w:rPr>
        <w:t>in</w:t>
      </w:r>
      <w:r w:rsidR="00F62DA9"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interactions with </w:t>
      </w:r>
      <w:r w:rsidR="00F62DA9">
        <w:rPr>
          <w:rFonts w:eastAsia="Times New Roman"/>
          <w:iCs/>
          <w:color w:val="000000"/>
          <w:shd w:val="clear" w:color="auto" w:fill="FFFFFF"/>
          <w:lang w:val="en-GB"/>
        </w:rPr>
        <w:t xml:space="preserve">welfare institutions during the period of </w:t>
      </w:r>
      <w:r w:rsidR="00186A2D" w:rsidRPr="00186A2D">
        <w:rPr>
          <w:rFonts w:eastAsia="Times New Roman"/>
          <w:iCs/>
          <w:color w:val="000000"/>
          <w:shd w:val="clear" w:color="auto" w:fill="FFFFFF"/>
          <w:lang w:val="en-GB"/>
        </w:rPr>
        <w:t>austerity polic</w:t>
      </w:r>
      <w:r w:rsidR="00F62DA9">
        <w:rPr>
          <w:rFonts w:eastAsia="Times New Roman"/>
          <w:iCs/>
          <w:color w:val="000000"/>
          <w:shd w:val="clear" w:color="auto" w:fill="FFFFFF"/>
          <w:lang w:val="en-GB"/>
        </w:rPr>
        <w:t>ymaking</w:t>
      </w:r>
      <w:r w:rsidR="00186A2D" w:rsidRPr="00186A2D">
        <w:rPr>
          <w:rFonts w:eastAsia="Times New Roman"/>
          <w:iCs/>
          <w:color w:val="000000"/>
          <w:shd w:val="clear" w:color="auto" w:fill="FFFFFF"/>
          <w:lang w:val="en-GB"/>
        </w:rPr>
        <w:t xml:space="preserve">.  </w:t>
      </w:r>
    </w:p>
    <w:p w14:paraId="75260166" w14:textId="123FBE0A" w:rsidR="00186A2D" w:rsidRPr="00186A2D" w:rsidRDefault="00F62DA9" w:rsidP="00186A2D">
      <w:pPr>
        <w:spacing w:after="120" w:line="360" w:lineRule="auto"/>
        <w:rPr>
          <w:rFonts w:eastAsia="Times New Roman"/>
          <w:iCs/>
          <w:color w:val="000000"/>
          <w:shd w:val="clear" w:color="auto" w:fill="FFFFFF"/>
          <w:lang w:val="en-GB"/>
        </w:rPr>
      </w:pPr>
      <w:r>
        <w:rPr>
          <w:rFonts w:eastAsia="Times New Roman"/>
          <w:iCs/>
          <w:color w:val="000000"/>
          <w:shd w:val="clear" w:color="auto" w:fill="FFFFFF"/>
          <w:lang w:val="en-GB"/>
        </w:rPr>
        <w:lastRenderedPageBreak/>
        <w:t>The study utilised a thematic approach to data analysis</w:t>
      </w:r>
      <w:r w:rsidR="00D140A0">
        <w:rPr>
          <w:rFonts w:eastAsia="Times New Roman"/>
          <w:iCs/>
          <w:color w:val="000000"/>
          <w:shd w:val="clear" w:color="auto" w:fill="FFFFFF"/>
          <w:lang w:val="en-GB"/>
        </w:rPr>
        <w:t xml:space="preserve"> (</w:t>
      </w:r>
      <w:proofErr w:type="spellStart"/>
      <w:r w:rsidR="00D140A0" w:rsidRPr="00D140A0">
        <w:rPr>
          <w:rFonts w:eastAsia="Times New Roman"/>
          <w:iCs/>
          <w:color w:val="000000"/>
          <w:shd w:val="clear" w:color="auto" w:fill="FFFFFF"/>
          <w:lang w:val="en-GB"/>
        </w:rPr>
        <w:t>Boyatzis</w:t>
      </w:r>
      <w:proofErr w:type="spellEnd"/>
      <w:r w:rsidR="00D140A0">
        <w:rPr>
          <w:rFonts w:eastAsia="Times New Roman"/>
          <w:iCs/>
          <w:color w:val="000000"/>
          <w:shd w:val="clear" w:color="auto" w:fill="FFFFFF"/>
          <w:lang w:val="en-GB"/>
        </w:rPr>
        <w:t>, 1998)</w:t>
      </w:r>
      <w:r>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In the first instance the data </w:t>
      </w:r>
      <w:r>
        <w:rPr>
          <w:rFonts w:eastAsia="Times New Roman"/>
          <w:iCs/>
          <w:color w:val="000000"/>
          <w:shd w:val="clear" w:color="auto" w:fill="FFFFFF"/>
          <w:lang w:val="en-GB"/>
        </w:rPr>
        <w:t>were</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coded b</w:t>
      </w:r>
      <w:r>
        <w:rPr>
          <w:rFonts w:eastAsia="Times New Roman"/>
          <w:iCs/>
          <w:color w:val="000000"/>
          <w:shd w:val="clear" w:color="auto" w:fill="FFFFFF"/>
          <w:lang w:val="en-GB"/>
        </w:rPr>
        <w:t>y</w:t>
      </w:r>
      <w:r w:rsidR="00186A2D" w:rsidRPr="00186A2D">
        <w:rPr>
          <w:rFonts w:eastAsia="Times New Roman"/>
          <w:iCs/>
          <w:color w:val="000000"/>
          <w:shd w:val="clear" w:color="auto" w:fill="FFFFFF"/>
          <w:lang w:val="en-GB"/>
        </w:rPr>
        <w:t xml:space="preserve"> the </w:t>
      </w:r>
      <w:r>
        <w:rPr>
          <w:rFonts w:eastAsia="Times New Roman"/>
          <w:iCs/>
          <w:color w:val="000000"/>
          <w:shd w:val="clear" w:color="auto" w:fill="FFFFFF"/>
          <w:lang w:val="en-GB"/>
        </w:rPr>
        <w:t>first author</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to establish a large number of more descriptive themes.  These were further </w:t>
      </w:r>
      <w:r>
        <w:rPr>
          <w:rFonts w:eastAsia="Times New Roman"/>
          <w:iCs/>
          <w:color w:val="000000"/>
          <w:shd w:val="clear" w:color="auto" w:fill="FFFFFF"/>
          <w:lang w:val="en-GB"/>
        </w:rPr>
        <w:t>refined</w:t>
      </w:r>
      <w:r w:rsidR="00186A2D" w:rsidRPr="00186A2D">
        <w:rPr>
          <w:rFonts w:eastAsia="Times New Roman"/>
          <w:iCs/>
          <w:color w:val="000000"/>
          <w:shd w:val="clear" w:color="auto" w:fill="FFFFFF"/>
          <w:lang w:val="en-GB"/>
        </w:rPr>
        <w:t xml:space="preserve"> through discussion, reflection and engagement with </w:t>
      </w:r>
      <w:r>
        <w:rPr>
          <w:rFonts w:eastAsia="Times New Roman"/>
          <w:iCs/>
          <w:color w:val="000000"/>
          <w:shd w:val="clear" w:color="auto" w:fill="FFFFFF"/>
          <w:lang w:val="en-GB"/>
        </w:rPr>
        <w:t>the data</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by both authors.  This process of abduction </w:t>
      </w:r>
      <w:r w:rsidR="003B4A32">
        <w:rPr>
          <w:rFonts w:eastAsia="Times New Roman"/>
          <w:iCs/>
          <w:color w:val="000000"/>
          <w:shd w:val="clear" w:color="auto" w:fill="FFFFFF"/>
          <w:lang w:val="en-GB"/>
        </w:rPr>
        <w:t>enabled</w:t>
      </w:r>
      <w:r w:rsidR="003B4A32" w:rsidRPr="00186A2D">
        <w:rPr>
          <w:rFonts w:eastAsia="Times New Roman"/>
          <w:iCs/>
          <w:color w:val="000000"/>
          <w:shd w:val="clear" w:color="auto" w:fill="FFFFFF"/>
          <w:lang w:val="en-GB"/>
        </w:rPr>
        <w:t xml:space="preserve"> </w:t>
      </w:r>
      <w:r>
        <w:rPr>
          <w:rFonts w:eastAsia="Times New Roman"/>
          <w:iCs/>
          <w:color w:val="000000"/>
          <w:shd w:val="clear" w:color="auto" w:fill="FFFFFF"/>
          <w:lang w:val="en-GB"/>
        </w:rPr>
        <w:t>the authors</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to </w:t>
      </w:r>
      <w:r>
        <w:rPr>
          <w:rFonts w:eastAsia="Times New Roman"/>
          <w:iCs/>
          <w:color w:val="000000"/>
          <w:shd w:val="clear" w:color="auto" w:fill="FFFFFF"/>
          <w:lang w:val="en-GB"/>
        </w:rPr>
        <w:t>move from</w:t>
      </w:r>
      <w:r w:rsidRPr="00186A2D">
        <w:rPr>
          <w:rFonts w:eastAsia="Times New Roman"/>
          <w:iCs/>
          <w:color w:val="000000"/>
          <w:shd w:val="clear" w:color="auto" w:fill="FFFFFF"/>
          <w:lang w:val="en-GB"/>
        </w:rPr>
        <w:t xml:space="preserve"> </w:t>
      </w:r>
      <w:r w:rsidR="002379A3">
        <w:rPr>
          <w:rFonts w:eastAsia="Times New Roman"/>
          <w:iCs/>
          <w:color w:val="000000"/>
          <w:shd w:val="clear" w:color="auto" w:fill="FFFFFF"/>
          <w:lang w:val="en-GB"/>
        </w:rPr>
        <w:t>participants</w:t>
      </w:r>
      <w:r w:rsidR="002379A3">
        <w:rPr>
          <w:rFonts w:eastAsia="Times New Roman" w:hint="eastAsia"/>
          <w:iCs/>
          <w:color w:val="000000"/>
          <w:shd w:val="clear" w:color="auto" w:fill="FFFFFF"/>
          <w:lang w:val="en-GB"/>
        </w:rPr>
        <w:t>’</w:t>
      </w:r>
      <w:r w:rsidR="002379A3">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descriptions </w:t>
      </w:r>
      <w:r>
        <w:rPr>
          <w:rFonts w:eastAsia="Times New Roman"/>
          <w:iCs/>
          <w:color w:val="000000"/>
          <w:shd w:val="clear" w:color="auto" w:fill="FFFFFF"/>
          <w:lang w:val="en-GB"/>
        </w:rPr>
        <w:t>of</w:t>
      </w:r>
      <w:r w:rsidR="002379A3">
        <w:rPr>
          <w:rFonts w:eastAsia="Times New Roman"/>
          <w:iCs/>
          <w:color w:val="000000"/>
          <w:shd w:val="clear" w:color="auto" w:fill="FFFFFF"/>
          <w:lang w:val="en-GB"/>
        </w:rPr>
        <w:t xml:space="preserve"> the effects of changes in</w:t>
      </w:r>
      <w:r w:rsidR="00186A2D" w:rsidRPr="00186A2D">
        <w:rPr>
          <w:rFonts w:eastAsia="Times New Roman"/>
          <w:iCs/>
          <w:color w:val="000000"/>
          <w:shd w:val="clear" w:color="auto" w:fill="FFFFFF"/>
          <w:lang w:val="en-GB"/>
        </w:rPr>
        <w:t xml:space="preserve"> institutional </w:t>
      </w:r>
      <w:r>
        <w:rPr>
          <w:rFonts w:eastAsia="Times New Roman"/>
          <w:iCs/>
          <w:color w:val="000000"/>
          <w:shd w:val="clear" w:color="auto" w:fill="FFFFFF"/>
          <w:lang w:val="en-GB"/>
        </w:rPr>
        <w:t xml:space="preserve">processes, </w:t>
      </w:r>
      <w:r w:rsidR="00186A2D" w:rsidRPr="00186A2D">
        <w:rPr>
          <w:rFonts w:eastAsia="Times New Roman"/>
          <w:iCs/>
          <w:color w:val="000000"/>
          <w:shd w:val="clear" w:color="auto" w:fill="FFFFFF"/>
          <w:lang w:val="en-GB"/>
        </w:rPr>
        <w:t xml:space="preserve">entitlements </w:t>
      </w:r>
      <w:r>
        <w:rPr>
          <w:rFonts w:eastAsia="Times New Roman"/>
          <w:iCs/>
          <w:color w:val="000000"/>
          <w:shd w:val="clear" w:color="auto" w:fill="FFFFFF"/>
          <w:lang w:val="en-GB"/>
        </w:rPr>
        <w:t>and</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support </w:t>
      </w:r>
      <w:r w:rsidR="003B4A32">
        <w:rPr>
          <w:rFonts w:eastAsia="Times New Roman"/>
          <w:iCs/>
          <w:color w:val="000000"/>
          <w:shd w:val="clear" w:color="auto" w:fill="FFFFFF"/>
          <w:lang w:val="en-GB"/>
        </w:rPr>
        <w:t>to analysis of t</w:t>
      </w:r>
      <w:r>
        <w:rPr>
          <w:rFonts w:eastAsia="Times New Roman"/>
          <w:iCs/>
          <w:color w:val="000000"/>
          <w:shd w:val="clear" w:color="auto" w:fill="FFFFFF"/>
          <w:lang w:val="en-GB"/>
        </w:rPr>
        <w:t>he</w:t>
      </w:r>
      <w:r w:rsidR="00186A2D"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social </w:t>
      </w:r>
      <w:r>
        <w:rPr>
          <w:rFonts w:eastAsia="Times New Roman"/>
          <w:iCs/>
          <w:color w:val="000000"/>
          <w:shd w:val="clear" w:color="auto" w:fill="FFFFFF"/>
          <w:lang w:val="en-GB"/>
        </w:rPr>
        <w:t xml:space="preserve">and </w:t>
      </w:r>
      <w:r w:rsidR="003B4A32">
        <w:rPr>
          <w:rFonts w:eastAsia="Times New Roman"/>
          <w:iCs/>
          <w:color w:val="000000"/>
          <w:shd w:val="clear" w:color="auto" w:fill="FFFFFF"/>
          <w:lang w:val="en-GB"/>
        </w:rPr>
        <w:t xml:space="preserve">relational structures </w:t>
      </w:r>
      <w:r w:rsidRPr="00186A2D">
        <w:rPr>
          <w:rFonts w:eastAsia="Times New Roman"/>
          <w:iCs/>
          <w:color w:val="000000"/>
          <w:shd w:val="clear" w:color="auto" w:fill="FFFFFF"/>
          <w:lang w:val="en-GB"/>
        </w:rPr>
        <w:t xml:space="preserve">operating within healthcare, social policy and </w:t>
      </w:r>
      <w:r w:rsidR="003B4A32">
        <w:rPr>
          <w:rFonts w:eastAsia="Times New Roman"/>
          <w:iCs/>
          <w:color w:val="000000"/>
          <w:shd w:val="clear" w:color="auto" w:fill="FFFFFF"/>
          <w:lang w:val="en-GB"/>
        </w:rPr>
        <w:t>the wider public arena</w:t>
      </w:r>
      <w:r w:rsidRPr="00186A2D">
        <w:rPr>
          <w:rFonts w:eastAsia="Times New Roman"/>
          <w:iCs/>
          <w:color w:val="000000"/>
          <w:shd w:val="clear" w:color="auto" w:fill="FFFFFF"/>
          <w:lang w:val="en-GB"/>
        </w:rPr>
        <w:t xml:space="preserve"> </w:t>
      </w:r>
      <w:r w:rsidR="003B4A32">
        <w:rPr>
          <w:rFonts w:eastAsia="Times New Roman"/>
          <w:iCs/>
          <w:color w:val="000000"/>
          <w:shd w:val="clear" w:color="auto" w:fill="FFFFFF"/>
          <w:lang w:val="en-GB"/>
        </w:rPr>
        <w:t>that underpin</w:t>
      </w:r>
      <w:r w:rsidR="00F84740">
        <w:rPr>
          <w:rFonts w:eastAsia="Times New Roman"/>
          <w:iCs/>
          <w:color w:val="000000"/>
          <w:shd w:val="clear" w:color="auto" w:fill="FFFFFF"/>
          <w:lang w:val="en-GB"/>
        </w:rPr>
        <w:t xml:space="preserve"> </w:t>
      </w:r>
      <w:r w:rsidR="003B4A32">
        <w:rPr>
          <w:rFonts w:eastAsia="Times New Roman" w:hint="eastAsia"/>
          <w:iCs/>
          <w:color w:val="000000"/>
          <w:shd w:val="clear" w:color="auto" w:fill="FFFFFF"/>
          <w:lang w:val="en-GB"/>
        </w:rPr>
        <w:t>and</w:t>
      </w:r>
      <w:r w:rsidR="003B4A32">
        <w:rPr>
          <w:rFonts w:eastAsia="Times New Roman"/>
          <w:iCs/>
          <w:color w:val="000000"/>
          <w:shd w:val="clear" w:color="auto" w:fill="FFFFFF"/>
          <w:lang w:val="en-GB"/>
        </w:rPr>
        <w:t xml:space="preserve"> shape these experiences (</w:t>
      </w:r>
      <w:proofErr w:type="spellStart"/>
      <w:r w:rsidR="003B4A32">
        <w:rPr>
          <w:rFonts w:eastAsia="Times New Roman"/>
          <w:iCs/>
          <w:color w:val="000000"/>
          <w:shd w:val="clear" w:color="auto" w:fill="FFFFFF"/>
          <w:lang w:val="en-GB"/>
        </w:rPr>
        <w:t>Blaikie</w:t>
      </w:r>
      <w:proofErr w:type="spellEnd"/>
      <w:r w:rsidR="003B4A32">
        <w:rPr>
          <w:rFonts w:eastAsia="Times New Roman"/>
          <w:iCs/>
          <w:color w:val="000000"/>
          <w:shd w:val="clear" w:color="auto" w:fill="FFFFFF"/>
          <w:lang w:val="en-GB"/>
        </w:rPr>
        <w:t>, 2010)</w:t>
      </w:r>
      <w:r>
        <w:rPr>
          <w:rFonts w:eastAsia="Times New Roman"/>
          <w:iCs/>
          <w:color w:val="000000"/>
          <w:shd w:val="clear" w:color="auto" w:fill="FFFFFF"/>
          <w:lang w:val="en-GB"/>
        </w:rPr>
        <w:t>.</w:t>
      </w:r>
      <w:r w:rsidR="00186A2D" w:rsidRPr="00186A2D">
        <w:rPr>
          <w:rFonts w:eastAsia="Times New Roman"/>
          <w:iCs/>
          <w:color w:val="000000"/>
          <w:shd w:val="clear" w:color="auto" w:fill="FFFFFF"/>
          <w:lang w:val="en-GB"/>
        </w:rPr>
        <w:t xml:space="preserve">  </w:t>
      </w:r>
    </w:p>
    <w:p w14:paraId="27AFDFED" w14:textId="77777777" w:rsidR="00B17F7C" w:rsidRDefault="00B17F7C" w:rsidP="00186A2D">
      <w:pPr>
        <w:spacing w:after="120" w:line="360" w:lineRule="auto"/>
        <w:rPr>
          <w:rFonts w:eastAsia="MS Mincho" w:cs="Arial"/>
          <w:b/>
          <w:i/>
          <w:lang w:val="en-US"/>
        </w:rPr>
      </w:pPr>
      <w:r>
        <w:rPr>
          <w:rFonts w:eastAsia="MS Mincho" w:cs="Arial"/>
          <w:b/>
          <w:i/>
          <w:lang w:val="en-US"/>
        </w:rPr>
        <w:t>Findings</w:t>
      </w:r>
    </w:p>
    <w:p w14:paraId="5B129CCF" w14:textId="2DE9845B" w:rsidR="00B17F7C" w:rsidRDefault="00F84740" w:rsidP="00BC4F5B">
      <w:pPr>
        <w:spacing w:line="360" w:lineRule="auto"/>
        <w:rPr>
          <w:rFonts w:eastAsia="MS Mincho" w:cs="Arial"/>
          <w:b/>
          <w:i/>
          <w:lang w:val="en-US"/>
        </w:rPr>
      </w:pPr>
      <w:r>
        <w:t>The</w:t>
      </w:r>
      <w:r w:rsidR="00DF599B">
        <w:t xml:space="preserve"> data </w:t>
      </w:r>
      <w:r>
        <w:t>and themes presented in this section examine our participants’</w:t>
      </w:r>
      <w:r w:rsidR="00DF599B">
        <w:t xml:space="preserve"> </w:t>
      </w:r>
      <w:r>
        <w:t>lived</w:t>
      </w:r>
      <w:r w:rsidR="00DF599B">
        <w:t xml:space="preserve"> experiences of </w:t>
      </w:r>
      <w:r>
        <w:t>austerity related social policy reforms. W</w:t>
      </w:r>
      <w:r w:rsidRPr="00186A2D">
        <w:t>e identify</w:t>
      </w:r>
      <w:r>
        <w:t xml:space="preserve"> a </w:t>
      </w:r>
      <w:r w:rsidRPr="000351E6">
        <w:t>propensity</w:t>
      </w:r>
      <w:r>
        <w:t xml:space="preserve"> in </w:t>
      </w:r>
      <w:r w:rsidR="00502DEB">
        <w:t xml:space="preserve">the current </w:t>
      </w:r>
      <w:r>
        <w:t xml:space="preserve">neoliberal policy </w:t>
      </w:r>
      <w:r w:rsidR="00502DEB">
        <w:t xml:space="preserve">context </w:t>
      </w:r>
      <w:r>
        <w:t xml:space="preserve">to utilise the contested ontological status of mental distress as the basis for </w:t>
      </w:r>
      <w:r w:rsidR="00743FF0">
        <w:t xml:space="preserve">moralisation </w:t>
      </w:r>
      <w:r>
        <w:t xml:space="preserve">of this phenomenon. </w:t>
      </w:r>
      <w:r w:rsidR="000F631A">
        <w:t>This</w:t>
      </w:r>
      <w:r w:rsidR="006C7E66">
        <w:t xml:space="preserve"> increasing </w:t>
      </w:r>
      <w:r w:rsidR="00B17F7C">
        <w:t xml:space="preserve">tendency to frame distress in terms of moral </w:t>
      </w:r>
      <w:r>
        <w:t>deficits</w:t>
      </w:r>
      <w:r w:rsidR="006C7E66">
        <w:t xml:space="preserve"> </w:t>
      </w:r>
      <w:r w:rsidR="00B17F7C">
        <w:t>rests</w:t>
      </w:r>
      <w:r w:rsidR="006C7E66">
        <w:t>, we suggest,</w:t>
      </w:r>
      <w:r w:rsidR="00B17F7C">
        <w:t xml:space="preserve"> on three constellations of logics and processes within mental health and welfare policies</w:t>
      </w:r>
      <w:r>
        <w:t xml:space="preserve"> </w:t>
      </w:r>
      <w:r w:rsidR="006C7E66">
        <w:t>which</w:t>
      </w:r>
      <w:r>
        <w:t xml:space="preserve"> will be set out in this section</w:t>
      </w:r>
      <w:r w:rsidR="00B17F7C">
        <w:t xml:space="preserve">. </w:t>
      </w:r>
      <w:r w:rsidR="00502DEB">
        <w:t>We begin, in the first section</w:t>
      </w:r>
      <w:r w:rsidR="00B17F7C">
        <w:t xml:space="preserve">, </w:t>
      </w:r>
      <w:r w:rsidR="00502DEB">
        <w:t xml:space="preserve">by describing </w:t>
      </w:r>
      <w:r w:rsidR="00B17F7C">
        <w:t xml:space="preserve">a series of </w:t>
      </w:r>
      <w:r w:rsidR="00B17F7C" w:rsidRPr="00186A2D">
        <w:t>institutional</w:t>
      </w:r>
      <w:r w:rsidR="00B17F7C">
        <w:t xml:space="preserve"> practices </w:t>
      </w:r>
      <w:r w:rsidR="00502DEB">
        <w:t xml:space="preserve">that </w:t>
      </w:r>
      <w:r w:rsidR="00B17F7C">
        <w:t xml:space="preserve">challenge </w:t>
      </w:r>
      <w:r w:rsidR="00B17F7C" w:rsidRPr="00186A2D">
        <w:t>the ontological ‘reality’ and legi</w:t>
      </w:r>
      <w:r w:rsidR="00B17F7C">
        <w:t xml:space="preserve">timacy of mental distress, </w:t>
      </w:r>
      <w:r w:rsidR="003D2A28">
        <w:t xml:space="preserve">and thereby </w:t>
      </w:r>
      <w:r w:rsidR="00B17F7C">
        <w:t>constitut</w:t>
      </w:r>
      <w:r w:rsidR="003D2A28">
        <w:t>e</w:t>
      </w:r>
      <w:r w:rsidR="00B17F7C" w:rsidRPr="00186A2D">
        <w:t xml:space="preserve"> a primary means by which ‘sick role’ validity is being destabilised (</w:t>
      </w:r>
      <w:proofErr w:type="spellStart"/>
      <w:r w:rsidR="00B17F7C" w:rsidRPr="00186A2D">
        <w:t>Glenton</w:t>
      </w:r>
      <w:proofErr w:type="spellEnd"/>
      <w:r w:rsidR="00B17F7C" w:rsidRPr="00186A2D">
        <w:t xml:space="preserve">, 2003; Sedgwick, 1973; Shakespeare et al, 2017; van Hal et al, 2013). </w:t>
      </w:r>
      <w:r w:rsidR="00502DEB">
        <w:t>Through our respondents’ accounts w</w:t>
      </w:r>
      <w:r w:rsidR="00502DEB" w:rsidRPr="00186A2D">
        <w:t xml:space="preserve">e </w:t>
      </w:r>
      <w:r w:rsidR="00B17F7C" w:rsidRPr="00186A2D">
        <w:t>examine the way in which sick role entitlements and exemptions from social obligations applied to this group under earlier policy regimes</w:t>
      </w:r>
      <w:r w:rsidR="00B17F7C">
        <w:t xml:space="preserve"> have been </w:t>
      </w:r>
      <w:r w:rsidR="003D2A28">
        <w:t>dismantled</w:t>
      </w:r>
      <w:r w:rsidR="003D2A28" w:rsidRPr="00186A2D">
        <w:t xml:space="preserve"> </w:t>
      </w:r>
      <w:r w:rsidR="003D2A28">
        <w:t>within</w:t>
      </w:r>
      <w:r w:rsidR="003D2A28" w:rsidRPr="00186A2D">
        <w:t xml:space="preserve"> </w:t>
      </w:r>
      <w:r w:rsidR="00B17F7C" w:rsidRPr="00186A2D">
        <w:t xml:space="preserve">recent reforms. </w:t>
      </w:r>
      <w:r w:rsidR="00B17F7C">
        <w:t xml:space="preserve">Second, and building on </w:t>
      </w:r>
      <w:r w:rsidR="00502DEB">
        <w:t xml:space="preserve">this </w:t>
      </w:r>
      <w:proofErr w:type="spellStart"/>
      <w:r w:rsidR="00B17F7C">
        <w:t>delegitimisation</w:t>
      </w:r>
      <w:proofErr w:type="spellEnd"/>
      <w:r w:rsidR="00B17F7C">
        <w:t xml:space="preserve"> </w:t>
      </w:r>
      <w:r w:rsidR="00743FF0">
        <w:t>process</w:t>
      </w:r>
      <w:r w:rsidR="00B17F7C">
        <w:t xml:space="preserve">, we </w:t>
      </w:r>
      <w:r w:rsidR="00502DEB">
        <w:t>draw on participant data to examine the ongoing alignment of</w:t>
      </w:r>
      <w:r w:rsidR="00B17F7C">
        <w:t xml:space="preserve"> predominant </w:t>
      </w:r>
      <w:r w:rsidR="00502DEB">
        <w:t xml:space="preserve">modes </w:t>
      </w:r>
      <w:r w:rsidR="00B17F7C">
        <w:t xml:space="preserve">of support with moralising rationalities </w:t>
      </w:r>
      <w:r w:rsidR="00502DEB">
        <w:t xml:space="preserve">through an </w:t>
      </w:r>
      <w:r w:rsidR="00B17F7C">
        <w:t>emphasis</w:t>
      </w:r>
      <w:r w:rsidR="00502DEB">
        <w:t xml:space="preserve"> on</w:t>
      </w:r>
      <w:r w:rsidR="00B17F7C">
        <w:t xml:space="preserve"> </w:t>
      </w:r>
      <w:r w:rsidR="00502DEB">
        <w:t xml:space="preserve">self-help and </w:t>
      </w:r>
      <w:r w:rsidR="00B17F7C">
        <w:t xml:space="preserve">self-management of symptoms. The </w:t>
      </w:r>
      <w:r w:rsidR="00502DEB">
        <w:t xml:space="preserve">third </w:t>
      </w:r>
      <w:r w:rsidR="00B17F7C">
        <w:t xml:space="preserve">data section focuses on </w:t>
      </w:r>
      <w:r>
        <w:t>the mobilisation by services of</w:t>
      </w:r>
      <w:r w:rsidR="00B17F7C">
        <w:t xml:space="preserve"> </w:t>
      </w:r>
      <w:r w:rsidR="00502DEB">
        <w:t xml:space="preserve">increasingly </w:t>
      </w:r>
      <w:r w:rsidR="00B17F7C">
        <w:t>punitive stipulations and sanctions to enforce compliance</w:t>
      </w:r>
      <w:r w:rsidR="00502DEB">
        <w:t xml:space="preserve"> with </w:t>
      </w:r>
      <w:r w:rsidR="00743FF0">
        <w:t xml:space="preserve">new </w:t>
      </w:r>
      <w:r w:rsidR="00502DEB">
        <w:t xml:space="preserve">behavioural </w:t>
      </w:r>
      <w:r w:rsidR="00743FF0">
        <w:t>and attitudinal norms</w:t>
      </w:r>
      <w:r w:rsidR="00B17F7C">
        <w:t>. These relatively recent shifts in mental health and welfare modes of service delivery can be located as part of wider attempts to</w:t>
      </w:r>
      <w:r>
        <w:t xml:space="preserve"> </w:t>
      </w:r>
      <w:proofErr w:type="spellStart"/>
      <w:r>
        <w:t>weaponise</w:t>
      </w:r>
      <w:proofErr w:type="spellEnd"/>
      <w:r>
        <w:t xml:space="preserve"> blame</w:t>
      </w:r>
      <w:r w:rsidR="00B17F7C">
        <w:t xml:space="preserve"> </w:t>
      </w:r>
      <w:r>
        <w:t xml:space="preserve">and </w:t>
      </w:r>
      <w:r w:rsidR="00B17F7C">
        <w:t xml:space="preserve">mobilise deviance in the pursuit of </w:t>
      </w:r>
      <w:r w:rsidR="00502DEB">
        <w:t xml:space="preserve">neoliberal welfare </w:t>
      </w:r>
      <w:r w:rsidR="00B17F7C">
        <w:t xml:space="preserve">policy goals.  </w:t>
      </w:r>
    </w:p>
    <w:p w14:paraId="4E10ABBA" w14:textId="0F51CE79" w:rsidR="00186A2D" w:rsidRPr="00BC4F5B" w:rsidRDefault="00186A2D" w:rsidP="00186A2D">
      <w:pPr>
        <w:spacing w:after="120" w:line="360" w:lineRule="auto"/>
        <w:rPr>
          <w:rFonts w:eastAsia="MS Mincho" w:cs="Arial"/>
          <w:lang w:val="en-US"/>
        </w:rPr>
      </w:pPr>
      <w:r w:rsidRPr="00BC4F5B">
        <w:rPr>
          <w:rFonts w:eastAsia="MS Mincho" w:cs="Arial" w:hint="eastAsia"/>
          <w:i/>
          <w:lang w:val="en-US"/>
        </w:rPr>
        <w:t>De-</w:t>
      </w:r>
      <w:proofErr w:type="spellStart"/>
      <w:r w:rsidRPr="00BC4F5B">
        <w:rPr>
          <w:rFonts w:eastAsia="MS Mincho" w:cs="Arial" w:hint="eastAsia"/>
          <w:i/>
          <w:lang w:val="en-US"/>
        </w:rPr>
        <w:t>legitimisation</w:t>
      </w:r>
      <w:proofErr w:type="spellEnd"/>
      <w:r w:rsidRPr="00BC4F5B">
        <w:rPr>
          <w:rFonts w:eastAsia="MS Mincho" w:cs="Arial" w:hint="eastAsia"/>
          <w:i/>
          <w:lang w:val="en-US"/>
        </w:rPr>
        <w:t xml:space="preserve"> of mental distress</w:t>
      </w:r>
    </w:p>
    <w:p w14:paraId="32F802B7" w14:textId="75DE1509" w:rsidR="00186A2D" w:rsidRPr="00BC4F5B" w:rsidRDefault="00186A2D" w:rsidP="00A548ED">
      <w:pPr>
        <w:widowControl w:val="0"/>
        <w:autoSpaceDE w:val="0"/>
        <w:autoSpaceDN w:val="0"/>
        <w:adjustRightInd w:val="0"/>
        <w:spacing w:after="120" w:line="360" w:lineRule="auto"/>
        <w:ind w:firstLine="720"/>
        <w:rPr>
          <w:rFonts w:eastAsia="MS Mincho" w:cs="Arial"/>
          <w:color w:val="000000"/>
          <w:lang w:val="en-US"/>
        </w:rPr>
      </w:pPr>
      <w:r w:rsidRPr="00186A2D">
        <w:rPr>
          <w:rFonts w:eastAsia="MS Mincho" w:cs="Arial"/>
          <w:lang w:val="en-US"/>
        </w:rPr>
        <w:t xml:space="preserve">Our respondents placed a high value on having their psychological distress formally </w:t>
      </w:r>
      <w:r w:rsidR="00681608">
        <w:rPr>
          <w:rFonts w:eastAsia="MS Mincho" w:cs="Arial"/>
          <w:lang w:val="en-US"/>
        </w:rPr>
        <w:t xml:space="preserve">recognized and </w:t>
      </w:r>
      <w:r w:rsidRPr="00186A2D">
        <w:rPr>
          <w:rFonts w:eastAsia="MS Mincho" w:cs="Arial"/>
          <w:lang w:val="en-US"/>
        </w:rPr>
        <w:t xml:space="preserve">acknowledged, and expressed concern about instances when policies, professionals and interventions were perceived to be normalizing or minimizing their </w:t>
      </w:r>
      <w:r w:rsidR="00204C5C">
        <w:rPr>
          <w:rFonts w:eastAsia="MS Mincho" w:cs="Arial"/>
          <w:lang w:val="en-US"/>
        </w:rPr>
        <w:t xml:space="preserve">lived </w:t>
      </w:r>
      <w:r w:rsidRPr="00186A2D">
        <w:rPr>
          <w:rFonts w:eastAsia="MS Mincho" w:cs="Arial"/>
          <w:lang w:val="en-US"/>
        </w:rPr>
        <w:t>experiences</w:t>
      </w:r>
      <w:r w:rsidR="005B126D">
        <w:rPr>
          <w:rFonts w:eastAsia="MS Mincho" w:cs="Arial"/>
          <w:lang w:val="en-US"/>
        </w:rPr>
        <w:t xml:space="preserve"> (see also </w:t>
      </w:r>
      <w:proofErr w:type="spellStart"/>
      <w:r w:rsidR="005B126D">
        <w:rPr>
          <w:rFonts w:eastAsia="MS Mincho" w:cs="Arial"/>
          <w:lang w:val="en-US"/>
        </w:rPr>
        <w:t>Bonnington</w:t>
      </w:r>
      <w:proofErr w:type="spellEnd"/>
      <w:r w:rsidR="005B126D">
        <w:rPr>
          <w:rFonts w:eastAsia="MS Mincho" w:cs="Arial"/>
          <w:lang w:val="en-US"/>
        </w:rPr>
        <w:t xml:space="preserve"> and Rose, 2014)</w:t>
      </w:r>
      <w:r w:rsidRPr="00186A2D">
        <w:rPr>
          <w:rFonts w:eastAsia="MS Mincho" w:cs="Arial"/>
          <w:lang w:val="en-US"/>
        </w:rPr>
        <w:t>. Respondents tended to</w:t>
      </w:r>
      <w:r w:rsidR="005B126D">
        <w:rPr>
          <w:rFonts w:eastAsia="MS Mincho" w:cs="Arial"/>
          <w:lang w:val="en-US"/>
        </w:rPr>
        <w:t xml:space="preserve"> emphasize the many challenges of living with distress but</w:t>
      </w:r>
      <w:r w:rsidRPr="00186A2D">
        <w:rPr>
          <w:rFonts w:eastAsia="MS Mincho" w:cs="Arial"/>
          <w:lang w:val="en-US"/>
        </w:rPr>
        <w:t xml:space="preserve"> also</w:t>
      </w:r>
      <w:r w:rsidR="008E2B48">
        <w:rPr>
          <w:rFonts w:eastAsia="MS Mincho" w:cs="Arial"/>
          <w:lang w:val="en-US"/>
        </w:rPr>
        <w:t xml:space="preserve"> expressed.  M</w:t>
      </w:r>
      <w:r w:rsidR="003D2A28">
        <w:rPr>
          <w:rFonts w:eastAsia="MS Mincho" w:cs="Arial"/>
          <w:lang w:val="en-US"/>
        </w:rPr>
        <w:t>ental health</w:t>
      </w:r>
      <w:r w:rsidRPr="00186A2D">
        <w:rPr>
          <w:rFonts w:eastAsia="MS Mincho" w:cs="Arial"/>
          <w:lang w:val="en-US"/>
        </w:rPr>
        <w:t xml:space="preserve"> </w:t>
      </w:r>
      <w:r w:rsidR="003D2A28">
        <w:rPr>
          <w:rFonts w:eastAsia="MS Mincho" w:cs="Arial"/>
          <w:lang w:val="en-US"/>
        </w:rPr>
        <w:t xml:space="preserve">service user </w:t>
      </w:r>
      <w:r w:rsidRPr="00186A2D">
        <w:rPr>
          <w:rFonts w:eastAsia="MS Mincho" w:cs="Arial"/>
          <w:lang w:val="en-US"/>
        </w:rPr>
        <w:t>Marion remarked, “</w:t>
      </w:r>
      <w:r w:rsidRPr="00186A2D">
        <w:rPr>
          <w:rFonts w:eastAsia="MS Mincho" w:cs="Arial"/>
          <w:i/>
          <w:lang w:val="en-US"/>
        </w:rPr>
        <w:t xml:space="preserve">You can’t measure mental health...You know if you’ve got a broken leg you can see it.” </w:t>
      </w:r>
      <w:r w:rsidRPr="00186A2D">
        <w:rPr>
          <w:rFonts w:eastAsia="MS Mincho" w:cs="Arial"/>
          <w:lang w:val="en-US"/>
        </w:rPr>
        <w:t>T</w:t>
      </w:r>
      <w:r w:rsidRPr="00186A2D">
        <w:rPr>
          <w:rFonts w:eastAsia="MS Mincho" w:cs="Arial"/>
          <w:color w:val="000000"/>
          <w:lang w:val="en-US"/>
        </w:rPr>
        <w:t xml:space="preserve">he imperceptible nature of such </w:t>
      </w:r>
      <w:r w:rsidRPr="00186A2D">
        <w:rPr>
          <w:rFonts w:eastAsia="MS Mincho" w:cs="Arial"/>
          <w:color w:val="000000"/>
          <w:lang w:val="en-US"/>
        </w:rPr>
        <w:lastRenderedPageBreak/>
        <w:t xml:space="preserve">conditions was </w:t>
      </w:r>
      <w:r w:rsidR="006C7E66">
        <w:rPr>
          <w:rFonts w:eastAsia="MS Mincho" w:cs="Arial"/>
          <w:color w:val="000000"/>
          <w:lang w:val="en-US"/>
        </w:rPr>
        <w:t xml:space="preserve">also </w:t>
      </w:r>
      <w:r w:rsidRPr="00186A2D">
        <w:rPr>
          <w:rFonts w:eastAsia="MS Mincho" w:cs="Arial"/>
          <w:color w:val="000000"/>
          <w:lang w:val="en-US"/>
        </w:rPr>
        <w:t>a source of frustration for Jacky who commented, “</w:t>
      </w:r>
      <w:r w:rsidRPr="00186A2D">
        <w:rPr>
          <w:rFonts w:eastAsia="MS Mincho" w:cs="Arial"/>
          <w:i/>
          <w:color w:val="000000"/>
          <w:lang w:val="en-US"/>
        </w:rPr>
        <w:t xml:space="preserve">You can’t see them </w:t>
      </w:r>
      <w:r w:rsidRPr="00186A2D">
        <w:rPr>
          <w:rFonts w:eastAsia="MS Mincho" w:cs="Arial"/>
          <w:color w:val="000000"/>
          <w:lang w:val="en-US"/>
        </w:rPr>
        <w:t>[mental health problems]</w:t>
      </w:r>
      <w:r w:rsidRPr="00186A2D">
        <w:rPr>
          <w:rFonts w:eastAsia="MS Mincho" w:cs="Arial"/>
          <w:i/>
          <w:color w:val="000000"/>
          <w:lang w:val="en-US"/>
        </w:rPr>
        <w:t>, so I’d have to walk round with a placard on saying these are my illnesses</w:t>
      </w:r>
      <w:r w:rsidR="005B126D">
        <w:rPr>
          <w:rFonts w:eastAsia="MS Mincho" w:cs="Arial"/>
          <w:i/>
          <w:color w:val="000000"/>
          <w:lang w:val="en-US"/>
        </w:rPr>
        <w:t>.</w:t>
      </w:r>
      <w:r w:rsidR="005B126D">
        <w:rPr>
          <w:rFonts w:eastAsia="MS Mincho" w:cs="Arial"/>
          <w:color w:val="000000"/>
          <w:lang w:val="en-US"/>
        </w:rPr>
        <w:t>”</w:t>
      </w:r>
      <w:r w:rsidRPr="00186A2D">
        <w:rPr>
          <w:rFonts w:eastAsia="MS Mincho" w:cs="Arial"/>
          <w:color w:val="000000"/>
          <w:lang w:val="en-US"/>
        </w:rPr>
        <w:t xml:space="preserve"> </w:t>
      </w:r>
      <w:r w:rsidR="00F3206E">
        <w:rPr>
          <w:rFonts w:eastAsia="MS Mincho" w:cs="Arial"/>
          <w:color w:val="000000"/>
          <w:lang w:val="en-US"/>
        </w:rPr>
        <w:t xml:space="preserve">Jacky </w:t>
      </w:r>
      <w:r w:rsidR="000F2519">
        <w:rPr>
          <w:rFonts w:eastAsia="MS Mincho" w:cs="Arial"/>
          <w:color w:val="000000"/>
          <w:lang w:val="en-US"/>
        </w:rPr>
        <w:t xml:space="preserve">went on to describe the implications of this </w:t>
      </w:r>
      <w:r w:rsidR="000F2519">
        <w:rPr>
          <w:rFonts w:eastAsia="MS Mincho" w:cs="Arial"/>
          <w:lang w:val="en-US"/>
        </w:rPr>
        <w:t>uncertain and contested ontology of psychological distress</w:t>
      </w:r>
      <w:r w:rsidRPr="00186A2D">
        <w:rPr>
          <w:rFonts w:eastAsia="MS Mincho" w:cs="Arial"/>
          <w:color w:val="000000"/>
          <w:lang w:val="en-US"/>
        </w:rPr>
        <w:t>:</w:t>
      </w:r>
    </w:p>
    <w:p w14:paraId="6F8CE9D7" w14:textId="75EF0C90" w:rsidR="00186A2D" w:rsidRPr="00186A2D" w:rsidRDefault="009C5E5E" w:rsidP="00186A2D">
      <w:pPr>
        <w:widowControl w:val="0"/>
        <w:autoSpaceDE w:val="0"/>
        <w:autoSpaceDN w:val="0"/>
        <w:adjustRightInd w:val="0"/>
        <w:spacing w:after="120" w:line="360" w:lineRule="auto"/>
        <w:ind w:left="720"/>
        <w:rPr>
          <w:rFonts w:eastAsia="MS Mincho" w:cs="Arial"/>
          <w:i/>
          <w:color w:val="000000"/>
          <w:lang w:val="en-US"/>
        </w:rPr>
      </w:pPr>
      <w:r>
        <w:rPr>
          <w:rFonts w:eastAsia="MS Mincho" w:cs="Arial"/>
          <w:i/>
          <w:color w:val="000000"/>
          <w:lang w:val="en-US"/>
        </w:rPr>
        <w:t>Y</w:t>
      </w:r>
      <w:r w:rsidRPr="00186A2D">
        <w:rPr>
          <w:rFonts w:eastAsia="MS Mincho" w:cs="Arial"/>
          <w:i/>
          <w:color w:val="000000"/>
          <w:lang w:val="en-US"/>
        </w:rPr>
        <w:t xml:space="preserve">ou </w:t>
      </w:r>
      <w:r w:rsidR="00186A2D" w:rsidRPr="00186A2D">
        <w:rPr>
          <w:rFonts w:eastAsia="MS Mincho" w:cs="Arial"/>
          <w:i/>
          <w:color w:val="000000"/>
          <w:lang w:val="en-US"/>
        </w:rPr>
        <w:t xml:space="preserve">get worried that your </w:t>
      </w:r>
      <w:proofErr w:type="spellStart"/>
      <w:r w:rsidR="00186A2D" w:rsidRPr="00186A2D">
        <w:rPr>
          <w:rFonts w:eastAsia="MS Mincho" w:cs="Arial"/>
          <w:i/>
          <w:color w:val="000000"/>
          <w:lang w:val="en-US"/>
        </w:rPr>
        <w:t>neighbours</w:t>
      </w:r>
      <w:proofErr w:type="spellEnd"/>
      <w:r w:rsidR="00186A2D" w:rsidRPr="00186A2D">
        <w:rPr>
          <w:rFonts w:eastAsia="MS Mincho" w:cs="Arial"/>
          <w:i/>
          <w:color w:val="000000"/>
          <w:lang w:val="en-US"/>
        </w:rPr>
        <w:t xml:space="preserve"> are watching you getting taxis</w:t>
      </w:r>
      <w:r w:rsidR="00C94DD1">
        <w:rPr>
          <w:rFonts w:eastAsia="MS Mincho" w:cs="Arial"/>
          <w:i/>
          <w:color w:val="000000"/>
          <w:lang w:val="en-US"/>
        </w:rPr>
        <w:t xml:space="preserve"> [</w:t>
      </w:r>
      <w:r w:rsidR="00186A2D" w:rsidRPr="00186A2D">
        <w:rPr>
          <w:rFonts w:eastAsia="MS Mincho" w:cs="Arial"/>
          <w:i/>
          <w:color w:val="000000"/>
          <w:lang w:val="en-US"/>
        </w:rPr>
        <w:t>…</w:t>
      </w:r>
      <w:r w:rsidR="00C94DD1">
        <w:rPr>
          <w:rFonts w:eastAsia="MS Mincho" w:cs="Arial"/>
          <w:i/>
          <w:color w:val="000000"/>
          <w:lang w:val="en-US"/>
        </w:rPr>
        <w:t xml:space="preserve">] </w:t>
      </w:r>
      <w:r w:rsidR="00186A2D" w:rsidRPr="00186A2D">
        <w:rPr>
          <w:rFonts w:eastAsia="MS Mincho" w:cs="Arial"/>
          <w:i/>
          <w:color w:val="000000"/>
          <w:lang w:val="en-US"/>
        </w:rPr>
        <w:t>and they must think ‘where she’s going?’</w:t>
      </w:r>
      <w:r w:rsidR="00C94DD1">
        <w:rPr>
          <w:rFonts w:eastAsia="MS Mincho" w:cs="Arial"/>
          <w:i/>
          <w:color w:val="000000"/>
          <w:lang w:val="en-US"/>
        </w:rPr>
        <w:t>[</w:t>
      </w:r>
      <w:r w:rsidR="00186A2D" w:rsidRPr="00186A2D">
        <w:rPr>
          <w:rFonts w:eastAsia="MS Mincho" w:cs="Arial"/>
          <w:i/>
          <w:color w:val="000000"/>
          <w:lang w:val="en-US"/>
        </w:rPr>
        <w:t>…</w:t>
      </w:r>
      <w:r w:rsidR="00C94DD1">
        <w:rPr>
          <w:rFonts w:eastAsia="MS Mincho" w:cs="Arial"/>
          <w:i/>
          <w:color w:val="000000"/>
          <w:lang w:val="en-US"/>
        </w:rPr>
        <w:t>]</w:t>
      </w:r>
      <w:r w:rsidR="00186A2D" w:rsidRPr="00186A2D">
        <w:rPr>
          <w:rFonts w:eastAsia="MS Mincho" w:cs="Arial"/>
          <w:i/>
          <w:color w:val="000000"/>
          <w:lang w:val="en-US"/>
        </w:rPr>
        <w:t xml:space="preserve"> If you can’t get around, drive and what have you, your DLA helps with taxis and can’t remember anyone carrying five bags of shopping from [the supermarket] and not paying 2.20 for a taxi round the corner, do you know what I mean?</w:t>
      </w:r>
      <w:r w:rsidR="00C94DD1">
        <w:rPr>
          <w:rFonts w:eastAsia="MS Mincho" w:cs="Arial"/>
          <w:i/>
          <w:color w:val="000000"/>
          <w:lang w:val="en-US"/>
        </w:rPr>
        <w:t xml:space="preserve"> [</w:t>
      </w:r>
      <w:r w:rsidR="00186A2D" w:rsidRPr="00186A2D">
        <w:rPr>
          <w:rFonts w:eastAsia="MS Mincho" w:cs="Arial"/>
          <w:i/>
          <w:color w:val="000000"/>
          <w:lang w:val="en-US"/>
        </w:rPr>
        <w:t>...</w:t>
      </w:r>
      <w:r w:rsidR="00C94DD1">
        <w:rPr>
          <w:rFonts w:eastAsia="MS Mincho" w:cs="Arial"/>
          <w:i/>
          <w:color w:val="000000"/>
          <w:lang w:val="en-US"/>
        </w:rPr>
        <w:t xml:space="preserve">] </w:t>
      </w:r>
      <w:r w:rsidR="00186A2D" w:rsidRPr="00186A2D">
        <w:rPr>
          <w:rFonts w:eastAsia="MS Mincho" w:cs="Arial"/>
          <w:i/>
          <w:color w:val="000000"/>
          <w:lang w:val="en-US"/>
        </w:rPr>
        <w:t>But it’s just suspicion.  It’s like my friend is on a wheelie</w:t>
      </w:r>
      <w:r w:rsidR="008E2B48">
        <w:rPr>
          <w:rFonts w:eastAsia="MS Mincho" w:cs="Arial"/>
          <w:i/>
          <w:color w:val="000000"/>
          <w:lang w:val="en-US"/>
        </w:rPr>
        <w:t xml:space="preserve"> </w:t>
      </w:r>
      <w:r w:rsidR="008E2B48">
        <w:rPr>
          <w:rFonts w:eastAsia="MS Mincho" w:cs="Arial"/>
          <w:color w:val="000000"/>
          <w:lang w:val="en-US"/>
        </w:rPr>
        <w:t>[mobility walker</w:t>
      </w:r>
      <w:r w:rsidR="008E2B48" w:rsidRPr="008E2B48">
        <w:rPr>
          <w:rFonts w:eastAsia="MS Mincho" w:cs="Arial"/>
          <w:color w:val="000000"/>
          <w:lang w:val="en-US"/>
        </w:rPr>
        <w:t>]</w:t>
      </w:r>
      <w:r w:rsidR="008E2B48">
        <w:rPr>
          <w:rFonts w:eastAsia="MS Mincho" w:cs="Arial"/>
          <w:i/>
          <w:color w:val="000000"/>
          <w:lang w:val="en-US"/>
        </w:rPr>
        <w:t xml:space="preserve"> </w:t>
      </w:r>
      <w:r w:rsidR="00186A2D" w:rsidRPr="00186A2D">
        <w:rPr>
          <w:rFonts w:eastAsia="MS Mincho" w:cs="Arial"/>
          <w:i/>
          <w:color w:val="000000"/>
          <w:lang w:val="en-US"/>
        </w:rPr>
        <w:t xml:space="preserve">she’s quite bent over and people would look at her and say </w:t>
      </w:r>
      <w:r w:rsidR="008E2B48">
        <w:rPr>
          <w:rFonts w:eastAsia="MS Mincho" w:cs="Arial"/>
          <w:i/>
          <w:color w:val="000000"/>
          <w:lang w:val="en-US"/>
        </w:rPr>
        <w:t>‘</w:t>
      </w:r>
      <w:r w:rsidR="00186A2D" w:rsidRPr="00186A2D">
        <w:rPr>
          <w:rFonts w:eastAsia="MS Mincho" w:cs="Arial"/>
          <w:i/>
          <w:color w:val="000000"/>
          <w:lang w:val="en-US"/>
        </w:rPr>
        <w:t>oh</w:t>
      </w:r>
      <w:r w:rsidR="008E2B48">
        <w:rPr>
          <w:rFonts w:eastAsia="MS Mincho" w:cs="Arial"/>
          <w:i/>
          <w:color w:val="000000"/>
          <w:lang w:val="en-US"/>
        </w:rPr>
        <w:t>,</w:t>
      </w:r>
      <w:r w:rsidR="00186A2D" w:rsidRPr="00186A2D">
        <w:rPr>
          <w:rFonts w:eastAsia="MS Mincho" w:cs="Arial"/>
          <w:i/>
          <w:color w:val="000000"/>
          <w:lang w:val="en-US"/>
        </w:rPr>
        <w:t xml:space="preserve"> she’s disabled</w:t>
      </w:r>
      <w:r w:rsidR="008E2B48">
        <w:rPr>
          <w:rFonts w:eastAsia="MS Mincho" w:cs="Arial"/>
          <w:i/>
          <w:color w:val="000000"/>
          <w:lang w:val="en-US"/>
        </w:rPr>
        <w:t>’</w:t>
      </w:r>
      <w:r w:rsidR="00186A2D" w:rsidRPr="00186A2D">
        <w:rPr>
          <w:rFonts w:eastAsia="MS Mincho" w:cs="Arial"/>
          <w:i/>
          <w:color w:val="000000"/>
          <w:lang w:val="en-US"/>
        </w:rPr>
        <w:t>, but they wouldn’t look at me say I’m disabled. But I have depression.</w:t>
      </w:r>
    </w:p>
    <w:p w14:paraId="0BF3C243" w14:textId="0A45CB62" w:rsidR="00C27456" w:rsidRDefault="009B2057" w:rsidP="00A436BF">
      <w:pPr>
        <w:widowControl w:val="0"/>
        <w:autoSpaceDE w:val="0"/>
        <w:autoSpaceDN w:val="0"/>
        <w:adjustRightInd w:val="0"/>
        <w:spacing w:after="120" w:line="360" w:lineRule="auto"/>
        <w:rPr>
          <w:rFonts w:eastAsia="MS Mincho" w:cs="Arial"/>
          <w:lang w:val="en-US"/>
        </w:rPr>
      </w:pPr>
      <w:r>
        <w:rPr>
          <w:rFonts w:eastAsia="MS Mincho" w:cs="Arial"/>
          <w:color w:val="000000"/>
          <w:lang w:val="en-US"/>
        </w:rPr>
        <w:t xml:space="preserve">For Jacky </w:t>
      </w:r>
      <w:r>
        <w:rPr>
          <w:rFonts w:eastAsia="MS Mincho" w:cs="Arial"/>
          <w:lang w:val="en-US"/>
        </w:rPr>
        <w:t>the</w:t>
      </w:r>
      <w:r w:rsidR="000F2519">
        <w:rPr>
          <w:rFonts w:eastAsia="MS Mincho" w:cs="Arial"/>
          <w:lang w:val="en-US"/>
        </w:rPr>
        <w:t xml:space="preserve"> atmosphere of suspicion </w:t>
      </w:r>
      <w:r w:rsidR="000F2519">
        <w:rPr>
          <w:rFonts w:eastAsia="MS Mincho" w:cs="Arial"/>
          <w:color w:val="000000"/>
          <w:lang w:val="en-US"/>
        </w:rPr>
        <w:t>linked to</w:t>
      </w:r>
      <w:r w:rsidR="000F2519" w:rsidRPr="00186A2D">
        <w:rPr>
          <w:rFonts w:eastAsia="MS Mincho" w:cs="Arial"/>
          <w:color w:val="000000"/>
          <w:lang w:val="en-US"/>
        </w:rPr>
        <w:t xml:space="preserve"> </w:t>
      </w:r>
      <w:r w:rsidR="000F2519">
        <w:rPr>
          <w:rFonts w:eastAsia="MS Mincho" w:cs="Arial"/>
          <w:color w:val="000000"/>
          <w:lang w:val="en-US"/>
        </w:rPr>
        <w:t xml:space="preserve">the promulgation of wider </w:t>
      </w:r>
      <w:r w:rsidR="000F2519" w:rsidRPr="00186A2D">
        <w:rPr>
          <w:rFonts w:eastAsia="MS Mincho" w:cs="Arial"/>
          <w:color w:val="000000"/>
          <w:lang w:val="en-US"/>
        </w:rPr>
        <w:t>deserving</w:t>
      </w:r>
      <w:r w:rsidR="000F2519">
        <w:rPr>
          <w:rFonts w:eastAsia="MS Mincho" w:cs="Arial"/>
          <w:color w:val="000000"/>
          <w:lang w:val="en-US"/>
        </w:rPr>
        <w:t>/undeserving</w:t>
      </w:r>
      <w:r w:rsidR="000F2519" w:rsidRPr="00186A2D">
        <w:rPr>
          <w:rFonts w:eastAsia="MS Mincho" w:cs="Arial"/>
          <w:color w:val="000000"/>
          <w:lang w:val="en-US"/>
        </w:rPr>
        <w:t xml:space="preserve"> </w:t>
      </w:r>
      <w:r>
        <w:rPr>
          <w:rFonts w:eastAsia="MS Mincho" w:cs="Arial"/>
          <w:color w:val="000000"/>
          <w:lang w:val="en-US"/>
        </w:rPr>
        <w:t>welfare discourses, in</w:t>
      </w:r>
      <w:r w:rsidR="000F2519">
        <w:rPr>
          <w:rFonts w:eastAsia="MS Mincho" w:cs="Arial"/>
          <w:color w:val="000000"/>
          <w:lang w:val="en-US"/>
        </w:rPr>
        <w:t xml:space="preserve"> </w:t>
      </w:r>
      <w:r>
        <w:rPr>
          <w:rFonts w:eastAsia="MS Mincho" w:cs="Arial"/>
          <w:color w:val="000000"/>
          <w:lang w:val="en-US"/>
        </w:rPr>
        <w:t>combination with</w:t>
      </w:r>
      <w:r>
        <w:rPr>
          <w:rFonts w:eastAsia="MS Mincho" w:cs="Arial"/>
          <w:lang w:val="en-US"/>
        </w:rPr>
        <w:t xml:space="preserve"> </w:t>
      </w:r>
      <w:r w:rsidR="000F2519">
        <w:rPr>
          <w:rFonts w:eastAsia="MS Mincho" w:cs="Arial"/>
          <w:lang w:val="en-US"/>
        </w:rPr>
        <w:t>the absence of the kind of visible or biological markers that might legitimate lived experiences</w:t>
      </w:r>
      <w:r>
        <w:rPr>
          <w:rFonts w:eastAsia="MS Mincho" w:cs="Arial"/>
          <w:lang w:val="en-US"/>
        </w:rPr>
        <w:t xml:space="preserve"> of mental distress</w:t>
      </w:r>
      <w:r w:rsidR="000F2519">
        <w:rPr>
          <w:rFonts w:eastAsia="MS Mincho" w:cs="Arial"/>
          <w:lang w:val="en-US"/>
        </w:rPr>
        <w:t xml:space="preserve"> in the public arena</w:t>
      </w:r>
      <w:r>
        <w:rPr>
          <w:rFonts w:eastAsia="MS Mincho" w:cs="Arial"/>
          <w:lang w:val="en-US"/>
        </w:rPr>
        <w:t>,</w:t>
      </w:r>
      <w:r w:rsidR="000F2519">
        <w:rPr>
          <w:rFonts w:eastAsia="MS Mincho" w:cs="Arial"/>
          <w:lang w:val="en-US"/>
        </w:rPr>
        <w:t xml:space="preserve"> </w:t>
      </w:r>
      <w:r>
        <w:rPr>
          <w:rFonts w:eastAsia="MS Mincho" w:cs="Arial"/>
          <w:lang w:val="en-US"/>
        </w:rPr>
        <w:t>generates significant anxieties</w:t>
      </w:r>
      <w:r w:rsidR="009C5E5E">
        <w:rPr>
          <w:rFonts w:eastAsia="MS Mincho" w:cs="Arial"/>
          <w:lang w:val="en-US"/>
        </w:rPr>
        <w:t xml:space="preserve"> </w:t>
      </w:r>
      <w:r>
        <w:rPr>
          <w:rFonts w:eastAsia="MS Mincho" w:cs="Arial"/>
          <w:lang w:val="en-US"/>
        </w:rPr>
        <w:t xml:space="preserve">linked to the potential for </w:t>
      </w:r>
      <w:r w:rsidR="000F2519" w:rsidRPr="00186A2D">
        <w:rPr>
          <w:rFonts w:eastAsia="MS Mincho" w:cs="Arial"/>
          <w:color w:val="000000"/>
          <w:lang w:val="en-US"/>
        </w:rPr>
        <w:t xml:space="preserve">public disapprobation </w:t>
      </w:r>
      <w:r w:rsidR="000F2519">
        <w:rPr>
          <w:rFonts w:eastAsia="MS Mincho" w:cs="Arial"/>
          <w:color w:val="000000"/>
          <w:lang w:val="en-US"/>
        </w:rPr>
        <w:t xml:space="preserve">and </w:t>
      </w:r>
      <w:r w:rsidR="009C5E5E">
        <w:rPr>
          <w:rFonts w:eastAsia="MS Mincho" w:cs="Arial"/>
          <w:lang w:val="en-US"/>
        </w:rPr>
        <w:t xml:space="preserve">stigmatization </w:t>
      </w:r>
      <w:r w:rsidR="009C5E5E" w:rsidRPr="00186A2D">
        <w:rPr>
          <w:rFonts w:eastAsia="MS Mincho" w:cs="Arial"/>
          <w:color w:val="000000"/>
          <w:lang w:val="en-US"/>
        </w:rPr>
        <w:t>(</w:t>
      </w:r>
      <w:proofErr w:type="spellStart"/>
      <w:r w:rsidR="009C5E5E" w:rsidRPr="00186A2D">
        <w:rPr>
          <w:rFonts w:eastAsia="MS Mincho" w:cs="Arial"/>
          <w:color w:val="000000"/>
          <w:lang w:val="en-US"/>
        </w:rPr>
        <w:t>Bonnington</w:t>
      </w:r>
      <w:proofErr w:type="spellEnd"/>
      <w:r w:rsidR="009C5E5E" w:rsidRPr="00186A2D">
        <w:rPr>
          <w:rFonts w:eastAsia="MS Mincho" w:cs="Arial"/>
          <w:color w:val="000000"/>
          <w:lang w:val="en-US"/>
        </w:rPr>
        <w:t xml:space="preserve"> and Rose, 201</w:t>
      </w:r>
      <w:r w:rsidR="009C5E5E">
        <w:rPr>
          <w:rFonts w:eastAsia="MS Mincho" w:cs="Arial"/>
          <w:color w:val="000000"/>
          <w:lang w:val="en-US"/>
        </w:rPr>
        <w:t>4</w:t>
      </w:r>
      <w:r w:rsidR="009C5E5E" w:rsidRPr="00186A2D">
        <w:rPr>
          <w:rFonts w:eastAsia="MS Mincho" w:cs="Arial"/>
          <w:color w:val="000000"/>
          <w:lang w:val="en-US"/>
        </w:rPr>
        <w:t>; Perry, 2010)</w:t>
      </w:r>
      <w:r w:rsidR="009C5E5E">
        <w:rPr>
          <w:rFonts w:eastAsia="MS Mincho" w:cs="Arial"/>
          <w:color w:val="000000"/>
          <w:lang w:val="en-US"/>
        </w:rPr>
        <w:t>.</w:t>
      </w:r>
      <w:r w:rsidR="009C5E5E">
        <w:rPr>
          <w:rFonts w:eastAsia="MS Mincho" w:cs="Arial"/>
          <w:lang w:val="en-US"/>
        </w:rPr>
        <w:t xml:space="preserve"> </w:t>
      </w:r>
    </w:p>
    <w:p w14:paraId="10C58456" w14:textId="7C67A14E" w:rsidR="008E2B48" w:rsidRDefault="008E2B48" w:rsidP="001239DA">
      <w:pPr>
        <w:widowControl w:val="0"/>
        <w:autoSpaceDE w:val="0"/>
        <w:autoSpaceDN w:val="0"/>
        <w:adjustRightInd w:val="0"/>
        <w:spacing w:after="120" w:line="360" w:lineRule="auto"/>
        <w:rPr>
          <w:rFonts w:eastAsia="MS Mincho" w:cs="Arial"/>
          <w:lang w:val="en-US"/>
        </w:rPr>
      </w:pPr>
      <w:r>
        <w:rPr>
          <w:rFonts w:eastAsia="MS Mincho" w:cs="Arial"/>
          <w:lang w:val="en-US"/>
        </w:rPr>
        <w:t>S</w:t>
      </w:r>
      <w:r w:rsidR="009B2057">
        <w:rPr>
          <w:rFonts w:eastAsia="MS Mincho" w:cs="Arial"/>
          <w:lang w:val="en-US"/>
        </w:rPr>
        <w:t xml:space="preserve">uch </w:t>
      </w:r>
      <w:r w:rsidR="00C27456">
        <w:rPr>
          <w:rFonts w:eastAsia="MS Mincho" w:cs="Arial"/>
          <w:lang w:val="en-US"/>
        </w:rPr>
        <w:t xml:space="preserve">feelings of insecurity </w:t>
      </w:r>
      <w:r w:rsidR="009B2057">
        <w:rPr>
          <w:rFonts w:eastAsia="MS Mincho" w:cs="Arial"/>
          <w:lang w:val="en-US"/>
        </w:rPr>
        <w:t xml:space="preserve">articulated </w:t>
      </w:r>
      <w:r w:rsidR="00C27456">
        <w:rPr>
          <w:rFonts w:eastAsia="MS Mincho" w:cs="Arial"/>
          <w:lang w:val="en-US"/>
        </w:rPr>
        <w:t xml:space="preserve">in relation to everyday </w:t>
      </w:r>
      <w:r w:rsidR="009B2057">
        <w:rPr>
          <w:rFonts w:eastAsia="MS Mincho" w:cs="Arial"/>
          <w:lang w:val="en-US"/>
        </w:rPr>
        <w:t xml:space="preserve">interpersonal </w:t>
      </w:r>
      <w:r w:rsidR="00C27456">
        <w:rPr>
          <w:rFonts w:eastAsia="MS Mincho" w:cs="Arial"/>
          <w:lang w:val="en-US"/>
        </w:rPr>
        <w:t xml:space="preserve">interactions were </w:t>
      </w:r>
      <w:r w:rsidR="009B2057">
        <w:rPr>
          <w:rFonts w:eastAsia="MS Mincho" w:cs="Arial"/>
          <w:lang w:val="en-US"/>
        </w:rPr>
        <w:t xml:space="preserve">significantly intensified </w:t>
      </w:r>
      <w:r w:rsidR="00A436BF">
        <w:rPr>
          <w:rFonts w:eastAsia="MS Mincho" w:cs="Arial"/>
          <w:lang w:val="en-US"/>
        </w:rPr>
        <w:t xml:space="preserve">in </w:t>
      </w:r>
      <w:r w:rsidR="009B2057">
        <w:rPr>
          <w:rFonts w:eastAsia="MS Mincho" w:cs="Arial"/>
          <w:lang w:val="en-US"/>
        </w:rPr>
        <w:t xml:space="preserve">the context of </w:t>
      </w:r>
      <w:r w:rsidR="00681608">
        <w:rPr>
          <w:rFonts w:eastAsia="MS Mincho" w:cs="Arial"/>
          <w:lang w:val="en-US"/>
        </w:rPr>
        <w:t>interactions with state agencies</w:t>
      </w:r>
      <w:r w:rsidR="00C27456">
        <w:rPr>
          <w:rFonts w:eastAsia="MS Mincho" w:cs="Arial"/>
          <w:lang w:val="en-US"/>
        </w:rPr>
        <w:t xml:space="preserve">. </w:t>
      </w:r>
      <w:r w:rsidR="00E318C8">
        <w:rPr>
          <w:rFonts w:eastAsia="MS Mincho" w:cs="Arial"/>
          <w:lang w:val="en-US"/>
        </w:rPr>
        <w:t xml:space="preserve">Our </w:t>
      </w:r>
      <w:r w:rsidR="00E318C8" w:rsidRPr="00186A2D">
        <w:rPr>
          <w:rFonts w:eastAsia="MS Mincho" w:cs="Arial"/>
          <w:lang w:val="en-US"/>
        </w:rPr>
        <w:t>participants</w:t>
      </w:r>
      <w:r w:rsidR="00E318C8">
        <w:rPr>
          <w:rFonts w:eastAsia="MS Mincho" w:cs="Arial"/>
          <w:lang w:val="en-US"/>
        </w:rPr>
        <w:t xml:space="preserve"> described </w:t>
      </w:r>
      <w:r w:rsidR="00A97C9B">
        <w:rPr>
          <w:rFonts w:eastAsia="MS Mincho" w:cs="Arial"/>
          <w:lang w:val="en-US"/>
        </w:rPr>
        <w:t>that</w:t>
      </w:r>
      <w:r w:rsidR="00E318C8">
        <w:rPr>
          <w:rFonts w:eastAsia="MS Mincho" w:cs="Arial"/>
          <w:lang w:val="en-US"/>
        </w:rPr>
        <w:t xml:space="preserve"> the validity and legitimacy of </w:t>
      </w:r>
      <w:r w:rsidR="00E318C8">
        <w:rPr>
          <w:rFonts w:eastAsia="MS Mincho" w:cs="Arial" w:hint="eastAsia"/>
          <w:lang w:val="en-US"/>
        </w:rPr>
        <w:t>their lived experiences of</w:t>
      </w:r>
      <w:r w:rsidR="00E318C8">
        <w:rPr>
          <w:rFonts w:eastAsia="MS Mincho" w:cs="Arial"/>
          <w:lang w:val="en-US"/>
        </w:rPr>
        <w:t xml:space="preserve"> </w:t>
      </w:r>
      <w:r w:rsidR="00E318C8" w:rsidRPr="00186A2D">
        <w:rPr>
          <w:rFonts w:eastAsia="MS Mincho" w:cs="Arial"/>
          <w:lang w:val="en-US"/>
        </w:rPr>
        <w:t xml:space="preserve">emotional and psychological distress </w:t>
      </w:r>
      <w:r w:rsidR="00E318C8">
        <w:rPr>
          <w:rFonts w:eastAsia="MS Mincho" w:cs="Arial"/>
          <w:lang w:val="en-US"/>
        </w:rPr>
        <w:t xml:space="preserve">were directly challenged by the </w:t>
      </w:r>
      <w:proofErr w:type="spellStart"/>
      <w:r w:rsidR="00E318C8">
        <w:rPr>
          <w:rFonts w:eastAsia="MS Mincho" w:cs="Arial"/>
          <w:lang w:val="en-US"/>
        </w:rPr>
        <w:t>organisational</w:t>
      </w:r>
      <w:proofErr w:type="spellEnd"/>
      <w:r w:rsidR="00E318C8">
        <w:rPr>
          <w:rFonts w:eastAsia="MS Mincho" w:cs="Arial"/>
          <w:lang w:val="en-US"/>
        </w:rPr>
        <w:t xml:space="preserve"> and professional processes and procedures encountered in a v</w:t>
      </w:r>
      <w:r w:rsidR="00C27456">
        <w:rPr>
          <w:rFonts w:eastAsia="MS Mincho" w:cs="Arial"/>
          <w:lang w:val="en-US"/>
        </w:rPr>
        <w:t>ari</w:t>
      </w:r>
      <w:r w:rsidR="00E318C8">
        <w:rPr>
          <w:rFonts w:eastAsia="MS Mincho" w:cs="Arial"/>
          <w:lang w:val="en-US"/>
        </w:rPr>
        <w:t>ety of</w:t>
      </w:r>
      <w:r w:rsidR="00C27456">
        <w:rPr>
          <w:rFonts w:eastAsia="MS Mincho" w:cs="Arial"/>
          <w:lang w:val="en-US"/>
        </w:rPr>
        <w:t xml:space="preserve"> health, social care and welfare </w:t>
      </w:r>
      <w:r w:rsidR="009B2057">
        <w:rPr>
          <w:rFonts w:eastAsia="MS Mincho" w:cs="Arial"/>
          <w:lang w:val="en-US"/>
        </w:rPr>
        <w:t>institution</w:t>
      </w:r>
      <w:r w:rsidR="006A5B51">
        <w:rPr>
          <w:rFonts w:eastAsia="MS Mincho" w:cs="Arial"/>
          <w:lang w:val="en-US"/>
        </w:rPr>
        <w:t>al settings</w:t>
      </w:r>
      <w:r w:rsidR="00186A2D" w:rsidRPr="00186A2D">
        <w:rPr>
          <w:rFonts w:eastAsia="MS Mincho" w:cs="Arial"/>
          <w:lang w:val="en-US"/>
        </w:rPr>
        <w:t xml:space="preserve">. </w:t>
      </w:r>
      <w:r w:rsidR="00E318C8">
        <w:rPr>
          <w:rFonts w:eastAsia="MS Mincho" w:cs="Arial"/>
          <w:lang w:val="en-US"/>
        </w:rPr>
        <w:t xml:space="preserve">Foremost among these was the benefits system. </w:t>
      </w:r>
      <w:r w:rsidR="000D22A1" w:rsidRPr="000D22A1">
        <w:rPr>
          <w:rFonts w:eastAsia="MS Mincho" w:cs="Arial"/>
          <w:lang w:val="en-US"/>
        </w:rPr>
        <w:t>The current phase of welfare reform began in 2008 with the introduction of Employment and Support Allowance (ESA), an out-of-work benefit for people experiencing illness or incapacity. The government’s objective when introducing ESA was to facilitate the transfer of a proportion of the 2.5 million claimants of its forerunner, Incapacity Benefit (IB), into paid employment. In line with this neoliberal activation focus, ESA’s introduction was therefore accompanied by stricter conditionality in the form of the Work Capability Assessment (WCA) and sanctioning for non-compliance amongst other measures. Following a WCA, claimants are effectively sorted into two different categories, the Work Related Activity Group (WRAG), which has greater associated requirements for claimants to engage in work-related activities and accrues a lower level of financial support, and the Support Group for those assessed as having higher levels of impairment or illness (Grover and Piggott, 2010).</w:t>
      </w:r>
      <w:r w:rsidR="00E318C8">
        <w:rPr>
          <w:rFonts w:eastAsia="MS Mincho" w:cs="Arial"/>
          <w:lang w:val="en-US"/>
        </w:rPr>
        <w:t xml:space="preserve"> </w:t>
      </w:r>
    </w:p>
    <w:p w14:paraId="3882CF0D" w14:textId="77777777" w:rsidR="008E2B48" w:rsidRDefault="008E2B48" w:rsidP="001239DA">
      <w:pPr>
        <w:widowControl w:val="0"/>
        <w:autoSpaceDE w:val="0"/>
        <w:autoSpaceDN w:val="0"/>
        <w:adjustRightInd w:val="0"/>
        <w:spacing w:after="120" w:line="360" w:lineRule="auto"/>
        <w:rPr>
          <w:rFonts w:eastAsia="MS Mincho" w:cs="Arial"/>
          <w:lang w:val="en-US"/>
        </w:rPr>
      </w:pPr>
    </w:p>
    <w:p w14:paraId="71146CF0" w14:textId="683ADDEB" w:rsidR="007A6887" w:rsidRDefault="00B35290" w:rsidP="00627610">
      <w:pPr>
        <w:widowControl w:val="0"/>
        <w:autoSpaceDE w:val="0"/>
        <w:autoSpaceDN w:val="0"/>
        <w:adjustRightInd w:val="0"/>
        <w:spacing w:after="120" w:line="360" w:lineRule="auto"/>
        <w:rPr>
          <w:rFonts w:eastAsia="MS Mincho" w:cs="Arial"/>
          <w:lang w:val="en-US"/>
        </w:rPr>
      </w:pPr>
      <w:r w:rsidRPr="00EB23E6">
        <w:rPr>
          <w:rFonts w:eastAsia="MS Mincho" w:cs="Arial"/>
          <w:lang w:val="en-US"/>
        </w:rPr>
        <w:lastRenderedPageBreak/>
        <w:t>Between 2008 and 2018</w:t>
      </w:r>
      <w:r w:rsidR="00F06E50" w:rsidRPr="00EB23E6">
        <w:rPr>
          <w:rFonts w:eastAsia="MS Mincho" w:cs="Arial"/>
          <w:lang w:val="en-US"/>
        </w:rPr>
        <w:t xml:space="preserve">, </w:t>
      </w:r>
      <w:r w:rsidRPr="00EB23E6">
        <w:rPr>
          <w:rFonts w:eastAsia="MS Mincho" w:cs="Arial"/>
          <w:lang w:val="en-US"/>
        </w:rPr>
        <w:t>there were 3,921,100</w:t>
      </w:r>
      <w:r w:rsidR="00F06E50" w:rsidRPr="00EB23E6">
        <w:rPr>
          <w:rFonts w:eastAsia="MS Mincho" w:cs="Arial"/>
          <w:lang w:val="en-US"/>
        </w:rPr>
        <w:t xml:space="preserve"> WCAs</w:t>
      </w:r>
      <w:r w:rsidRPr="00EB23E6">
        <w:rPr>
          <w:rFonts w:eastAsia="MS Mincho" w:cs="Arial"/>
          <w:lang w:val="en-US"/>
        </w:rPr>
        <w:t xml:space="preserve"> of new applicants and a further 2,901,400 making a total of 6,822,500 assessments (</w:t>
      </w:r>
      <w:r w:rsidR="0037360A" w:rsidRPr="00EB23E6">
        <w:rPr>
          <w:rFonts w:eastAsia="MS Mincho" w:cs="Arial"/>
          <w:lang w:val="en-US"/>
        </w:rPr>
        <w:t>Kennedy et al., 2019: 10)</w:t>
      </w:r>
      <w:r w:rsidR="008E2B48" w:rsidRPr="00EB23E6">
        <w:rPr>
          <w:rFonts w:eastAsia="MS Mincho" w:cs="Arial"/>
          <w:lang w:val="en-US"/>
        </w:rPr>
        <w:t xml:space="preserve">.  </w:t>
      </w:r>
      <w:r w:rsidRPr="00EB23E6">
        <w:rPr>
          <w:rFonts w:eastAsia="MS Mincho" w:cs="Arial"/>
          <w:lang w:val="en-US"/>
        </w:rPr>
        <w:t>Between 2013 and 2019, 26%</w:t>
      </w:r>
      <w:r w:rsidR="00F06E50" w:rsidRPr="00EB23E6">
        <w:rPr>
          <w:rFonts w:eastAsia="MS Mincho" w:cs="Arial"/>
          <w:lang w:val="en-US"/>
        </w:rPr>
        <w:t xml:space="preserve"> of cases result</w:t>
      </w:r>
      <w:r w:rsidR="001239DA" w:rsidRPr="00EB23E6">
        <w:rPr>
          <w:rFonts w:eastAsia="MS Mincho" w:cs="Arial"/>
          <w:lang w:val="en-US"/>
        </w:rPr>
        <w:t>ed</w:t>
      </w:r>
      <w:r w:rsidR="00F06E50" w:rsidRPr="00EB23E6">
        <w:rPr>
          <w:rFonts w:eastAsia="MS Mincho" w:cs="Arial"/>
          <w:lang w:val="en-US"/>
        </w:rPr>
        <w:t xml:space="preserve"> in a ‘fit for work’ outcome and 17% being placed in WRAGs (DWP, 2019</w:t>
      </w:r>
      <w:r w:rsidR="00E5117D" w:rsidRPr="00EB23E6">
        <w:rPr>
          <w:rFonts w:eastAsia="MS Mincho" w:cs="Arial"/>
          <w:lang w:val="en-US"/>
        </w:rPr>
        <w:t>a</w:t>
      </w:r>
      <w:r w:rsidR="004A2AB7" w:rsidRPr="00EB23E6">
        <w:rPr>
          <w:rFonts w:eastAsia="MS Mincho" w:cs="Arial"/>
          <w:lang w:val="en-US"/>
        </w:rPr>
        <w:t>: 3-6</w:t>
      </w:r>
      <w:r w:rsidR="00F06E50" w:rsidRPr="00EB23E6">
        <w:rPr>
          <w:rFonts w:eastAsia="MS Mincho" w:cs="Arial"/>
          <w:lang w:val="en-US"/>
        </w:rPr>
        <w:t>)</w:t>
      </w:r>
      <w:r w:rsidR="004A2AB7" w:rsidRPr="00EB23E6">
        <w:rPr>
          <w:rFonts w:eastAsia="MS Mincho" w:cs="Arial"/>
          <w:lang w:val="en-US"/>
        </w:rPr>
        <w:t>.  The shift to ESA</w:t>
      </w:r>
      <w:r w:rsidR="00E8369B" w:rsidRPr="00EB23E6">
        <w:rPr>
          <w:rFonts w:eastAsia="MS Mincho" w:cs="Arial"/>
          <w:lang w:val="en-US"/>
        </w:rPr>
        <w:t xml:space="preserve"> represents</w:t>
      </w:r>
      <w:r w:rsidR="004A2AB7" w:rsidRPr="00EB23E6">
        <w:rPr>
          <w:rFonts w:eastAsia="MS Mincho" w:cs="Arial"/>
          <w:lang w:val="en-US"/>
        </w:rPr>
        <w:t xml:space="preserve"> </w:t>
      </w:r>
      <w:r w:rsidR="00E8369B" w:rsidRPr="00EB23E6">
        <w:rPr>
          <w:rFonts w:eastAsia="MS Mincho" w:cs="Arial"/>
          <w:lang w:val="en-US"/>
        </w:rPr>
        <w:t xml:space="preserve">a significant reformulation of the principles determining access to welfare </w:t>
      </w:r>
      <w:r w:rsidR="004A2AB7" w:rsidRPr="00EB23E6">
        <w:rPr>
          <w:rFonts w:eastAsia="MS Mincho" w:cs="Arial"/>
          <w:lang w:val="en-US"/>
        </w:rPr>
        <w:t>for long-term sick and disabled people</w:t>
      </w:r>
      <w:r w:rsidR="00961154" w:rsidRPr="00EB23E6">
        <w:rPr>
          <w:rFonts w:eastAsia="MS Mincho" w:cs="Arial"/>
          <w:lang w:val="en-US"/>
        </w:rPr>
        <w:t>.   The WCA is the primary policy instrument for</w:t>
      </w:r>
      <w:r w:rsidR="00E5117D" w:rsidRPr="00EB23E6">
        <w:rPr>
          <w:rFonts w:eastAsia="MS Mincho" w:cs="Arial"/>
          <w:lang w:val="en-US"/>
        </w:rPr>
        <w:t xml:space="preserve"> realizing this narrowing of </w:t>
      </w:r>
      <w:r w:rsidR="00961154" w:rsidRPr="00EB23E6">
        <w:rPr>
          <w:rFonts w:eastAsia="MS Mincho" w:cs="Arial"/>
          <w:lang w:val="en-US"/>
        </w:rPr>
        <w:t>the disability category</w:t>
      </w:r>
      <w:r w:rsidR="004A2AB7" w:rsidRPr="00EB23E6">
        <w:rPr>
          <w:rFonts w:eastAsia="MS Mincho" w:cs="Arial"/>
          <w:lang w:val="en-US"/>
        </w:rPr>
        <w:t>.</w:t>
      </w:r>
      <w:r w:rsidR="004A2AB7">
        <w:rPr>
          <w:rFonts w:eastAsia="MS Mincho" w:cs="Arial"/>
          <w:lang w:val="en-US"/>
        </w:rPr>
        <w:t xml:space="preserve"> </w:t>
      </w:r>
      <w:r w:rsidR="001239DA">
        <w:rPr>
          <w:rFonts w:eastAsia="MS Mincho" w:cs="Arial"/>
          <w:lang w:val="en-US"/>
        </w:rPr>
        <w:t>Critical</w:t>
      </w:r>
      <w:r w:rsidR="00E8369B">
        <w:rPr>
          <w:rFonts w:eastAsia="MS Mincho" w:cs="Arial"/>
          <w:lang w:val="en-US"/>
        </w:rPr>
        <w:t xml:space="preserve">ly, the WCA is an assessment </w:t>
      </w:r>
      <w:r w:rsidR="0037360A">
        <w:rPr>
          <w:rFonts w:eastAsia="MS Mincho" w:cs="Arial"/>
          <w:lang w:val="en-US"/>
        </w:rPr>
        <w:t xml:space="preserve">of </w:t>
      </w:r>
      <w:r w:rsidR="00E5117D">
        <w:rPr>
          <w:rFonts w:eastAsia="MS Mincho" w:cs="Arial"/>
          <w:lang w:val="en-US"/>
        </w:rPr>
        <w:t>whether an individual has ‘</w:t>
      </w:r>
      <w:r w:rsidR="00E5117D" w:rsidRPr="00E5117D">
        <w:rPr>
          <w:rFonts w:eastAsia="MS Mincho" w:cs="Arial"/>
          <w:lang w:val="en-US"/>
        </w:rPr>
        <w:t>limited capability for work’</w:t>
      </w:r>
      <w:r w:rsidR="00E5117D">
        <w:rPr>
          <w:rFonts w:eastAsia="MS Mincho" w:cs="Arial"/>
          <w:lang w:val="en-US"/>
        </w:rPr>
        <w:t xml:space="preserve"> (DWP, 2019b).  Generally, the policy </w:t>
      </w:r>
      <w:r w:rsidR="001239DA">
        <w:rPr>
          <w:rFonts w:eastAsia="MS Mincho" w:cs="Arial"/>
          <w:lang w:val="en-US"/>
        </w:rPr>
        <w:t xml:space="preserve">disregards </w:t>
      </w:r>
      <w:r w:rsidR="00E5117D">
        <w:rPr>
          <w:rFonts w:eastAsia="MS Mincho" w:cs="Arial"/>
          <w:lang w:val="en-US"/>
        </w:rPr>
        <w:t xml:space="preserve">evidence of </w:t>
      </w:r>
      <w:r w:rsidR="001239DA">
        <w:rPr>
          <w:rFonts w:eastAsia="MS Mincho" w:cs="Arial"/>
          <w:lang w:val="en-US"/>
        </w:rPr>
        <w:t xml:space="preserve">established medical conditions </w:t>
      </w:r>
      <w:r w:rsidR="00E5117D">
        <w:rPr>
          <w:rFonts w:eastAsia="MS Mincho" w:cs="Arial"/>
          <w:lang w:val="en-US"/>
        </w:rPr>
        <w:t>such as</w:t>
      </w:r>
      <w:r w:rsidR="001239DA">
        <w:rPr>
          <w:rFonts w:eastAsia="MS Mincho" w:cs="Arial"/>
          <w:lang w:val="en-US"/>
        </w:rPr>
        <w:t xml:space="preserve"> testimonies from medical professionals.  Rather it seeks to assess </w:t>
      </w:r>
      <w:r w:rsidR="00A97C9B">
        <w:rPr>
          <w:rFonts w:eastAsia="MS Mincho" w:cs="Arial"/>
          <w:lang w:val="en-US"/>
        </w:rPr>
        <w:t>whether</w:t>
      </w:r>
      <w:r w:rsidR="001239DA">
        <w:rPr>
          <w:rFonts w:eastAsia="MS Mincho" w:cs="Arial"/>
          <w:lang w:val="en-US"/>
        </w:rPr>
        <w:t xml:space="preserve"> any condition</w:t>
      </w:r>
      <w:r w:rsidR="001239DA" w:rsidRPr="001239DA">
        <w:rPr>
          <w:rFonts w:eastAsia="MS Mincho" w:cs="Arial"/>
          <w:lang w:val="en-US"/>
        </w:rPr>
        <w:t xml:space="preserve"> </w:t>
      </w:r>
      <w:r w:rsidR="001239DA">
        <w:rPr>
          <w:rFonts w:eastAsia="MS Mincho" w:cs="Arial"/>
          <w:lang w:val="en-US"/>
        </w:rPr>
        <w:t>‘</w:t>
      </w:r>
      <w:r w:rsidR="001239DA" w:rsidRPr="001239DA">
        <w:rPr>
          <w:rFonts w:eastAsia="MS Mincho" w:cs="Arial"/>
          <w:lang w:val="en-US"/>
        </w:rPr>
        <w:t>aff</w:t>
      </w:r>
      <w:r w:rsidR="001239DA">
        <w:rPr>
          <w:rFonts w:eastAsia="MS Mincho" w:cs="Arial"/>
          <w:lang w:val="en-US"/>
        </w:rPr>
        <w:t xml:space="preserve">ects their [the </w:t>
      </w:r>
      <w:proofErr w:type="spellStart"/>
      <w:r w:rsidR="001239DA">
        <w:rPr>
          <w:rFonts w:eastAsia="MS Mincho" w:cs="Arial"/>
          <w:lang w:val="en-US"/>
        </w:rPr>
        <w:t>claiment’s</w:t>
      </w:r>
      <w:proofErr w:type="spellEnd"/>
      <w:r w:rsidR="001239DA">
        <w:rPr>
          <w:rFonts w:eastAsia="MS Mincho" w:cs="Arial"/>
          <w:lang w:val="en-US"/>
        </w:rPr>
        <w:t xml:space="preserve">] ability to undertake </w:t>
      </w:r>
      <w:r w:rsidR="001239DA" w:rsidRPr="001239DA">
        <w:rPr>
          <w:rFonts w:eastAsia="MS Mincho" w:cs="Arial"/>
          <w:lang w:val="en-US"/>
        </w:rPr>
        <w:t xml:space="preserve">a range of activities related to </w:t>
      </w:r>
      <w:r w:rsidR="001239DA">
        <w:rPr>
          <w:rFonts w:eastAsia="MS Mincho" w:cs="Arial"/>
          <w:lang w:val="en-US"/>
        </w:rPr>
        <w:t xml:space="preserve">physical, mental, cognitive and </w:t>
      </w:r>
      <w:r w:rsidR="001239DA" w:rsidRPr="001239DA">
        <w:rPr>
          <w:rFonts w:eastAsia="MS Mincho" w:cs="Arial"/>
          <w:lang w:val="en-US"/>
        </w:rPr>
        <w:t>intellectual functions</w:t>
      </w:r>
      <w:r w:rsidR="001239DA">
        <w:rPr>
          <w:rFonts w:eastAsia="MS Mincho" w:cs="Arial"/>
          <w:lang w:val="en-US"/>
        </w:rPr>
        <w:t>’ (</w:t>
      </w:r>
      <w:r w:rsidR="00E5117D">
        <w:rPr>
          <w:rFonts w:eastAsia="MS Mincho" w:cs="Arial"/>
          <w:lang w:val="en-US"/>
        </w:rPr>
        <w:t>Kennedy et al.</w:t>
      </w:r>
      <w:r w:rsidR="001239DA">
        <w:rPr>
          <w:rFonts w:eastAsia="MS Mincho" w:cs="Arial"/>
          <w:lang w:val="en-US"/>
        </w:rPr>
        <w:t xml:space="preserve">, </w:t>
      </w:r>
      <w:r w:rsidR="00E5117D">
        <w:rPr>
          <w:rFonts w:eastAsia="MS Mincho" w:cs="Arial"/>
          <w:lang w:val="en-US"/>
        </w:rPr>
        <w:t xml:space="preserve">2019: </w:t>
      </w:r>
      <w:r w:rsidR="001239DA">
        <w:rPr>
          <w:rFonts w:eastAsia="MS Mincho" w:cs="Arial"/>
          <w:lang w:val="en-US"/>
        </w:rPr>
        <w:t>5).</w:t>
      </w:r>
      <w:r w:rsidR="0037360A">
        <w:rPr>
          <w:rFonts w:eastAsia="MS Mincho" w:cs="Arial"/>
          <w:lang w:val="en-US"/>
        </w:rPr>
        <w:t xml:space="preserve">  </w:t>
      </w:r>
      <w:r w:rsidR="00E5117D">
        <w:rPr>
          <w:rFonts w:eastAsia="MS Mincho" w:cs="Arial"/>
          <w:lang w:val="en-US"/>
        </w:rPr>
        <w:t>Between 2008 and 2018, t</w:t>
      </w:r>
      <w:r w:rsidR="001239DA">
        <w:rPr>
          <w:rFonts w:eastAsia="MS Mincho" w:cs="Arial"/>
          <w:lang w:val="en-US"/>
        </w:rPr>
        <w:t xml:space="preserve">he </w:t>
      </w:r>
      <w:r w:rsidR="00E5117D">
        <w:rPr>
          <w:rFonts w:eastAsia="MS Mincho" w:cs="Arial"/>
          <w:lang w:val="en-US"/>
        </w:rPr>
        <w:t>‘</w:t>
      </w:r>
      <w:r w:rsidR="001239DA">
        <w:rPr>
          <w:rFonts w:eastAsia="MS Mincho" w:cs="Arial"/>
          <w:lang w:val="en-US"/>
        </w:rPr>
        <w:t>fit for work rate</w:t>
      </w:r>
      <w:r w:rsidR="00E5117D">
        <w:rPr>
          <w:rFonts w:eastAsia="MS Mincho" w:cs="Arial"/>
          <w:lang w:val="en-US"/>
        </w:rPr>
        <w:t>’</w:t>
      </w:r>
      <w:r w:rsidR="001239DA">
        <w:rPr>
          <w:rFonts w:eastAsia="MS Mincho" w:cs="Arial"/>
          <w:lang w:val="en-US"/>
        </w:rPr>
        <w:t xml:space="preserve"> in the initial assessment from those with ‘mental and </w:t>
      </w:r>
      <w:proofErr w:type="spellStart"/>
      <w:r w:rsidR="001239DA">
        <w:rPr>
          <w:rFonts w:eastAsia="MS Mincho" w:cs="Arial"/>
          <w:lang w:val="en-US"/>
        </w:rPr>
        <w:t>behavioural</w:t>
      </w:r>
      <w:proofErr w:type="spellEnd"/>
      <w:r w:rsidR="001239DA">
        <w:rPr>
          <w:rFonts w:eastAsia="MS Mincho" w:cs="Arial"/>
          <w:lang w:val="en-US"/>
        </w:rPr>
        <w:t xml:space="preserve"> disorders’ was 40% (</w:t>
      </w:r>
      <w:r w:rsidR="003E6F4F">
        <w:rPr>
          <w:rFonts w:eastAsia="MS Mincho" w:cs="Arial"/>
          <w:lang w:val="en-US"/>
        </w:rPr>
        <w:t>Kennedy et al., 2019</w:t>
      </w:r>
      <w:r w:rsidR="00E5117D">
        <w:rPr>
          <w:rFonts w:eastAsia="MS Mincho" w:cs="Arial"/>
          <w:lang w:val="en-US"/>
        </w:rPr>
        <w:t>:</w:t>
      </w:r>
      <w:r w:rsidR="003E6F4F">
        <w:rPr>
          <w:rFonts w:eastAsia="MS Mincho" w:cs="Arial"/>
          <w:lang w:val="en-US"/>
        </w:rPr>
        <w:t xml:space="preserve"> </w:t>
      </w:r>
      <w:r w:rsidR="0037360A">
        <w:rPr>
          <w:rFonts w:eastAsia="MS Mincho" w:cs="Arial"/>
          <w:lang w:val="en-US"/>
        </w:rPr>
        <w:t>11</w:t>
      </w:r>
      <w:r w:rsidR="001239DA">
        <w:rPr>
          <w:rFonts w:eastAsia="MS Mincho" w:cs="Arial"/>
          <w:lang w:val="en-US"/>
        </w:rPr>
        <w:t xml:space="preserve">).  </w:t>
      </w:r>
      <w:r w:rsidR="00685518">
        <w:rPr>
          <w:rFonts w:eastAsia="MS Mincho" w:cs="Arial"/>
          <w:lang w:val="en-US"/>
        </w:rPr>
        <w:t>C</w:t>
      </w:r>
      <w:r>
        <w:rPr>
          <w:rFonts w:eastAsia="MS Mincho" w:cs="Arial"/>
          <w:lang w:val="en-US"/>
        </w:rPr>
        <w:t>oncerns</w:t>
      </w:r>
      <w:r w:rsidR="00685518">
        <w:rPr>
          <w:rFonts w:eastAsia="MS Mincho" w:cs="Arial"/>
          <w:lang w:val="en-US"/>
        </w:rPr>
        <w:t xml:space="preserve"> have also been widely</w:t>
      </w:r>
      <w:r>
        <w:rPr>
          <w:rFonts w:eastAsia="MS Mincho" w:cs="Arial"/>
          <w:lang w:val="en-US"/>
        </w:rPr>
        <w:t xml:space="preserve"> raised regar</w:t>
      </w:r>
      <w:r w:rsidR="0037360A">
        <w:rPr>
          <w:rFonts w:eastAsia="MS Mincho" w:cs="Arial"/>
          <w:lang w:val="en-US"/>
        </w:rPr>
        <w:t xml:space="preserve">ding WCAs tendency to disregard </w:t>
      </w:r>
      <w:r>
        <w:rPr>
          <w:rFonts w:eastAsia="MS Mincho" w:cs="Arial"/>
          <w:lang w:val="en-US"/>
        </w:rPr>
        <w:t>mental health concerns</w:t>
      </w:r>
      <w:r w:rsidR="008E2B48">
        <w:rPr>
          <w:rFonts w:eastAsia="MS Mincho" w:cs="Arial"/>
          <w:lang w:val="en-US"/>
        </w:rPr>
        <w:t xml:space="preserve"> and that </w:t>
      </w:r>
      <w:r w:rsidR="00685518">
        <w:rPr>
          <w:rFonts w:eastAsia="MS Mincho" w:cs="Arial"/>
          <w:lang w:val="en-US"/>
        </w:rPr>
        <w:t>‘</w:t>
      </w:r>
      <w:r w:rsidR="00685518" w:rsidRPr="00685518">
        <w:rPr>
          <w:rFonts w:eastAsia="MS Mincho" w:cs="Arial"/>
          <w:lang w:val="en-US"/>
        </w:rPr>
        <w:t>current activities and descript</w:t>
      </w:r>
      <w:r w:rsidR="00685518">
        <w:rPr>
          <w:rFonts w:eastAsia="MS Mincho" w:cs="Arial"/>
          <w:lang w:val="en-US"/>
        </w:rPr>
        <w:t xml:space="preserve">ors used in the assessments for </w:t>
      </w:r>
      <w:r w:rsidR="00685518" w:rsidRPr="00685518">
        <w:rPr>
          <w:rFonts w:eastAsia="MS Mincho" w:cs="Arial"/>
          <w:lang w:val="en-US"/>
        </w:rPr>
        <w:t>ESA</w:t>
      </w:r>
      <w:r w:rsidR="00685518">
        <w:rPr>
          <w:rFonts w:eastAsia="MS Mincho" w:cs="Arial"/>
          <w:lang w:val="en-US"/>
        </w:rPr>
        <w:t>’ are ‘</w:t>
      </w:r>
      <w:r w:rsidR="00685518" w:rsidRPr="00685518">
        <w:rPr>
          <w:rFonts w:eastAsia="MS Mincho" w:cs="Arial"/>
          <w:lang w:val="en-US"/>
        </w:rPr>
        <w:t xml:space="preserve">weighted towards physical health </w:t>
      </w:r>
      <w:r w:rsidR="00685518">
        <w:rPr>
          <w:rFonts w:eastAsia="MS Mincho" w:cs="Arial"/>
          <w:lang w:val="en-US"/>
        </w:rPr>
        <w:t xml:space="preserve">conditions and disabilities and </w:t>
      </w:r>
      <w:r w:rsidR="00685518" w:rsidRPr="00685518">
        <w:rPr>
          <w:rFonts w:eastAsia="MS Mincho" w:cs="Arial"/>
          <w:lang w:val="en-US"/>
        </w:rPr>
        <w:t>discrimi</w:t>
      </w:r>
      <w:r w:rsidR="00685518">
        <w:rPr>
          <w:rFonts w:eastAsia="MS Mincho" w:cs="Arial"/>
          <w:lang w:val="en-US"/>
        </w:rPr>
        <w:t>nate</w:t>
      </w:r>
      <w:r w:rsidR="00685518" w:rsidRPr="00685518">
        <w:rPr>
          <w:rFonts w:eastAsia="MS Mincho" w:cs="Arial"/>
          <w:lang w:val="en-US"/>
        </w:rPr>
        <w:t xml:space="preserve"> against those with mental health conditions</w:t>
      </w:r>
      <w:r w:rsidR="00685518">
        <w:rPr>
          <w:rFonts w:eastAsia="MS Mincho" w:cs="Arial"/>
          <w:lang w:val="en-US"/>
        </w:rPr>
        <w:t>’ (</w:t>
      </w:r>
      <w:r w:rsidR="0037360A">
        <w:rPr>
          <w:rFonts w:eastAsia="MS Mincho" w:cs="Arial"/>
          <w:lang w:val="en-US"/>
        </w:rPr>
        <w:t>Kennedy et al., 2019: 17)</w:t>
      </w:r>
      <w:r w:rsidR="00627610">
        <w:rPr>
          <w:rFonts w:eastAsia="MS Mincho" w:cs="Arial"/>
          <w:lang w:val="en-US"/>
        </w:rPr>
        <w:t xml:space="preserve">.  Nonetheless, in </w:t>
      </w:r>
      <w:r w:rsidR="007A6887" w:rsidRPr="007A6887">
        <w:rPr>
          <w:rFonts w:eastAsia="MS Mincho" w:cs="Arial"/>
          <w:lang w:val="en-US"/>
        </w:rPr>
        <w:t xml:space="preserve">2018, </w:t>
      </w:r>
      <w:r w:rsidR="00627610">
        <w:rPr>
          <w:rFonts w:eastAsia="MS Mincho" w:cs="Arial"/>
          <w:lang w:val="en-US"/>
        </w:rPr>
        <w:t xml:space="preserve">51% </w:t>
      </w:r>
      <w:r w:rsidR="007A6887" w:rsidRPr="007A6887">
        <w:rPr>
          <w:rFonts w:eastAsia="MS Mincho" w:cs="Arial"/>
          <w:lang w:val="en-US"/>
        </w:rPr>
        <w:t>of the 2.25 million claim</w:t>
      </w:r>
      <w:r w:rsidR="007A6887">
        <w:rPr>
          <w:rFonts w:eastAsia="MS Mincho" w:cs="Arial"/>
          <w:lang w:val="en-US"/>
        </w:rPr>
        <w:t>ants of ESA</w:t>
      </w:r>
      <w:r w:rsidR="00627610">
        <w:rPr>
          <w:rFonts w:eastAsia="MS Mincho" w:cs="Arial"/>
          <w:lang w:val="en-US"/>
        </w:rPr>
        <w:t xml:space="preserve"> </w:t>
      </w:r>
      <w:r w:rsidR="007A6887" w:rsidRPr="007A6887">
        <w:rPr>
          <w:rFonts w:eastAsia="MS Mincho" w:cs="Arial"/>
          <w:lang w:val="en-US"/>
        </w:rPr>
        <w:t xml:space="preserve">were </w:t>
      </w:r>
      <w:r w:rsidR="00627610">
        <w:rPr>
          <w:rFonts w:eastAsia="MS Mincho" w:cs="Arial"/>
          <w:lang w:val="en-US"/>
        </w:rPr>
        <w:t>documented</w:t>
      </w:r>
      <w:r w:rsidR="00627610" w:rsidRPr="007A6887">
        <w:rPr>
          <w:rFonts w:eastAsia="MS Mincho" w:cs="Arial"/>
          <w:lang w:val="en-US"/>
        </w:rPr>
        <w:t xml:space="preserve"> </w:t>
      </w:r>
      <w:r w:rsidR="007A6887" w:rsidRPr="007A6887">
        <w:rPr>
          <w:rFonts w:eastAsia="MS Mincho" w:cs="Arial"/>
          <w:lang w:val="en-US"/>
        </w:rPr>
        <w:t xml:space="preserve">as having a </w:t>
      </w:r>
      <w:r w:rsidR="00627610">
        <w:rPr>
          <w:rFonts w:eastAsia="MS Mincho" w:cs="Arial"/>
          <w:lang w:val="en-US"/>
        </w:rPr>
        <w:t>‘</w:t>
      </w:r>
      <w:r w:rsidR="007A6887" w:rsidRPr="007A6887">
        <w:rPr>
          <w:rFonts w:eastAsia="MS Mincho" w:cs="Arial"/>
          <w:lang w:val="en-US"/>
        </w:rPr>
        <w:t xml:space="preserve">mental or </w:t>
      </w:r>
      <w:proofErr w:type="spellStart"/>
      <w:r w:rsidR="007A6887" w:rsidRPr="007A6887">
        <w:rPr>
          <w:rFonts w:eastAsia="MS Mincho" w:cs="Arial"/>
          <w:lang w:val="en-US"/>
        </w:rPr>
        <w:t>beh</w:t>
      </w:r>
      <w:r w:rsidR="007A6887">
        <w:rPr>
          <w:rFonts w:eastAsia="MS Mincho" w:cs="Arial"/>
          <w:lang w:val="en-US"/>
        </w:rPr>
        <w:t>avioural</w:t>
      </w:r>
      <w:proofErr w:type="spellEnd"/>
      <w:r w:rsidR="007A6887">
        <w:rPr>
          <w:rFonts w:eastAsia="MS Mincho" w:cs="Arial"/>
          <w:lang w:val="en-US"/>
        </w:rPr>
        <w:t xml:space="preserve"> disorder as their main </w:t>
      </w:r>
      <w:r w:rsidR="007A6887" w:rsidRPr="007A6887">
        <w:rPr>
          <w:rFonts w:eastAsia="MS Mincho" w:cs="Arial"/>
          <w:lang w:val="en-US"/>
        </w:rPr>
        <w:t>d</w:t>
      </w:r>
      <w:r w:rsidR="007A6887">
        <w:rPr>
          <w:rFonts w:eastAsia="MS Mincho" w:cs="Arial"/>
          <w:lang w:val="en-US"/>
        </w:rPr>
        <w:t>isabling condition’ (</w:t>
      </w:r>
      <w:r w:rsidR="00627610">
        <w:rPr>
          <w:rFonts w:eastAsia="MS Mincho" w:cs="Arial"/>
          <w:lang w:val="en-US"/>
        </w:rPr>
        <w:t>Kennedy et al., 2019: 19</w:t>
      </w:r>
      <w:r w:rsidR="00B46307">
        <w:rPr>
          <w:rFonts w:eastAsia="MS Mincho" w:cs="Arial"/>
          <w:lang w:val="en-US"/>
        </w:rPr>
        <w:t xml:space="preserve">).  </w:t>
      </w:r>
      <w:r w:rsidR="00F61EA2">
        <w:rPr>
          <w:rFonts w:eastAsia="MS Mincho" w:cs="Arial"/>
          <w:lang w:val="en-US"/>
        </w:rPr>
        <w:t xml:space="preserve">Perhaps the most staggering indication that the WCA is designed to shrink the legitimate bases for long-term incapacity is that 45.9% of appeals launched between 2008 and 2018 came out in </w:t>
      </w:r>
      <w:proofErr w:type="spellStart"/>
      <w:r w:rsidR="00F61EA2">
        <w:rPr>
          <w:rFonts w:eastAsia="MS Mincho" w:cs="Arial"/>
          <w:lang w:val="en-US"/>
        </w:rPr>
        <w:t>favour</w:t>
      </w:r>
      <w:proofErr w:type="spellEnd"/>
      <w:r w:rsidR="00F61EA2">
        <w:rPr>
          <w:rFonts w:eastAsia="MS Mincho" w:cs="Arial"/>
          <w:lang w:val="en-US"/>
        </w:rPr>
        <w:t xml:space="preserve"> of the claimant</w:t>
      </w:r>
      <w:r w:rsidR="00435018">
        <w:rPr>
          <w:rFonts w:eastAsia="MS Mincho" w:cs="Arial"/>
          <w:lang w:val="en-US"/>
        </w:rPr>
        <w:t xml:space="preserve"> (Kennedy et al., 2019: 12)</w:t>
      </w:r>
      <w:r w:rsidR="00F61EA2">
        <w:rPr>
          <w:rFonts w:eastAsia="MS Mincho" w:cs="Arial"/>
          <w:lang w:val="en-US"/>
        </w:rPr>
        <w:t xml:space="preserve">.  So when subjects of the WCA have the opportunity </w:t>
      </w:r>
      <w:r w:rsidR="00435018">
        <w:rPr>
          <w:rFonts w:eastAsia="MS Mincho" w:cs="Arial"/>
          <w:lang w:val="en-US"/>
        </w:rPr>
        <w:t>to present medical evidence outside of the capability-based assessment</w:t>
      </w:r>
      <w:r w:rsidR="00F61EA2">
        <w:rPr>
          <w:rFonts w:eastAsia="MS Mincho" w:cs="Arial"/>
          <w:lang w:val="en-US"/>
        </w:rPr>
        <w:t xml:space="preserve">, they have a good chance </w:t>
      </w:r>
      <w:r w:rsidR="00435018">
        <w:rPr>
          <w:rFonts w:eastAsia="MS Mincho" w:cs="Arial"/>
          <w:lang w:val="en-US"/>
        </w:rPr>
        <w:t>of retaining entitlements</w:t>
      </w:r>
      <w:r w:rsidR="00F61EA2">
        <w:rPr>
          <w:rFonts w:eastAsia="MS Mincho" w:cs="Arial"/>
          <w:lang w:val="en-US"/>
        </w:rPr>
        <w:t xml:space="preserve">.    </w:t>
      </w:r>
    </w:p>
    <w:p w14:paraId="6A5C101C" w14:textId="7CC77A32" w:rsidR="00186A2D" w:rsidRPr="00186A2D" w:rsidRDefault="006A5B51" w:rsidP="00BC4F5B">
      <w:pPr>
        <w:widowControl w:val="0"/>
        <w:autoSpaceDE w:val="0"/>
        <w:autoSpaceDN w:val="0"/>
        <w:adjustRightInd w:val="0"/>
        <w:spacing w:after="120" w:line="360" w:lineRule="auto"/>
        <w:rPr>
          <w:rFonts w:eastAsia="MS Mincho" w:cs="Arial"/>
          <w:lang w:val="en-US"/>
        </w:rPr>
      </w:pPr>
      <w:r>
        <w:rPr>
          <w:rFonts w:eastAsia="MS Mincho" w:cs="Arial"/>
          <w:lang w:val="en-US"/>
        </w:rPr>
        <w:t>A number of our</w:t>
      </w:r>
      <w:r w:rsidR="00E318C8" w:rsidRPr="00186A2D" w:rsidDel="00E318C8">
        <w:rPr>
          <w:rFonts w:eastAsia="MS Mincho" w:cs="Arial"/>
          <w:lang w:val="en-US"/>
        </w:rPr>
        <w:t xml:space="preserve"> </w:t>
      </w:r>
      <w:r w:rsidR="00186A2D" w:rsidRPr="00186A2D">
        <w:rPr>
          <w:rFonts w:eastAsia="MS Mincho" w:cs="Arial"/>
          <w:lang w:val="en-US"/>
        </w:rPr>
        <w:t xml:space="preserve">respondents reported </w:t>
      </w:r>
      <w:r w:rsidR="00435018">
        <w:rPr>
          <w:rFonts w:eastAsia="MS Mincho" w:cs="Arial"/>
          <w:lang w:val="en-US"/>
        </w:rPr>
        <w:t xml:space="preserve">the discrediting of their </w:t>
      </w:r>
      <w:r w:rsidR="00186A2D" w:rsidRPr="00186A2D">
        <w:rPr>
          <w:rFonts w:eastAsia="MS Mincho" w:cs="Arial"/>
          <w:lang w:val="en-US"/>
        </w:rPr>
        <w:t>personal testimony</w:t>
      </w:r>
      <w:r w:rsidR="006A3309">
        <w:rPr>
          <w:rFonts w:eastAsia="MS Mincho" w:cs="Arial"/>
          <w:lang w:val="en-US"/>
        </w:rPr>
        <w:t xml:space="preserve"> noting that </w:t>
      </w:r>
      <w:r>
        <w:rPr>
          <w:rFonts w:eastAsia="MS Mincho" w:cs="Arial"/>
          <w:lang w:val="en-US"/>
        </w:rPr>
        <w:t xml:space="preserve">thoroughly documented </w:t>
      </w:r>
      <w:r w:rsidR="006A3309">
        <w:rPr>
          <w:rFonts w:eastAsia="MS Mincho" w:cs="Arial"/>
          <w:lang w:val="en-US"/>
        </w:rPr>
        <w:t>medical histories were subject</w:t>
      </w:r>
      <w:r>
        <w:rPr>
          <w:rFonts w:eastAsia="MS Mincho" w:cs="Arial"/>
          <w:lang w:val="en-US"/>
        </w:rPr>
        <w:t>ed</w:t>
      </w:r>
      <w:r w:rsidR="006A3309">
        <w:rPr>
          <w:rFonts w:eastAsia="MS Mincho" w:cs="Arial"/>
          <w:lang w:val="en-US"/>
        </w:rPr>
        <w:t xml:space="preserve"> to </w:t>
      </w:r>
      <w:r>
        <w:rPr>
          <w:rFonts w:eastAsia="MS Mincho" w:cs="Arial"/>
          <w:lang w:val="en-US"/>
        </w:rPr>
        <w:t xml:space="preserve">acts of </w:t>
      </w:r>
      <w:r w:rsidR="006A3309">
        <w:rPr>
          <w:rFonts w:eastAsia="MS Mincho" w:cs="Arial"/>
          <w:lang w:val="en-US"/>
        </w:rPr>
        <w:t>reinterpretation</w:t>
      </w:r>
      <w:r>
        <w:rPr>
          <w:rFonts w:eastAsia="MS Mincho" w:cs="Arial"/>
          <w:lang w:val="en-US"/>
        </w:rPr>
        <w:t xml:space="preserve"> in the course of </w:t>
      </w:r>
      <w:r w:rsidR="006A3309">
        <w:rPr>
          <w:rFonts w:eastAsia="MS Mincho" w:cs="Arial"/>
          <w:lang w:val="en-US"/>
        </w:rPr>
        <w:t>assessment</w:t>
      </w:r>
      <w:r>
        <w:rPr>
          <w:rFonts w:eastAsia="MS Mincho" w:cs="Arial"/>
          <w:lang w:val="en-US"/>
        </w:rPr>
        <w:t xml:space="preserve"> procedures in order to </w:t>
      </w:r>
      <w:r>
        <w:rPr>
          <w:rFonts w:eastAsia="MS Mincho" w:cs="Arial" w:hint="eastAsia"/>
          <w:lang w:val="en-US"/>
        </w:rPr>
        <w:t>minimize</w:t>
      </w:r>
      <w:r>
        <w:rPr>
          <w:rFonts w:eastAsia="MS Mincho" w:cs="Arial"/>
          <w:lang w:val="en-US"/>
        </w:rPr>
        <w:t xml:space="preserve"> or invalidate claims</w:t>
      </w:r>
      <w:r w:rsidR="006A3309">
        <w:rPr>
          <w:rFonts w:eastAsia="MS Mincho" w:cs="Arial"/>
          <w:lang w:val="en-US"/>
        </w:rPr>
        <w:t>.</w:t>
      </w:r>
      <w:r w:rsidR="00186A2D" w:rsidRPr="00186A2D">
        <w:rPr>
          <w:rFonts w:eastAsia="MS Mincho" w:cs="Arial"/>
          <w:i/>
          <w:lang w:val="en-US"/>
        </w:rPr>
        <w:t xml:space="preserve"> </w:t>
      </w:r>
      <w:r>
        <w:rPr>
          <w:rFonts w:eastAsia="MS Mincho" w:cs="Arial"/>
          <w:lang w:val="en-US"/>
        </w:rPr>
        <w:t>For</w:t>
      </w:r>
      <w:r w:rsidR="00186A2D" w:rsidRPr="00186A2D">
        <w:rPr>
          <w:rFonts w:eastAsia="MS Mincho" w:cs="Arial"/>
          <w:i/>
          <w:lang w:val="en-US"/>
        </w:rPr>
        <w:t xml:space="preserve"> </w:t>
      </w:r>
      <w:r w:rsidR="00186A2D" w:rsidRPr="00186A2D">
        <w:rPr>
          <w:rFonts w:eastAsia="MS Mincho" w:cs="Arial"/>
          <w:lang w:val="en-US"/>
        </w:rPr>
        <w:t>Marion</w:t>
      </w:r>
      <w:r>
        <w:rPr>
          <w:rFonts w:eastAsia="MS Mincho" w:cs="Arial"/>
          <w:lang w:val="en-US"/>
        </w:rPr>
        <w:t>,</w:t>
      </w:r>
      <w:r w:rsidR="00186A2D" w:rsidRPr="00186A2D">
        <w:rPr>
          <w:rFonts w:eastAsia="MS Mincho" w:cs="Arial"/>
          <w:lang w:val="en-US"/>
        </w:rPr>
        <w:t xml:space="preserve"> supporting evidence from medical practitioners</w:t>
      </w:r>
      <w:r>
        <w:rPr>
          <w:rFonts w:eastAsia="MS Mincho" w:cs="Arial"/>
          <w:lang w:val="en-US"/>
        </w:rPr>
        <w:t>,</w:t>
      </w:r>
      <w:r w:rsidR="00186A2D" w:rsidRPr="00186A2D">
        <w:rPr>
          <w:rFonts w:eastAsia="MS Mincho" w:cs="Arial"/>
          <w:lang w:val="en-US"/>
        </w:rPr>
        <w:t xml:space="preserve"> too</w:t>
      </w:r>
      <w:r>
        <w:rPr>
          <w:rFonts w:eastAsia="MS Mincho" w:cs="Arial"/>
          <w:lang w:val="en-US"/>
        </w:rPr>
        <w:t>,</w:t>
      </w:r>
      <w:r w:rsidR="00186A2D" w:rsidRPr="00186A2D">
        <w:rPr>
          <w:rFonts w:eastAsia="MS Mincho" w:cs="Arial"/>
          <w:lang w:val="en-US"/>
        </w:rPr>
        <w:t xml:space="preserve"> was increasingly disregarded,</w:t>
      </w:r>
    </w:p>
    <w:p w14:paraId="68E300B9" w14:textId="28405800" w:rsidR="006A3309" w:rsidRPr="00B56046" w:rsidRDefault="00186A2D" w:rsidP="00B56046">
      <w:pPr>
        <w:spacing w:after="120" w:line="360" w:lineRule="auto"/>
        <w:ind w:left="720"/>
        <w:rPr>
          <w:rFonts w:eastAsia="MS Mincho" w:cs="Arial"/>
          <w:i/>
          <w:lang w:val="en-US"/>
        </w:rPr>
      </w:pPr>
      <w:r w:rsidRPr="00186A2D">
        <w:rPr>
          <w:rFonts w:eastAsia="MS Mincho" w:cs="Arial"/>
          <w:i/>
          <w:lang w:val="en-US"/>
        </w:rPr>
        <w:t xml:space="preserve">I took with me letters from consultants </w:t>
      </w:r>
      <w:r w:rsidRPr="00F61EA2">
        <w:rPr>
          <w:rFonts w:eastAsia="MS Mincho" w:cs="Arial"/>
          <w:lang w:val="en-US"/>
        </w:rPr>
        <w:t>[to the WCA]</w:t>
      </w:r>
      <w:r w:rsidRPr="00186A2D">
        <w:rPr>
          <w:rFonts w:eastAsia="MS Mincho" w:cs="Arial"/>
          <w:i/>
          <w:lang w:val="en-US"/>
        </w:rPr>
        <w:t>, from the spinal unit, from gastroenterology and other places.  They didn’t ask for any supportive information</w:t>
      </w:r>
      <w:r w:rsidR="00C94DD1">
        <w:rPr>
          <w:rFonts w:eastAsia="MS Mincho" w:cs="Arial"/>
          <w:i/>
          <w:lang w:val="en-US"/>
        </w:rPr>
        <w:t xml:space="preserve"> [</w:t>
      </w:r>
      <w:r w:rsidRPr="00186A2D">
        <w:rPr>
          <w:rFonts w:eastAsia="MS Mincho" w:cs="Arial"/>
          <w:i/>
          <w:lang w:val="en-US"/>
        </w:rPr>
        <w:t>…</w:t>
      </w:r>
      <w:r w:rsidR="00C94DD1">
        <w:rPr>
          <w:rFonts w:eastAsia="MS Mincho" w:cs="Arial"/>
          <w:i/>
          <w:lang w:val="en-US"/>
        </w:rPr>
        <w:t xml:space="preserve">] </w:t>
      </w:r>
      <w:r w:rsidRPr="00186A2D">
        <w:rPr>
          <w:rFonts w:eastAsia="MS Mincho" w:cs="Arial"/>
          <w:i/>
          <w:lang w:val="en-US"/>
        </w:rPr>
        <w:t>I’ve got letters from consultants saying what is wrong with me and they don’t want to know, she neve</w:t>
      </w:r>
      <w:r w:rsidR="00C27456">
        <w:rPr>
          <w:rFonts w:eastAsia="MS Mincho" w:cs="Arial"/>
          <w:i/>
          <w:lang w:val="en-US"/>
        </w:rPr>
        <w:t>r even asked have I got letters.</w:t>
      </w:r>
    </w:p>
    <w:p w14:paraId="3A3AA97D" w14:textId="2394CAE4" w:rsidR="00127C5D" w:rsidRPr="00016155" w:rsidRDefault="00186A2D" w:rsidP="00BC4F5B">
      <w:pPr>
        <w:widowControl w:val="0"/>
        <w:autoSpaceDE w:val="0"/>
        <w:autoSpaceDN w:val="0"/>
        <w:adjustRightInd w:val="0"/>
        <w:spacing w:after="120" w:line="360" w:lineRule="auto"/>
        <w:rPr>
          <w:rFonts w:eastAsia="MS Mincho" w:cs="Arial"/>
          <w:lang w:val="en-US"/>
        </w:rPr>
      </w:pPr>
      <w:r w:rsidRPr="00186A2D">
        <w:rPr>
          <w:rFonts w:eastAsia="MS Mincho" w:cs="Arial"/>
          <w:color w:val="000000"/>
          <w:lang w:val="en-US"/>
        </w:rPr>
        <w:t>Th</w:t>
      </w:r>
      <w:r w:rsidR="00FC6361">
        <w:rPr>
          <w:rFonts w:eastAsia="MS Mincho" w:cs="Arial"/>
          <w:color w:val="000000"/>
          <w:lang w:val="en-US"/>
        </w:rPr>
        <w:t>is</w:t>
      </w:r>
      <w:r w:rsidR="006A5B51">
        <w:rPr>
          <w:rFonts w:eastAsia="MS Mincho" w:cs="Arial"/>
          <w:color w:val="000000"/>
          <w:lang w:val="en-US"/>
        </w:rPr>
        <w:t xml:space="preserve"> disregard both </w:t>
      </w:r>
      <w:r w:rsidR="00FC6361">
        <w:rPr>
          <w:rFonts w:eastAsia="MS Mincho" w:cs="Arial"/>
          <w:color w:val="000000"/>
          <w:lang w:val="en-US"/>
        </w:rPr>
        <w:t>for</w:t>
      </w:r>
      <w:r w:rsidR="006A5B51">
        <w:rPr>
          <w:rFonts w:eastAsia="MS Mincho" w:cs="Arial"/>
          <w:color w:val="000000"/>
          <w:lang w:val="en-US"/>
        </w:rPr>
        <w:t xml:space="preserve"> claimants own testimony regarding </w:t>
      </w:r>
      <w:r w:rsidRPr="00186A2D">
        <w:rPr>
          <w:rFonts w:eastAsia="MS Mincho" w:cs="Arial"/>
          <w:color w:val="000000"/>
          <w:lang w:val="en-US"/>
        </w:rPr>
        <w:t>health status</w:t>
      </w:r>
      <w:r w:rsidR="006A5B51">
        <w:rPr>
          <w:rFonts w:eastAsia="MS Mincho" w:cs="Arial"/>
          <w:color w:val="000000"/>
          <w:lang w:val="en-US"/>
        </w:rPr>
        <w:t xml:space="preserve"> and of formal supporting evidence from health professionals</w:t>
      </w:r>
      <w:r w:rsidRPr="00186A2D">
        <w:rPr>
          <w:rFonts w:eastAsia="MS Mincho" w:cs="Arial"/>
          <w:color w:val="000000"/>
          <w:lang w:val="en-US"/>
        </w:rPr>
        <w:t xml:space="preserve"> reflect</w:t>
      </w:r>
      <w:r w:rsidR="00FC6361">
        <w:rPr>
          <w:rFonts w:eastAsia="MS Mincho" w:cs="Arial"/>
          <w:color w:val="000000"/>
          <w:lang w:val="en-US"/>
        </w:rPr>
        <w:t>ed</w:t>
      </w:r>
      <w:r w:rsidRPr="00186A2D">
        <w:rPr>
          <w:rFonts w:eastAsia="MS Mincho" w:cs="Arial"/>
          <w:color w:val="000000"/>
          <w:lang w:val="en-US"/>
        </w:rPr>
        <w:t xml:space="preserve"> a wider institution</w:t>
      </w:r>
      <w:r w:rsidR="00FC6361">
        <w:rPr>
          <w:rFonts w:eastAsia="MS Mincho" w:cs="Arial"/>
          <w:color w:val="000000"/>
          <w:lang w:val="en-US"/>
        </w:rPr>
        <w:t>al failure</w:t>
      </w:r>
      <w:r w:rsidRPr="00186A2D">
        <w:rPr>
          <w:rFonts w:eastAsia="MS Mincho" w:cs="Arial"/>
          <w:color w:val="000000"/>
          <w:lang w:val="en-US"/>
        </w:rPr>
        <w:t xml:space="preserve"> </w:t>
      </w:r>
      <w:r w:rsidR="00FC6361">
        <w:rPr>
          <w:rFonts w:eastAsia="MS Mincho" w:cs="Arial" w:hint="eastAsia"/>
          <w:color w:val="000000"/>
          <w:lang w:val="en-US"/>
        </w:rPr>
        <w:t>in the benefits system</w:t>
      </w:r>
      <w:r w:rsidR="00FC6361">
        <w:rPr>
          <w:rFonts w:eastAsia="MS Mincho" w:cs="Arial"/>
          <w:color w:val="000000"/>
          <w:lang w:val="en-US"/>
        </w:rPr>
        <w:t xml:space="preserve"> </w:t>
      </w:r>
      <w:r w:rsidRPr="00186A2D">
        <w:rPr>
          <w:rFonts w:eastAsia="MS Mincho" w:cs="Arial"/>
          <w:color w:val="000000"/>
          <w:lang w:val="en-US"/>
        </w:rPr>
        <w:t xml:space="preserve">to acknowledge and validate mental distress in the same manner as other health </w:t>
      </w:r>
      <w:r w:rsidR="00FC6361">
        <w:rPr>
          <w:rFonts w:eastAsia="MS Mincho" w:cs="Arial"/>
          <w:color w:val="000000"/>
          <w:lang w:val="en-US"/>
        </w:rPr>
        <w:t>conditions</w:t>
      </w:r>
      <w:r w:rsidRPr="00186A2D">
        <w:rPr>
          <w:rFonts w:eastAsia="MS Mincho" w:cs="Arial"/>
          <w:color w:val="000000"/>
          <w:lang w:val="en-US"/>
        </w:rPr>
        <w:t xml:space="preserve">. </w:t>
      </w:r>
      <w:r w:rsidR="00FC6361">
        <w:rPr>
          <w:rFonts w:eastAsia="MS Mincho" w:cs="Arial"/>
          <w:color w:val="000000"/>
          <w:lang w:val="en-US"/>
        </w:rPr>
        <w:t>Furthermore</w:t>
      </w:r>
      <w:r w:rsidR="00B56046">
        <w:rPr>
          <w:rFonts w:eastAsia="MS Mincho" w:cs="Arial"/>
          <w:color w:val="000000"/>
          <w:lang w:val="en-US"/>
        </w:rPr>
        <w:t>, under austerity</w:t>
      </w:r>
      <w:r w:rsidR="00FC6361">
        <w:rPr>
          <w:rFonts w:eastAsia="MS Mincho" w:cs="Arial"/>
          <w:color w:val="000000"/>
          <w:lang w:val="en-US"/>
        </w:rPr>
        <w:t>,</w:t>
      </w:r>
      <w:r w:rsidR="00B56046">
        <w:rPr>
          <w:rFonts w:eastAsia="MS Mincho" w:cs="Arial"/>
          <w:color w:val="000000"/>
          <w:lang w:val="en-US"/>
        </w:rPr>
        <w:t xml:space="preserve"> </w:t>
      </w:r>
      <w:r w:rsidR="00FC6361">
        <w:rPr>
          <w:rFonts w:eastAsia="MS Mincho" w:cs="Arial"/>
          <w:color w:val="000000"/>
          <w:lang w:val="en-US"/>
        </w:rPr>
        <w:t xml:space="preserve">welfare </w:t>
      </w:r>
      <w:r w:rsidR="00B56046">
        <w:t>policy reform</w:t>
      </w:r>
      <w:r w:rsidR="00FC6361">
        <w:t xml:space="preserve"> agendas</w:t>
      </w:r>
      <w:r w:rsidR="00B56046">
        <w:t xml:space="preserve"> </w:t>
      </w:r>
      <w:r w:rsidR="00FC6361">
        <w:t xml:space="preserve">have sought </w:t>
      </w:r>
      <w:r w:rsidR="00B56046">
        <w:t xml:space="preserve">to </w:t>
      </w:r>
      <w:r w:rsidR="00FC6361">
        <w:t xml:space="preserve">limit </w:t>
      </w:r>
      <w:r w:rsidR="00B56046">
        <w:t>disab</w:t>
      </w:r>
      <w:r w:rsidR="00FC6361">
        <w:t>ility</w:t>
      </w:r>
      <w:r w:rsidR="00B56046">
        <w:t xml:space="preserve"> </w:t>
      </w:r>
      <w:r w:rsidR="00FC6361">
        <w:t xml:space="preserve">and </w:t>
      </w:r>
      <w:r w:rsidR="00B56046">
        <w:lastRenderedPageBreak/>
        <w:t>incapacit</w:t>
      </w:r>
      <w:r w:rsidR="00FC6361">
        <w:t>y</w:t>
      </w:r>
      <w:r w:rsidR="00B56046">
        <w:t xml:space="preserve"> </w:t>
      </w:r>
      <w:r w:rsidR="00FC6361">
        <w:t xml:space="preserve">categories </w:t>
      </w:r>
      <w:r w:rsidR="00B56046">
        <w:t>(</w:t>
      </w:r>
      <w:r w:rsidR="00D03840">
        <w:t>see Grover, 2015</w:t>
      </w:r>
      <w:r w:rsidR="00B56046">
        <w:t xml:space="preserve">). </w:t>
      </w:r>
      <w:r w:rsidR="00435018">
        <w:t xml:space="preserve">The </w:t>
      </w:r>
      <w:r w:rsidRPr="00186A2D">
        <w:t>discounting of medical evidence</w:t>
      </w:r>
      <w:r w:rsidR="00435018">
        <w:t xml:space="preserve"> in the WCA</w:t>
      </w:r>
      <w:r w:rsidRPr="00186A2D">
        <w:t xml:space="preserve"> reflects a wider refocusing towards individual attitudinal factors</w:t>
      </w:r>
      <w:r w:rsidR="00127C5D">
        <w:t xml:space="preserve"> (Shakespeare et al, </w:t>
      </w:r>
      <w:r w:rsidR="00127C5D" w:rsidRPr="00186A2D">
        <w:t>2017)</w:t>
      </w:r>
      <w:r w:rsidRPr="00186A2D">
        <w:t>.</w:t>
      </w:r>
      <w:r w:rsidR="00B56046">
        <w:t xml:space="preserve"> </w:t>
      </w:r>
      <w:r w:rsidR="00435018">
        <w:rPr>
          <w:rFonts w:eastAsia="MS Mincho" w:cs="Arial"/>
          <w:lang w:val="en-US"/>
        </w:rPr>
        <w:t>The</w:t>
      </w:r>
      <w:r w:rsidR="00127C5D" w:rsidRPr="00186A2D">
        <w:rPr>
          <w:rFonts w:eastAsia="MS Mincho" w:cs="Arial"/>
          <w:lang w:val="en-US"/>
        </w:rPr>
        <w:t xml:space="preserve"> contested ontological status of mental </w:t>
      </w:r>
      <w:proofErr w:type="gramStart"/>
      <w:r w:rsidR="00127C5D" w:rsidRPr="00186A2D">
        <w:rPr>
          <w:rFonts w:eastAsia="MS Mincho" w:cs="Arial" w:hint="eastAsia"/>
          <w:lang w:val="en-US"/>
        </w:rPr>
        <w:t>distress,</w:t>
      </w:r>
      <w:proofErr w:type="gramEnd"/>
      <w:r w:rsidR="00127C5D" w:rsidRPr="00186A2D">
        <w:rPr>
          <w:rFonts w:eastAsia="MS Mincho" w:cs="Arial" w:hint="eastAsia"/>
          <w:lang w:val="en-US"/>
        </w:rPr>
        <w:t xml:space="preserve"> </w:t>
      </w:r>
      <w:r w:rsidRPr="00186A2D">
        <w:rPr>
          <w:rFonts w:eastAsia="MS Mincho" w:cs="Arial"/>
          <w:lang w:val="en-US"/>
        </w:rPr>
        <w:t xml:space="preserve">renders </w:t>
      </w:r>
      <w:r w:rsidR="00127C5D">
        <w:rPr>
          <w:rFonts w:eastAsia="MS Mincho" w:cs="Arial"/>
          <w:lang w:val="en-US"/>
        </w:rPr>
        <w:t>such experiences</w:t>
      </w:r>
      <w:r w:rsidR="00127C5D" w:rsidRPr="00186A2D">
        <w:rPr>
          <w:rFonts w:eastAsia="MS Mincho" w:cs="Arial"/>
          <w:lang w:val="en-US"/>
        </w:rPr>
        <w:t xml:space="preserve"> </w:t>
      </w:r>
      <w:r w:rsidRPr="00186A2D">
        <w:rPr>
          <w:rFonts w:eastAsia="MS Mincho" w:cs="Arial"/>
          <w:lang w:val="en-US"/>
        </w:rPr>
        <w:t xml:space="preserve">more amenable to forms of public and </w:t>
      </w:r>
      <w:proofErr w:type="spellStart"/>
      <w:r w:rsidRPr="00186A2D">
        <w:rPr>
          <w:rFonts w:eastAsia="MS Mincho" w:cs="Arial"/>
          <w:lang w:val="en-US"/>
        </w:rPr>
        <w:t>organisational</w:t>
      </w:r>
      <w:proofErr w:type="spellEnd"/>
      <w:r w:rsidRPr="00186A2D">
        <w:rPr>
          <w:rFonts w:eastAsia="MS Mincho" w:cs="Arial"/>
          <w:lang w:val="en-US"/>
        </w:rPr>
        <w:t xml:space="preserve"> invalidation</w:t>
      </w:r>
      <w:r w:rsidR="00127C5D">
        <w:rPr>
          <w:rFonts w:eastAsia="MS Mincho" w:cs="Arial"/>
          <w:lang w:val="en-US"/>
        </w:rPr>
        <w:t xml:space="preserve">. </w:t>
      </w:r>
      <w:r w:rsidR="00127C5D">
        <w:t xml:space="preserve">Consequently, in combination, these variegated mechanisms have functioned to undermine the </w:t>
      </w:r>
      <w:r w:rsidR="00E54EF6">
        <w:t xml:space="preserve">legitimacy of the </w:t>
      </w:r>
      <w:r w:rsidR="00127C5D">
        <w:rPr>
          <w:rFonts w:eastAsia="MS Mincho" w:cs="Arial"/>
          <w:color w:val="000000"/>
          <w:lang w:val="en-US"/>
        </w:rPr>
        <w:t>sick</w:t>
      </w:r>
      <w:r w:rsidR="00E54EF6">
        <w:rPr>
          <w:rFonts w:eastAsia="MS Mincho" w:cs="Arial"/>
          <w:color w:val="000000"/>
          <w:lang w:val="en-US"/>
        </w:rPr>
        <w:t xml:space="preserve"> </w:t>
      </w:r>
      <w:r w:rsidR="00127C5D">
        <w:rPr>
          <w:rFonts w:eastAsia="MS Mincho" w:cs="Arial"/>
          <w:color w:val="000000"/>
          <w:lang w:val="en-US"/>
        </w:rPr>
        <w:t>role in relation to mental health conditions</w:t>
      </w:r>
      <w:r w:rsidR="00E54EF6">
        <w:rPr>
          <w:rFonts w:eastAsia="MS Mincho" w:cs="Arial"/>
          <w:color w:val="000000"/>
          <w:lang w:val="en-US"/>
        </w:rPr>
        <w:t xml:space="preserve"> </w:t>
      </w:r>
      <w:r w:rsidR="00E54EF6">
        <w:rPr>
          <w:rFonts w:eastAsia="MS Mincho" w:cs="Arial"/>
          <w:lang w:val="en-US"/>
        </w:rPr>
        <w:t>within the</w:t>
      </w:r>
      <w:r w:rsidR="00E54EF6" w:rsidRPr="00186A2D">
        <w:rPr>
          <w:rFonts w:eastAsia="MS Mincho" w:cs="Arial"/>
          <w:lang w:val="en-US"/>
        </w:rPr>
        <w:t xml:space="preserve"> </w:t>
      </w:r>
      <w:r w:rsidR="00E54EF6">
        <w:rPr>
          <w:rFonts w:eastAsia="MS Mincho" w:cs="Arial"/>
          <w:lang w:val="en-US"/>
        </w:rPr>
        <w:t>benefits</w:t>
      </w:r>
      <w:r w:rsidR="00E54EF6" w:rsidRPr="00186A2D" w:rsidDel="00E54EF6">
        <w:rPr>
          <w:rFonts w:eastAsia="MS Mincho" w:cs="Arial"/>
          <w:lang w:val="en-US"/>
        </w:rPr>
        <w:t xml:space="preserve"> </w:t>
      </w:r>
      <w:r w:rsidR="00E54EF6">
        <w:rPr>
          <w:rFonts w:eastAsia="MS Mincho" w:cs="Arial"/>
          <w:lang w:val="en-US"/>
        </w:rPr>
        <w:t xml:space="preserve">system. </w:t>
      </w:r>
      <w:r w:rsidR="00016155">
        <w:rPr>
          <w:rFonts w:eastAsia="MS Mincho" w:cs="Arial"/>
          <w:lang w:val="en-US"/>
        </w:rPr>
        <w:t xml:space="preserve">The WCA </w:t>
      </w:r>
      <w:r w:rsidR="00E54EF6">
        <w:rPr>
          <w:rFonts w:eastAsia="MS Mincho" w:cs="Arial"/>
          <w:lang w:val="en-US"/>
        </w:rPr>
        <w:t xml:space="preserve">represents </w:t>
      </w:r>
      <w:r w:rsidR="00E54EF6">
        <w:rPr>
          <w:rFonts w:eastAsia="MS Mincho" w:cs="Arial"/>
          <w:color w:val="000000"/>
          <w:lang w:val="en-US"/>
        </w:rPr>
        <w:t xml:space="preserve">a form </w:t>
      </w:r>
      <w:r w:rsidRPr="00186A2D">
        <w:rPr>
          <w:rFonts w:eastAsia="MS Mincho" w:cs="Arial"/>
          <w:color w:val="000000"/>
          <w:lang w:val="en-US"/>
        </w:rPr>
        <w:t xml:space="preserve">of </w:t>
      </w:r>
      <w:r w:rsidR="00435018">
        <w:rPr>
          <w:rFonts w:eastAsia="MS Mincho" w:cs="Arial"/>
          <w:color w:val="000000"/>
          <w:lang w:val="en-US"/>
        </w:rPr>
        <w:t>‘</w:t>
      </w:r>
      <w:r w:rsidRPr="00186A2D">
        <w:rPr>
          <w:rFonts w:eastAsia="MS Mincho" w:cs="Arial"/>
          <w:color w:val="000000"/>
          <w:lang w:val="en-US"/>
        </w:rPr>
        <w:t>epistemic injustice</w:t>
      </w:r>
      <w:r w:rsidR="00435018">
        <w:rPr>
          <w:rFonts w:eastAsia="MS Mincho" w:cs="Arial"/>
          <w:color w:val="000000"/>
          <w:lang w:val="en-US"/>
        </w:rPr>
        <w:t>’</w:t>
      </w:r>
      <w:r w:rsidRPr="00186A2D">
        <w:rPr>
          <w:rFonts w:eastAsia="MS Mincho" w:cs="Arial"/>
          <w:color w:val="000000"/>
          <w:lang w:val="en-US"/>
        </w:rPr>
        <w:t xml:space="preserve"> </w:t>
      </w:r>
      <w:r w:rsidRPr="00186A2D">
        <w:rPr>
          <w:rFonts w:eastAsia="MS Mincho" w:cs="Arial"/>
          <w:lang w:val="en-US"/>
        </w:rPr>
        <w:t>(</w:t>
      </w:r>
      <w:proofErr w:type="spellStart"/>
      <w:r w:rsidRPr="00186A2D">
        <w:rPr>
          <w:rFonts w:eastAsia="MS Mincho" w:cs="Arial"/>
          <w:lang w:val="en-US"/>
        </w:rPr>
        <w:t>Newbigging</w:t>
      </w:r>
      <w:proofErr w:type="spellEnd"/>
      <w:r w:rsidRPr="00186A2D">
        <w:rPr>
          <w:rFonts w:eastAsia="MS Mincho" w:cs="Arial"/>
          <w:lang w:val="en-US"/>
        </w:rPr>
        <w:t xml:space="preserve"> and Ridley, 2018</w:t>
      </w:r>
      <w:r w:rsidR="00016155">
        <w:rPr>
          <w:rFonts w:eastAsia="MS Mincho" w:cs="Arial"/>
          <w:lang w:val="en-US"/>
        </w:rPr>
        <w:t>: 36</w:t>
      </w:r>
      <w:r w:rsidRPr="00186A2D">
        <w:rPr>
          <w:rFonts w:eastAsia="MS Mincho" w:cs="Arial"/>
          <w:lang w:val="en-US"/>
        </w:rPr>
        <w:t>)</w:t>
      </w:r>
      <w:r w:rsidR="00435018">
        <w:rPr>
          <w:rFonts w:eastAsia="MS Mincho" w:cs="Arial"/>
          <w:lang w:val="en-US"/>
        </w:rPr>
        <w:t xml:space="preserve">, </w:t>
      </w:r>
      <w:r w:rsidR="00016155">
        <w:rPr>
          <w:rFonts w:eastAsia="MS Mincho" w:cs="Arial"/>
          <w:lang w:val="en-US"/>
        </w:rPr>
        <w:t>where stigmatizing and oppressive conceptions of mental health are imposed and individual’s own interpretations of their distress are invalidated and ignored</w:t>
      </w:r>
      <w:r w:rsidRPr="00186A2D">
        <w:rPr>
          <w:rFonts w:eastAsia="MS Mincho" w:cs="Arial"/>
          <w:lang w:val="en-US"/>
        </w:rPr>
        <w:t>.</w:t>
      </w:r>
      <w:r w:rsidRPr="00186A2D">
        <w:rPr>
          <w:rFonts w:eastAsia="MS Mincho" w:cs="Arial"/>
          <w:color w:val="000000"/>
          <w:lang w:val="en-US"/>
        </w:rPr>
        <w:t xml:space="preserve"> </w:t>
      </w:r>
    </w:p>
    <w:p w14:paraId="69086303" w14:textId="19F401C0" w:rsidR="001C58EC" w:rsidRPr="00186A2D" w:rsidRDefault="00186A2D" w:rsidP="00681608">
      <w:pPr>
        <w:widowControl w:val="0"/>
        <w:autoSpaceDE w:val="0"/>
        <w:autoSpaceDN w:val="0"/>
        <w:adjustRightInd w:val="0"/>
        <w:spacing w:after="120" w:line="360" w:lineRule="auto"/>
        <w:ind w:firstLine="720"/>
      </w:pPr>
      <w:r w:rsidRPr="00186A2D">
        <w:rPr>
          <w:rFonts w:eastAsia="MS Mincho" w:cs="Arial"/>
          <w:color w:val="000000"/>
          <w:lang w:val="en-US"/>
        </w:rPr>
        <w:t xml:space="preserve">The interviews and focus group discussions </w:t>
      </w:r>
      <w:r w:rsidR="00E54EF6">
        <w:rPr>
          <w:rFonts w:eastAsia="MS Mincho" w:cs="Arial"/>
          <w:color w:val="000000"/>
          <w:lang w:val="en-US"/>
        </w:rPr>
        <w:t>highlighted</w:t>
      </w:r>
      <w:r w:rsidR="004E1655">
        <w:rPr>
          <w:rFonts w:eastAsia="MS Mincho" w:cs="Arial"/>
          <w:color w:val="000000"/>
          <w:lang w:val="en-US"/>
        </w:rPr>
        <w:t xml:space="preserve"> </w:t>
      </w:r>
      <w:r w:rsidR="004E1655" w:rsidRPr="00186A2D">
        <w:rPr>
          <w:rFonts w:eastAsia="MS Mincho" w:cs="Arial"/>
          <w:color w:val="000000"/>
          <w:lang w:val="en-US"/>
        </w:rPr>
        <w:t>the psychological efforts and costs expended</w:t>
      </w:r>
      <w:r w:rsidR="004E1655">
        <w:rPr>
          <w:rFonts w:eastAsia="MS Mincho" w:cs="Arial"/>
          <w:color w:val="000000"/>
          <w:lang w:val="en-US"/>
        </w:rPr>
        <w:t xml:space="preserve"> by participants</w:t>
      </w:r>
      <w:r w:rsidR="004E1655" w:rsidRPr="00186A2D">
        <w:rPr>
          <w:rFonts w:eastAsia="MS Mincho" w:cs="Arial"/>
          <w:color w:val="000000"/>
          <w:lang w:val="en-US"/>
        </w:rPr>
        <w:t xml:space="preserve"> in negotiating </w:t>
      </w:r>
      <w:r w:rsidR="004E1655">
        <w:rPr>
          <w:rFonts w:eastAsia="MS Mincho" w:cs="Arial"/>
          <w:color w:val="000000"/>
          <w:lang w:val="en-US"/>
        </w:rPr>
        <w:t xml:space="preserve">their </w:t>
      </w:r>
      <w:r w:rsidR="004E1655" w:rsidRPr="00186A2D">
        <w:rPr>
          <w:rFonts w:eastAsia="MS Mincho" w:cs="Arial"/>
          <w:color w:val="000000"/>
          <w:lang w:val="en-US"/>
        </w:rPr>
        <w:t>stigmatized identities</w:t>
      </w:r>
      <w:r w:rsidR="004E1655">
        <w:rPr>
          <w:rFonts w:eastAsia="MS Mincho" w:cs="Arial"/>
          <w:color w:val="000000"/>
          <w:lang w:val="en-US"/>
        </w:rPr>
        <w:t>, and foregrounded</w:t>
      </w:r>
      <w:r w:rsidR="00E54EF6">
        <w:rPr>
          <w:rFonts w:eastAsia="MS Mincho" w:cs="Arial"/>
          <w:color w:val="000000"/>
          <w:lang w:val="en-US"/>
        </w:rPr>
        <w:t xml:space="preserve"> a number of </w:t>
      </w:r>
      <w:r w:rsidR="004E1655">
        <w:rPr>
          <w:rFonts w:eastAsia="MS Mincho" w:cs="Arial"/>
          <w:color w:val="000000"/>
          <w:lang w:val="en-US"/>
        </w:rPr>
        <w:t xml:space="preserve">strategies and responses to the </w:t>
      </w:r>
      <w:r w:rsidR="004E1655">
        <w:rPr>
          <w:rFonts w:eastAsia="MS Mincho" w:cs="Arial" w:hint="eastAsia"/>
          <w:color w:val="000000"/>
          <w:lang w:val="en-US"/>
        </w:rPr>
        <w:t>institutionalized</w:t>
      </w:r>
      <w:r w:rsidR="004E1655">
        <w:rPr>
          <w:rFonts w:eastAsia="MS Mincho" w:cs="Arial"/>
          <w:color w:val="000000"/>
          <w:lang w:val="en-US"/>
        </w:rPr>
        <w:t xml:space="preserve"> </w:t>
      </w:r>
      <w:r w:rsidR="004E1655">
        <w:rPr>
          <w:rFonts w:eastAsia="MS Mincho" w:cs="Arial" w:hint="eastAsia"/>
          <w:color w:val="000000"/>
          <w:lang w:val="en-US"/>
        </w:rPr>
        <w:t>processes</w:t>
      </w:r>
      <w:r w:rsidR="004E1655">
        <w:rPr>
          <w:rFonts w:eastAsia="MS Mincho" w:cs="Arial"/>
          <w:color w:val="000000"/>
          <w:lang w:val="en-US"/>
        </w:rPr>
        <w:t xml:space="preserve"> through which mental distress was </w:t>
      </w:r>
      <w:r w:rsidR="004E1655">
        <w:rPr>
          <w:rFonts w:eastAsia="MS Mincho" w:cs="Arial" w:hint="eastAsia"/>
          <w:color w:val="000000"/>
          <w:lang w:val="en-US"/>
        </w:rPr>
        <w:t>delegitimized</w:t>
      </w:r>
      <w:r w:rsidR="004E1655">
        <w:rPr>
          <w:rFonts w:eastAsia="MS Mincho" w:cs="Arial"/>
          <w:color w:val="000000"/>
          <w:lang w:val="en-US"/>
        </w:rPr>
        <w:t xml:space="preserve"> in the welfare system. S</w:t>
      </w:r>
      <w:r w:rsidRPr="00186A2D">
        <w:rPr>
          <w:rFonts w:eastAsia="MS Mincho" w:cs="Arial"/>
          <w:color w:val="000000"/>
          <w:lang w:val="en-US"/>
        </w:rPr>
        <w:t xml:space="preserve">ome participants engaged in complex and contradictory forms of disavowal by condemning the </w:t>
      </w:r>
      <w:proofErr w:type="spellStart"/>
      <w:r w:rsidRPr="00186A2D">
        <w:rPr>
          <w:rFonts w:eastAsia="MS Mincho" w:cs="Arial" w:hint="eastAsia"/>
          <w:color w:val="000000"/>
          <w:lang w:val="en-US"/>
        </w:rPr>
        <w:t>behavio</w:t>
      </w:r>
      <w:r w:rsidRPr="00186A2D">
        <w:rPr>
          <w:rFonts w:eastAsia="MS Mincho" w:cs="Arial"/>
          <w:color w:val="000000"/>
          <w:lang w:val="en-US"/>
        </w:rPr>
        <w:t>u</w:t>
      </w:r>
      <w:r w:rsidRPr="00186A2D">
        <w:rPr>
          <w:rFonts w:eastAsia="MS Mincho" w:cs="Arial" w:hint="eastAsia"/>
          <w:color w:val="000000"/>
          <w:lang w:val="en-US"/>
        </w:rPr>
        <w:t>r</w:t>
      </w:r>
      <w:proofErr w:type="spellEnd"/>
      <w:r w:rsidRPr="00186A2D">
        <w:rPr>
          <w:rFonts w:eastAsia="MS Mincho" w:cs="Arial"/>
          <w:color w:val="000000"/>
          <w:lang w:val="en-US"/>
        </w:rPr>
        <w:t xml:space="preserve"> of ‘the poor’</w:t>
      </w:r>
      <w:r w:rsidR="00016155">
        <w:rPr>
          <w:rFonts w:eastAsia="MS Mincho" w:cs="Arial"/>
          <w:color w:val="000000"/>
          <w:lang w:val="en-US"/>
        </w:rPr>
        <w:t>, echoing</w:t>
      </w:r>
      <w:r w:rsidR="004E1655">
        <w:rPr>
          <w:rFonts w:eastAsia="MS Mincho" w:cs="Arial"/>
          <w:color w:val="000000"/>
          <w:lang w:val="en-US"/>
        </w:rPr>
        <w:t xml:space="preserve"> previous studies</w:t>
      </w:r>
      <w:r w:rsidR="004E1655" w:rsidRPr="00186A2D">
        <w:rPr>
          <w:rFonts w:eastAsia="MS Mincho" w:cs="Arial"/>
          <w:color w:val="000000"/>
          <w:lang w:val="en-US"/>
        </w:rPr>
        <w:t xml:space="preserve"> </w:t>
      </w:r>
      <w:r w:rsidR="004E1655">
        <w:rPr>
          <w:rFonts w:eastAsia="MS Mincho" w:cs="Arial"/>
          <w:color w:val="000000"/>
          <w:lang w:val="en-US"/>
        </w:rPr>
        <w:t>(</w:t>
      </w:r>
      <w:proofErr w:type="spellStart"/>
      <w:r w:rsidR="004E1655">
        <w:rPr>
          <w:rFonts w:eastAsia="MS Mincho" w:cs="Arial"/>
          <w:color w:val="000000"/>
          <w:lang w:val="en-US"/>
        </w:rPr>
        <w:t>Shildrick</w:t>
      </w:r>
      <w:proofErr w:type="spellEnd"/>
      <w:r w:rsidR="004E1655">
        <w:rPr>
          <w:rFonts w:eastAsia="MS Mincho" w:cs="Arial"/>
          <w:color w:val="000000"/>
          <w:lang w:val="en-US"/>
        </w:rPr>
        <w:t xml:space="preserve"> and MacDonald, </w:t>
      </w:r>
      <w:r w:rsidR="004E1655" w:rsidRPr="00186A2D">
        <w:rPr>
          <w:rFonts w:eastAsia="MS Mincho" w:cs="Arial"/>
          <w:color w:val="000000"/>
          <w:lang w:val="en-US"/>
        </w:rPr>
        <w:t>2013)</w:t>
      </w:r>
      <w:r w:rsidRPr="00186A2D">
        <w:rPr>
          <w:rFonts w:eastAsia="MS Mincho" w:cs="Arial"/>
          <w:color w:val="000000"/>
          <w:lang w:val="en-US"/>
        </w:rPr>
        <w:t>. In other cases,</w:t>
      </w:r>
      <w:r w:rsidRPr="00186A2D">
        <w:t xml:space="preserve"> in an attempt to secure validation of their claims to illness and incapacity, respondents </w:t>
      </w:r>
      <w:proofErr w:type="spellStart"/>
      <w:r w:rsidRPr="00186A2D">
        <w:rPr>
          <w:rFonts w:eastAsia="MS Mincho" w:cs="Arial"/>
          <w:color w:val="000000"/>
          <w:lang w:val="en-US"/>
        </w:rPr>
        <w:t>narrativised</w:t>
      </w:r>
      <w:proofErr w:type="spellEnd"/>
      <w:r w:rsidRPr="00186A2D">
        <w:rPr>
          <w:rFonts w:eastAsia="MS Mincho" w:cs="Arial"/>
          <w:color w:val="000000"/>
          <w:lang w:val="en-US"/>
        </w:rPr>
        <w:t xml:space="preserve"> personal ‘deservedness’ to forms of state assistance</w:t>
      </w:r>
      <w:r w:rsidRPr="00186A2D">
        <w:t xml:space="preserve"> or described feeling compelled to present their conditions in an intensified form. For i</w:t>
      </w:r>
      <w:r w:rsidR="0062130C">
        <w:t xml:space="preserve">nstance, the outcome of Jenna was placed on the WRAG pathway </w:t>
      </w:r>
      <w:r w:rsidRPr="00186A2D">
        <w:t>in spite of severe physical pain and ongoing mental distress leading to social isolation. Jenna lodged an appeal as she felt her debilitating conditions had been disregarded in the original assessment because she was compliant</w:t>
      </w:r>
      <w:r w:rsidR="0062130C">
        <w:t xml:space="preserve"> with the process even when certain tasks</w:t>
      </w:r>
      <w:r w:rsidRPr="00186A2D">
        <w:t xml:space="preserve"> had caused her </w:t>
      </w:r>
      <w:r w:rsidR="0062130C">
        <w:t>severe discomfort</w:t>
      </w:r>
      <w:r w:rsidRPr="00186A2D">
        <w:t xml:space="preserve">. </w:t>
      </w:r>
      <w:r w:rsidR="0062130C">
        <w:t>During the assessment she had declined</w:t>
      </w:r>
      <w:r w:rsidRPr="00186A2D">
        <w:t xml:space="preserve"> help and manoeuvr</w:t>
      </w:r>
      <w:r w:rsidR="0062130C">
        <w:t xml:space="preserve">ed </w:t>
      </w:r>
      <w:r w:rsidRPr="00186A2D">
        <w:t>herself onto an examination table</w:t>
      </w:r>
      <w:r w:rsidR="0062130C">
        <w:t xml:space="preserve"> in spite of considerable</w:t>
      </w:r>
      <w:r w:rsidR="0062130C" w:rsidRPr="0062130C">
        <w:t xml:space="preserve"> </w:t>
      </w:r>
      <w:r w:rsidR="0062130C">
        <w:t>agony</w:t>
      </w:r>
      <w:r w:rsidR="00E12FF5">
        <w:t>. She appealed. During the appeal</w:t>
      </w:r>
      <w:r w:rsidRPr="00186A2D">
        <w:t xml:space="preserve"> assessment she described doing everything in her power to foreground her physical and mental health conditions: “…</w:t>
      </w:r>
      <w:r w:rsidRPr="00186A2D">
        <w:rPr>
          <w:i/>
        </w:rPr>
        <w:t>so I didn’t wash my hair for a week, I went in the clothes that I do my gardening in…and I hired a wheelchair from the Red Cross</w:t>
      </w:r>
      <w:r w:rsidR="00E12FF5">
        <w:rPr>
          <w:i/>
        </w:rPr>
        <w:t>.</w:t>
      </w:r>
      <w:r w:rsidR="00E12FF5">
        <w:t>”</w:t>
      </w:r>
      <w:r w:rsidRPr="00186A2D">
        <w:t xml:space="preserve">  For Jenna, this performative work</w:t>
      </w:r>
      <w:r w:rsidR="00FD22D6">
        <w:t xml:space="preserve"> enacting severe infirmity</w:t>
      </w:r>
      <w:r w:rsidRPr="00186A2D">
        <w:t xml:space="preserve"> functioned to counteract the minimization and invalidation of her mental distress and other health needs. </w:t>
      </w:r>
    </w:p>
    <w:p w14:paraId="01CB5D1C" w14:textId="4182ABF2" w:rsidR="00186A2D" w:rsidRPr="00186A2D" w:rsidRDefault="004E1655" w:rsidP="00677A9D">
      <w:pPr>
        <w:spacing w:after="120" w:line="360" w:lineRule="auto"/>
        <w:ind w:firstLine="720"/>
        <w:rPr>
          <w:rFonts w:eastAsia="MS Mincho" w:cs="Arial"/>
          <w:lang w:val="en-US"/>
        </w:rPr>
      </w:pPr>
      <w:r>
        <w:rPr>
          <w:rFonts w:eastAsia="MS Mincho" w:cs="Arial"/>
          <w:lang w:val="en-US"/>
        </w:rPr>
        <w:t>These</w:t>
      </w:r>
      <w:r w:rsidRPr="00186A2D">
        <w:rPr>
          <w:rFonts w:eastAsia="MS Mincho" w:cs="Arial"/>
          <w:lang w:val="en-US"/>
        </w:rPr>
        <w:t xml:space="preserve"> </w:t>
      </w:r>
      <w:r w:rsidR="00186A2D" w:rsidRPr="00186A2D">
        <w:rPr>
          <w:rFonts w:eastAsia="MS Mincho" w:cs="Arial"/>
          <w:lang w:val="en-US"/>
        </w:rPr>
        <w:t xml:space="preserve">processes of </w:t>
      </w:r>
      <w:r w:rsidR="00584E48">
        <w:rPr>
          <w:rFonts w:eastAsia="MS Mincho" w:cs="Arial" w:hint="eastAsia"/>
          <w:lang w:val="en-US"/>
        </w:rPr>
        <w:t>normalization</w:t>
      </w:r>
      <w:r>
        <w:rPr>
          <w:rFonts w:eastAsia="MS Mincho" w:cs="Arial"/>
          <w:lang w:val="en-US"/>
        </w:rPr>
        <w:t xml:space="preserve"> and invalidation of mental distress in the benefits system</w:t>
      </w:r>
      <w:r w:rsidR="00186A2D" w:rsidRPr="00186A2D">
        <w:rPr>
          <w:rFonts w:eastAsia="MS Mincho" w:cs="Arial"/>
          <w:lang w:val="en-US"/>
        </w:rPr>
        <w:t xml:space="preserve"> had parallel</w:t>
      </w:r>
      <w:r>
        <w:rPr>
          <w:rFonts w:eastAsia="MS Mincho" w:cs="Arial"/>
          <w:lang w:val="en-US"/>
        </w:rPr>
        <w:t>s</w:t>
      </w:r>
      <w:r w:rsidR="00186A2D" w:rsidRPr="00186A2D">
        <w:rPr>
          <w:rFonts w:eastAsia="MS Mincho" w:cs="Arial"/>
          <w:lang w:val="en-US"/>
        </w:rPr>
        <w:t xml:space="preserve"> in mental health </w:t>
      </w:r>
      <w:r>
        <w:rPr>
          <w:rFonts w:eastAsia="MS Mincho" w:cs="Arial"/>
          <w:lang w:val="en-US"/>
        </w:rPr>
        <w:t>services</w:t>
      </w:r>
      <w:r w:rsidRPr="00186A2D">
        <w:rPr>
          <w:rFonts w:eastAsia="MS Mincho" w:cs="Arial"/>
          <w:lang w:val="en-US"/>
        </w:rPr>
        <w:t xml:space="preserve"> </w:t>
      </w:r>
      <w:r w:rsidR="00186A2D" w:rsidRPr="00186A2D">
        <w:rPr>
          <w:rFonts w:eastAsia="MS Mincho" w:cs="Arial"/>
          <w:lang w:val="en-US"/>
        </w:rPr>
        <w:t xml:space="preserve">where a number of respondents </w:t>
      </w:r>
      <w:r w:rsidR="00584E48">
        <w:rPr>
          <w:rFonts w:eastAsia="MS Mincho" w:cs="Arial"/>
          <w:lang w:val="en-US"/>
        </w:rPr>
        <w:t>reported</w:t>
      </w:r>
      <w:r w:rsidR="00584E48" w:rsidRPr="00186A2D">
        <w:rPr>
          <w:rFonts w:eastAsia="MS Mincho" w:cs="Arial"/>
          <w:lang w:val="en-US"/>
        </w:rPr>
        <w:t xml:space="preserve"> </w:t>
      </w:r>
      <w:r w:rsidR="00186A2D" w:rsidRPr="00186A2D">
        <w:rPr>
          <w:rFonts w:eastAsia="MS Mincho" w:cs="Arial"/>
          <w:lang w:val="en-US"/>
        </w:rPr>
        <w:t>feeling that</w:t>
      </w:r>
      <w:r w:rsidR="00584E48">
        <w:rPr>
          <w:rFonts w:eastAsia="MS Mincho" w:cs="Arial"/>
          <w:lang w:val="en-US"/>
        </w:rPr>
        <w:t>, on occasion,</w:t>
      </w:r>
      <w:r w:rsidR="00186A2D" w:rsidRPr="00186A2D">
        <w:rPr>
          <w:rFonts w:eastAsia="MS Mincho" w:cs="Arial"/>
          <w:lang w:val="en-US"/>
        </w:rPr>
        <w:t xml:space="preserve"> practitioners </w:t>
      </w:r>
      <w:r w:rsidR="00584E48">
        <w:rPr>
          <w:rFonts w:eastAsia="MS Mincho" w:cs="Arial"/>
          <w:lang w:val="en-US"/>
        </w:rPr>
        <w:t>responded</w:t>
      </w:r>
      <w:r w:rsidR="00584E48" w:rsidRPr="00186A2D">
        <w:rPr>
          <w:rFonts w:eastAsia="MS Mincho" w:cs="Arial"/>
          <w:lang w:val="en-US"/>
        </w:rPr>
        <w:t xml:space="preserve"> </w:t>
      </w:r>
      <w:r w:rsidR="00186A2D" w:rsidRPr="00186A2D">
        <w:rPr>
          <w:rFonts w:eastAsia="MS Mincho" w:cs="Arial"/>
          <w:lang w:val="en-US"/>
        </w:rPr>
        <w:t>insensi</w:t>
      </w:r>
      <w:r w:rsidR="00B10121">
        <w:rPr>
          <w:rFonts w:eastAsia="MS Mincho" w:cs="Arial"/>
          <w:lang w:val="en-US"/>
        </w:rPr>
        <w:t xml:space="preserve">tively </w:t>
      </w:r>
      <w:r w:rsidR="00584E48">
        <w:rPr>
          <w:rFonts w:eastAsia="MS Mincho" w:cs="Arial"/>
          <w:lang w:val="en-US"/>
        </w:rPr>
        <w:t xml:space="preserve">to </w:t>
      </w:r>
      <w:r w:rsidR="00832C00">
        <w:rPr>
          <w:rFonts w:eastAsia="MS Mincho" w:cs="Arial"/>
          <w:lang w:val="en-US"/>
        </w:rPr>
        <w:t>service users</w:t>
      </w:r>
      <w:r w:rsidR="00FD22D6">
        <w:rPr>
          <w:rFonts w:eastAsia="MS Mincho" w:cs="Arial"/>
          <w:lang w:val="en-US"/>
        </w:rPr>
        <w:t xml:space="preserve">’ </w:t>
      </w:r>
      <w:r w:rsidR="00584E48">
        <w:rPr>
          <w:rFonts w:eastAsia="MS Mincho" w:cs="Arial"/>
          <w:lang w:val="en-US"/>
        </w:rPr>
        <w:t>descriptions of their</w:t>
      </w:r>
      <w:r w:rsidR="00186A2D" w:rsidRPr="00186A2D">
        <w:rPr>
          <w:rFonts w:eastAsia="MS Mincho" w:cs="Arial"/>
          <w:lang w:val="en-US"/>
        </w:rPr>
        <w:t xml:space="preserve"> </w:t>
      </w:r>
      <w:r>
        <w:rPr>
          <w:rFonts w:eastAsia="MS Mincho" w:cs="Arial"/>
          <w:lang w:val="en-US"/>
        </w:rPr>
        <w:t xml:space="preserve">illness </w:t>
      </w:r>
      <w:r w:rsidR="00186A2D" w:rsidRPr="00186A2D">
        <w:rPr>
          <w:rFonts w:eastAsia="MS Mincho" w:cs="Arial"/>
          <w:lang w:val="en-US"/>
        </w:rPr>
        <w:t xml:space="preserve">experiences. </w:t>
      </w:r>
      <w:r w:rsidR="00186A2D" w:rsidRPr="00186A2D">
        <w:rPr>
          <w:rFonts w:eastAsia="Times New Roman" w:cs="Arial"/>
          <w:lang w:val="en-GB"/>
        </w:rPr>
        <w:t>An example was given by</w:t>
      </w:r>
      <w:r w:rsidR="00186A2D" w:rsidRPr="00186A2D">
        <w:rPr>
          <w:rFonts w:eastAsia="MS Mincho" w:cs="Arial"/>
          <w:lang w:val="en-US"/>
        </w:rPr>
        <w:t xml:space="preserve"> Jacky, who </w:t>
      </w:r>
      <w:r w:rsidR="00584E48" w:rsidRPr="00584E48">
        <w:rPr>
          <w:rFonts w:eastAsia="MS Mincho" w:cs="Arial"/>
          <w:lang w:val="en-US"/>
        </w:rPr>
        <w:t>expressed</w:t>
      </w:r>
      <w:r w:rsidR="00186A2D" w:rsidRPr="00186A2D">
        <w:rPr>
          <w:rFonts w:eastAsia="MS Mincho" w:cs="Arial"/>
          <w:lang w:val="en-US"/>
        </w:rPr>
        <w:t xml:space="preserve"> </w:t>
      </w:r>
      <w:r w:rsidR="00584E48">
        <w:rPr>
          <w:rFonts w:eastAsia="MS Mincho" w:cs="Arial"/>
          <w:lang w:val="en-US"/>
        </w:rPr>
        <w:t>a sense of</w:t>
      </w:r>
      <w:r w:rsidR="00584E48" w:rsidRPr="00186A2D">
        <w:rPr>
          <w:rFonts w:eastAsia="MS Mincho" w:cs="Arial"/>
          <w:lang w:val="en-US"/>
        </w:rPr>
        <w:t xml:space="preserve"> </w:t>
      </w:r>
      <w:r w:rsidR="00186A2D" w:rsidRPr="00186A2D">
        <w:rPr>
          <w:rFonts w:eastAsia="MS Mincho" w:cs="Arial"/>
          <w:lang w:val="en-US"/>
        </w:rPr>
        <w:t>deep frustration when, during a period of severe depression following her son’s suicide attempt, a psychiatrist suggested to her a management plan involving ‘</w:t>
      </w:r>
      <w:r w:rsidR="00186A2D" w:rsidRPr="00186A2D">
        <w:rPr>
          <w:rFonts w:eastAsia="MS Mincho" w:cs="Arial"/>
          <w:i/>
          <w:lang w:val="en-US"/>
        </w:rPr>
        <w:t>long walks in the hills</w:t>
      </w:r>
      <w:r w:rsidR="00186A2D" w:rsidRPr="00186A2D">
        <w:rPr>
          <w:rFonts w:eastAsia="MS Mincho" w:cs="Arial"/>
          <w:lang w:val="en-US"/>
        </w:rPr>
        <w:t xml:space="preserve">’. Similarly, Donna described, in spite of continuing to feel suicidal at the point of discharge from </w:t>
      </w:r>
      <w:r w:rsidR="00A97C9B">
        <w:rPr>
          <w:rFonts w:eastAsia="MS Mincho" w:cs="Arial"/>
          <w:lang w:val="en-US"/>
        </w:rPr>
        <w:t>psychiatric hospital,</w:t>
      </w:r>
      <w:r w:rsidR="00186A2D" w:rsidRPr="00186A2D">
        <w:rPr>
          <w:rFonts w:eastAsia="MS Mincho" w:cs="Arial"/>
          <w:lang w:val="en-US"/>
        </w:rPr>
        <w:t xml:space="preserve"> </w:t>
      </w:r>
      <w:r w:rsidR="00A97C9B">
        <w:rPr>
          <w:rFonts w:eastAsia="MS Mincho" w:cs="Arial"/>
          <w:lang w:val="en-US"/>
        </w:rPr>
        <w:t xml:space="preserve">being </w:t>
      </w:r>
      <w:r w:rsidR="00186A2D" w:rsidRPr="00186A2D">
        <w:rPr>
          <w:rFonts w:eastAsia="MS Mincho" w:cs="Arial"/>
          <w:lang w:val="en-US"/>
        </w:rPr>
        <w:t>advised by a social worker assessing her needs in the community to simply ‘</w:t>
      </w:r>
      <w:r w:rsidR="00186A2D" w:rsidRPr="00186A2D">
        <w:rPr>
          <w:rFonts w:eastAsia="MS Mincho" w:cs="Arial"/>
          <w:i/>
          <w:lang w:val="en-US"/>
        </w:rPr>
        <w:t>get on with it</w:t>
      </w:r>
      <w:r w:rsidR="00186A2D" w:rsidRPr="00186A2D">
        <w:rPr>
          <w:rFonts w:eastAsia="MS Mincho" w:cs="Arial"/>
          <w:lang w:val="en-US"/>
        </w:rPr>
        <w:t>’</w:t>
      </w:r>
      <w:r w:rsidR="00186A2D" w:rsidRPr="00186A2D">
        <w:rPr>
          <w:rFonts w:eastAsia="Times New Roman" w:cs="Arial"/>
          <w:lang w:val="en-GB"/>
        </w:rPr>
        <w:t>.</w:t>
      </w:r>
      <w:r w:rsidR="00186A2D" w:rsidRPr="00186A2D">
        <w:rPr>
          <w:rFonts w:eastAsia="MS Mincho" w:cs="Arial"/>
          <w:lang w:val="en-US"/>
        </w:rPr>
        <w:t xml:space="preserve"> Long-term service user </w:t>
      </w:r>
      <w:r w:rsidR="00186A2D" w:rsidRPr="00186A2D">
        <w:rPr>
          <w:rFonts w:eastAsia="MS Mincho" w:cs="Arial"/>
          <w:lang w:val="en-US"/>
        </w:rPr>
        <w:lastRenderedPageBreak/>
        <w:t xml:space="preserve">Hailey </w:t>
      </w:r>
      <w:r w:rsidR="00832C00">
        <w:rPr>
          <w:rFonts w:eastAsia="MS Mincho" w:cs="Arial"/>
          <w:lang w:val="en-US"/>
        </w:rPr>
        <w:t xml:space="preserve">also </w:t>
      </w:r>
      <w:r w:rsidR="00186A2D" w:rsidRPr="00186A2D">
        <w:rPr>
          <w:rFonts w:eastAsia="MS Mincho" w:cs="Arial"/>
          <w:lang w:val="en-US"/>
        </w:rPr>
        <w:t xml:space="preserve">described a </w:t>
      </w:r>
      <w:r w:rsidR="00832C00" w:rsidRPr="00832C00">
        <w:rPr>
          <w:rFonts w:eastAsia="MS Mincho" w:cs="Arial"/>
          <w:lang w:val="en-US"/>
        </w:rPr>
        <w:t>compara</w:t>
      </w:r>
      <w:r w:rsidR="00832C00" w:rsidRPr="00832C00">
        <w:rPr>
          <w:rFonts w:eastAsia="MS Mincho" w:cs="Arial" w:hint="eastAsia"/>
          <w:lang w:val="en-US"/>
        </w:rPr>
        <w:t>ble</w:t>
      </w:r>
      <w:r w:rsidR="00832C00">
        <w:rPr>
          <w:rFonts w:eastAsia="MS Mincho" w:cs="Arial"/>
          <w:lang w:val="en-US"/>
        </w:rPr>
        <w:t xml:space="preserve"> experience in the form of an</w:t>
      </w:r>
      <w:r w:rsidR="00186A2D" w:rsidRPr="00186A2D">
        <w:rPr>
          <w:rFonts w:eastAsia="MS Mincho" w:cs="Arial"/>
          <w:lang w:val="en-US"/>
        </w:rPr>
        <w:t xml:space="preserve"> interaction with a duty mental health nurse when she presented in crisis at her local outpatient service, </w:t>
      </w:r>
    </w:p>
    <w:p w14:paraId="71BFA7AD" w14:textId="456C99D3" w:rsidR="00186A2D" w:rsidRPr="00186A2D" w:rsidRDefault="00186A2D" w:rsidP="00186A2D">
      <w:pPr>
        <w:spacing w:before="240" w:after="120" w:line="360" w:lineRule="auto"/>
        <w:ind w:left="720"/>
        <w:rPr>
          <w:rFonts w:eastAsia="MS Mincho" w:cs="Arial"/>
          <w:b/>
          <w:lang w:val="en-US"/>
        </w:rPr>
      </w:pPr>
      <w:r w:rsidRPr="00186A2D">
        <w:rPr>
          <w:rFonts w:eastAsia="MS Mincho" w:cs="Arial"/>
          <w:i/>
          <w:lang w:val="en-US"/>
        </w:rPr>
        <w:t xml:space="preserve">I </w:t>
      </w:r>
      <w:r w:rsidRPr="00FD22D6">
        <w:rPr>
          <w:rFonts w:eastAsia="MS Mincho" w:cs="Arial"/>
          <w:lang w:val="en-US"/>
        </w:rPr>
        <w:t>told [the nurse]</w:t>
      </w:r>
      <w:r w:rsidRPr="00186A2D">
        <w:rPr>
          <w:rFonts w:eastAsia="MS Mincho" w:cs="Arial"/>
          <w:i/>
          <w:lang w:val="en-US"/>
        </w:rPr>
        <w:t xml:space="preserve"> how I was feeling and he said, </w:t>
      </w:r>
      <w:r w:rsidR="00FD22D6">
        <w:rPr>
          <w:rFonts w:eastAsia="MS Mincho" w:cs="Arial"/>
          <w:i/>
          <w:lang w:val="en-US"/>
        </w:rPr>
        <w:t>‘</w:t>
      </w:r>
      <w:r w:rsidRPr="00186A2D">
        <w:rPr>
          <w:rFonts w:eastAsia="MS Mincho" w:cs="Arial"/>
          <w:i/>
          <w:lang w:val="en-US"/>
        </w:rPr>
        <w:t>oh, you're just depressed</w:t>
      </w:r>
      <w:r w:rsidR="00FD22D6">
        <w:rPr>
          <w:rFonts w:eastAsia="MS Mincho" w:cs="Arial"/>
          <w:i/>
          <w:lang w:val="en-US"/>
        </w:rPr>
        <w:t>’</w:t>
      </w:r>
      <w:r w:rsidRPr="00186A2D">
        <w:rPr>
          <w:rFonts w:eastAsia="MS Mincho" w:cs="Arial"/>
          <w:i/>
          <w:lang w:val="en-US"/>
        </w:rPr>
        <w:t>, just go to bed, that was at half ten in the morning and I'm like, hang on a minute, years ago, you'd moan at me, shout at me for being in bed all day and I'm trying to do my best to stay out of bed.</w:t>
      </w:r>
      <w:r w:rsidRPr="00186A2D">
        <w:rPr>
          <w:rFonts w:eastAsia="MS Mincho" w:cs="Arial"/>
          <w:lang w:val="en-US"/>
        </w:rPr>
        <w:t xml:space="preserve"> </w:t>
      </w:r>
    </w:p>
    <w:p w14:paraId="60909401" w14:textId="6ECE6F54" w:rsidR="00661873" w:rsidRDefault="00186A2D" w:rsidP="00186A2D">
      <w:pPr>
        <w:widowControl w:val="0"/>
        <w:tabs>
          <w:tab w:val="left" w:pos="220"/>
          <w:tab w:val="left" w:pos="720"/>
        </w:tabs>
        <w:autoSpaceDE w:val="0"/>
        <w:autoSpaceDN w:val="0"/>
        <w:adjustRightInd w:val="0"/>
        <w:spacing w:after="120" w:line="360" w:lineRule="auto"/>
        <w:rPr>
          <w:rFonts w:eastAsia="MS Mincho" w:cs="Arial"/>
          <w:color w:val="000000"/>
          <w:lang w:val="en-US"/>
        </w:rPr>
      </w:pPr>
      <w:r w:rsidRPr="00186A2D">
        <w:rPr>
          <w:rFonts w:eastAsia="MS Mincho" w:cs="Arial"/>
          <w:lang w:val="en-US"/>
        </w:rPr>
        <w:t xml:space="preserve">These </w:t>
      </w:r>
      <w:r w:rsidRPr="00186A2D">
        <w:rPr>
          <w:rFonts w:eastAsia="MS Mincho" w:cs="Arial" w:hint="eastAsia"/>
          <w:lang w:val="en-US"/>
        </w:rPr>
        <w:t>description</w:t>
      </w:r>
      <w:r w:rsidRPr="00186A2D">
        <w:rPr>
          <w:rFonts w:eastAsia="MS Mincho" w:cs="Arial"/>
          <w:lang w:val="en-US"/>
        </w:rPr>
        <w:t>s by Hailey</w:t>
      </w:r>
      <w:r w:rsidRPr="00186A2D">
        <w:rPr>
          <w:rFonts w:eastAsia="MS Mincho" w:cs="Arial" w:hint="eastAsia"/>
          <w:lang w:val="en-US"/>
        </w:rPr>
        <w:t>, Jacky</w:t>
      </w:r>
      <w:r w:rsidRPr="00186A2D">
        <w:rPr>
          <w:rFonts w:eastAsia="MS Mincho" w:cs="Arial"/>
          <w:lang w:val="en-US"/>
        </w:rPr>
        <w:t xml:space="preserve"> and Donna</w:t>
      </w:r>
      <w:r w:rsidRPr="00186A2D">
        <w:rPr>
          <w:rFonts w:eastAsia="MS Mincho" w:cs="Arial" w:hint="eastAsia"/>
          <w:lang w:val="en-US"/>
        </w:rPr>
        <w:t xml:space="preserve"> highlight </w:t>
      </w:r>
      <w:r w:rsidR="00832C00">
        <w:rPr>
          <w:rFonts w:eastAsia="MS Mincho" w:cs="Arial"/>
          <w:lang w:val="en-US"/>
        </w:rPr>
        <w:t xml:space="preserve">a palpable sense of </w:t>
      </w:r>
      <w:r w:rsidRPr="00186A2D">
        <w:rPr>
          <w:rFonts w:eastAsia="MS Mincho" w:cs="Arial"/>
          <w:lang w:val="en-US"/>
        </w:rPr>
        <w:t xml:space="preserve">anger at the normalization of </w:t>
      </w:r>
      <w:r w:rsidRPr="00186A2D">
        <w:rPr>
          <w:rFonts w:eastAsia="MS Mincho" w:cs="Arial" w:hint="eastAsia"/>
          <w:lang w:val="en-US"/>
        </w:rPr>
        <w:t>distress</w:t>
      </w:r>
      <w:r w:rsidRPr="00186A2D">
        <w:rPr>
          <w:rFonts w:eastAsia="MS Mincho" w:cs="Arial"/>
          <w:lang w:val="en-US"/>
        </w:rPr>
        <w:t xml:space="preserve">, and a perception that </w:t>
      </w:r>
      <w:r w:rsidR="00832C00">
        <w:rPr>
          <w:rFonts w:eastAsia="MS Mincho" w:cs="Arial"/>
          <w:lang w:val="en-US"/>
        </w:rPr>
        <w:t>their lived experiences</w:t>
      </w:r>
      <w:r w:rsidR="00832C00" w:rsidRPr="00186A2D">
        <w:rPr>
          <w:rFonts w:eastAsia="MS Mincho" w:cs="Arial"/>
          <w:lang w:val="en-US"/>
        </w:rPr>
        <w:t xml:space="preserve"> </w:t>
      </w:r>
      <w:r w:rsidRPr="00186A2D">
        <w:rPr>
          <w:rFonts w:eastAsia="MS Mincho" w:cs="Arial"/>
          <w:lang w:val="en-US"/>
        </w:rPr>
        <w:t>were dis</w:t>
      </w:r>
      <w:r w:rsidRPr="00186A2D">
        <w:rPr>
          <w:rFonts w:eastAsia="MS Mincho" w:cs="Arial" w:hint="eastAsia"/>
          <w:lang w:val="en-US"/>
        </w:rPr>
        <w:t>regarded</w:t>
      </w:r>
      <w:r w:rsidRPr="00186A2D">
        <w:rPr>
          <w:rFonts w:eastAsia="MS Mincho" w:cs="Arial"/>
          <w:lang w:val="en-US"/>
        </w:rPr>
        <w:t xml:space="preserve"> as illegitimate by </w:t>
      </w:r>
      <w:r w:rsidRPr="00186A2D">
        <w:rPr>
          <w:rFonts w:eastAsia="MS Mincho" w:cs="Arial" w:hint="eastAsia"/>
          <w:lang w:val="en-US"/>
        </w:rPr>
        <w:t>healthcare</w:t>
      </w:r>
      <w:r w:rsidR="00677A9D">
        <w:rPr>
          <w:rFonts w:eastAsia="MS Mincho" w:cs="Arial"/>
          <w:lang w:val="en-US"/>
        </w:rPr>
        <w:t xml:space="preserve"> professionals</w:t>
      </w:r>
      <w:r w:rsidRPr="00186A2D">
        <w:t xml:space="preserve">. </w:t>
      </w:r>
      <w:r w:rsidRPr="00186A2D">
        <w:rPr>
          <w:rFonts w:eastAsia="MS Mincho" w:cs="Arial"/>
          <w:lang w:val="en-US"/>
        </w:rPr>
        <w:t xml:space="preserve">Moreover Hailey and other participants </w:t>
      </w:r>
      <w:r w:rsidRPr="00186A2D">
        <w:rPr>
          <w:rFonts w:eastAsia="MS Mincho" w:cs="Arial" w:hint="eastAsia"/>
          <w:lang w:val="en-US"/>
        </w:rPr>
        <w:t>suggested</w:t>
      </w:r>
      <w:r w:rsidRPr="00186A2D">
        <w:rPr>
          <w:rFonts w:eastAsia="MS Mincho" w:cs="Arial"/>
          <w:lang w:val="en-US"/>
        </w:rPr>
        <w:t xml:space="preserve"> that the frequency of this type of response by service providers was increasing in a wider context of austerity-related service retrenchment.</w:t>
      </w:r>
      <w:r w:rsidR="000B3C12">
        <w:rPr>
          <w:rFonts w:eastAsia="MS Mincho" w:cs="Arial"/>
          <w:color w:val="000000"/>
          <w:lang w:val="en-US"/>
        </w:rPr>
        <w:t xml:space="preserve"> </w:t>
      </w:r>
    </w:p>
    <w:p w14:paraId="258ADA62" w14:textId="4D0B3290" w:rsidR="00186A2D" w:rsidRPr="00186A2D" w:rsidRDefault="000B3C12" w:rsidP="00186A2D">
      <w:pPr>
        <w:widowControl w:val="0"/>
        <w:tabs>
          <w:tab w:val="left" w:pos="220"/>
          <w:tab w:val="left" w:pos="720"/>
        </w:tabs>
        <w:autoSpaceDE w:val="0"/>
        <w:autoSpaceDN w:val="0"/>
        <w:adjustRightInd w:val="0"/>
        <w:spacing w:after="120" w:line="360" w:lineRule="auto"/>
        <w:rPr>
          <w:rFonts w:eastAsia="MS Mincho" w:cs="Arial"/>
          <w:color w:val="000000"/>
          <w:lang w:val="en-US"/>
        </w:rPr>
      </w:pPr>
      <w:r>
        <w:rPr>
          <w:rFonts w:eastAsia="MS Mincho" w:cs="Arial"/>
          <w:color w:val="000000"/>
          <w:lang w:val="en-US"/>
        </w:rPr>
        <w:tab/>
      </w:r>
      <w:r>
        <w:rPr>
          <w:rFonts w:eastAsia="MS Mincho" w:cs="Arial"/>
          <w:color w:val="000000"/>
          <w:lang w:val="en-US"/>
        </w:rPr>
        <w:tab/>
      </w:r>
      <w:r w:rsidR="00186A2D" w:rsidRPr="00186A2D">
        <w:rPr>
          <w:rFonts w:eastAsia="MS Mincho" w:cs="Arial"/>
          <w:color w:val="000000"/>
          <w:lang w:val="en-US"/>
        </w:rPr>
        <w:t xml:space="preserve">In contrast, there was a general feeling across many of the focus groups that when distress or illness was sensitively acknowledged by professionals within the mental health system that this contributed to the management and containment of such experiences. Peter explained, when community based day </w:t>
      </w:r>
      <w:proofErr w:type="spellStart"/>
      <w:r w:rsidR="00186A2D" w:rsidRPr="00186A2D">
        <w:rPr>
          <w:rFonts w:eastAsia="MS Mincho" w:cs="Arial"/>
          <w:color w:val="000000"/>
          <w:lang w:val="en-US"/>
        </w:rPr>
        <w:t>centre</w:t>
      </w:r>
      <w:proofErr w:type="spellEnd"/>
      <w:r w:rsidR="00186A2D" w:rsidRPr="00186A2D">
        <w:rPr>
          <w:rFonts w:eastAsia="MS Mincho" w:cs="Arial"/>
          <w:color w:val="000000"/>
          <w:lang w:val="en-US"/>
        </w:rPr>
        <w:t xml:space="preserve"> care was at its best, it offered </w:t>
      </w:r>
      <w:r w:rsidR="00186A2D" w:rsidRPr="00186A2D">
        <w:rPr>
          <w:rFonts w:eastAsia="MS Mincho" w:cs="Arial"/>
          <w:i/>
          <w:color w:val="000000"/>
          <w:lang w:val="en-US"/>
        </w:rPr>
        <w:t>‘an acknowledgement of illness, an opportunity to talk to professional</w:t>
      </w:r>
      <w:r w:rsidR="00904495">
        <w:rPr>
          <w:rFonts w:eastAsia="MS Mincho" w:cs="Arial"/>
          <w:i/>
          <w:color w:val="000000"/>
          <w:lang w:val="en-US"/>
        </w:rPr>
        <w:t>s</w:t>
      </w:r>
      <w:r w:rsidR="00186A2D" w:rsidRPr="00186A2D">
        <w:rPr>
          <w:rFonts w:eastAsia="MS Mincho" w:cs="Arial"/>
          <w:i/>
          <w:color w:val="000000"/>
          <w:lang w:val="en-US"/>
        </w:rPr>
        <w:t>’</w:t>
      </w:r>
      <w:r w:rsidR="00186A2D" w:rsidRPr="00186A2D">
        <w:rPr>
          <w:rFonts w:eastAsia="MS Mincho" w:cs="Arial"/>
          <w:color w:val="000000"/>
          <w:lang w:val="en-US"/>
        </w:rPr>
        <w:t>,</w:t>
      </w:r>
    </w:p>
    <w:p w14:paraId="5AE8AA48" w14:textId="468BA7BE" w:rsidR="00186A2D" w:rsidRPr="00186A2D" w:rsidRDefault="00186A2D" w:rsidP="00186A2D">
      <w:pPr>
        <w:widowControl w:val="0"/>
        <w:tabs>
          <w:tab w:val="left" w:pos="220"/>
          <w:tab w:val="left" w:pos="720"/>
        </w:tabs>
        <w:autoSpaceDE w:val="0"/>
        <w:autoSpaceDN w:val="0"/>
        <w:adjustRightInd w:val="0"/>
        <w:spacing w:after="120" w:line="360" w:lineRule="auto"/>
        <w:ind w:left="720"/>
        <w:rPr>
          <w:rFonts w:eastAsia="MS Mincho" w:cs="Arial"/>
          <w:color w:val="000000"/>
          <w:lang w:val="en-US"/>
        </w:rPr>
      </w:pPr>
      <w:r w:rsidRPr="00186A2D">
        <w:rPr>
          <w:i/>
        </w:rPr>
        <w:t>…having strange thoughts or delusions, or hallucinations, but that’s my reality, I want those to be acknowledged, not always shot down as if that’s a stupid thought, or you shouldn’t have those ways of looking at the world or reading messages into things</w:t>
      </w:r>
      <w:r w:rsidR="008956E4">
        <w:rPr>
          <w:i/>
        </w:rPr>
        <w:t xml:space="preserve"> [</w:t>
      </w:r>
      <w:r w:rsidRPr="00186A2D">
        <w:rPr>
          <w:i/>
        </w:rPr>
        <w:t>…</w:t>
      </w:r>
      <w:r w:rsidR="008956E4">
        <w:rPr>
          <w:i/>
        </w:rPr>
        <w:t xml:space="preserve">] </w:t>
      </w:r>
      <w:r w:rsidRPr="00186A2D">
        <w:rPr>
          <w:i/>
        </w:rPr>
        <w:t>I take them very seriously and it gives me confidence to speak to people and have the freedom of thought to recognise when something is troubling me or is strange or out of the ordinary that can kind of have a detrimental effect on my mental health</w:t>
      </w:r>
      <w:r w:rsidRPr="00186A2D">
        <w:t>’</w:t>
      </w:r>
      <w:r w:rsidRPr="00186A2D">
        <w:rPr>
          <w:rFonts w:eastAsia="MS Mincho" w:cs="Arial"/>
          <w:color w:val="000000"/>
          <w:lang w:val="en-US"/>
        </w:rPr>
        <w:t xml:space="preserve">  </w:t>
      </w:r>
    </w:p>
    <w:p w14:paraId="2FDC13B0" w14:textId="5756E425" w:rsidR="008D7743" w:rsidRDefault="00584E48" w:rsidP="00BC4F5B">
      <w:pPr>
        <w:widowControl w:val="0"/>
        <w:tabs>
          <w:tab w:val="left" w:pos="220"/>
          <w:tab w:val="left" w:pos="720"/>
        </w:tabs>
        <w:autoSpaceDE w:val="0"/>
        <w:autoSpaceDN w:val="0"/>
        <w:adjustRightInd w:val="0"/>
        <w:spacing w:after="120" w:line="360" w:lineRule="auto"/>
        <w:rPr>
          <w:rFonts w:eastAsia="MS Mincho" w:cs="Arial"/>
          <w:lang w:val="en-US"/>
        </w:rPr>
      </w:pPr>
      <w:r>
        <w:rPr>
          <w:rFonts w:eastAsia="MS Mincho" w:cs="Arial"/>
          <w:color w:val="000000"/>
          <w:lang w:val="en-US"/>
        </w:rPr>
        <w:t xml:space="preserve">In summary, </w:t>
      </w:r>
      <w:r w:rsidR="005902B8" w:rsidRPr="00186A2D">
        <w:rPr>
          <w:rFonts w:eastAsia="MS Mincho" w:cs="Arial"/>
          <w:color w:val="000000"/>
          <w:lang w:val="en-US"/>
        </w:rPr>
        <w:t>w</w:t>
      </w:r>
      <w:r w:rsidR="005902B8">
        <w:rPr>
          <w:rFonts w:eastAsia="MS Mincho" w:cs="Arial"/>
          <w:color w:val="000000"/>
          <w:lang w:val="en-US"/>
        </w:rPr>
        <w:t>elfare and mental health service</w:t>
      </w:r>
      <w:r w:rsidR="005902B8" w:rsidRPr="00186A2D">
        <w:rPr>
          <w:rFonts w:eastAsia="MS Mincho" w:cs="Arial"/>
          <w:color w:val="000000"/>
          <w:lang w:val="en-US"/>
        </w:rPr>
        <w:t xml:space="preserve"> </w:t>
      </w:r>
      <w:r>
        <w:rPr>
          <w:rFonts w:eastAsia="MS Mincho" w:cs="Arial"/>
          <w:color w:val="000000"/>
          <w:lang w:val="en-US"/>
        </w:rPr>
        <w:t>r</w:t>
      </w:r>
      <w:r w:rsidRPr="00186A2D">
        <w:rPr>
          <w:rFonts w:eastAsia="MS Mincho" w:cs="Arial"/>
          <w:color w:val="000000"/>
          <w:lang w:val="en-US"/>
        </w:rPr>
        <w:t xml:space="preserve">eforms </w:t>
      </w:r>
      <w:r w:rsidR="008D7743">
        <w:rPr>
          <w:rFonts w:eastAsia="MS Mincho" w:cs="Arial"/>
          <w:color w:val="000000"/>
          <w:lang w:val="en-US"/>
        </w:rPr>
        <w:t xml:space="preserve">have </w:t>
      </w:r>
      <w:r w:rsidR="00186A2D" w:rsidRPr="00186A2D">
        <w:rPr>
          <w:rFonts w:eastAsia="MS Mincho" w:cs="Arial"/>
          <w:color w:val="000000"/>
          <w:lang w:val="en-US"/>
        </w:rPr>
        <w:t xml:space="preserve">increasingly </w:t>
      </w:r>
      <w:r w:rsidR="00832C00">
        <w:rPr>
          <w:rFonts w:eastAsia="MS Mincho" w:cs="Arial"/>
          <w:color w:val="000000"/>
          <w:lang w:val="en-US"/>
        </w:rPr>
        <w:t xml:space="preserve">functioned to </w:t>
      </w:r>
      <w:r w:rsidR="00186A2D" w:rsidRPr="00186A2D">
        <w:rPr>
          <w:rFonts w:eastAsia="MS Mincho" w:cs="Arial"/>
          <w:color w:val="000000"/>
          <w:lang w:val="en-US"/>
        </w:rPr>
        <w:t>challenge the ontological validity of users</w:t>
      </w:r>
      <w:r w:rsidR="00786FE9">
        <w:rPr>
          <w:rFonts w:eastAsia="MS Mincho" w:cs="Arial"/>
          <w:color w:val="000000"/>
          <w:lang w:val="en-US"/>
        </w:rPr>
        <w:t xml:space="preserve">’ </w:t>
      </w:r>
      <w:r w:rsidR="00186A2D" w:rsidRPr="00186A2D">
        <w:rPr>
          <w:rFonts w:eastAsia="MS Mincho" w:cs="Arial"/>
          <w:color w:val="000000"/>
          <w:lang w:val="en-US"/>
        </w:rPr>
        <w:t xml:space="preserve">lived </w:t>
      </w:r>
      <w:r w:rsidR="00786FE9">
        <w:rPr>
          <w:rFonts w:eastAsia="MS Mincho" w:cs="Arial"/>
          <w:color w:val="000000"/>
          <w:lang w:val="en-US"/>
        </w:rPr>
        <w:t>experiences</w:t>
      </w:r>
      <w:r w:rsidR="00186A2D" w:rsidRPr="00186A2D">
        <w:rPr>
          <w:rFonts w:eastAsia="MS Mincho" w:cs="Arial"/>
          <w:color w:val="000000"/>
          <w:lang w:val="en-US"/>
        </w:rPr>
        <w:t xml:space="preserve">. </w:t>
      </w:r>
      <w:r w:rsidR="00786FE9">
        <w:rPr>
          <w:rFonts w:eastAsia="MS Mincho" w:cs="Arial"/>
          <w:color w:val="000000"/>
          <w:lang w:val="en-US"/>
        </w:rPr>
        <w:t>M</w:t>
      </w:r>
      <w:r w:rsidR="00186A2D" w:rsidRPr="00186A2D">
        <w:rPr>
          <w:rFonts w:eastAsia="MS Mincho" w:cs="Arial" w:hint="eastAsia"/>
          <w:color w:val="000000"/>
          <w:lang w:val="en-US"/>
        </w:rPr>
        <w:t>inimization</w:t>
      </w:r>
      <w:r w:rsidR="00186A2D" w:rsidRPr="00186A2D">
        <w:rPr>
          <w:rFonts w:eastAsia="MS Mincho" w:cs="Arial"/>
          <w:color w:val="000000"/>
          <w:lang w:val="en-US"/>
        </w:rPr>
        <w:t xml:space="preserve"> and </w:t>
      </w:r>
      <w:r w:rsidR="00186A2D" w:rsidRPr="00186A2D">
        <w:rPr>
          <w:rFonts w:eastAsia="MS Mincho" w:cs="Arial" w:hint="eastAsia"/>
          <w:color w:val="000000"/>
          <w:lang w:val="en-US"/>
        </w:rPr>
        <w:t>normalization</w:t>
      </w:r>
      <w:r w:rsidR="00186A2D" w:rsidRPr="00186A2D">
        <w:rPr>
          <w:rFonts w:eastAsia="MS Mincho" w:cs="Arial"/>
          <w:color w:val="000000"/>
          <w:lang w:val="en-US"/>
        </w:rPr>
        <w:t xml:space="preserve"> </w:t>
      </w:r>
      <w:r w:rsidR="008D7743">
        <w:rPr>
          <w:rFonts w:eastAsia="MS Mincho" w:cs="Arial"/>
          <w:color w:val="000000"/>
          <w:lang w:val="en-US"/>
        </w:rPr>
        <w:t xml:space="preserve">has </w:t>
      </w:r>
      <w:r w:rsidR="00786FE9">
        <w:rPr>
          <w:rFonts w:eastAsia="MS Mincho" w:cs="Arial"/>
          <w:color w:val="000000"/>
          <w:lang w:val="en-US"/>
        </w:rPr>
        <w:t xml:space="preserve">led </w:t>
      </w:r>
      <w:r w:rsidR="00186A2D" w:rsidRPr="00186A2D">
        <w:rPr>
          <w:rFonts w:eastAsia="MS Mincho" w:cs="Arial"/>
          <w:color w:val="000000"/>
          <w:lang w:val="en-US"/>
        </w:rPr>
        <w:t xml:space="preserve">to the systematic </w:t>
      </w:r>
      <w:proofErr w:type="spellStart"/>
      <w:r w:rsidR="00186A2D" w:rsidRPr="00186A2D">
        <w:rPr>
          <w:rFonts w:eastAsia="MS Mincho" w:cs="Arial" w:hint="eastAsia"/>
          <w:color w:val="000000"/>
          <w:lang w:val="en-US"/>
        </w:rPr>
        <w:t>delegitimization</w:t>
      </w:r>
      <w:proofErr w:type="spellEnd"/>
      <w:r w:rsidR="00186A2D" w:rsidRPr="00186A2D">
        <w:rPr>
          <w:rFonts w:eastAsia="MS Mincho" w:cs="Arial" w:hint="eastAsia"/>
          <w:color w:val="000000"/>
          <w:lang w:val="en-US"/>
        </w:rPr>
        <w:t xml:space="preserve"> of </w:t>
      </w:r>
      <w:r w:rsidR="00186A2D" w:rsidRPr="00186A2D">
        <w:rPr>
          <w:rFonts w:eastAsia="MS Mincho" w:cs="Arial"/>
          <w:color w:val="000000"/>
          <w:lang w:val="en-US"/>
        </w:rPr>
        <w:t xml:space="preserve">mental </w:t>
      </w:r>
      <w:r w:rsidR="00786FE9">
        <w:rPr>
          <w:rFonts w:eastAsia="MS Mincho" w:cs="Arial"/>
          <w:color w:val="000000"/>
          <w:lang w:val="en-US"/>
        </w:rPr>
        <w:t>distress in various</w:t>
      </w:r>
      <w:r w:rsidR="00186A2D" w:rsidRPr="00186A2D">
        <w:rPr>
          <w:rFonts w:eastAsia="MS Mincho" w:cs="Arial"/>
          <w:color w:val="000000"/>
          <w:lang w:val="en-US"/>
        </w:rPr>
        <w:t xml:space="preserve"> institutional contexts</w:t>
      </w:r>
      <w:r w:rsidR="008D7743">
        <w:rPr>
          <w:rFonts w:eastAsia="MS Mincho" w:cs="Arial"/>
          <w:color w:val="000000"/>
          <w:lang w:val="en-US"/>
        </w:rPr>
        <w:t xml:space="preserve">, with </w:t>
      </w:r>
      <w:r w:rsidR="00832C00" w:rsidRPr="005B126D">
        <w:rPr>
          <w:rFonts w:eastAsia="MS Mincho" w:cs="Arial"/>
          <w:lang w:val="en-US"/>
        </w:rPr>
        <w:t xml:space="preserve">sick role entitlements </w:t>
      </w:r>
      <w:r w:rsidR="008D7743">
        <w:rPr>
          <w:rFonts w:eastAsia="MS Mincho" w:cs="Arial"/>
          <w:lang w:val="en-US"/>
        </w:rPr>
        <w:t>undermined as a consequence. Meanwhile n</w:t>
      </w:r>
      <w:r w:rsidR="008D7743" w:rsidRPr="005B126D">
        <w:rPr>
          <w:rFonts w:eastAsia="MS Mincho" w:cs="Arial"/>
          <w:lang w:val="en-US"/>
        </w:rPr>
        <w:t xml:space="preserve">eoliberal transformations of social policy have </w:t>
      </w:r>
      <w:proofErr w:type="spellStart"/>
      <w:r w:rsidR="008D7743" w:rsidRPr="005B126D">
        <w:rPr>
          <w:rFonts w:eastAsia="MS Mincho" w:cs="Arial"/>
          <w:lang w:val="en-US"/>
        </w:rPr>
        <w:t>remobilised</w:t>
      </w:r>
      <w:proofErr w:type="spellEnd"/>
      <w:r w:rsidR="008D7743" w:rsidRPr="005B126D">
        <w:rPr>
          <w:rFonts w:eastAsia="MS Mincho" w:cs="Arial"/>
          <w:lang w:val="en-US"/>
        </w:rPr>
        <w:t xml:space="preserve"> and intens</w:t>
      </w:r>
      <w:r w:rsidR="008D7743">
        <w:rPr>
          <w:rFonts w:eastAsia="MS Mincho" w:cs="Arial"/>
          <w:lang w:val="en-US"/>
        </w:rPr>
        <w:t xml:space="preserve">ified </w:t>
      </w:r>
      <w:proofErr w:type="spellStart"/>
      <w:r w:rsidR="008D7743">
        <w:rPr>
          <w:rFonts w:eastAsia="MS Mincho" w:cs="Arial"/>
          <w:lang w:val="en-US"/>
        </w:rPr>
        <w:t>moralising</w:t>
      </w:r>
      <w:proofErr w:type="spellEnd"/>
      <w:r w:rsidR="008D7743">
        <w:rPr>
          <w:rFonts w:eastAsia="MS Mincho" w:cs="Arial"/>
          <w:lang w:val="en-US"/>
        </w:rPr>
        <w:t xml:space="preserve"> tendencies</w:t>
      </w:r>
      <w:r w:rsidR="008D7743" w:rsidRPr="005B126D">
        <w:rPr>
          <w:rFonts w:eastAsia="MS Mincho" w:cs="Arial"/>
          <w:lang w:val="en-US"/>
        </w:rPr>
        <w:t xml:space="preserve"> </w:t>
      </w:r>
      <w:r w:rsidR="008D7743">
        <w:rPr>
          <w:rFonts w:eastAsia="MS Mincho" w:cs="Arial"/>
          <w:lang w:val="en-US"/>
        </w:rPr>
        <w:t xml:space="preserve">that </w:t>
      </w:r>
      <w:r w:rsidR="008D7743" w:rsidRPr="005B126D">
        <w:rPr>
          <w:rFonts w:eastAsia="MS Mincho" w:cs="Arial"/>
          <w:lang w:val="en-US"/>
        </w:rPr>
        <w:t xml:space="preserve">increasingly recast </w:t>
      </w:r>
      <w:r w:rsidR="008D7743">
        <w:rPr>
          <w:rFonts w:eastAsia="MS Mincho" w:cs="Arial"/>
          <w:lang w:val="en-US"/>
        </w:rPr>
        <w:t xml:space="preserve">claims to </w:t>
      </w:r>
      <w:r w:rsidR="008D7743" w:rsidRPr="005B126D">
        <w:rPr>
          <w:rFonts w:eastAsia="MS Mincho" w:cs="Arial"/>
          <w:lang w:val="en-US"/>
        </w:rPr>
        <w:t xml:space="preserve">lived experiences of mental distress </w:t>
      </w:r>
      <w:r w:rsidR="008D7743">
        <w:rPr>
          <w:rFonts w:eastAsia="MS Mincho" w:cs="Arial"/>
          <w:lang w:val="en-US"/>
        </w:rPr>
        <w:t xml:space="preserve">in </w:t>
      </w:r>
      <w:r w:rsidR="005902B8">
        <w:rPr>
          <w:rFonts w:eastAsia="MS Mincho" w:cs="Arial"/>
          <w:lang w:val="en-US"/>
        </w:rPr>
        <w:t>these service contexts</w:t>
      </w:r>
      <w:r w:rsidR="008D7743">
        <w:rPr>
          <w:rFonts w:eastAsia="MS Mincho" w:cs="Arial"/>
          <w:lang w:val="en-US"/>
        </w:rPr>
        <w:t xml:space="preserve"> </w:t>
      </w:r>
      <w:r w:rsidR="008D7743" w:rsidRPr="005B126D">
        <w:rPr>
          <w:rFonts w:eastAsia="MS Mincho" w:cs="Arial"/>
          <w:lang w:val="en-US"/>
        </w:rPr>
        <w:t>as forms of</w:t>
      </w:r>
      <w:r w:rsidR="008D7743">
        <w:rPr>
          <w:rFonts w:eastAsia="MS Mincho" w:cs="Arial"/>
          <w:lang w:val="en-US"/>
        </w:rPr>
        <w:t xml:space="preserve"> </w:t>
      </w:r>
      <w:r w:rsidR="008D7743" w:rsidRPr="005B126D">
        <w:rPr>
          <w:rFonts w:eastAsia="MS Mincho" w:cs="Arial"/>
          <w:lang w:val="en-US"/>
        </w:rPr>
        <w:t>malingering</w:t>
      </w:r>
      <w:r w:rsidR="005902B8">
        <w:rPr>
          <w:rFonts w:eastAsia="MS Mincho" w:cs="Arial"/>
          <w:lang w:val="en-US"/>
        </w:rPr>
        <w:t xml:space="preserve"> and/or attitudinal or </w:t>
      </w:r>
      <w:proofErr w:type="spellStart"/>
      <w:r w:rsidR="005902B8">
        <w:rPr>
          <w:rFonts w:eastAsia="MS Mincho" w:cs="Arial"/>
          <w:lang w:val="en-US"/>
        </w:rPr>
        <w:t>behavioural</w:t>
      </w:r>
      <w:proofErr w:type="spellEnd"/>
      <w:r w:rsidR="005902B8">
        <w:rPr>
          <w:rFonts w:eastAsia="MS Mincho" w:cs="Arial"/>
          <w:lang w:val="en-US"/>
        </w:rPr>
        <w:t xml:space="preserve"> deficit </w:t>
      </w:r>
      <w:r w:rsidR="008D7743" w:rsidRPr="005B126D">
        <w:rPr>
          <w:rFonts w:eastAsia="MS Mincho" w:cs="Arial"/>
          <w:lang w:val="en-US"/>
        </w:rPr>
        <w:t xml:space="preserve">(Shakespeare et al, 2017). As </w:t>
      </w:r>
      <w:r w:rsidR="008D7743">
        <w:rPr>
          <w:rFonts w:eastAsia="MS Mincho" w:cs="Arial"/>
          <w:lang w:val="en-US"/>
        </w:rPr>
        <w:t xml:space="preserve">the following data sections will </w:t>
      </w:r>
      <w:r w:rsidR="008D7743">
        <w:rPr>
          <w:rFonts w:eastAsia="MS Mincho" w:cs="Arial" w:hint="eastAsia"/>
          <w:lang w:val="en-US"/>
        </w:rPr>
        <w:t>illustrate</w:t>
      </w:r>
      <w:r w:rsidR="008D7743">
        <w:rPr>
          <w:rFonts w:eastAsia="MS Mincho" w:cs="Arial"/>
          <w:lang w:val="en-US"/>
        </w:rPr>
        <w:t xml:space="preserve">, this </w:t>
      </w:r>
      <w:r w:rsidR="008D7743" w:rsidRPr="00186A2D">
        <w:rPr>
          <w:rFonts w:eastAsia="MS Mincho" w:cs="Arial"/>
          <w:lang w:val="en-US"/>
        </w:rPr>
        <w:t>escalating institutional tendency to question the veracity and validity of their experiences of mental distress</w:t>
      </w:r>
      <w:r w:rsidR="008D7743">
        <w:rPr>
          <w:rFonts w:eastAsia="MS Mincho" w:cs="Arial"/>
          <w:lang w:val="en-US"/>
        </w:rPr>
        <w:t xml:space="preserve"> </w:t>
      </w:r>
      <w:r w:rsidR="005902B8">
        <w:rPr>
          <w:rFonts w:eastAsia="MS Mincho" w:cs="Arial"/>
          <w:lang w:val="en-US"/>
        </w:rPr>
        <w:t xml:space="preserve">provides a rationale for, and </w:t>
      </w:r>
      <w:r w:rsidR="005902B8">
        <w:rPr>
          <w:rFonts w:eastAsia="MS Mincho" w:cs="Arial" w:hint="eastAsia"/>
          <w:lang w:val="en-US"/>
        </w:rPr>
        <w:t>legitimization</w:t>
      </w:r>
      <w:r w:rsidR="005902B8">
        <w:rPr>
          <w:rFonts w:eastAsia="MS Mincho" w:cs="Arial"/>
          <w:lang w:val="en-US"/>
        </w:rPr>
        <w:t xml:space="preserve"> of, </w:t>
      </w:r>
      <w:r w:rsidR="008D7743">
        <w:rPr>
          <w:rFonts w:eastAsia="MS Mincho" w:cs="Arial"/>
          <w:lang w:val="en-US"/>
        </w:rPr>
        <w:t xml:space="preserve">the implementation of more </w:t>
      </w:r>
      <w:proofErr w:type="spellStart"/>
      <w:r w:rsidR="008D7743">
        <w:rPr>
          <w:rFonts w:eastAsia="MS Mincho" w:cs="Arial"/>
          <w:lang w:val="en-US"/>
        </w:rPr>
        <w:t>responsiblising</w:t>
      </w:r>
      <w:proofErr w:type="spellEnd"/>
      <w:r w:rsidR="005902B8">
        <w:rPr>
          <w:rFonts w:eastAsia="MS Mincho" w:cs="Arial"/>
          <w:lang w:val="en-US"/>
        </w:rPr>
        <w:t xml:space="preserve"> and punitive </w:t>
      </w:r>
      <w:r w:rsidR="008D7743">
        <w:rPr>
          <w:rFonts w:eastAsia="MS Mincho" w:cs="Arial"/>
          <w:lang w:val="en-US"/>
        </w:rPr>
        <w:t xml:space="preserve">modes of </w:t>
      </w:r>
      <w:r w:rsidR="005902B8">
        <w:rPr>
          <w:rFonts w:eastAsia="MS Mincho" w:cs="Arial"/>
          <w:lang w:val="en-US"/>
        </w:rPr>
        <w:t xml:space="preserve">intervention in the </w:t>
      </w:r>
      <w:r w:rsidR="005902B8">
        <w:rPr>
          <w:rFonts w:eastAsia="MS Mincho" w:cs="Arial"/>
          <w:color w:val="000000"/>
          <w:lang w:val="en-US"/>
        </w:rPr>
        <w:t xml:space="preserve">mental health and </w:t>
      </w:r>
      <w:r w:rsidR="005902B8" w:rsidRPr="00186A2D">
        <w:rPr>
          <w:rFonts w:eastAsia="MS Mincho" w:cs="Arial"/>
          <w:color w:val="000000"/>
          <w:lang w:val="en-US"/>
        </w:rPr>
        <w:t>w</w:t>
      </w:r>
      <w:r w:rsidR="005902B8">
        <w:rPr>
          <w:rFonts w:eastAsia="MS Mincho" w:cs="Arial"/>
          <w:color w:val="000000"/>
          <w:lang w:val="en-US"/>
        </w:rPr>
        <w:t>elfare systems</w:t>
      </w:r>
      <w:r w:rsidR="008D7743">
        <w:rPr>
          <w:rFonts w:eastAsia="MS Mincho" w:cs="Arial"/>
          <w:lang w:val="en-US"/>
        </w:rPr>
        <w:t xml:space="preserve">.  </w:t>
      </w:r>
    </w:p>
    <w:p w14:paraId="46086E60" w14:textId="0FAFD55C" w:rsidR="00186A2D" w:rsidRPr="00186A2D" w:rsidRDefault="00186A2D" w:rsidP="00186A2D">
      <w:pPr>
        <w:spacing w:line="360" w:lineRule="auto"/>
        <w:rPr>
          <w:rFonts w:eastAsia="MS Mincho" w:cs="Arial"/>
          <w:i/>
          <w:lang w:val="en-US"/>
        </w:rPr>
      </w:pPr>
      <w:r w:rsidRPr="00186A2D">
        <w:rPr>
          <w:rFonts w:eastAsia="MS Mincho" w:cs="Arial"/>
          <w:i/>
          <w:lang w:val="en-US"/>
        </w:rPr>
        <w:t>Self-</w:t>
      </w:r>
      <w:r w:rsidR="00C56115">
        <w:rPr>
          <w:rFonts w:eastAsia="MS Mincho" w:cs="Arial"/>
          <w:i/>
          <w:lang w:val="en-US"/>
        </w:rPr>
        <w:t>help and self-management</w:t>
      </w:r>
    </w:p>
    <w:p w14:paraId="66E92AF6" w14:textId="7E8F3492" w:rsidR="001B3729" w:rsidRDefault="001B3729" w:rsidP="00BC4F5B">
      <w:pPr>
        <w:spacing w:line="360" w:lineRule="auto"/>
        <w:rPr>
          <w:rFonts w:eastAsia="MS Mincho" w:cs="Arial"/>
          <w:lang w:val="en-US"/>
        </w:rPr>
      </w:pPr>
      <w:r>
        <w:rPr>
          <w:rFonts w:eastAsia="MS Mincho"/>
        </w:rPr>
        <w:lastRenderedPageBreak/>
        <w:t xml:space="preserve">A core feature of </w:t>
      </w:r>
      <w:r w:rsidR="00460782">
        <w:rPr>
          <w:rFonts w:eastAsia="MS Mincho"/>
        </w:rPr>
        <w:t xml:space="preserve">neoliberal welfare state reform </w:t>
      </w:r>
      <w:r>
        <w:rPr>
          <w:rFonts w:eastAsia="MS Mincho"/>
        </w:rPr>
        <w:t>has been</w:t>
      </w:r>
      <w:r w:rsidR="00460782">
        <w:rPr>
          <w:rFonts w:eastAsia="MS Mincho"/>
        </w:rPr>
        <w:t xml:space="preserve"> the transfer of responsibility from </w:t>
      </w:r>
      <w:r>
        <w:rPr>
          <w:rFonts w:eastAsia="MS Mincho"/>
        </w:rPr>
        <w:t xml:space="preserve">the </w:t>
      </w:r>
      <w:r w:rsidR="00460782">
        <w:rPr>
          <w:rFonts w:eastAsia="MS Mincho"/>
        </w:rPr>
        <w:t xml:space="preserve">state to </w:t>
      </w:r>
      <w:r>
        <w:rPr>
          <w:rFonts w:eastAsia="MS Mincho"/>
        </w:rPr>
        <w:t xml:space="preserve">the </w:t>
      </w:r>
      <w:r w:rsidR="00460782">
        <w:rPr>
          <w:rFonts w:eastAsia="MS Mincho"/>
        </w:rPr>
        <w:t xml:space="preserve">individual. </w:t>
      </w:r>
      <w:r>
        <w:rPr>
          <w:rFonts w:eastAsia="MS Mincho"/>
        </w:rPr>
        <w:t>In the context of mental health services and policy</w:t>
      </w:r>
      <w:r w:rsidR="00460782">
        <w:rPr>
          <w:rFonts w:eastAsia="MS Mincho"/>
        </w:rPr>
        <w:t xml:space="preserve">, </w:t>
      </w:r>
      <w:r w:rsidR="00F37039">
        <w:rPr>
          <w:rFonts w:eastAsia="MS Mincho"/>
        </w:rPr>
        <w:t xml:space="preserve">this has taken the form of the </w:t>
      </w:r>
      <w:proofErr w:type="spellStart"/>
      <w:r w:rsidR="00F37039">
        <w:rPr>
          <w:rFonts w:eastAsia="MS Mincho"/>
        </w:rPr>
        <w:t>remoralisation</w:t>
      </w:r>
      <w:proofErr w:type="spellEnd"/>
      <w:r w:rsidR="00F37039">
        <w:rPr>
          <w:rFonts w:eastAsia="MS Mincho"/>
        </w:rPr>
        <w:t xml:space="preserve"> of service users </w:t>
      </w:r>
      <w:r w:rsidR="00460782">
        <w:rPr>
          <w:rFonts w:eastAsia="MS Mincho"/>
        </w:rPr>
        <w:t xml:space="preserve">as active agents, who are obliged to take greater personal responsibility for their health and wellbeing and self-manage their condition in order to reduce dependency on services. </w:t>
      </w:r>
      <w:r w:rsidR="009F7945" w:rsidRPr="00186A2D">
        <w:rPr>
          <w:rFonts w:eastAsia="MS Mincho" w:cs="Arial"/>
          <w:lang w:val="en-US"/>
        </w:rPr>
        <w:t xml:space="preserve">A pivotal </w:t>
      </w:r>
      <w:r w:rsidR="00F37039">
        <w:rPr>
          <w:rFonts w:eastAsia="MS Mincho" w:cs="Arial"/>
          <w:lang w:val="en-US"/>
        </w:rPr>
        <w:t>mechanism</w:t>
      </w:r>
      <w:r w:rsidR="00F37039" w:rsidRPr="00186A2D">
        <w:rPr>
          <w:rFonts w:eastAsia="MS Mincho" w:cs="Arial"/>
          <w:lang w:val="en-US"/>
        </w:rPr>
        <w:t xml:space="preserve"> </w:t>
      </w:r>
      <w:r w:rsidR="00F37039">
        <w:rPr>
          <w:rFonts w:eastAsia="MS Mincho" w:cs="Arial"/>
          <w:lang w:val="en-US"/>
        </w:rPr>
        <w:t>for embedding this</w:t>
      </w:r>
      <w:r w:rsidR="00F37039" w:rsidRPr="00186A2D">
        <w:rPr>
          <w:rFonts w:eastAsia="MS Mincho" w:cs="Arial"/>
          <w:lang w:val="en-US"/>
        </w:rPr>
        <w:t xml:space="preserve"> ethos of </w:t>
      </w:r>
      <w:r w:rsidR="00F37039">
        <w:rPr>
          <w:rFonts w:eastAsia="MS Mincho" w:cs="Arial"/>
          <w:lang w:val="en-US"/>
        </w:rPr>
        <w:t xml:space="preserve">self-management into </w:t>
      </w:r>
      <w:r w:rsidR="009F7945" w:rsidRPr="00186A2D">
        <w:rPr>
          <w:rFonts w:eastAsia="MS Mincho" w:cs="Arial"/>
          <w:lang w:val="en-US"/>
        </w:rPr>
        <w:t>the design and delivery of contemporary mental health services</w:t>
      </w:r>
      <w:r w:rsidR="00F37039">
        <w:rPr>
          <w:rFonts w:eastAsia="MS Mincho" w:cs="Arial"/>
          <w:lang w:val="en-US"/>
        </w:rPr>
        <w:t xml:space="preserve"> </w:t>
      </w:r>
      <w:r w:rsidR="00F37039" w:rsidRPr="00186A2D">
        <w:rPr>
          <w:rFonts w:eastAsia="MS Mincho" w:cs="Arial"/>
          <w:lang w:val="en-US"/>
        </w:rPr>
        <w:t xml:space="preserve">is the ‘Recovery Agenda’ </w:t>
      </w:r>
      <w:r w:rsidR="009F7945" w:rsidRPr="00186A2D">
        <w:rPr>
          <w:rFonts w:eastAsia="MS Mincho" w:cs="Arial"/>
          <w:lang w:val="en-US"/>
        </w:rPr>
        <w:t xml:space="preserve">(Glasby and </w:t>
      </w:r>
      <w:proofErr w:type="spellStart"/>
      <w:r w:rsidR="009F7945" w:rsidRPr="00186A2D">
        <w:rPr>
          <w:rFonts w:eastAsia="MS Mincho" w:cs="Arial"/>
          <w:lang w:val="en-US"/>
        </w:rPr>
        <w:t>Tew</w:t>
      </w:r>
      <w:proofErr w:type="spellEnd"/>
      <w:r w:rsidR="009F7945" w:rsidRPr="00186A2D">
        <w:rPr>
          <w:rFonts w:eastAsia="MS Mincho" w:cs="Arial"/>
          <w:lang w:val="en-US"/>
        </w:rPr>
        <w:t xml:space="preserve">, 2015). </w:t>
      </w:r>
      <w:r w:rsidR="00F37039">
        <w:rPr>
          <w:rFonts w:eastAsia="MS Mincho" w:cs="Arial"/>
          <w:lang w:val="en-US"/>
        </w:rPr>
        <w:t>While r</w:t>
      </w:r>
      <w:r w:rsidR="00F37039" w:rsidRPr="00186A2D">
        <w:rPr>
          <w:rFonts w:eastAsia="MS Mincho" w:cs="Arial"/>
          <w:lang w:val="en-US"/>
        </w:rPr>
        <w:t>ecovery</w:t>
      </w:r>
      <w:r w:rsidR="00F37039">
        <w:rPr>
          <w:rFonts w:eastAsia="MS Mincho" w:cs="Arial"/>
          <w:lang w:val="en-US"/>
        </w:rPr>
        <w:t xml:space="preserve"> is a polyvalent concept, </w:t>
      </w:r>
      <w:r w:rsidR="00876AAF">
        <w:rPr>
          <w:rFonts w:eastAsia="MS Mincho" w:cs="Arial"/>
          <w:lang w:val="en-US"/>
        </w:rPr>
        <w:t>in</w:t>
      </w:r>
      <w:r w:rsidR="009F7945" w:rsidRPr="00186A2D">
        <w:rPr>
          <w:rFonts w:eastAsia="MS Mincho" w:cs="Arial"/>
          <w:lang w:val="en-US"/>
        </w:rPr>
        <w:t xml:space="preserve"> </w:t>
      </w:r>
      <w:r w:rsidR="00876AAF">
        <w:rPr>
          <w:rFonts w:eastAsia="MS Mincho" w:cs="Arial"/>
          <w:lang w:val="en-US"/>
        </w:rPr>
        <w:t xml:space="preserve">the currently dominant policy iteration it is </w:t>
      </w:r>
      <w:r w:rsidR="00876AAF" w:rsidRPr="00186A2D">
        <w:rPr>
          <w:rFonts w:eastAsia="MS Mincho" w:cs="Arial"/>
          <w:lang w:val="en-US"/>
        </w:rPr>
        <w:t xml:space="preserve">conceived </w:t>
      </w:r>
      <w:r w:rsidR="009F7945" w:rsidRPr="00186A2D">
        <w:rPr>
          <w:rFonts w:eastAsia="MS Mincho" w:cs="Arial"/>
          <w:lang w:val="en-US"/>
        </w:rPr>
        <w:t xml:space="preserve">as a personal journey involving empowerment attained through changes in the individual’s attitudes, beliefs and </w:t>
      </w:r>
      <w:proofErr w:type="spellStart"/>
      <w:r w:rsidR="009F7945" w:rsidRPr="00186A2D">
        <w:rPr>
          <w:rFonts w:eastAsia="MS Mincho" w:cs="Arial"/>
          <w:lang w:val="en-US"/>
        </w:rPr>
        <w:t>behaviours</w:t>
      </w:r>
      <w:proofErr w:type="spellEnd"/>
      <w:r w:rsidR="009F7945" w:rsidRPr="00186A2D">
        <w:rPr>
          <w:rFonts w:eastAsia="MS Mincho" w:cs="Arial"/>
          <w:lang w:val="en-US"/>
        </w:rPr>
        <w:t xml:space="preserve"> (Pilgrim and </w:t>
      </w:r>
      <w:proofErr w:type="spellStart"/>
      <w:r w:rsidR="009F7945" w:rsidRPr="00186A2D">
        <w:rPr>
          <w:rFonts w:eastAsia="MS Mincho" w:cs="Arial"/>
          <w:lang w:val="en-US"/>
        </w:rPr>
        <w:t>McCranie</w:t>
      </w:r>
      <w:proofErr w:type="spellEnd"/>
      <w:r w:rsidR="009F7945" w:rsidRPr="00186A2D">
        <w:rPr>
          <w:rFonts w:eastAsia="MS Mincho" w:cs="Arial"/>
          <w:lang w:val="en-US"/>
        </w:rPr>
        <w:t xml:space="preserve">, 2013). Mental distress becomes understood as an aspect of identity and the required locus of change deemed to reside within the person rather than the wider social context (Harper and Speed, 2014). </w:t>
      </w:r>
      <w:r w:rsidR="00FD22D6">
        <w:rPr>
          <w:rFonts w:eastAsia="MS Mincho" w:cs="Arial"/>
          <w:lang w:val="en-US"/>
        </w:rPr>
        <w:t xml:space="preserve">Whilst </w:t>
      </w:r>
      <w:r w:rsidR="000B6157">
        <w:rPr>
          <w:rFonts w:eastAsia="MS Mincho" w:cs="Arial"/>
          <w:lang w:val="en-US"/>
        </w:rPr>
        <w:t>the recovery agenda has been lauded as a source of empowerment by some (Shepherd et al, 2008), our data revealed that</w:t>
      </w:r>
      <w:r w:rsidR="006E7AD0">
        <w:rPr>
          <w:rFonts w:eastAsia="MS Mincho" w:cs="Arial"/>
          <w:lang w:val="en-US"/>
        </w:rPr>
        <w:t xml:space="preserve"> </w:t>
      </w:r>
      <w:r w:rsidR="000B6157">
        <w:rPr>
          <w:rFonts w:eastAsia="MS Mincho" w:cs="Arial"/>
          <w:lang w:val="en-US"/>
        </w:rPr>
        <w:t>it has</w:t>
      </w:r>
      <w:r w:rsidR="006E7AD0">
        <w:rPr>
          <w:rFonts w:eastAsia="MS Mincho" w:cs="Arial"/>
          <w:lang w:val="en-US"/>
        </w:rPr>
        <w:t xml:space="preserve"> also</w:t>
      </w:r>
      <w:r w:rsidR="000B6157">
        <w:rPr>
          <w:rFonts w:eastAsia="MS Mincho" w:cs="Arial"/>
          <w:lang w:val="en-US"/>
        </w:rPr>
        <w:t xml:space="preserve"> become a vehicle for embedding forms</w:t>
      </w:r>
      <w:r w:rsidR="006E7AD0">
        <w:rPr>
          <w:rFonts w:eastAsia="MS Mincho" w:cs="Arial"/>
          <w:lang w:val="en-US"/>
        </w:rPr>
        <w:t xml:space="preserve"> of </w:t>
      </w:r>
      <w:r w:rsidR="00A97C9B">
        <w:rPr>
          <w:rFonts w:eastAsia="MS Mincho" w:cs="Arial"/>
          <w:lang w:val="en-US"/>
        </w:rPr>
        <w:t>individually-orientated modes of support</w:t>
      </w:r>
      <w:r w:rsidR="000B6157">
        <w:rPr>
          <w:rFonts w:eastAsia="MS Mincho" w:cs="Arial"/>
          <w:lang w:val="en-US"/>
        </w:rPr>
        <w:t xml:space="preserve">.   </w:t>
      </w:r>
    </w:p>
    <w:p w14:paraId="3C83B864" w14:textId="77777777" w:rsidR="008956E4" w:rsidRDefault="00876AAF" w:rsidP="00BC4F5B">
      <w:pPr>
        <w:spacing w:line="360" w:lineRule="auto"/>
        <w:rPr>
          <w:rFonts w:eastAsia="MS Mincho" w:cs="Arial"/>
          <w:lang w:val="en-US"/>
        </w:rPr>
      </w:pPr>
      <w:r>
        <w:rPr>
          <w:rFonts w:eastAsia="MS Mincho" w:cs="Arial"/>
          <w:lang w:val="en-US"/>
        </w:rPr>
        <w:t>This</w:t>
      </w:r>
      <w:r w:rsidR="009F7945" w:rsidRPr="00186A2D">
        <w:rPr>
          <w:rFonts w:eastAsia="MS Mincho" w:cs="Arial"/>
          <w:lang w:val="en-US"/>
        </w:rPr>
        <w:t xml:space="preserve"> </w:t>
      </w:r>
      <w:r w:rsidR="005D0F52">
        <w:rPr>
          <w:rFonts w:eastAsia="MS Mincho" w:cs="Arial"/>
          <w:lang w:val="en-US"/>
        </w:rPr>
        <w:t xml:space="preserve">self-management </w:t>
      </w:r>
      <w:r>
        <w:rPr>
          <w:rFonts w:eastAsia="MS Mincho" w:cs="Arial"/>
          <w:lang w:val="en-US"/>
        </w:rPr>
        <w:t xml:space="preserve">ethos has been </w:t>
      </w:r>
      <w:r w:rsidRPr="00186A2D">
        <w:rPr>
          <w:rFonts w:eastAsia="MS Mincho" w:cs="Arial"/>
          <w:lang w:val="en-US"/>
        </w:rPr>
        <w:t>organizational</w:t>
      </w:r>
      <w:r w:rsidR="00467552">
        <w:rPr>
          <w:rFonts w:eastAsia="MS Mincho" w:cs="Arial"/>
          <w:lang w:val="en-US"/>
        </w:rPr>
        <w:t xml:space="preserve">ly </w:t>
      </w:r>
      <w:proofErr w:type="spellStart"/>
      <w:r w:rsidR="00467552">
        <w:rPr>
          <w:rFonts w:eastAsia="MS Mincho" w:cs="Arial"/>
          <w:lang w:val="en-US"/>
        </w:rPr>
        <w:t>op</w:t>
      </w:r>
      <w:r>
        <w:rPr>
          <w:rFonts w:eastAsia="MS Mincho" w:cs="Arial"/>
          <w:lang w:val="en-US"/>
        </w:rPr>
        <w:t>erationalised</w:t>
      </w:r>
      <w:proofErr w:type="spellEnd"/>
      <w:r>
        <w:rPr>
          <w:rFonts w:eastAsia="MS Mincho" w:cs="Arial"/>
          <w:lang w:val="en-US"/>
        </w:rPr>
        <w:t xml:space="preserve"> </w:t>
      </w:r>
      <w:r w:rsidR="001B3729">
        <w:rPr>
          <w:rFonts w:eastAsia="MS Mincho" w:cs="Arial"/>
          <w:lang w:val="en-US"/>
        </w:rPr>
        <w:t>in mental health services through models such as the</w:t>
      </w:r>
      <w:r w:rsidR="001B3729" w:rsidRPr="00186A2D" w:rsidDel="001B3729">
        <w:rPr>
          <w:rFonts w:eastAsia="MS Mincho" w:cs="Arial"/>
          <w:lang w:val="en-US"/>
        </w:rPr>
        <w:t xml:space="preserve"> </w:t>
      </w:r>
      <w:r w:rsidR="009F7945" w:rsidRPr="00186A2D">
        <w:rPr>
          <w:rFonts w:eastAsia="MS Mincho" w:cs="Arial"/>
          <w:lang w:val="en-US"/>
        </w:rPr>
        <w:t xml:space="preserve">‘Recovery College’ </w:t>
      </w:r>
      <w:r w:rsidR="001B3729">
        <w:rPr>
          <w:rFonts w:eastAsia="MS Mincho" w:cs="Arial"/>
          <w:lang w:val="en-US"/>
        </w:rPr>
        <w:t>in secondary care and t</w:t>
      </w:r>
      <w:r w:rsidR="001B3729" w:rsidRPr="00186A2D">
        <w:rPr>
          <w:rFonts w:eastAsia="MS Mincho" w:cs="Arial"/>
          <w:lang w:val="en-US"/>
        </w:rPr>
        <w:t xml:space="preserve">he Improved Access to Talking Therapies (IAPT) </w:t>
      </w:r>
      <w:proofErr w:type="spellStart"/>
      <w:r w:rsidR="001B3729" w:rsidRPr="00186A2D">
        <w:rPr>
          <w:rFonts w:eastAsia="MS Mincho" w:cs="Arial"/>
          <w:lang w:val="en-US"/>
        </w:rPr>
        <w:t>programmme</w:t>
      </w:r>
      <w:proofErr w:type="spellEnd"/>
      <w:r w:rsidR="001B3729">
        <w:rPr>
          <w:rFonts w:eastAsia="MS Mincho" w:cs="Arial"/>
          <w:lang w:val="en-US"/>
        </w:rPr>
        <w:t xml:space="preserve"> in the primary care setting</w:t>
      </w:r>
      <w:r w:rsidR="009F7945" w:rsidRPr="00186A2D">
        <w:rPr>
          <w:rFonts w:eastAsia="MS Mincho" w:cs="Arial"/>
          <w:lang w:val="en-US"/>
        </w:rPr>
        <w:t xml:space="preserve">. </w:t>
      </w:r>
      <w:r w:rsidR="005D0F52" w:rsidRPr="00186A2D">
        <w:rPr>
          <w:rFonts w:eastAsia="MS Mincho" w:cs="Arial"/>
          <w:lang w:val="en-US"/>
        </w:rPr>
        <w:t>‘Recovery College</w:t>
      </w:r>
      <w:r w:rsidR="005D0F52">
        <w:rPr>
          <w:rFonts w:eastAsia="MS Mincho" w:cs="Arial"/>
          <w:lang w:val="en-US"/>
        </w:rPr>
        <w:t>s</w:t>
      </w:r>
      <w:r w:rsidR="005D0F52" w:rsidRPr="00186A2D">
        <w:rPr>
          <w:rFonts w:eastAsia="MS Mincho" w:cs="Arial"/>
          <w:lang w:val="en-US"/>
        </w:rPr>
        <w:t xml:space="preserve">’ </w:t>
      </w:r>
      <w:r w:rsidR="005D0F52">
        <w:rPr>
          <w:rFonts w:eastAsia="MS Mincho" w:cs="Arial"/>
          <w:lang w:val="en-US"/>
        </w:rPr>
        <w:t>are an alternative to day service provision which offers</w:t>
      </w:r>
      <w:r w:rsidR="009F7945" w:rsidRPr="00186A2D">
        <w:rPr>
          <w:rFonts w:eastAsia="MS Mincho" w:cs="Arial"/>
          <w:lang w:val="en-US"/>
        </w:rPr>
        <w:t xml:space="preserve"> </w:t>
      </w:r>
      <w:r w:rsidR="005D0F52">
        <w:rPr>
          <w:rFonts w:eastAsia="MS Mincho" w:cs="Arial"/>
          <w:lang w:val="en-US"/>
        </w:rPr>
        <w:t>short-term</w:t>
      </w:r>
      <w:r w:rsidR="005D0F52" w:rsidRPr="00186A2D" w:rsidDel="005D0F52">
        <w:rPr>
          <w:rFonts w:eastAsia="MS Mincho" w:cs="Arial"/>
          <w:lang w:val="en-US"/>
        </w:rPr>
        <w:t xml:space="preserve"> </w:t>
      </w:r>
      <w:r w:rsidR="009F7945" w:rsidRPr="00186A2D">
        <w:rPr>
          <w:rFonts w:eastAsia="MS Mincho" w:cs="Arial"/>
          <w:lang w:val="en-US"/>
        </w:rPr>
        <w:t xml:space="preserve">educational </w:t>
      </w:r>
      <w:r w:rsidR="005D0F52">
        <w:rPr>
          <w:rFonts w:eastAsia="MS Mincho" w:cs="Arial"/>
          <w:lang w:val="en-US"/>
        </w:rPr>
        <w:t>courses</w:t>
      </w:r>
      <w:r w:rsidR="005D0F52" w:rsidRPr="00186A2D">
        <w:rPr>
          <w:rFonts w:eastAsia="MS Mincho" w:cs="Arial"/>
          <w:lang w:val="en-US"/>
        </w:rPr>
        <w:t xml:space="preserve"> </w:t>
      </w:r>
      <w:r w:rsidR="009F7945" w:rsidRPr="00186A2D">
        <w:rPr>
          <w:rFonts w:eastAsia="MS Mincho" w:cs="Arial"/>
          <w:lang w:val="en-US"/>
        </w:rPr>
        <w:t xml:space="preserve">to </w:t>
      </w:r>
      <w:r w:rsidR="005D0F52" w:rsidRPr="00186A2D">
        <w:rPr>
          <w:rFonts w:eastAsia="MS Mincho" w:cs="Arial"/>
          <w:lang w:val="en-US"/>
        </w:rPr>
        <w:t xml:space="preserve">service users </w:t>
      </w:r>
      <w:r w:rsidR="005D0F52">
        <w:rPr>
          <w:rFonts w:eastAsia="MS Mincho" w:cs="Arial"/>
          <w:lang w:val="en-US"/>
        </w:rPr>
        <w:t xml:space="preserve">with the aim of </w:t>
      </w:r>
      <w:r w:rsidR="009F7945" w:rsidRPr="00186A2D">
        <w:rPr>
          <w:rFonts w:eastAsia="MS Mincho" w:cs="Arial"/>
          <w:lang w:val="en-US"/>
        </w:rPr>
        <w:t>improv</w:t>
      </w:r>
      <w:r w:rsidR="005D0F52">
        <w:rPr>
          <w:rFonts w:eastAsia="MS Mincho" w:cs="Arial"/>
          <w:lang w:val="en-US"/>
        </w:rPr>
        <w:t>ing</w:t>
      </w:r>
      <w:r w:rsidR="009F7945" w:rsidRPr="00186A2D">
        <w:rPr>
          <w:rFonts w:eastAsia="MS Mincho" w:cs="Arial"/>
          <w:lang w:val="en-US"/>
        </w:rPr>
        <w:t xml:space="preserve"> skills in self-management of symptoms. Such capacities are considered a precursor to </w:t>
      </w:r>
      <w:proofErr w:type="spellStart"/>
      <w:r w:rsidR="009F7945" w:rsidRPr="00186A2D">
        <w:rPr>
          <w:rFonts w:eastAsia="MS Mincho" w:cs="Arial"/>
          <w:lang w:val="en-US"/>
        </w:rPr>
        <w:t>labour</w:t>
      </w:r>
      <w:proofErr w:type="spellEnd"/>
      <w:r w:rsidR="009F7945" w:rsidRPr="00186A2D">
        <w:rPr>
          <w:rFonts w:eastAsia="MS Mincho" w:cs="Arial"/>
          <w:lang w:val="en-US"/>
        </w:rPr>
        <w:t xml:space="preserve"> market re-</w:t>
      </w:r>
      <w:proofErr w:type="gramStart"/>
      <w:r w:rsidR="009F7945" w:rsidRPr="00186A2D">
        <w:rPr>
          <w:rFonts w:eastAsia="MS Mincho" w:cs="Arial"/>
          <w:lang w:val="en-US"/>
        </w:rPr>
        <w:t>engagement,</w:t>
      </w:r>
      <w:proofErr w:type="gramEnd"/>
      <w:r w:rsidR="009F7945" w:rsidRPr="00186A2D">
        <w:rPr>
          <w:rFonts w:eastAsia="MS Mincho" w:cs="Arial"/>
          <w:lang w:val="en-US"/>
        </w:rPr>
        <w:t xml:space="preserve"> itself regarded an important indicator and mechanism of recovery (Shepherd et al, 2010; Slade et al, 2014). </w:t>
      </w:r>
      <w:r w:rsidR="005D0F52">
        <w:rPr>
          <w:rFonts w:eastAsia="MS Mincho" w:cs="Arial"/>
          <w:lang w:val="en-US"/>
        </w:rPr>
        <w:t>Similarly, t</w:t>
      </w:r>
      <w:r w:rsidR="009F7945" w:rsidRPr="00186A2D">
        <w:rPr>
          <w:rFonts w:eastAsia="MS Mincho" w:cs="Arial"/>
          <w:lang w:val="en-US"/>
        </w:rPr>
        <w:t xml:space="preserve">he Improved Access to Talking Therapies (IAPT) </w:t>
      </w:r>
      <w:proofErr w:type="spellStart"/>
      <w:r w:rsidR="009F7945" w:rsidRPr="00186A2D">
        <w:rPr>
          <w:rFonts w:eastAsia="MS Mincho" w:cs="Arial"/>
          <w:lang w:val="en-US"/>
        </w:rPr>
        <w:t>programmme</w:t>
      </w:r>
      <w:proofErr w:type="spellEnd"/>
      <w:r w:rsidR="009F7945" w:rsidRPr="00186A2D">
        <w:rPr>
          <w:rFonts w:eastAsia="MS Mincho" w:cs="Arial"/>
          <w:lang w:val="en-US"/>
        </w:rPr>
        <w:t xml:space="preserve"> to extend primary care access to psychological therapies has also come under scrutiny for its tendency to be driven by employment-related objectives. </w:t>
      </w:r>
      <w:r w:rsidR="009D5882">
        <w:rPr>
          <w:rFonts w:eastAsia="MS Mincho" w:cs="Arial"/>
          <w:lang w:val="en-US"/>
        </w:rPr>
        <w:t>Like R</w:t>
      </w:r>
      <w:r w:rsidR="009D5882">
        <w:rPr>
          <w:rFonts w:eastAsia="MS Mincho" w:cs="Arial" w:hint="eastAsia"/>
          <w:lang w:val="en-US"/>
        </w:rPr>
        <w:t>e</w:t>
      </w:r>
      <w:r w:rsidR="009D5882">
        <w:rPr>
          <w:rFonts w:eastAsia="MS Mincho" w:cs="Arial"/>
          <w:lang w:val="en-US"/>
        </w:rPr>
        <w:t>covery Colleges</w:t>
      </w:r>
      <w:r w:rsidR="009F7945" w:rsidRPr="00186A2D">
        <w:rPr>
          <w:rFonts w:eastAsia="MS Mincho" w:cs="Arial"/>
          <w:lang w:val="en-US"/>
        </w:rPr>
        <w:t xml:space="preserve">, IAPT promotes principles of self-management, and focuses on brief interventions to support individuals with adjustment and coping skills in order to facilitate return to employment rather than offering longer-term intensive engagement with psychological or emotional states and past suffering (Binnie, 2015). </w:t>
      </w:r>
    </w:p>
    <w:p w14:paraId="44CF7EEA" w14:textId="1053CF93" w:rsidR="00186A2D" w:rsidRPr="008956E4" w:rsidRDefault="000A006E" w:rsidP="008956E4">
      <w:pPr>
        <w:spacing w:line="360" w:lineRule="auto"/>
        <w:rPr>
          <w:rFonts w:eastAsia="MS Mincho"/>
        </w:rPr>
      </w:pPr>
      <w:r w:rsidRPr="00186A2D">
        <w:rPr>
          <w:rFonts w:eastAsia="MS Mincho" w:cs="Arial"/>
          <w:lang w:val="en-US"/>
        </w:rPr>
        <w:t xml:space="preserve">Coterminous with the foregrounding of the individual’s obligation to self-manage their condition have been reductions in other forms of </w:t>
      </w:r>
      <w:r>
        <w:rPr>
          <w:rFonts w:eastAsia="MS Mincho" w:cs="Arial"/>
          <w:lang w:val="en-US"/>
        </w:rPr>
        <w:t>longer</w:t>
      </w:r>
      <w:r w:rsidR="00FD22D6">
        <w:rPr>
          <w:rFonts w:eastAsia="MS Mincho" w:cs="Arial"/>
          <w:lang w:val="en-US"/>
        </w:rPr>
        <w:t>-</w:t>
      </w:r>
      <w:r>
        <w:rPr>
          <w:rFonts w:eastAsia="MS Mincho" w:cs="Arial"/>
          <w:lang w:val="en-US"/>
        </w:rPr>
        <w:t xml:space="preserve">term </w:t>
      </w:r>
      <w:r w:rsidRPr="00186A2D">
        <w:rPr>
          <w:rFonts w:eastAsia="MS Mincho" w:cs="Arial"/>
          <w:lang w:val="en-US"/>
        </w:rPr>
        <w:t>in-patient and community service provision</w:t>
      </w:r>
      <w:r>
        <w:rPr>
          <w:rFonts w:eastAsia="MS Mincho" w:cs="Arial"/>
          <w:lang w:val="en-US"/>
        </w:rPr>
        <w:t xml:space="preserve"> such as day </w:t>
      </w:r>
      <w:proofErr w:type="spellStart"/>
      <w:r>
        <w:rPr>
          <w:rFonts w:eastAsia="MS Mincho" w:cs="Arial"/>
          <w:lang w:val="en-US"/>
        </w:rPr>
        <w:t>centres</w:t>
      </w:r>
      <w:proofErr w:type="spellEnd"/>
      <w:r w:rsidRPr="00186A2D">
        <w:rPr>
          <w:rFonts w:eastAsia="MS Mincho" w:cs="Arial"/>
          <w:lang w:val="en-US"/>
        </w:rPr>
        <w:t xml:space="preserve"> (</w:t>
      </w:r>
      <w:proofErr w:type="spellStart"/>
      <w:r w:rsidRPr="00186A2D">
        <w:rPr>
          <w:rFonts w:eastAsia="MS Mincho" w:cs="Arial"/>
          <w:lang w:val="en-US"/>
        </w:rPr>
        <w:t>xxxx</w:t>
      </w:r>
      <w:proofErr w:type="spellEnd"/>
      <w:r w:rsidRPr="00186A2D">
        <w:rPr>
          <w:rFonts w:eastAsia="MS Mincho" w:cs="Arial"/>
          <w:lang w:val="en-US"/>
        </w:rPr>
        <w:t xml:space="preserve"> omitted for anonymity </w:t>
      </w:r>
      <w:proofErr w:type="spellStart"/>
      <w:r w:rsidRPr="00186A2D">
        <w:rPr>
          <w:rFonts w:eastAsia="MS Mincho" w:cs="Arial"/>
          <w:lang w:val="en-US"/>
        </w:rPr>
        <w:t>xxxxx</w:t>
      </w:r>
      <w:proofErr w:type="spellEnd"/>
      <w:r w:rsidRPr="00186A2D">
        <w:rPr>
          <w:rFonts w:eastAsia="MS Mincho" w:cs="Arial"/>
          <w:lang w:val="en-US"/>
        </w:rPr>
        <w:t xml:space="preserve">; </w:t>
      </w:r>
      <w:proofErr w:type="spellStart"/>
      <w:r w:rsidRPr="00186A2D">
        <w:rPr>
          <w:rFonts w:eastAsia="MS Mincho" w:cs="Arial"/>
          <w:lang w:val="en-US"/>
        </w:rPr>
        <w:t>Mattheys</w:t>
      </w:r>
      <w:proofErr w:type="spellEnd"/>
      <w:r w:rsidRPr="00186A2D">
        <w:rPr>
          <w:rFonts w:eastAsia="MS Mincho" w:cs="Arial"/>
          <w:lang w:val="en-US"/>
        </w:rPr>
        <w:t xml:space="preserve">, 2015).  </w:t>
      </w:r>
      <w:r w:rsidR="00186A2D" w:rsidRPr="00186A2D">
        <w:rPr>
          <w:rFonts w:eastAsia="MS Mincho" w:cs="Arial"/>
          <w:lang w:val="en-US"/>
        </w:rPr>
        <w:t>Th</w:t>
      </w:r>
      <w:r w:rsidR="0082073A">
        <w:rPr>
          <w:rFonts w:eastAsia="MS Mincho" w:cs="Arial"/>
          <w:lang w:val="en-US"/>
        </w:rPr>
        <w:t xml:space="preserve">e </w:t>
      </w:r>
      <w:r w:rsidR="009D5882">
        <w:rPr>
          <w:rFonts w:eastAsia="MS Mincho" w:cs="Arial"/>
          <w:lang w:val="en-US"/>
        </w:rPr>
        <w:t xml:space="preserve">implications of </w:t>
      </w:r>
      <w:r>
        <w:rPr>
          <w:rFonts w:eastAsia="MS Mincho" w:cs="Arial"/>
          <w:lang w:val="en-US"/>
        </w:rPr>
        <w:t>this</w:t>
      </w:r>
      <w:r w:rsidR="009D5882">
        <w:rPr>
          <w:rFonts w:eastAsia="MS Mincho" w:cs="Arial"/>
          <w:lang w:val="en-US"/>
        </w:rPr>
        <w:t xml:space="preserve"> shift from </w:t>
      </w:r>
      <w:r w:rsidR="0082073A">
        <w:rPr>
          <w:rFonts w:eastAsia="MS Mincho" w:cs="Arial"/>
          <w:lang w:val="en-US"/>
        </w:rPr>
        <w:t>collective and longer-term</w:t>
      </w:r>
      <w:r w:rsidR="009D5882">
        <w:rPr>
          <w:rFonts w:eastAsia="MS Mincho" w:cs="Arial"/>
          <w:lang w:val="en-US"/>
        </w:rPr>
        <w:t xml:space="preserve"> </w:t>
      </w:r>
      <w:r w:rsidR="0082073A">
        <w:rPr>
          <w:rFonts w:eastAsia="MS Mincho" w:cs="Arial"/>
          <w:lang w:val="en-US"/>
        </w:rPr>
        <w:t xml:space="preserve">forms of </w:t>
      </w:r>
      <w:r w:rsidR="00E5666B">
        <w:rPr>
          <w:rFonts w:eastAsia="MS Mincho" w:cs="Arial"/>
          <w:lang w:val="en-US"/>
        </w:rPr>
        <w:t xml:space="preserve">community-based </w:t>
      </w:r>
      <w:r w:rsidR="0082073A">
        <w:rPr>
          <w:rFonts w:eastAsia="MS Mincho" w:cs="Arial"/>
          <w:lang w:val="en-US"/>
        </w:rPr>
        <w:t>provision</w:t>
      </w:r>
      <w:r w:rsidR="00186A2D" w:rsidRPr="00186A2D">
        <w:rPr>
          <w:rFonts w:eastAsia="MS Mincho" w:cs="Arial"/>
          <w:lang w:val="en-US"/>
        </w:rPr>
        <w:t xml:space="preserve"> </w:t>
      </w:r>
      <w:r w:rsidR="009D5882">
        <w:rPr>
          <w:rFonts w:eastAsia="MS Mincho" w:cs="Arial"/>
          <w:lang w:val="en-US"/>
        </w:rPr>
        <w:t>to more time-limited and self-</w:t>
      </w:r>
      <w:r w:rsidR="00855C71">
        <w:rPr>
          <w:rFonts w:eastAsia="MS Mincho" w:cs="Arial"/>
          <w:lang w:val="en-US"/>
        </w:rPr>
        <w:t xml:space="preserve">care </w:t>
      </w:r>
      <w:r w:rsidR="009D5882">
        <w:rPr>
          <w:rFonts w:eastAsia="MS Mincho" w:cs="Arial"/>
          <w:lang w:val="en-US"/>
        </w:rPr>
        <w:t>focused interventions</w:t>
      </w:r>
      <w:r w:rsidR="009D5882" w:rsidRPr="00186A2D" w:rsidDel="009D5882">
        <w:rPr>
          <w:rFonts w:eastAsia="MS Mincho" w:cs="Arial" w:hint="eastAsia"/>
          <w:lang w:val="en-US"/>
        </w:rPr>
        <w:t xml:space="preserve"> </w:t>
      </w:r>
      <w:r w:rsidR="009D5882">
        <w:rPr>
          <w:rFonts w:eastAsia="MS Mincho" w:cs="Arial"/>
          <w:lang w:val="en-US"/>
        </w:rPr>
        <w:t>were</w:t>
      </w:r>
      <w:r w:rsidR="009D5882" w:rsidRPr="00186A2D">
        <w:rPr>
          <w:rFonts w:eastAsia="MS Mincho" w:cs="Arial" w:hint="eastAsia"/>
          <w:lang w:val="en-US"/>
        </w:rPr>
        <w:t xml:space="preserve"> </w:t>
      </w:r>
      <w:r w:rsidR="00186A2D" w:rsidRPr="00186A2D">
        <w:rPr>
          <w:rFonts w:eastAsia="MS Mincho" w:cs="Arial" w:hint="eastAsia"/>
          <w:lang w:val="en-US"/>
        </w:rPr>
        <w:t>discussed across all the focus groups and interviews</w:t>
      </w:r>
      <w:r w:rsidR="0082073A">
        <w:rPr>
          <w:rFonts w:eastAsia="MS Mincho" w:cs="Arial"/>
          <w:lang w:val="en-US"/>
        </w:rPr>
        <w:t xml:space="preserve">, with </w:t>
      </w:r>
      <w:r w:rsidR="009D5882">
        <w:rPr>
          <w:rFonts w:eastAsia="MS Mincho" w:cs="Arial"/>
          <w:lang w:val="en-US"/>
        </w:rPr>
        <w:t xml:space="preserve">a </w:t>
      </w:r>
      <w:r w:rsidR="00E5666B">
        <w:rPr>
          <w:rFonts w:eastAsia="MS Mincho" w:cs="Arial"/>
          <w:lang w:val="en-US"/>
        </w:rPr>
        <w:t>majority</w:t>
      </w:r>
      <w:r w:rsidR="009D5882" w:rsidRPr="00186A2D">
        <w:rPr>
          <w:rFonts w:eastAsia="MS Mincho" w:cs="Arial"/>
          <w:lang w:val="en-US"/>
        </w:rPr>
        <w:t xml:space="preserve"> </w:t>
      </w:r>
      <w:r w:rsidR="00186A2D" w:rsidRPr="00186A2D">
        <w:rPr>
          <w:rFonts w:eastAsia="MS Mincho" w:cs="Arial"/>
          <w:lang w:val="en-US"/>
        </w:rPr>
        <w:t>of</w:t>
      </w:r>
      <w:r w:rsidR="0082073A">
        <w:rPr>
          <w:rFonts w:eastAsia="MS Mincho" w:cs="Arial"/>
          <w:lang w:val="en-US"/>
        </w:rPr>
        <w:t xml:space="preserve"> </w:t>
      </w:r>
      <w:r w:rsidR="00186A2D" w:rsidRPr="00186A2D">
        <w:rPr>
          <w:rFonts w:eastAsia="MS Mincho" w:cs="Arial"/>
          <w:lang w:val="en-US"/>
        </w:rPr>
        <w:t xml:space="preserve">participants </w:t>
      </w:r>
      <w:r w:rsidR="009D5882">
        <w:rPr>
          <w:rFonts w:eastAsia="MS Mincho" w:cs="Arial"/>
          <w:lang w:val="en-US"/>
        </w:rPr>
        <w:t>expressing</w:t>
      </w:r>
      <w:r w:rsidR="009D5882" w:rsidRPr="00186A2D">
        <w:rPr>
          <w:rFonts w:eastAsia="MS Mincho" w:cs="Arial"/>
          <w:lang w:val="en-US"/>
        </w:rPr>
        <w:t xml:space="preserve"> </w:t>
      </w:r>
      <w:r w:rsidR="009D5882">
        <w:rPr>
          <w:rFonts w:eastAsia="MS Mincho" w:cs="Arial"/>
          <w:lang w:val="en-US"/>
        </w:rPr>
        <w:t xml:space="preserve">significant fears and </w:t>
      </w:r>
      <w:r w:rsidR="0082073A">
        <w:rPr>
          <w:rFonts w:eastAsia="MS Mincho" w:cs="Arial"/>
          <w:lang w:val="en-US"/>
        </w:rPr>
        <w:t>concern</w:t>
      </w:r>
      <w:r w:rsidR="009D5882">
        <w:rPr>
          <w:rFonts w:eastAsia="MS Mincho" w:cs="Arial"/>
          <w:lang w:val="en-US"/>
        </w:rPr>
        <w:t>s</w:t>
      </w:r>
      <w:r w:rsidR="0082073A">
        <w:rPr>
          <w:rFonts w:eastAsia="MS Mincho" w:cs="Arial"/>
          <w:lang w:val="en-US"/>
        </w:rPr>
        <w:t xml:space="preserve"> </w:t>
      </w:r>
      <w:r w:rsidR="009D5882">
        <w:rPr>
          <w:rFonts w:eastAsia="MS Mincho" w:cs="Arial"/>
          <w:lang w:val="en-US"/>
        </w:rPr>
        <w:t>with regard to this transition</w:t>
      </w:r>
      <w:r w:rsidR="00186A2D" w:rsidRPr="00186A2D">
        <w:rPr>
          <w:rFonts w:eastAsia="MS Mincho" w:cs="Arial"/>
          <w:lang w:val="en-US"/>
        </w:rPr>
        <w:t xml:space="preserve">. </w:t>
      </w:r>
      <w:r w:rsidR="00C66EDC">
        <w:rPr>
          <w:rFonts w:eastAsia="MS Mincho" w:cs="Arial"/>
          <w:lang w:val="en-US"/>
        </w:rPr>
        <w:t xml:space="preserve">Typical of this </w:t>
      </w:r>
      <w:r w:rsidR="00C66EDC">
        <w:rPr>
          <w:rFonts w:eastAsia="MS Mincho" w:cs="Arial"/>
          <w:lang w:val="en-US"/>
        </w:rPr>
        <w:lastRenderedPageBreak/>
        <w:t xml:space="preserve">was </w:t>
      </w:r>
      <w:r w:rsidR="00186A2D" w:rsidRPr="00186A2D">
        <w:rPr>
          <w:rFonts w:eastAsia="MS Mincho" w:cs="Arial"/>
          <w:lang w:val="en-US"/>
        </w:rPr>
        <w:t>Peter</w:t>
      </w:r>
      <w:r w:rsidR="00C66EDC">
        <w:rPr>
          <w:rFonts w:eastAsia="MS Mincho" w:cs="Arial"/>
          <w:lang w:val="en-US"/>
        </w:rPr>
        <w:t>, who</w:t>
      </w:r>
      <w:r w:rsidR="00186A2D" w:rsidRPr="00186A2D">
        <w:rPr>
          <w:rFonts w:eastAsia="MS Mincho" w:cs="Arial"/>
          <w:lang w:val="en-US"/>
        </w:rPr>
        <w:t xml:space="preserve"> described the</w:t>
      </w:r>
      <w:r w:rsidR="00C66EDC">
        <w:rPr>
          <w:rFonts w:eastAsia="MS Mincho" w:cs="Arial"/>
          <w:lang w:val="en-US"/>
        </w:rPr>
        <w:t xml:space="preserve"> way in which </w:t>
      </w:r>
      <w:r w:rsidR="00186A2D" w:rsidRPr="00186A2D">
        <w:rPr>
          <w:rFonts w:eastAsia="MS Mincho" w:cs="Arial"/>
          <w:lang w:val="en-US"/>
        </w:rPr>
        <w:t>local social care spending cuts</w:t>
      </w:r>
      <w:r w:rsidR="00855C71">
        <w:rPr>
          <w:rFonts w:eastAsia="MS Mincho" w:cs="Arial"/>
          <w:lang w:val="en-US"/>
        </w:rPr>
        <w:t xml:space="preserve"> under austerity</w:t>
      </w:r>
      <w:r w:rsidR="00186A2D" w:rsidRPr="00186A2D">
        <w:rPr>
          <w:rFonts w:eastAsia="MS Mincho" w:cs="Arial"/>
          <w:lang w:val="en-US"/>
        </w:rPr>
        <w:t xml:space="preserve"> </w:t>
      </w:r>
      <w:r w:rsidR="00C66EDC">
        <w:rPr>
          <w:rFonts w:eastAsia="MS Mincho" w:cs="Arial"/>
          <w:lang w:val="en-US"/>
        </w:rPr>
        <w:t xml:space="preserve">had </w:t>
      </w:r>
      <w:r w:rsidR="008956E4">
        <w:rPr>
          <w:rFonts w:eastAsia="MS Mincho" w:cs="Arial"/>
          <w:lang w:val="en-US"/>
        </w:rPr>
        <w:t xml:space="preserve">resulted in more </w:t>
      </w:r>
      <w:r w:rsidR="00C66EDC">
        <w:rPr>
          <w:rFonts w:eastAsia="MS Mincho" w:cs="Arial"/>
          <w:lang w:val="en-US"/>
        </w:rPr>
        <w:t>short-term provision</w:t>
      </w:r>
      <w:r w:rsidR="00186A2D" w:rsidRPr="00186A2D">
        <w:rPr>
          <w:rFonts w:eastAsia="MS Mincho" w:cs="Arial"/>
          <w:lang w:val="en-US"/>
        </w:rPr>
        <w:t>,</w:t>
      </w:r>
    </w:p>
    <w:p w14:paraId="6744ACCC" w14:textId="1580C587" w:rsidR="00186A2D" w:rsidRPr="00186A2D" w:rsidRDefault="00186A2D" w:rsidP="00186A2D">
      <w:pPr>
        <w:spacing w:after="120" w:line="360" w:lineRule="auto"/>
        <w:ind w:left="720"/>
        <w:rPr>
          <w:rFonts w:eastAsia="MS Mincho" w:cs="Arial"/>
          <w:i/>
          <w:iCs/>
          <w:lang w:val="en-US"/>
        </w:rPr>
      </w:pPr>
      <w:r w:rsidRPr="00186A2D">
        <w:rPr>
          <w:rFonts w:eastAsia="MS Mincho" w:cs="Arial"/>
          <w:i/>
          <w:iCs/>
          <w:lang w:val="en-US"/>
        </w:rPr>
        <w:t xml:space="preserve">The support I’ve had in the day </w:t>
      </w:r>
      <w:proofErr w:type="spellStart"/>
      <w:r w:rsidRPr="00186A2D">
        <w:rPr>
          <w:rFonts w:eastAsia="MS Mincho" w:cs="Arial"/>
          <w:i/>
          <w:iCs/>
          <w:lang w:val="en-US"/>
        </w:rPr>
        <w:t>centres</w:t>
      </w:r>
      <w:proofErr w:type="spellEnd"/>
      <w:r w:rsidRPr="00186A2D">
        <w:rPr>
          <w:rFonts w:eastAsia="MS Mincho" w:cs="Arial"/>
          <w:i/>
          <w:iCs/>
          <w:lang w:val="en-US"/>
        </w:rPr>
        <w:t xml:space="preserve"> has been incredible, places where I listen and talk to other people. That’s being cut, there used to be 20-odd </w:t>
      </w:r>
      <w:proofErr w:type="spellStart"/>
      <w:r w:rsidRPr="00186A2D">
        <w:rPr>
          <w:rFonts w:eastAsia="MS Mincho" w:cs="Arial"/>
          <w:i/>
          <w:iCs/>
          <w:lang w:val="en-US"/>
        </w:rPr>
        <w:t>centres</w:t>
      </w:r>
      <w:proofErr w:type="spellEnd"/>
      <w:r w:rsidRPr="00186A2D">
        <w:rPr>
          <w:rFonts w:eastAsia="MS Mincho" w:cs="Arial"/>
          <w:i/>
          <w:iCs/>
          <w:lang w:val="en-US"/>
        </w:rPr>
        <w:t xml:space="preserve"> […], and now it’s two or three. […] </w:t>
      </w:r>
      <w:r w:rsidRPr="00186A2D">
        <w:rPr>
          <w:rFonts w:eastAsia="MS Mincho" w:cs="Arial"/>
          <w:i/>
          <w:lang w:val="en-US"/>
        </w:rPr>
        <w:t xml:space="preserve">To get a place in the day </w:t>
      </w:r>
      <w:proofErr w:type="spellStart"/>
      <w:r w:rsidRPr="00186A2D">
        <w:rPr>
          <w:rFonts w:eastAsia="MS Mincho" w:cs="Arial"/>
          <w:i/>
          <w:lang w:val="en-US"/>
        </w:rPr>
        <w:t>centre</w:t>
      </w:r>
      <w:proofErr w:type="spellEnd"/>
      <w:r w:rsidRPr="00186A2D">
        <w:rPr>
          <w:rFonts w:eastAsia="MS Mincho" w:cs="Arial"/>
          <w:i/>
          <w:lang w:val="en-US"/>
        </w:rPr>
        <w:t xml:space="preserve"> you’ve got to have attempted suicide on two or more occasions</w:t>
      </w:r>
      <w:r w:rsidR="00FB6C21">
        <w:rPr>
          <w:rFonts w:eastAsia="MS Mincho" w:cs="Arial"/>
          <w:i/>
          <w:lang w:val="en-US"/>
        </w:rPr>
        <w:t xml:space="preserve"> [</w:t>
      </w:r>
      <w:r w:rsidRPr="00186A2D">
        <w:rPr>
          <w:rFonts w:eastAsia="MS Mincho" w:cs="Arial"/>
          <w:i/>
          <w:lang w:val="en-US"/>
        </w:rPr>
        <w:t>…</w:t>
      </w:r>
      <w:r w:rsidR="00FB6C21">
        <w:rPr>
          <w:rFonts w:eastAsia="MS Mincho" w:cs="Arial"/>
          <w:i/>
          <w:lang w:val="en-US"/>
        </w:rPr>
        <w:t xml:space="preserve">] </w:t>
      </w:r>
      <w:proofErr w:type="gramStart"/>
      <w:r w:rsidRPr="00186A2D">
        <w:rPr>
          <w:i/>
        </w:rPr>
        <w:t>This</w:t>
      </w:r>
      <w:proofErr w:type="gramEnd"/>
      <w:r w:rsidRPr="00186A2D">
        <w:rPr>
          <w:i/>
        </w:rPr>
        <w:t xml:space="preserve"> is driven by the whole ethos to push people towards independence. We want you to self-medicate, we want you to do this, we want you do that, you know, we want you to start cooking for yourself.  And people were doing all these things but there were a couple of suicide attempts and it was because people had been moved on towards accommodation that they were living in without support they should have had wasn’t really there. But the whole ethos remained, you know, pushing people to more and more independence.</w:t>
      </w:r>
    </w:p>
    <w:p w14:paraId="0D604629" w14:textId="7F5CE55D" w:rsidR="00186A2D" w:rsidRPr="00186A2D" w:rsidRDefault="00C66EDC" w:rsidP="00BC4F5B">
      <w:pPr>
        <w:spacing w:after="120" w:line="360" w:lineRule="auto"/>
        <w:rPr>
          <w:rFonts w:eastAsia="MS Mincho" w:cs="Arial"/>
          <w:i/>
          <w:lang w:val="en-US"/>
        </w:rPr>
      </w:pPr>
      <w:r>
        <w:rPr>
          <w:rFonts w:eastAsia="MS Mincho" w:cs="Arial"/>
          <w:lang w:val="en-US"/>
        </w:rPr>
        <w:t>While Peter was not advocating a return to paternalistic forms of intervention, his concerns articulate the significant risks associated with rapid withdrawal of support that</w:t>
      </w:r>
      <w:r w:rsidR="00E5666B">
        <w:rPr>
          <w:rFonts w:eastAsia="MS Mincho" w:cs="Arial"/>
          <w:lang w:val="en-US"/>
        </w:rPr>
        <w:t>,</w:t>
      </w:r>
      <w:r>
        <w:rPr>
          <w:rFonts w:eastAsia="MS Mincho" w:cs="Arial"/>
          <w:lang w:val="en-US"/>
        </w:rPr>
        <w:t xml:space="preserve"> </w:t>
      </w:r>
      <w:r w:rsidR="00E5666B">
        <w:rPr>
          <w:rFonts w:eastAsia="MS Mincho" w:cs="Arial"/>
          <w:lang w:val="en-US"/>
        </w:rPr>
        <w:t>while</w:t>
      </w:r>
      <w:r>
        <w:rPr>
          <w:rFonts w:eastAsia="MS Mincho" w:cs="Arial"/>
          <w:lang w:val="en-US"/>
        </w:rPr>
        <w:t xml:space="preserve"> framed as increasing user autonomy</w:t>
      </w:r>
      <w:r w:rsidR="00E5666B">
        <w:rPr>
          <w:rFonts w:eastAsia="MS Mincho" w:cs="Arial"/>
          <w:lang w:val="en-US"/>
        </w:rPr>
        <w:t>,</w:t>
      </w:r>
      <w:r>
        <w:rPr>
          <w:rFonts w:eastAsia="MS Mincho" w:cs="Arial"/>
          <w:lang w:val="en-US"/>
        </w:rPr>
        <w:t xml:space="preserve"> </w:t>
      </w:r>
      <w:r w:rsidR="00E5666B">
        <w:rPr>
          <w:rFonts w:eastAsia="MS Mincho" w:cs="Arial"/>
          <w:lang w:val="en-US"/>
        </w:rPr>
        <w:t>are</w:t>
      </w:r>
      <w:r>
        <w:rPr>
          <w:rFonts w:eastAsia="MS Mincho" w:cs="Arial"/>
          <w:lang w:val="en-US"/>
        </w:rPr>
        <w:t xml:space="preserve"> </w:t>
      </w:r>
      <w:r w:rsidR="00566658">
        <w:rPr>
          <w:rFonts w:eastAsia="MS Mincho" w:cs="Arial"/>
          <w:lang w:val="en-US"/>
        </w:rPr>
        <w:t>in his view</w:t>
      </w:r>
      <w:r>
        <w:rPr>
          <w:rFonts w:eastAsia="MS Mincho" w:cs="Arial"/>
          <w:lang w:val="en-US"/>
        </w:rPr>
        <w:t xml:space="preserve"> driven by budgetary pressures. </w:t>
      </w:r>
    </w:p>
    <w:p w14:paraId="41704CE4" w14:textId="310EC750" w:rsidR="00186A2D" w:rsidRPr="00186A2D" w:rsidRDefault="00186A2D" w:rsidP="00186A2D">
      <w:pPr>
        <w:spacing w:after="120" w:line="360" w:lineRule="auto"/>
        <w:rPr>
          <w:rFonts w:eastAsia="MS Mincho" w:cs="Arial"/>
          <w:lang w:val="en-US"/>
        </w:rPr>
      </w:pPr>
      <w:r w:rsidRPr="00186A2D">
        <w:rPr>
          <w:rFonts w:eastAsia="MS Mincho" w:cs="Arial"/>
          <w:lang w:val="en-US"/>
        </w:rPr>
        <w:t xml:space="preserve">Alongside these </w:t>
      </w:r>
      <w:r w:rsidR="00566658">
        <w:rPr>
          <w:rFonts w:eastAsia="MS Mincho" w:cs="Arial"/>
          <w:lang w:val="en-US"/>
        </w:rPr>
        <w:t xml:space="preserve">cuts </w:t>
      </w:r>
      <w:r w:rsidR="00855C71">
        <w:rPr>
          <w:rFonts w:eastAsia="MS Mincho" w:cs="Arial"/>
          <w:lang w:val="en-US"/>
        </w:rPr>
        <w:t xml:space="preserve">to </w:t>
      </w:r>
      <w:r w:rsidR="00566658">
        <w:rPr>
          <w:rFonts w:eastAsia="MS Mincho" w:cs="Arial"/>
          <w:lang w:val="en-US"/>
        </w:rPr>
        <w:t xml:space="preserve">and </w:t>
      </w:r>
      <w:r w:rsidRPr="00186A2D">
        <w:rPr>
          <w:rFonts w:eastAsia="MS Mincho" w:cs="Arial"/>
          <w:lang w:val="en-US"/>
        </w:rPr>
        <w:t xml:space="preserve">restrictions </w:t>
      </w:r>
      <w:r w:rsidR="00855C71">
        <w:rPr>
          <w:rFonts w:eastAsia="MS Mincho" w:cs="Arial"/>
          <w:lang w:val="en-US"/>
        </w:rPr>
        <w:t>on</w:t>
      </w:r>
      <w:r w:rsidR="00855C71" w:rsidRPr="00186A2D">
        <w:rPr>
          <w:rFonts w:eastAsia="MS Mincho" w:cs="Arial"/>
          <w:lang w:val="en-US"/>
        </w:rPr>
        <w:t xml:space="preserve"> </w:t>
      </w:r>
      <w:r w:rsidRPr="00186A2D">
        <w:rPr>
          <w:rFonts w:eastAsia="MS Mincho" w:cs="Arial"/>
          <w:lang w:val="en-US"/>
        </w:rPr>
        <w:t xml:space="preserve">collective </w:t>
      </w:r>
      <w:r w:rsidR="00E5666B">
        <w:rPr>
          <w:rFonts w:eastAsia="MS Mincho" w:cs="Arial"/>
          <w:lang w:val="en-US"/>
        </w:rPr>
        <w:t xml:space="preserve">forms </w:t>
      </w:r>
      <w:r w:rsidRPr="00186A2D">
        <w:rPr>
          <w:rFonts w:eastAsia="MS Mincho" w:cs="Arial"/>
          <w:lang w:val="en-US"/>
        </w:rPr>
        <w:t>provision, a reconfiguration of secondary mental health services</w:t>
      </w:r>
      <w:r w:rsidR="00566658">
        <w:rPr>
          <w:rFonts w:eastAsia="MS Mincho" w:cs="Arial"/>
          <w:lang w:val="en-US"/>
        </w:rPr>
        <w:t xml:space="preserve"> has involved</w:t>
      </w:r>
      <w:r w:rsidR="00566658" w:rsidRPr="00186A2D">
        <w:rPr>
          <w:rFonts w:eastAsia="MS Mincho" w:cs="Arial"/>
          <w:lang w:val="en-US"/>
        </w:rPr>
        <w:t xml:space="preserve"> the introduction and expansion of </w:t>
      </w:r>
      <w:r w:rsidR="00566658">
        <w:rPr>
          <w:rFonts w:eastAsia="MS Mincho" w:cs="Arial"/>
          <w:lang w:val="en-US"/>
        </w:rPr>
        <w:t xml:space="preserve">services </w:t>
      </w:r>
      <w:r w:rsidR="00566658" w:rsidRPr="00186A2D">
        <w:rPr>
          <w:rFonts w:eastAsia="MS Mincho" w:cs="Arial"/>
          <w:lang w:val="en-US"/>
        </w:rPr>
        <w:t xml:space="preserve">characterized by a much stronger orientation to self-help. </w:t>
      </w:r>
      <w:r w:rsidRPr="00186A2D">
        <w:rPr>
          <w:rFonts w:eastAsia="MS Mincho" w:cs="Arial"/>
          <w:lang w:val="en-US"/>
        </w:rPr>
        <w:t xml:space="preserve">Jenna was </w:t>
      </w:r>
      <w:r w:rsidR="00566658">
        <w:rPr>
          <w:rFonts w:eastAsia="MS Mincho" w:cs="Arial"/>
          <w:lang w:val="en-US"/>
        </w:rPr>
        <w:t>highly critical</w:t>
      </w:r>
      <w:r w:rsidR="00566658" w:rsidRPr="00186A2D">
        <w:rPr>
          <w:rFonts w:eastAsia="MS Mincho" w:cs="Arial"/>
          <w:lang w:val="en-US"/>
        </w:rPr>
        <w:t xml:space="preserve"> </w:t>
      </w:r>
      <w:r w:rsidR="00566658">
        <w:rPr>
          <w:rFonts w:eastAsia="MS Mincho" w:cs="Arial"/>
          <w:lang w:val="en-US"/>
        </w:rPr>
        <w:t>of</w:t>
      </w:r>
      <w:r w:rsidR="00566658" w:rsidRPr="00186A2D">
        <w:rPr>
          <w:rFonts w:eastAsia="MS Mincho" w:cs="Arial"/>
          <w:lang w:val="en-US"/>
        </w:rPr>
        <w:t xml:space="preserve"> </w:t>
      </w:r>
      <w:r w:rsidRPr="00186A2D">
        <w:rPr>
          <w:rFonts w:eastAsia="MS Mincho" w:cs="Arial"/>
          <w:lang w:val="en-US"/>
        </w:rPr>
        <w:t>her experiences</w:t>
      </w:r>
      <w:r w:rsidR="008956E4">
        <w:rPr>
          <w:rFonts w:eastAsia="MS Mincho" w:cs="Arial"/>
          <w:lang w:val="en-US"/>
        </w:rPr>
        <w:t xml:space="preserve"> in Recovery Colleges</w:t>
      </w:r>
      <w:r w:rsidRPr="00186A2D">
        <w:rPr>
          <w:rFonts w:eastAsia="MS Mincho" w:cs="Arial"/>
          <w:lang w:val="en-US"/>
        </w:rPr>
        <w:t xml:space="preserve">, </w:t>
      </w:r>
    </w:p>
    <w:p w14:paraId="0C4290F0" w14:textId="6DCEBA51"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t>There’s like 25 of us in a hall […], they’ve [the facilitators] got a computer going onto the big screen and they’re just reading it out</w:t>
      </w:r>
      <w:r w:rsidR="008956E4">
        <w:rPr>
          <w:rFonts w:eastAsia="MS Mincho" w:cs="Arial"/>
          <w:i/>
          <w:lang w:val="en-US"/>
        </w:rPr>
        <w:t xml:space="preserve"> </w:t>
      </w:r>
      <w:r w:rsidRPr="00186A2D">
        <w:rPr>
          <w:rFonts w:eastAsia="MS Mincho" w:cs="Arial"/>
          <w:i/>
          <w:lang w:val="en-US"/>
        </w:rPr>
        <w:t xml:space="preserve">[…] One man in the first session said ‘this is no good to me, aren’t we allowed to talk about our feelings, and how we’re feeling, have we just got to sit here and listen to you.’ And at the end of the session they gave us a 69-page booklet to read. </w:t>
      </w:r>
    </w:p>
    <w:p w14:paraId="70BEECF3" w14:textId="4A4C85BD" w:rsidR="00186A2D" w:rsidRPr="00186A2D" w:rsidRDefault="00566658" w:rsidP="00186A2D">
      <w:pPr>
        <w:spacing w:after="120" w:line="360" w:lineRule="auto"/>
        <w:rPr>
          <w:rFonts w:eastAsia="MS Mincho" w:cs="Arial"/>
          <w:lang w:val="en-US"/>
        </w:rPr>
      </w:pPr>
      <w:r>
        <w:rPr>
          <w:rFonts w:eastAsia="MS Mincho" w:cs="Arial"/>
          <w:lang w:val="en-US"/>
        </w:rPr>
        <w:t>A particular focus of h</w:t>
      </w:r>
      <w:r w:rsidR="00186A2D" w:rsidRPr="00186A2D">
        <w:rPr>
          <w:rFonts w:eastAsia="MS Mincho" w:cs="Arial"/>
          <w:lang w:val="en-US"/>
        </w:rPr>
        <w:t>er criticisms</w:t>
      </w:r>
      <w:r>
        <w:rPr>
          <w:rFonts w:eastAsia="MS Mincho" w:cs="Arial"/>
          <w:lang w:val="en-US"/>
        </w:rPr>
        <w:t xml:space="preserve"> was the adoption of a short-term</w:t>
      </w:r>
      <w:r w:rsidRPr="00186A2D">
        <w:rPr>
          <w:rFonts w:eastAsia="MS Mincho" w:cs="Arial"/>
          <w:lang w:val="en-US"/>
        </w:rPr>
        <w:t xml:space="preserve"> </w:t>
      </w:r>
      <w:r>
        <w:rPr>
          <w:rFonts w:eastAsia="MS Mincho" w:cs="Arial"/>
          <w:lang w:val="en-US"/>
        </w:rPr>
        <w:t xml:space="preserve">educational </w:t>
      </w:r>
      <w:r w:rsidR="00467552">
        <w:rPr>
          <w:rFonts w:eastAsia="MS Mincho" w:cs="Arial"/>
          <w:lang w:val="en-US"/>
        </w:rPr>
        <w:t>approach within this model that effaces</w:t>
      </w:r>
      <w:r>
        <w:rPr>
          <w:rFonts w:eastAsia="MS Mincho" w:cs="Arial"/>
          <w:lang w:val="en-US"/>
        </w:rPr>
        <w:t xml:space="preserve"> therapeutic</w:t>
      </w:r>
      <w:r w:rsidRPr="00186A2D">
        <w:rPr>
          <w:rFonts w:eastAsia="MS Mincho" w:cs="Arial"/>
          <w:lang w:val="en-US"/>
        </w:rPr>
        <w:t xml:space="preserve"> </w:t>
      </w:r>
      <w:r>
        <w:rPr>
          <w:rFonts w:eastAsia="MS Mincho" w:cs="Arial"/>
          <w:lang w:val="en-US"/>
        </w:rPr>
        <w:t>engagement with</w:t>
      </w:r>
      <w:r w:rsidR="008A7ABF">
        <w:rPr>
          <w:rFonts w:eastAsia="MS Mincho" w:cs="Arial"/>
          <w:lang w:val="en-US"/>
        </w:rPr>
        <w:t xml:space="preserve"> lived</w:t>
      </w:r>
      <w:r w:rsidRPr="00186A2D">
        <w:rPr>
          <w:rFonts w:eastAsia="MS Mincho" w:cs="Arial"/>
          <w:lang w:val="en-US"/>
        </w:rPr>
        <w:t xml:space="preserve"> </w:t>
      </w:r>
      <w:r>
        <w:rPr>
          <w:rFonts w:eastAsia="MS Mincho" w:cs="Arial"/>
          <w:lang w:val="en-US"/>
        </w:rPr>
        <w:t xml:space="preserve">experiences of </w:t>
      </w:r>
      <w:r w:rsidRPr="00186A2D">
        <w:rPr>
          <w:rFonts w:eastAsia="MS Mincho" w:cs="Arial"/>
          <w:lang w:val="en-US"/>
        </w:rPr>
        <w:t>mental distress</w:t>
      </w:r>
      <w:r>
        <w:rPr>
          <w:rFonts w:eastAsia="MS Mincho" w:cs="Arial"/>
          <w:lang w:val="en-US"/>
        </w:rPr>
        <w:t xml:space="preserve"> </w:t>
      </w:r>
      <w:r w:rsidRPr="00186A2D">
        <w:rPr>
          <w:rFonts w:eastAsia="MS Mincho" w:cs="Arial"/>
          <w:lang w:val="en-US"/>
        </w:rPr>
        <w:t xml:space="preserve">(Perkins and </w:t>
      </w:r>
      <w:proofErr w:type="spellStart"/>
      <w:r w:rsidRPr="00186A2D">
        <w:rPr>
          <w:rFonts w:eastAsia="MS Mincho" w:cs="Arial"/>
          <w:lang w:val="en-US"/>
        </w:rPr>
        <w:t>Repper</w:t>
      </w:r>
      <w:proofErr w:type="spellEnd"/>
      <w:r w:rsidRPr="00186A2D">
        <w:rPr>
          <w:rFonts w:eastAsia="MS Mincho" w:cs="Arial"/>
          <w:lang w:val="en-US"/>
        </w:rPr>
        <w:t>, 2017).</w:t>
      </w:r>
      <w:r w:rsidR="00186A2D" w:rsidRPr="00186A2D">
        <w:rPr>
          <w:rFonts w:eastAsia="MS Mincho" w:cs="Arial"/>
          <w:lang w:val="en-US"/>
        </w:rPr>
        <w:t xml:space="preserve"> </w:t>
      </w:r>
      <w:r w:rsidR="008956E4">
        <w:rPr>
          <w:rFonts w:eastAsia="MS Mincho" w:cs="Arial"/>
          <w:lang w:val="en-US"/>
        </w:rPr>
        <w:t>H</w:t>
      </w:r>
      <w:r w:rsidR="00467552">
        <w:rPr>
          <w:rFonts w:eastAsia="MS Mincho" w:cs="Arial"/>
          <w:lang w:val="en-US"/>
        </w:rPr>
        <w:t xml:space="preserve">er </w:t>
      </w:r>
      <w:r w:rsidR="008956E4">
        <w:rPr>
          <w:rFonts w:eastAsia="MS Mincho" w:cs="Arial"/>
          <w:lang w:val="en-US"/>
        </w:rPr>
        <w:t>statements</w:t>
      </w:r>
      <w:r>
        <w:rPr>
          <w:rFonts w:eastAsia="MS Mincho" w:cs="Arial"/>
          <w:lang w:val="en-US"/>
        </w:rPr>
        <w:t xml:space="preserve"> </w:t>
      </w:r>
      <w:r w:rsidR="00186A2D" w:rsidRPr="00186A2D">
        <w:rPr>
          <w:rFonts w:eastAsia="MS Mincho" w:cs="Arial"/>
          <w:lang w:val="en-US"/>
        </w:rPr>
        <w:t>reflect wider concerns that</w:t>
      </w:r>
      <w:r w:rsidR="00467552">
        <w:rPr>
          <w:rFonts w:eastAsia="MS Mincho" w:cs="Arial"/>
          <w:lang w:val="en-US"/>
        </w:rPr>
        <w:t>,</w:t>
      </w:r>
      <w:r w:rsidR="00467552" w:rsidRPr="00467552">
        <w:rPr>
          <w:rFonts w:eastAsia="MS Mincho" w:cs="Arial"/>
          <w:lang w:val="en-US"/>
        </w:rPr>
        <w:t xml:space="preserve"> </w:t>
      </w:r>
      <w:r w:rsidR="00467552" w:rsidRPr="00186A2D">
        <w:rPr>
          <w:rFonts w:eastAsia="MS Mincho" w:cs="Arial"/>
          <w:lang w:val="en-US"/>
        </w:rPr>
        <w:t>once the course is completed</w:t>
      </w:r>
      <w:r w:rsidR="00467552">
        <w:rPr>
          <w:rFonts w:eastAsia="MS Mincho" w:cs="Arial"/>
          <w:lang w:val="en-US"/>
        </w:rPr>
        <w:t>,</w:t>
      </w:r>
      <w:r w:rsidR="00186A2D" w:rsidRPr="00186A2D">
        <w:rPr>
          <w:rFonts w:eastAsia="MS Mincho" w:cs="Arial"/>
          <w:lang w:val="en-US"/>
        </w:rPr>
        <w:t xml:space="preserve"> </w:t>
      </w:r>
      <w:r w:rsidR="00467552">
        <w:rPr>
          <w:rFonts w:eastAsia="MS Mincho" w:cs="Arial"/>
          <w:lang w:val="en-US"/>
        </w:rPr>
        <w:t xml:space="preserve">this educational self-help orientation </w:t>
      </w:r>
      <w:r w:rsidR="00186A2D" w:rsidRPr="00186A2D">
        <w:rPr>
          <w:rFonts w:eastAsia="MS Mincho" w:cs="Arial"/>
          <w:lang w:val="en-US"/>
        </w:rPr>
        <w:t>place</w:t>
      </w:r>
      <w:r w:rsidR="00467552">
        <w:rPr>
          <w:rFonts w:eastAsia="MS Mincho" w:cs="Arial"/>
          <w:lang w:val="en-US"/>
        </w:rPr>
        <w:t>s</w:t>
      </w:r>
      <w:r w:rsidR="00186A2D" w:rsidRPr="00186A2D">
        <w:rPr>
          <w:rFonts w:eastAsia="MS Mincho" w:cs="Arial"/>
          <w:lang w:val="en-US"/>
        </w:rPr>
        <w:t xml:space="preserve"> undue responsibility on the individual</w:t>
      </w:r>
      <w:r w:rsidR="00467552">
        <w:rPr>
          <w:rFonts w:eastAsia="MS Mincho" w:cs="Arial"/>
          <w:lang w:val="en-US"/>
        </w:rPr>
        <w:t xml:space="preserve"> to self-manage recovery</w:t>
      </w:r>
      <w:r w:rsidR="00186A2D" w:rsidRPr="00186A2D">
        <w:rPr>
          <w:rFonts w:eastAsia="MS Mincho" w:cs="Arial"/>
          <w:lang w:val="en-US"/>
        </w:rPr>
        <w:t xml:space="preserve"> </w:t>
      </w:r>
      <w:r w:rsidR="00467552">
        <w:rPr>
          <w:rFonts w:eastAsia="MS Mincho" w:cs="Arial"/>
          <w:lang w:val="en-US"/>
        </w:rPr>
        <w:t xml:space="preserve">with the aid </w:t>
      </w:r>
      <w:r w:rsidR="008956E4">
        <w:rPr>
          <w:rFonts w:eastAsia="MS Mincho" w:cs="Arial"/>
          <w:lang w:val="en-US"/>
        </w:rPr>
        <w:t xml:space="preserve">of </w:t>
      </w:r>
      <w:r w:rsidR="00467552">
        <w:rPr>
          <w:rFonts w:eastAsia="MS Mincho" w:cs="Arial"/>
          <w:lang w:val="en-US"/>
        </w:rPr>
        <w:t>resource packs rather than</w:t>
      </w:r>
      <w:r w:rsidR="00186A2D" w:rsidRPr="00186A2D">
        <w:rPr>
          <w:rFonts w:eastAsia="MS Mincho" w:cs="Arial"/>
          <w:lang w:val="en-US"/>
        </w:rPr>
        <w:t xml:space="preserve"> sustained or ongoing support </w:t>
      </w:r>
      <w:r w:rsidR="00855C71">
        <w:rPr>
          <w:rFonts w:eastAsia="MS Mincho" w:cs="Arial"/>
          <w:lang w:val="en-US"/>
        </w:rPr>
        <w:t xml:space="preserve">from services </w:t>
      </w:r>
      <w:r w:rsidR="00186A2D" w:rsidRPr="00186A2D">
        <w:rPr>
          <w:rFonts w:eastAsia="MS Mincho" w:cs="Arial"/>
          <w:lang w:val="en-US"/>
        </w:rPr>
        <w:t xml:space="preserve">(Harper and Speed, 2012). </w:t>
      </w:r>
      <w:r w:rsidR="000A006E">
        <w:rPr>
          <w:rFonts w:eastAsia="MS Mincho" w:cs="Arial"/>
          <w:lang w:val="en-US"/>
        </w:rPr>
        <w:t xml:space="preserve">For another participant, </w:t>
      </w:r>
      <w:r w:rsidR="00186A2D" w:rsidRPr="00186A2D">
        <w:rPr>
          <w:rFonts w:eastAsia="MS Mincho" w:cs="Arial"/>
          <w:lang w:val="en-US"/>
        </w:rPr>
        <w:t>Tin</w:t>
      </w:r>
      <w:r w:rsidR="000A006E">
        <w:rPr>
          <w:rFonts w:eastAsia="MS Mincho" w:cs="Arial"/>
          <w:lang w:val="en-US"/>
        </w:rPr>
        <w:t xml:space="preserve">a, dominant conceptions of the process </w:t>
      </w:r>
      <w:r w:rsidR="00186A2D" w:rsidRPr="00186A2D">
        <w:rPr>
          <w:rFonts w:eastAsia="MS Mincho" w:cs="Arial"/>
          <w:lang w:val="en-US"/>
        </w:rPr>
        <w:t xml:space="preserve">of ‘recovering’ </w:t>
      </w:r>
      <w:r w:rsidR="000A006E">
        <w:rPr>
          <w:rFonts w:eastAsia="MS Mincho" w:cs="Arial"/>
          <w:lang w:val="en-US"/>
        </w:rPr>
        <w:t xml:space="preserve">articulated within the </w:t>
      </w:r>
      <w:r w:rsidR="000A006E" w:rsidRPr="00186A2D">
        <w:rPr>
          <w:rFonts w:eastAsia="MS Mincho" w:cs="Arial"/>
          <w:lang w:val="en-US"/>
        </w:rPr>
        <w:t>Recovery Colle</w:t>
      </w:r>
      <w:r w:rsidR="000A006E">
        <w:rPr>
          <w:rFonts w:eastAsia="MS Mincho" w:cs="Arial"/>
          <w:lang w:val="en-US"/>
        </w:rPr>
        <w:t>ge model</w:t>
      </w:r>
      <w:r w:rsidR="000A006E">
        <w:rPr>
          <w:rFonts w:eastAsia="MS Mincho" w:cs="Arial" w:hint="eastAsia"/>
          <w:lang w:val="en-US"/>
        </w:rPr>
        <w:t xml:space="preserve"> </w:t>
      </w:r>
      <w:r w:rsidR="000A006E">
        <w:rPr>
          <w:rFonts w:eastAsia="MS Mincho" w:cs="Arial"/>
          <w:lang w:val="en-US"/>
        </w:rPr>
        <w:t>were highly inadequate</w:t>
      </w:r>
      <w:r w:rsidR="00186A2D" w:rsidRPr="00186A2D">
        <w:rPr>
          <w:rFonts w:eastAsia="MS Mincho" w:cs="Arial"/>
          <w:lang w:val="en-US"/>
        </w:rPr>
        <w:t>,</w:t>
      </w:r>
    </w:p>
    <w:p w14:paraId="67951518" w14:textId="11174E13"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lastRenderedPageBreak/>
        <w:t xml:space="preserve">I think recovery is a lifelong thing </w:t>
      </w:r>
      <w:r w:rsidR="008956E4">
        <w:rPr>
          <w:rFonts w:eastAsia="MS Mincho" w:cs="Arial"/>
          <w:i/>
          <w:lang w:val="en-US"/>
        </w:rPr>
        <w:t>[</w:t>
      </w:r>
      <w:r w:rsidRPr="00186A2D">
        <w:rPr>
          <w:rFonts w:eastAsia="MS Mincho" w:cs="Arial"/>
          <w:i/>
          <w:lang w:val="en-US"/>
        </w:rPr>
        <w:t>…</w:t>
      </w:r>
      <w:r w:rsidR="008956E4">
        <w:rPr>
          <w:rFonts w:eastAsia="MS Mincho" w:cs="Arial"/>
          <w:i/>
          <w:lang w:val="en-US"/>
        </w:rPr>
        <w:t>]</w:t>
      </w:r>
      <w:r w:rsidRPr="00186A2D">
        <w:rPr>
          <w:rFonts w:eastAsia="MS Mincho" w:cs="Arial"/>
          <w:i/>
          <w:lang w:val="en-US"/>
        </w:rPr>
        <w:t xml:space="preserve"> it’s not being symptom free by any stretch of the imagination</w:t>
      </w:r>
      <w:r w:rsidR="008956E4">
        <w:rPr>
          <w:rFonts w:eastAsia="MS Mincho" w:cs="Arial"/>
          <w:i/>
          <w:lang w:val="en-US"/>
        </w:rPr>
        <w:t xml:space="preserve"> [</w:t>
      </w:r>
      <w:r w:rsidRPr="00186A2D">
        <w:rPr>
          <w:rFonts w:eastAsia="MS Mincho" w:cs="Arial"/>
          <w:i/>
          <w:lang w:val="en-US"/>
        </w:rPr>
        <w:t>…</w:t>
      </w:r>
      <w:r w:rsidR="008956E4">
        <w:rPr>
          <w:rFonts w:eastAsia="MS Mincho" w:cs="Arial"/>
          <w:i/>
          <w:lang w:val="en-US"/>
        </w:rPr>
        <w:t xml:space="preserve">] </w:t>
      </w:r>
      <w:r w:rsidRPr="00186A2D">
        <w:rPr>
          <w:rFonts w:eastAsia="MS Mincho" w:cs="Arial"/>
          <w:i/>
          <w:lang w:val="en-US"/>
        </w:rPr>
        <w:t xml:space="preserve">and it’s certainly not simply being forced back to work. </w:t>
      </w:r>
    </w:p>
    <w:p w14:paraId="5D572C6F" w14:textId="0DACE909" w:rsidR="00122FEF" w:rsidRDefault="008956E4" w:rsidP="00186A2D">
      <w:pPr>
        <w:spacing w:before="240" w:after="120" w:line="360" w:lineRule="auto"/>
        <w:rPr>
          <w:rFonts w:eastAsia="MS Mincho" w:cs="Arial"/>
          <w:lang w:val="en-US"/>
        </w:rPr>
      </w:pPr>
      <w:r>
        <w:rPr>
          <w:rFonts w:eastAsia="MS Mincho" w:cs="Arial"/>
          <w:lang w:val="en-US"/>
        </w:rPr>
        <w:t xml:space="preserve">The version of recovery that is actually present within government services frequently ignores the </w:t>
      </w:r>
      <w:r w:rsidR="00855C71">
        <w:rPr>
          <w:rFonts w:eastAsia="MS Mincho" w:cs="Arial"/>
          <w:lang w:val="en-US"/>
        </w:rPr>
        <w:t>lived experiences of distress</w:t>
      </w:r>
      <w:r>
        <w:rPr>
          <w:rFonts w:eastAsia="MS Mincho" w:cs="Arial"/>
          <w:lang w:val="en-US"/>
        </w:rPr>
        <w:t xml:space="preserve"> and</w:t>
      </w:r>
      <w:r w:rsidR="000A006E">
        <w:rPr>
          <w:rFonts w:eastAsia="MS Mincho" w:cs="Arial"/>
          <w:lang w:val="en-US"/>
        </w:rPr>
        <w:t xml:space="preserve"> </w:t>
      </w:r>
      <w:r w:rsidR="00855C71">
        <w:rPr>
          <w:rFonts w:eastAsia="MS Mincho" w:cs="Arial"/>
          <w:lang w:val="en-US"/>
        </w:rPr>
        <w:t>the</w:t>
      </w:r>
      <w:r w:rsidR="004F0459">
        <w:rPr>
          <w:rFonts w:eastAsia="MS Mincho" w:cs="Arial"/>
          <w:lang w:val="en-US"/>
        </w:rPr>
        <w:t xml:space="preserve"> </w:t>
      </w:r>
      <w:r w:rsidR="003C66E5" w:rsidRPr="003C66E5">
        <w:rPr>
          <w:rFonts w:eastAsia="MS Mincho" w:cs="Arial"/>
          <w:lang w:val="en-US"/>
        </w:rPr>
        <w:t>indetermi</w:t>
      </w:r>
      <w:r w:rsidR="003C66E5" w:rsidRPr="003C66E5">
        <w:rPr>
          <w:rFonts w:eastAsia="MS Mincho" w:cs="Arial" w:hint="eastAsia"/>
          <w:lang w:val="en-US"/>
        </w:rPr>
        <w:t>nate</w:t>
      </w:r>
      <w:r w:rsidR="004F0459">
        <w:rPr>
          <w:rFonts w:eastAsia="MS Mincho" w:cs="Arial"/>
          <w:lang w:val="en-US"/>
        </w:rPr>
        <w:t xml:space="preserve"> temporal dimensions</w:t>
      </w:r>
      <w:r w:rsidR="00855C71">
        <w:rPr>
          <w:rFonts w:eastAsia="MS Mincho" w:cs="Arial"/>
          <w:lang w:val="en-US"/>
        </w:rPr>
        <w:t xml:space="preserve"> of recovery</w:t>
      </w:r>
      <w:r w:rsidR="004F0459">
        <w:rPr>
          <w:rFonts w:eastAsia="MS Mincho" w:cs="Arial"/>
          <w:lang w:val="en-US"/>
        </w:rPr>
        <w:t xml:space="preserve"> (</w:t>
      </w:r>
      <w:proofErr w:type="spellStart"/>
      <w:r w:rsidR="004F0459">
        <w:rPr>
          <w:rFonts w:eastAsia="MS Mincho" w:cs="Arial"/>
          <w:lang w:val="en-US"/>
        </w:rPr>
        <w:t>McWade</w:t>
      </w:r>
      <w:proofErr w:type="spellEnd"/>
      <w:r w:rsidR="004F0459">
        <w:rPr>
          <w:rFonts w:eastAsia="MS Mincho" w:cs="Arial"/>
          <w:lang w:val="en-US"/>
        </w:rPr>
        <w:t>, 2015)</w:t>
      </w:r>
      <w:r>
        <w:rPr>
          <w:rFonts w:eastAsia="MS Mincho" w:cs="Arial"/>
          <w:lang w:val="en-US"/>
        </w:rPr>
        <w:t>.  A</w:t>
      </w:r>
      <w:r w:rsidR="004F0459">
        <w:rPr>
          <w:rFonts w:eastAsia="MS Mincho" w:cs="Arial"/>
          <w:lang w:val="en-US"/>
        </w:rPr>
        <w:t xml:space="preserve">ccess to forms of support </w:t>
      </w:r>
      <w:r w:rsidR="004F0459">
        <w:rPr>
          <w:rFonts w:eastAsia="MS Mincho" w:cs="Arial" w:hint="eastAsia"/>
          <w:lang w:val="en-US"/>
        </w:rPr>
        <w:t>that</w:t>
      </w:r>
      <w:r w:rsidR="004F0459">
        <w:rPr>
          <w:rFonts w:eastAsia="MS Mincho" w:cs="Arial"/>
          <w:lang w:val="en-US"/>
        </w:rPr>
        <w:t xml:space="preserve"> </w:t>
      </w:r>
      <w:r w:rsidR="004F0459">
        <w:rPr>
          <w:rFonts w:eastAsia="MS Mincho" w:cs="Arial" w:hint="eastAsia"/>
          <w:lang w:val="en-US"/>
        </w:rPr>
        <w:t>potentially</w:t>
      </w:r>
      <w:r w:rsidR="004F0459">
        <w:rPr>
          <w:rFonts w:eastAsia="MS Mincho" w:cs="Arial"/>
          <w:lang w:val="en-US"/>
        </w:rPr>
        <w:t xml:space="preserve"> exceed the short-term and extend beyond </w:t>
      </w:r>
      <w:proofErr w:type="spellStart"/>
      <w:r w:rsidR="004F0459">
        <w:rPr>
          <w:rFonts w:eastAsia="MS Mincho" w:cs="Arial"/>
          <w:lang w:val="en-US"/>
        </w:rPr>
        <w:t>labour</w:t>
      </w:r>
      <w:proofErr w:type="spellEnd"/>
      <w:r w:rsidR="004F0459">
        <w:rPr>
          <w:rFonts w:eastAsia="MS Mincho" w:cs="Arial"/>
          <w:lang w:val="en-US"/>
        </w:rPr>
        <w:t xml:space="preserve"> market outcomes</w:t>
      </w:r>
      <w:r>
        <w:rPr>
          <w:rFonts w:eastAsia="MS Mincho" w:cs="Arial"/>
          <w:lang w:val="en-US"/>
        </w:rPr>
        <w:t xml:space="preserve"> may be required by many</w:t>
      </w:r>
      <w:r w:rsidR="004F0459">
        <w:rPr>
          <w:rFonts w:eastAsia="MS Mincho" w:cs="Arial"/>
          <w:lang w:val="en-US"/>
        </w:rPr>
        <w:t xml:space="preserve">. </w:t>
      </w:r>
      <w:r w:rsidR="00122FEF">
        <w:rPr>
          <w:rFonts w:eastAsia="MS Mincho" w:cs="Arial"/>
          <w:lang w:val="en-US"/>
        </w:rPr>
        <w:t>Tina</w:t>
      </w:r>
      <w:r w:rsidR="00F16655">
        <w:rPr>
          <w:rFonts w:eastAsia="MS Mincho" w:cs="Arial"/>
          <w:lang w:val="en-US"/>
        </w:rPr>
        <w:t xml:space="preserve"> also </w:t>
      </w:r>
      <w:proofErr w:type="spellStart"/>
      <w:r w:rsidR="00F16655">
        <w:rPr>
          <w:rFonts w:eastAsia="MS Mincho" w:cs="Arial"/>
          <w:lang w:val="en-US"/>
        </w:rPr>
        <w:t>problematised</w:t>
      </w:r>
      <w:proofErr w:type="spellEnd"/>
      <w:r w:rsidR="004F0459">
        <w:rPr>
          <w:rFonts w:eastAsia="MS Mincho" w:cs="Arial"/>
          <w:lang w:val="en-US"/>
        </w:rPr>
        <w:t xml:space="preserve"> the</w:t>
      </w:r>
      <w:r w:rsidR="00F16655">
        <w:rPr>
          <w:rFonts w:eastAsia="MS Mincho" w:cs="Arial"/>
          <w:lang w:val="en-US"/>
        </w:rPr>
        <w:t xml:space="preserve"> temporal</w:t>
      </w:r>
      <w:r w:rsidR="003C66E5">
        <w:rPr>
          <w:rFonts w:eastAsia="MS Mincho" w:cs="Arial"/>
          <w:lang w:val="en-US"/>
        </w:rPr>
        <w:t xml:space="preserve"> </w:t>
      </w:r>
      <w:r w:rsidR="00F16655">
        <w:rPr>
          <w:rFonts w:eastAsia="MS Mincho" w:cs="Arial" w:hint="eastAsia"/>
          <w:lang w:val="en-US"/>
        </w:rPr>
        <w:t>constraints</w:t>
      </w:r>
      <w:r w:rsidR="00F16655">
        <w:rPr>
          <w:rFonts w:eastAsia="MS Mincho" w:cs="Arial"/>
          <w:lang w:val="en-US"/>
        </w:rPr>
        <w:t xml:space="preserve"> of </w:t>
      </w:r>
      <w:r w:rsidR="003C66E5">
        <w:rPr>
          <w:rFonts w:eastAsia="MS Mincho" w:cs="Arial"/>
          <w:lang w:val="en-US"/>
        </w:rPr>
        <w:t xml:space="preserve">short-term provision of cognitive </w:t>
      </w:r>
      <w:proofErr w:type="spellStart"/>
      <w:r w:rsidR="003C66E5">
        <w:rPr>
          <w:rFonts w:eastAsia="MS Mincho" w:cs="Arial"/>
          <w:lang w:val="en-US"/>
        </w:rPr>
        <w:t>behavioural</w:t>
      </w:r>
      <w:proofErr w:type="spellEnd"/>
      <w:r w:rsidR="003C66E5">
        <w:rPr>
          <w:rFonts w:eastAsia="MS Mincho" w:cs="Arial"/>
          <w:lang w:val="en-US"/>
        </w:rPr>
        <w:t xml:space="preserve"> therapy (CBT)</w:t>
      </w:r>
      <w:r w:rsidR="00F16655">
        <w:rPr>
          <w:rFonts w:eastAsia="MS Mincho" w:cs="Arial"/>
          <w:lang w:val="en-US"/>
        </w:rPr>
        <w:t xml:space="preserve"> via the primary care IAPT</w:t>
      </w:r>
      <w:r w:rsidR="00F16655" w:rsidRPr="00186A2D">
        <w:rPr>
          <w:rFonts w:eastAsia="MS Mincho" w:cs="Arial"/>
          <w:lang w:val="en-US"/>
        </w:rPr>
        <w:t xml:space="preserve"> </w:t>
      </w:r>
      <w:proofErr w:type="spellStart"/>
      <w:r w:rsidR="00F16655" w:rsidRPr="00186A2D">
        <w:rPr>
          <w:rFonts w:eastAsia="MS Mincho" w:cs="Arial"/>
          <w:lang w:val="en-US"/>
        </w:rPr>
        <w:t>programmme</w:t>
      </w:r>
      <w:proofErr w:type="spellEnd"/>
      <w:r w:rsidR="00F16655">
        <w:rPr>
          <w:rFonts w:eastAsia="MS Mincho" w:cs="Arial"/>
          <w:lang w:val="en-US"/>
        </w:rPr>
        <w:t>,</w:t>
      </w:r>
    </w:p>
    <w:p w14:paraId="74507BAF" w14:textId="413DDB50" w:rsidR="00122FEF" w:rsidRPr="004F6C8F" w:rsidRDefault="00122FEF" w:rsidP="004F6C8F">
      <w:pPr>
        <w:spacing w:before="240" w:after="120" w:line="360" w:lineRule="auto"/>
        <w:ind w:left="720"/>
        <w:rPr>
          <w:rFonts w:eastAsia="MS Mincho" w:cs="Arial"/>
          <w:i/>
          <w:lang w:val="en-US"/>
        </w:rPr>
      </w:pPr>
      <w:r w:rsidRPr="00122FEF">
        <w:rPr>
          <w:rFonts w:eastAsia="MS Mincho" w:cs="Arial"/>
          <w:i/>
          <w:lang w:val="en-US"/>
        </w:rPr>
        <w:t>I think the ridiculous thing is this CBT wil</w:t>
      </w:r>
      <w:r>
        <w:rPr>
          <w:rFonts w:eastAsia="MS Mincho" w:cs="Arial"/>
          <w:i/>
          <w:lang w:val="en-US"/>
        </w:rPr>
        <w:t xml:space="preserve">l make everybody fine, you know </w:t>
      </w:r>
      <w:r w:rsidRPr="00122FEF">
        <w:rPr>
          <w:rFonts w:eastAsia="MS Mincho" w:cs="Arial"/>
          <w:i/>
          <w:lang w:val="en-US"/>
        </w:rPr>
        <w:t>10 weeks CBT</w:t>
      </w:r>
      <w:r w:rsidR="008956E4">
        <w:rPr>
          <w:rFonts w:eastAsia="MS Mincho" w:cs="Arial"/>
          <w:i/>
          <w:lang w:val="en-US"/>
        </w:rPr>
        <w:t xml:space="preserve"> [</w:t>
      </w:r>
      <w:r w:rsidR="004F6C8F">
        <w:rPr>
          <w:rFonts w:eastAsia="MS Mincho" w:cs="Arial"/>
          <w:i/>
          <w:lang w:val="en-US"/>
        </w:rPr>
        <w:t>…</w:t>
      </w:r>
      <w:r w:rsidR="008956E4">
        <w:rPr>
          <w:rFonts w:eastAsia="MS Mincho" w:cs="Arial"/>
          <w:i/>
          <w:lang w:val="en-US"/>
        </w:rPr>
        <w:t xml:space="preserve">] </w:t>
      </w:r>
      <w:r w:rsidRPr="00122FEF">
        <w:rPr>
          <w:rFonts w:eastAsia="MS Mincho" w:cs="Arial"/>
          <w:i/>
          <w:lang w:val="en-US"/>
        </w:rPr>
        <w:t>You’ve only just built that rapport up and then it’s like thank you very much for dragging up all that shit from your past that is messing with your head, oh sorry its week 10 now, bye now thank you very much. It can be counterproductive</w:t>
      </w:r>
      <w:r w:rsidR="004F0459">
        <w:rPr>
          <w:rFonts w:eastAsia="MS Mincho" w:cs="Arial"/>
          <w:i/>
          <w:lang w:val="en-US"/>
        </w:rPr>
        <w:t>.</w:t>
      </w:r>
    </w:p>
    <w:p w14:paraId="3F406C13" w14:textId="7D1CA4FF" w:rsidR="00C56115" w:rsidRDefault="008A7ABF" w:rsidP="00186A2D">
      <w:pPr>
        <w:spacing w:before="240" w:after="120" w:line="360" w:lineRule="auto"/>
      </w:pPr>
      <w:r>
        <w:rPr>
          <w:rFonts w:eastAsia="MS Mincho" w:cs="Arial"/>
          <w:lang w:val="en-US"/>
        </w:rPr>
        <w:t>The time-limited approach of IAPT, like the R</w:t>
      </w:r>
      <w:r>
        <w:rPr>
          <w:rFonts w:eastAsia="MS Mincho" w:cs="Arial" w:hint="eastAsia"/>
          <w:lang w:val="en-US"/>
        </w:rPr>
        <w:t>e</w:t>
      </w:r>
      <w:r>
        <w:rPr>
          <w:rFonts w:eastAsia="MS Mincho" w:cs="Arial"/>
          <w:lang w:val="en-US"/>
        </w:rPr>
        <w:t xml:space="preserve">covery College, </w:t>
      </w:r>
      <w:r w:rsidR="009204FE">
        <w:rPr>
          <w:rFonts w:eastAsia="MS Mincho" w:cs="Arial"/>
          <w:lang w:val="en-US"/>
        </w:rPr>
        <w:t>rapidly</w:t>
      </w:r>
      <w:r>
        <w:rPr>
          <w:rFonts w:eastAsia="MS Mincho" w:cs="Arial"/>
          <w:lang w:val="en-US"/>
        </w:rPr>
        <w:t xml:space="preserve"> places </w:t>
      </w:r>
      <w:r w:rsidRPr="00186A2D">
        <w:rPr>
          <w:rFonts w:eastAsia="MS Mincho" w:cs="Arial"/>
          <w:lang w:val="en-US"/>
        </w:rPr>
        <w:t xml:space="preserve">pressure on service users to </w:t>
      </w:r>
      <w:r>
        <w:rPr>
          <w:rFonts w:eastAsia="MS Mincho" w:cs="Arial"/>
          <w:lang w:val="en-US"/>
        </w:rPr>
        <w:t>prepare for withdrawal of</w:t>
      </w:r>
      <w:r w:rsidRPr="00186A2D">
        <w:rPr>
          <w:rFonts w:eastAsia="MS Mincho" w:cs="Arial"/>
          <w:lang w:val="en-US"/>
        </w:rPr>
        <w:t xml:space="preserve"> formal support and self-management </w:t>
      </w:r>
      <w:r>
        <w:rPr>
          <w:rFonts w:eastAsia="MS Mincho" w:cs="Arial"/>
          <w:lang w:val="en-US"/>
        </w:rPr>
        <w:t xml:space="preserve">and in so doing </w:t>
      </w:r>
      <w:r w:rsidR="00F16655">
        <w:rPr>
          <w:rFonts w:eastAsia="MS Mincho" w:cs="Arial"/>
          <w:lang w:val="en-US"/>
        </w:rPr>
        <w:t>fail</w:t>
      </w:r>
      <w:r>
        <w:rPr>
          <w:rFonts w:eastAsia="MS Mincho" w:cs="Arial"/>
          <w:lang w:val="en-US"/>
        </w:rPr>
        <w:t>s</w:t>
      </w:r>
      <w:r w:rsidR="00F16655">
        <w:rPr>
          <w:rFonts w:eastAsia="MS Mincho" w:cs="Arial"/>
          <w:lang w:val="en-US"/>
        </w:rPr>
        <w:t xml:space="preserve"> to </w:t>
      </w:r>
      <w:r w:rsidR="00F16655">
        <w:rPr>
          <w:rFonts w:eastAsia="MS Mincho" w:cs="Arial" w:hint="eastAsia"/>
          <w:lang w:val="en-US"/>
        </w:rPr>
        <w:t>recognize</w:t>
      </w:r>
      <w:r w:rsidR="00F16655">
        <w:rPr>
          <w:rFonts w:eastAsia="MS Mincho" w:cs="Arial"/>
          <w:lang w:val="en-US"/>
        </w:rPr>
        <w:t xml:space="preserve"> the complexities of recovery</w:t>
      </w:r>
      <w:r>
        <w:rPr>
          <w:rFonts w:eastAsia="MS Mincho" w:cs="Arial"/>
          <w:lang w:val="en-US"/>
        </w:rPr>
        <w:t>. Furthermore,</w:t>
      </w:r>
      <w:r w:rsidR="009204FE">
        <w:rPr>
          <w:rFonts w:eastAsia="MS Mincho" w:cs="Arial"/>
          <w:lang w:val="en-US"/>
        </w:rPr>
        <w:t xml:space="preserve"> Tina notes, these models under-acknowledge the inter-personal and relational dimensions of recovery</w:t>
      </w:r>
      <w:r w:rsidR="00855C71">
        <w:rPr>
          <w:rFonts w:eastAsia="MS Mincho" w:cs="Arial"/>
          <w:lang w:val="en-US"/>
        </w:rPr>
        <w:t xml:space="preserve"> processes</w:t>
      </w:r>
      <w:r>
        <w:rPr>
          <w:rFonts w:eastAsia="MS Mincho" w:cs="Arial"/>
          <w:lang w:val="en-US"/>
        </w:rPr>
        <w:t xml:space="preserve"> (</w:t>
      </w:r>
      <w:r>
        <w:t xml:space="preserve">Brown and </w:t>
      </w:r>
      <w:proofErr w:type="spellStart"/>
      <w:r>
        <w:t>Calnan</w:t>
      </w:r>
      <w:proofErr w:type="spellEnd"/>
      <w:r>
        <w:t xml:space="preserve">, </w:t>
      </w:r>
      <w:r w:rsidRPr="008A7ABF">
        <w:t>2012)</w:t>
      </w:r>
      <w:r w:rsidR="009204FE">
        <w:t>.</w:t>
      </w:r>
      <w:r w:rsidRPr="008A7ABF">
        <w:t xml:space="preserve"> </w:t>
      </w:r>
    </w:p>
    <w:p w14:paraId="4EA5CEDA" w14:textId="0A353467" w:rsidR="00186A2D" w:rsidRPr="00186A2D" w:rsidRDefault="00C56115" w:rsidP="00186A2D">
      <w:pPr>
        <w:spacing w:before="240" w:after="120" w:line="360" w:lineRule="auto"/>
        <w:rPr>
          <w:rFonts w:eastAsia="MS Mincho" w:cs="Arial"/>
          <w:lang w:val="en-US"/>
        </w:rPr>
      </w:pPr>
      <w:r>
        <w:t>In this new moral economy of the neoliberal welfare state</w:t>
      </w:r>
      <w:r w:rsidR="003F79A5">
        <w:t xml:space="preserve"> (</w:t>
      </w:r>
      <w:r w:rsidR="003F79A5" w:rsidRPr="00950D30">
        <w:rPr>
          <w:rFonts w:eastAsia="Times New Roman"/>
          <w:lang w:val="en-GB"/>
        </w:rPr>
        <w:t>Taylor-</w:t>
      </w:r>
      <w:proofErr w:type="spellStart"/>
      <w:r w:rsidR="003F79A5" w:rsidRPr="00950D30">
        <w:rPr>
          <w:rFonts w:eastAsia="Times New Roman"/>
          <w:lang w:val="en-GB"/>
        </w:rPr>
        <w:t>Gooby</w:t>
      </w:r>
      <w:proofErr w:type="spellEnd"/>
      <w:r w:rsidR="003F79A5">
        <w:rPr>
          <w:rFonts w:eastAsia="Times New Roman"/>
          <w:lang w:val="en-GB"/>
        </w:rPr>
        <w:t xml:space="preserve"> et al, 2019)</w:t>
      </w:r>
      <w:r>
        <w:t xml:space="preserve">, </w:t>
      </w:r>
      <w:r w:rsidR="00783EE5">
        <w:t>a</w:t>
      </w:r>
      <w:r>
        <w:t xml:space="preserve"> </w:t>
      </w:r>
      <w:r w:rsidR="00D345EE">
        <w:t>corollary of the endemic</w:t>
      </w:r>
      <w:r w:rsidR="00855C71">
        <w:t xml:space="preserve"> injunction</w:t>
      </w:r>
      <w:r>
        <w:t xml:space="preserve"> to achieve self-management </w:t>
      </w:r>
      <w:r w:rsidR="00D345EE">
        <w:t xml:space="preserve">is the disapprobation directed at those regarded as having failed to realise this goal. Service user </w:t>
      </w:r>
      <w:r w:rsidR="00186A2D" w:rsidRPr="00186A2D">
        <w:rPr>
          <w:rFonts w:eastAsia="MS Mincho" w:cs="Arial"/>
          <w:lang w:val="en-US"/>
        </w:rPr>
        <w:t xml:space="preserve">Gavin described </w:t>
      </w:r>
      <w:r w:rsidR="00D345EE">
        <w:rPr>
          <w:rFonts w:eastAsia="MS Mincho" w:cs="Arial"/>
          <w:lang w:val="en-US"/>
        </w:rPr>
        <w:t>an</w:t>
      </w:r>
      <w:r w:rsidR="00186A2D" w:rsidRPr="00186A2D">
        <w:rPr>
          <w:rFonts w:eastAsia="MS Mincho" w:cs="Arial"/>
          <w:lang w:val="en-US"/>
        </w:rPr>
        <w:t xml:space="preserve"> encounter</w:t>
      </w:r>
      <w:r w:rsidR="00D345EE">
        <w:rPr>
          <w:rFonts w:eastAsia="MS Mincho" w:cs="Arial"/>
          <w:lang w:val="en-US"/>
        </w:rPr>
        <w:t xml:space="preserve"> with a statutory mental health professional in which such a dynamic unfolded</w:t>
      </w:r>
      <w:r w:rsidR="00186A2D" w:rsidRPr="00186A2D">
        <w:rPr>
          <w:rFonts w:eastAsia="MS Mincho" w:cs="Arial"/>
          <w:lang w:val="en-US"/>
        </w:rPr>
        <w:t>,</w:t>
      </w:r>
    </w:p>
    <w:p w14:paraId="49FD58C9" w14:textId="6C282EC6" w:rsidR="00186A2D" w:rsidRPr="00186A2D" w:rsidRDefault="00186A2D" w:rsidP="00186A2D">
      <w:pPr>
        <w:spacing w:before="240" w:after="120" w:line="360" w:lineRule="auto"/>
        <w:ind w:left="720"/>
        <w:rPr>
          <w:rFonts w:eastAsia="MS Mincho" w:cs="Arial"/>
          <w:i/>
          <w:lang w:val="en-US"/>
        </w:rPr>
      </w:pPr>
      <w:r w:rsidRPr="00186A2D">
        <w:rPr>
          <w:rFonts w:eastAsia="MS Mincho" w:cs="Arial"/>
          <w:i/>
          <w:lang w:val="en-US"/>
        </w:rPr>
        <w:t xml:space="preserve">My CPN </w:t>
      </w:r>
      <w:r w:rsidRPr="00186A2D">
        <w:rPr>
          <w:rFonts w:eastAsia="MS Mincho" w:cs="Arial"/>
          <w:lang w:val="en-US"/>
        </w:rPr>
        <w:t>[community psychiatric nurse</w:t>
      </w:r>
      <w:r w:rsidR="000C4186">
        <w:rPr>
          <w:rFonts w:eastAsia="MS Mincho" w:cs="Arial"/>
          <w:lang w:val="en-US"/>
        </w:rPr>
        <w:t xml:space="preserve"> </w:t>
      </w:r>
      <w:r w:rsidR="000C4186" w:rsidRPr="000C4186">
        <w:rPr>
          <w:rFonts w:eastAsia="MS Mincho" w:cs="Arial"/>
          <w:i/>
          <w:lang w:val="en-US"/>
        </w:rPr>
        <w:t>[</w:t>
      </w:r>
      <w:r w:rsidRPr="00186A2D">
        <w:rPr>
          <w:rFonts w:eastAsia="MS Mincho" w:cs="Arial"/>
          <w:i/>
          <w:lang w:val="en-US"/>
        </w:rPr>
        <w:t>…</w:t>
      </w:r>
      <w:r w:rsidR="008956E4">
        <w:rPr>
          <w:rFonts w:eastAsia="MS Mincho" w:cs="Arial"/>
          <w:i/>
          <w:lang w:val="en-US"/>
        </w:rPr>
        <w:t>]</w:t>
      </w:r>
      <w:r w:rsidR="000C4186">
        <w:rPr>
          <w:rFonts w:eastAsia="MS Mincho" w:cs="Arial"/>
          <w:i/>
          <w:lang w:val="en-US"/>
        </w:rPr>
        <w:t xml:space="preserve"> </w:t>
      </w:r>
      <w:r w:rsidRPr="00186A2D">
        <w:rPr>
          <w:rFonts w:eastAsia="MS Mincho" w:cs="Arial"/>
          <w:i/>
          <w:lang w:val="en-US"/>
        </w:rPr>
        <w:t>when she came out to see me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s</w:t>
      </w:r>
      <w:r w:rsidR="0082073A">
        <w:rPr>
          <w:rFonts w:eastAsia="MS Mincho" w:cs="Arial"/>
          <w:i/>
          <w:lang w:val="en-US"/>
        </w:rPr>
        <w:t>he just like took over my house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 xml:space="preserve">it used to stress </w:t>
      </w:r>
      <w:r w:rsidR="0082073A">
        <w:rPr>
          <w:rFonts w:eastAsia="MS Mincho" w:cs="Arial"/>
          <w:i/>
          <w:lang w:val="en-US"/>
        </w:rPr>
        <w:t>me out, but she used to say ‘oh god’</w:t>
      </w:r>
      <w:r w:rsidRPr="00186A2D">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a</w:t>
      </w:r>
      <w:r w:rsidRPr="00186A2D">
        <w:rPr>
          <w:rFonts w:eastAsia="MS Mincho" w:cs="Arial"/>
          <w:i/>
          <w:lang w:val="en-US"/>
        </w:rPr>
        <w:t>nd look at me like ‘pull yourself together’, you know what I mean, ‘you’ve got a lovely house here and sort yourself out’, it felt like she saying it’s your own fault for the way you are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She would do it for twenty minutes and go</w:t>
      </w:r>
      <w:r w:rsidR="0082073A">
        <w:rPr>
          <w:rFonts w:eastAsia="MS Mincho" w:cs="Arial"/>
          <w:i/>
          <w:lang w:val="en-US"/>
        </w:rPr>
        <w:t>.</w:t>
      </w:r>
    </w:p>
    <w:p w14:paraId="576CE982" w14:textId="127AFBB7" w:rsidR="009E20A5" w:rsidRPr="000C4186" w:rsidRDefault="00D345EE" w:rsidP="009E20A5">
      <w:pPr>
        <w:spacing w:before="240" w:after="120" w:line="360" w:lineRule="auto"/>
        <w:rPr>
          <w:rFonts w:eastAsia="MS Mincho" w:cs="Arial"/>
          <w:lang w:val="en-US"/>
        </w:rPr>
      </w:pPr>
      <w:r w:rsidRPr="000C4186">
        <w:rPr>
          <w:rFonts w:eastAsia="MS Mincho" w:cs="Arial"/>
          <w:lang w:val="en-US"/>
        </w:rPr>
        <w:t xml:space="preserve">In this </w:t>
      </w:r>
      <w:r w:rsidR="00186A2D" w:rsidRPr="000C4186">
        <w:rPr>
          <w:rFonts w:eastAsia="MS Mincho" w:cs="Arial"/>
          <w:lang w:val="en-US"/>
        </w:rPr>
        <w:t>account</w:t>
      </w:r>
      <w:r w:rsidRPr="000C4186">
        <w:rPr>
          <w:rFonts w:eastAsia="MS Mincho" w:cs="Arial"/>
          <w:lang w:val="en-US"/>
        </w:rPr>
        <w:t xml:space="preserve">, Gavin describes the minimization </w:t>
      </w:r>
      <w:r w:rsidR="00783EE5" w:rsidRPr="000C4186">
        <w:rPr>
          <w:rFonts w:eastAsia="MS Mincho" w:cs="Arial"/>
          <w:lang w:val="en-US"/>
        </w:rPr>
        <w:t xml:space="preserve">and normalization </w:t>
      </w:r>
      <w:r w:rsidRPr="000C4186">
        <w:rPr>
          <w:rFonts w:eastAsia="MS Mincho" w:cs="Arial"/>
          <w:lang w:val="en-US"/>
        </w:rPr>
        <w:t xml:space="preserve">of his </w:t>
      </w:r>
      <w:r w:rsidR="00783EE5" w:rsidRPr="000C4186">
        <w:rPr>
          <w:rFonts w:eastAsia="MS Mincho" w:cs="Arial"/>
          <w:lang w:val="en-US"/>
        </w:rPr>
        <w:t xml:space="preserve">experiences </w:t>
      </w:r>
      <w:r w:rsidRPr="000C4186">
        <w:rPr>
          <w:rFonts w:eastAsia="MS Mincho" w:cs="Arial"/>
          <w:lang w:val="en-US"/>
        </w:rPr>
        <w:t>of mental distress</w:t>
      </w:r>
      <w:r w:rsidR="00783EE5" w:rsidRPr="000C4186">
        <w:rPr>
          <w:rFonts w:eastAsia="MS Mincho" w:cs="Arial"/>
          <w:lang w:val="en-US"/>
        </w:rPr>
        <w:t xml:space="preserve"> by the CPN</w:t>
      </w:r>
      <w:r w:rsidRPr="000C4186">
        <w:rPr>
          <w:rFonts w:eastAsia="MS Mincho" w:cs="Arial"/>
          <w:lang w:val="en-US"/>
        </w:rPr>
        <w:t xml:space="preserve"> that </w:t>
      </w:r>
      <w:r w:rsidR="00783EE5" w:rsidRPr="000C4186">
        <w:rPr>
          <w:rFonts w:eastAsia="MS Mincho" w:cs="Arial"/>
          <w:lang w:val="en-US"/>
        </w:rPr>
        <w:t>echo those described in the previous section of the paper. However, for Gavin, the CPN’s perception</w:t>
      </w:r>
      <w:r w:rsidRPr="000C4186">
        <w:rPr>
          <w:rFonts w:eastAsia="MS Mincho" w:cs="Arial"/>
          <w:lang w:val="en-US"/>
        </w:rPr>
        <w:t xml:space="preserve"> </w:t>
      </w:r>
      <w:r w:rsidR="00783EE5" w:rsidRPr="000C4186">
        <w:rPr>
          <w:rFonts w:eastAsia="MS Mincho" w:cs="Arial"/>
          <w:lang w:val="en-US"/>
        </w:rPr>
        <w:t>goes beyond this</w:t>
      </w:r>
      <w:r w:rsidR="0042092D" w:rsidRPr="000C4186">
        <w:rPr>
          <w:rFonts w:eastAsia="MS Mincho" w:cs="Arial"/>
          <w:lang w:val="en-US"/>
        </w:rPr>
        <w:t>. Her</w:t>
      </w:r>
      <w:r w:rsidR="00783EE5" w:rsidRPr="000C4186">
        <w:rPr>
          <w:rFonts w:eastAsia="MS Mincho" w:cs="Arial"/>
          <w:lang w:val="en-US"/>
        </w:rPr>
        <w:t xml:space="preserve"> </w:t>
      </w:r>
      <w:r w:rsidR="0042092D" w:rsidRPr="000C4186">
        <w:rPr>
          <w:rFonts w:eastAsia="MS Mincho" w:cs="Arial"/>
          <w:lang w:val="en-US"/>
        </w:rPr>
        <w:t>stipulation</w:t>
      </w:r>
      <w:r w:rsidR="00783EE5" w:rsidRPr="000C4186">
        <w:rPr>
          <w:rFonts w:eastAsia="MS Mincho" w:cs="Arial"/>
          <w:lang w:val="en-US"/>
        </w:rPr>
        <w:t xml:space="preserve"> </w:t>
      </w:r>
      <w:r w:rsidR="0042092D" w:rsidRPr="000C4186">
        <w:rPr>
          <w:rFonts w:eastAsia="MS Mincho" w:cs="Arial"/>
          <w:lang w:val="en-US"/>
        </w:rPr>
        <w:t>that</w:t>
      </w:r>
      <w:r w:rsidR="00783EE5" w:rsidRPr="000C4186">
        <w:rPr>
          <w:rFonts w:eastAsia="MS Mincho" w:cs="Arial"/>
          <w:lang w:val="en-US"/>
        </w:rPr>
        <w:t xml:space="preserve"> Gavin ‘sort himself out’ implies a failure</w:t>
      </w:r>
      <w:r w:rsidR="0042092D" w:rsidRPr="000C4186">
        <w:rPr>
          <w:rFonts w:eastAsia="MS Mincho" w:cs="Arial"/>
          <w:lang w:val="en-US"/>
        </w:rPr>
        <w:t xml:space="preserve"> on his part</w:t>
      </w:r>
      <w:r w:rsidR="00783EE5" w:rsidRPr="000C4186">
        <w:rPr>
          <w:rFonts w:eastAsia="MS Mincho" w:cs="Arial"/>
          <w:lang w:val="en-US"/>
        </w:rPr>
        <w:t xml:space="preserve"> to be ‘active’ in </w:t>
      </w:r>
      <w:r w:rsidR="0042092D" w:rsidRPr="000C4186">
        <w:rPr>
          <w:rFonts w:eastAsia="MS Mincho" w:cs="Arial"/>
          <w:lang w:val="en-US"/>
        </w:rPr>
        <w:t>his recovery, and in this way he is constructed as ‘at fault’ and thereby morally culpable for his experiences of distress.</w:t>
      </w:r>
      <w:r w:rsidR="00783EE5" w:rsidRPr="000C4186">
        <w:rPr>
          <w:rFonts w:eastAsia="MS Mincho" w:cs="Arial"/>
          <w:lang w:val="en-US"/>
        </w:rPr>
        <w:t xml:space="preserve"> In this </w:t>
      </w:r>
      <w:r w:rsidR="0042092D" w:rsidRPr="000C4186">
        <w:rPr>
          <w:rFonts w:eastAsia="MS Mincho" w:cs="Arial"/>
          <w:lang w:val="en-US"/>
        </w:rPr>
        <w:t>way,</w:t>
      </w:r>
      <w:r w:rsidR="00783EE5" w:rsidRPr="000C4186">
        <w:rPr>
          <w:rFonts w:eastAsia="MS Mincho" w:cs="Arial"/>
          <w:lang w:val="en-US"/>
        </w:rPr>
        <w:t xml:space="preserve"> </w:t>
      </w:r>
      <w:r w:rsidR="0042092D" w:rsidRPr="000C4186">
        <w:rPr>
          <w:rFonts w:eastAsia="MS Mincho" w:cs="Arial"/>
          <w:lang w:val="en-US"/>
        </w:rPr>
        <w:t>the CPN</w:t>
      </w:r>
      <w:r w:rsidR="009E20A5" w:rsidRPr="000C4186">
        <w:rPr>
          <w:rFonts w:eastAsia="MS Mincho" w:cs="Arial"/>
          <w:lang w:val="en-US"/>
        </w:rPr>
        <w:t xml:space="preserve">’s perspective </w:t>
      </w:r>
      <w:r w:rsidR="00855C71" w:rsidRPr="000C4186">
        <w:rPr>
          <w:rFonts w:eastAsia="MS Mincho" w:cs="Arial"/>
          <w:lang w:val="en-US"/>
        </w:rPr>
        <w:t xml:space="preserve">exemplifies </w:t>
      </w:r>
      <w:r w:rsidR="0042092D" w:rsidRPr="000C4186">
        <w:rPr>
          <w:rFonts w:eastAsia="MS Mincho" w:cs="Arial"/>
          <w:lang w:val="en-US"/>
        </w:rPr>
        <w:t>a</w:t>
      </w:r>
      <w:r w:rsidR="00186A2D" w:rsidRPr="000C4186">
        <w:rPr>
          <w:rFonts w:eastAsia="MS Mincho" w:cs="Arial"/>
          <w:lang w:val="en-US"/>
        </w:rPr>
        <w:t xml:space="preserve"> </w:t>
      </w:r>
      <w:r w:rsidR="009E20A5" w:rsidRPr="000C4186">
        <w:rPr>
          <w:rFonts w:eastAsia="MS Mincho" w:cs="Arial"/>
          <w:lang w:val="en-US"/>
        </w:rPr>
        <w:t xml:space="preserve">wider </w:t>
      </w:r>
      <w:r w:rsidR="00186A2D" w:rsidRPr="000C4186">
        <w:rPr>
          <w:rFonts w:eastAsia="MS Mincho" w:cs="Arial"/>
          <w:lang w:val="en-US"/>
        </w:rPr>
        <w:t>shift toward logics of blame in the contemporary service context</w:t>
      </w:r>
      <w:r w:rsidR="009E20A5" w:rsidRPr="000C4186">
        <w:rPr>
          <w:rFonts w:eastAsia="MS Mincho" w:cs="Arial"/>
          <w:lang w:val="en-US"/>
        </w:rPr>
        <w:t xml:space="preserve"> (</w:t>
      </w:r>
      <w:proofErr w:type="spellStart"/>
      <w:r w:rsidR="009E20A5" w:rsidRPr="000C4186">
        <w:rPr>
          <w:rFonts w:eastAsia="MS Mincho" w:cs="Arial"/>
          <w:lang w:val="en-US"/>
        </w:rPr>
        <w:t>Scambler</w:t>
      </w:r>
      <w:proofErr w:type="spellEnd"/>
      <w:r w:rsidR="009E20A5" w:rsidRPr="000C4186">
        <w:rPr>
          <w:rFonts w:eastAsia="MS Mincho" w:cs="Arial"/>
          <w:lang w:val="en-US"/>
        </w:rPr>
        <w:t>, 2018)</w:t>
      </w:r>
      <w:r w:rsidR="00186A2D" w:rsidRPr="000C4186">
        <w:rPr>
          <w:rFonts w:eastAsia="MS Mincho" w:cs="Arial"/>
          <w:lang w:val="en-US"/>
        </w:rPr>
        <w:t xml:space="preserve">. </w:t>
      </w:r>
    </w:p>
    <w:p w14:paraId="76423C39" w14:textId="5986CA0B" w:rsidR="00076BA1" w:rsidRPr="00C54850" w:rsidRDefault="00076BA1" w:rsidP="00186A2D">
      <w:pPr>
        <w:spacing w:before="240" w:after="120" w:line="360" w:lineRule="auto"/>
        <w:rPr>
          <w:rFonts w:eastAsia="MS Mincho" w:cs="Arial"/>
          <w:lang w:val="en-US"/>
        </w:rPr>
      </w:pPr>
      <w:r>
        <w:rPr>
          <w:rFonts w:eastAsia="MS Mincho" w:cs="Arial"/>
          <w:lang w:val="en-US"/>
        </w:rPr>
        <w:lastRenderedPageBreak/>
        <w:t>T</w:t>
      </w:r>
      <w:r w:rsidR="00186A2D" w:rsidRPr="00186A2D">
        <w:rPr>
          <w:rFonts w:eastAsia="MS Mincho" w:cs="Arial"/>
          <w:lang w:val="en-US"/>
        </w:rPr>
        <w:t>he closures and restrict</w:t>
      </w:r>
      <w:r>
        <w:rPr>
          <w:rFonts w:eastAsia="MS Mincho" w:cs="Arial"/>
          <w:lang w:val="en-US"/>
        </w:rPr>
        <w:t>ions on</w:t>
      </w:r>
      <w:r w:rsidR="00186A2D" w:rsidRPr="00186A2D">
        <w:rPr>
          <w:rFonts w:eastAsia="MS Mincho" w:cs="Arial"/>
          <w:lang w:val="en-US"/>
        </w:rPr>
        <w:t xml:space="preserve"> access to existing longer-term community services </w:t>
      </w:r>
      <w:r>
        <w:rPr>
          <w:rFonts w:eastAsia="MS Mincho" w:cs="Arial"/>
          <w:lang w:val="en-US"/>
        </w:rPr>
        <w:t>operate i</w:t>
      </w:r>
      <w:r w:rsidRPr="00186A2D">
        <w:rPr>
          <w:rFonts w:eastAsia="MS Mincho" w:cs="Arial"/>
          <w:lang w:val="en-US"/>
        </w:rPr>
        <w:t xml:space="preserve">n </w:t>
      </w:r>
      <w:r>
        <w:rPr>
          <w:rFonts w:eastAsia="MS Mincho" w:cs="Arial"/>
          <w:lang w:val="en-US"/>
        </w:rPr>
        <w:t>tandem with</w:t>
      </w:r>
      <w:r w:rsidRPr="00186A2D">
        <w:rPr>
          <w:rFonts w:eastAsia="MS Mincho" w:cs="Arial"/>
          <w:lang w:val="en-US"/>
        </w:rPr>
        <w:t xml:space="preserve"> </w:t>
      </w:r>
      <w:r w:rsidR="00186A2D" w:rsidRPr="00186A2D">
        <w:rPr>
          <w:rFonts w:eastAsia="MS Mincho" w:cs="Arial"/>
          <w:lang w:val="en-US"/>
        </w:rPr>
        <w:t>the embedding of the principles of self-management in current and emerging forms of short-term service provision</w:t>
      </w:r>
      <w:r w:rsidR="00677A9D">
        <w:rPr>
          <w:rFonts w:eastAsia="MS Mincho" w:cs="Arial"/>
          <w:lang w:val="en-US"/>
        </w:rPr>
        <w:t>,</w:t>
      </w:r>
      <w:r w:rsidR="00186A2D" w:rsidRPr="00186A2D">
        <w:rPr>
          <w:rFonts w:eastAsia="MS Mincho" w:cs="Arial"/>
          <w:lang w:val="en-US"/>
        </w:rPr>
        <w:t xml:space="preserve"> such as Recovery Colleges or IAPT</w:t>
      </w:r>
      <w:r w:rsidR="00677A9D">
        <w:rPr>
          <w:rFonts w:eastAsia="MS Mincho" w:cs="Arial"/>
          <w:lang w:val="en-US"/>
        </w:rPr>
        <w:t>,</w:t>
      </w:r>
      <w:r w:rsidR="00186A2D" w:rsidRPr="00186A2D">
        <w:rPr>
          <w:rFonts w:eastAsia="MS Mincho" w:cs="Arial"/>
          <w:lang w:val="en-US"/>
        </w:rPr>
        <w:t xml:space="preserve"> </w:t>
      </w:r>
      <w:r>
        <w:rPr>
          <w:rFonts w:eastAsia="MS Mincho" w:cs="Arial"/>
          <w:lang w:val="en-US"/>
        </w:rPr>
        <w:t>to enforce self-</w:t>
      </w:r>
      <w:r w:rsidR="00855C71">
        <w:rPr>
          <w:rFonts w:eastAsia="MS Mincho" w:cs="Arial"/>
          <w:lang w:val="en-US"/>
        </w:rPr>
        <w:t>care</w:t>
      </w:r>
      <w:r>
        <w:rPr>
          <w:rFonts w:eastAsia="MS Mincho" w:cs="Arial"/>
          <w:lang w:val="en-US"/>
        </w:rPr>
        <w:t xml:space="preserve"> and </w:t>
      </w:r>
      <w:r w:rsidR="00186A2D" w:rsidRPr="00186A2D">
        <w:rPr>
          <w:rFonts w:eastAsia="MS Mincho" w:cs="Arial"/>
          <w:lang w:val="en-US"/>
        </w:rPr>
        <w:t xml:space="preserve">reinforce the hegemonic notion under neoliberalism that mental distress is </w:t>
      </w:r>
      <w:r>
        <w:rPr>
          <w:rFonts w:eastAsia="MS Mincho" w:cs="Arial"/>
          <w:lang w:val="en-US"/>
        </w:rPr>
        <w:t>amenable to</w:t>
      </w:r>
      <w:r w:rsidR="00122FEF">
        <w:rPr>
          <w:rFonts w:eastAsia="MS Mincho" w:cs="Arial"/>
          <w:lang w:val="en-US"/>
        </w:rPr>
        <w:t xml:space="preserve"> </w:t>
      </w:r>
      <w:r>
        <w:rPr>
          <w:rFonts w:eastAsia="MS Mincho" w:cs="Arial"/>
          <w:lang w:val="en-US"/>
        </w:rPr>
        <w:t xml:space="preserve">improvements via </w:t>
      </w:r>
      <w:r w:rsidR="000C586A">
        <w:rPr>
          <w:rFonts w:eastAsia="MS Mincho" w:cs="Arial"/>
          <w:lang w:val="en-US"/>
        </w:rPr>
        <w:t xml:space="preserve">individual interventions such as </w:t>
      </w:r>
      <w:proofErr w:type="spellStart"/>
      <w:r w:rsidR="000C586A">
        <w:rPr>
          <w:rFonts w:eastAsia="MS Mincho" w:cs="Arial"/>
          <w:lang w:val="en-US"/>
        </w:rPr>
        <w:t>behavioural</w:t>
      </w:r>
      <w:proofErr w:type="spellEnd"/>
      <w:r w:rsidR="000C586A">
        <w:rPr>
          <w:rFonts w:eastAsia="MS Mincho" w:cs="Arial"/>
          <w:lang w:val="en-US"/>
        </w:rPr>
        <w:t xml:space="preserve"> and attitudinal strategies and engagement with employment</w:t>
      </w:r>
      <w:r w:rsidR="00122FEF">
        <w:rPr>
          <w:rFonts w:eastAsia="MS Mincho" w:cs="Arial"/>
          <w:lang w:val="en-US"/>
        </w:rPr>
        <w:t xml:space="preserve">. </w:t>
      </w:r>
      <w:r w:rsidR="00C54850">
        <w:rPr>
          <w:rFonts w:eastAsia="MS Mincho" w:cs="Arial"/>
          <w:lang w:val="en-US"/>
        </w:rPr>
        <w:t>T</w:t>
      </w:r>
      <w:r w:rsidR="00186A2D" w:rsidRPr="00186A2D">
        <w:rPr>
          <w:rFonts w:eastAsia="MS Mincho" w:cs="Arial"/>
          <w:lang w:val="en-US"/>
        </w:rPr>
        <w:t>he implication of this logic is that when individuals</w:t>
      </w:r>
      <w:r w:rsidR="00122FEF">
        <w:rPr>
          <w:rFonts w:eastAsia="MS Mincho" w:cs="Arial"/>
          <w:lang w:val="en-US"/>
        </w:rPr>
        <w:t>’</w:t>
      </w:r>
      <w:r w:rsidR="00186A2D" w:rsidRPr="00186A2D">
        <w:rPr>
          <w:rFonts w:eastAsia="MS Mincho" w:cs="Arial"/>
          <w:lang w:val="en-US"/>
        </w:rPr>
        <w:t xml:space="preserve"> experience difficulties in achieving such outcomes or present challenges to service providers, then this constitutes a personal moral failure and </w:t>
      </w:r>
      <w:r w:rsidR="00C54850">
        <w:rPr>
          <w:rFonts w:eastAsia="MS Mincho" w:cs="Arial"/>
          <w:lang w:val="en-US"/>
        </w:rPr>
        <w:t>justifying</w:t>
      </w:r>
      <w:r w:rsidR="00186A2D" w:rsidRPr="00186A2D">
        <w:rPr>
          <w:rFonts w:eastAsia="MS Mincho" w:cs="Arial"/>
          <w:lang w:val="en-US"/>
        </w:rPr>
        <w:t xml:space="preserve"> restrictive or coercive forms of </w:t>
      </w:r>
      <w:r w:rsidR="00C54850">
        <w:rPr>
          <w:rFonts w:eastAsia="MS Mincho" w:cs="Arial"/>
          <w:lang w:val="en-US"/>
        </w:rPr>
        <w:t xml:space="preserve">intervention. This approach </w:t>
      </w:r>
      <w:r w:rsidR="00186A2D" w:rsidRPr="00186A2D">
        <w:rPr>
          <w:rFonts w:eastAsia="MS Mincho" w:cs="Arial"/>
          <w:lang w:val="en-US"/>
        </w:rPr>
        <w:t>paralle</w:t>
      </w:r>
      <w:r w:rsidR="00C54850">
        <w:rPr>
          <w:rFonts w:eastAsia="MS Mincho" w:cs="Arial"/>
          <w:lang w:val="en-US"/>
        </w:rPr>
        <w:t>ls the welfare system with its</w:t>
      </w:r>
      <w:r w:rsidR="00186A2D" w:rsidRPr="00186A2D">
        <w:rPr>
          <w:rFonts w:eastAsia="MS Mincho" w:cs="Arial"/>
          <w:lang w:val="en-US"/>
        </w:rPr>
        <w:t xml:space="preserve"> more punitive welfare-to-work and activation-oriented conditionality agenda. In the next section we examine </w:t>
      </w:r>
      <w:r w:rsidR="003F461C">
        <w:rPr>
          <w:rFonts w:eastAsia="MS Mincho" w:cs="Arial"/>
          <w:lang w:val="en-US"/>
        </w:rPr>
        <w:t>participant</w:t>
      </w:r>
      <w:r w:rsidR="003F461C" w:rsidRPr="00C54850">
        <w:rPr>
          <w:rFonts w:eastAsia="MS Mincho" w:cs="Arial"/>
          <w:lang w:val="en-US"/>
        </w:rPr>
        <w:t xml:space="preserve">s’ perspectives on </w:t>
      </w:r>
      <w:r w:rsidR="00186A2D" w:rsidRPr="00C54850">
        <w:rPr>
          <w:rFonts w:eastAsia="MS Mincho" w:cs="Arial"/>
          <w:lang w:val="en-US"/>
        </w:rPr>
        <w:t>these trends.</w:t>
      </w:r>
      <w:r w:rsidR="00F02478" w:rsidRPr="00C54850">
        <w:rPr>
          <w:rFonts w:eastAsia="MS Mincho" w:cs="Arial"/>
          <w:lang w:val="en-US"/>
        </w:rPr>
        <w:t xml:space="preserve">  </w:t>
      </w:r>
    </w:p>
    <w:p w14:paraId="6E9302F9" w14:textId="77777777" w:rsidR="00186A2D" w:rsidRPr="00C54850" w:rsidRDefault="00186A2D" w:rsidP="00186A2D">
      <w:pPr>
        <w:spacing w:line="360" w:lineRule="auto"/>
        <w:rPr>
          <w:rFonts w:eastAsia="MS Mincho" w:cs="Arial"/>
          <w:i/>
          <w:lang w:val="en-US"/>
        </w:rPr>
      </w:pPr>
      <w:r w:rsidRPr="00C54850">
        <w:rPr>
          <w:rFonts w:eastAsia="MS Mincho" w:cs="Arial"/>
          <w:i/>
          <w:lang w:val="en-US"/>
        </w:rPr>
        <w:t>Punitive conditionality</w:t>
      </w:r>
    </w:p>
    <w:p w14:paraId="4AC6B77E" w14:textId="4D3999D7" w:rsidR="00186A2D" w:rsidRPr="00186A2D" w:rsidRDefault="00F02478" w:rsidP="00BC4F5B">
      <w:pPr>
        <w:spacing w:after="120" w:line="360" w:lineRule="auto"/>
        <w:rPr>
          <w:rFonts w:eastAsia="MS Mincho" w:cs="Arial"/>
          <w:lang w:val="en-US"/>
        </w:rPr>
      </w:pPr>
      <w:r>
        <w:rPr>
          <w:rFonts w:eastAsia="MS Mincho" w:cs="Arial"/>
          <w:lang w:val="en-US"/>
        </w:rPr>
        <w:t xml:space="preserve">The </w:t>
      </w:r>
      <w:r w:rsidR="003F461C">
        <w:rPr>
          <w:rFonts w:eastAsia="MS Mincho" w:cs="Arial"/>
          <w:lang w:val="en-US"/>
        </w:rPr>
        <w:t xml:space="preserve">third </w:t>
      </w:r>
      <w:r>
        <w:rPr>
          <w:rFonts w:eastAsia="MS Mincho" w:cs="Arial"/>
          <w:lang w:val="en-US"/>
        </w:rPr>
        <w:t xml:space="preserve">dimension </w:t>
      </w:r>
      <w:r w:rsidR="00B10121">
        <w:rPr>
          <w:rFonts w:eastAsia="MS Mincho" w:cs="Arial"/>
          <w:lang w:val="en-US"/>
        </w:rPr>
        <w:t>of the</w:t>
      </w:r>
      <w:r>
        <w:rPr>
          <w:rFonts w:eastAsia="MS Mincho" w:cs="Arial"/>
          <w:lang w:val="en-US"/>
        </w:rPr>
        <w:t xml:space="preserve"> institutionalized shift from shame to blame within </w:t>
      </w:r>
      <w:r w:rsidR="003F461C">
        <w:rPr>
          <w:rFonts w:eastAsia="MS Mincho" w:cs="Arial"/>
          <w:lang w:val="en-US"/>
        </w:rPr>
        <w:t xml:space="preserve">the </w:t>
      </w:r>
      <w:r>
        <w:rPr>
          <w:rFonts w:eastAsia="MS Mincho" w:cs="Arial"/>
          <w:lang w:val="en-US"/>
        </w:rPr>
        <w:t xml:space="preserve">contemporary </w:t>
      </w:r>
      <w:r w:rsidR="003F461C">
        <w:rPr>
          <w:rFonts w:eastAsia="MS Mincho" w:cs="Arial"/>
          <w:lang w:val="en-US"/>
        </w:rPr>
        <w:t xml:space="preserve">welfare state </w:t>
      </w:r>
      <w:r w:rsidR="00B10121">
        <w:rPr>
          <w:rFonts w:eastAsia="MS Mincho" w:cs="Arial"/>
          <w:lang w:val="en-US"/>
        </w:rPr>
        <w:t>foregrounded by our respondents</w:t>
      </w:r>
      <w:r>
        <w:rPr>
          <w:rFonts w:eastAsia="MS Mincho" w:cs="Arial"/>
          <w:lang w:val="en-US"/>
        </w:rPr>
        <w:t xml:space="preserve"> is the </w:t>
      </w:r>
      <w:r w:rsidR="003F461C">
        <w:rPr>
          <w:rFonts w:eastAsia="MS Mincho" w:cs="Arial"/>
          <w:lang w:val="en-US"/>
        </w:rPr>
        <w:t xml:space="preserve">turn towards </w:t>
      </w:r>
      <w:r>
        <w:rPr>
          <w:rFonts w:eastAsia="MS Mincho" w:cs="Arial"/>
          <w:lang w:val="en-US"/>
        </w:rPr>
        <w:t xml:space="preserve">punitive </w:t>
      </w:r>
      <w:r w:rsidR="003F461C">
        <w:rPr>
          <w:rFonts w:eastAsia="MS Mincho" w:cs="Arial"/>
          <w:lang w:val="en-US"/>
        </w:rPr>
        <w:t>conditionality</w:t>
      </w:r>
      <w:r>
        <w:rPr>
          <w:rFonts w:eastAsia="MS Mincho" w:cs="Arial"/>
          <w:lang w:val="en-US"/>
        </w:rPr>
        <w:t>.</w:t>
      </w:r>
      <w:r w:rsidR="003F461C">
        <w:rPr>
          <w:rFonts w:eastAsia="MS Mincho" w:cs="Arial"/>
          <w:lang w:val="en-US"/>
        </w:rPr>
        <w:t xml:space="preserve"> As noted earlier, i</w:t>
      </w:r>
      <w:r w:rsidR="003F461C" w:rsidRPr="00186A2D">
        <w:rPr>
          <w:rFonts w:eastAsia="MS Mincho" w:cs="Arial"/>
          <w:lang w:val="en-US"/>
        </w:rPr>
        <w:t>n the post-2010 period the normative ideal underpinning welfare reform is an ethic of individual self-reliance</w:t>
      </w:r>
      <w:r w:rsidR="003F461C" w:rsidRPr="00186A2D" w:rsidDel="002F27D7">
        <w:rPr>
          <w:rFonts w:eastAsia="MS Mincho" w:cs="Arial"/>
          <w:lang w:val="en-US"/>
        </w:rPr>
        <w:t xml:space="preserve"> </w:t>
      </w:r>
      <w:r w:rsidR="003F461C" w:rsidRPr="00186A2D">
        <w:rPr>
          <w:rFonts w:eastAsia="MS Mincho" w:cs="Arial"/>
          <w:lang w:val="en-US"/>
        </w:rPr>
        <w:t xml:space="preserve">and rational self-interest realized through ‘activation’ or </w:t>
      </w:r>
      <w:proofErr w:type="spellStart"/>
      <w:r w:rsidR="003F461C" w:rsidRPr="00186A2D">
        <w:rPr>
          <w:rFonts w:eastAsia="MS Mincho" w:cs="Arial"/>
          <w:lang w:val="en-US"/>
        </w:rPr>
        <w:t>labour</w:t>
      </w:r>
      <w:proofErr w:type="spellEnd"/>
      <w:r w:rsidR="003F461C" w:rsidRPr="00186A2D">
        <w:rPr>
          <w:rFonts w:eastAsia="MS Mincho" w:cs="Arial"/>
          <w:lang w:val="en-US"/>
        </w:rPr>
        <w:t xml:space="preserve"> market engagement.</w:t>
      </w:r>
      <w:r>
        <w:rPr>
          <w:rFonts w:eastAsia="MS Mincho" w:cs="Arial"/>
          <w:lang w:val="en-US"/>
        </w:rPr>
        <w:t xml:space="preserve"> </w:t>
      </w:r>
      <w:r w:rsidR="003F461C">
        <w:rPr>
          <w:rFonts w:eastAsia="MS Mincho" w:cs="Arial"/>
          <w:lang w:val="en-US"/>
        </w:rPr>
        <w:t>However, t</w:t>
      </w:r>
      <w:r w:rsidR="003F461C" w:rsidRPr="00186A2D">
        <w:rPr>
          <w:rFonts w:eastAsia="MS Mincho" w:cs="Arial"/>
          <w:lang w:val="en-US"/>
        </w:rPr>
        <w:t xml:space="preserve">hose </w:t>
      </w:r>
      <w:r w:rsidR="009F7945" w:rsidRPr="00186A2D">
        <w:rPr>
          <w:rFonts w:eastAsia="MS Mincho" w:cs="Arial"/>
          <w:lang w:val="en-US"/>
        </w:rPr>
        <w:t>welfare recip</w:t>
      </w:r>
      <w:r>
        <w:rPr>
          <w:rFonts w:eastAsia="MS Mincho" w:cs="Arial"/>
          <w:lang w:val="en-US"/>
        </w:rPr>
        <w:t xml:space="preserve">ients deemed to </w:t>
      </w:r>
      <w:r w:rsidR="003F461C">
        <w:rPr>
          <w:rFonts w:eastAsia="MS Mincho" w:cs="Arial"/>
          <w:lang w:val="en-US"/>
        </w:rPr>
        <w:t xml:space="preserve">be in </w:t>
      </w:r>
      <w:r>
        <w:rPr>
          <w:rFonts w:eastAsia="MS Mincho" w:cs="Arial"/>
          <w:lang w:val="en-US"/>
        </w:rPr>
        <w:t>breac</w:t>
      </w:r>
      <w:r w:rsidR="003F461C">
        <w:rPr>
          <w:rFonts w:eastAsia="MS Mincho" w:cs="Arial"/>
          <w:lang w:val="en-US"/>
        </w:rPr>
        <w:t>h of</w:t>
      </w:r>
      <w:r w:rsidR="009F7945" w:rsidRPr="00186A2D">
        <w:rPr>
          <w:rFonts w:eastAsia="MS Mincho" w:cs="Arial"/>
          <w:lang w:val="en-US"/>
        </w:rPr>
        <w:t xml:space="preserve"> </w:t>
      </w:r>
      <w:r w:rsidR="003F461C">
        <w:rPr>
          <w:rFonts w:eastAsia="MS Mincho" w:cs="Arial"/>
          <w:lang w:val="en-US"/>
        </w:rPr>
        <w:t xml:space="preserve">such </w:t>
      </w:r>
      <w:r w:rsidR="009F7945" w:rsidRPr="00186A2D">
        <w:rPr>
          <w:rFonts w:eastAsia="MS Mincho" w:cs="Arial"/>
          <w:lang w:val="en-US"/>
        </w:rPr>
        <w:t>moral injunctions</w:t>
      </w:r>
      <w:r>
        <w:rPr>
          <w:rFonts w:eastAsia="MS Mincho" w:cs="Arial"/>
          <w:lang w:val="en-US"/>
        </w:rPr>
        <w:t xml:space="preserve"> are now subject to</w:t>
      </w:r>
      <w:r w:rsidR="009F7945" w:rsidRPr="00186A2D">
        <w:rPr>
          <w:rFonts w:eastAsia="MS Mincho" w:cs="Arial"/>
          <w:lang w:val="en-US"/>
        </w:rPr>
        <w:t xml:space="preserve"> </w:t>
      </w:r>
      <w:proofErr w:type="spellStart"/>
      <w:r w:rsidR="009F7945" w:rsidRPr="00186A2D">
        <w:rPr>
          <w:rFonts w:eastAsia="MS Mincho" w:cs="Arial"/>
          <w:lang w:val="en-US"/>
        </w:rPr>
        <w:t>behavioural</w:t>
      </w:r>
      <w:proofErr w:type="spellEnd"/>
      <w:r w:rsidR="009F7945" w:rsidRPr="00186A2D">
        <w:rPr>
          <w:rFonts w:eastAsia="MS Mincho" w:cs="Arial"/>
          <w:lang w:val="en-US"/>
        </w:rPr>
        <w:t xml:space="preserve"> </w:t>
      </w:r>
      <w:proofErr w:type="spellStart"/>
      <w:r w:rsidR="009F7945" w:rsidRPr="00186A2D">
        <w:rPr>
          <w:rFonts w:eastAsia="MS Mincho" w:cs="Arial"/>
          <w:lang w:val="en-US"/>
        </w:rPr>
        <w:t>incentivisation</w:t>
      </w:r>
      <w:proofErr w:type="spellEnd"/>
      <w:r w:rsidR="009F7945" w:rsidRPr="00186A2D">
        <w:rPr>
          <w:rFonts w:eastAsia="MS Mincho" w:cs="Arial"/>
          <w:lang w:val="en-US"/>
        </w:rPr>
        <w:t xml:space="preserve"> via ‘nudges’ (</w:t>
      </w:r>
      <w:proofErr w:type="spellStart"/>
      <w:r w:rsidR="009F7945" w:rsidRPr="00186A2D">
        <w:rPr>
          <w:rFonts w:eastAsia="MS Mincho" w:cs="Arial"/>
          <w:lang w:val="en-US"/>
        </w:rPr>
        <w:t>Thaler</w:t>
      </w:r>
      <w:proofErr w:type="spellEnd"/>
      <w:r w:rsidR="009F7945" w:rsidRPr="00186A2D">
        <w:rPr>
          <w:rFonts w:eastAsia="MS Mincho" w:cs="Arial"/>
          <w:lang w:val="en-US"/>
        </w:rPr>
        <w:t xml:space="preserve"> and </w:t>
      </w:r>
      <w:proofErr w:type="spellStart"/>
      <w:r w:rsidR="009F7945" w:rsidRPr="00186A2D">
        <w:rPr>
          <w:rFonts w:eastAsia="MS Mincho" w:cs="Arial"/>
          <w:lang w:val="en-US"/>
        </w:rPr>
        <w:t>Sunstein</w:t>
      </w:r>
      <w:proofErr w:type="spellEnd"/>
      <w:r w:rsidR="009F7945" w:rsidRPr="00186A2D">
        <w:rPr>
          <w:rFonts w:eastAsia="MS Mincho" w:cs="Arial"/>
          <w:lang w:val="en-US"/>
        </w:rPr>
        <w:t>, 2008) and more overtly coercive interventions to</w:t>
      </w:r>
      <w:r w:rsidR="003F461C">
        <w:rPr>
          <w:rFonts w:eastAsia="MS Mincho" w:cs="Arial"/>
          <w:lang w:val="en-US"/>
        </w:rPr>
        <w:t xml:space="preserve"> </w:t>
      </w:r>
      <w:r w:rsidR="009F7945" w:rsidRPr="00186A2D">
        <w:rPr>
          <w:rFonts w:eastAsia="MS Mincho" w:cs="Arial"/>
          <w:lang w:val="en-US"/>
        </w:rPr>
        <w:t>reinforce</w:t>
      </w:r>
      <w:r w:rsidR="003F461C">
        <w:rPr>
          <w:rFonts w:eastAsia="MS Mincho" w:cs="Arial"/>
          <w:lang w:val="en-US"/>
        </w:rPr>
        <w:t xml:space="preserve"> both self-care responsibilities and</w:t>
      </w:r>
      <w:r w:rsidR="009F7945" w:rsidRPr="00186A2D">
        <w:rPr>
          <w:rFonts w:eastAsia="MS Mincho" w:cs="Arial"/>
          <w:lang w:val="en-US"/>
        </w:rPr>
        <w:t xml:space="preserve"> </w:t>
      </w:r>
      <w:proofErr w:type="spellStart"/>
      <w:r w:rsidR="009F7945" w:rsidRPr="00186A2D">
        <w:rPr>
          <w:rFonts w:eastAsia="MS Mincho" w:cs="Arial"/>
          <w:lang w:val="en-US"/>
        </w:rPr>
        <w:t>labour</w:t>
      </w:r>
      <w:proofErr w:type="spellEnd"/>
      <w:r w:rsidR="009F7945" w:rsidRPr="00186A2D">
        <w:rPr>
          <w:rFonts w:eastAsia="MS Mincho" w:cs="Arial"/>
          <w:lang w:val="en-US"/>
        </w:rPr>
        <w:t xml:space="preserve"> market discipline. This </w:t>
      </w:r>
      <w:r w:rsidR="00317FA9">
        <w:rPr>
          <w:rFonts w:eastAsia="MS Mincho" w:cs="Arial"/>
          <w:lang w:val="en-US"/>
        </w:rPr>
        <w:t xml:space="preserve">punitive </w:t>
      </w:r>
      <w:proofErr w:type="spellStart"/>
      <w:r w:rsidR="009F7945" w:rsidRPr="00186A2D">
        <w:rPr>
          <w:rFonts w:eastAsia="MS Mincho" w:cs="Arial"/>
          <w:lang w:val="en-US"/>
        </w:rPr>
        <w:t>behaviourism</w:t>
      </w:r>
      <w:proofErr w:type="spellEnd"/>
      <w:r w:rsidR="009F7945" w:rsidRPr="00186A2D">
        <w:rPr>
          <w:rFonts w:eastAsia="MS Mincho" w:cs="Arial"/>
          <w:lang w:val="en-US"/>
        </w:rPr>
        <w:t xml:space="preserve"> </w:t>
      </w:r>
      <w:r w:rsidR="00317FA9">
        <w:rPr>
          <w:rFonts w:eastAsia="MS Mincho" w:cs="Arial"/>
          <w:lang w:val="en-US"/>
        </w:rPr>
        <w:t xml:space="preserve">is most obviously </w:t>
      </w:r>
      <w:r w:rsidR="009F7945" w:rsidRPr="00186A2D">
        <w:rPr>
          <w:rFonts w:eastAsia="MS Mincho" w:cs="Arial"/>
          <w:lang w:val="en-US"/>
        </w:rPr>
        <w:t>manifest</w:t>
      </w:r>
      <w:r w:rsidR="00317FA9">
        <w:rPr>
          <w:rFonts w:eastAsia="MS Mincho" w:cs="Arial"/>
          <w:lang w:val="en-US"/>
        </w:rPr>
        <w:t>ed</w:t>
      </w:r>
      <w:r w:rsidR="009F7945" w:rsidRPr="00186A2D">
        <w:rPr>
          <w:rFonts w:eastAsia="MS Mincho" w:cs="Arial"/>
          <w:lang w:val="en-US"/>
        </w:rPr>
        <w:t xml:space="preserve"> in </w:t>
      </w:r>
      <w:r w:rsidR="00317FA9">
        <w:rPr>
          <w:rFonts w:eastAsia="MS Mincho" w:cs="Arial"/>
          <w:lang w:val="en-US"/>
        </w:rPr>
        <w:t>the expansion</w:t>
      </w:r>
      <w:r w:rsidR="009F7945" w:rsidRPr="00186A2D">
        <w:rPr>
          <w:rFonts w:eastAsia="MS Mincho" w:cs="Arial"/>
          <w:lang w:val="en-US"/>
        </w:rPr>
        <w:t xml:space="preserve"> of disciplinary measures</w:t>
      </w:r>
      <w:r w:rsidR="00C54850">
        <w:rPr>
          <w:rFonts w:eastAsia="MS Mincho" w:cs="Arial"/>
          <w:lang w:val="en-US"/>
        </w:rPr>
        <w:t>,</w:t>
      </w:r>
      <w:r w:rsidR="009F7945" w:rsidRPr="00186A2D">
        <w:rPr>
          <w:rFonts w:eastAsia="MS Mincho" w:cs="Arial"/>
          <w:lang w:val="en-US"/>
        </w:rPr>
        <w:t xml:space="preserve"> such as </w:t>
      </w:r>
      <w:r w:rsidR="00317FA9">
        <w:rPr>
          <w:rFonts w:eastAsia="MS Mincho" w:cs="Arial"/>
          <w:lang w:val="en-US"/>
        </w:rPr>
        <w:t xml:space="preserve">benefit </w:t>
      </w:r>
      <w:r w:rsidR="009F7945" w:rsidRPr="00186A2D">
        <w:rPr>
          <w:rFonts w:eastAsia="MS Mincho" w:cs="Arial"/>
          <w:lang w:val="en-US"/>
        </w:rPr>
        <w:t>sanctions</w:t>
      </w:r>
      <w:r w:rsidR="00317FA9">
        <w:rPr>
          <w:rFonts w:eastAsia="MS Mincho" w:cs="Arial"/>
          <w:lang w:val="en-US"/>
        </w:rPr>
        <w:t xml:space="preserve"> </w:t>
      </w:r>
      <w:r w:rsidR="00317FA9" w:rsidRPr="00186A2D">
        <w:rPr>
          <w:rFonts w:eastAsia="MS Mincho" w:cs="Arial"/>
          <w:lang w:val="en-US"/>
        </w:rPr>
        <w:t>(</w:t>
      </w:r>
      <w:r w:rsidR="00317FA9">
        <w:rPr>
          <w:rFonts w:eastAsia="MS Mincho" w:cs="Arial"/>
          <w:lang w:val="en-US"/>
        </w:rPr>
        <w:t>Dwyer and Wright, 2014)</w:t>
      </w:r>
      <w:r w:rsidR="009F7945" w:rsidRPr="00186A2D">
        <w:rPr>
          <w:rFonts w:eastAsia="MS Mincho" w:cs="Arial"/>
          <w:lang w:val="en-US"/>
        </w:rPr>
        <w:t xml:space="preserve"> </w:t>
      </w:r>
      <w:r w:rsidR="00317FA9">
        <w:rPr>
          <w:rFonts w:eastAsia="MS Mincho" w:cs="Arial"/>
          <w:lang w:val="en-US"/>
        </w:rPr>
        <w:t xml:space="preserve">, but also </w:t>
      </w:r>
      <w:r w:rsidR="00551F75">
        <w:rPr>
          <w:rFonts w:eastAsia="MS Mincho" w:cs="Arial"/>
          <w:lang w:val="en-US"/>
        </w:rPr>
        <w:t xml:space="preserve">in the </w:t>
      </w:r>
      <w:r w:rsidR="00186A2D" w:rsidRPr="00186A2D">
        <w:rPr>
          <w:rFonts w:eastAsia="MS Mincho" w:cs="Arial" w:hint="eastAsia"/>
          <w:lang w:val="en-US"/>
        </w:rPr>
        <w:t xml:space="preserve">escalating modes of </w:t>
      </w:r>
      <w:r w:rsidR="00D15341">
        <w:rPr>
          <w:rFonts w:eastAsia="MS Mincho" w:cs="Arial"/>
          <w:lang w:val="en-US"/>
        </w:rPr>
        <w:t xml:space="preserve">surveillance and </w:t>
      </w:r>
      <w:r w:rsidR="00186A2D" w:rsidRPr="00186A2D">
        <w:rPr>
          <w:rFonts w:eastAsia="MS Mincho" w:cs="Arial" w:hint="eastAsia"/>
          <w:lang w:val="en-US"/>
        </w:rPr>
        <w:t>conditionality</w:t>
      </w:r>
      <w:r w:rsidR="00186A2D" w:rsidRPr="00186A2D">
        <w:rPr>
          <w:rFonts w:eastAsia="MS Mincho" w:cs="Arial"/>
          <w:lang w:val="en-US"/>
        </w:rPr>
        <w:t xml:space="preserve"> imposed on those seeking access </w:t>
      </w:r>
      <w:r w:rsidR="00551F75">
        <w:rPr>
          <w:rFonts w:eastAsia="MS Mincho" w:cs="Arial"/>
          <w:lang w:val="en-US"/>
        </w:rPr>
        <w:t xml:space="preserve">to </w:t>
      </w:r>
      <w:r w:rsidR="00186A2D" w:rsidRPr="00186A2D">
        <w:rPr>
          <w:rFonts w:eastAsia="MS Mincho" w:cs="Arial"/>
          <w:lang w:val="en-US"/>
        </w:rPr>
        <w:t xml:space="preserve">various forms of support </w:t>
      </w:r>
      <w:r w:rsidR="00141A89">
        <w:rPr>
          <w:rFonts w:eastAsia="MS Mincho" w:cs="Arial"/>
          <w:lang w:val="en-US"/>
        </w:rPr>
        <w:t>across</w:t>
      </w:r>
      <w:r w:rsidR="00D15341">
        <w:rPr>
          <w:rFonts w:eastAsia="MS Mincho" w:cs="Arial"/>
          <w:lang w:val="en-US"/>
        </w:rPr>
        <w:t xml:space="preserve"> </w:t>
      </w:r>
      <w:r w:rsidR="00141A89">
        <w:rPr>
          <w:rFonts w:eastAsia="MS Mincho" w:cs="Arial"/>
          <w:lang w:val="en-US"/>
        </w:rPr>
        <w:t xml:space="preserve">the </w:t>
      </w:r>
      <w:r w:rsidR="00D15341">
        <w:rPr>
          <w:rFonts w:eastAsia="MS Mincho" w:cs="Arial"/>
          <w:lang w:val="en-US"/>
        </w:rPr>
        <w:t xml:space="preserve">welfare </w:t>
      </w:r>
      <w:r w:rsidR="00D15341">
        <w:rPr>
          <w:rFonts w:eastAsia="MS Mincho" w:cs="Arial" w:hint="eastAsia"/>
          <w:lang w:val="en-US"/>
        </w:rPr>
        <w:t>system</w:t>
      </w:r>
      <w:r w:rsidR="00141A89">
        <w:rPr>
          <w:rFonts w:eastAsia="MS Mincho" w:cs="Arial"/>
          <w:lang w:val="en-US"/>
        </w:rPr>
        <w:t xml:space="preserve"> (Fletcher and Wright, 2017). </w:t>
      </w:r>
      <w:r w:rsidR="00551F75" w:rsidRPr="00186A2D">
        <w:rPr>
          <w:rFonts w:eastAsia="MS Mincho" w:cs="Arial"/>
          <w:lang w:val="en-US"/>
        </w:rPr>
        <w:t xml:space="preserve">We have already </w:t>
      </w:r>
      <w:r w:rsidR="00551F75">
        <w:rPr>
          <w:rFonts w:eastAsia="MS Mincho" w:cs="Arial"/>
          <w:lang w:val="en-US"/>
        </w:rPr>
        <w:t xml:space="preserve">noted participants’ </w:t>
      </w:r>
      <w:r w:rsidR="00551F75" w:rsidRPr="00186A2D">
        <w:rPr>
          <w:rFonts w:eastAsia="MS Mincho" w:cs="Arial"/>
          <w:lang w:val="en-US"/>
        </w:rPr>
        <w:t xml:space="preserve">experiences of </w:t>
      </w:r>
      <w:r w:rsidR="00840024">
        <w:rPr>
          <w:rFonts w:eastAsia="MS Mincho" w:cs="Arial"/>
          <w:lang w:val="en-US"/>
        </w:rPr>
        <w:t xml:space="preserve">punitive </w:t>
      </w:r>
      <w:r w:rsidR="00551F75" w:rsidRPr="00186A2D">
        <w:rPr>
          <w:rFonts w:eastAsia="MS Mincho" w:cs="Arial"/>
          <w:lang w:val="en-US"/>
        </w:rPr>
        <w:t xml:space="preserve">welfare reform and in particular the draconian and invalidating nature of WCA benefit assessment processes. </w:t>
      </w:r>
      <w:r w:rsidR="00C54850">
        <w:rPr>
          <w:rFonts w:eastAsia="MS Mincho" w:cs="Arial"/>
          <w:lang w:val="en-US"/>
        </w:rPr>
        <w:t>O</w:t>
      </w:r>
      <w:r w:rsidR="00141A89">
        <w:rPr>
          <w:rFonts w:eastAsia="MS Mincho" w:cs="Arial"/>
          <w:lang w:val="en-US"/>
        </w:rPr>
        <w:t>ur p</w:t>
      </w:r>
      <w:r w:rsidR="00186A2D" w:rsidRPr="00186A2D">
        <w:rPr>
          <w:rFonts w:eastAsia="MS Mincho" w:cs="Arial"/>
          <w:lang w:val="en-US"/>
        </w:rPr>
        <w:t xml:space="preserve">articipants </w:t>
      </w:r>
      <w:r w:rsidR="00141A89">
        <w:rPr>
          <w:rFonts w:eastAsia="MS Mincho" w:cs="Arial"/>
          <w:lang w:val="en-US"/>
        </w:rPr>
        <w:t xml:space="preserve">also </w:t>
      </w:r>
      <w:r w:rsidR="00186A2D" w:rsidRPr="00186A2D">
        <w:rPr>
          <w:rFonts w:eastAsia="MS Mincho" w:cs="Arial"/>
          <w:lang w:val="en-US"/>
        </w:rPr>
        <w:t>described being subjected to new condition</w:t>
      </w:r>
      <w:r w:rsidR="00141A89">
        <w:rPr>
          <w:rFonts w:eastAsia="MS Mincho" w:cs="Arial"/>
          <w:lang w:val="en-US"/>
        </w:rPr>
        <w:t>s</w:t>
      </w:r>
      <w:r w:rsidR="00186A2D" w:rsidRPr="00186A2D">
        <w:rPr>
          <w:rFonts w:eastAsia="MS Mincho" w:cs="Arial"/>
          <w:lang w:val="en-US"/>
        </w:rPr>
        <w:t xml:space="preserve"> and multiple forms of check</w:t>
      </w:r>
      <w:r w:rsidR="008547A0">
        <w:rPr>
          <w:rFonts w:eastAsia="MS Mincho" w:cs="Arial"/>
          <w:lang w:val="en-US"/>
        </w:rPr>
        <w:t>s</w:t>
      </w:r>
      <w:r w:rsidR="00186A2D" w:rsidRPr="00186A2D">
        <w:rPr>
          <w:rFonts w:eastAsia="MS Mincho" w:cs="Arial"/>
          <w:lang w:val="en-US"/>
        </w:rPr>
        <w:t>, assessment</w:t>
      </w:r>
      <w:r w:rsidR="008547A0">
        <w:rPr>
          <w:rFonts w:eastAsia="MS Mincho" w:cs="Arial"/>
          <w:lang w:val="en-US"/>
        </w:rPr>
        <w:t>s</w:t>
      </w:r>
      <w:r w:rsidR="00186A2D" w:rsidRPr="00186A2D">
        <w:rPr>
          <w:rFonts w:eastAsia="MS Mincho" w:cs="Arial"/>
          <w:lang w:val="en-US"/>
        </w:rPr>
        <w:t xml:space="preserve"> and evaluation</w:t>
      </w:r>
      <w:r w:rsidR="008547A0">
        <w:rPr>
          <w:rFonts w:eastAsia="MS Mincho" w:cs="Arial"/>
          <w:lang w:val="en-US"/>
        </w:rPr>
        <w:t>s</w:t>
      </w:r>
      <w:r w:rsidR="00186A2D" w:rsidRPr="00186A2D">
        <w:rPr>
          <w:rFonts w:eastAsia="MS Mincho" w:cs="Arial"/>
          <w:lang w:val="en-US"/>
        </w:rPr>
        <w:t xml:space="preserve"> within</w:t>
      </w:r>
      <w:r w:rsidR="00551F75">
        <w:rPr>
          <w:rFonts w:eastAsia="MS Mincho" w:cs="Arial"/>
          <w:lang w:val="en-US"/>
        </w:rPr>
        <w:t xml:space="preserve"> </w:t>
      </w:r>
      <w:r w:rsidR="00551F75" w:rsidRPr="00186A2D">
        <w:rPr>
          <w:rFonts w:eastAsia="MS Mincho" w:cs="Arial"/>
          <w:lang w:val="en-US"/>
        </w:rPr>
        <w:t xml:space="preserve">mental health </w:t>
      </w:r>
      <w:r w:rsidR="00551F75">
        <w:rPr>
          <w:rFonts w:eastAsia="MS Mincho" w:cs="Arial"/>
          <w:lang w:val="en-US"/>
        </w:rPr>
        <w:t>service</w:t>
      </w:r>
      <w:r w:rsidR="00186A2D" w:rsidRPr="00186A2D">
        <w:rPr>
          <w:rFonts w:eastAsia="MS Mincho" w:cs="Arial"/>
          <w:lang w:val="en-US"/>
        </w:rPr>
        <w:t xml:space="preserve"> </w:t>
      </w:r>
      <w:r w:rsidR="00551F75">
        <w:rPr>
          <w:rFonts w:eastAsia="MS Mincho" w:cs="Arial"/>
          <w:lang w:val="en-US"/>
        </w:rPr>
        <w:t>and</w:t>
      </w:r>
      <w:r w:rsidR="00186A2D" w:rsidRPr="00186A2D">
        <w:rPr>
          <w:rFonts w:eastAsia="MS Mincho" w:cs="Arial"/>
          <w:lang w:val="en-US"/>
        </w:rPr>
        <w:t xml:space="preserve"> </w:t>
      </w:r>
      <w:r w:rsidR="008547A0">
        <w:rPr>
          <w:rFonts w:eastAsia="MS Mincho" w:cs="Arial"/>
          <w:lang w:val="en-US"/>
        </w:rPr>
        <w:t>local authority contexts (</w:t>
      </w:r>
      <w:r w:rsidR="00141A89">
        <w:rPr>
          <w:rFonts w:eastAsia="MS Mincho" w:cs="Arial"/>
          <w:lang w:val="en-US"/>
        </w:rPr>
        <w:t>Moth and McKeo</w:t>
      </w:r>
      <w:r w:rsidR="008547A0">
        <w:rPr>
          <w:rFonts w:eastAsia="MS Mincho" w:cs="Arial"/>
          <w:lang w:val="en-US"/>
        </w:rPr>
        <w:t>wn, 2016; McKenna et al, 2019</w:t>
      </w:r>
      <w:r w:rsidR="00141A89">
        <w:rPr>
          <w:rFonts w:eastAsia="MS Mincho" w:cs="Arial"/>
          <w:lang w:val="en-US"/>
        </w:rPr>
        <w:t>)</w:t>
      </w:r>
      <w:r w:rsidR="00141A89" w:rsidRPr="00186A2D">
        <w:rPr>
          <w:rFonts w:eastAsia="MS Mincho" w:cs="Arial"/>
          <w:lang w:val="en-US"/>
        </w:rPr>
        <w:t xml:space="preserve">. </w:t>
      </w:r>
      <w:r w:rsidR="00551F75">
        <w:rPr>
          <w:rFonts w:eastAsia="MS Mincho" w:cs="Arial"/>
          <w:lang w:val="en-US"/>
        </w:rPr>
        <w:t>One</w:t>
      </w:r>
      <w:r w:rsidR="00186A2D" w:rsidRPr="00186A2D">
        <w:rPr>
          <w:rFonts w:eastAsia="MS Mincho" w:cs="Arial"/>
          <w:lang w:val="en-US"/>
        </w:rPr>
        <w:t xml:space="preserve"> policy measure that was described by our respondents as </w:t>
      </w:r>
      <w:r w:rsidR="00551F75">
        <w:rPr>
          <w:rFonts w:eastAsia="MS Mincho" w:cs="Arial"/>
          <w:lang w:val="en-US"/>
        </w:rPr>
        <w:t>highly</w:t>
      </w:r>
      <w:r w:rsidR="00186A2D" w:rsidRPr="00186A2D">
        <w:rPr>
          <w:rFonts w:eastAsia="MS Mincho" w:cs="Arial"/>
          <w:lang w:val="en-US"/>
        </w:rPr>
        <w:t xml:space="preserve"> punitive both in terms of design and implementation was the under-occupancy charge or bedroom tax. Gavin was forced to </w:t>
      </w:r>
      <w:r w:rsidR="00E549B9">
        <w:rPr>
          <w:rFonts w:eastAsia="MS Mincho" w:cs="Arial"/>
          <w:lang w:val="en-US"/>
        </w:rPr>
        <w:t>give up</w:t>
      </w:r>
      <w:r w:rsidR="00186A2D" w:rsidRPr="00186A2D">
        <w:rPr>
          <w:rFonts w:eastAsia="MS Mincho" w:cs="Arial"/>
          <w:lang w:val="en-US"/>
        </w:rPr>
        <w:t xml:space="preserve"> </w:t>
      </w:r>
      <w:r w:rsidR="00E549B9">
        <w:rPr>
          <w:rFonts w:eastAsia="MS Mincho" w:cs="Arial"/>
          <w:lang w:val="en-US"/>
        </w:rPr>
        <w:t>a</w:t>
      </w:r>
      <w:r w:rsidR="00186A2D" w:rsidRPr="00186A2D">
        <w:rPr>
          <w:rFonts w:eastAsia="MS Mincho" w:cs="Arial"/>
          <w:lang w:val="en-US"/>
        </w:rPr>
        <w:t xml:space="preserve"> long-term social housing</w:t>
      </w:r>
      <w:r w:rsidR="00E549B9">
        <w:rPr>
          <w:rFonts w:eastAsia="MS Mincho" w:cs="Arial"/>
          <w:lang w:val="en-US"/>
        </w:rPr>
        <w:t xml:space="preserve"> tenancy</w:t>
      </w:r>
      <w:r w:rsidR="00186A2D" w:rsidRPr="00186A2D">
        <w:rPr>
          <w:rFonts w:eastAsia="MS Mincho" w:cs="Arial"/>
          <w:lang w:val="en-US"/>
        </w:rPr>
        <w:t xml:space="preserve"> in the area he had grown up as a result of bei</w:t>
      </w:r>
      <w:r w:rsidR="00511AD0">
        <w:rPr>
          <w:rFonts w:eastAsia="MS Mincho" w:cs="Arial"/>
          <w:lang w:val="en-US"/>
        </w:rPr>
        <w:t>ng unable to afford this charge,</w:t>
      </w:r>
      <w:r w:rsidR="00186A2D" w:rsidRPr="00186A2D">
        <w:rPr>
          <w:rFonts w:eastAsia="MS Mincho" w:cs="Arial"/>
          <w:lang w:val="en-US"/>
        </w:rPr>
        <w:t xml:space="preserve"> </w:t>
      </w:r>
    </w:p>
    <w:p w14:paraId="447A2873" w14:textId="77777777" w:rsidR="00186A2D" w:rsidRPr="00C54850" w:rsidRDefault="00186A2D" w:rsidP="00186A2D">
      <w:pPr>
        <w:spacing w:after="120" w:line="360" w:lineRule="auto"/>
        <w:ind w:left="720"/>
        <w:rPr>
          <w:rFonts w:eastAsia="MS Mincho" w:cs="Arial"/>
          <w:i/>
          <w:lang w:val="en-US"/>
        </w:rPr>
      </w:pPr>
      <w:r w:rsidRPr="00186A2D">
        <w:rPr>
          <w:rFonts w:eastAsia="MS Mincho" w:cs="Arial"/>
          <w:i/>
          <w:lang w:val="en-US"/>
        </w:rPr>
        <w:t xml:space="preserve">Because of the bedroom tax I had to move my home and it was like a safe house and that’s really affected me. I’m in a one bed flat now and it’s out of my area, for starters. I’m already stressed out to death. It’s just little things, like you don’t see your family and your friends. </w:t>
      </w:r>
      <w:r w:rsidRPr="00186A2D">
        <w:rPr>
          <w:rFonts w:eastAsia="MS Mincho" w:cs="Arial"/>
          <w:i/>
          <w:lang w:val="en-US"/>
        </w:rPr>
        <w:lastRenderedPageBreak/>
        <w:t>Just little things like you’ve got to change your GP where your GP knows all your history. It’s like starting again.</w:t>
      </w:r>
    </w:p>
    <w:p w14:paraId="1D6EAF27" w14:textId="57943C4D" w:rsidR="00186A2D" w:rsidRPr="00C54850" w:rsidRDefault="00FB43E6" w:rsidP="00186A2D">
      <w:pPr>
        <w:spacing w:after="120" w:line="360" w:lineRule="auto"/>
        <w:rPr>
          <w:rFonts w:eastAsia="MS Mincho" w:cs="Arial"/>
          <w:lang w:val="en-US"/>
        </w:rPr>
      </w:pPr>
      <w:r w:rsidRPr="00C54850">
        <w:rPr>
          <w:rFonts w:eastAsia="MS Mincho" w:cs="Arial"/>
          <w:lang w:val="en-US"/>
        </w:rPr>
        <w:t xml:space="preserve">Gavin highlights </w:t>
      </w:r>
      <w:r w:rsidR="00E549B9" w:rsidRPr="00C54850">
        <w:rPr>
          <w:rFonts w:eastAsia="MS Mincho" w:cs="Arial"/>
          <w:lang w:val="en-US"/>
        </w:rPr>
        <w:t>the practical and emotional disruption of the</w:t>
      </w:r>
      <w:r w:rsidRPr="00C54850">
        <w:rPr>
          <w:rFonts w:eastAsia="MS Mincho" w:cs="Arial"/>
          <w:lang w:val="en-US"/>
        </w:rPr>
        <w:t xml:space="preserve"> </w:t>
      </w:r>
      <w:r w:rsidR="00E549B9" w:rsidRPr="00C54850">
        <w:rPr>
          <w:rFonts w:eastAsia="MS Mincho" w:cs="Arial"/>
          <w:lang w:val="en-US"/>
        </w:rPr>
        <w:t>transition</w:t>
      </w:r>
      <w:r w:rsidRPr="00C54850">
        <w:rPr>
          <w:rFonts w:eastAsia="MS Mincho" w:cs="Arial"/>
          <w:lang w:val="en-US"/>
        </w:rPr>
        <w:t xml:space="preserve"> from </w:t>
      </w:r>
      <w:r w:rsidR="00E549B9" w:rsidRPr="00C54850">
        <w:rPr>
          <w:rFonts w:eastAsia="MS Mincho" w:cs="Arial"/>
          <w:lang w:val="en-US"/>
        </w:rPr>
        <w:t xml:space="preserve">the </w:t>
      </w:r>
      <w:r w:rsidRPr="00C54850">
        <w:rPr>
          <w:rFonts w:eastAsia="MS Mincho" w:cs="Arial"/>
          <w:lang w:val="en-US"/>
        </w:rPr>
        <w:t xml:space="preserve">relative </w:t>
      </w:r>
      <w:r w:rsidR="00E549B9" w:rsidRPr="00C54850">
        <w:rPr>
          <w:rFonts w:eastAsia="MS Mincho" w:cs="Arial"/>
          <w:lang w:val="en-US"/>
        </w:rPr>
        <w:t>‘s</w:t>
      </w:r>
      <w:r w:rsidRPr="00C54850">
        <w:rPr>
          <w:rFonts w:eastAsia="MS Mincho" w:cs="Arial"/>
          <w:lang w:val="en-US"/>
        </w:rPr>
        <w:t>afety</w:t>
      </w:r>
      <w:r w:rsidR="00E549B9" w:rsidRPr="00C54850">
        <w:rPr>
          <w:rFonts w:eastAsia="MS Mincho" w:cs="Arial"/>
          <w:lang w:val="en-US"/>
        </w:rPr>
        <w:t>’</w:t>
      </w:r>
      <w:r w:rsidRPr="00C54850">
        <w:rPr>
          <w:rFonts w:eastAsia="MS Mincho" w:cs="Arial"/>
          <w:lang w:val="en-US"/>
        </w:rPr>
        <w:t xml:space="preserve"> of his former home</w:t>
      </w:r>
      <w:r w:rsidR="00E549B9" w:rsidRPr="00C54850">
        <w:rPr>
          <w:rFonts w:eastAsia="MS Mincho" w:cs="Arial"/>
          <w:lang w:val="en-US"/>
        </w:rPr>
        <w:t xml:space="preserve"> to an unfamiliar setting away from </w:t>
      </w:r>
      <w:r w:rsidR="00C54850">
        <w:rPr>
          <w:rFonts w:eastAsia="MS Mincho" w:cs="Arial"/>
          <w:lang w:val="en-US"/>
        </w:rPr>
        <w:t xml:space="preserve">community </w:t>
      </w:r>
      <w:r w:rsidR="00E549B9" w:rsidRPr="00C54850">
        <w:rPr>
          <w:rFonts w:eastAsia="MS Mincho" w:cs="Arial"/>
          <w:lang w:val="en-US"/>
        </w:rPr>
        <w:t xml:space="preserve">support networks, and the harmful psychological effects associated with this new form of conditionality. </w:t>
      </w:r>
      <w:r w:rsidR="003576E9" w:rsidRPr="00C54850">
        <w:rPr>
          <w:rFonts w:eastAsia="MS Mincho" w:cs="Arial"/>
          <w:lang w:val="en-US"/>
        </w:rPr>
        <w:t xml:space="preserve">Kay </w:t>
      </w:r>
      <w:r w:rsidR="00DB7173" w:rsidRPr="00C54850">
        <w:rPr>
          <w:rFonts w:eastAsia="MS Mincho" w:cs="Arial"/>
          <w:lang w:val="en-US"/>
        </w:rPr>
        <w:t>too described the effects of the threat</w:t>
      </w:r>
      <w:r w:rsidR="003576E9" w:rsidRPr="00C54850">
        <w:rPr>
          <w:rFonts w:eastAsia="MS Mincho" w:cs="Arial"/>
          <w:lang w:val="en-US"/>
        </w:rPr>
        <w:t xml:space="preserve"> </w:t>
      </w:r>
      <w:r w:rsidR="00A27F0E" w:rsidRPr="00C54850">
        <w:rPr>
          <w:rFonts w:eastAsia="MS Mincho" w:cs="Arial"/>
          <w:lang w:val="en-US"/>
        </w:rPr>
        <w:t>of losing her home due to the ‘bedroom tax’</w:t>
      </w:r>
      <w:r w:rsidR="003576E9" w:rsidRPr="00C54850">
        <w:rPr>
          <w:rFonts w:eastAsia="MS Mincho" w:cs="Arial"/>
          <w:lang w:val="en-US"/>
        </w:rPr>
        <w:t>,</w:t>
      </w:r>
    </w:p>
    <w:p w14:paraId="3A4229CF" w14:textId="07DBB17B"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t>I went to the bank to get my money out and all I had was 8 pounds. I rang them (the DWP) and they told me that they had stopped payments because I owed them money from 7 years ago. It turned out that they couldn’t change it for six weeks</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w:t>
      </w:r>
      <w:r w:rsidRPr="00186A2D">
        <w:rPr>
          <w:rFonts w:eastAsia="MS Mincho" w:cs="Arial"/>
          <w:i/>
          <w:lang w:val="en-US"/>
        </w:rPr>
        <w:t xml:space="preserve"> When I told the benefits officer that I have a disabled son and asked her how I was supposed to live for the next weeks she said ‘you can always go to the foodbank’. I said ‘pardon’</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w:t>
      </w:r>
      <w:r w:rsidRPr="00186A2D">
        <w:rPr>
          <w:rFonts w:eastAsia="MS Mincho" w:cs="Arial"/>
          <w:i/>
          <w:lang w:val="en-US"/>
        </w:rPr>
        <w:t>And it was like, I am in a situation now, I’ve got bedroom tax hounding me, and it’s mounting up</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They </w:t>
      </w:r>
      <w:r w:rsidR="00C54850" w:rsidRPr="00C54850">
        <w:rPr>
          <w:rFonts w:eastAsia="MS Mincho" w:cs="Arial"/>
          <w:lang w:val="en-US"/>
        </w:rPr>
        <w:t>[</w:t>
      </w:r>
      <w:r w:rsidRPr="00C54850">
        <w:rPr>
          <w:rFonts w:eastAsia="MS Mincho" w:cs="Arial"/>
          <w:lang w:val="en-US"/>
        </w:rPr>
        <w:t xml:space="preserve">the </w:t>
      </w:r>
      <w:r w:rsidR="00C54850">
        <w:rPr>
          <w:rFonts w:eastAsia="MS Mincho" w:cs="Arial"/>
          <w:lang w:val="en-US"/>
        </w:rPr>
        <w:t>L</w:t>
      </w:r>
      <w:r w:rsidR="00C54850" w:rsidRPr="00C54850">
        <w:rPr>
          <w:rFonts w:eastAsia="MS Mincho" w:cs="Arial"/>
          <w:lang w:val="en-US"/>
        </w:rPr>
        <w:t xml:space="preserve">ocal </w:t>
      </w:r>
      <w:r w:rsidR="00C54850">
        <w:rPr>
          <w:rFonts w:eastAsia="MS Mincho" w:cs="Arial"/>
          <w:lang w:val="en-US"/>
        </w:rPr>
        <w:t>A</w:t>
      </w:r>
      <w:r w:rsidR="00C54850" w:rsidRPr="00C54850">
        <w:rPr>
          <w:rFonts w:eastAsia="MS Mincho" w:cs="Arial"/>
          <w:lang w:val="en-US"/>
        </w:rPr>
        <w:t>uthority]</w:t>
      </w:r>
      <w:r w:rsidRPr="00186A2D">
        <w:rPr>
          <w:rFonts w:eastAsia="MS Mincho" w:cs="Arial"/>
          <w:i/>
          <w:lang w:val="en-US"/>
        </w:rPr>
        <w:t xml:space="preserve"> sent me letter saying I owed them £105 for bedroom tax and they’re going to take me to court</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w:t>
      </w:r>
      <w:r w:rsidRPr="00186A2D">
        <w:rPr>
          <w:rFonts w:eastAsia="MS Mincho" w:cs="Arial"/>
          <w:i/>
          <w:lang w:val="en-US"/>
        </w:rPr>
        <w:t xml:space="preserve">How does it feel when you write a letter saying you’re going to take my home away for £105? </w:t>
      </w:r>
    </w:p>
    <w:p w14:paraId="4408320E" w14:textId="42DA29F0" w:rsidR="00551F75" w:rsidRPr="00C54850" w:rsidRDefault="00A27F0E" w:rsidP="00186A2D">
      <w:pPr>
        <w:spacing w:after="120" w:line="360" w:lineRule="auto"/>
        <w:rPr>
          <w:rFonts w:eastAsia="MS Mincho" w:cs="Arial"/>
          <w:lang w:val="en-US"/>
        </w:rPr>
      </w:pPr>
      <w:r>
        <w:rPr>
          <w:rFonts w:eastAsia="MS Mincho" w:cs="Arial"/>
          <w:lang w:val="en-US"/>
        </w:rPr>
        <w:t>Even though Kay was not ultimately forced to relocate</w:t>
      </w:r>
      <w:r w:rsidRPr="00186A2D">
        <w:rPr>
          <w:rFonts w:eastAsia="MS Mincho" w:cs="Arial"/>
          <w:lang w:val="en-US"/>
        </w:rPr>
        <w:t xml:space="preserve"> as a result of this charge</w:t>
      </w:r>
      <w:r>
        <w:rPr>
          <w:rFonts w:eastAsia="MS Mincho" w:cs="Arial"/>
          <w:lang w:val="en-US"/>
        </w:rPr>
        <w:t xml:space="preserve">, this illustrates the intense </w:t>
      </w:r>
      <w:r w:rsidRPr="00C54850">
        <w:rPr>
          <w:rFonts w:eastAsia="MS Mincho" w:cs="Arial"/>
          <w:lang w:val="en-US"/>
        </w:rPr>
        <w:t>pressure and sense</w:t>
      </w:r>
      <w:r w:rsidR="00C54850" w:rsidRPr="00C54850">
        <w:rPr>
          <w:rFonts w:eastAsia="MS Mincho" w:cs="Arial"/>
          <w:lang w:val="en-US"/>
        </w:rPr>
        <w:t xml:space="preserve"> of </w:t>
      </w:r>
      <w:proofErr w:type="spellStart"/>
      <w:r w:rsidR="00C54850" w:rsidRPr="00C54850">
        <w:rPr>
          <w:rFonts w:eastAsia="MS Mincho" w:cs="Arial"/>
          <w:lang w:val="en-US"/>
        </w:rPr>
        <w:t>precarity</w:t>
      </w:r>
      <w:proofErr w:type="spellEnd"/>
      <w:r w:rsidR="00C54850" w:rsidRPr="00C54850">
        <w:rPr>
          <w:rFonts w:eastAsia="MS Mincho" w:cs="Arial"/>
          <w:lang w:val="en-US"/>
        </w:rPr>
        <w:t xml:space="preserve"> she experienced</w:t>
      </w:r>
      <w:r w:rsidRPr="00C54850">
        <w:rPr>
          <w:rFonts w:eastAsia="MS Mincho" w:cs="Arial"/>
          <w:lang w:val="en-US"/>
        </w:rPr>
        <w:t xml:space="preserve">. </w:t>
      </w:r>
      <w:r w:rsidR="00C54850">
        <w:rPr>
          <w:rFonts w:eastAsia="MS Mincho" w:cs="Arial"/>
          <w:lang w:val="en-US"/>
        </w:rPr>
        <w:t xml:space="preserve"> </w:t>
      </w:r>
      <w:r w:rsidR="00141A89" w:rsidRPr="00C54850">
        <w:rPr>
          <w:rFonts w:eastAsia="MS Mincho" w:cs="Arial"/>
          <w:lang w:val="en-US"/>
        </w:rPr>
        <w:t xml:space="preserve">Kay’s </w:t>
      </w:r>
      <w:r w:rsidR="00DB7173" w:rsidRPr="00C54850">
        <w:rPr>
          <w:rFonts w:eastAsia="MS Mincho" w:cs="Arial"/>
          <w:lang w:val="en-US"/>
        </w:rPr>
        <w:t xml:space="preserve">interactions with both local authority and benefit systems at a moment of personal crisis are characterized by </w:t>
      </w:r>
      <w:r w:rsidRPr="00C54850">
        <w:rPr>
          <w:rFonts w:eastAsia="MS Mincho" w:cs="Arial"/>
          <w:lang w:val="en-US"/>
        </w:rPr>
        <w:t xml:space="preserve">punitive threats of legal action </w:t>
      </w:r>
      <w:r w:rsidR="00141A89" w:rsidRPr="00C54850">
        <w:rPr>
          <w:rFonts w:eastAsia="MS Mincho" w:cs="Arial"/>
          <w:lang w:val="en-US"/>
        </w:rPr>
        <w:t xml:space="preserve">rather than the </w:t>
      </w:r>
      <w:proofErr w:type="spellStart"/>
      <w:r w:rsidR="00141A89" w:rsidRPr="00C54850">
        <w:rPr>
          <w:rFonts w:eastAsia="MS Mincho" w:cs="Arial"/>
          <w:lang w:val="en-US"/>
        </w:rPr>
        <w:t>mobilisation</w:t>
      </w:r>
      <w:proofErr w:type="spellEnd"/>
      <w:r w:rsidR="00141A89" w:rsidRPr="00C54850">
        <w:rPr>
          <w:rFonts w:eastAsia="MS Mincho" w:cs="Arial"/>
          <w:lang w:val="en-US"/>
        </w:rPr>
        <w:t xml:space="preserve"> of support.</w:t>
      </w:r>
      <w:r w:rsidR="003576E9" w:rsidRPr="00C54850">
        <w:rPr>
          <w:rFonts w:eastAsia="MS Mincho" w:cs="Arial"/>
          <w:lang w:val="en-US"/>
        </w:rPr>
        <w:t xml:space="preserve"> </w:t>
      </w:r>
    </w:p>
    <w:p w14:paraId="29750F23" w14:textId="12348198" w:rsidR="00186A2D" w:rsidRPr="00186A2D" w:rsidRDefault="00186A2D" w:rsidP="00BC4F5B">
      <w:pPr>
        <w:spacing w:after="120" w:line="360" w:lineRule="auto"/>
        <w:rPr>
          <w:rFonts w:eastAsia="MS Mincho" w:cs="Arial"/>
          <w:lang w:val="en-US"/>
        </w:rPr>
      </w:pPr>
      <w:r w:rsidRPr="00186A2D">
        <w:rPr>
          <w:rFonts w:eastAsia="MS Mincho" w:cs="Arial"/>
          <w:lang w:val="en-US"/>
        </w:rPr>
        <w:t xml:space="preserve">These punitive procedures were also increasingly visible in </w:t>
      </w:r>
      <w:r w:rsidR="00551F75">
        <w:rPr>
          <w:rFonts w:eastAsia="MS Mincho" w:cs="Arial"/>
          <w:lang w:val="en-US"/>
        </w:rPr>
        <w:t>local authority</w:t>
      </w:r>
      <w:r w:rsidR="00551F75" w:rsidRPr="00186A2D">
        <w:rPr>
          <w:rFonts w:eastAsia="MS Mincho" w:cs="Arial"/>
          <w:lang w:val="en-US"/>
        </w:rPr>
        <w:t xml:space="preserve"> </w:t>
      </w:r>
      <w:r w:rsidRPr="00186A2D">
        <w:rPr>
          <w:rFonts w:eastAsia="MS Mincho" w:cs="Arial"/>
          <w:lang w:val="en-US"/>
        </w:rPr>
        <w:t xml:space="preserve">mental health </w:t>
      </w:r>
      <w:r w:rsidR="00551F75">
        <w:rPr>
          <w:rFonts w:eastAsia="MS Mincho" w:cs="Arial"/>
          <w:lang w:val="en-US"/>
        </w:rPr>
        <w:t>service settings</w:t>
      </w:r>
      <w:r w:rsidRPr="00186A2D">
        <w:rPr>
          <w:rFonts w:eastAsia="MS Mincho" w:cs="Arial"/>
          <w:lang w:val="en-US"/>
        </w:rPr>
        <w:t xml:space="preserve">. A number of participants had </w:t>
      </w:r>
      <w:r w:rsidR="004634C8">
        <w:rPr>
          <w:rFonts w:eastAsia="MS Mincho" w:cs="Arial"/>
          <w:lang w:val="en-US"/>
        </w:rPr>
        <w:t>their financial status</w:t>
      </w:r>
      <w:r w:rsidR="004634C8" w:rsidRPr="00186A2D">
        <w:rPr>
          <w:rFonts w:eastAsia="MS Mincho" w:cs="Arial"/>
          <w:lang w:val="en-US"/>
        </w:rPr>
        <w:t xml:space="preserve"> </w:t>
      </w:r>
      <w:r w:rsidRPr="00186A2D">
        <w:rPr>
          <w:rFonts w:eastAsia="MS Mincho" w:cs="Arial"/>
          <w:lang w:val="en-US"/>
        </w:rPr>
        <w:t xml:space="preserve">scrutinized by the Local Authority’s Benefit </w:t>
      </w:r>
      <w:proofErr w:type="spellStart"/>
      <w:r w:rsidRPr="00186A2D">
        <w:rPr>
          <w:rFonts w:eastAsia="MS Mincho" w:cs="Arial"/>
          <w:lang w:val="en-US"/>
        </w:rPr>
        <w:t>Maximisation</w:t>
      </w:r>
      <w:proofErr w:type="spellEnd"/>
      <w:r w:rsidRPr="00186A2D">
        <w:rPr>
          <w:rFonts w:eastAsia="MS Mincho" w:cs="Arial"/>
          <w:lang w:val="en-US"/>
        </w:rPr>
        <w:t xml:space="preserve"> Team (BMT).  While the ostensible role of this unit is to ensure that claimants were accessing their full benefit entitlements, the team also assessed people’s income and savings to determine liabilities for council tax and charges for some local welfare services. One example of the latter was the introduction of day </w:t>
      </w:r>
      <w:proofErr w:type="spellStart"/>
      <w:r w:rsidRPr="00186A2D">
        <w:rPr>
          <w:rFonts w:eastAsia="MS Mincho" w:cs="Arial"/>
          <w:lang w:val="en-US"/>
        </w:rPr>
        <w:t>centre</w:t>
      </w:r>
      <w:proofErr w:type="spellEnd"/>
      <w:r w:rsidRPr="00186A2D">
        <w:rPr>
          <w:rFonts w:eastAsia="MS Mincho" w:cs="Arial"/>
          <w:lang w:val="en-US"/>
        </w:rPr>
        <w:t xml:space="preserve"> charges from 2013, marking a shift away from unconditional entitlements in this context. Mental health day </w:t>
      </w:r>
      <w:proofErr w:type="spellStart"/>
      <w:r w:rsidRPr="00186A2D">
        <w:rPr>
          <w:rFonts w:eastAsia="MS Mincho" w:cs="Arial"/>
          <w:lang w:val="en-US"/>
        </w:rPr>
        <w:t>centre</w:t>
      </w:r>
      <w:proofErr w:type="spellEnd"/>
      <w:r w:rsidRPr="00186A2D">
        <w:rPr>
          <w:rFonts w:eastAsia="MS Mincho" w:cs="Arial"/>
          <w:lang w:val="en-US"/>
        </w:rPr>
        <w:t xml:space="preserve"> users Donna and Gavin both faced demands from BMT for bank statements for assessment. Following this process, Gavin was informed that he needed to contribute and as a result attended </w:t>
      </w:r>
      <w:r w:rsidR="00551F75">
        <w:rPr>
          <w:rFonts w:eastAsia="MS Mincho" w:cs="Arial"/>
          <w:lang w:val="en-US"/>
        </w:rPr>
        <w:t xml:space="preserve">this support service </w:t>
      </w:r>
      <w:r w:rsidRPr="00186A2D">
        <w:rPr>
          <w:rFonts w:eastAsia="MS Mincho" w:cs="Arial"/>
          <w:lang w:val="en-US"/>
        </w:rPr>
        <w:t xml:space="preserve">less frequently. Peter also noted that a number of service users at his local authority day </w:t>
      </w:r>
      <w:proofErr w:type="spellStart"/>
      <w:r w:rsidRPr="00186A2D">
        <w:rPr>
          <w:rFonts w:eastAsia="MS Mincho" w:cs="Arial"/>
          <w:lang w:val="en-US"/>
        </w:rPr>
        <w:t>centre</w:t>
      </w:r>
      <w:proofErr w:type="spellEnd"/>
      <w:r w:rsidRPr="00186A2D">
        <w:rPr>
          <w:rFonts w:eastAsia="MS Mincho" w:cs="Arial"/>
          <w:lang w:val="en-US"/>
        </w:rPr>
        <w:t xml:space="preserve"> were no longer able to </w:t>
      </w:r>
      <w:r w:rsidR="00551F75">
        <w:rPr>
          <w:rFonts w:eastAsia="MS Mincho" w:cs="Arial"/>
          <w:lang w:val="en-US"/>
        </w:rPr>
        <w:t xml:space="preserve">afford to </w:t>
      </w:r>
      <w:r w:rsidRPr="00186A2D">
        <w:rPr>
          <w:rFonts w:eastAsia="MS Mincho" w:cs="Arial"/>
          <w:lang w:val="en-US"/>
        </w:rPr>
        <w:t xml:space="preserve">attend due to charges. Tina </w:t>
      </w:r>
      <w:r w:rsidR="00E8715C">
        <w:rPr>
          <w:rFonts w:eastAsia="MS Mincho" w:cs="Arial"/>
          <w:lang w:val="en-US"/>
        </w:rPr>
        <w:t>recounted that</w:t>
      </w:r>
      <w:r w:rsidRPr="00186A2D">
        <w:rPr>
          <w:rFonts w:eastAsia="MS Mincho" w:cs="Arial"/>
          <w:lang w:val="en-US"/>
        </w:rPr>
        <w:t xml:space="preserve"> her partner (also a </w:t>
      </w:r>
      <w:r w:rsidR="00E8715C">
        <w:rPr>
          <w:rFonts w:eastAsia="MS Mincho" w:cs="Arial"/>
          <w:lang w:val="en-US"/>
        </w:rPr>
        <w:t xml:space="preserve">mental health </w:t>
      </w:r>
      <w:r w:rsidRPr="00186A2D">
        <w:rPr>
          <w:rFonts w:eastAsia="MS Mincho" w:cs="Arial"/>
          <w:lang w:val="en-US"/>
        </w:rPr>
        <w:t xml:space="preserve">service user) </w:t>
      </w:r>
      <w:r w:rsidR="00E8715C">
        <w:rPr>
          <w:rFonts w:eastAsia="MS Mincho" w:cs="Arial"/>
          <w:lang w:val="en-US"/>
        </w:rPr>
        <w:t xml:space="preserve">had </w:t>
      </w:r>
      <w:r w:rsidRPr="00186A2D">
        <w:rPr>
          <w:rFonts w:eastAsia="MS Mincho" w:cs="Arial"/>
          <w:lang w:val="en-US"/>
        </w:rPr>
        <w:t xml:space="preserve">incurred </w:t>
      </w:r>
      <w:r w:rsidR="00E8715C">
        <w:rPr>
          <w:rFonts w:eastAsia="MS Mincho" w:cs="Arial"/>
          <w:lang w:val="en-US"/>
        </w:rPr>
        <w:t>debts to the council of several thousand pounds in</w:t>
      </w:r>
      <w:r w:rsidR="00E8715C" w:rsidRPr="00186A2D">
        <w:rPr>
          <w:rFonts w:eastAsia="MS Mincho" w:cs="Arial"/>
          <w:lang w:val="en-US"/>
        </w:rPr>
        <w:t xml:space="preserve"> </w:t>
      </w:r>
      <w:r w:rsidRPr="00186A2D">
        <w:rPr>
          <w:rFonts w:eastAsia="MS Mincho" w:cs="Arial"/>
          <w:lang w:val="en-US"/>
        </w:rPr>
        <w:t xml:space="preserve">day </w:t>
      </w:r>
      <w:proofErr w:type="spellStart"/>
      <w:r w:rsidRPr="00186A2D">
        <w:rPr>
          <w:rFonts w:eastAsia="MS Mincho" w:cs="Arial"/>
          <w:lang w:val="en-US"/>
        </w:rPr>
        <w:t>centre</w:t>
      </w:r>
      <w:proofErr w:type="spellEnd"/>
      <w:r w:rsidRPr="00186A2D">
        <w:rPr>
          <w:rFonts w:eastAsia="MS Mincho" w:cs="Arial"/>
          <w:lang w:val="en-US"/>
        </w:rPr>
        <w:t xml:space="preserve"> charges</w:t>
      </w:r>
      <w:r w:rsidR="00E8715C">
        <w:rPr>
          <w:rFonts w:eastAsia="MS Mincho" w:cs="Arial"/>
          <w:lang w:val="en-US"/>
        </w:rPr>
        <w:t xml:space="preserve">, and the stress of this financial liability together with the </w:t>
      </w:r>
      <w:r w:rsidRPr="00186A2D">
        <w:rPr>
          <w:rFonts w:eastAsia="MS Mincho" w:cs="Arial"/>
          <w:lang w:val="en-US"/>
        </w:rPr>
        <w:t xml:space="preserve">increased isolation </w:t>
      </w:r>
      <w:r w:rsidR="00E8715C">
        <w:rPr>
          <w:rFonts w:eastAsia="MS Mincho" w:cs="Arial"/>
          <w:lang w:val="en-US"/>
        </w:rPr>
        <w:t>arising from</w:t>
      </w:r>
      <w:r w:rsidRPr="00186A2D">
        <w:rPr>
          <w:rFonts w:eastAsia="MS Mincho" w:cs="Arial"/>
          <w:lang w:val="en-US"/>
        </w:rPr>
        <w:t xml:space="preserve"> his inability to pay for </w:t>
      </w:r>
      <w:r w:rsidR="00E8715C">
        <w:rPr>
          <w:rFonts w:eastAsia="MS Mincho" w:cs="Arial"/>
          <w:lang w:val="en-US"/>
        </w:rPr>
        <w:t xml:space="preserve">ongoing </w:t>
      </w:r>
      <w:r w:rsidRPr="00186A2D">
        <w:rPr>
          <w:rFonts w:eastAsia="MS Mincho" w:cs="Arial"/>
          <w:lang w:val="en-US"/>
        </w:rPr>
        <w:t>support</w:t>
      </w:r>
      <w:r w:rsidR="00E8715C">
        <w:rPr>
          <w:rFonts w:eastAsia="MS Mincho" w:cs="Arial"/>
          <w:lang w:val="en-US"/>
        </w:rPr>
        <w:t xml:space="preserve"> at the </w:t>
      </w:r>
      <w:proofErr w:type="spellStart"/>
      <w:r w:rsidR="00E8715C">
        <w:rPr>
          <w:rFonts w:eastAsia="MS Mincho" w:cs="Arial"/>
          <w:lang w:val="en-US"/>
        </w:rPr>
        <w:t>centre</w:t>
      </w:r>
      <w:proofErr w:type="spellEnd"/>
      <w:r w:rsidR="00E8715C">
        <w:rPr>
          <w:rFonts w:eastAsia="MS Mincho" w:cs="Arial"/>
          <w:lang w:val="en-US"/>
        </w:rPr>
        <w:t xml:space="preserve"> had combined to have a </w:t>
      </w:r>
      <w:r w:rsidR="00E8715C" w:rsidRPr="00186A2D">
        <w:rPr>
          <w:rFonts w:eastAsia="MS Mincho" w:cs="Arial"/>
          <w:lang w:val="en-US"/>
        </w:rPr>
        <w:t xml:space="preserve">detrimental impact on </w:t>
      </w:r>
      <w:r w:rsidR="00E8715C">
        <w:rPr>
          <w:rFonts w:eastAsia="MS Mincho" w:cs="Arial"/>
          <w:lang w:val="en-US"/>
        </w:rPr>
        <w:t>his</w:t>
      </w:r>
      <w:r w:rsidR="00E8715C" w:rsidRPr="00186A2D">
        <w:rPr>
          <w:rFonts w:eastAsia="MS Mincho" w:cs="Arial"/>
          <w:lang w:val="en-US"/>
        </w:rPr>
        <w:t xml:space="preserve"> mental health</w:t>
      </w:r>
      <w:r w:rsidR="00E8715C">
        <w:rPr>
          <w:rFonts w:eastAsia="MS Mincho" w:cs="Arial"/>
          <w:lang w:val="en-US"/>
        </w:rPr>
        <w:t>.</w:t>
      </w:r>
    </w:p>
    <w:p w14:paraId="72D99144" w14:textId="7291D6D2" w:rsidR="003031BA" w:rsidRPr="00186A2D" w:rsidRDefault="00840024" w:rsidP="00FC1F21">
      <w:pPr>
        <w:spacing w:after="120" w:line="360" w:lineRule="auto"/>
        <w:rPr>
          <w:rFonts w:eastAsia="MS Mincho" w:cs="Arial"/>
          <w:lang w:val="en-US"/>
        </w:rPr>
      </w:pPr>
      <w:r>
        <w:rPr>
          <w:rFonts w:eastAsia="MS Mincho" w:cs="Arial"/>
          <w:lang w:val="en-US"/>
        </w:rPr>
        <w:lastRenderedPageBreak/>
        <w:t xml:space="preserve">The draconian </w:t>
      </w:r>
      <w:r w:rsidR="00385003">
        <w:rPr>
          <w:rFonts w:eastAsia="MS Mincho" w:cs="Arial"/>
          <w:lang w:val="en-US"/>
        </w:rPr>
        <w:t xml:space="preserve">and punitive </w:t>
      </w:r>
      <w:r>
        <w:rPr>
          <w:rFonts w:eastAsia="MS Mincho" w:cs="Arial"/>
          <w:lang w:val="en-US"/>
        </w:rPr>
        <w:t xml:space="preserve">nature </w:t>
      </w:r>
      <w:r w:rsidR="00186A2D" w:rsidRPr="00186A2D">
        <w:rPr>
          <w:rFonts w:eastAsia="MS Mincho" w:cs="Arial"/>
          <w:lang w:val="en-US"/>
        </w:rPr>
        <w:t xml:space="preserve">of </w:t>
      </w:r>
      <w:r w:rsidR="00385003">
        <w:rPr>
          <w:rFonts w:eastAsia="MS Mincho" w:cs="Arial"/>
          <w:lang w:val="en-US"/>
        </w:rPr>
        <w:t xml:space="preserve">welfare reform interventions such as the WCA and measures like </w:t>
      </w:r>
      <w:r w:rsidR="00186A2D" w:rsidRPr="00186A2D">
        <w:rPr>
          <w:rFonts w:eastAsia="MS Mincho" w:cs="Arial"/>
          <w:lang w:val="en-US"/>
        </w:rPr>
        <w:t>the bedroom tax</w:t>
      </w:r>
      <w:r w:rsidR="00385003">
        <w:rPr>
          <w:rFonts w:eastAsia="MS Mincho" w:cs="Arial"/>
          <w:lang w:val="en-US"/>
        </w:rPr>
        <w:t xml:space="preserve"> can be </w:t>
      </w:r>
      <w:r w:rsidR="00385003">
        <w:rPr>
          <w:rFonts w:eastAsia="MS Mincho" w:cs="Arial" w:hint="eastAsia"/>
          <w:lang w:val="en-US"/>
        </w:rPr>
        <w:t>characterized</w:t>
      </w:r>
      <w:r w:rsidR="00385003">
        <w:rPr>
          <w:rFonts w:eastAsia="MS Mincho" w:cs="Arial"/>
          <w:lang w:val="en-US"/>
        </w:rPr>
        <w:t xml:space="preserve"> as exemplars</w:t>
      </w:r>
      <w:r>
        <w:t xml:space="preserve"> of ‘hard patern</w:t>
      </w:r>
      <w:r w:rsidR="00385003">
        <w:t>alism’</w:t>
      </w:r>
      <w:r w:rsidR="009A269B">
        <w:t xml:space="preserve"> (Whitworth, 2016)</w:t>
      </w:r>
      <w:r w:rsidR="00385003">
        <w:t xml:space="preserve">. </w:t>
      </w:r>
      <w:r w:rsidR="003031BA">
        <w:rPr>
          <w:rFonts w:eastAsia="MS Mincho" w:cs="Arial"/>
          <w:lang w:val="en-US"/>
        </w:rPr>
        <w:t>Such forms</w:t>
      </w:r>
      <w:r w:rsidR="00186A2D" w:rsidRPr="00186A2D">
        <w:rPr>
          <w:rFonts w:eastAsia="MS Mincho" w:cs="Arial"/>
          <w:lang w:val="en-US"/>
        </w:rPr>
        <w:t xml:space="preserve"> of punitive conditionality</w:t>
      </w:r>
      <w:r w:rsidR="00FC1F21">
        <w:rPr>
          <w:rFonts w:eastAsia="MS Mincho" w:cs="Arial"/>
          <w:lang w:val="en-US"/>
        </w:rPr>
        <w:t xml:space="preserve"> act as a </w:t>
      </w:r>
      <w:r w:rsidR="00FC1F21" w:rsidRPr="00186A2D">
        <w:rPr>
          <w:rFonts w:eastAsia="MS Mincho" w:cs="Arial"/>
          <w:lang w:val="en-US"/>
        </w:rPr>
        <w:t xml:space="preserve">deterrent to seeking </w:t>
      </w:r>
      <w:r w:rsidR="00FC1F21">
        <w:rPr>
          <w:rFonts w:eastAsia="MS Mincho" w:cs="Arial"/>
          <w:lang w:val="en-US"/>
        </w:rPr>
        <w:t>support</w:t>
      </w:r>
      <w:r w:rsidR="00186A2D" w:rsidRPr="00186A2D">
        <w:rPr>
          <w:rFonts w:eastAsia="MS Mincho" w:cs="Arial"/>
          <w:lang w:val="en-US"/>
        </w:rPr>
        <w:t xml:space="preserve"> </w:t>
      </w:r>
      <w:r w:rsidR="00FC1F21">
        <w:rPr>
          <w:rFonts w:eastAsia="MS Mincho" w:cs="Arial"/>
          <w:lang w:val="en-US"/>
        </w:rPr>
        <w:t xml:space="preserve">from the state and </w:t>
      </w:r>
      <w:r w:rsidR="003031BA">
        <w:rPr>
          <w:rFonts w:eastAsia="MS Mincho" w:cs="Arial"/>
          <w:lang w:val="en-US"/>
        </w:rPr>
        <w:t xml:space="preserve">represent one component of </w:t>
      </w:r>
      <w:r w:rsidR="003031BA" w:rsidRPr="00186A2D">
        <w:rPr>
          <w:rFonts w:eastAsia="MS Mincho" w:cs="Arial"/>
          <w:lang w:val="en-US"/>
        </w:rPr>
        <w:t>a two-pronged strategy</w:t>
      </w:r>
      <w:r w:rsidR="003031BA">
        <w:rPr>
          <w:rFonts w:eastAsia="MS Mincho" w:cs="Arial"/>
          <w:lang w:val="en-US"/>
        </w:rPr>
        <w:t xml:space="preserve"> to reduce purported </w:t>
      </w:r>
      <w:r w:rsidR="00186A2D" w:rsidRPr="00186A2D">
        <w:rPr>
          <w:rFonts w:eastAsia="MS Mincho" w:cs="Arial"/>
          <w:lang w:val="en-US"/>
        </w:rPr>
        <w:t>welfare</w:t>
      </w:r>
      <w:r w:rsidR="003031BA">
        <w:rPr>
          <w:rFonts w:eastAsia="MS Mincho" w:cs="Arial"/>
          <w:lang w:val="en-US"/>
        </w:rPr>
        <w:t xml:space="preserve"> </w:t>
      </w:r>
      <w:r w:rsidR="003031BA" w:rsidRPr="00186A2D">
        <w:rPr>
          <w:rFonts w:eastAsia="MS Mincho" w:cs="Arial"/>
          <w:lang w:val="en-US"/>
        </w:rPr>
        <w:t>dependenc</w:t>
      </w:r>
      <w:r w:rsidR="003031BA">
        <w:rPr>
          <w:rFonts w:eastAsia="MS Mincho" w:cs="Arial"/>
          <w:lang w:val="en-US"/>
        </w:rPr>
        <w:t>y</w:t>
      </w:r>
      <w:r w:rsidR="00FC1F21">
        <w:rPr>
          <w:rFonts w:eastAsia="MS Mincho" w:cs="Arial"/>
          <w:lang w:val="en-US"/>
        </w:rPr>
        <w:t>. The other</w:t>
      </w:r>
      <w:r w:rsidR="003031BA">
        <w:rPr>
          <w:rFonts w:eastAsia="MS Mincho" w:cs="Arial"/>
          <w:lang w:val="en-US"/>
        </w:rPr>
        <w:t xml:space="preserve"> </w:t>
      </w:r>
      <w:r w:rsidR="00FC1F21">
        <w:rPr>
          <w:rFonts w:eastAsia="MS Mincho" w:cs="Arial"/>
          <w:lang w:val="en-US"/>
        </w:rPr>
        <w:t xml:space="preserve">element of this approach is visible in the </w:t>
      </w:r>
      <w:r w:rsidR="00FC1F21">
        <w:t>‘softer’ forms of activation and self-hel</w:t>
      </w:r>
      <w:r w:rsidR="00B70217">
        <w:t>p associated with IAPT and the Recovery A</w:t>
      </w:r>
      <w:r w:rsidR="00FC1F21">
        <w:t xml:space="preserve">genda that were described earlier and seek to </w:t>
      </w:r>
      <w:r w:rsidR="00FC1F21">
        <w:rPr>
          <w:rFonts w:eastAsia="MS Mincho" w:cs="Arial"/>
          <w:lang w:val="en-US"/>
        </w:rPr>
        <w:t>inculcate</w:t>
      </w:r>
      <w:r w:rsidR="003031BA" w:rsidRPr="00186A2D">
        <w:rPr>
          <w:rFonts w:eastAsia="MS Mincho" w:cs="Arial"/>
          <w:lang w:val="en-US"/>
        </w:rPr>
        <w:t xml:space="preserve"> self-reliant dispositions</w:t>
      </w:r>
      <w:r w:rsidR="00511AD0">
        <w:rPr>
          <w:rFonts w:eastAsia="MS Mincho" w:cs="Arial"/>
          <w:lang w:val="en-US"/>
        </w:rPr>
        <w:t xml:space="preserve">.  </w:t>
      </w:r>
      <w:r w:rsidR="00BD1A69">
        <w:t>In this way,</w:t>
      </w:r>
      <w:r w:rsidR="00FC1F21">
        <w:t xml:space="preserve"> </w:t>
      </w:r>
      <w:r w:rsidR="00BD1A69">
        <w:t>a range</w:t>
      </w:r>
      <w:r w:rsidR="00FC1F21">
        <w:t xml:space="preserve"> of measures located along </w:t>
      </w:r>
      <w:r w:rsidR="00BD1A69">
        <w:t>a</w:t>
      </w:r>
      <w:r w:rsidR="00FC1F21">
        <w:t xml:space="preserve"> </w:t>
      </w:r>
      <w:r w:rsidR="00FC1F21">
        <w:rPr>
          <w:rFonts w:eastAsia="MS Mincho" w:cs="Arial"/>
          <w:lang w:val="en-US"/>
        </w:rPr>
        <w:t xml:space="preserve">neoliberal </w:t>
      </w:r>
      <w:r w:rsidR="009A269B">
        <w:rPr>
          <w:rFonts w:eastAsia="MS Mincho" w:cs="Arial"/>
          <w:lang w:val="en-US"/>
        </w:rPr>
        <w:t xml:space="preserve">continuum </w:t>
      </w:r>
      <w:r w:rsidR="00FC1F21">
        <w:rPr>
          <w:rFonts w:eastAsia="MS Mincho" w:cs="Arial"/>
          <w:lang w:val="en-US"/>
        </w:rPr>
        <w:t xml:space="preserve">from </w:t>
      </w:r>
      <w:r w:rsidR="00FC1F21">
        <w:t xml:space="preserve">hard paternalism to soft activation operate simultaneously </w:t>
      </w:r>
      <w:r w:rsidR="003031BA" w:rsidRPr="00186A2D">
        <w:rPr>
          <w:rFonts w:eastAsia="MS Mincho" w:cs="Arial"/>
          <w:lang w:val="en-US"/>
        </w:rPr>
        <w:t>to impose personal responsibility and engender independence from the state</w:t>
      </w:r>
      <w:r w:rsidR="00FC1F21">
        <w:rPr>
          <w:rFonts w:eastAsia="MS Mincho" w:cs="Arial"/>
          <w:lang w:val="en-US"/>
        </w:rPr>
        <w:t>.</w:t>
      </w:r>
    </w:p>
    <w:p w14:paraId="45611063" w14:textId="77777777" w:rsidR="00186A2D" w:rsidRPr="00186A2D" w:rsidRDefault="00186A2D" w:rsidP="00186A2D">
      <w:pPr>
        <w:spacing w:line="360" w:lineRule="auto"/>
      </w:pPr>
      <w:r w:rsidRPr="00186A2D">
        <w:rPr>
          <w:rFonts w:eastAsia="Times New Roman"/>
          <w:b/>
          <w:i/>
          <w:iCs/>
          <w:color w:val="000000"/>
          <w:shd w:val="clear" w:color="auto" w:fill="FFFFFF"/>
          <w:lang w:val="en-GB"/>
        </w:rPr>
        <w:t>Discussion: Enacting Blame in Welfare and Mental Health Reforms under Austerity</w:t>
      </w:r>
    </w:p>
    <w:p w14:paraId="37BE70D2" w14:textId="46C6BA6A" w:rsidR="00186A2D" w:rsidRPr="00186A2D" w:rsidRDefault="00186A2D" w:rsidP="00186A2D">
      <w:pPr>
        <w:spacing w:line="360" w:lineRule="auto"/>
      </w:pPr>
      <w:r w:rsidRPr="00186A2D">
        <w:t xml:space="preserve">Our findings have highlighted </w:t>
      </w:r>
      <w:r w:rsidR="004479DE">
        <w:t>the interaction of three primary dynamics in the increasingly integrated</w:t>
      </w:r>
      <w:r w:rsidR="004479DE" w:rsidRPr="00186A2D">
        <w:t xml:space="preserve"> domains of welfare and mental health policy</w:t>
      </w:r>
      <w:r w:rsidR="004479DE">
        <w:t xml:space="preserve">. </w:t>
      </w:r>
      <w:r w:rsidR="00AB5B90">
        <w:t>T</w:t>
      </w:r>
      <w:r w:rsidR="004479DE">
        <w:t xml:space="preserve">he first of these is </w:t>
      </w:r>
      <w:r w:rsidRPr="00186A2D">
        <w:t xml:space="preserve">the </w:t>
      </w:r>
      <w:r w:rsidR="004479DE">
        <w:t>in</w:t>
      </w:r>
      <w:r w:rsidRPr="00186A2D">
        <w:t xml:space="preserve">validation </w:t>
      </w:r>
      <w:r w:rsidR="004479DE">
        <w:t xml:space="preserve">and </w:t>
      </w:r>
      <w:proofErr w:type="spellStart"/>
      <w:r w:rsidR="004479DE" w:rsidRPr="00186A2D">
        <w:t>delegitimisation</w:t>
      </w:r>
      <w:proofErr w:type="spellEnd"/>
      <w:r w:rsidR="004479DE" w:rsidRPr="00186A2D">
        <w:t xml:space="preserve"> </w:t>
      </w:r>
      <w:r w:rsidRPr="00186A2D">
        <w:t>of lived experiences of mental distress</w:t>
      </w:r>
      <w:r w:rsidR="004479DE">
        <w:t xml:space="preserve">. </w:t>
      </w:r>
      <w:r w:rsidRPr="00186A2D">
        <w:t>Wider austerity-related retrenchment of the welfare state has meant that claims to benefit and service entitlements on the basis of mental distress has been systematically challenged and restricted. The long-established mechanisms of resource allocation that utilised forms of medical assessment to ascribe sick role status as a gateway to welfare entitlements have been significantly reconfigured</w:t>
      </w:r>
      <w:r w:rsidR="004479DE">
        <w:t xml:space="preserve"> and restricted</w:t>
      </w:r>
      <w:r w:rsidRPr="00186A2D">
        <w:t>. In their place</w:t>
      </w:r>
      <w:r w:rsidR="0054057E">
        <w:t>,</w:t>
      </w:r>
      <w:r w:rsidRPr="00186A2D">
        <w:t xml:space="preserve"> our respondents described</w:t>
      </w:r>
      <w:r w:rsidR="00B70217">
        <w:t xml:space="preserve"> a second, related mechanism.  T</w:t>
      </w:r>
      <w:r w:rsidR="004479DE">
        <w:t xml:space="preserve">he implementation and escalation of highly </w:t>
      </w:r>
      <w:r w:rsidRPr="00186A2D">
        <w:t>punitive</w:t>
      </w:r>
      <w:r w:rsidR="004479DE">
        <w:t xml:space="preserve"> and conditional</w:t>
      </w:r>
      <w:r w:rsidRPr="00186A2D">
        <w:t xml:space="preserve"> forms of </w:t>
      </w:r>
      <w:r w:rsidR="00AB5B90">
        <w:t xml:space="preserve">assessment and </w:t>
      </w:r>
      <w:r w:rsidRPr="00186A2D">
        <w:t xml:space="preserve">appraisal </w:t>
      </w:r>
      <w:r w:rsidR="00AB5B90">
        <w:t xml:space="preserve">both </w:t>
      </w:r>
      <w:r w:rsidRPr="00186A2D">
        <w:t>by state</w:t>
      </w:r>
      <w:r w:rsidR="00AB5B90">
        <w:t xml:space="preserve"> </w:t>
      </w:r>
      <w:r w:rsidR="00AB5B90" w:rsidRPr="00186A2D">
        <w:t>institutions</w:t>
      </w:r>
      <w:r w:rsidRPr="00186A2D">
        <w:t xml:space="preserve"> and </w:t>
      </w:r>
      <w:r w:rsidR="00AB5B90">
        <w:t xml:space="preserve">the corporate </w:t>
      </w:r>
      <w:r w:rsidRPr="00186A2D">
        <w:t xml:space="preserve">welfare </w:t>
      </w:r>
      <w:r w:rsidR="00AB5B90">
        <w:t xml:space="preserve">providers to which the state’s functions are increasingly </w:t>
      </w:r>
      <w:r w:rsidR="00AB5B90" w:rsidRPr="00186A2D">
        <w:t>outsourced</w:t>
      </w:r>
      <w:r w:rsidRPr="00186A2D">
        <w:t xml:space="preserve">. </w:t>
      </w:r>
      <w:r w:rsidR="00B70217">
        <w:t>A</w:t>
      </w:r>
      <w:r w:rsidRPr="00186A2D">
        <w:t xml:space="preserve">longside this, participants noted </w:t>
      </w:r>
      <w:r w:rsidR="00AB5B90">
        <w:t>a third dynamic, new</w:t>
      </w:r>
      <w:r w:rsidRPr="00186A2D">
        <w:t xml:space="preserve"> models of welfare and mental health service provision which emphasised short-term support, self-management and labour market re-engagement. In combination, these</w:t>
      </w:r>
      <w:r w:rsidR="00AB5B90">
        <w:t xml:space="preserve"> three overlapping institutional</w:t>
      </w:r>
      <w:r w:rsidRPr="00186A2D">
        <w:t xml:space="preserve"> processes functioned to restrict </w:t>
      </w:r>
      <w:r w:rsidR="00AB5B90">
        <w:t xml:space="preserve">welfare state </w:t>
      </w:r>
      <w:r w:rsidRPr="00186A2D">
        <w:t xml:space="preserve">entitlements and generate a sense of shame that intensified stigma. However our respondents also described a further emergent dimension of these </w:t>
      </w:r>
      <w:r w:rsidR="00AB5B90" w:rsidRPr="00AB5B90">
        <w:t>developments</w:t>
      </w:r>
      <w:r w:rsidRPr="00186A2D">
        <w:t xml:space="preserve">, the engendering of feelings of blame and personal responsibility for their condition. </w:t>
      </w:r>
    </w:p>
    <w:p w14:paraId="1FFAED60" w14:textId="377A63C0" w:rsidR="00186A2D" w:rsidRPr="00186A2D" w:rsidRDefault="00186A2D" w:rsidP="00186A2D">
      <w:pPr>
        <w:spacing w:line="360" w:lineRule="auto"/>
      </w:pPr>
      <w:proofErr w:type="spellStart"/>
      <w:r w:rsidRPr="00186A2D">
        <w:t>Scambler</w:t>
      </w:r>
      <w:proofErr w:type="spellEnd"/>
      <w:r w:rsidRPr="00186A2D">
        <w:t xml:space="preserve"> (2006, 2009, 2018) has argued that such trends can be understood in terms of a shift from the construction of disability and illness as ‘ontological deficits’ during the Keynesian period to a more recent assertion of such experiences as ‘moral deficits’ under neoliberalism. </w:t>
      </w:r>
      <w:r w:rsidR="00743FF0">
        <w:t>Under the earlier</w:t>
      </w:r>
      <w:r w:rsidRPr="00186A2D">
        <w:t xml:space="preserve"> Keynesian welfare system</w:t>
      </w:r>
      <w:r w:rsidR="00743FF0">
        <w:t>,</w:t>
      </w:r>
      <w:r w:rsidRPr="00186A2D">
        <w:t xml:space="preserve"> claims to longer term incapacity </w:t>
      </w:r>
      <w:r w:rsidR="006C6677">
        <w:t>were</w:t>
      </w:r>
      <w:r w:rsidRPr="00186A2D">
        <w:t xml:space="preserve"> licensed through biomedical certification thereby attracting forms of stigmatisation. However,</w:t>
      </w:r>
      <w:r w:rsidR="006C6677">
        <w:t xml:space="preserve"> applying </w:t>
      </w:r>
      <w:proofErr w:type="spellStart"/>
      <w:r w:rsidR="006C6677" w:rsidRPr="00186A2D">
        <w:t>Scambler’s</w:t>
      </w:r>
      <w:proofErr w:type="spellEnd"/>
      <w:r w:rsidR="006C6677" w:rsidRPr="00186A2D">
        <w:t xml:space="preserve"> thesis</w:t>
      </w:r>
      <w:r w:rsidR="006C6677">
        <w:t xml:space="preserve"> to the field of mental health </w:t>
      </w:r>
      <w:r w:rsidR="006C6677" w:rsidRPr="00186A2D">
        <w:t>in the context of</w:t>
      </w:r>
      <w:r w:rsidRPr="00186A2D">
        <w:t xml:space="preserve"> neoliberal reform, recent measures to embed the </w:t>
      </w:r>
      <w:r w:rsidR="006C6677">
        <w:t xml:space="preserve">normative </w:t>
      </w:r>
      <w:r w:rsidRPr="00186A2D">
        <w:t xml:space="preserve">principle of individual </w:t>
      </w:r>
      <w:r w:rsidR="006C6677">
        <w:t>responsibility</w:t>
      </w:r>
      <w:r w:rsidR="006C6677" w:rsidRPr="00186A2D">
        <w:t xml:space="preserve"> </w:t>
      </w:r>
      <w:r w:rsidRPr="00186A2D">
        <w:t xml:space="preserve">in </w:t>
      </w:r>
      <w:r w:rsidR="006C6677" w:rsidRPr="00186A2D">
        <w:t>welfare and mental health</w:t>
      </w:r>
      <w:r w:rsidR="006C6677" w:rsidRPr="00186A2D" w:rsidDel="006C6677">
        <w:t xml:space="preserve"> </w:t>
      </w:r>
      <w:r w:rsidRPr="00186A2D">
        <w:t>service design and implementation</w:t>
      </w:r>
      <w:r w:rsidR="006C6677">
        <w:t xml:space="preserve"> </w:t>
      </w:r>
      <w:r w:rsidR="006C6677" w:rsidRPr="00186A2D">
        <w:lastRenderedPageBreak/>
        <w:t>have institutionalised</w:t>
      </w:r>
      <w:r w:rsidR="006C6677">
        <w:t xml:space="preserve"> </w:t>
      </w:r>
      <w:r w:rsidR="006C6677" w:rsidRPr="00186A2D">
        <w:t>logics of blame within th</w:t>
      </w:r>
      <w:r w:rsidR="006C6677">
        <w:t>is</w:t>
      </w:r>
      <w:r w:rsidR="006C6677" w:rsidRPr="00186A2D">
        <w:t xml:space="preserve"> policy architecture</w:t>
      </w:r>
      <w:r w:rsidRPr="00186A2D">
        <w:t>. Consequently there has been a shift in</w:t>
      </w:r>
      <w:r w:rsidR="006C6677">
        <w:t xml:space="preserve"> the</w:t>
      </w:r>
      <w:r w:rsidR="00527FC3">
        <w:t xml:space="preserve"> prominence of various</w:t>
      </w:r>
      <w:r w:rsidRPr="00186A2D">
        <w:t xml:space="preserve"> </w:t>
      </w:r>
      <w:r w:rsidR="006C6677">
        <w:t>institutional</w:t>
      </w:r>
      <w:r w:rsidR="006C6677" w:rsidRPr="00186A2D">
        <w:t xml:space="preserve"> </w:t>
      </w:r>
      <w:r w:rsidR="006C6677">
        <w:t xml:space="preserve">modes for </w:t>
      </w:r>
      <w:r w:rsidR="006C6677" w:rsidRPr="00186A2D">
        <w:t>con</w:t>
      </w:r>
      <w:r w:rsidR="006C6677">
        <w:t xml:space="preserve">ceiving </w:t>
      </w:r>
      <w:r w:rsidRPr="00186A2D">
        <w:t xml:space="preserve">mental distress , with the relative certainties of biomedical illness categories increasingly eclipsed by </w:t>
      </w:r>
      <w:r w:rsidR="006C6677">
        <w:t>tendencies to construct</w:t>
      </w:r>
      <w:r w:rsidR="006C6677" w:rsidRPr="00186A2D">
        <w:t xml:space="preserve"> </w:t>
      </w:r>
      <w:r w:rsidRPr="00186A2D">
        <w:t xml:space="preserve">distress </w:t>
      </w:r>
      <w:r w:rsidR="006C6677">
        <w:t>in terms of</w:t>
      </w:r>
      <w:r w:rsidR="006C6677" w:rsidRPr="00186A2D">
        <w:t xml:space="preserve"> </w:t>
      </w:r>
      <w:r w:rsidR="00527FC3">
        <w:t xml:space="preserve">individual </w:t>
      </w:r>
      <w:r w:rsidRPr="00186A2D">
        <w:t xml:space="preserve">moral failure or motivational inadequacy. </w:t>
      </w:r>
    </w:p>
    <w:p w14:paraId="7871417B" w14:textId="00ABA060" w:rsidR="00186A2D" w:rsidRPr="00186A2D" w:rsidRDefault="00186A2D" w:rsidP="00186A2D">
      <w:pPr>
        <w:spacing w:line="360" w:lineRule="auto"/>
      </w:pPr>
      <w:r w:rsidRPr="00186A2D">
        <w:t xml:space="preserve">These trends towards the reconstruction of explanatory models of illness and disability are visible in both mental health and welfare systems. In the latter, for instance, the biopsychosocial (BPS) model developed by Waddell and </w:t>
      </w:r>
      <w:proofErr w:type="spellStart"/>
      <w:r w:rsidRPr="00186A2D">
        <w:t>Aylward</w:t>
      </w:r>
      <w:proofErr w:type="spellEnd"/>
      <w:r w:rsidRPr="00186A2D" w:rsidDel="00225FAD">
        <w:t xml:space="preserve"> </w:t>
      </w:r>
      <w:r w:rsidRPr="00186A2D">
        <w:t xml:space="preserve">has underpinned the foregrounding of psychological factors within WCAs, and at least partly displaced a biomedical model orientation. Moreover the BPS model has appropriated critiques of psychiatric labelling in order to </w:t>
      </w:r>
      <w:proofErr w:type="spellStart"/>
      <w:r w:rsidRPr="00186A2D">
        <w:t>problematise</w:t>
      </w:r>
      <w:proofErr w:type="spellEnd"/>
      <w:r w:rsidRPr="00186A2D">
        <w:t xml:space="preserve"> the reality of mental distress. This framework thereby provides theoretical warrant for the reimagining of distress and incapacity as attitudinal or motivational in origin. As Jolly (2012) and Shakespeare et al (2017) have argued, this represents the procedural institutionalisation of victim-blaming within the welfare system</w:t>
      </w:r>
      <w:r w:rsidR="005A1278">
        <w:t>.</w:t>
      </w:r>
      <w:r w:rsidRPr="00186A2D">
        <w:t xml:space="preserve">  Similar </w:t>
      </w:r>
      <w:r w:rsidR="00C13767">
        <w:t>“</w:t>
      </w:r>
      <w:r w:rsidRPr="00186A2D">
        <w:t>innovations</w:t>
      </w:r>
      <w:r w:rsidR="00C13767">
        <w:t>”</w:t>
      </w:r>
      <w:r w:rsidRPr="00186A2D">
        <w:t xml:space="preserve"> </w:t>
      </w:r>
      <w:r w:rsidR="008B79B0">
        <w:t xml:space="preserve">based on </w:t>
      </w:r>
      <w:r w:rsidRPr="00186A2D">
        <w:t>individual</w:t>
      </w:r>
      <w:r w:rsidR="00C13767">
        <w:t xml:space="preserve"> attitudinal transformation </w:t>
      </w:r>
      <w:r w:rsidR="008B79B0" w:rsidRPr="00186A2D">
        <w:t>are visible in me</w:t>
      </w:r>
      <w:r w:rsidR="008B79B0">
        <w:t>ntal health services</w:t>
      </w:r>
      <w:r w:rsidRPr="00186A2D">
        <w:t>.</w:t>
      </w:r>
      <w:r w:rsidR="0040378F">
        <w:t xml:space="preserve"> </w:t>
      </w:r>
      <w:r w:rsidR="008B79B0">
        <w:t>In this context, an integral feature of</w:t>
      </w:r>
      <w:r w:rsidR="0040378F" w:rsidRPr="00186A2D">
        <w:t xml:space="preserve"> the</w:t>
      </w:r>
      <w:r w:rsidR="008B79B0">
        <w:t xml:space="preserve"> mainstream</w:t>
      </w:r>
      <w:r w:rsidR="0040378F" w:rsidRPr="00186A2D">
        <w:t xml:space="preserve"> Recovery Agenda</w:t>
      </w:r>
      <w:r w:rsidR="008B79B0">
        <w:t xml:space="preserve"> is </w:t>
      </w:r>
      <w:r w:rsidR="0040378F" w:rsidRPr="00186A2D">
        <w:t>the notion of self-management of mental distress through a process of personal</w:t>
      </w:r>
      <w:r w:rsidR="008B79B0">
        <w:t xml:space="preserve"> </w:t>
      </w:r>
      <w:r w:rsidR="0040378F" w:rsidRPr="00186A2D">
        <w:t>adaptation of attitudes, behaviours and beliefs.</w:t>
      </w:r>
      <w:r w:rsidRPr="00186A2D">
        <w:t xml:space="preserve"> In th</w:t>
      </w:r>
      <w:r w:rsidR="008B79B0">
        <w:t xml:space="preserve">is </w:t>
      </w:r>
      <w:r w:rsidR="008B79B0" w:rsidRPr="00186A2D">
        <w:t>‘recovery’</w:t>
      </w:r>
      <w:r w:rsidRPr="00186A2D">
        <w:t xml:space="preserve"> </w:t>
      </w:r>
      <w:r w:rsidR="008B79B0">
        <w:t>approach</w:t>
      </w:r>
      <w:r w:rsidR="00FD22D6">
        <w:t>, longer-</w:t>
      </w:r>
      <w:r w:rsidRPr="00186A2D">
        <w:t xml:space="preserve">term utilisation of public assistance is identified as a form of dependency that constitutes a barrier to overcoming mental distress. </w:t>
      </w:r>
      <w:r w:rsidR="00B70217">
        <w:t>At times the Recovery Agenda proves to be consistent with</w:t>
      </w:r>
      <w:r w:rsidRPr="00186A2D">
        <w:t xml:space="preserve"> reductions in services, such as day centre support in order to inculcate independence</w:t>
      </w:r>
      <w:r w:rsidR="008B79B0">
        <w:t xml:space="preserve"> and, moreover,</w:t>
      </w:r>
      <w:r w:rsidRPr="00186A2D">
        <w:t xml:space="preserve"> effaces the role of socio-structural inequalities in relation to mental distress</w:t>
      </w:r>
      <w:r w:rsidR="008B79B0">
        <w:t xml:space="preserve">, </w:t>
      </w:r>
      <w:r w:rsidRPr="00186A2D">
        <w:t>locat</w:t>
      </w:r>
      <w:r w:rsidR="008B79B0">
        <w:t>ing</w:t>
      </w:r>
      <w:r w:rsidRPr="00186A2D">
        <w:t xml:space="preserve"> the burden of responsibility for recovery firmly with the individual (Harper and Speed, 2012). Such moralised framings of mental distress do not, however, fully supersede extant biomedical or risk-management models of mental health care (Warner, 2007; </w:t>
      </w:r>
      <w:proofErr w:type="spellStart"/>
      <w:r w:rsidRPr="00186A2D">
        <w:t>xxxommittedforanonymityxxxD</w:t>
      </w:r>
      <w:proofErr w:type="spellEnd"/>
      <w:r w:rsidRPr="00186A2D">
        <w:t xml:space="preserve">) but rather supplement and re-orient them.  </w:t>
      </w:r>
    </w:p>
    <w:p w14:paraId="2BEA0212" w14:textId="142D16D9" w:rsidR="00186A2D" w:rsidRPr="00186A2D" w:rsidRDefault="00186A2D" w:rsidP="00186A2D">
      <w:pPr>
        <w:spacing w:line="360" w:lineRule="auto"/>
      </w:pPr>
      <w:r w:rsidRPr="00186A2D">
        <w:t>The psychologically reductive, blame-orie</w:t>
      </w:r>
      <w:r w:rsidR="00B70217">
        <w:t xml:space="preserve">nted and individually </w:t>
      </w:r>
      <w:proofErr w:type="spellStart"/>
      <w:r w:rsidR="00B70217">
        <w:t>responsib</w:t>
      </w:r>
      <w:r w:rsidRPr="00186A2D">
        <w:t>lising</w:t>
      </w:r>
      <w:proofErr w:type="spellEnd"/>
      <w:r w:rsidRPr="00186A2D">
        <w:t xml:space="preserve"> ethos of this suite of neoliberal policy reforms</w:t>
      </w:r>
      <w:r w:rsidR="008B79B0">
        <w:t xml:space="preserve"> across the welfare and mental health systems</w:t>
      </w:r>
      <w:r w:rsidRPr="00186A2D">
        <w:t xml:space="preserve"> has been mobilised to justify the </w:t>
      </w:r>
      <w:proofErr w:type="spellStart"/>
      <w:r w:rsidRPr="00186A2D">
        <w:t>delegitimisation</w:t>
      </w:r>
      <w:proofErr w:type="spellEnd"/>
      <w:r w:rsidRPr="00186A2D">
        <w:t xml:space="preserve"> of sick role status </w:t>
      </w:r>
      <w:r w:rsidR="008B79B0">
        <w:t>in relation to lived</w:t>
      </w:r>
      <w:r w:rsidRPr="00186A2D">
        <w:t xml:space="preserve"> experience</w:t>
      </w:r>
      <w:r w:rsidR="008B79B0">
        <w:t>s</w:t>
      </w:r>
      <w:r w:rsidRPr="00186A2D">
        <w:t xml:space="preserve"> of mental distress. However, in these contexts, restructuring of this status has taken a particular form. This involves the retention of sick role </w:t>
      </w:r>
      <w:r w:rsidRPr="00186A2D">
        <w:rPr>
          <w:i/>
        </w:rPr>
        <w:t>obligations</w:t>
      </w:r>
      <w:r w:rsidRPr="00186A2D">
        <w:t xml:space="preserve"> (i.e. that individuals must engage in all available therapies or treatments to ensure a rapid recovery or return to functioning), while </w:t>
      </w:r>
      <w:r w:rsidRPr="00186A2D">
        <w:rPr>
          <w:i/>
        </w:rPr>
        <w:t xml:space="preserve">rights </w:t>
      </w:r>
      <w:r w:rsidRPr="00186A2D">
        <w:t xml:space="preserve">are denied (i.e. access to out-of-work status) (van Hal et al, 2013).  The reorientation of sick role regulation is therefore characterised by </w:t>
      </w:r>
      <w:r w:rsidR="001E5B80">
        <w:t xml:space="preserve">the </w:t>
      </w:r>
      <w:r w:rsidRPr="00186A2D">
        <w:t xml:space="preserve">foregrounding of obligations to recover function (particularly in relation to employment), alongside an erosion of entitlements to support. Punitive forms of conditionality supplement this by imposing forms of discipline in relation to these responsibilities and thereby regulating the conduct </w:t>
      </w:r>
      <w:r w:rsidRPr="00186A2D">
        <w:lastRenderedPageBreak/>
        <w:t xml:space="preserve">of welfare recipients. However these disciplinary interventions operate along a continuum from the ‘soft’-activation of the Recovery Agenda to the ‘hard paternalism’ of the bedroom tax, sanctions and WCA (Whitworth, 2016: 415).  </w:t>
      </w:r>
    </w:p>
    <w:p w14:paraId="4B5E4614" w14:textId="7612F558" w:rsidR="00186A2D" w:rsidRPr="00BC4F5B" w:rsidRDefault="00186A2D" w:rsidP="00BC4F5B">
      <w:pPr>
        <w:widowControl w:val="0"/>
        <w:tabs>
          <w:tab w:val="left" w:pos="220"/>
          <w:tab w:val="left" w:pos="720"/>
        </w:tabs>
        <w:autoSpaceDE w:val="0"/>
        <w:autoSpaceDN w:val="0"/>
        <w:adjustRightInd w:val="0"/>
        <w:spacing w:after="120" w:line="360" w:lineRule="auto"/>
        <w:rPr>
          <w:rFonts w:eastAsia="MS Mincho" w:cs="Arial"/>
          <w:lang w:val="en-US"/>
        </w:rPr>
      </w:pPr>
      <w:r w:rsidRPr="00186A2D">
        <w:t xml:space="preserve">In orienting our arguments to the concept of the sick role and its attendant social deviance paradigm in relation to mental distress and disability (Thomas, 2012; </w:t>
      </w:r>
      <w:proofErr w:type="spellStart"/>
      <w:r w:rsidRPr="00186A2D">
        <w:t>Scambler</w:t>
      </w:r>
      <w:proofErr w:type="spellEnd"/>
      <w:r w:rsidRPr="00186A2D">
        <w:t xml:space="preserve">, 2018), our intention is not to mobilise a defence of a purported progressive Keynesian </w:t>
      </w:r>
      <w:proofErr w:type="spellStart"/>
      <w:r w:rsidRPr="00186A2D">
        <w:t>welfarism</w:t>
      </w:r>
      <w:proofErr w:type="spellEnd"/>
      <w:r w:rsidRPr="00186A2D">
        <w:t xml:space="preserve"> vis-à-vis the punitive turn under neoliberalism. </w:t>
      </w:r>
      <w:r w:rsidR="001E5B80">
        <w:rPr>
          <w:rFonts w:eastAsia="MS Mincho" w:cs="Arial"/>
          <w:lang w:val="en-US"/>
        </w:rPr>
        <w:t xml:space="preserve">Though modes of welfare provision based on Keynesian principles arguably </w:t>
      </w:r>
      <w:r w:rsidR="001E5B80" w:rsidRPr="005B126D">
        <w:rPr>
          <w:rFonts w:eastAsia="MS Mincho" w:cs="Arial"/>
          <w:lang w:val="en-US"/>
        </w:rPr>
        <w:t>offered a degree of</w:t>
      </w:r>
      <w:r w:rsidR="001E5B80">
        <w:rPr>
          <w:rFonts w:eastAsia="MS Mincho" w:cs="Arial"/>
          <w:lang w:val="en-US"/>
        </w:rPr>
        <w:t xml:space="preserve"> social protection and support when </w:t>
      </w:r>
      <w:r w:rsidR="001E5B80" w:rsidRPr="005B126D">
        <w:rPr>
          <w:rFonts w:eastAsia="MS Mincho" w:cs="Arial"/>
          <w:lang w:val="en-US"/>
        </w:rPr>
        <w:t>validated by health professionals through</w:t>
      </w:r>
      <w:r w:rsidR="001E5B80">
        <w:rPr>
          <w:rFonts w:eastAsia="MS Mincho" w:cs="Arial"/>
          <w:lang w:val="en-US"/>
        </w:rPr>
        <w:t xml:space="preserve"> </w:t>
      </w:r>
      <w:proofErr w:type="spellStart"/>
      <w:r w:rsidR="001E5B80">
        <w:rPr>
          <w:rFonts w:eastAsia="MS Mincho" w:cs="Arial"/>
          <w:lang w:val="en-US"/>
        </w:rPr>
        <w:t>formalised</w:t>
      </w:r>
      <w:proofErr w:type="spellEnd"/>
      <w:r w:rsidR="001E5B80">
        <w:rPr>
          <w:rFonts w:eastAsia="MS Mincho" w:cs="Arial"/>
          <w:lang w:val="en-US"/>
        </w:rPr>
        <w:t xml:space="preserve"> welfare procedures, t</w:t>
      </w:r>
      <w:r w:rsidR="001E5B80" w:rsidRPr="005B126D">
        <w:rPr>
          <w:rFonts w:eastAsia="MS Mincho" w:cs="Arial"/>
          <w:lang w:val="en-US"/>
        </w:rPr>
        <w:t>hese</w:t>
      </w:r>
      <w:r w:rsidR="001E5B80">
        <w:rPr>
          <w:rFonts w:eastAsia="MS Mincho" w:cs="Arial"/>
          <w:lang w:val="en-US"/>
        </w:rPr>
        <w:t xml:space="preserve"> earlier</w:t>
      </w:r>
      <w:r w:rsidR="001E5B80" w:rsidRPr="005B126D">
        <w:rPr>
          <w:rFonts w:eastAsia="MS Mincho" w:cs="Arial"/>
          <w:lang w:val="en-US"/>
        </w:rPr>
        <w:t xml:space="preserve"> </w:t>
      </w:r>
      <w:r w:rsidR="001E5B80">
        <w:rPr>
          <w:rFonts w:eastAsia="MS Mincho" w:cs="Arial"/>
          <w:lang w:val="en-US"/>
        </w:rPr>
        <w:t xml:space="preserve">welfare structures should </w:t>
      </w:r>
      <w:r w:rsidR="001E5B80" w:rsidRPr="005B126D">
        <w:rPr>
          <w:rFonts w:eastAsia="MS Mincho" w:cs="Arial"/>
          <w:lang w:val="en-US"/>
        </w:rPr>
        <w:t>be understood as Janus-faced in relation to tho</w:t>
      </w:r>
      <w:r w:rsidR="001E5B80">
        <w:rPr>
          <w:rFonts w:eastAsia="MS Mincho" w:cs="Arial"/>
          <w:lang w:val="en-US"/>
        </w:rPr>
        <w:t xml:space="preserve">se with mental health diagnoses. This is </w:t>
      </w:r>
      <w:r w:rsidR="001E5B80" w:rsidRPr="005B126D">
        <w:rPr>
          <w:rFonts w:eastAsia="MS Mincho" w:cs="Arial"/>
          <w:lang w:val="en-US"/>
        </w:rPr>
        <w:t xml:space="preserve">because, while </w:t>
      </w:r>
      <w:proofErr w:type="spellStart"/>
      <w:r w:rsidR="001E5B80" w:rsidRPr="005B126D">
        <w:rPr>
          <w:rFonts w:eastAsia="MS Mincho" w:cs="Arial"/>
          <w:lang w:val="en-US"/>
        </w:rPr>
        <w:t>operationalising</w:t>
      </w:r>
      <w:proofErr w:type="spellEnd"/>
      <w:r w:rsidR="001E5B80" w:rsidRPr="005B126D">
        <w:rPr>
          <w:rFonts w:eastAsia="MS Mincho" w:cs="Arial"/>
          <w:lang w:val="en-US"/>
        </w:rPr>
        <w:t xml:space="preserve"> limited sick role entitlements, they also reinforced the stigma and oppression faced by this group through coercive interventions (Beresford, 2016). </w:t>
      </w:r>
      <w:r w:rsidR="00DC4312">
        <w:rPr>
          <w:rFonts w:eastAsia="MS Mincho" w:cs="Arial"/>
          <w:lang w:val="en-US"/>
        </w:rPr>
        <w:t>Consequently</w:t>
      </w:r>
      <w:r w:rsidR="00B70217">
        <w:t>, in</w:t>
      </w:r>
      <w:r w:rsidRPr="00186A2D">
        <w:t xml:space="preserve"> line with the social oppression paradigm, we consider both Keynesian and neoliberal welfare mental health policy agendas to have enacted forms of </w:t>
      </w:r>
      <w:proofErr w:type="spellStart"/>
      <w:r w:rsidRPr="00186A2D">
        <w:t>disablism</w:t>
      </w:r>
      <w:proofErr w:type="spellEnd"/>
      <w:r w:rsidRPr="00186A2D">
        <w:t xml:space="preserve"> through paternal and neo-paternalist tendencies (Thomas, 2012; </w:t>
      </w:r>
      <w:proofErr w:type="spellStart"/>
      <w:r w:rsidRPr="00186A2D">
        <w:t>RiTB</w:t>
      </w:r>
      <w:proofErr w:type="spellEnd"/>
      <w:r w:rsidRPr="00186A2D">
        <w:t xml:space="preserve">, 2019). Nonetheless the claims to welfare entitlements which formed an important dimension of our participants’ epistemic struggles for their lived experiences to be validated, and the countervailing tendency to impose structural invalidation by the state firmly positions ‘sick role’ status as a site of social and political contestation. For this reason, we contend, it is necessary to understand these social processes of invalidation and stigmatisation through the lens of social oppression and utilise an analytic framework of political economy to understand the operation of power in this particular arena of policy and practice. </w:t>
      </w:r>
    </w:p>
    <w:p w14:paraId="7AB3496D" w14:textId="7F95CCCC" w:rsidR="00186A2D" w:rsidRPr="00186A2D" w:rsidRDefault="00186A2D" w:rsidP="00186A2D">
      <w:pPr>
        <w:spacing w:line="360" w:lineRule="auto"/>
      </w:pPr>
      <w:r w:rsidRPr="00186A2D">
        <w:t xml:space="preserve">Consonant with this, we therefore argue that the humiliation and social degradation described by our participants should be ‘conceptualised vis-à-vis the motives of institutions and states within broader political economy of neoliberal capitalist accumulation’ (Tyler and Slater, 2018: 732). </w:t>
      </w:r>
      <w:proofErr w:type="spellStart"/>
      <w:r w:rsidRPr="00186A2D">
        <w:t>Scambler’s</w:t>
      </w:r>
      <w:proofErr w:type="spellEnd"/>
      <w:r w:rsidRPr="00186A2D">
        <w:t xml:space="preserve"> shame to blame thesis assists in connecting the logics of these new forms and practices of moralisation to a concerted project to remake the politics of welfare.  The re-crafting of the rights and obligations associated with the sick role is arguably an attempt to reorient the extant moral order through a reconfiguration of state power in the interests of capital (Thomas, 2009). </w:t>
      </w:r>
      <w:proofErr w:type="spellStart"/>
      <w:r w:rsidRPr="00186A2D">
        <w:t>Weaponising</w:t>
      </w:r>
      <w:proofErr w:type="spellEnd"/>
      <w:r w:rsidRPr="00186A2D">
        <w:t xml:space="preserve"> blame by re-imagining </w:t>
      </w:r>
      <w:proofErr w:type="spellStart"/>
      <w:r w:rsidRPr="00186A2D">
        <w:t>worklessness</w:t>
      </w:r>
      <w:proofErr w:type="spellEnd"/>
      <w:r w:rsidRPr="00186A2D">
        <w:t xml:space="preserve"> and mental distress in terms of individual failure or poor personal decision-making recasts those experiencing such conditions as undeserving, and provides a cultural rationale for the dismantling of systems of support and their replacement with individualised models of self-help. Moreover</w:t>
      </w:r>
      <w:r w:rsidR="001E5B80">
        <w:t>,</w:t>
      </w:r>
      <w:r w:rsidRPr="00186A2D">
        <w:t xml:space="preserve"> such reforms increase the </w:t>
      </w:r>
      <w:proofErr w:type="spellStart"/>
      <w:r w:rsidRPr="00186A2D">
        <w:t>precarity</w:t>
      </w:r>
      <w:proofErr w:type="spellEnd"/>
      <w:r w:rsidRPr="00186A2D">
        <w:t xml:space="preserve"> of labour whilst simultaneously reducing the fiscal responsibilities of large corporations. In other words, the forms of oppression described in the study are not unintended consequences of neoliberal policy reform but </w:t>
      </w:r>
      <w:r w:rsidRPr="00186A2D">
        <w:lastRenderedPageBreak/>
        <w:t xml:space="preserve">in fact reflect </w:t>
      </w:r>
      <w:r w:rsidR="00B70217">
        <w:t xml:space="preserve">the vision of a new system of social protection being pushed by various </w:t>
      </w:r>
      <w:r w:rsidR="008669A5">
        <w:t>vested powerful interests</w:t>
      </w:r>
      <w:r w:rsidRPr="00186A2D">
        <w:t xml:space="preserve">.  </w:t>
      </w:r>
      <w:r w:rsidR="00C13767">
        <w:t>More recently</w:t>
      </w:r>
      <w:r w:rsidR="00AB5B90">
        <w:t>,</w:t>
      </w:r>
      <w:r w:rsidR="00C13767">
        <w:t xml:space="preserve"> </w:t>
      </w:r>
      <w:proofErr w:type="spellStart"/>
      <w:r w:rsidR="00C13767">
        <w:t>Scambler</w:t>
      </w:r>
      <w:proofErr w:type="spellEnd"/>
      <w:r w:rsidR="00C13767">
        <w:t xml:space="preserve"> (2018) has argued that financialised capital</w:t>
      </w:r>
      <w:r w:rsidR="00D460E1">
        <w:t xml:space="preserve"> has</w:t>
      </w:r>
      <w:r w:rsidR="00C13767">
        <w:t xml:space="preserve"> gained significant control over key dimensions of state power and has flexed </w:t>
      </w:r>
      <w:r w:rsidR="00AB5B90">
        <w:t xml:space="preserve">its </w:t>
      </w:r>
      <w:r w:rsidR="008F4E8B">
        <w:t>muscle in pursuit of welfare policies which align to the accumulation of capital</w:t>
      </w:r>
      <w:r w:rsidR="00D460E1">
        <w:t xml:space="preserve">.  The policy changes discussed here both align to forms of welfare retrenchment (by </w:t>
      </w:r>
      <w:r w:rsidR="00AB5B90">
        <w:t xml:space="preserve">restructuring </w:t>
      </w:r>
      <w:r w:rsidR="00D460E1">
        <w:t>forms of welfare support</w:t>
      </w:r>
      <w:r w:rsidR="00AB5B90">
        <w:t xml:space="preserve"> around short-term intervention</w:t>
      </w:r>
      <w:r w:rsidR="00D460E1">
        <w:t xml:space="preserve">), structure labour market participation through ‘activation’ and seek to discipline the working class in its entirety through removing alternative forms of support outside the labour market. </w:t>
      </w:r>
      <w:r w:rsidR="008F4E8B">
        <w:t xml:space="preserve"> </w:t>
      </w:r>
    </w:p>
    <w:p w14:paraId="4B14C479" w14:textId="77777777" w:rsidR="00186A2D" w:rsidRPr="00186A2D" w:rsidRDefault="00186A2D" w:rsidP="00186A2D">
      <w:pPr>
        <w:spacing w:before="240" w:after="0" w:line="360" w:lineRule="auto"/>
        <w:contextualSpacing/>
        <w:rPr>
          <w:b/>
          <w:i/>
        </w:rPr>
      </w:pPr>
      <w:r w:rsidRPr="00186A2D">
        <w:rPr>
          <w:b/>
          <w:i/>
        </w:rPr>
        <w:t>Conclusion</w:t>
      </w:r>
    </w:p>
    <w:p w14:paraId="33C620DF" w14:textId="77EAF466" w:rsidR="00AF7C77" w:rsidRPr="00186A2D" w:rsidRDefault="00186A2D" w:rsidP="00186A2D">
      <w:pPr>
        <w:spacing w:after="120" w:line="360" w:lineRule="auto"/>
        <w:contextualSpacing/>
      </w:pPr>
      <w:r w:rsidRPr="00186A2D">
        <w:t xml:space="preserve">The logics of shame and blame and the narratives and practices through which they are enacted transcend the cultural framings of social problems by politicians and the media and play out in mundane and everyday settings. In these contexts, prominent practices and discourses regarding the purported causes of and appropriate responses to phenomena such as mental distress have shifted as a result of wider </w:t>
      </w:r>
      <w:r w:rsidR="00DC4312">
        <w:t xml:space="preserve">neoliberal </w:t>
      </w:r>
      <w:r w:rsidRPr="00186A2D">
        <w:t xml:space="preserve">projects of welfare </w:t>
      </w:r>
      <w:r w:rsidR="001E5B80">
        <w:t xml:space="preserve">state </w:t>
      </w:r>
      <w:r w:rsidRPr="00186A2D">
        <w:t xml:space="preserve">transformation seeking to reduce and redesign the nature of </w:t>
      </w:r>
      <w:r w:rsidR="001E5B80">
        <w:t>mechanisms of intervention and</w:t>
      </w:r>
      <w:r w:rsidR="001E5B80" w:rsidRPr="00186A2D">
        <w:t xml:space="preserve"> </w:t>
      </w:r>
      <w:r w:rsidRPr="00186A2D">
        <w:t>support. This has involved the displacement of sick role</w:t>
      </w:r>
      <w:r w:rsidR="001E5B80">
        <w:t xml:space="preserve"> orient</w:t>
      </w:r>
      <w:r w:rsidRPr="00186A2D">
        <w:t xml:space="preserve">ed forms of entitlement associated with the Keynesian welfare system, and the </w:t>
      </w:r>
      <w:proofErr w:type="spellStart"/>
      <w:r w:rsidRPr="00186A2D">
        <w:t>remoralisation</w:t>
      </w:r>
      <w:proofErr w:type="spellEnd"/>
      <w:r w:rsidRPr="00186A2D">
        <w:t xml:space="preserve"> of forms of financial and service support </w:t>
      </w:r>
      <w:r w:rsidR="001E5B80">
        <w:t xml:space="preserve">which are </w:t>
      </w:r>
      <w:r w:rsidRPr="00186A2D">
        <w:t xml:space="preserve">codified into </w:t>
      </w:r>
      <w:r w:rsidR="001E5B80">
        <w:t xml:space="preserve">the range of </w:t>
      </w:r>
      <w:r w:rsidRPr="00186A2D">
        <w:t>policy</w:t>
      </w:r>
      <w:r w:rsidR="001E5B80">
        <w:t xml:space="preserve"> measures described in the paper</w:t>
      </w:r>
      <w:r w:rsidRPr="00186A2D">
        <w:t>. As a result of these policy shifts, new and significant instances of degradation and harm have been generated and embedded within the mental health and welfare system as well as beyond. The intensification of forms of resistance and recalcitrance to challenge these agendas is consequently an urgent necessity.</w:t>
      </w:r>
    </w:p>
    <w:p w14:paraId="0693FCD1" w14:textId="77777777" w:rsidR="008A6404" w:rsidRDefault="008A6404" w:rsidP="00186A2D"/>
    <w:p w14:paraId="7656A22F" w14:textId="108BEFA1" w:rsidR="008A6404" w:rsidRPr="00186A2D" w:rsidRDefault="008A6404" w:rsidP="003D7553">
      <w:pPr>
        <w:spacing w:after="0" w:line="360" w:lineRule="auto"/>
        <w:contextualSpacing/>
      </w:pPr>
      <w:r w:rsidRPr="00186A2D">
        <w:t>Beresford, P. (2016) All Our Welfare: Towards Participatory Social Policy. Bristol</w:t>
      </w:r>
      <w:r>
        <w:t>, UK</w:t>
      </w:r>
      <w:r w:rsidRPr="00186A2D">
        <w:t xml:space="preserve">:  Policy Press. </w:t>
      </w:r>
    </w:p>
    <w:p w14:paraId="50B282A3" w14:textId="77777777" w:rsidR="003D7553" w:rsidRDefault="003D7553" w:rsidP="003D7553">
      <w:pPr>
        <w:spacing w:after="0" w:line="360" w:lineRule="auto"/>
        <w:contextualSpacing/>
      </w:pPr>
    </w:p>
    <w:p w14:paraId="7498D11E" w14:textId="6B2E4E62" w:rsidR="008A6404" w:rsidRDefault="008A6404" w:rsidP="003D7553">
      <w:pPr>
        <w:spacing w:after="0" w:line="360" w:lineRule="auto"/>
        <w:contextualSpacing/>
      </w:pPr>
      <w:r w:rsidRPr="00186A2D">
        <w:t xml:space="preserve">Binnie, J. </w:t>
      </w:r>
      <w:r>
        <w:t>(2015)</w:t>
      </w:r>
      <w:r w:rsidRPr="00186A2D">
        <w:t xml:space="preserve"> "Do you want therapy with that?” A critical account of working within IAP</w:t>
      </w:r>
      <w:r>
        <w:t>T. Mental Health Review Journal</w:t>
      </w:r>
      <w:r w:rsidRPr="00186A2D">
        <w:t xml:space="preserve"> 20</w:t>
      </w:r>
      <w:r>
        <w:t>(2):</w:t>
      </w:r>
      <w:r w:rsidRPr="00186A2D">
        <w:t xml:space="preserve"> 79-83.</w:t>
      </w:r>
    </w:p>
    <w:p w14:paraId="6B4A8459" w14:textId="77777777" w:rsidR="003D7553" w:rsidRDefault="003D7553" w:rsidP="003D7553">
      <w:pPr>
        <w:spacing w:after="0" w:line="360" w:lineRule="auto"/>
        <w:contextualSpacing/>
        <w:rPr>
          <w:rFonts w:eastAsia="Times New Roman"/>
          <w:iCs/>
          <w:color w:val="000000"/>
          <w:shd w:val="clear" w:color="auto" w:fill="FFFFFF"/>
          <w:lang w:val="en-GB"/>
        </w:rPr>
      </w:pPr>
    </w:p>
    <w:p w14:paraId="259B6941" w14:textId="3FA0E7DB" w:rsidR="008A6404" w:rsidRPr="00186A2D" w:rsidRDefault="008A6404" w:rsidP="003D7553">
      <w:pPr>
        <w:spacing w:after="0" w:line="360" w:lineRule="auto"/>
        <w:contextualSpacing/>
      </w:pPr>
      <w:proofErr w:type="spellStart"/>
      <w:r>
        <w:rPr>
          <w:rFonts w:eastAsia="Times New Roman"/>
          <w:iCs/>
          <w:color w:val="000000"/>
          <w:shd w:val="clear" w:color="auto" w:fill="FFFFFF"/>
          <w:lang w:val="en-GB"/>
        </w:rPr>
        <w:t>Blaikie</w:t>
      </w:r>
      <w:proofErr w:type="spellEnd"/>
      <w:r>
        <w:rPr>
          <w:rFonts w:eastAsia="Times New Roman"/>
          <w:iCs/>
          <w:color w:val="000000"/>
          <w:shd w:val="clear" w:color="auto" w:fill="FFFFFF"/>
          <w:lang w:val="en-GB"/>
        </w:rPr>
        <w:t>, N. (2010) Designing Social R</w:t>
      </w:r>
      <w:r>
        <w:rPr>
          <w:rFonts w:eastAsia="Times New Roman" w:hint="eastAsia"/>
          <w:iCs/>
          <w:color w:val="000000"/>
          <w:shd w:val="clear" w:color="auto" w:fill="FFFFFF"/>
          <w:lang w:val="en-GB"/>
        </w:rPr>
        <w:t>esearch</w:t>
      </w:r>
      <w:r>
        <w:rPr>
          <w:rFonts w:eastAsia="Times New Roman"/>
          <w:iCs/>
          <w:color w:val="000000"/>
          <w:shd w:val="clear" w:color="auto" w:fill="FFFFFF"/>
          <w:lang w:val="en-GB"/>
        </w:rPr>
        <w:t>. 2</w:t>
      </w:r>
      <w:r w:rsidRPr="00BC4F5B">
        <w:rPr>
          <w:rFonts w:eastAsia="Times New Roman"/>
          <w:iCs/>
          <w:color w:val="000000"/>
          <w:shd w:val="clear" w:color="auto" w:fill="FFFFFF"/>
          <w:vertAlign w:val="superscript"/>
          <w:lang w:val="en-GB"/>
        </w:rPr>
        <w:t>nd</w:t>
      </w:r>
      <w:r>
        <w:rPr>
          <w:rFonts w:eastAsia="Times New Roman"/>
          <w:iCs/>
          <w:color w:val="000000"/>
          <w:shd w:val="clear" w:color="auto" w:fill="FFFFFF"/>
          <w:lang w:val="en-GB"/>
        </w:rPr>
        <w:t xml:space="preserve"> Edition. Cambridge, UK: Polity Press.</w:t>
      </w:r>
    </w:p>
    <w:p w14:paraId="24C44212" w14:textId="77777777" w:rsidR="003D7553" w:rsidRDefault="003D7553" w:rsidP="003D7553">
      <w:pPr>
        <w:spacing w:after="0" w:line="360" w:lineRule="auto"/>
        <w:contextualSpacing/>
      </w:pPr>
    </w:p>
    <w:p w14:paraId="5621B81B" w14:textId="3D7C3D9F" w:rsidR="008A6404" w:rsidRDefault="008A6404" w:rsidP="003D7553">
      <w:pPr>
        <w:spacing w:after="0" w:line="360" w:lineRule="auto"/>
        <w:contextualSpacing/>
      </w:pPr>
      <w:proofErr w:type="spellStart"/>
      <w:r>
        <w:t>Bonnington</w:t>
      </w:r>
      <w:proofErr w:type="spellEnd"/>
      <w:r>
        <w:t xml:space="preserve">, O. and </w:t>
      </w:r>
      <w:r w:rsidRPr="00186A2D">
        <w:t xml:space="preserve">Rose, D. </w:t>
      </w:r>
      <w:r>
        <w:t>(</w:t>
      </w:r>
      <w:r w:rsidRPr="00186A2D">
        <w:t>2014</w:t>
      </w:r>
      <w:r>
        <w:t>)</w:t>
      </w:r>
      <w:r w:rsidRPr="00186A2D">
        <w:t xml:space="preserve"> Exploring stigmatisation among people diagnosed with either bipolar disorder or borderline personality disorder: a critical realist analysis. </w:t>
      </w:r>
      <w:r>
        <w:t xml:space="preserve">Social Science and Medicine </w:t>
      </w:r>
      <w:r w:rsidRPr="00186A2D">
        <w:t>123</w:t>
      </w:r>
      <w:r>
        <w:t>:</w:t>
      </w:r>
      <w:r w:rsidRPr="00186A2D">
        <w:t xml:space="preserve"> 7-17.</w:t>
      </w:r>
    </w:p>
    <w:p w14:paraId="18276A0F" w14:textId="77777777" w:rsidR="003D7553" w:rsidRDefault="003D7553" w:rsidP="003D7553">
      <w:pPr>
        <w:spacing w:after="0" w:line="360" w:lineRule="auto"/>
        <w:contextualSpacing/>
      </w:pPr>
    </w:p>
    <w:p w14:paraId="66A0C750" w14:textId="522D2F43" w:rsidR="008A6404" w:rsidRDefault="008A6404" w:rsidP="003D7553">
      <w:pPr>
        <w:spacing w:after="0" w:line="360" w:lineRule="auto"/>
        <w:contextualSpacing/>
      </w:pPr>
      <w:proofErr w:type="spellStart"/>
      <w:r w:rsidRPr="00D140A0">
        <w:lastRenderedPageBreak/>
        <w:t>Boyatzis</w:t>
      </w:r>
      <w:proofErr w:type="spellEnd"/>
      <w:r w:rsidR="007B1DBB">
        <w:t>,</w:t>
      </w:r>
      <w:r w:rsidRPr="00D140A0">
        <w:t xml:space="preserve"> R. E.</w:t>
      </w:r>
      <w:r>
        <w:t xml:space="preserve"> (1998)</w:t>
      </w:r>
      <w:r w:rsidRPr="00D140A0">
        <w:t xml:space="preserve"> Transforming qualitative information: Thematic analysis and code development. Thousand Oaks, CA: Sage.</w:t>
      </w:r>
    </w:p>
    <w:p w14:paraId="3B1C79CC" w14:textId="77777777" w:rsidR="003D7553" w:rsidRDefault="003D7553" w:rsidP="003D7553">
      <w:pPr>
        <w:spacing w:after="0" w:line="360" w:lineRule="auto"/>
        <w:contextualSpacing/>
      </w:pPr>
    </w:p>
    <w:p w14:paraId="410B2A4B" w14:textId="2A7AF2CC" w:rsidR="008A6404" w:rsidRDefault="008A6404" w:rsidP="003D7553">
      <w:pPr>
        <w:spacing w:after="0" w:line="360" w:lineRule="auto"/>
        <w:contextualSpacing/>
      </w:pPr>
      <w:proofErr w:type="gramStart"/>
      <w:r w:rsidRPr="008A7ABF">
        <w:t xml:space="preserve">Brown, P. and </w:t>
      </w:r>
      <w:proofErr w:type="spellStart"/>
      <w:r w:rsidRPr="008A7ABF">
        <w:t>Calnan</w:t>
      </w:r>
      <w:proofErr w:type="spellEnd"/>
      <w:r w:rsidRPr="008A7ABF">
        <w:t>, M. (2012) Trusting on the Edge: Managing Uncertainty and Vulnerability in the Midst of Serious Mental Health Problems.</w:t>
      </w:r>
      <w:proofErr w:type="gramEnd"/>
      <w:r w:rsidRPr="008A7ABF">
        <w:t xml:space="preserve"> Bristol</w:t>
      </w:r>
      <w:r w:rsidR="007B1DBB">
        <w:t>, UK</w:t>
      </w:r>
      <w:r w:rsidRPr="008A7ABF">
        <w:t>: Policy Press</w:t>
      </w:r>
    </w:p>
    <w:p w14:paraId="1F3336DA" w14:textId="77777777" w:rsidR="003D7553" w:rsidRDefault="003D7553" w:rsidP="003D7553">
      <w:pPr>
        <w:spacing w:after="0" w:line="360" w:lineRule="auto"/>
        <w:contextualSpacing/>
      </w:pPr>
    </w:p>
    <w:p w14:paraId="2CC10A00" w14:textId="5EF82381" w:rsidR="008A6404" w:rsidRPr="00186A2D" w:rsidRDefault="008A6404" w:rsidP="003D7553">
      <w:pPr>
        <w:spacing w:after="0" w:line="360" w:lineRule="auto"/>
        <w:contextualSpacing/>
      </w:pPr>
      <w:r>
        <w:t>Cooper, V.</w:t>
      </w:r>
      <w:r w:rsidR="003D7553">
        <w:t xml:space="preserve"> and</w:t>
      </w:r>
      <w:r>
        <w:t xml:space="preserve"> Whyte, D. (2017)</w:t>
      </w:r>
      <w:r w:rsidRPr="00186A2D">
        <w:t xml:space="preserve"> Introduction: The Violence of Austerity, in: Cooper, V., Whyte, D. (Eds.), </w:t>
      </w:r>
      <w:proofErr w:type="gramStart"/>
      <w:r w:rsidRPr="00186A2D">
        <w:t>T</w:t>
      </w:r>
      <w:r w:rsidR="003D7553">
        <w:t>he</w:t>
      </w:r>
      <w:proofErr w:type="gramEnd"/>
      <w:r w:rsidR="003D7553">
        <w:t xml:space="preserve"> Violence of Austerity.</w:t>
      </w:r>
      <w:r w:rsidRPr="00186A2D">
        <w:t xml:space="preserve"> London</w:t>
      </w:r>
      <w:r w:rsidR="003D7553">
        <w:t>: Pluto,</w:t>
      </w:r>
      <w:r w:rsidRPr="00186A2D">
        <w:t xml:space="preserve"> pp. 1-34.</w:t>
      </w:r>
    </w:p>
    <w:p w14:paraId="4E79515D" w14:textId="77777777" w:rsidR="003D7553" w:rsidRDefault="003D7553" w:rsidP="003D7553">
      <w:pPr>
        <w:spacing w:after="0" w:line="360" w:lineRule="auto"/>
        <w:contextualSpacing/>
      </w:pPr>
    </w:p>
    <w:p w14:paraId="04A973D3" w14:textId="3B3A5BA5" w:rsidR="008A6404" w:rsidRPr="00186A2D" w:rsidRDefault="008A6404" w:rsidP="003D7553">
      <w:pPr>
        <w:spacing w:after="0" w:line="360" w:lineRule="auto"/>
        <w:contextualSpacing/>
      </w:pPr>
      <w:proofErr w:type="gramStart"/>
      <w:r>
        <w:t>Dean, M., (2002)</w:t>
      </w:r>
      <w:r w:rsidRPr="00186A2D">
        <w:t xml:space="preserve"> Liberal government and authoritarianism.</w:t>
      </w:r>
      <w:proofErr w:type="gramEnd"/>
      <w:r w:rsidRPr="00186A2D">
        <w:t xml:space="preserve"> </w:t>
      </w:r>
      <w:r w:rsidR="007B1DBB">
        <w:t>Economy and Society</w:t>
      </w:r>
      <w:r w:rsidRPr="00186A2D">
        <w:t xml:space="preserve"> 31</w:t>
      </w:r>
      <w:r>
        <w:t>(1):</w:t>
      </w:r>
      <w:r w:rsidRPr="00186A2D">
        <w:t xml:space="preserve"> 37-61.</w:t>
      </w:r>
    </w:p>
    <w:p w14:paraId="0ACC096A" w14:textId="77777777" w:rsidR="003D7553" w:rsidRDefault="003D7553" w:rsidP="003D7553">
      <w:pPr>
        <w:spacing w:after="0" w:line="360" w:lineRule="auto"/>
      </w:pPr>
    </w:p>
    <w:p w14:paraId="73CD269D" w14:textId="77777777" w:rsidR="008A6404" w:rsidRDefault="008A6404" w:rsidP="003D7553">
      <w:pPr>
        <w:spacing w:after="0" w:line="360" w:lineRule="auto"/>
      </w:pPr>
      <w:r>
        <w:t xml:space="preserve">DWP (Department for Work and Pensions). (2019a) </w:t>
      </w:r>
      <w:r>
        <w:t>Employment and Sup</w:t>
      </w:r>
      <w:r>
        <w:t xml:space="preserve">port Allowance: Work Capability </w:t>
      </w:r>
      <w:r>
        <w:t>Assessments, Mandatory Reconsiderations and Appeals</w:t>
      </w:r>
      <w:r>
        <w:t>. London, UK: DWP.</w:t>
      </w:r>
    </w:p>
    <w:p w14:paraId="5091CE2C" w14:textId="77777777" w:rsidR="003D7553" w:rsidRDefault="003D7553" w:rsidP="003D7553">
      <w:pPr>
        <w:spacing w:after="0" w:line="360" w:lineRule="auto"/>
      </w:pPr>
    </w:p>
    <w:p w14:paraId="204F4162" w14:textId="77777777" w:rsidR="008A6404" w:rsidRDefault="008A6404" w:rsidP="003D7553">
      <w:pPr>
        <w:spacing w:after="0" w:line="360" w:lineRule="auto"/>
      </w:pPr>
      <w:r>
        <w:t xml:space="preserve">DWP (Department for Work and Pensions). (2019b) </w:t>
      </w:r>
      <w:r w:rsidRPr="00413BFF">
        <w:t>Universal Credit: Health conditions and disability guide</w:t>
      </w:r>
      <w:r>
        <w:t xml:space="preserve">. 19 April, </w:t>
      </w:r>
      <w:hyperlink r:id="rId9" w:history="1">
        <w:r w:rsidRPr="00611141">
          <w:rPr>
            <w:rStyle w:val="Hyperlink"/>
          </w:rPr>
          <w:t>https://www.gov.uk/government/publications/universal-credit-if-you-have-a-disability-or-health-condition-quick-guide/universal-credit-if-you-have-a-disability-or-health-condition</w:t>
        </w:r>
      </w:hyperlink>
      <w:r>
        <w:t>, accessed 19 May 2020.</w:t>
      </w:r>
    </w:p>
    <w:p w14:paraId="049F3D56" w14:textId="77777777" w:rsidR="003D7553" w:rsidRDefault="003D7553" w:rsidP="003D7553">
      <w:pPr>
        <w:spacing w:after="0" w:line="360" w:lineRule="auto"/>
        <w:contextualSpacing/>
      </w:pPr>
    </w:p>
    <w:p w14:paraId="1B8C191B" w14:textId="3FA8E496" w:rsidR="008A6404" w:rsidRPr="00186A2D" w:rsidRDefault="008A6404" w:rsidP="003D7553">
      <w:pPr>
        <w:spacing w:after="0" w:line="360" w:lineRule="auto"/>
        <w:contextualSpacing/>
      </w:pPr>
      <w:r w:rsidRPr="00186A2D">
        <w:t xml:space="preserve">Dwyer, P. </w:t>
      </w:r>
      <w:r w:rsidR="007B1DBB">
        <w:t>(2016)</w:t>
      </w:r>
      <w:r w:rsidRPr="00186A2D">
        <w:t xml:space="preserve"> Citizenship, conduct and conditionality: sanction and support in the 21st-century UK welfare state., in: </w:t>
      </w:r>
      <w:proofErr w:type="spellStart"/>
      <w:r w:rsidRPr="00186A2D">
        <w:t>Fenger</w:t>
      </w:r>
      <w:proofErr w:type="spellEnd"/>
      <w:r w:rsidRPr="00186A2D">
        <w:t>, M., Hudson, J., Needham, C. (Eds.), Social Policy Review 28, Policy Press, Bristol, pp. 41-62.</w:t>
      </w:r>
    </w:p>
    <w:p w14:paraId="6C00CD6D" w14:textId="77777777" w:rsidR="003D7553" w:rsidRDefault="003D7553" w:rsidP="003D7553">
      <w:pPr>
        <w:spacing w:after="0" w:line="360" w:lineRule="auto"/>
        <w:contextualSpacing/>
      </w:pPr>
    </w:p>
    <w:p w14:paraId="56E0BE1F" w14:textId="06EA997C" w:rsidR="003D7553" w:rsidRDefault="007B1DBB" w:rsidP="003D7553">
      <w:pPr>
        <w:spacing w:after="0" w:line="360" w:lineRule="auto"/>
        <w:contextualSpacing/>
      </w:pPr>
      <w:r>
        <w:t>Fletcher, D.R. and</w:t>
      </w:r>
      <w:r w:rsidR="003D7553">
        <w:t xml:space="preserve"> Wright, S. </w:t>
      </w:r>
      <w:r>
        <w:t>(</w:t>
      </w:r>
      <w:r w:rsidR="008A6404" w:rsidRPr="00186A2D">
        <w:t>2017</w:t>
      </w:r>
      <w:r>
        <w:t>)</w:t>
      </w:r>
      <w:r w:rsidR="008A6404" w:rsidRPr="00186A2D">
        <w:t>. A hand up or a slap down? Criminalising benefit claimants in Britain via strategies of surveillance, sanctions and deterr</w:t>
      </w:r>
      <w:r>
        <w:t>ence. Critical Social Policy</w:t>
      </w:r>
      <w:r w:rsidR="008A6404" w:rsidRPr="00186A2D">
        <w:t xml:space="preserve"> 38</w:t>
      </w:r>
      <w:r>
        <w:t>(2):</w:t>
      </w:r>
      <w:r w:rsidR="008A6404" w:rsidRPr="00186A2D">
        <w:t xml:space="preserve"> 323-344.</w:t>
      </w:r>
    </w:p>
    <w:p w14:paraId="710EE4F0" w14:textId="77777777" w:rsidR="003D7553" w:rsidRDefault="003D7553" w:rsidP="003D7553">
      <w:pPr>
        <w:spacing w:after="0" w:line="360" w:lineRule="auto"/>
        <w:contextualSpacing/>
      </w:pPr>
    </w:p>
    <w:p w14:paraId="450A0245" w14:textId="4156DD36" w:rsidR="008A6404" w:rsidRPr="00186A2D" w:rsidRDefault="007B1DBB" w:rsidP="003D7553">
      <w:pPr>
        <w:spacing w:after="0" w:line="360" w:lineRule="auto"/>
        <w:contextualSpacing/>
      </w:pPr>
      <w:r>
        <w:t>Glasby, J. and</w:t>
      </w:r>
      <w:r w:rsidR="008A6404" w:rsidRPr="00186A2D">
        <w:t xml:space="preserve"> </w:t>
      </w:r>
      <w:proofErr w:type="spellStart"/>
      <w:r w:rsidR="008A6404" w:rsidRPr="00186A2D">
        <w:t>Tew</w:t>
      </w:r>
      <w:proofErr w:type="spellEnd"/>
      <w:r w:rsidR="008A6404" w:rsidRPr="00186A2D">
        <w:t xml:space="preserve">, J., </w:t>
      </w:r>
      <w:r>
        <w:t>(2015)</w:t>
      </w:r>
      <w:r w:rsidR="008A6404" w:rsidRPr="00186A2D">
        <w:t xml:space="preserve"> Mental Health Policy and Practice, 3rd Edition. </w:t>
      </w:r>
      <w:r>
        <w:t>London, UK: MacMillan</w:t>
      </w:r>
      <w:r w:rsidR="008A6404" w:rsidRPr="00186A2D">
        <w:t xml:space="preserve">. </w:t>
      </w:r>
    </w:p>
    <w:p w14:paraId="1921DF36" w14:textId="77777777" w:rsidR="003D7553" w:rsidRDefault="003D7553" w:rsidP="003D7553">
      <w:pPr>
        <w:spacing w:after="0" w:line="360" w:lineRule="auto"/>
        <w:contextualSpacing/>
      </w:pPr>
    </w:p>
    <w:p w14:paraId="2C05FDCA" w14:textId="40466EF0" w:rsidR="008A6404" w:rsidRPr="00186A2D" w:rsidRDefault="007B1DBB" w:rsidP="003D7553">
      <w:pPr>
        <w:spacing w:after="0" w:line="360" w:lineRule="auto"/>
        <w:contextualSpacing/>
      </w:pPr>
      <w:proofErr w:type="spellStart"/>
      <w:r>
        <w:t>Glenton</w:t>
      </w:r>
      <w:proofErr w:type="spellEnd"/>
      <w:r>
        <w:t>, C., (2003)</w:t>
      </w:r>
      <w:r w:rsidR="008A6404" w:rsidRPr="00186A2D">
        <w:t xml:space="preserve"> </w:t>
      </w:r>
      <w:proofErr w:type="gramStart"/>
      <w:r w:rsidR="008A6404" w:rsidRPr="00186A2D">
        <w:t>Chronic</w:t>
      </w:r>
      <w:proofErr w:type="gramEnd"/>
      <w:r w:rsidR="008A6404" w:rsidRPr="00186A2D">
        <w:t xml:space="preserve"> back pain sufferers: Striving for the sick role. </w:t>
      </w:r>
      <w:r>
        <w:t>Social Science and Medicine,</w:t>
      </w:r>
      <w:r w:rsidR="008A6404" w:rsidRPr="00186A2D">
        <w:t xml:space="preserve"> 57</w:t>
      </w:r>
      <w:r>
        <w:t>(11):</w:t>
      </w:r>
      <w:r w:rsidR="008A6404" w:rsidRPr="00186A2D">
        <w:t xml:space="preserve"> 2243-52. </w:t>
      </w:r>
    </w:p>
    <w:p w14:paraId="437CC999" w14:textId="77777777" w:rsidR="003D7553" w:rsidRDefault="003D7553" w:rsidP="003D7553">
      <w:pPr>
        <w:spacing w:after="0" w:line="360" w:lineRule="auto"/>
        <w:contextualSpacing/>
      </w:pPr>
    </w:p>
    <w:p w14:paraId="7CE5F75C" w14:textId="4535B515" w:rsidR="008A6404" w:rsidRDefault="008A6404" w:rsidP="003D7553">
      <w:pPr>
        <w:spacing w:after="0" w:line="360" w:lineRule="auto"/>
        <w:contextualSpacing/>
      </w:pPr>
      <w:r w:rsidRPr="00D03840">
        <w:t xml:space="preserve">Grover, C. </w:t>
      </w:r>
      <w:r w:rsidR="007B1DBB">
        <w:t>(</w:t>
      </w:r>
      <w:r w:rsidRPr="00D03840">
        <w:t>2015</w:t>
      </w:r>
      <w:r w:rsidR="007B1DBB">
        <w:t>)</w:t>
      </w:r>
      <w:r w:rsidRPr="00D03840">
        <w:t xml:space="preserve"> Commodification, disabled people, and wage work in Britain. </w:t>
      </w:r>
      <w:proofErr w:type="gramStart"/>
      <w:r w:rsidRPr="00D03840">
        <w:t>Canadian Jou</w:t>
      </w:r>
      <w:r w:rsidR="007B1DBB">
        <w:t>rnal of Disability Studies, 4(2)</w:t>
      </w:r>
      <w:r w:rsidRPr="00D03840">
        <w:t>.</w:t>
      </w:r>
      <w:proofErr w:type="gramEnd"/>
    </w:p>
    <w:p w14:paraId="254EC827" w14:textId="77777777" w:rsidR="003D7553" w:rsidRDefault="003D7553" w:rsidP="003D7553">
      <w:pPr>
        <w:spacing w:after="0" w:line="360" w:lineRule="auto"/>
        <w:contextualSpacing/>
      </w:pPr>
    </w:p>
    <w:p w14:paraId="1D4F817B" w14:textId="5A614447" w:rsidR="008A6404" w:rsidRPr="00186A2D" w:rsidRDefault="007B1DBB" w:rsidP="003D7553">
      <w:pPr>
        <w:spacing w:after="0" w:line="360" w:lineRule="auto"/>
        <w:contextualSpacing/>
      </w:pPr>
      <w:r>
        <w:lastRenderedPageBreak/>
        <w:t>Grover, C</w:t>
      </w:r>
      <w:r w:rsidR="003D7553">
        <w:t>.</w:t>
      </w:r>
      <w:r>
        <w:t xml:space="preserve"> and Piggott, L.</w:t>
      </w:r>
      <w:r w:rsidR="008A6404" w:rsidRPr="00186A2D">
        <w:t xml:space="preserve"> </w:t>
      </w:r>
      <w:r>
        <w:t>(2010)</w:t>
      </w:r>
      <w:r w:rsidR="008A6404" w:rsidRPr="00186A2D">
        <w:t xml:space="preserve"> From Incapacity Benefit to Employment and Support Allowance: sorting, sickness and impairment, and </w:t>
      </w:r>
      <w:r>
        <w:t>social security. Policy Studies</w:t>
      </w:r>
      <w:r w:rsidR="008A6404" w:rsidRPr="00186A2D">
        <w:t xml:space="preserve"> 31</w:t>
      </w:r>
      <w:r>
        <w:t xml:space="preserve"> (2):</w:t>
      </w:r>
      <w:r w:rsidR="008A6404" w:rsidRPr="00186A2D">
        <w:t xml:space="preserve"> 265-282.</w:t>
      </w:r>
    </w:p>
    <w:p w14:paraId="608535E7" w14:textId="77777777" w:rsidR="003D7553" w:rsidRDefault="003D7553" w:rsidP="003D7553">
      <w:pPr>
        <w:spacing w:after="0" w:line="360" w:lineRule="auto"/>
        <w:contextualSpacing/>
      </w:pPr>
    </w:p>
    <w:p w14:paraId="0E27054F" w14:textId="7633FB38" w:rsidR="008A6404" w:rsidRPr="00186A2D" w:rsidRDefault="007B1DBB" w:rsidP="003D7553">
      <w:pPr>
        <w:spacing w:after="0" w:line="360" w:lineRule="auto"/>
        <w:contextualSpacing/>
      </w:pPr>
      <w:r>
        <w:t xml:space="preserve">Hansen, H., </w:t>
      </w:r>
      <w:proofErr w:type="spellStart"/>
      <w:r>
        <w:t>Bourgois</w:t>
      </w:r>
      <w:proofErr w:type="spellEnd"/>
      <w:r>
        <w:t>, P. and</w:t>
      </w:r>
      <w:r w:rsidR="008A6404" w:rsidRPr="00186A2D">
        <w:t xml:space="preserve"> Drucker, E.</w:t>
      </w:r>
      <w:r>
        <w:t xml:space="preserve"> (</w:t>
      </w:r>
      <w:r w:rsidR="008A6404" w:rsidRPr="00186A2D">
        <w:t>2014</w:t>
      </w:r>
      <w:r>
        <w:t>)</w:t>
      </w:r>
      <w:r w:rsidR="008A6404" w:rsidRPr="00186A2D">
        <w:t xml:space="preserve"> </w:t>
      </w:r>
      <w:proofErr w:type="spellStart"/>
      <w:r w:rsidR="008A6404" w:rsidRPr="00186A2D">
        <w:t>Pathologizing</w:t>
      </w:r>
      <w:proofErr w:type="spellEnd"/>
      <w:r w:rsidR="008A6404" w:rsidRPr="00186A2D">
        <w:t xml:space="preserve"> poverty: New forms of diagnosis, disability, and structural stigma unde</w:t>
      </w:r>
      <w:r>
        <w:t>r welfare reform. Social Science and Medicine</w:t>
      </w:r>
      <w:r w:rsidR="008A6404" w:rsidRPr="00186A2D">
        <w:t xml:space="preserve"> 103</w:t>
      </w:r>
      <w:r>
        <w:t>:</w:t>
      </w:r>
      <w:r w:rsidR="008A6404" w:rsidRPr="00186A2D">
        <w:t xml:space="preserve"> 76-83.</w:t>
      </w:r>
    </w:p>
    <w:p w14:paraId="7171BE26" w14:textId="77777777" w:rsidR="003D7553" w:rsidRDefault="003D7553" w:rsidP="003D7553">
      <w:pPr>
        <w:spacing w:after="0" w:line="360" w:lineRule="auto"/>
        <w:contextualSpacing/>
      </w:pPr>
    </w:p>
    <w:p w14:paraId="0A034EF7" w14:textId="315E83E5" w:rsidR="008A6404" w:rsidRPr="00186A2D" w:rsidRDefault="007B1DBB" w:rsidP="003D7553">
      <w:pPr>
        <w:spacing w:after="0" w:line="360" w:lineRule="auto"/>
        <w:contextualSpacing/>
      </w:pPr>
      <w:r>
        <w:t>Harper, D. and Speed, E.</w:t>
      </w:r>
      <w:r w:rsidR="008A6404" w:rsidRPr="00186A2D">
        <w:t xml:space="preserve"> </w:t>
      </w:r>
      <w:r>
        <w:t>(2012)</w:t>
      </w:r>
      <w:r w:rsidR="008A6404" w:rsidRPr="00186A2D">
        <w:t xml:space="preserve"> Uncovering Recovery: The Resistible Rise of Recovery and Resilience. Studies in Social Justice. 6</w:t>
      </w:r>
      <w:r>
        <w:t>(1):</w:t>
      </w:r>
      <w:r w:rsidR="008A6404" w:rsidRPr="00186A2D">
        <w:t xml:space="preserve"> 9-25.</w:t>
      </w:r>
    </w:p>
    <w:p w14:paraId="3398B2D7" w14:textId="77777777" w:rsidR="003D7553" w:rsidRDefault="003D7553" w:rsidP="003D7553">
      <w:pPr>
        <w:spacing w:after="0" w:line="360" w:lineRule="auto"/>
        <w:contextualSpacing/>
      </w:pPr>
    </w:p>
    <w:p w14:paraId="3BF9141A" w14:textId="597F2CF4" w:rsidR="008A6404" w:rsidRPr="00186A2D" w:rsidRDefault="008A6404" w:rsidP="003D7553">
      <w:pPr>
        <w:spacing w:after="0" w:line="360" w:lineRule="auto"/>
        <w:contextualSpacing/>
      </w:pPr>
      <w:r w:rsidRPr="00186A2D">
        <w:t>Jolly, D., 2012. A Tale of two Models: Disabled People vs Unum, Atos, Gove</w:t>
      </w:r>
      <w:r w:rsidR="007B1DBB">
        <w:t>rnment and Disability Charities,</w:t>
      </w:r>
      <w:r w:rsidRPr="00186A2D">
        <w:t xml:space="preserve"> </w:t>
      </w:r>
      <w:hyperlink r:id="rId10" w:history="1">
        <w:r w:rsidR="007B1DBB" w:rsidRPr="00611141">
          <w:rPr>
            <w:rStyle w:val="Hyperlink"/>
          </w:rPr>
          <w:t>https://dpac.uk.net/2012/04/a-tale-of-two-models-disabled-people-vs-unum-atos-government-and-disability-charities-debbie-jolly/#sthash.Tz3oHIQt.uxfs</w:t>
        </w:r>
      </w:hyperlink>
      <w:r w:rsidR="007B1DBB">
        <w:t xml:space="preserve">, </w:t>
      </w:r>
      <w:r w:rsidRPr="00186A2D">
        <w:t>accessed 12 September 2018)</w:t>
      </w:r>
    </w:p>
    <w:p w14:paraId="5D84F007" w14:textId="77777777" w:rsidR="008A6404" w:rsidRDefault="008A6404" w:rsidP="003D7553">
      <w:pPr>
        <w:spacing w:before="240" w:after="0" w:line="360" w:lineRule="auto"/>
      </w:pPr>
      <w:r>
        <w:t xml:space="preserve">Kennedy, S., </w:t>
      </w:r>
      <w:proofErr w:type="spellStart"/>
      <w:r>
        <w:t>Mackley</w:t>
      </w:r>
      <w:proofErr w:type="spellEnd"/>
      <w:r>
        <w:t xml:space="preserve">, S., </w:t>
      </w:r>
      <w:proofErr w:type="spellStart"/>
      <w:r>
        <w:t>McInnes</w:t>
      </w:r>
      <w:proofErr w:type="spellEnd"/>
      <w:r>
        <w:t xml:space="preserve">, R., Jap, B., O’Donnell, M. and Bellis, A. (2019) Ten years of the Work </w:t>
      </w:r>
      <w:r>
        <w:t>Capability Assessment</w:t>
      </w:r>
      <w:r>
        <w:t xml:space="preserve">, Debate Pack.  London, UK: House of Commons Library. </w:t>
      </w:r>
    </w:p>
    <w:p w14:paraId="04119F53" w14:textId="77777777" w:rsidR="003D7553" w:rsidRDefault="003D7553" w:rsidP="003D7553">
      <w:pPr>
        <w:spacing w:before="240" w:after="0" w:line="360" w:lineRule="auto"/>
        <w:contextualSpacing/>
      </w:pPr>
    </w:p>
    <w:p w14:paraId="4FF91A6D" w14:textId="2EA57A46" w:rsidR="008A6404" w:rsidRPr="00186A2D" w:rsidRDefault="008A6404" w:rsidP="003D7553">
      <w:pPr>
        <w:spacing w:before="240" w:after="0" w:line="360" w:lineRule="auto"/>
        <w:contextualSpacing/>
      </w:pPr>
      <w:r w:rsidRPr="00186A2D">
        <w:t xml:space="preserve">Liebenberg, L., </w:t>
      </w:r>
      <w:proofErr w:type="spellStart"/>
      <w:r w:rsidRPr="00186A2D">
        <w:t>Ung</w:t>
      </w:r>
      <w:r w:rsidR="006D37B4">
        <w:t>ar</w:t>
      </w:r>
      <w:proofErr w:type="spellEnd"/>
      <w:r w:rsidR="006D37B4">
        <w:t>, M.</w:t>
      </w:r>
      <w:proofErr w:type="gramStart"/>
      <w:r w:rsidR="006D37B4">
        <w:t>,  and</w:t>
      </w:r>
      <w:proofErr w:type="gramEnd"/>
      <w:r w:rsidR="006D37B4">
        <w:t xml:space="preserve"> Ikeda, J.</w:t>
      </w:r>
      <w:r w:rsidRPr="00186A2D">
        <w:t xml:space="preserve"> </w:t>
      </w:r>
      <w:r w:rsidR="006D37B4">
        <w:t>(2015)</w:t>
      </w:r>
      <w:r w:rsidRPr="00186A2D">
        <w:t xml:space="preserve"> Neo-Liberalism and </w:t>
      </w:r>
      <w:proofErr w:type="spellStart"/>
      <w:r w:rsidRPr="00186A2D">
        <w:t>Responsibilisation</w:t>
      </w:r>
      <w:proofErr w:type="spellEnd"/>
      <w:r w:rsidRPr="00186A2D">
        <w:t xml:space="preserve"> in the Discourse of Social Ser</w:t>
      </w:r>
      <w:r w:rsidR="006D37B4">
        <w:t xml:space="preserve">vice Workers. British Journal of Social Work, </w:t>
      </w:r>
      <w:r w:rsidRPr="00186A2D">
        <w:t>45</w:t>
      </w:r>
      <w:r w:rsidR="006D37B4">
        <w:t>(3):</w:t>
      </w:r>
      <w:r w:rsidRPr="00186A2D">
        <w:t xml:space="preserve"> 1006–1021.</w:t>
      </w:r>
    </w:p>
    <w:p w14:paraId="3319F5FD" w14:textId="77777777" w:rsidR="003D7553" w:rsidRDefault="003D7553" w:rsidP="003D7553">
      <w:pPr>
        <w:spacing w:after="0" w:line="360" w:lineRule="auto"/>
        <w:contextualSpacing/>
      </w:pPr>
    </w:p>
    <w:p w14:paraId="2277B84B" w14:textId="31FF871E" w:rsidR="008A6404" w:rsidRDefault="006D37B4" w:rsidP="003D7553">
      <w:pPr>
        <w:spacing w:after="0" w:line="360" w:lineRule="auto"/>
        <w:contextualSpacing/>
      </w:pPr>
      <w:proofErr w:type="spellStart"/>
      <w:proofErr w:type="gramStart"/>
      <w:r>
        <w:t>Mattheys</w:t>
      </w:r>
      <w:proofErr w:type="spellEnd"/>
      <w:r>
        <w:t>, K., (2015)</w:t>
      </w:r>
      <w:r w:rsidR="008A6404" w:rsidRPr="00186A2D">
        <w:t xml:space="preserve"> The Coalition, austerity and mental hea</w:t>
      </w:r>
      <w:r>
        <w:t>lth.</w:t>
      </w:r>
      <w:proofErr w:type="gramEnd"/>
      <w:r>
        <w:t xml:space="preserve"> Disability and Society. 30(3):</w:t>
      </w:r>
      <w:r w:rsidR="008A6404" w:rsidRPr="00186A2D">
        <w:t xml:space="preserve"> 475-478.</w:t>
      </w:r>
    </w:p>
    <w:p w14:paraId="05FEC5A7" w14:textId="77777777" w:rsidR="003D7553" w:rsidRDefault="003D7553" w:rsidP="003D7553">
      <w:pPr>
        <w:spacing w:after="0" w:line="360" w:lineRule="auto"/>
        <w:contextualSpacing/>
        <w:rPr>
          <w:lang w:val="en-GB"/>
        </w:rPr>
      </w:pPr>
    </w:p>
    <w:p w14:paraId="65E5CFEA" w14:textId="1C263F30" w:rsidR="008A6404" w:rsidRDefault="006D37B4" w:rsidP="003D7553">
      <w:pPr>
        <w:spacing w:after="0" w:line="360" w:lineRule="auto"/>
        <w:contextualSpacing/>
        <w:rPr>
          <w:lang w:val="en-GB"/>
        </w:rPr>
      </w:pPr>
      <w:r>
        <w:rPr>
          <w:lang w:val="en-GB"/>
        </w:rPr>
        <w:t>McKenna, D., Peters, P.</w:t>
      </w:r>
      <w:r w:rsidR="008A6404">
        <w:rPr>
          <w:lang w:val="en-GB"/>
        </w:rPr>
        <w:t xml:space="preserve"> </w:t>
      </w:r>
      <w:r>
        <w:rPr>
          <w:lang w:val="en-GB"/>
        </w:rPr>
        <w:t xml:space="preserve">and </w:t>
      </w:r>
      <w:r w:rsidR="008A6404">
        <w:rPr>
          <w:lang w:val="en-GB"/>
        </w:rPr>
        <w:t xml:space="preserve">Moth, R. </w:t>
      </w:r>
      <w:r>
        <w:rPr>
          <w:lang w:val="en-GB"/>
        </w:rPr>
        <w:t>(2019)</w:t>
      </w:r>
      <w:r w:rsidR="008A6404" w:rsidRPr="00E61290">
        <w:rPr>
          <w:lang w:val="en-GB"/>
        </w:rPr>
        <w:t xml:space="preserve"> ‘</w:t>
      </w:r>
      <w:proofErr w:type="gramStart"/>
      <w:r w:rsidR="008A6404" w:rsidRPr="00E61290">
        <w:rPr>
          <w:lang w:val="en-GB"/>
        </w:rPr>
        <w:t>Resisting</w:t>
      </w:r>
      <w:proofErr w:type="gramEnd"/>
      <w:r w:rsidR="008A6404" w:rsidRPr="00E61290">
        <w:rPr>
          <w:lang w:val="en-GB"/>
        </w:rPr>
        <w:t xml:space="preserve"> the Work Cure: Mental health, welfare reform and the movement against </w:t>
      </w:r>
      <w:proofErr w:type="spellStart"/>
      <w:r w:rsidR="008A6404" w:rsidRPr="00E61290">
        <w:rPr>
          <w:lang w:val="en-GB"/>
        </w:rPr>
        <w:t>psychocompulsion</w:t>
      </w:r>
      <w:proofErr w:type="spellEnd"/>
      <w:r w:rsidR="008A6404" w:rsidRPr="00E61290">
        <w:rPr>
          <w:lang w:val="en-GB"/>
        </w:rPr>
        <w:t xml:space="preserve">’. In: M. </w:t>
      </w:r>
      <w:proofErr w:type="spellStart"/>
      <w:r w:rsidR="008A6404" w:rsidRPr="00E61290">
        <w:rPr>
          <w:lang w:val="en-GB"/>
        </w:rPr>
        <w:t>Berghs</w:t>
      </w:r>
      <w:proofErr w:type="spellEnd"/>
      <w:r w:rsidR="008A6404" w:rsidRPr="00E61290">
        <w:rPr>
          <w:lang w:val="en-GB"/>
        </w:rPr>
        <w:t xml:space="preserve"> et al (</w:t>
      </w:r>
      <w:proofErr w:type="spellStart"/>
      <w:r w:rsidR="008A6404" w:rsidRPr="00E61290">
        <w:rPr>
          <w:lang w:val="en-GB"/>
        </w:rPr>
        <w:t>Eds</w:t>
      </w:r>
      <w:proofErr w:type="spellEnd"/>
      <w:r w:rsidR="008A6404" w:rsidRPr="00E61290">
        <w:rPr>
          <w:lang w:val="en-GB"/>
        </w:rPr>
        <w:t>) The Routledge Handbook of Disability Activism. London: Routledge.</w:t>
      </w:r>
      <w:r w:rsidR="008A6404" w:rsidRPr="00C57E9B">
        <w:rPr>
          <w:lang w:val="en-GB"/>
        </w:rPr>
        <w:t xml:space="preserve"> </w:t>
      </w:r>
    </w:p>
    <w:p w14:paraId="19F149DF" w14:textId="77777777" w:rsidR="003D7553" w:rsidRDefault="003D7553" w:rsidP="003D7553">
      <w:pPr>
        <w:spacing w:after="0" w:line="360" w:lineRule="auto"/>
        <w:contextualSpacing/>
      </w:pPr>
    </w:p>
    <w:p w14:paraId="3C662677" w14:textId="01E1898F" w:rsidR="008A6404" w:rsidRPr="00186A2D" w:rsidRDefault="008A6404" w:rsidP="003D7553">
      <w:pPr>
        <w:spacing w:after="0" w:line="360" w:lineRule="auto"/>
        <w:contextualSpacing/>
      </w:pPr>
      <w:proofErr w:type="spellStart"/>
      <w:proofErr w:type="gramStart"/>
      <w:r>
        <w:t>McWade</w:t>
      </w:r>
      <w:proofErr w:type="spellEnd"/>
      <w:r>
        <w:t xml:space="preserve">, B. </w:t>
      </w:r>
      <w:r w:rsidR="006D37B4">
        <w:t>(</w:t>
      </w:r>
      <w:r>
        <w:t>2015</w:t>
      </w:r>
      <w:r w:rsidR="006D37B4">
        <w:t>)</w:t>
      </w:r>
      <w:r w:rsidRPr="00186A2D">
        <w:t xml:space="preserve"> Temporalities of mental heal</w:t>
      </w:r>
      <w:r w:rsidR="006D37B4">
        <w:t>th recovery.</w:t>
      </w:r>
      <w:proofErr w:type="gramEnd"/>
      <w:r w:rsidR="006D37B4">
        <w:t xml:space="preserve"> Subjectivity 8(3):</w:t>
      </w:r>
      <w:r w:rsidRPr="00186A2D">
        <w:t xml:space="preserve"> 243-260</w:t>
      </w:r>
      <w:r w:rsidR="006D37B4">
        <w:t>.</w:t>
      </w:r>
    </w:p>
    <w:p w14:paraId="58ABBE50" w14:textId="77777777" w:rsidR="003D7553" w:rsidRDefault="003D7553" w:rsidP="003D7553">
      <w:pPr>
        <w:spacing w:after="0" w:line="360" w:lineRule="auto"/>
        <w:contextualSpacing/>
        <w:rPr>
          <w:lang w:val="en-GB"/>
        </w:rPr>
      </w:pPr>
    </w:p>
    <w:p w14:paraId="35DE70A2" w14:textId="3A11DF90" w:rsidR="008A6404" w:rsidRPr="00BC4F5B" w:rsidRDefault="008A6404" w:rsidP="003D7553">
      <w:pPr>
        <w:spacing w:after="0" w:line="360" w:lineRule="auto"/>
        <w:contextualSpacing/>
        <w:rPr>
          <w:lang w:val="en-GB"/>
        </w:rPr>
      </w:pPr>
      <w:proofErr w:type="gramStart"/>
      <w:r>
        <w:rPr>
          <w:lang w:val="en-GB"/>
        </w:rPr>
        <w:t xml:space="preserve">Moth, R., </w:t>
      </w:r>
      <w:r w:rsidR="006D37B4">
        <w:rPr>
          <w:lang w:val="en-GB"/>
        </w:rPr>
        <w:t xml:space="preserve">and </w:t>
      </w:r>
      <w:r w:rsidRPr="00E61290">
        <w:rPr>
          <w:lang w:val="en-GB"/>
        </w:rPr>
        <w:t>McKeown, M</w:t>
      </w:r>
      <w:r>
        <w:rPr>
          <w:lang w:val="en-GB"/>
        </w:rPr>
        <w:t xml:space="preserve">. </w:t>
      </w:r>
      <w:r w:rsidR="006D37B4">
        <w:rPr>
          <w:lang w:val="en-GB"/>
        </w:rPr>
        <w:t>(2016)</w:t>
      </w:r>
      <w:r w:rsidRPr="00E61290">
        <w:rPr>
          <w:lang w:val="en-GB"/>
        </w:rPr>
        <w:t xml:space="preserve"> Realising Sedgwick’s Vision: Theorising strategies of resistance to neoliberal mental health and welfare policy.</w:t>
      </w:r>
      <w:proofErr w:type="gramEnd"/>
      <w:r w:rsidRPr="00E61290">
        <w:rPr>
          <w:lang w:val="en-GB"/>
        </w:rPr>
        <w:t xml:space="preserve"> Critical and</w:t>
      </w:r>
      <w:r w:rsidR="006D37B4">
        <w:rPr>
          <w:lang w:val="en-GB"/>
        </w:rPr>
        <w:t xml:space="preserve"> Radical Social Work 4 (3):</w:t>
      </w:r>
      <w:r w:rsidRPr="00E61290">
        <w:rPr>
          <w:lang w:val="en-GB"/>
        </w:rPr>
        <w:t xml:space="preserve"> 375-390</w:t>
      </w:r>
      <w:r w:rsidR="006D37B4">
        <w:rPr>
          <w:lang w:val="en-GB"/>
        </w:rPr>
        <w:t>.</w:t>
      </w:r>
    </w:p>
    <w:p w14:paraId="4FB0D5C8" w14:textId="77777777" w:rsidR="003D7553" w:rsidRDefault="003D7553" w:rsidP="003D7553">
      <w:pPr>
        <w:spacing w:after="0" w:line="360" w:lineRule="auto"/>
        <w:contextualSpacing/>
        <w:rPr>
          <w:rFonts w:eastAsia="MS Mincho" w:cs="Arial"/>
          <w:lang w:val="en-US"/>
        </w:rPr>
      </w:pPr>
    </w:p>
    <w:p w14:paraId="3193C2AE" w14:textId="26034D88" w:rsidR="008A6404" w:rsidRPr="00186A2D" w:rsidRDefault="006D37B4" w:rsidP="003D7553">
      <w:pPr>
        <w:spacing w:after="0" w:line="360" w:lineRule="auto"/>
        <w:contextualSpacing/>
      </w:pPr>
      <w:proofErr w:type="spellStart"/>
      <w:r>
        <w:rPr>
          <w:rFonts w:eastAsia="MS Mincho" w:cs="Arial"/>
          <w:lang w:val="en-US"/>
        </w:rPr>
        <w:t>Newbigging</w:t>
      </w:r>
      <w:proofErr w:type="spellEnd"/>
      <w:r>
        <w:rPr>
          <w:rFonts w:eastAsia="MS Mincho" w:cs="Arial"/>
          <w:lang w:val="en-US"/>
        </w:rPr>
        <w:t xml:space="preserve">, K. and </w:t>
      </w:r>
      <w:r w:rsidR="008A6404" w:rsidRPr="00186A2D">
        <w:rPr>
          <w:rFonts w:eastAsia="MS Mincho" w:cs="Arial"/>
          <w:lang w:val="en-US"/>
        </w:rPr>
        <w:t xml:space="preserve">Ridley, J. </w:t>
      </w:r>
      <w:r>
        <w:rPr>
          <w:rFonts w:eastAsia="MS Mincho" w:cs="Arial"/>
          <w:lang w:val="en-US"/>
        </w:rPr>
        <w:t>(2018)</w:t>
      </w:r>
      <w:r w:rsidR="008A6404" w:rsidRPr="00186A2D">
        <w:rPr>
          <w:rFonts w:eastAsia="MS Mincho" w:cs="Arial"/>
          <w:lang w:val="en-US"/>
        </w:rPr>
        <w:t xml:space="preserve"> </w:t>
      </w:r>
      <w:proofErr w:type="gramStart"/>
      <w:r w:rsidR="008A6404" w:rsidRPr="00186A2D">
        <w:rPr>
          <w:rFonts w:eastAsia="MS Mincho" w:cs="Arial"/>
          <w:lang w:val="en-US"/>
        </w:rPr>
        <w:t>Epistemic</w:t>
      </w:r>
      <w:proofErr w:type="gramEnd"/>
      <w:r w:rsidR="008A6404" w:rsidRPr="00186A2D">
        <w:rPr>
          <w:rFonts w:eastAsia="MS Mincho" w:cs="Arial"/>
          <w:lang w:val="en-US"/>
        </w:rPr>
        <w:t xml:space="preserve"> struggles: The role of advocacy in promoting epistemic justice and rights in mental health. </w:t>
      </w:r>
      <w:r>
        <w:rPr>
          <w:rFonts w:eastAsia="MS Mincho" w:cs="Arial"/>
          <w:lang w:val="en-US"/>
        </w:rPr>
        <w:t>Social Science and Medicine</w:t>
      </w:r>
      <w:r w:rsidR="008A6404" w:rsidRPr="00186A2D">
        <w:rPr>
          <w:rFonts w:eastAsia="MS Mincho" w:cs="Arial"/>
          <w:lang w:val="en-US"/>
        </w:rPr>
        <w:t>, 219: 36-44</w:t>
      </w:r>
      <w:r>
        <w:rPr>
          <w:rFonts w:eastAsia="MS Mincho" w:cs="Arial"/>
          <w:lang w:val="en-US"/>
        </w:rPr>
        <w:t>.</w:t>
      </w:r>
    </w:p>
    <w:p w14:paraId="4E0647E0" w14:textId="77777777" w:rsidR="003D7553" w:rsidRDefault="003D7553" w:rsidP="003D7553">
      <w:pPr>
        <w:spacing w:after="0" w:line="360" w:lineRule="auto"/>
        <w:contextualSpacing/>
      </w:pPr>
    </w:p>
    <w:p w14:paraId="0CA06029" w14:textId="77777777" w:rsidR="008A6404" w:rsidRPr="00186A2D" w:rsidRDefault="008A6404" w:rsidP="003D7553">
      <w:pPr>
        <w:spacing w:after="0" w:line="360" w:lineRule="auto"/>
        <w:contextualSpacing/>
      </w:pPr>
      <w:proofErr w:type="gramStart"/>
      <w:r w:rsidRPr="00186A2D">
        <w:lastRenderedPageBreak/>
        <w:t>Parsons, T., 1975.</w:t>
      </w:r>
      <w:proofErr w:type="gramEnd"/>
      <w:r w:rsidRPr="00186A2D">
        <w:t xml:space="preserve"> The Sick role and the Physician Reconsidered. The Milbank Fund Quarterly. Health and Society, 53, 257-278. </w:t>
      </w:r>
    </w:p>
    <w:p w14:paraId="62003DA1" w14:textId="77777777" w:rsidR="003D7553" w:rsidRDefault="003D7553" w:rsidP="003D7553">
      <w:pPr>
        <w:spacing w:after="0" w:line="360" w:lineRule="auto"/>
        <w:contextualSpacing/>
      </w:pPr>
    </w:p>
    <w:p w14:paraId="7F95BB4A" w14:textId="5F705720" w:rsidR="008A6404" w:rsidRPr="00186A2D" w:rsidRDefault="008A6404" w:rsidP="003D7553">
      <w:pPr>
        <w:spacing w:after="0" w:line="360" w:lineRule="auto"/>
        <w:contextualSpacing/>
      </w:pPr>
      <w:r w:rsidRPr="00186A2D">
        <w:t>Perkins, R.</w:t>
      </w:r>
      <w:r w:rsidR="00037BD7">
        <w:t>,</w:t>
      </w:r>
      <w:r w:rsidR="006D37B4">
        <w:t xml:space="preserve"> and</w:t>
      </w:r>
      <w:r w:rsidRPr="00186A2D">
        <w:t xml:space="preserve"> </w:t>
      </w:r>
      <w:proofErr w:type="spellStart"/>
      <w:r w:rsidRPr="00186A2D">
        <w:t>Repper</w:t>
      </w:r>
      <w:proofErr w:type="spellEnd"/>
      <w:r w:rsidRPr="00186A2D">
        <w:t xml:space="preserve">, J., </w:t>
      </w:r>
      <w:r w:rsidR="006D37B4">
        <w:t>(2017) "Editorial".</w:t>
      </w:r>
      <w:r w:rsidRPr="00186A2D">
        <w:t xml:space="preserve"> Ment</w:t>
      </w:r>
      <w:r w:rsidR="006D37B4">
        <w:t xml:space="preserve">al Health and Social Inclusion 21(2): </w:t>
      </w:r>
      <w:r w:rsidRPr="00186A2D">
        <w:t>65-72.</w:t>
      </w:r>
    </w:p>
    <w:p w14:paraId="2E3F0124" w14:textId="509501B2" w:rsidR="008A6404" w:rsidRPr="00186A2D" w:rsidRDefault="008A6404" w:rsidP="003D7553">
      <w:pPr>
        <w:spacing w:after="0" w:line="360" w:lineRule="auto"/>
        <w:contextualSpacing/>
      </w:pPr>
      <w:r w:rsidRPr="00186A2D">
        <w:t xml:space="preserve">Perry, B.L. </w:t>
      </w:r>
      <w:r w:rsidR="006D37B4">
        <w:t>(2011)</w:t>
      </w:r>
      <w:r w:rsidRPr="00186A2D">
        <w:t xml:space="preserve"> </w:t>
      </w:r>
      <w:proofErr w:type="gramStart"/>
      <w:r w:rsidRPr="00186A2D">
        <w:t>The</w:t>
      </w:r>
      <w:proofErr w:type="gramEnd"/>
      <w:r w:rsidRPr="00186A2D">
        <w:t xml:space="preserve"> </w:t>
      </w:r>
      <w:proofErr w:type="spellStart"/>
      <w:r w:rsidRPr="00186A2D">
        <w:t>labeling</w:t>
      </w:r>
      <w:proofErr w:type="spellEnd"/>
      <w:r w:rsidRPr="00186A2D">
        <w:t xml:space="preserve"> paradox: stigma, the sick role, and social</w:t>
      </w:r>
      <w:r w:rsidR="00037BD7">
        <w:t xml:space="preserve"> networks in mental illness. </w:t>
      </w:r>
      <w:r w:rsidR="006D37B4">
        <w:t xml:space="preserve">Journal of Health and Social </w:t>
      </w:r>
      <w:proofErr w:type="gramStart"/>
      <w:r w:rsidR="00037BD7">
        <w:t>Behaviour</w:t>
      </w:r>
      <w:r w:rsidR="006D37B4">
        <w:t xml:space="preserve"> </w:t>
      </w:r>
      <w:r w:rsidRPr="00186A2D">
        <w:t xml:space="preserve"> 52</w:t>
      </w:r>
      <w:proofErr w:type="gramEnd"/>
      <w:r w:rsidR="00037BD7">
        <w:t>(4):</w:t>
      </w:r>
      <w:r w:rsidRPr="00186A2D">
        <w:t xml:space="preserve"> 460-77.</w:t>
      </w:r>
    </w:p>
    <w:p w14:paraId="3E4940D9" w14:textId="77777777" w:rsidR="003D7553" w:rsidRDefault="003D7553" w:rsidP="003D7553">
      <w:pPr>
        <w:spacing w:after="0" w:line="360" w:lineRule="auto"/>
        <w:contextualSpacing/>
      </w:pPr>
    </w:p>
    <w:p w14:paraId="421B9446" w14:textId="4888B0FE" w:rsidR="008A6404" w:rsidRPr="00186A2D" w:rsidRDefault="003D7553" w:rsidP="003D7553">
      <w:pPr>
        <w:spacing w:after="0" w:line="360" w:lineRule="auto"/>
        <w:contextualSpacing/>
      </w:pPr>
      <w:r>
        <w:t>Pilgrim, D. (2014)</w:t>
      </w:r>
      <w:r w:rsidR="008A6404" w:rsidRPr="00186A2D">
        <w:t xml:space="preserve"> </w:t>
      </w:r>
      <w:proofErr w:type="gramStart"/>
      <w:r w:rsidR="008A6404" w:rsidRPr="00186A2D">
        <w:t>Some</w:t>
      </w:r>
      <w:proofErr w:type="gramEnd"/>
      <w:r w:rsidR="008A6404" w:rsidRPr="00186A2D">
        <w:t xml:space="preserve"> implications of critical realism for mental health res</w:t>
      </w:r>
      <w:r w:rsidR="00037BD7">
        <w:t>earch. Social Theory and Health</w:t>
      </w:r>
      <w:r w:rsidR="008A6404" w:rsidRPr="00186A2D">
        <w:t xml:space="preserve"> 12(1): 1</w:t>
      </w:r>
      <w:r w:rsidR="008A6404" w:rsidRPr="00186A2D">
        <w:rPr>
          <w:rFonts w:hint="cs"/>
        </w:rPr>
        <w:t>–</w:t>
      </w:r>
      <w:r w:rsidR="008A6404" w:rsidRPr="00186A2D">
        <w:t>21</w:t>
      </w:r>
      <w:r w:rsidR="00037BD7">
        <w:t>.</w:t>
      </w:r>
    </w:p>
    <w:p w14:paraId="1B49AC3C" w14:textId="77777777" w:rsidR="003D7553" w:rsidRDefault="003D7553" w:rsidP="003D7553">
      <w:pPr>
        <w:spacing w:after="0" w:line="360" w:lineRule="auto"/>
        <w:contextualSpacing/>
      </w:pPr>
    </w:p>
    <w:p w14:paraId="3714253C" w14:textId="2DC79BB3" w:rsidR="008A6404" w:rsidRPr="00186A2D" w:rsidRDefault="00037BD7" w:rsidP="003D7553">
      <w:pPr>
        <w:spacing w:after="0" w:line="360" w:lineRule="auto"/>
        <w:contextualSpacing/>
      </w:pPr>
      <w:r>
        <w:t>Pilgrim, D. and</w:t>
      </w:r>
      <w:r w:rsidR="008A6404" w:rsidRPr="00186A2D">
        <w:t xml:space="preserve"> </w:t>
      </w:r>
      <w:proofErr w:type="spellStart"/>
      <w:r w:rsidR="008A6404" w:rsidRPr="00186A2D">
        <w:t>McCranie</w:t>
      </w:r>
      <w:proofErr w:type="spellEnd"/>
      <w:r w:rsidR="008A6404" w:rsidRPr="00186A2D">
        <w:t>, A.</w:t>
      </w:r>
      <w:r>
        <w:t xml:space="preserve"> (2013)</w:t>
      </w:r>
      <w:r w:rsidR="008A6404" w:rsidRPr="00186A2D">
        <w:t xml:space="preserve"> Recovery and Mental Health: A Critical Sociological Account. Red Globe Press, London.</w:t>
      </w:r>
    </w:p>
    <w:p w14:paraId="52E3FC21" w14:textId="77777777" w:rsidR="003D7553" w:rsidRDefault="003D7553" w:rsidP="003D7553">
      <w:pPr>
        <w:spacing w:after="0" w:line="360" w:lineRule="auto"/>
        <w:contextualSpacing/>
      </w:pPr>
    </w:p>
    <w:p w14:paraId="68CFEA81" w14:textId="0A92DC60" w:rsidR="008A6404" w:rsidRPr="00186A2D" w:rsidRDefault="00037BD7" w:rsidP="003D7553">
      <w:pPr>
        <w:spacing w:after="0" w:line="360" w:lineRule="auto"/>
        <w:contextualSpacing/>
      </w:pPr>
      <w:r>
        <w:t>RE-</w:t>
      </w:r>
      <w:proofErr w:type="spellStart"/>
      <w:r>
        <w:t>InVEST</w:t>
      </w:r>
      <w:proofErr w:type="spellEnd"/>
      <w:r>
        <w:t xml:space="preserve"> (2019a)</w:t>
      </w:r>
      <w:r w:rsidR="008A6404" w:rsidRPr="00186A2D">
        <w:t xml:space="preserve"> WP3 - Diagnosis of the social damage of the crisis </w:t>
      </w:r>
      <w:hyperlink r:id="rId11" w:history="1">
        <w:r w:rsidRPr="00611141">
          <w:rPr>
            <w:rStyle w:val="Hyperlink"/>
          </w:rPr>
          <w:t>http://www.re-invest.eu/workpackages/wp3</w:t>
        </w:r>
      </w:hyperlink>
      <w:r>
        <w:t>, accessed 15 April 2019</w:t>
      </w:r>
      <w:r w:rsidR="008A6404" w:rsidRPr="00186A2D">
        <w:t>.</w:t>
      </w:r>
    </w:p>
    <w:p w14:paraId="0F4C69AA" w14:textId="77777777" w:rsidR="003D7553" w:rsidRDefault="003D7553" w:rsidP="003D7553">
      <w:pPr>
        <w:spacing w:after="0" w:line="360" w:lineRule="auto"/>
        <w:contextualSpacing/>
      </w:pPr>
    </w:p>
    <w:p w14:paraId="0B6456EB" w14:textId="233D1BE2" w:rsidR="008A6404" w:rsidRPr="00186A2D" w:rsidRDefault="00037BD7" w:rsidP="003D7553">
      <w:pPr>
        <w:spacing w:after="0" w:line="360" w:lineRule="auto"/>
        <w:contextualSpacing/>
      </w:pPr>
      <w:r>
        <w:t>RE-</w:t>
      </w:r>
      <w:proofErr w:type="spellStart"/>
      <w:r>
        <w:t>InVEST</w:t>
      </w:r>
      <w:proofErr w:type="spellEnd"/>
      <w:r>
        <w:t xml:space="preserve"> (</w:t>
      </w:r>
      <w:r w:rsidR="008A6404" w:rsidRPr="00186A2D">
        <w:t>2019b</w:t>
      </w:r>
      <w:r>
        <w:t>)</w:t>
      </w:r>
      <w:r w:rsidR="008A6404" w:rsidRPr="00186A2D">
        <w:t xml:space="preserve"> Overall structure of the project </w:t>
      </w:r>
      <w:hyperlink r:id="rId12" w:history="1">
        <w:r w:rsidRPr="00611141">
          <w:rPr>
            <w:rStyle w:val="Hyperlink"/>
          </w:rPr>
          <w:t>http://www.re-invest.eu/project/overall-structure</w:t>
        </w:r>
      </w:hyperlink>
      <w:proofErr w:type="gramStart"/>
      <w:r>
        <w:t>,  accessed</w:t>
      </w:r>
      <w:proofErr w:type="gramEnd"/>
      <w:r>
        <w:t xml:space="preserve"> 15 April 2019</w:t>
      </w:r>
      <w:r w:rsidR="008A6404" w:rsidRPr="00186A2D">
        <w:t>.</w:t>
      </w:r>
    </w:p>
    <w:p w14:paraId="017E52E9" w14:textId="77777777" w:rsidR="003D7553" w:rsidRDefault="003D7553" w:rsidP="003D7553">
      <w:pPr>
        <w:spacing w:after="0" w:line="360" w:lineRule="auto"/>
        <w:contextualSpacing/>
      </w:pPr>
    </w:p>
    <w:p w14:paraId="2367391C" w14:textId="022EACB6" w:rsidR="008A6404" w:rsidRPr="00037BD7" w:rsidRDefault="008A6404" w:rsidP="003D7553">
      <w:pPr>
        <w:spacing w:after="0" w:line="360" w:lineRule="auto"/>
        <w:contextualSpacing/>
        <w:rPr>
          <w:color w:val="0000FF" w:themeColor="hyperlink"/>
          <w:u w:val="single"/>
        </w:rPr>
      </w:pPr>
      <w:proofErr w:type="spellStart"/>
      <w:r w:rsidRPr="00186A2D">
        <w:t>RiTB</w:t>
      </w:r>
      <w:proofErr w:type="spellEnd"/>
      <w:r w:rsidRPr="00186A2D">
        <w:t xml:space="preserve"> (Recovery in the Bin) (2019) </w:t>
      </w:r>
      <w:proofErr w:type="spellStart"/>
      <w:r w:rsidRPr="00186A2D">
        <w:t>Neopaternalism</w:t>
      </w:r>
      <w:proofErr w:type="spellEnd"/>
      <w:r w:rsidRPr="00186A2D">
        <w:t>: New Wave Paternali</w:t>
      </w:r>
      <w:r w:rsidR="00037BD7">
        <w:t>sm In UK Mental Health Services,</w:t>
      </w:r>
      <w:r w:rsidRPr="00186A2D">
        <w:t xml:space="preserve"> Recovery in the Bin [online]</w:t>
      </w:r>
      <w:proofErr w:type="gramStart"/>
      <w:r w:rsidR="00037BD7">
        <w:t xml:space="preserve">, </w:t>
      </w:r>
      <w:r w:rsidRPr="00186A2D">
        <w:t xml:space="preserve"> </w:t>
      </w:r>
      <w:r w:rsidRPr="00186A2D">
        <w:rPr>
          <w:color w:val="0000FF" w:themeColor="hyperlink"/>
          <w:u w:val="single"/>
        </w:rPr>
        <w:t>https</w:t>
      </w:r>
      <w:proofErr w:type="gramEnd"/>
      <w:r w:rsidRPr="00186A2D">
        <w:rPr>
          <w:color w:val="0000FF" w:themeColor="hyperlink"/>
          <w:u w:val="single"/>
        </w:rPr>
        <w:t>://recoveryinthebin.org/2019/06/03/neopaternalism-new-wave-paternalism-in-uk-mental-health-services/</w:t>
      </w:r>
      <w:r w:rsidR="00037BD7">
        <w:t xml:space="preserve">, </w:t>
      </w:r>
      <w:r w:rsidR="00037BD7">
        <w:t>accessed 15 April 2019</w:t>
      </w:r>
      <w:r w:rsidR="00037BD7" w:rsidRPr="00186A2D">
        <w:t>.</w:t>
      </w:r>
      <w:r w:rsidRPr="00186A2D">
        <w:t xml:space="preserve"> </w:t>
      </w:r>
    </w:p>
    <w:p w14:paraId="663F784E" w14:textId="77777777" w:rsidR="003D7553" w:rsidRDefault="003D7553" w:rsidP="003D7553">
      <w:pPr>
        <w:spacing w:after="0" w:line="360" w:lineRule="auto"/>
        <w:contextualSpacing/>
      </w:pPr>
    </w:p>
    <w:p w14:paraId="4A06A271" w14:textId="7201C418" w:rsidR="008A6404" w:rsidRPr="00186A2D" w:rsidRDefault="00037BD7" w:rsidP="003D7553">
      <w:pPr>
        <w:spacing w:after="0" w:line="360" w:lineRule="auto"/>
        <w:contextualSpacing/>
      </w:pPr>
      <w:proofErr w:type="spellStart"/>
      <w:r>
        <w:t>Scambler</w:t>
      </w:r>
      <w:proofErr w:type="spellEnd"/>
      <w:r>
        <w:t>, G. (2004)</w:t>
      </w:r>
      <w:r w:rsidR="008A6404" w:rsidRPr="00186A2D">
        <w:t xml:space="preserve"> Re-framing Stigma: Felt and Enacted Stigma and challenges to the Sociology of C</w:t>
      </w:r>
      <w:r>
        <w:t>hronic and Disabling Conditions.</w:t>
      </w:r>
      <w:r w:rsidR="008A6404" w:rsidRPr="00186A2D">
        <w:t xml:space="preserve"> Soc</w:t>
      </w:r>
      <w:r>
        <w:t>ial Theory and Health 2:</w:t>
      </w:r>
      <w:r w:rsidR="008A6404" w:rsidRPr="00186A2D">
        <w:t xml:space="preserve"> 29-46.</w:t>
      </w:r>
    </w:p>
    <w:p w14:paraId="2BF72300" w14:textId="77777777" w:rsidR="003D7553" w:rsidRDefault="003D7553" w:rsidP="003D7553">
      <w:pPr>
        <w:spacing w:after="0" w:line="360" w:lineRule="auto"/>
        <w:contextualSpacing/>
      </w:pPr>
    </w:p>
    <w:p w14:paraId="7B929686" w14:textId="058F3D42" w:rsidR="008A6404" w:rsidRPr="00186A2D" w:rsidRDefault="00037BD7" w:rsidP="003D7553">
      <w:pPr>
        <w:spacing w:after="0" w:line="360" w:lineRule="auto"/>
        <w:contextualSpacing/>
      </w:pPr>
      <w:proofErr w:type="spellStart"/>
      <w:proofErr w:type="gramStart"/>
      <w:r>
        <w:t>Scambler</w:t>
      </w:r>
      <w:proofErr w:type="spellEnd"/>
      <w:r>
        <w:t>, G. (2006)</w:t>
      </w:r>
      <w:r w:rsidR="008A6404" w:rsidRPr="00186A2D">
        <w:t xml:space="preserve"> Jigsaws, models and the sociology of stigma.</w:t>
      </w:r>
      <w:proofErr w:type="gramEnd"/>
      <w:r>
        <w:t xml:space="preserve"> Journal of Critical Realism 5(2):</w:t>
      </w:r>
      <w:r w:rsidR="008A6404" w:rsidRPr="00186A2D">
        <w:t xml:space="preserve"> 273-289.</w:t>
      </w:r>
    </w:p>
    <w:p w14:paraId="43069410" w14:textId="77777777" w:rsidR="003D7553" w:rsidRDefault="003D7553" w:rsidP="003D7553">
      <w:pPr>
        <w:spacing w:after="0" w:line="360" w:lineRule="auto"/>
        <w:contextualSpacing/>
      </w:pPr>
    </w:p>
    <w:p w14:paraId="41A58BD7" w14:textId="433D1EE5" w:rsidR="008A6404" w:rsidRPr="00186A2D" w:rsidRDefault="00037BD7" w:rsidP="003D7553">
      <w:pPr>
        <w:spacing w:after="0" w:line="360" w:lineRule="auto"/>
        <w:contextualSpacing/>
      </w:pPr>
      <w:proofErr w:type="spellStart"/>
      <w:proofErr w:type="gramStart"/>
      <w:r>
        <w:t>Scambler</w:t>
      </w:r>
      <w:proofErr w:type="spellEnd"/>
      <w:r>
        <w:t xml:space="preserve">, G. (2009) </w:t>
      </w:r>
      <w:r w:rsidR="008A6404" w:rsidRPr="00186A2D">
        <w:t>Health-related stigma.</w:t>
      </w:r>
      <w:proofErr w:type="gramEnd"/>
      <w:r w:rsidR="008A6404" w:rsidRPr="00186A2D">
        <w:t xml:space="preserve"> Sociol</w:t>
      </w:r>
      <w:r>
        <w:t>ogy of Health and Illness 31(3):</w:t>
      </w:r>
      <w:r w:rsidR="008A6404" w:rsidRPr="00186A2D">
        <w:t xml:space="preserve"> 441-455.</w:t>
      </w:r>
    </w:p>
    <w:p w14:paraId="6E6AF437" w14:textId="77777777" w:rsidR="003D7553" w:rsidRDefault="003D7553" w:rsidP="003D7553">
      <w:pPr>
        <w:spacing w:after="0" w:line="360" w:lineRule="auto"/>
        <w:contextualSpacing/>
      </w:pPr>
    </w:p>
    <w:p w14:paraId="06F28602" w14:textId="54D281C1" w:rsidR="008A6404" w:rsidRPr="00186A2D" w:rsidRDefault="00037BD7" w:rsidP="003D7553">
      <w:pPr>
        <w:spacing w:after="0" w:line="360" w:lineRule="auto"/>
        <w:contextualSpacing/>
      </w:pPr>
      <w:proofErr w:type="spellStart"/>
      <w:r>
        <w:t>Scambler</w:t>
      </w:r>
      <w:proofErr w:type="spellEnd"/>
      <w:r>
        <w:t>, G. (2018)</w:t>
      </w:r>
      <w:r w:rsidR="008A6404" w:rsidRPr="00186A2D">
        <w:t xml:space="preserve"> Heaping blame on shame: ‘</w:t>
      </w:r>
      <w:proofErr w:type="spellStart"/>
      <w:r w:rsidR="008A6404" w:rsidRPr="00186A2D">
        <w:t>Weaponising</w:t>
      </w:r>
      <w:proofErr w:type="spellEnd"/>
      <w:r w:rsidR="008A6404" w:rsidRPr="00186A2D">
        <w:t xml:space="preserve"> stig</w:t>
      </w:r>
      <w:r>
        <w:t>ma’ for neoliberal times. Sociological Review</w:t>
      </w:r>
      <w:r w:rsidR="008A6404" w:rsidRPr="00186A2D">
        <w:t xml:space="preserve"> Mono</w:t>
      </w:r>
      <w:r>
        <w:t>graphs 66(4):</w:t>
      </w:r>
      <w:r w:rsidR="008A6404" w:rsidRPr="00186A2D">
        <w:t xml:space="preserve"> 766-782.</w:t>
      </w:r>
    </w:p>
    <w:p w14:paraId="1827C9FC" w14:textId="77777777" w:rsidR="003D7553" w:rsidRDefault="003D7553" w:rsidP="003D7553">
      <w:pPr>
        <w:spacing w:after="0" w:line="360" w:lineRule="auto"/>
        <w:contextualSpacing/>
      </w:pPr>
    </w:p>
    <w:p w14:paraId="210BB878" w14:textId="10A34C88" w:rsidR="008A6404" w:rsidRPr="00186A2D" w:rsidRDefault="00FA6ECA" w:rsidP="003D7553">
      <w:pPr>
        <w:spacing w:after="0" w:line="360" w:lineRule="auto"/>
        <w:contextualSpacing/>
      </w:pPr>
      <w:r>
        <w:lastRenderedPageBreak/>
        <w:t>Schneider, J. and Conrad, P. (1983)</w:t>
      </w:r>
      <w:r w:rsidR="008A6404" w:rsidRPr="00186A2D">
        <w:t xml:space="preserve"> Having Epilepsy: The Experience and C</w:t>
      </w:r>
      <w:r>
        <w:t>ontrol of Illness. Philadelphia, USA:</w:t>
      </w:r>
      <w:r w:rsidR="008A6404" w:rsidRPr="00186A2D">
        <w:t xml:space="preserve"> Temple University Press.</w:t>
      </w:r>
    </w:p>
    <w:p w14:paraId="497C8085" w14:textId="77777777" w:rsidR="003D7553" w:rsidRDefault="003D7553" w:rsidP="003D7553">
      <w:pPr>
        <w:spacing w:after="0" w:line="360" w:lineRule="auto"/>
        <w:contextualSpacing/>
      </w:pPr>
    </w:p>
    <w:p w14:paraId="59B0A0D8" w14:textId="358F4839" w:rsidR="008A6404" w:rsidRPr="00186A2D" w:rsidRDefault="008A6404" w:rsidP="003D7553">
      <w:pPr>
        <w:spacing w:after="0" w:line="360" w:lineRule="auto"/>
        <w:contextualSpacing/>
      </w:pPr>
      <w:r w:rsidRPr="00186A2D">
        <w:t xml:space="preserve">Sedgwick, P. (1973) Illness: Mental and Otherwise. The Hastings </w:t>
      </w:r>
      <w:proofErr w:type="spellStart"/>
      <w:r w:rsidRPr="00186A2D">
        <w:t>Center</w:t>
      </w:r>
      <w:proofErr w:type="spellEnd"/>
      <w:r w:rsidRPr="00186A2D">
        <w:t xml:space="preserve"> Studies 1</w:t>
      </w:r>
      <w:r w:rsidR="00FA6ECA">
        <w:t>(3):</w:t>
      </w:r>
      <w:r w:rsidRPr="00186A2D">
        <w:t xml:space="preserve"> 19-40. </w:t>
      </w:r>
    </w:p>
    <w:p w14:paraId="485B3C17" w14:textId="77777777" w:rsidR="003D7553" w:rsidRDefault="003D7553" w:rsidP="003D7553">
      <w:pPr>
        <w:spacing w:after="0" w:line="360" w:lineRule="auto"/>
        <w:contextualSpacing/>
      </w:pPr>
    </w:p>
    <w:p w14:paraId="681762B8" w14:textId="73844D1D" w:rsidR="008A6404" w:rsidRPr="00186A2D" w:rsidRDefault="008A6404" w:rsidP="003D7553">
      <w:pPr>
        <w:spacing w:after="0" w:line="360" w:lineRule="auto"/>
        <w:contextualSpacing/>
      </w:pPr>
      <w:proofErr w:type="spellStart"/>
      <w:r w:rsidRPr="00186A2D">
        <w:t>Segall</w:t>
      </w:r>
      <w:proofErr w:type="spellEnd"/>
      <w:r w:rsidRPr="00186A2D">
        <w:t xml:space="preserve">, A. (1976) </w:t>
      </w:r>
      <w:proofErr w:type="gramStart"/>
      <w:r w:rsidRPr="00186A2D">
        <w:t>The</w:t>
      </w:r>
      <w:proofErr w:type="gramEnd"/>
      <w:r w:rsidRPr="00186A2D">
        <w:t xml:space="preserve"> sick role concept: Understanding illness behaviour. Journal of Health and Social </w:t>
      </w:r>
      <w:proofErr w:type="spellStart"/>
      <w:r w:rsidRPr="00186A2D">
        <w:t>Behavior</w:t>
      </w:r>
      <w:proofErr w:type="spellEnd"/>
      <w:r w:rsidRPr="00186A2D">
        <w:t xml:space="preserve"> 17(2): 162</w:t>
      </w:r>
      <w:r w:rsidRPr="00186A2D">
        <w:rPr>
          <w:rFonts w:hint="cs"/>
        </w:rPr>
        <w:t>–</w:t>
      </w:r>
      <w:r w:rsidRPr="00186A2D">
        <w:t>169.</w:t>
      </w:r>
    </w:p>
    <w:p w14:paraId="6F1D2D06" w14:textId="77777777" w:rsidR="003D7553" w:rsidRDefault="003D7553" w:rsidP="003D7553">
      <w:pPr>
        <w:spacing w:after="0" w:line="360" w:lineRule="auto"/>
        <w:contextualSpacing/>
      </w:pPr>
    </w:p>
    <w:p w14:paraId="64332E65" w14:textId="5FA46BAD" w:rsidR="008A6404" w:rsidRPr="00186A2D" w:rsidRDefault="008A6404" w:rsidP="003D7553">
      <w:pPr>
        <w:spacing w:after="0" w:line="360" w:lineRule="auto"/>
        <w:contextualSpacing/>
      </w:pPr>
      <w:proofErr w:type="gramStart"/>
      <w:r w:rsidRPr="00186A2D">
        <w:t>Shakespeare, T.,</w:t>
      </w:r>
      <w:r w:rsidR="00FA6ECA">
        <w:t xml:space="preserve"> Watson, N. and </w:t>
      </w:r>
      <w:proofErr w:type="spellStart"/>
      <w:r w:rsidR="00FA6ECA">
        <w:t>Aghaib</w:t>
      </w:r>
      <w:proofErr w:type="spellEnd"/>
      <w:r w:rsidR="00FA6ECA">
        <w:t>, O.A. (2017)</w:t>
      </w:r>
      <w:r w:rsidRPr="00186A2D">
        <w:t xml:space="preserve"> “Blaming the Victim, All Over Again”: Waddell and </w:t>
      </w:r>
      <w:proofErr w:type="spellStart"/>
      <w:r w:rsidRPr="00186A2D">
        <w:t>Aylward’s</w:t>
      </w:r>
      <w:proofErr w:type="spellEnd"/>
      <w:r w:rsidRPr="00186A2D">
        <w:t xml:space="preserve"> biopsychosocial model of disability</w:t>
      </w:r>
      <w:r w:rsidR="00FA6ECA">
        <w:t>.</w:t>
      </w:r>
      <w:proofErr w:type="gramEnd"/>
      <w:r w:rsidRPr="00186A2D">
        <w:t xml:space="preserve"> </w:t>
      </w:r>
      <w:r w:rsidR="00FA6ECA">
        <w:t>Critical Social Policy</w:t>
      </w:r>
      <w:r w:rsidRPr="00186A2D">
        <w:t xml:space="preserve"> 37</w:t>
      </w:r>
      <w:r w:rsidR="00FA6ECA">
        <w:t>(1):</w:t>
      </w:r>
      <w:r w:rsidRPr="00186A2D">
        <w:t xml:space="preserve"> 22-41.</w:t>
      </w:r>
    </w:p>
    <w:p w14:paraId="4D5523E2" w14:textId="77777777" w:rsidR="003D7553" w:rsidRDefault="003D7553" w:rsidP="003D7553">
      <w:pPr>
        <w:spacing w:after="0" w:line="360" w:lineRule="auto"/>
        <w:contextualSpacing/>
      </w:pPr>
    </w:p>
    <w:p w14:paraId="1A87B4B5" w14:textId="3DAC2841" w:rsidR="008A6404" w:rsidRPr="00186A2D" w:rsidRDefault="00FA6ECA" w:rsidP="003D7553">
      <w:pPr>
        <w:spacing w:after="0" w:line="360" w:lineRule="auto"/>
        <w:contextualSpacing/>
      </w:pPr>
      <w:proofErr w:type="gramStart"/>
      <w:r>
        <w:t xml:space="preserve">Shepherd, G., Boardman, J. and </w:t>
      </w:r>
      <w:r w:rsidR="008A6404" w:rsidRPr="00186A2D">
        <w:t>Burns, M.</w:t>
      </w:r>
      <w:r>
        <w:t xml:space="preserve"> (2010)</w:t>
      </w:r>
      <w:r w:rsidR="008A6404" w:rsidRPr="00186A2D">
        <w:t xml:space="preserve"> Implementing Recovery: A Methodology for Organisational Change.</w:t>
      </w:r>
      <w:proofErr w:type="gramEnd"/>
      <w:r w:rsidR="008A6404" w:rsidRPr="00186A2D">
        <w:t xml:space="preserve"> Sainsbury Centre for Mental Health, London. </w:t>
      </w:r>
    </w:p>
    <w:p w14:paraId="564E73BC" w14:textId="77777777" w:rsidR="003D7553" w:rsidRDefault="003D7553" w:rsidP="003D7553">
      <w:pPr>
        <w:spacing w:after="0" w:line="360" w:lineRule="auto"/>
      </w:pPr>
    </w:p>
    <w:p w14:paraId="632C3953" w14:textId="6857BE87" w:rsidR="008A6404" w:rsidRDefault="00FA6ECA" w:rsidP="003D7553">
      <w:pPr>
        <w:spacing w:after="0" w:line="360" w:lineRule="auto"/>
      </w:pPr>
      <w:proofErr w:type="gramStart"/>
      <w:r>
        <w:t>Shepherd, G., Boardman, J. and</w:t>
      </w:r>
      <w:r w:rsidR="008A6404">
        <w:t xml:space="preserve"> Slade, M. (2</w:t>
      </w:r>
      <w:r>
        <w:t xml:space="preserve">008) Making Recovery a Reality, </w:t>
      </w:r>
      <w:r w:rsidR="008A6404">
        <w:t>Sainsbury Centre for Mental Health, London.</w:t>
      </w:r>
      <w:proofErr w:type="gramEnd"/>
      <w:r w:rsidR="008A6404">
        <w:t xml:space="preserve"> </w:t>
      </w:r>
    </w:p>
    <w:p w14:paraId="1ABADCF3" w14:textId="77777777" w:rsidR="003D7553" w:rsidRDefault="003D7553" w:rsidP="003D7553">
      <w:pPr>
        <w:spacing w:after="0" w:line="360" w:lineRule="auto"/>
        <w:contextualSpacing/>
      </w:pPr>
    </w:p>
    <w:p w14:paraId="32A0207C" w14:textId="7132B60E" w:rsidR="008A6404" w:rsidRPr="00186A2D" w:rsidRDefault="00FA6ECA" w:rsidP="003D7553">
      <w:pPr>
        <w:spacing w:after="0" w:line="360" w:lineRule="auto"/>
        <w:contextualSpacing/>
      </w:pPr>
      <w:proofErr w:type="spellStart"/>
      <w:r>
        <w:t>Shildrick</w:t>
      </w:r>
      <w:proofErr w:type="spellEnd"/>
      <w:r>
        <w:t>, T. and MacDonald, R. (2013)</w:t>
      </w:r>
      <w:r w:rsidR="008A6404" w:rsidRPr="00186A2D">
        <w:t xml:space="preserve"> Poverty Talk: How People Experiencing Poverty Deny Their Poverty and Why They Blame ‘The</w:t>
      </w:r>
      <w:r>
        <w:t xml:space="preserve"> Poor’. The Sociological Review 61(2): </w:t>
      </w:r>
      <w:r w:rsidR="008A6404" w:rsidRPr="00186A2D">
        <w:t>285-303.</w:t>
      </w:r>
    </w:p>
    <w:p w14:paraId="0DBB0E1A" w14:textId="77777777" w:rsidR="003D7553" w:rsidRDefault="003D7553" w:rsidP="003D7553">
      <w:pPr>
        <w:spacing w:after="0" w:line="360" w:lineRule="auto"/>
        <w:contextualSpacing/>
      </w:pPr>
    </w:p>
    <w:p w14:paraId="440B0E23" w14:textId="576FF00F" w:rsidR="008A6404" w:rsidRPr="00186A2D" w:rsidRDefault="00FA6ECA" w:rsidP="003D7553">
      <w:pPr>
        <w:spacing w:after="0" w:line="360" w:lineRule="auto"/>
        <w:contextualSpacing/>
      </w:pPr>
      <w:proofErr w:type="gramStart"/>
      <w:r>
        <w:t>Shilling, C. (2002)</w:t>
      </w:r>
      <w:r w:rsidR="008A6404" w:rsidRPr="00186A2D">
        <w:t xml:space="preserve"> Culture, the 'sick role' and the consumption of health.</w:t>
      </w:r>
      <w:proofErr w:type="gramEnd"/>
      <w:r w:rsidR="008A6404" w:rsidRPr="00186A2D">
        <w:t xml:space="preserve"> </w:t>
      </w:r>
      <w:r>
        <w:t>British Journal of Sociology 53(4):</w:t>
      </w:r>
      <w:r w:rsidR="008A6404" w:rsidRPr="00186A2D">
        <w:t xml:space="preserve"> 621-38.</w:t>
      </w:r>
    </w:p>
    <w:p w14:paraId="5C18BB48" w14:textId="77777777" w:rsidR="003D7553" w:rsidRDefault="003D7553" w:rsidP="003D7553">
      <w:pPr>
        <w:spacing w:after="0" w:line="360" w:lineRule="auto"/>
        <w:contextualSpacing/>
      </w:pPr>
    </w:p>
    <w:p w14:paraId="772A2D6D" w14:textId="7F8A3170" w:rsidR="008A6404" w:rsidRPr="00186A2D" w:rsidRDefault="008A6404" w:rsidP="003D7553">
      <w:pPr>
        <w:spacing w:after="0" w:line="360" w:lineRule="auto"/>
        <w:contextualSpacing/>
      </w:pPr>
      <w:proofErr w:type="gramStart"/>
      <w:r w:rsidRPr="00186A2D">
        <w:t xml:space="preserve">Slade, M., </w:t>
      </w:r>
      <w:proofErr w:type="spellStart"/>
      <w:r w:rsidRPr="00186A2D">
        <w:t>Amering</w:t>
      </w:r>
      <w:proofErr w:type="spellEnd"/>
      <w:r w:rsidRPr="00186A2D">
        <w:t xml:space="preserve">, M., </w:t>
      </w:r>
      <w:proofErr w:type="spellStart"/>
      <w:r w:rsidRPr="00186A2D">
        <w:t>Farkas</w:t>
      </w:r>
      <w:proofErr w:type="spellEnd"/>
      <w:r w:rsidRPr="00186A2D">
        <w:t>, M., Hamilton, B., O’Hagan, M., Panther</w:t>
      </w:r>
      <w:r w:rsidR="00FA6ECA">
        <w:t xml:space="preserve"> et al (</w:t>
      </w:r>
      <w:r w:rsidRPr="00186A2D">
        <w:t>2014</w:t>
      </w:r>
      <w:r w:rsidR="00FA6ECA">
        <w:t>)</w:t>
      </w:r>
      <w:r w:rsidRPr="00186A2D">
        <w:t xml:space="preserve"> Uses and abuses of recovery: implementing recovery‐oriented practices in mental health systems.</w:t>
      </w:r>
      <w:proofErr w:type="gramEnd"/>
      <w:r w:rsidRPr="00186A2D">
        <w:t xml:space="preserve"> World Psychiatry 13</w:t>
      </w:r>
      <w:r w:rsidR="00FA6ECA">
        <w:t>(1):</w:t>
      </w:r>
      <w:r w:rsidRPr="00186A2D">
        <w:t xml:space="preserve"> 12-20.</w:t>
      </w:r>
    </w:p>
    <w:p w14:paraId="0FD06022" w14:textId="77777777" w:rsidR="003D7553" w:rsidRDefault="003D7553" w:rsidP="003D7553">
      <w:pPr>
        <w:spacing w:after="0" w:line="360" w:lineRule="auto"/>
        <w:rPr>
          <w:rFonts w:eastAsia="Times New Roman"/>
          <w:lang w:val="en-GB"/>
        </w:rPr>
      </w:pPr>
    </w:p>
    <w:p w14:paraId="1623BC15" w14:textId="7B865091" w:rsidR="008A6404" w:rsidRPr="00BC4F5B" w:rsidRDefault="008A6404" w:rsidP="003D7553">
      <w:pPr>
        <w:spacing w:after="0" w:line="360" w:lineRule="auto"/>
        <w:rPr>
          <w:rFonts w:eastAsia="Times New Roman"/>
          <w:lang w:val="en-GB"/>
        </w:rPr>
      </w:pPr>
      <w:proofErr w:type="gramStart"/>
      <w:r w:rsidRPr="00950D30">
        <w:rPr>
          <w:rFonts w:eastAsia="Times New Roman"/>
          <w:lang w:val="en-GB"/>
        </w:rPr>
        <w:t>Taylor-</w:t>
      </w:r>
      <w:proofErr w:type="spellStart"/>
      <w:r w:rsidRPr="00950D30">
        <w:rPr>
          <w:rFonts w:eastAsia="Times New Roman"/>
          <w:lang w:val="en-GB"/>
        </w:rPr>
        <w:t>Gooby</w:t>
      </w:r>
      <w:proofErr w:type="spellEnd"/>
      <w:r w:rsidRPr="00950D30">
        <w:rPr>
          <w:rFonts w:eastAsia="Times New Roman"/>
          <w:lang w:val="en-GB"/>
        </w:rPr>
        <w:t xml:space="preserve">, P., </w:t>
      </w:r>
      <w:proofErr w:type="spellStart"/>
      <w:r w:rsidRPr="00950D30">
        <w:rPr>
          <w:rFonts w:eastAsia="Times New Roman"/>
          <w:lang w:val="en-GB"/>
        </w:rPr>
        <w:t>Hvinden</w:t>
      </w:r>
      <w:proofErr w:type="spellEnd"/>
      <w:r w:rsidRPr="00950D30">
        <w:rPr>
          <w:rFonts w:eastAsia="Times New Roman"/>
          <w:lang w:val="en-GB"/>
        </w:rPr>
        <w:t xml:space="preserve">, B., Mau, S., </w:t>
      </w:r>
      <w:proofErr w:type="spellStart"/>
      <w:r w:rsidRPr="00950D30">
        <w:rPr>
          <w:rFonts w:eastAsia="Times New Roman"/>
          <w:lang w:val="en-GB"/>
        </w:rPr>
        <w:t>Leruth</w:t>
      </w:r>
      <w:proofErr w:type="spellEnd"/>
      <w:r>
        <w:rPr>
          <w:rFonts w:eastAsia="Times New Roman"/>
          <w:lang w:val="en-GB"/>
        </w:rPr>
        <w:t xml:space="preserve">, B., </w:t>
      </w:r>
      <w:proofErr w:type="spellStart"/>
      <w:r>
        <w:rPr>
          <w:rFonts w:eastAsia="Times New Roman"/>
          <w:lang w:val="en-GB"/>
        </w:rPr>
        <w:t>Schoyen</w:t>
      </w:r>
      <w:proofErr w:type="spellEnd"/>
      <w:r>
        <w:rPr>
          <w:rFonts w:eastAsia="Times New Roman"/>
          <w:lang w:val="en-GB"/>
        </w:rPr>
        <w:t xml:space="preserve">, M.A. and </w:t>
      </w:r>
      <w:proofErr w:type="spellStart"/>
      <w:r>
        <w:rPr>
          <w:rFonts w:eastAsia="Times New Roman"/>
          <w:lang w:val="en-GB"/>
        </w:rPr>
        <w:t>Gyory</w:t>
      </w:r>
      <w:proofErr w:type="spellEnd"/>
      <w:r>
        <w:rPr>
          <w:rFonts w:eastAsia="Times New Roman"/>
          <w:lang w:val="en-GB"/>
        </w:rPr>
        <w:t xml:space="preserve">, </w:t>
      </w:r>
      <w:r w:rsidRPr="00950D30">
        <w:rPr>
          <w:rFonts w:eastAsia="Times New Roman"/>
          <w:lang w:val="en-GB"/>
        </w:rPr>
        <w:t>A. (2019) Moral economies of the welfare state: A qualitative comparative study.</w:t>
      </w:r>
      <w:proofErr w:type="gramEnd"/>
      <w:r w:rsidRPr="00950D30">
        <w:rPr>
          <w:rFonts w:eastAsia="Times New Roman"/>
          <w:lang w:val="en-GB"/>
        </w:rPr>
        <w:t xml:space="preserve"> </w:t>
      </w:r>
      <w:proofErr w:type="spellStart"/>
      <w:r w:rsidRPr="00950D30">
        <w:rPr>
          <w:rFonts w:eastAsia="Times New Roman"/>
          <w:lang w:val="en-GB"/>
        </w:rPr>
        <w:t>Acta</w:t>
      </w:r>
      <w:proofErr w:type="spellEnd"/>
      <w:r w:rsidRPr="00950D30">
        <w:rPr>
          <w:rFonts w:eastAsia="Times New Roman"/>
          <w:lang w:val="en-GB"/>
        </w:rPr>
        <w:t xml:space="preserve"> </w:t>
      </w:r>
      <w:proofErr w:type="spellStart"/>
      <w:r w:rsidRPr="00950D30">
        <w:rPr>
          <w:rFonts w:eastAsia="Times New Roman"/>
          <w:lang w:val="en-GB"/>
        </w:rPr>
        <w:t>Sociologica</w:t>
      </w:r>
      <w:proofErr w:type="spellEnd"/>
      <w:r w:rsidRPr="00950D30">
        <w:rPr>
          <w:rFonts w:eastAsia="Times New Roman"/>
          <w:lang w:val="en-GB"/>
        </w:rPr>
        <w:t>, 62(2): 119–134</w:t>
      </w:r>
      <w:r w:rsidR="00FA6ECA">
        <w:rPr>
          <w:rFonts w:eastAsia="Times New Roman"/>
          <w:lang w:val="en-GB"/>
        </w:rPr>
        <w:t>.</w:t>
      </w:r>
    </w:p>
    <w:p w14:paraId="4804B7AA" w14:textId="77777777" w:rsidR="003D7553" w:rsidRDefault="003D7553" w:rsidP="003D7553">
      <w:pPr>
        <w:spacing w:after="0" w:line="360" w:lineRule="auto"/>
        <w:contextualSpacing/>
      </w:pPr>
    </w:p>
    <w:p w14:paraId="73F34133" w14:textId="127AE728" w:rsidR="008A6404" w:rsidRPr="00186A2D" w:rsidRDefault="00FA6ECA" w:rsidP="003D7553">
      <w:pPr>
        <w:spacing w:after="0" w:line="360" w:lineRule="auto"/>
        <w:contextualSpacing/>
      </w:pPr>
      <w:proofErr w:type="spellStart"/>
      <w:r>
        <w:t>Thaler</w:t>
      </w:r>
      <w:proofErr w:type="spellEnd"/>
      <w:r>
        <w:t>, R.H. and</w:t>
      </w:r>
      <w:r w:rsidR="008A6404" w:rsidRPr="00186A2D">
        <w:t xml:space="preserve"> </w:t>
      </w:r>
      <w:proofErr w:type="spellStart"/>
      <w:r w:rsidR="008A6404" w:rsidRPr="00186A2D">
        <w:t>Sunstein</w:t>
      </w:r>
      <w:proofErr w:type="spellEnd"/>
      <w:r w:rsidR="008A6404" w:rsidRPr="00186A2D">
        <w:t xml:space="preserve">, C.R. </w:t>
      </w:r>
      <w:r>
        <w:t>(2008)</w:t>
      </w:r>
      <w:r w:rsidR="008A6404" w:rsidRPr="00186A2D">
        <w:t xml:space="preserve"> Nudge: Improving Decisions about Health, </w:t>
      </w:r>
      <w:r>
        <w:t>Wealth, and Happiness. New York:</w:t>
      </w:r>
      <w:r w:rsidR="008A6404" w:rsidRPr="00186A2D">
        <w:t xml:space="preserve"> Penguin.</w:t>
      </w:r>
    </w:p>
    <w:p w14:paraId="7806E140" w14:textId="77777777" w:rsidR="003D7553" w:rsidRDefault="003D7553" w:rsidP="003D7553">
      <w:pPr>
        <w:spacing w:after="0" w:line="360" w:lineRule="auto"/>
        <w:contextualSpacing/>
      </w:pPr>
    </w:p>
    <w:p w14:paraId="56193DFB" w14:textId="70A9D345" w:rsidR="008A6404" w:rsidRPr="00186A2D" w:rsidRDefault="008A6404" w:rsidP="003D7553">
      <w:pPr>
        <w:spacing w:after="0" w:line="360" w:lineRule="auto"/>
        <w:contextualSpacing/>
      </w:pPr>
      <w:r w:rsidRPr="00186A2D">
        <w:lastRenderedPageBreak/>
        <w:t>Thomas, C. (2012) Theorising disability and chronic illness: Where next for perspectives in medical soci</w:t>
      </w:r>
      <w:r w:rsidR="00FA6ECA">
        <w:t xml:space="preserve">ology? Social Theory and Health </w:t>
      </w:r>
      <w:r w:rsidRPr="00186A2D">
        <w:t>10(3): 209</w:t>
      </w:r>
      <w:r w:rsidRPr="00186A2D">
        <w:rPr>
          <w:rFonts w:hint="cs"/>
        </w:rPr>
        <w:t>–</w:t>
      </w:r>
      <w:r w:rsidRPr="00186A2D">
        <w:t>228</w:t>
      </w:r>
    </w:p>
    <w:p w14:paraId="290EAEF3" w14:textId="77777777" w:rsidR="003D7553" w:rsidRDefault="003D7553" w:rsidP="003D7553">
      <w:pPr>
        <w:spacing w:after="0" w:line="360" w:lineRule="auto"/>
        <w:contextualSpacing/>
      </w:pPr>
    </w:p>
    <w:p w14:paraId="216BBB26" w14:textId="324A7BCD" w:rsidR="008A6404" w:rsidRPr="00186A2D" w:rsidRDefault="008A6404" w:rsidP="003D7553">
      <w:pPr>
        <w:spacing w:after="0" w:line="360" w:lineRule="auto"/>
        <w:contextualSpacing/>
      </w:pPr>
      <w:r>
        <w:t xml:space="preserve">Thomas, P. </w:t>
      </w:r>
      <w:r w:rsidR="00FA6ECA">
        <w:t>(</w:t>
      </w:r>
      <w:r>
        <w:t>2009</w:t>
      </w:r>
      <w:r w:rsidR="00FA6ECA">
        <w:t>)</w:t>
      </w:r>
      <w:r w:rsidRPr="00186A2D">
        <w:t xml:space="preserve"> </w:t>
      </w:r>
      <w:proofErr w:type="gramStart"/>
      <w:r w:rsidRPr="00186A2D">
        <w:t>The</w:t>
      </w:r>
      <w:proofErr w:type="gramEnd"/>
      <w:r w:rsidRPr="00186A2D">
        <w:t xml:space="preserve"> </w:t>
      </w:r>
      <w:proofErr w:type="spellStart"/>
      <w:r w:rsidRPr="00186A2D">
        <w:t>Gramscian</w:t>
      </w:r>
      <w:proofErr w:type="spellEnd"/>
      <w:r w:rsidRPr="00186A2D">
        <w:t xml:space="preserve"> Moment: Philosophy, Hegemony and Marxism. Leiden: Brill.</w:t>
      </w:r>
    </w:p>
    <w:p w14:paraId="335A6D61" w14:textId="77777777" w:rsidR="003D7553" w:rsidRDefault="003D7553" w:rsidP="003D7553">
      <w:pPr>
        <w:spacing w:after="0" w:line="360" w:lineRule="auto"/>
        <w:contextualSpacing/>
      </w:pPr>
    </w:p>
    <w:p w14:paraId="3CF76909" w14:textId="179104CD" w:rsidR="008A6404" w:rsidRPr="00186A2D" w:rsidRDefault="00FA6ECA" w:rsidP="003D7553">
      <w:pPr>
        <w:spacing w:after="0" w:line="360" w:lineRule="auto"/>
        <w:contextualSpacing/>
      </w:pPr>
      <w:proofErr w:type="gramStart"/>
      <w:r>
        <w:t xml:space="preserve">Tyler, I. and Slater, T. (2018) </w:t>
      </w:r>
      <w:r w:rsidR="008A6404" w:rsidRPr="00186A2D">
        <w:t>Rethinking the sociology of stigma.</w:t>
      </w:r>
      <w:proofErr w:type="gramEnd"/>
      <w:r w:rsidR="008A6404" w:rsidRPr="00186A2D">
        <w:t xml:space="preserve"> </w:t>
      </w:r>
      <w:r>
        <w:t xml:space="preserve">Sociological Review Monograph, 66(4): </w:t>
      </w:r>
      <w:r w:rsidR="008A6404" w:rsidRPr="00186A2D">
        <w:t>721-743.</w:t>
      </w:r>
    </w:p>
    <w:p w14:paraId="2F22F88F" w14:textId="77777777" w:rsidR="003D7553" w:rsidRDefault="003D7553" w:rsidP="008A6404">
      <w:pPr>
        <w:spacing w:after="120" w:line="360" w:lineRule="auto"/>
        <w:contextualSpacing/>
      </w:pPr>
    </w:p>
    <w:p w14:paraId="7A855C00" w14:textId="6E7A2EDE" w:rsidR="008A6404" w:rsidRPr="00186A2D" w:rsidRDefault="008A6404" w:rsidP="008A6404">
      <w:pPr>
        <w:spacing w:after="120" w:line="360" w:lineRule="auto"/>
        <w:contextualSpacing/>
      </w:pPr>
      <w:proofErr w:type="gramStart"/>
      <w:r w:rsidRPr="00186A2D">
        <w:t>van</w:t>
      </w:r>
      <w:proofErr w:type="gramEnd"/>
      <w:r w:rsidRPr="00186A2D">
        <w:t xml:space="preserve"> Hal, L., </w:t>
      </w:r>
      <w:proofErr w:type="spellStart"/>
      <w:r w:rsidRPr="00186A2D">
        <w:t>Meershoek</w:t>
      </w:r>
      <w:proofErr w:type="spellEnd"/>
      <w:r w:rsidRPr="00186A2D">
        <w:t xml:space="preserve">, A., </w:t>
      </w:r>
      <w:proofErr w:type="spellStart"/>
      <w:r w:rsidRPr="00186A2D">
        <w:t>Nijhuis</w:t>
      </w:r>
      <w:proofErr w:type="spellEnd"/>
      <w:r w:rsidRPr="00186A2D">
        <w:t>, F.</w:t>
      </w:r>
      <w:r w:rsidR="00FA6ECA">
        <w:t xml:space="preserve"> and </w:t>
      </w:r>
      <w:proofErr w:type="spellStart"/>
      <w:r w:rsidR="00FA6ECA">
        <w:t>Horstman</w:t>
      </w:r>
      <w:proofErr w:type="spellEnd"/>
      <w:r w:rsidR="00FA6ECA">
        <w:t>, K.</w:t>
      </w:r>
      <w:r w:rsidRPr="00186A2D">
        <w:t xml:space="preserve"> </w:t>
      </w:r>
      <w:r w:rsidR="00FA6ECA">
        <w:t>(2013)</w:t>
      </w:r>
      <w:r w:rsidRPr="00186A2D">
        <w:t xml:space="preserve"> Disembodied abilities: Sick role and participation in ‘activating’ return-to-wo</w:t>
      </w:r>
      <w:r w:rsidR="00FA6ECA">
        <w:t>rk practices. Social Science and Medicine96:</w:t>
      </w:r>
      <w:r w:rsidRPr="00186A2D">
        <w:t xml:space="preserve"> 9-16.</w:t>
      </w:r>
    </w:p>
    <w:p w14:paraId="1C4F5E6C" w14:textId="77777777" w:rsidR="003D7553" w:rsidRDefault="003D7553" w:rsidP="008A6404">
      <w:pPr>
        <w:spacing w:after="120" w:line="360" w:lineRule="auto"/>
        <w:contextualSpacing/>
      </w:pPr>
    </w:p>
    <w:p w14:paraId="6927751E" w14:textId="6EDDE2A4" w:rsidR="008A6404" w:rsidRPr="00186A2D" w:rsidRDefault="00FA6ECA" w:rsidP="008A6404">
      <w:pPr>
        <w:spacing w:after="120" w:line="360" w:lineRule="auto"/>
        <w:contextualSpacing/>
      </w:pPr>
      <w:r>
        <w:t xml:space="preserve">Whitworth, A. (2016) </w:t>
      </w:r>
      <w:r w:rsidR="008A6404" w:rsidRPr="00186A2D">
        <w:t>Neoliberal paternalism and paradoxical subjects: Confusion and contradiction in UK activation</w:t>
      </w:r>
      <w:r>
        <w:t xml:space="preserve"> policy. Critical Social Policy</w:t>
      </w:r>
      <w:r w:rsidR="008A6404" w:rsidRPr="00186A2D">
        <w:t xml:space="preserve"> 36</w:t>
      </w:r>
      <w:r>
        <w:t>(3):</w:t>
      </w:r>
      <w:r w:rsidR="008A6404" w:rsidRPr="00186A2D">
        <w:t xml:space="preserve"> 412-431.</w:t>
      </w:r>
    </w:p>
    <w:p w14:paraId="6BA64303" w14:textId="77777777" w:rsidR="003D7553" w:rsidRDefault="003D7553" w:rsidP="008A6404">
      <w:pPr>
        <w:spacing w:after="120" w:line="360" w:lineRule="auto"/>
        <w:contextualSpacing/>
      </w:pPr>
    </w:p>
    <w:p w14:paraId="29C4E92D" w14:textId="77777777" w:rsidR="008A6404" w:rsidRPr="00186A2D" w:rsidRDefault="008A6404" w:rsidP="008A6404">
      <w:pPr>
        <w:spacing w:after="120" w:line="360" w:lineRule="auto"/>
        <w:contextualSpacing/>
      </w:pPr>
      <w:proofErr w:type="spellStart"/>
      <w:proofErr w:type="gramStart"/>
      <w:r w:rsidRPr="00186A2D">
        <w:t>xxxxommitted</w:t>
      </w:r>
      <w:proofErr w:type="spellEnd"/>
      <w:proofErr w:type="gramEnd"/>
      <w:r w:rsidRPr="00186A2D">
        <w:t xml:space="preserve"> for </w:t>
      </w:r>
      <w:proofErr w:type="spellStart"/>
      <w:r w:rsidRPr="00186A2D">
        <w:t>anonymityxxxx</w:t>
      </w:r>
      <w:proofErr w:type="spellEnd"/>
    </w:p>
    <w:p w14:paraId="6465CBB7" w14:textId="77777777" w:rsidR="003D7553" w:rsidRDefault="003D7553" w:rsidP="008A6404">
      <w:pPr>
        <w:spacing w:after="120" w:line="360" w:lineRule="auto"/>
        <w:contextualSpacing/>
      </w:pPr>
    </w:p>
    <w:p w14:paraId="02321EB2" w14:textId="77777777" w:rsidR="008A6404" w:rsidRPr="00186A2D" w:rsidRDefault="008A6404" w:rsidP="008A6404">
      <w:pPr>
        <w:spacing w:after="120" w:line="360" w:lineRule="auto"/>
        <w:contextualSpacing/>
      </w:pPr>
      <w:proofErr w:type="spellStart"/>
      <w:proofErr w:type="gramStart"/>
      <w:r w:rsidRPr="00186A2D">
        <w:t>xxxxommitted</w:t>
      </w:r>
      <w:proofErr w:type="spellEnd"/>
      <w:proofErr w:type="gramEnd"/>
      <w:r w:rsidRPr="00186A2D">
        <w:t xml:space="preserve"> for </w:t>
      </w:r>
      <w:proofErr w:type="spellStart"/>
      <w:r w:rsidRPr="00186A2D">
        <w:t>anonymityxxxxA</w:t>
      </w:r>
      <w:proofErr w:type="spellEnd"/>
    </w:p>
    <w:p w14:paraId="30450E76" w14:textId="77777777" w:rsidR="003D7553" w:rsidRDefault="003D7553" w:rsidP="008A6404">
      <w:pPr>
        <w:spacing w:after="120" w:line="360" w:lineRule="auto"/>
        <w:contextualSpacing/>
      </w:pPr>
    </w:p>
    <w:p w14:paraId="57D040BE" w14:textId="77777777" w:rsidR="008A6404" w:rsidRPr="00186A2D" w:rsidRDefault="008A6404" w:rsidP="008A6404">
      <w:pPr>
        <w:spacing w:after="120" w:line="360" w:lineRule="auto"/>
        <w:contextualSpacing/>
      </w:pPr>
      <w:proofErr w:type="spellStart"/>
      <w:proofErr w:type="gramStart"/>
      <w:r w:rsidRPr="00186A2D">
        <w:t>xxxxommitted</w:t>
      </w:r>
      <w:proofErr w:type="spellEnd"/>
      <w:proofErr w:type="gramEnd"/>
      <w:r w:rsidRPr="00186A2D">
        <w:t xml:space="preserve"> for </w:t>
      </w:r>
      <w:proofErr w:type="spellStart"/>
      <w:r w:rsidRPr="00186A2D">
        <w:t>anonymityxxxxB</w:t>
      </w:r>
      <w:proofErr w:type="spellEnd"/>
    </w:p>
    <w:p w14:paraId="64489CAE" w14:textId="77777777" w:rsidR="003D7553" w:rsidRDefault="003D7553" w:rsidP="008A6404">
      <w:pPr>
        <w:spacing w:after="120" w:line="360" w:lineRule="auto"/>
        <w:contextualSpacing/>
      </w:pPr>
    </w:p>
    <w:p w14:paraId="6B50AE10" w14:textId="77777777" w:rsidR="008A6404" w:rsidRPr="00186A2D" w:rsidRDefault="008A6404" w:rsidP="008A6404">
      <w:pPr>
        <w:spacing w:after="120" w:line="360" w:lineRule="auto"/>
        <w:contextualSpacing/>
      </w:pPr>
      <w:proofErr w:type="spellStart"/>
      <w:proofErr w:type="gramStart"/>
      <w:r w:rsidRPr="00186A2D">
        <w:t>xxxxommitted</w:t>
      </w:r>
      <w:proofErr w:type="spellEnd"/>
      <w:proofErr w:type="gramEnd"/>
      <w:r w:rsidRPr="00186A2D">
        <w:t xml:space="preserve"> for </w:t>
      </w:r>
      <w:proofErr w:type="spellStart"/>
      <w:r w:rsidRPr="00186A2D">
        <w:t>anonymityxxxxC</w:t>
      </w:r>
      <w:proofErr w:type="spellEnd"/>
    </w:p>
    <w:p w14:paraId="0B90FF3E" w14:textId="7C70D0E4" w:rsidR="001C557C" w:rsidRDefault="001C557C" w:rsidP="001C557C"/>
    <w:sectPr w:rsidR="001C557C">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9857C" w14:textId="77777777" w:rsidR="00C809BF" w:rsidRDefault="00C809BF" w:rsidP="00E549B9">
      <w:pPr>
        <w:spacing w:after="0" w:line="240" w:lineRule="auto"/>
      </w:pPr>
      <w:r>
        <w:separator/>
      </w:r>
    </w:p>
  </w:endnote>
  <w:endnote w:type="continuationSeparator" w:id="0">
    <w:p w14:paraId="02C02AB6" w14:textId="77777777" w:rsidR="00C809BF" w:rsidRDefault="00C809BF" w:rsidP="00E5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ED5C3" w14:textId="77777777" w:rsidR="00AB5B90" w:rsidRDefault="00AB5B90" w:rsidP="00E54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FC394" w14:textId="77777777" w:rsidR="00AB5B90" w:rsidRDefault="00AB5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4B4B5" w14:textId="77777777" w:rsidR="00AB5B90" w:rsidRDefault="00AB5B90" w:rsidP="00E54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553">
      <w:rPr>
        <w:rStyle w:val="PageNumber"/>
        <w:noProof/>
      </w:rPr>
      <w:t>15</w:t>
    </w:r>
    <w:r>
      <w:rPr>
        <w:rStyle w:val="PageNumber"/>
      </w:rPr>
      <w:fldChar w:fldCharType="end"/>
    </w:r>
  </w:p>
  <w:p w14:paraId="7259F479" w14:textId="77777777" w:rsidR="00AB5B90" w:rsidRDefault="00AB5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39BBE" w14:textId="77777777" w:rsidR="00C809BF" w:rsidRDefault="00C809BF" w:rsidP="00E549B9">
      <w:pPr>
        <w:spacing w:after="0" w:line="240" w:lineRule="auto"/>
      </w:pPr>
      <w:r>
        <w:separator/>
      </w:r>
    </w:p>
  </w:footnote>
  <w:footnote w:type="continuationSeparator" w:id="0">
    <w:p w14:paraId="6F135921" w14:textId="77777777" w:rsidR="00C809BF" w:rsidRDefault="00C809BF" w:rsidP="00E54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028B6"/>
    <w:multiLevelType w:val="hybridMultilevel"/>
    <w:tmpl w:val="B8AE9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541C43"/>
    <w:multiLevelType w:val="hybridMultilevel"/>
    <w:tmpl w:val="A2DED23A"/>
    <w:lvl w:ilvl="0" w:tplc="6FC0A2D8">
      <w:start w:val="1"/>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F7D62F9"/>
    <w:multiLevelType w:val="hybridMultilevel"/>
    <w:tmpl w:val="1D162806"/>
    <w:lvl w:ilvl="0" w:tplc="FA902154">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48C43DE8"/>
    <w:multiLevelType w:val="hybridMultilevel"/>
    <w:tmpl w:val="C622798A"/>
    <w:lvl w:ilvl="0" w:tplc="E8407FAE">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49E52CF5"/>
    <w:multiLevelType w:val="hybridMultilevel"/>
    <w:tmpl w:val="EC68D7E0"/>
    <w:lvl w:ilvl="0" w:tplc="B4AE16A4">
      <w:start w:val="1"/>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518D6262"/>
    <w:multiLevelType w:val="hybridMultilevel"/>
    <w:tmpl w:val="3E080E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2071476"/>
    <w:multiLevelType w:val="hybridMultilevel"/>
    <w:tmpl w:val="68E22E82"/>
    <w:lvl w:ilvl="0" w:tplc="3544CBF8">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7FE25BC0"/>
    <w:multiLevelType w:val="hybridMultilevel"/>
    <w:tmpl w:val="08064EDC"/>
    <w:lvl w:ilvl="0" w:tplc="BFBC48B0">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F6"/>
    <w:rsid w:val="00012853"/>
    <w:rsid w:val="00016155"/>
    <w:rsid w:val="00017077"/>
    <w:rsid w:val="00034567"/>
    <w:rsid w:val="000351E6"/>
    <w:rsid w:val="00037BD7"/>
    <w:rsid w:val="00050656"/>
    <w:rsid w:val="00071529"/>
    <w:rsid w:val="00072DE4"/>
    <w:rsid w:val="0007595F"/>
    <w:rsid w:val="00076BA1"/>
    <w:rsid w:val="00096F61"/>
    <w:rsid w:val="000A006E"/>
    <w:rsid w:val="000A256C"/>
    <w:rsid w:val="000A4D39"/>
    <w:rsid w:val="000B3C12"/>
    <w:rsid w:val="000B6157"/>
    <w:rsid w:val="000C4186"/>
    <w:rsid w:val="000C586A"/>
    <w:rsid w:val="000D22A1"/>
    <w:rsid w:val="000F2519"/>
    <w:rsid w:val="000F631A"/>
    <w:rsid w:val="00122FEF"/>
    <w:rsid w:val="001239DA"/>
    <w:rsid w:val="00125B9F"/>
    <w:rsid w:val="00127C5D"/>
    <w:rsid w:val="00132402"/>
    <w:rsid w:val="00141A89"/>
    <w:rsid w:val="00152387"/>
    <w:rsid w:val="00175DF5"/>
    <w:rsid w:val="00183920"/>
    <w:rsid w:val="00185922"/>
    <w:rsid w:val="00186A2D"/>
    <w:rsid w:val="001A156C"/>
    <w:rsid w:val="001A5369"/>
    <w:rsid w:val="001B3729"/>
    <w:rsid w:val="001C557C"/>
    <w:rsid w:val="001C58EC"/>
    <w:rsid w:val="001E5B80"/>
    <w:rsid w:val="00204C5C"/>
    <w:rsid w:val="00230B4B"/>
    <w:rsid w:val="002379A3"/>
    <w:rsid w:val="00240266"/>
    <w:rsid w:val="00246128"/>
    <w:rsid w:val="002626E4"/>
    <w:rsid w:val="00274DD5"/>
    <w:rsid w:val="00292AB9"/>
    <w:rsid w:val="002A2663"/>
    <w:rsid w:val="003031BA"/>
    <w:rsid w:val="003124A5"/>
    <w:rsid w:val="0031309B"/>
    <w:rsid w:val="00317FA9"/>
    <w:rsid w:val="00325D26"/>
    <w:rsid w:val="003576E9"/>
    <w:rsid w:val="0037360A"/>
    <w:rsid w:val="003841F3"/>
    <w:rsid w:val="00385003"/>
    <w:rsid w:val="003B4A32"/>
    <w:rsid w:val="003C66E5"/>
    <w:rsid w:val="003D27D9"/>
    <w:rsid w:val="003D2A28"/>
    <w:rsid w:val="003D7553"/>
    <w:rsid w:val="003E6F4F"/>
    <w:rsid w:val="003F3E1E"/>
    <w:rsid w:val="003F461C"/>
    <w:rsid w:val="003F79A5"/>
    <w:rsid w:val="0040378F"/>
    <w:rsid w:val="00413BFF"/>
    <w:rsid w:val="0042092D"/>
    <w:rsid w:val="0042580F"/>
    <w:rsid w:val="00435018"/>
    <w:rsid w:val="004479DE"/>
    <w:rsid w:val="00450412"/>
    <w:rsid w:val="0045423C"/>
    <w:rsid w:val="00457CB0"/>
    <w:rsid w:val="00460782"/>
    <w:rsid w:val="004634C8"/>
    <w:rsid w:val="00467552"/>
    <w:rsid w:val="004929F1"/>
    <w:rsid w:val="004A11B3"/>
    <w:rsid w:val="004A2AB7"/>
    <w:rsid w:val="004C5628"/>
    <w:rsid w:val="004E1655"/>
    <w:rsid w:val="004F0459"/>
    <w:rsid w:val="004F6C8F"/>
    <w:rsid w:val="00502DEB"/>
    <w:rsid w:val="00511AD0"/>
    <w:rsid w:val="0051207D"/>
    <w:rsid w:val="00527FC3"/>
    <w:rsid w:val="00536756"/>
    <w:rsid w:val="0054057E"/>
    <w:rsid w:val="00551F75"/>
    <w:rsid w:val="005655E7"/>
    <w:rsid w:val="00566658"/>
    <w:rsid w:val="005714ED"/>
    <w:rsid w:val="00573FA4"/>
    <w:rsid w:val="00584E48"/>
    <w:rsid w:val="005902B8"/>
    <w:rsid w:val="005A1278"/>
    <w:rsid w:val="005B0399"/>
    <w:rsid w:val="005B0E45"/>
    <w:rsid w:val="005B126D"/>
    <w:rsid w:val="005D0F52"/>
    <w:rsid w:val="005D1428"/>
    <w:rsid w:val="005E5D69"/>
    <w:rsid w:val="005F31E5"/>
    <w:rsid w:val="00607C08"/>
    <w:rsid w:val="0062130C"/>
    <w:rsid w:val="00627610"/>
    <w:rsid w:val="006555F6"/>
    <w:rsid w:val="00661873"/>
    <w:rsid w:val="00664292"/>
    <w:rsid w:val="006765C4"/>
    <w:rsid w:val="00677A9D"/>
    <w:rsid w:val="00681608"/>
    <w:rsid w:val="00682A09"/>
    <w:rsid w:val="00685518"/>
    <w:rsid w:val="006858A1"/>
    <w:rsid w:val="006872DE"/>
    <w:rsid w:val="00692345"/>
    <w:rsid w:val="006A3309"/>
    <w:rsid w:val="006A5B51"/>
    <w:rsid w:val="006B4B5E"/>
    <w:rsid w:val="006C6677"/>
    <w:rsid w:val="006C7E66"/>
    <w:rsid w:val="006D37B4"/>
    <w:rsid w:val="006E7AD0"/>
    <w:rsid w:val="0071434A"/>
    <w:rsid w:val="007407A7"/>
    <w:rsid w:val="00742D54"/>
    <w:rsid w:val="00743FF0"/>
    <w:rsid w:val="00783EE5"/>
    <w:rsid w:val="00786FE9"/>
    <w:rsid w:val="007959FB"/>
    <w:rsid w:val="007A3B19"/>
    <w:rsid w:val="007A6887"/>
    <w:rsid w:val="007B1DBB"/>
    <w:rsid w:val="007C6A2B"/>
    <w:rsid w:val="0082073A"/>
    <w:rsid w:val="00832C00"/>
    <w:rsid w:val="00840024"/>
    <w:rsid w:val="008408DD"/>
    <w:rsid w:val="00847354"/>
    <w:rsid w:val="008547A0"/>
    <w:rsid w:val="00855C71"/>
    <w:rsid w:val="008617C1"/>
    <w:rsid w:val="008669A5"/>
    <w:rsid w:val="00876AAF"/>
    <w:rsid w:val="00880862"/>
    <w:rsid w:val="0089036D"/>
    <w:rsid w:val="008956E4"/>
    <w:rsid w:val="008A6404"/>
    <w:rsid w:val="008A7ABF"/>
    <w:rsid w:val="008B79B0"/>
    <w:rsid w:val="008C214C"/>
    <w:rsid w:val="008D7743"/>
    <w:rsid w:val="008E2B48"/>
    <w:rsid w:val="008F4E8B"/>
    <w:rsid w:val="00904495"/>
    <w:rsid w:val="009204FE"/>
    <w:rsid w:val="00927DD7"/>
    <w:rsid w:val="00961154"/>
    <w:rsid w:val="00965313"/>
    <w:rsid w:val="0096610B"/>
    <w:rsid w:val="00986C5C"/>
    <w:rsid w:val="0099513C"/>
    <w:rsid w:val="009A1EF6"/>
    <w:rsid w:val="009A269B"/>
    <w:rsid w:val="009B2057"/>
    <w:rsid w:val="009C3C89"/>
    <w:rsid w:val="009C5E5E"/>
    <w:rsid w:val="009D0D30"/>
    <w:rsid w:val="009D5882"/>
    <w:rsid w:val="009E20A5"/>
    <w:rsid w:val="009F7945"/>
    <w:rsid w:val="00A17AFD"/>
    <w:rsid w:val="00A277A2"/>
    <w:rsid w:val="00A27F0E"/>
    <w:rsid w:val="00A348A9"/>
    <w:rsid w:val="00A436BF"/>
    <w:rsid w:val="00A548ED"/>
    <w:rsid w:val="00A91E8B"/>
    <w:rsid w:val="00A97C9B"/>
    <w:rsid w:val="00AB5B90"/>
    <w:rsid w:val="00AC5B9F"/>
    <w:rsid w:val="00AD131F"/>
    <w:rsid w:val="00AD749E"/>
    <w:rsid w:val="00AE171A"/>
    <w:rsid w:val="00AF7C77"/>
    <w:rsid w:val="00B10121"/>
    <w:rsid w:val="00B17F7C"/>
    <w:rsid w:val="00B25E91"/>
    <w:rsid w:val="00B35290"/>
    <w:rsid w:val="00B46307"/>
    <w:rsid w:val="00B56046"/>
    <w:rsid w:val="00B610D5"/>
    <w:rsid w:val="00B70217"/>
    <w:rsid w:val="00BB0AAC"/>
    <w:rsid w:val="00BB3E62"/>
    <w:rsid w:val="00BC4F5B"/>
    <w:rsid w:val="00BD1A69"/>
    <w:rsid w:val="00C13767"/>
    <w:rsid w:val="00C241FD"/>
    <w:rsid w:val="00C27456"/>
    <w:rsid w:val="00C54850"/>
    <w:rsid w:val="00C56115"/>
    <w:rsid w:val="00C57E9B"/>
    <w:rsid w:val="00C66EDC"/>
    <w:rsid w:val="00C77CB1"/>
    <w:rsid w:val="00C809BF"/>
    <w:rsid w:val="00C94DD1"/>
    <w:rsid w:val="00CE74AD"/>
    <w:rsid w:val="00CE74E0"/>
    <w:rsid w:val="00D00F13"/>
    <w:rsid w:val="00D03840"/>
    <w:rsid w:val="00D140A0"/>
    <w:rsid w:val="00D15341"/>
    <w:rsid w:val="00D345EE"/>
    <w:rsid w:val="00D460E1"/>
    <w:rsid w:val="00D81CA9"/>
    <w:rsid w:val="00D84C5B"/>
    <w:rsid w:val="00DB7173"/>
    <w:rsid w:val="00DC4312"/>
    <w:rsid w:val="00DF599B"/>
    <w:rsid w:val="00DF76F6"/>
    <w:rsid w:val="00E12FF5"/>
    <w:rsid w:val="00E318C8"/>
    <w:rsid w:val="00E4248C"/>
    <w:rsid w:val="00E43636"/>
    <w:rsid w:val="00E5117D"/>
    <w:rsid w:val="00E549B9"/>
    <w:rsid w:val="00E54EF6"/>
    <w:rsid w:val="00E5666B"/>
    <w:rsid w:val="00E61290"/>
    <w:rsid w:val="00E61D5A"/>
    <w:rsid w:val="00E62E58"/>
    <w:rsid w:val="00E71E63"/>
    <w:rsid w:val="00E8369B"/>
    <w:rsid w:val="00E84266"/>
    <w:rsid w:val="00E8715C"/>
    <w:rsid w:val="00EA369D"/>
    <w:rsid w:val="00EA7227"/>
    <w:rsid w:val="00EB23E6"/>
    <w:rsid w:val="00EC0683"/>
    <w:rsid w:val="00F02478"/>
    <w:rsid w:val="00F06E50"/>
    <w:rsid w:val="00F129FD"/>
    <w:rsid w:val="00F16655"/>
    <w:rsid w:val="00F3206E"/>
    <w:rsid w:val="00F37039"/>
    <w:rsid w:val="00F61EA2"/>
    <w:rsid w:val="00F62DA9"/>
    <w:rsid w:val="00F84740"/>
    <w:rsid w:val="00F87D5F"/>
    <w:rsid w:val="00F9248B"/>
    <w:rsid w:val="00F95FE7"/>
    <w:rsid w:val="00FA6ECA"/>
    <w:rsid w:val="00FA7593"/>
    <w:rsid w:val="00FB43E6"/>
    <w:rsid w:val="00FB4955"/>
    <w:rsid w:val="00FB6C21"/>
    <w:rsid w:val="00FC1F21"/>
    <w:rsid w:val="00FC6361"/>
    <w:rsid w:val="00FD22D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F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67"/>
    <w:pPr>
      <w:ind w:left="720"/>
      <w:contextualSpacing/>
    </w:pPr>
  </w:style>
  <w:style w:type="numbering" w:customStyle="1" w:styleId="NoList1">
    <w:name w:val="No List1"/>
    <w:next w:val="NoList"/>
    <w:uiPriority w:val="99"/>
    <w:semiHidden/>
    <w:unhideWhenUsed/>
    <w:rsid w:val="00186A2D"/>
  </w:style>
  <w:style w:type="character" w:styleId="Hyperlink">
    <w:name w:val="Hyperlink"/>
    <w:basedOn w:val="DefaultParagraphFont"/>
    <w:uiPriority w:val="99"/>
    <w:unhideWhenUsed/>
    <w:rsid w:val="00186A2D"/>
    <w:rPr>
      <w:color w:val="0000FF" w:themeColor="hyperlink"/>
      <w:u w:val="single"/>
    </w:rPr>
  </w:style>
  <w:style w:type="character" w:styleId="CommentReference">
    <w:name w:val="annotation reference"/>
    <w:basedOn w:val="DefaultParagraphFont"/>
    <w:uiPriority w:val="99"/>
    <w:semiHidden/>
    <w:unhideWhenUsed/>
    <w:rsid w:val="00186A2D"/>
    <w:rPr>
      <w:sz w:val="16"/>
      <w:szCs w:val="16"/>
    </w:rPr>
  </w:style>
  <w:style w:type="paragraph" w:styleId="CommentText">
    <w:name w:val="annotation text"/>
    <w:basedOn w:val="Normal"/>
    <w:link w:val="CommentTextChar"/>
    <w:uiPriority w:val="99"/>
    <w:semiHidden/>
    <w:unhideWhenUsed/>
    <w:rsid w:val="00186A2D"/>
    <w:pPr>
      <w:spacing w:line="240" w:lineRule="auto"/>
    </w:pPr>
    <w:rPr>
      <w:sz w:val="20"/>
      <w:szCs w:val="20"/>
    </w:rPr>
  </w:style>
  <w:style w:type="character" w:customStyle="1" w:styleId="CommentTextChar">
    <w:name w:val="Comment Text Char"/>
    <w:basedOn w:val="DefaultParagraphFont"/>
    <w:link w:val="CommentText"/>
    <w:uiPriority w:val="99"/>
    <w:semiHidden/>
    <w:rsid w:val="00186A2D"/>
    <w:rPr>
      <w:sz w:val="20"/>
      <w:szCs w:val="20"/>
    </w:rPr>
  </w:style>
  <w:style w:type="paragraph" w:styleId="CommentSubject">
    <w:name w:val="annotation subject"/>
    <w:basedOn w:val="CommentText"/>
    <w:next w:val="CommentText"/>
    <w:link w:val="CommentSubjectChar"/>
    <w:uiPriority w:val="99"/>
    <w:semiHidden/>
    <w:unhideWhenUsed/>
    <w:rsid w:val="00186A2D"/>
    <w:rPr>
      <w:b/>
      <w:bCs/>
    </w:rPr>
  </w:style>
  <w:style w:type="character" w:customStyle="1" w:styleId="CommentSubjectChar">
    <w:name w:val="Comment Subject Char"/>
    <w:basedOn w:val="CommentTextChar"/>
    <w:link w:val="CommentSubject"/>
    <w:uiPriority w:val="99"/>
    <w:semiHidden/>
    <w:rsid w:val="00186A2D"/>
    <w:rPr>
      <w:b/>
      <w:bCs/>
      <w:sz w:val="20"/>
      <w:szCs w:val="20"/>
    </w:rPr>
  </w:style>
  <w:style w:type="paragraph" w:styleId="BalloonText">
    <w:name w:val="Balloon Text"/>
    <w:basedOn w:val="Normal"/>
    <w:link w:val="BalloonTextChar"/>
    <w:uiPriority w:val="99"/>
    <w:semiHidden/>
    <w:unhideWhenUsed/>
    <w:rsid w:val="0018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A2D"/>
    <w:rPr>
      <w:rFonts w:ascii="Tahoma" w:hAnsi="Tahoma" w:cs="Tahoma"/>
      <w:sz w:val="16"/>
      <w:szCs w:val="16"/>
    </w:rPr>
  </w:style>
  <w:style w:type="paragraph" w:styleId="Footer">
    <w:name w:val="footer"/>
    <w:basedOn w:val="Normal"/>
    <w:link w:val="FooterChar"/>
    <w:uiPriority w:val="99"/>
    <w:unhideWhenUsed/>
    <w:rsid w:val="00186A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6A2D"/>
  </w:style>
  <w:style w:type="character" w:styleId="PageNumber">
    <w:name w:val="page number"/>
    <w:basedOn w:val="DefaultParagraphFont"/>
    <w:uiPriority w:val="99"/>
    <w:semiHidden/>
    <w:unhideWhenUsed/>
    <w:rsid w:val="00186A2D"/>
  </w:style>
  <w:style w:type="paragraph" w:styleId="FootnoteText">
    <w:name w:val="footnote text"/>
    <w:basedOn w:val="Normal"/>
    <w:link w:val="FootnoteTextChar"/>
    <w:uiPriority w:val="99"/>
    <w:unhideWhenUsed/>
    <w:rsid w:val="00186A2D"/>
    <w:pPr>
      <w:spacing w:after="0" w:line="240" w:lineRule="auto"/>
    </w:pPr>
    <w:rPr>
      <w:sz w:val="24"/>
      <w:szCs w:val="24"/>
    </w:rPr>
  </w:style>
  <w:style w:type="character" w:customStyle="1" w:styleId="FootnoteTextChar">
    <w:name w:val="Footnote Text Char"/>
    <w:basedOn w:val="DefaultParagraphFont"/>
    <w:link w:val="FootnoteText"/>
    <w:uiPriority w:val="99"/>
    <w:rsid w:val="00186A2D"/>
    <w:rPr>
      <w:sz w:val="24"/>
      <w:szCs w:val="24"/>
    </w:rPr>
  </w:style>
  <w:style w:type="character" w:styleId="FootnoteReference">
    <w:name w:val="footnote reference"/>
    <w:basedOn w:val="DefaultParagraphFont"/>
    <w:uiPriority w:val="99"/>
    <w:unhideWhenUsed/>
    <w:rsid w:val="00186A2D"/>
    <w:rPr>
      <w:vertAlign w:val="superscript"/>
    </w:rPr>
  </w:style>
  <w:style w:type="paragraph" w:styleId="Revision">
    <w:name w:val="Revision"/>
    <w:hidden/>
    <w:uiPriority w:val="99"/>
    <w:semiHidden/>
    <w:rsid w:val="00186A2D"/>
    <w:pPr>
      <w:spacing w:after="0" w:line="240" w:lineRule="auto"/>
    </w:pPr>
  </w:style>
  <w:style w:type="character" w:styleId="FollowedHyperlink">
    <w:name w:val="FollowedHyperlink"/>
    <w:basedOn w:val="DefaultParagraphFont"/>
    <w:uiPriority w:val="99"/>
    <w:semiHidden/>
    <w:unhideWhenUsed/>
    <w:rsid w:val="00186A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67"/>
    <w:pPr>
      <w:ind w:left="720"/>
      <w:contextualSpacing/>
    </w:pPr>
  </w:style>
  <w:style w:type="numbering" w:customStyle="1" w:styleId="NoList1">
    <w:name w:val="No List1"/>
    <w:next w:val="NoList"/>
    <w:uiPriority w:val="99"/>
    <w:semiHidden/>
    <w:unhideWhenUsed/>
    <w:rsid w:val="00186A2D"/>
  </w:style>
  <w:style w:type="character" w:styleId="Hyperlink">
    <w:name w:val="Hyperlink"/>
    <w:basedOn w:val="DefaultParagraphFont"/>
    <w:uiPriority w:val="99"/>
    <w:unhideWhenUsed/>
    <w:rsid w:val="00186A2D"/>
    <w:rPr>
      <w:color w:val="0000FF" w:themeColor="hyperlink"/>
      <w:u w:val="single"/>
    </w:rPr>
  </w:style>
  <w:style w:type="character" w:styleId="CommentReference">
    <w:name w:val="annotation reference"/>
    <w:basedOn w:val="DefaultParagraphFont"/>
    <w:uiPriority w:val="99"/>
    <w:semiHidden/>
    <w:unhideWhenUsed/>
    <w:rsid w:val="00186A2D"/>
    <w:rPr>
      <w:sz w:val="16"/>
      <w:szCs w:val="16"/>
    </w:rPr>
  </w:style>
  <w:style w:type="paragraph" w:styleId="CommentText">
    <w:name w:val="annotation text"/>
    <w:basedOn w:val="Normal"/>
    <w:link w:val="CommentTextChar"/>
    <w:uiPriority w:val="99"/>
    <w:semiHidden/>
    <w:unhideWhenUsed/>
    <w:rsid w:val="00186A2D"/>
    <w:pPr>
      <w:spacing w:line="240" w:lineRule="auto"/>
    </w:pPr>
    <w:rPr>
      <w:sz w:val="20"/>
      <w:szCs w:val="20"/>
    </w:rPr>
  </w:style>
  <w:style w:type="character" w:customStyle="1" w:styleId="CommentTextChar">
    <w:name w:val="Comment Text Char"/>
    <w:basedOn w:val="DefaultParagraphFont"/>
    <w:link w:val="CommentText"/>
    <w:uiPriority w:val="99"/>
    <w:semiHidden/>
    <w:rsid w:val="00186A2D"/>
    <w:rPr>
      <w:sz w:val="20"/>
      <w:szCs w:val="20"/>
    </w:rPr>
  </w:style>
  <w:style w:type="paragraph" w:styleId="CommentSubject">
    <w:name w:val="annotation subject"/>
    <w:basedOn w:val="CommentText"/>
    <w:next w:val="CommentText"/>
    <w:link w:val="CommentSubjectChar"/>
    <w:uiPriority w:val="99"/>
    <w:semiHidden/>
    <w:unhideWhenUsed/>
    <w:rsid w:val="00186A2D"/>
    <w:rPr>
      <w:b/>
      <w:bCs/>
    </w:rPr>
  </w:style>
  <w:style w:type="character" w:customStyle="1" w:styleId="CommentSubjectChar">
    <w:name w:val="Comment Subject Char"/>
    <w:basedOn w:val="CommentTextChar"/>
    <w:link w:val="CommentSubject"/>
    <w:uiPriority w:val="99"/>
    <w:semiHidden/>
    <w:rsid w:val="00186A2D"/>
    <w:rPr>
      <w:b/>
      <w:bCs/>
      <w:sz w:val="20"/>
      <w:szCs w:val="20"/>
    </w:rPr>
  </w:style>
  <w:style w:type="paragraph" w:styleId="BalloonText">
    <w:name w:val="Balloon Text"/>
    <w:basedOn w:val="Normal"/>
    <w:link w:val="BalloonTextChar"/>
    <w:uiPriority w:val="99"/>
    <w:semiHidden/>
    <w:unhideWhenUsed/>
    <w:rsid w:val="0018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A2D"/>
    <w:rPr>
      <w:rFonts w:ascii="Tahoma" w:hAnsi="Tahoma" w:cs="Tahoma"/>
      <w:sz w:val="16"/>
      <w:szCs w:val="16"/>
    </w:rPr>
  </w:style>
  <w:style w:type="paragraph" w:styleId="Footer">
    <w:name w:val="footer"/>
    <w:basedOn w:val="Normal"/>
    <w:link w:val="FooterChar"/>
    <w:uiPriority w:val="99"/>
    <w:unhideWhenUsed/>
    <w:rsid w:val="00186A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6A2D"/>
  </w:style>
  <w:style w:type="character" w:styleId="PageNumber">
    <w:name w:val="page number"/>
    <w:basedOn w:val="DefaultParagraphFont"/>
    <w:uiPriority w:val="99"/>
    <w:semiHidden/>
    <w:unhideWhenUsed/>
    <w:rsid w:val="00186A2D"/>
  </w:style>
  <w:style w:type="paragraph" w:styleId="FootnoteText">
    <w:name w:val="footnote text"/>
    <w:basedOn w:val="Normal"/>
    <w:link w:val="FootnoteTextChar"/>
    <w:uiPriority w:val="99"/>
    <w:unhideWhenUsed/>
    <w:rsid w:val="00186A2D"/>
    <w:pPr>
      <w:spacing w:after="0" w:line="240" w:lineRule="auto"/>
    </w:pPr>
    <w:rPr>
      <w:sz w:val="24"/>
      <w:szCs w:val="24"/>
    </w:rPr>
  </w:style>
  <w:style w:type="character" w:customStyle="1" w:styleId="FootnoteTextChar">
    <w:name w:val="Footnote Text Char"/>
    <w:basedOn w:val="DefaultParagraphFont"/>
    <w:link w:val="FootnoteText"/>
    <w:uiPriority w:val="99"/>
    <w:rsid w:val="00186A2D"/>
    <w:rPr>
      <w:sz w:val="24"/>
      <w:szCs w:val="24"/>
    </w:rPr>
  </w:style>
  <w:style w:type="character" w:styleId="FootnoteReference">
    <w:name w:val="footnote reference"/>
    <w:basedOn w:val="DefaultParagraphFont"/>
    <w:uiPriority w:val="99"/>
    <w:unhideWhenUsed/>
    <w:rsid w:val="00186A2D"/>
    <w:rPr>
      <w:vertAlign w:val="superscript"/>
    </w:rPr>
  </w:style>
  <w:style w:type="paragraph" w:styleId="Revision">
    <w:name w:val="Revision"/>
    <w:hidden/>
    <w:uiPriority w:val="99"/>
    <w:semiHidden/>
    <w:rsid w:val="00186A2D"/>
    <w:pPr>
      <w:spacing w:after="0" w:line="240" w:lineRule="auto"/>
    </w:pPr>
  </w:style>
  <w:style w:type="character" w:styleId="FollowedHyperlink">
    <w:name w:val="FollowedHyperlink"/>
    <w:basedOn w:val="DefaultParagraphFont"/>
    <w:uiPriority w:val="99"/>
    <w:semiHidden/>
    <w:unhideWhenUsed/>
    <w:rsid w:val="00186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6519">
      <w:bodyDiv w:val="1"/>
      <w:marLeft w:val="0"/>
      <w:marRight w:val="0"/>
      <w:marTop w:val="0"/>
      <w:marBottom w:val="0"/>
      <w:divBdr>
        <w:top w:val="none" w:sz="0" w:space="0" w:color="auto"/>
        <w:left w:val="none" w:sz="0" w:space="0" w:color="auto"/>
        <w:bottom w:val="none" w:sz="0" w:space="0" w:color="auto"/>
        <w:right w:val="none" w:sz="0" w:space="0" w:color="auto"/>
      </w:divBdr>
    </w:div>
    <w:div w:id="7961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invest.eu/project/overall-struc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invest.eu/workpackages/wp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pac.uk.net/2012/04/a-tale-of-two-models-disabled-people-vs-unum-atos-government-and-disability-charities-debbie-jolly/#sthash.Tz3oHIQt.uxfs" TargetMode="External"/><Relationship Id="rId4" Type="http://schemas.microsoft.com/office/2007/relationships/stylesWithEffects" Target="stylesWithEffects.xml"/><Relationship Id="rId9" Type="http://schemas.openxmlformats.org/officeDocument/2006/relationships/hyperlink" Target="https://www.gov.uk/government/publications/universal-credit-if-you-have-a-disability-or-health-condition-quick-guide/universal-credit-if-you-have-a-disability-or-health-condi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63D5-091E-43D1-ADDD-9E080670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23</Pages>
  <Words>9136</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G20014</dc:creator>
  <cp:lastModifiedBy>G20014</cp:lastModifiedBy>
  <cp:revision>15</cp:revision>
  <dcterms:created xsi:type="dcterms:W3CDTF">2019-11-15T01:18:00Z</dcterms:created>
  <dcterms:modified xsi:type="dcterms:W3CDTF">2020-05-19T04:45:00Z</dcterms:modified>
</cp:coreProperties>
</file>