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A4E8E7" w14:textId="7D78F3E2" w:rsidR="003C4955" w:rsidRDefault="00E17785" w:rsidP="00FB0575">
      <w:pPr>
        <w:rPr>
          <w:rStyle w:val="SubtitleChar"/>
        </w:rPr>
      </w:pPr>
      <w:bookmarkStart w:id="0" w:name="_GoBack"/>
      <w:bookmarkEnd w:id="0"/>
      <w:r>
        <w:rPr>
          <w:rStyle w:val="SubtitleChar"/>
        </w:rPr>
        <w:t>Effects of Atrial Fibrillation and Chronic Kidney Disease on Major Adverse Cardiovascular Events</w:t>
      </w:r>
    </w:p>
    <w:p w14:paraId="114BCE1C" w14:textId="5FBF24D9" w:rsidR="00C972F9" w:rsidRPr="00DA7A58" w:rsidRDefault="00C972F9" w:rsidP="00FB0575">
      <w:r w:rsidRPr="00DA7A58">
        <w:rPr>
          <w:rStyle w:val="SubtitleChar"/>
        </w:rPr>
        <w:t>Short title</w:t>
      </w:r>
      <w:r w:rsidRPr="00DA7A58">
        <w:t>:</w:t>
      </w:r>
      <w:r w:rsidR="00E17785">
        <w:t xml:space="preserve"> </w:t>
      </w:r>
      <w:r w:rsidR="001A516E">
        <w:t>MACE with</w:t>
      </w:r>
      <w:r w:rsidR="00FB0575">
        <w:t xml:space="preserve"> AF and CKD</w:t>
      </w:r>
    </w:p>
    <w:p w14:paraId="4E695655" w14:textId="245A25D3" w:rsidR="00DA7A58" w:rsidRDefault="00DA7A58" w:rsidP="00FB0575">
      <w:pPr>
        <w:tabs>
          <w:tab w:val="left" w:pos="2835"/>
        </w:tabs>
        <w:rPr>
          <w:rStyle w:val="SubtitleChar"/>
        </w:rPr>
      </w:pPr>
      <w:r w:rsidRPr="00DA7A58">
        <w:rPr>
          <w:rFonts w:eastAsia="Times New Roman"/>
          <w:lang w:eastAsia="en-US"/>
        </w:rPr>
        <w:t>Wern Yew Ding</w:t>
      </w:r>
      <w:r w:rsidR="001A516E">
        <w:rPr>
          <w:rFonts w:eastAsia="Times New Roman"/>
          <w:vertAlign w:val="superscript"/>
          <w:lang w:eastAsia="en-US"/>
        </w:rPr>
        <w:t>a</w:t>
      </w:r>
      <w:r w:rsidR="001A7E6D">
        <w:rPr>
          <w:rFonts w:eastAsia="Times New Roman"/>
          <w:lang w:eastAsia="en-US"/>
        </w:rPr>
        <w:t>, MBChB</w:t>
      </w:r>
      <w:r w:rsidR="007D45EC">
        <w:rPr>
          <w:rFonts w:eastAsia="Times New Roman"/>
          <w:lang w:eastAsia="en-US"/>
        </w:rPr>
        <w:t>; Gr</w:t>
      </w:r>
      <w:r w:rsidRPr="00DA7A58">
        <w:rPr>
          <w:rFonts w:eastAsia="Times New Roman"/>
          <w:lang w:eastAsia="en-US"/>
        </w:rPr>
        <w:t>egory Y. H. Lip</w:t>
      </w:r>
      <w:r w:rsidR="001A516E">
        <w:rPr>
          <w:rFonts w:eastAsia="Times New Roman"/>
          <w:vertAlign w:val="superscript"/>
          <w:lang w:eastAsia="en-US"/>
        </w:rPr>
        <w:t>a</w:t>
      </w:r>
      <w:r w:rsidRPr="00DA7A58">
        <w:rPr>
          <w:rFonts w:eastAsia="Times New Roman"/>
          <w:vertAlign w:val="superscript"/>
          <w:lang w:eastAsia="en-US"/>
        </w:rPr>
        <w:t>,</w:t>
      </w:r>
      <w:r w:rsidR="001A516E">
        <w:rPr>
          <w:rFonts w:eastAsia="Times New Roman"/>
          <w:vertAlign w:val="superscript"/>
          <w:lang w:eastAsia="en-US"/>
        </w:rPr>
        <w:t>b</w:t>
      </w:r>
      <w:r w:rsidR="001A7E6D">
        <w:rPr>
          <w:rFonts w:eastAsia="Times New Roman"/>
          <w:lang w:eastAsia="en-US"/>
        </w:rPr>
        <w:t>, MD</w:t>
      </w:r>
      <w:r w:rsidR="007D45EC">
        <w:rPr>
          <w:rFonts w:eastAsia="Times New Roman"/>
          <w:lang w:eastAsia="en-US"/>
        </w:rPr>
        <w:t xml:space="preserve">; </w:t>
      </w:r>
      <w:r w:rsidR="009C5239">
        <w:rPr>
          <w:rFonts w:eastAsia="Times New Roman"/>
          <w:lang w:eastAsia="en-US"/>
        </w:rPr>
        <w:t>Daniele Pastori</w:t>
      </w:r>
      <w:r w:rsidR="001A516E">
        <w:rPr>
          <w:rFonts w:eastAsia="Times New Roman"/>
          <w:vertAlign w:val="superscript"/>
          <w:lang w:eastAsia="en-US"/>
        </w:rPr>
        <w:t>c</w:t>
      </w:r>
      <w:r w:rsidR="001A7E6D">
        <w:rPr>
          <w:rFonts w:eastAsia="Times New Roman"/>
          <w:lang w:eastAsia="en-US"/>
        </w:rPr>
        <w:t>, PhD</w:t>
      </w:r>
      <w:r w:rsidR="007D45EC">
        <w:rPr>
          <w:rFonts w:eastAsia="Times New Roman"/>
          <w:lang w:eastAsia="en-US"/>
        </w:rPr>
        <w:t xml:space="preserve">; </w:t>
      </w:r>
      <w:r w:rsidR="009C5239">
        <w:rPr>
          <w:rFonts w:eastAsia="Times New Roman"/>
          <w:lang w:eastAsia="en-US"/>
        </w:rPr>
        <w:t>Alena Shantsila</w:t>
      </w:r>
      <w:r w:rsidR="001A516E">
        <w:rPr>
          <w:rFonts w:eastAsia="Times New Roman"/>
          <w:vertAlign w:val="superscript"/>
          <w:lang w:eastAsia="en-US"/>
        </w:rPr>
        <w:t>a</w:t>
      </w:r>
      <w:r w:rsidR="001A7E6D">
        <w:rPr>
          <w:rFonts w:eastAsia="Times New Roman"/>
          <w:lang w:eastAsia="en-US"/>
        </w:rPr>
        <w:t>, PhD</w:t>
      </w:r>
    </w:p>
    <w:p w14:paraId="0736BDBE" w14:textId="62BEB72C" w:rsidR="00476322" w:rsidRPr="00DA7A58" w:rsidRDefault="001A516E" w:rsidP="00FB0575">
      <w:pPr>
        <w:rPr>
          <w:rFonts w:eastAsia="Times New Roman"/>
          <w:lang w:eastAsia="en-US"/>
        </w:rPr>
      </w:pPr>
      <w:r>
        <w:rPr>
          <w:rFonts w:eastAsia="Calibri"/>
          <w:vertAlign w:val="superscript"/>
          <w:lang w:eastAsia="en-US"/>
        </w:rPr>
        <w:t>a</w:t>
      </w:r>
      <w:r w:rsidR="00DA7A58" w:rsidRPr="00DA7A58">
        <w:rPr>
          <w:rFonts w:eastAsia="Calibri"/>
          <w:lang w:eastAsia="en-US"/>
        </w:rPr>
        <w:t xml:space="preserve">Liverpool Centre for Cardiovascular Science, University of Liverpool and Liverpool Heart &amp; Chest Hospital, Liverpool, United Kingdom; </w:t>
      </w:r>
      <w:r>
        <w:rPr>
          <w:rFonts w:eastAsia="Calibri"/>
          <w:vertAlign w:val="superscript"/>
          <w:lang w:eastAsia="en-US"/>
        </w:rPr>
        <w:t>b</w:t>
      </w:r>
      <w:r w:rsidR="00DA7A58" w:rsidRPr="00DA7A58">
        <w:rPr>
          <w:rFonts w:eastAsia="Calibri"/>
          <w:lang w:eastAsia="en-US"/>
        </w:rPr>
        <w:t>Aalborg Thrombosis Research Unit, Department of Clinical Medicine, Aalborg University, Aalborg, Denmark</w:t>
      </w:r>
      <w:r w:rsidR="008F2218">
        <w:rPr>
          <w:rFonts w:eastAsia="Calibri"/>
          <w:lang w:eastAsia="en-US"/>
        </w:rPr>
        <w:t xml:space="preserve">; </w:t>
      </w:r>
      <w:r>
        <w:rPr>
          <w:rFonts w:eastAsia="Calibri"/>
          <w:vertAlign w:val="superscript"/>
          <w:lang w:eastAsia="en-US"/>
        </w:rPr>
        <w:t>c</w:t>
      </w:r>
      <w:r w:rsidR="00476322" w:rsidRPr="00476322">
        <w:rPr>
          <w:rFonts w:eastAsia="Times New Roman"/>
          <w:lang w:eastAsia="en-US"/>
        </w:rPr>
        <w:t>Department of Clinical, Internal Medicine, Anesthesiologic and Cardiovascular Sciences, Sapienza University of Rome, Italy.</w:t>
      </w:r>
    </w:p>
    <w:p w14:paraId="1449353B" w14:textId="77777777" w:rsidR="000D7C08" w:rsidRPr="003705DF" w:rsidRDefault="000D7C08" w:rsidP="00FB0575">
      <w:pPr>
        <w:rPr>
          <w:rStyle w:val="SubtitleChar"/>
        </w:rPr>
      </w:pPr>
    </w:p>
    <w:p w14:paraId="6B4AF1BB" w14:textId="7E58A4F6" w:rsidR="00763998" w:rsidRPr="003705DF" w:rsidRDefault="00A148B7" w:rsidP="00FB0575">
      <w:pPr>
        <w:pStyle w:val="Subtitle"/>
      </w:pPr>
      <w:r w:rsidRPr="003705DF">
        <w:t>Corresponding author</w:t>
      </w:r>
      <w:r w:rsidRPr="003705DF">
        <w:rPr>
          <w:bCs/>
        </w:rPr>
        <w:t>:</w:t>
      </w:r>
    </w:p>
    <w:p w14:paraId="270532CF" w14:textId="3169E153" w:rsidR="00402E0F" w:rsidRDefault="00402E0F" w:rsidP="00FB0575">
      <w:pPr>
        <w:rPr>
          <w:szCs w:val="22"/>
        </w:rPr>
      </w:pPr>
      <w:r>
        <w:t xml:space="preserve">Gregory Y H Lip </w:t>
      </w:r>
      <w:r>
        <w:tab/>
      </w:r>
      <w:r w:rsidR="00E84728">
        <w:tab/>
      </w:r>
      <w:hyperlink r:id="rId8" w:history="1">
        <w:r w:rsidR="00E84728" w:rsidRPr="0068152E">
          <w:rPr>
            <w:rStyle w:val="Hyperlink"/>
          </w:rPr>
          <w:t>gregory.lip@liverpool.ac.uk</w:t>
        </w:r>
      </w:hyperlink>
      <w:r>
        <w:t xml:space="preserve"> </w:t>
      </w:r>
    </w:p>
    <w:p w14:paraId="0D7AEBF8" w14:textId="77777777" w:rsidR="00402E0F" w:rsidRDefault="00402E0F" w:rsidP="00FB0575">
      <w:r>
        <w:t>Full mailing address</w:t>
      </w:r>
      <w:r>
        <w:tab/>
      </w:r>
      <w:r>
        <w:tab/>
        <w:t>University of Liverpool</w:t>
      </w:r>
    </w:p>
    <w:p w14:paraId="3FBB487C" w14:textId="77777777" w:rsidR="00402E0F" w:rsidRDefault="00402E0F" w:rsidP="00FB0575">
      <w:pPr>
        <w:ind w:left="2160" w:firstLine="720"/>
      </w:pPr>
      <w:r>
        <w:t>William Henry Duncan Building</w:t>
      </w:r>
    </w:p>
    <w:p w14:paraId="0ED88A27" w14:textId="77777777" w:rsidR="00402E0F" w:rsidRDefault="00402E0F" w:rsidP="00FB0575">
      <w:pPr>
        <w:ind w:left="2160" w:firstLine="720"/>
      </w:pPr>
      <w:r>
        <w:t>6 West Derby Street</w:t>
      </w:r>
    </w:p>
    <w:p w14:paraId="14033926" w14:textId="5505FCB7" w:rsidR="00D43F16" w:rsidRDefault="00402E0F" w:rsidP="00FB0575">
      <w:pPr>
        <w:ind w:left="2160" w:firstLine="720"/>
      </w:pPr>
      <w:r>
        <w:t>Liverpool, L7 8TX</w:t>
      </w:r>
    </w:p>
    <w:p w14:paraId="3931C4AA" w14:textId="1C14FFA8" w:rsidR="005665E0" w:rsidRDefault="005665E0" w:rsidP="00FB0575">
      <w:r w:rsidRPr="00102139">
        <w:rPr>
          <w:b/>
          <w:bCs w:val="0"/>
        </w:rPr>
        <w:t>Telephone number</w:t>
      </w:r>
      <w:r>
        <w:tab/>
      </w:r>
      <w:r>
        <w:tab/>
      </w:r>
      <w:r w:rsidR="00402E0F">
        <w:t>0151 794 9020</w:t>
      </w:r>
    </w:p>
    <w:p w14:paraId="0BB42B04" w14:textId="525E98AD" w:rsidR="00045BD2" w:rsidRPr="007D0C2B" w:rsidRDefault="00C972F9" w:rsidP="007D0C2B">
      <w:pPr>
        <w:rPr>
          <w:bCs w:val="0"/>
        </w:rPr>
      </w:pPr>
      <w:bookmarkStart w:id="1" w:name="_Ref24214698"/>
      <w:r w:rsidRPr="00102139">
        <w:rPr>
          <w:rStyle w:val="SubtitleChar"/>
        </w:rPr>
        <w:t>Word count</w:t>
      </w:r>
      <w:r w:rsidR="00402E0F">
        <w:rPr>
          <w:b/>
        </w:rPr>
        <w:tab/>
      </w:r>
      <w:r w:rsidR="00402E0F">
        <w:rPr>
          <w:b/>
        </w:rPr>
        <w:tab/>
      </w:r>
      <w:r w:rsidR="00402E0F">
        <w:rPr>
          <w:b/>
        </w:rPr>
        <w:tab/>
      </w:r>
      <w:r w:rsidR="0017762B" w:rsidRPr="0017762B">
        <w:rPr>
          <w:bCs w:val="0"/>
        </w:rPr>
        <w:t>2</w:t>
      </w:r>
      <w:r w:rsidR="001F06E0">
        <w:rPr>
          <w:bCs w:val="0"/>
        </w:rPr>
        <w:t>368</w:t>
      </w:r>
      <w:r w:rsidR="00045BD2" w:rsidRPr="00F129D6">
        <w:rPr>
          <w:b/>
        </w:rPr>
        <w:br w:type="page"/>
      </w:r>
    </w:p>
    <w:p w14:paraId="227BF8B7" w14:textId="45F6068B" w:rsidR="00A148B7" w:rsidRPr="003705DF" w:rsidRDefault="00A148B7">
      <w:pPr>
        <w:pStyle w:val="Heading1"/>
      </w:pPr>
      <w:r w:rsidRPr="003705DF">
        <w:lastRenderedPageBreak/>
        <w:t>Abstract</w:t>
      </w:r>
      <w:bookmarkEnd w:id="1"/>
      <w:r w:rsidR="003B4CA5" w:rsidRPr="003705DF">
        <w:t xml:space="preserve"> </w:t>
      </w:r>
    </w:p>
    <w:p w14:paraId="000DCE4A" w14:textId="0197E744" w:rsidR="007D0C2B" w:rsidRDefault="0004434B" w:rsidP="00DC50BA">
      <w:pPr>
        <w:spacing w:after="0"/>
      </w:pPr>
      <w:r>
        <w:t xml:space="preserve">Atrial fibrillation (AF) is </w:t>
      </w:r>
      <w:r w:rsidR="001A516E">
        <w:t xml:space="preserve">strongly linked to </w:t>
      </w:r>
      <w:r w:rsidR="00AA606A">
        <w:t>chronic kidney disease (CKD)</w:t>
      </w:r>
      <w:r w:rsidR="001A516E">
        <w:t xml:space="preserve"> and both </w:t>
      </w:r>
      <w:r w:rsidR="007D45EC">
        <w:t xml:space="preserve">of </w:t>
      </w:r>
      <w:r w:rsidR="001A516E">
        <w:t>these conditions contribute to poor cardiovascular outcomes</w:t>
      </w:r>
      <w:r>
        <w:t xml:space="preserve">. </w:t>
      </w:r>
      <w:r w:rsidR="001A516E">
        <w:t xml:space="preserve">We </w:t>
      </w:r>
      <w:r>
        <w:t>evaluate</w:t>
      </w:r>
      <w:r w:rsidR="007D45EC">
        <w:t>d</w:t>
      </w:r>
      <w:r>
        <w:t xml:space="preserve"> the impact of renal failure on </w:t>
      </w:r>
      <w:r w:rsidR="001A516E">
        <w:t>major adverse cardiovascular events (</w:t>
      </w:r>
      <w:r>
        <w:t>MACE</w:t>
      </w:r>
      <w:r w:rsidR="001A516E">
        <w:t>)</w:t>
      </w:r>
      <w:r w:rsidR="00237020">
        <w:t xml:space="preserve"> in AF</w:t>
      </w:r>
      <w:r>
        <w:t xml:space="preserve">, and </w:t>
      </w:r>
      <w:r w:rsidR="0090043A">
        <w:t xml:space="preserve">predictive value </w:t>
      </w:r>
      <w:r>
        <w:t xml:space="preserve">of the 2MACE score in </w:t>
      </w:r>
      <w:r w:rsidR="00237020">
        <w:t xml:space="preserve">this </w:t>
      </w:r>
      <w:r w:rsidR="007D45EC">
        <w:t>p</w:t>
      </w:r>
      <w:r>
        <w:t xml:space="preserve">ost-hoc analysis of the AMADEUS trial. The primary endpoint </w:t>
      </w:r>
      <w:r w:rsidR="00047F56">
        <w:t>was</w:t>
      </w:r>
      <w:r>
        <w:t xml:space="preserve"> MACE (composite of myocardial infarction, cardiac revascularisation and cardiovascular mortality). Secondary endpoints included </w:t>
      </w:r>
      <w:r w:rsidR="002F0F97">
        <w:t>the</w:t>
      </w:r>
      <w:r w:rsidR="00047F56">
        <w:t xml:space="preserve"> composite of stroke, major bleeding and non-cardiovascular mortality</w:t>
      </w:r>
      <w:r w:rsidR="002F0F97">
        <w:t xml:space="preserve">, </w:t>
      </w:r>
      <w:r w:rsidR="00047F56">
        <w:t xml:space="preserve">and </w:t>
      </w:r>
      <w:r>
        <w:t>each of the specific outcomes</w:t>
      </w:r>
      <w:r w:rsidR="00922B14">
        <w:t xml:space="preserve"> separately</w:t>
      </w:r>
      <w:r>
        <w:t>.</w:t>
      </w:r>
      <w:r w:rsidR="007D45EC">
        <w:rPr>
          <w:rStyle w:val="SubtitleChar"/>
        </w:rPr>
        <w:t xml:space="preserve"> </w:t>
      </w:r>
      <w:r>
        <w:t xml:space="preserve">Of the 4,554 patients, </w:t>
      </w:r>
      <w:r w:rsidR="00AA606A">
        <w:t xml:space="preserve">1,526 (33.5%) were females and the median age was 71 (IQR 64-77) years. There were 3,838 (84.3%) non-CKD and 716 (15.7%) CKD patients. The incidence of cardiovascular and non-cardiovascular mortality </w:t>
      </w:r>
      <w:r w:rsidR="002F0F97">
        <w:t>were</w:t>
      </w:r>
      <w:r w:rsidR="00AA606A">
        <w:t xml:space="preserve"> 1.41% and 2.44% per 100 </w:t>
      </w:r>
      <w:r w:rsidR="00B4393F">
        <w:t>patient-year</w:t>
      </w:r>
      <w:r w:rsidR="00AA606A">
        <w:t xml:space="preserve">s, respectively. There was no </w:t>
      </w:r>
      <w:r w:rsidR="002F0F97">
        <w:t>significant</w:t>
      </w:r>
      <w:r w:rsidR="00AA606A">
        <w:t xml:space="preserve"> difference in crude </w:t>
      </w:r>
      <w:r w:rsidR="005412E9">
        <w:t>study endpoints between the</w:t>
      </w:r>
      <w:r w:rsidR="00AA606A">
        <w:t xml:space="preserve"> groups. Multivariable regression analysis found no association between CKD and MACE (HR 1.03 [95% CI</w:t>
      </w:r>
      <w:r w:rsidR="001A516E">
        <w:t>,</w:t>
      </w:r>
      <w:r w:rsidR="00AA606A">
        <w:t xml:space="preserve">0.45-2.34]). </w:t>
      </w:r>
      <w:r w:rsidR="002F0F97">
        <w:t>T</w:t>
      </w:r>
      <w:r w:rsidR="00047F56">
        <w:t xml:space="preserve">he </w:t>
      </w:r>
      <w:r w:rsidR="00571B0D">
        <w:t>c-index</w:t>
      </w:r>
      <w:r w:rsidR="00047F56">
        <w:t xml:space="preserve"> of the 2MACE score for MACE was 0.65 (95% CI</w:t>
      </w:r>
      <w:r w:rsidR="001A516E">
        <w:t>,</w:t>
      </w:r>
      <w:r w:rsidR="00047F56">
        <w:t xml:space="preserve">0.59-0.71, </w:t>
      </w:r>
      <w:r w:rsidR="00047F56">
        <w:rPr>
          <w:i/>
          <w:iCs/>
        </w:rPr>
        <w:t>p</w:t>
      </w:r>
      <w:r w:rsidR="00047F56">
        <w:t>&lt;0.001)</w:t>
      </w:r>
      <w:r w:rsidR="00BF28EF">
        <w:t xml:space="preserve">. In the presence of CKD, each additional point of the 2MACE score </w:t>
      </w:r>
      <w:r w:rsidR="005412E9">
        <w:t>contributed to</w:t>
      </w:r>
      <w:r w:rsidR="00BF28EF">
        <w:t xml:space="preserve"> a greater risk of MACE (HR 3.17 [95% CI</w:t>
      </w:r>
      <w:r w:rsidR="001A516E">
        <w:t>,</w:t>
      </w:r>
      <w:r w:rsidR="00BF28EF">
        <w:t>1.28-7.85] vs 1.48 [95% CI</w:t>
      </w:r>
      <w:r w:rsidR="001A516E">
        <w:t>,</w:t>
      </w:r>
      <w:r w:rsidR="00BF28EF">
        <w:t>1.17-1.87] in the non-CKD group).</w:t>
      </w:r>
      <w:r w:rsidR="007D45EC">
        <w:t xml:space="preserve"> In conclusion, t</w:t>
      </w:r>
      <w:r w:rsidR="006F0804">
        <w:t>he 2MACE score may be a useful tool for clinical risk stratification of high-risk AF patients with CKD</w:t>
      </w:r>
      <w:r w:rsidR="00E84728">
        <w:t xml:space="preserve"> and t</w:t>
      </w:r>
      <w:r w:rsidR="006F0804">
        <w:t>hose at high MACE risk could be targeted for more intensive cardiovascular prevention strategies. The presence of CKD was not found to be independently associated with MACE in AF patients.</w:t>
      </w:r>
    </w:p>
    <w:p w14:paraId="769E9265" w14:textId="77777777" w:rsidR="007D45EC" w:rsidRDefault="007D45EC" w:rsidP="00DC50BA">
      <w:pPr>
        <w:spacing w:after="0"/>
      </w:pPr>
    </w:p>
    <w:p w14:paraId="265E7514" w14:textId="2F0BE958" w:rsidR="00EB0F2A" w:rsidRPr="00E10F78" w:rsidRDefault="007D0C2B" w:rsidP="00DC50BA">
      <w:pPr>
        <w:spacing w:after="0"/>
        <w:ind w:left="1440" w:hanging="1440"/>
      </w:pPr>
      <w:r w:rsidRPr="00F129D6">
        <w:rPr>
          <w:b/>
        </w:rPr>
        <w:t>Keywords</w:t>
      </w:r>
      <w:r w:rsidRPr="00F129D6">
        <w:rPr>
          <w:b/>
        </w:rPr>
        <w:tab/>
      </w:r>
      <w:r>
        <w:rPr>
          <w:bCs w:val="0"/>
        </w:rPr>
        <w:t>Atrial fibrillation; chronic kidney disease; major adverse cardiovascular events; 2MACE</w:t>
      </w:r>
      <w:r w:rsidR="00EB0F2A">
        <w:br w:type="page"/>
      </w:r>
    </w:p>
    <w:p w14:paraId="129AF7D6" w14:textId="3C6AD1B5" w:rsidR="00F3394B" w:rsidRPr="003705DF" w:rsidRDefault="00CC3813">
      <w:pPr>
        <w:pStyle w:val="Heading1"/>
      </w:pPr>
      <w:r w:rsidRPr="003705DF">
        <w:lastRenderedPageBreak/>
        <w:t>Introduction</w:t>
      </w:r>
    </w:p>
    <w:p w14:paraId="6CBCE4EC" w14:textId="5B655D70" w:rsidR="002C48BE" w:rsidRDefault="00223228" w:rsidP="00DC50BA">
      <w:pPr>
        <w:spacing w:after="0"/>
      </w:pPr>
      <w:r>
        <w:t>T</w:t>
      </w:r>
      <w:r w:rsidR="00B578EC">
        <w:t>here is a high incidence of cardiac-related complications</w:t>
      </w:r>
      <w:r>
        <w:t xml:space="preserve"> in patients with atrial fibrillation (AF)</w:t>
      </w:r>
      <w:r w:rsidR="00B578EC">
        <w:t>.</w:t>
      </w:r>
      <w:r w:rsidR="008202CE">
        <w:t xml:space="preserve"> </w:t>
      </w:r>
      <w:r w:rsidR="00487377">
        <w:t>A</w:t>
      </w:r>
      <w:r w:rsidR="00B578EC">
        <w:t xml:space="preserve"> p</w:t>
      </w:r>
      <w:r w:rsidR="00512851" w:rsidRPr="00A243F2">
        <w:rPr>
          <w:rFonts w:eastAsia="Times New Roman"/>
        </w:rPr>
        <w:t>ost-hoc analysis of</w:t>
      </w:r>
      <w:r w:rsidR="00B578EC">
        <w:rPr>
          <w:rFonts w:eastAsia="Times New Roman"/>
        </w:rPr>
        <w:t xml:space="preserve"> ROCKET-AF found that </w:t>
      </w:r>
      <w:r w:rsidR="00512851" w:rsidRPr="00A243F2">
        <w:rPr>
          <w:rFonts w:eastAsia="Times New Roman"/>
        </w:rPr>
        <w:t xml:space="preserve">72% of deaths </w:t>
      </w:r>
      <w:r w:rsidR="00B578EC">
        <w:rPr>
          <w:rFonts w:eastAsia="Times New Roman"/>
        </w:rPr>
        <w:t>in the study</w:t>
      </w:r>
      <w:r w:rsidR="008202CE">
        <w:rPr>
          <w:rFonts w:eastAsia="Times New Roman"/>
        </w:rPr>
        <w:t xml:space="preserve"> </w:t>
      </w:r>
      <w:r w:rsidR="00B578EC">
        <w:rPr>
          <w:rFonts w:eastAsia="Times New Roman"/>
        </w:rPr>
        <w:t>were cardiovascular</w:t>
      </w:r>
      <w:r w:rsidR="00512851" w:rsidRPr="00A243F2">
        <w:rPr>
          <w:rFonts w:eastAsia="Times New Roman"/>
        </w:rPr>
        <w:t>-related, whereas only 6% were caused by non-haemorrhagic stroke or systemic embolism</w:t>
      </w:r>
      <w:r w:rsidR="00512851">
        <w:rPr>
          <w:rFonts w:eastAsia="Times New Roman"/>
        </w:rPr>
        <w:t xml:space="preserve"> </w:t>
      </w:r>
      <w:r w:rsidR="00512851">
        <w:rPr>
          <w:rFonts w:eastAsia="Times New Roman"/>
        </w:rPr>
        <w:fldChar w:fldCharType="begin" w:fldLock="1"/>
      </w:r>
      <w:r w:rsidR="004B24CF">
        <w:rPr>
          <w:rFonts w:eastAsia="Times New Roman"/>
        </w:rPr>
        <w:instrText>ADDIN CSL_CITATION {"citationItems":[{"id":"ITEM-1","itemData":{"DOI":"10.1161/JAHA.115.002197","ISSN":"2047-9980 (Electronic)","PMID":"26955859","abstract":"BACKGROUND: Atrial fibrillation is associated with higher mortality. Identification of causes of death and contemporary risk factors for all-cause mortality may guide interventions. METHODS AND RESULTS: In the Rivaroxaban Once Daily Oral Direct Factor Xa Inhibition Compared with Vitamin K Antagonism for Prevention of Stroke and Embolism Trial in Atrial Fibrillation (ROCKET AF) study, patients with nonvalvular atrial fibrillation were randomized to rivaroxaban or dose-adjusted warfarin. Cox proportional hazards regression with backward elimination identified factors at randomization that were independently associated with all-cause mortality in the 14 171 participants in the intention-to-treat population. The median age was 73 years, and the mean CHADS2 score was 3.5. Over 1.9 years of median follow-up, 1214 (8.6%) patients died. Kaplan-Meier mortality rates were 4.2% at 1 year and 8.9% at 2 years. The majority of classified deaths (1081) were cardiovascular (72%), whereas only 6% were nonhemorrhagic stroke or systemic embolism. No significant difference in all-cause mortality was observed between the rivaroxaban and warfarin arms (P=0.15). Heart failure (hazard ratio 1.51, 95% CI 1.33-1.70, P&lt;0.0001) and age &gt;/=75 years (hazard ratio 1.69, 95% CI 1.51-1.90, P&lt;0.0001) were associated with higher all-cause mortality. Multiple additional characteristics were independently associated with higher mortality, with decreasing creatinine clearance, chronic obstructive pulmonary disease, male sex, peripheral vascular disease, and diabetes being among the most strongly associated (model C-index 0.677). CONCLUSIONS: In a large population of patients anticoagulated for nonvalvular atrial fibrillation, approximately 7 in 10 deaths were cardiovascular, whereas &lt;1 in 10 deaths were caused by nonhemorrhagic stroke or systemic embolism. Optimal prevention and treatment of heart failure, renal impairment, chronic obstructive pulmonary disease, and diabetes may improve survival. CLINICAL TRIAL REGISTRATION: URL: https://www.clinicaltrials.gov/. Unique identifier: NCT00403767.","author":[{"dropping-particle":"","family":"Pokorney","given":"Sean D","non-dropping-particle":"","parse-names":false,"suffix":""},{"dropping-particle":"","family":"Piccini","given":"Jonathan P","non-dropping-particle":"","parse-names":false,"suffix":""},{"dropping-particle":"","family":"Stevens","given":"Susanna R","non-dropping-particle":"","parse-names":false,"suffix":""},{"dropping-particle":"","family":"Patel","given":"Manesh R","non-dropping-particle":"","parse-names":false,"suffix":""},{"dropping-particle":"","family":"Pieper","given":"Karen S","non-dropping-particle":"","parse-names":false,"suffix":""},{"dropping-particle":"","family":"Halperin","given":"Jonathan L","non-dropping-particle":"","parse-names":false,"suffix":""},{"dropping-particle":"","family":"Breithardt","given":"Gunter","non-dropping-particle":"","parse-names":false,"suffix":""},{"dropping-particle":"","family":"Singer","given":"Daniel E","non-dropping-particle":"","parse-names":false,"suffix":""},{"dropping-particle":"","family":"Hankey","given":"Graeme J","non-dropping-particle":"","parse-names":false,"suffix":""},{"dropping-particle":"","family":"Hacke","given":"Werner","non-dropping-particle":"","parse-names":false,"suffix":""},{"dropping-particle":"","family":"Becker","given":"Richard C","non-dropping-particle":"","parse-names":false,"suffix":""},{"dropping-particle":"","family":"Berkowitz","given":"Scott D","non-dropping-particle":"","parse-names":false,"suffix":""},{"dropping-particle":"","family":"Nessel","given":"Christopher C","non-dropping-particle":"","parse-names":false,"suffix":""},{"dropping-particle":"","family":"Mahaffey","given":"Kenneth W","non-dropping-particle":"","parse-names":false,"suffix":""},{"dropping-particle":"","family":"Fox","given":"Keith A A","non-dropping-particle":"","parse-names":false,"suffix":""},{"dropping-particle":"","family":"Califf","given":"Robert M","non-dropping-particle":"","parse-names":false,"suffix":""}],"container-title":"Journal of the American Heart Association","id":"ITEM-1","issue":"3","issued":{"date-parts":[["2016","3"]]},"language":"eng","note":"Post-hoc analysis of ROCKET-AF study\n\n72% of deaths were CV-related, whereas only 6% were caused by non-haemorrhagic stroke or systemic embolism","page":"e002197","publisher-place":"England","title":"Cause of Death and Predictors of All-Cause Mortality in Anticoagulated Patients With Nonvalvular Atrial Fibrillation: Data From ROCKET AF.","type":"article-journal","volume":"5"},"uris":["http://www.mendeley.com/documents/?uuid=1ba60a63-ce6f-4239-9d26-2f1ef6013d2b"]}],"mendeley":{"formattedCitation":"&lt;sup&gt;1&lt;/sup&gt;","plainTextFormattedCitation":"1","previouslyFormattedCitation":"&lt;sup&gt;1&lt;/sup&gt;"},"properties":{"noteIndex":0},"schema":"https://github.com/citation-style-language/schema/raw/master/csl-citation.json"}</w:instrText>
      </w:r>
      <w:r w:rsidR="00512851">
        <w:rPr>
          <w:rFonts w:eastAsia="Times New Roman"/>
        </w:rPr>
        <w:fldChar w:fldCharType="separate"/>
      </w:r>
      <w:r w:rsidR="001A5431" w:rsidRPr="001A5431">
        <w:rPr>
          <w:rFonts w:eastAsia="Times New Roman"/>
          <w:noProof/>
          <w:vertAlign w:val="superscript"/>
        </w:rPr>
        <w:t>1</w:t>
      </w:r>
      <w:r w:rsidR="00512851">
        <w:rPr>
          <w:rFonts w:eastAsia="Times New Roman"/>
        </w:rPr>
        <w:fldChar w:fldCharType="end"/>
      </w:r>
      <w:r w:rsidR="00512851">
        <w:rPr>
          <w:rFonts w:eastAsia="Times New Roman"/>
        </w:rPr>
        <w:t>. Th</w:t>
      </w:r>
      <w:r w:rsidR="00B54E56">
        <w:rPr>
          <w:rFonts w:eastAsia="Times New Roman"/>
        </w:rPr>
        <w:t>e</w:t>
      </w:r>
      <w:r w:rsidR="00B578EC">
        <w:rPr>
          <w:rFonts w:eastAsia="Times New Roman"/>
        </w:rPr>
        <w:t xml:space="preserve"> finding</w:t>
      </w:r>
      <w:r w:rsidR="00512851">
        <w:rPr>
          <w:rFonts w:eastAsia="Times New Roman"/>
        </w:rPr>
        <w:t xml:space="preserve"> suggest</w:t>
      </w:r>
      <w:r w:rsidR="00B578EC">
        <w:rPr>
          <w:rFonts w:eastAsia="Times New Roman"/>
        </w:rPr>
        <w:t>s</w:t>
      </w:r>
      <w:r w:rsidR="00512851">
        <w:rPr>
          <w:rFonts w:eastAsia="Times New Roman"/>
        </w:rPr>
        <w:t xml:space="preserve"> that despite a preponderance of </w:t>
      </w:r>
      <w:r w:rsidR="00B578EC">
        <w:rPr>
          <w:rFonts w:eastAsia="Times New Roman"/>
        </w:rPr>
        <w:t xml:space="preserve">cerebrovascular and systemic embolisms </w:t>
      </w:r>
      <w:r w:rsidR="00512851">
        <w:rPr>
          <w:rFonts w:eastAsia="Times New Roman"/>
        </w:rPr>
        <w:t xml:space="preserve">in AF, that these do not account for the majority of </w:t>
      </w:r>
      <w:r w:rsidR="00487377">
        <w:rPr>
          <w:rFonts w:eastAsia="Times New Roman"/>
        </w:rPr>
        <w:t>excess deaths.</w:t>
      </w:r>
      <w:r w:rsidR="00B54E56">
        <w:rPr>
          <w:rFonts w:eastAsia="Times New Roman"/>
        </w:rPr>
        <w:t xml:space="preserve"> </w:t>
      </w:r>
      <w:r w:rsidR="002B5A2E">
        <w:t xml:space="preserve">Pastori </w:t>
      </w:r>
      <w:r w:rsidR="002B5A2E">
        <w:rPr>
          <w:i/>
          <w:iCs/>
        </w:rPr>
        <w:t>et al.</w:t>
      </w:r>
      <w:r w:rsidR="002B5A2E">
        <w:t xml:space="preserve"> </w:t>
      </w:r>
      <w:r>
        <w:t xml:space="preserve">previously </w:t>
      </w:r>
      <w:r w:rsidR="00487377">
        <w:t>described</w:t>
      </w:r>
      <w:r w:rsidR="002B5A2E">
        <w:t xml:space="preserve"> the 2MACE score which had good discriminative ability for </w:t>
      </w:r>
      <w:r w:rsidR="002C48BE">
        <w:t xml:space="preserve">major adverse cardiovascular events (MACE) </w:t>
      </w:r>
      <w:r w:rsidR="002B5A2E">
        <w:t xml:space="preserve">in patients with AF </w:t>
      </w:r>
      <w:r w:rsidR="002B5A2E">
        <w:fldChar w:fldCharType="begin" w:fldLock="1"/>
      </w:r>
      <w:r w:rsidR="004B24CF">
        <w:instrText>ADDIN CSL_CITATION {"citationItems":[{"id":"ITEM-1","itemData":{"DOI":"10.1007/s11739-015-1326-1","ISSN":"1970-9366 (Electronic)","PMID":"26471883","abstract":"Recent findings suggest that patients with non-valvular atrial fibrillation (AF), in addition to having a high risk for ischemic stroke, are also at risk for myocardial infarction (MI). The aim of the study was to combine factors predicting Major Adverse Cardiovascular Events (MACE) in AF patients, including fatal/nonfatal MI, cardiac revascularization, and cardiovascular death, into a simple risk score. Predictors of MACE were obtained from a prospective observational cohort study, including 1019 AF patients taking vitamin K antagonists from the Atherothrombosis Center, of Sapienza University of Rome. Thus, we derived the 2MACE score [2 points for Metabolic Syndrome and Age &gt;/=75, 1 point for MI/revascularization, Congestive heart failure (ejection fraction &lt;/=40 %), thrombo-Embolism (stroke/transient ischemic attack)], ranging from 0 to 7 points. To evaluate the 2MACE score, we included an external validation cohort of 1089 anticoagulated AF patients from the Thrombosis Centre of Azienda Ospedaliero-Universitaria Careggi, Firenze, Italy. At follow-up, 111 AF patients in the internal and 68 in the external cohort experienced a MACE. The 2MACE score showed a good ability in discriminating AF patients experiencing MACE both in the internal derivation cohort, with a c-index of 0.79 [95 % Confidence Interval (CI) 0.71-0.90, p &lt; 0.001] and in the external validation cohort (c-index 0.66, 95 % CI 0.60-0.73, p &lt; 0.001). The overall Hazard Ratio (HR) was 1.61 (95 % CI 1.40-1.85, p &lt; 0.001) for each additional point. A 2MACE score &gt;/=3 had the best combination of specificity and sensitivity, with an HR of 3.92 (95 % CI 2.41-6.40, p &lt; 0.001). The new simple 2MACE score may help identifying AF patients at risk for cardiovascular events.","author":[{"dropping-particle":"","family":"Pastori","given":"Daniele","non-dropping-particle":"","parse-names":false,"suffix":""},{"dropping-particle":"","family":"Farcomeni","given":"Alessio","non-dropping-particle":"","parse-names":false,"suffix":""},{"dropping-particle":"","family":"Poli","given":"Daniela","non-dropping-particle":"","parse-names":false,"suffix":""},{"dropping-particle":"","family":"Antonucci","given":"Emilia","non-dropping-particle":"","parse-names":false,"suffix":""},{"dropping-particle":"","family":"Angelico","given":"Francesco","non-dropping-particle":"","parse-names":false,"suffix":""},{"dropping-particle":"","family":"Ben","given":"Maria","non-dropping-particle":"Del","parse-names":false,"suffix":""},{"dropping-particle":"","family":"Cangemi","given":"Roberto","non-dropping-particle":"","parse-names":false,"suffix":""},{"dropping-particle":"","family":"Tanzilli","given":"Gaetano","non-dropping-particle":"","parse-names":false,"suffix":""},{"dropping-particle":"","family":"Lip","given":"Gregory Yoke Hong","non-dropping-particle":"","parse-names":false,"suffix":""},{"dropping-particle":"","family":"Pignatelli","given":"Pasquale","non-dropping-particle":"","parse-names":false,"suffix":""},{"dropping-particle":"","family":"Violi","given":"Francesco","non-dropping-particle":"","parse-names":false,"suffix":""}],"container-title":"Internal and emergency medicine","id":"ITEM-1","issue":"2","issued":{"date-parts":[["2016","3"]]},"language":"eng","note":"2MACE score internal derivation cohort with c-index of 0.79 and external validation cohort with c-index of 0.66\nHR was 1.61 (95% CI 1.40 - 1.85) for each addition point of the 2MACE score","page":"199-204","publisher-place":"Italy","title":"Cardiovascular risk stratification in patients with non-valvular atrial fibrillation: the 2MACE score.","type":"article-journal","volume":"11"},"uris":["http://www.mendeley.com/documents/?uuid=e4d0fd05-2913-4338-9da2-9a704619c372"]}],"mendeley":{"formattedCitation":"&lt;sup&gt;2&lt;/sup&gt;","plainTextFormattedCitation":"2","previouslyFormattedCitation":"&lt;sup&gt;2&lt;/sup&gt;"},"properties":{"noteIndex":0},"schema":"https://github.com/citation-style-language/schema/raw/master/csl-citation.json"}</w:instrText>
      </w:r>
      <w:r w:rsidR="002B5A2E">
        <w:fldChar w:fldCharType="separate"/>
      </w:r>
      <w:r w:rsidR="001A5431" w:rsidRPr="001A5431">
        <w:rPr>
          <w:noProof/>
          <w:vertAlign w:val="superscript"/>
        </w:rPr>
        <w:t>2</w:t>
      </w:r>
      <w:r w:rsidR="002B5A2E">
        <w:fldChar w:fldCharType="end"/>
      </w:r>
      <w:r w:rsidR="002B5A2E">
        <w:t>.</w:t>
      </w:r>
      <w:r w:rsidR="002C48BE">
        <w:t xml:space="preserve"> </w:t>
      </w:r>
    </w:p>
    <w:p w14:paraId="1509965A" w14:textId="6BF0EF80" w:rsidR="001F4D50" w:rsidRDefault="002C48BE" w:rsidP="00DC50BA">
      <w:pPr>
        <w:spacing w:after="0"/>
      </w:pPr>
      <w:r>
        <w:t>A</w:t>
      </w:r>
      <w:r w:rsidR="002B5A2E">
        <w:t xml:space="preserve">lthough </w:t>
      </w:r>
      <w:r w:rsidR="009107D4">
        <w:t>AF and chronic kidney disease (CKD) are closely related conditions</w:t>
      </w:r>
      <w:r w:rsidR="002B5A2E">
        <w:t xml:space="preserve"> </w:t>
      </w:r>
      <w:r w:rsidR="009107D4" w:rsidRPr="009107D4">
        <w:fldChar w:fldCharType="begin" w:fldLock="1"/>
      </w:r>
      <w:r w:rsidR="00804A5D">
        <w:instrText>ADDIN CSL_CITATION {"citationItems":[{"id":"ITEM-1","itemData":{"DOI":"10.1053/j.ajkd.2017.07.019","ISSN":"1523-6838 (Electronic)","PMID":"28941764","abstract":"Chronic kidney disease-mineral and bone disorder (CKD-MBD) encompasses laboratory and bone abnormalities and vascular calcification and has deleterious effects on clinical outcomes. KDOQI (Kidney Disease Outcomes Quality Initiative), an initiative of the National Kidney Foundation, addressed this issue with the publication of a clinical practice guideline for bone metabolism and disease in CKD in 2003, and 2 years later, a new definition and classification scheme for CKD-MBD was developed following a KDIGO (Kidney Disease: Improving Global Outcomes) Controversies Conference. The initial KDIGO guideline on CKD-MBD was then published in 2009. New evidence was subsequently reviewed at the 2013 KDIGO Controversies Conference, and in 2017, KDIGO issued a clinical practice guideline update for the diagnosis, evaluation, prevention, and treatment of CKD-MBD. This commentary presents the views of the KDOQI CKD-MBD work group convened by the National Kidney Foundation. The KDOQI work group agrees with most of the KDIGO guideline update recommendations, particularly the suggestions regarding bone mineral density testing, joint assessments of longitudinal trends in mineral metabolism markers, and dietary phosphate counseling focused on phosphate additives. However, the KDOQI work group has some concerns about the suggestions related to hypocalcemia and hypercalcemia, phosphate-binder choice, and treatment of abnormal parathyroid hormone concentrations. The overall goal of this commentary is to provide a broad discussion for the US nephrology community regarding CKD-MBD and its diagnosis, prevention, and treatment.","author":[{"dropping-particle":"","family":"Isakova","given":"Tamara","non-dropping-particle":"","parse-names":false,"suffix":""},{"dropping-particle":"","family":"Nickolas","given":"Thomas L","non-dropping-particle":"","parse-names":false,"suffix":""},{"dropping-particle":"","family":"Denburg","given":"Michelle","non-dropping-particle":"","parse-names":false,"suffix":""},{"dropping-particle":"","family":"Yarlagadda","given":"Sri","non-dropping-particle":"","parse-names":false,"suffix":""},{"dropping-particle":"","family":"Weiner","given":"Daniel E","non-dropping-particle":"","parse-names":false,"suffix":""},{"dropping-particle":"","family":"Gutierrez","given":"Orlando M","non-dropping-particle":"","parse-names":false,"suffix":""},{"dropping-particle":"","family":"Bansal","given":"Vinod","non-dropping-particle":"","parse-names":false,"suffix":""},{"dropping-particle":"","family":"Rosas","given":"Sylvia E","non-dropping-particle":"","parse-names":false,"suffix":""},{"dropping-particle":"","family":"Nigwekar","given":"Sagar","non-dropping-particle":"","parse-names":false,"suffix":""},{"dropping-particle":"","family":"Yee","given":"Jerry","non-dropping-particle":"","parse-names":false,"suffix":""},{"dropping-particle":"","family":"Kramer","given":"Holly","non-dropping-particle":"","parse-names":false,"suffix":""}],"container-title":"American journal of kidney diseases","id":"ITEM-1","issue":"6","issued":{"date-parts":[["2017","12"]]},"language":"eng","page":"737-751","publisher-place":"United States","title":"KDOQI US Commentary on the 2017 KDIGO Clinical Practice Guideline Update for the Diagnosis, Evaluation, Prevention, and Treatment of Chronic Kidney Disease-Mineral and Bone Disorder (CKD-MBD).","type":"article-journal","volume":"70"},"uris":["http://www.mendeley.com/documents/?uuid=d350c8de-a08c-41c9-ae23-1844145c928e"]},{"id":"ITEM-2","itemData":{"DOI":"10.2215/CJN.04060318","ISSN":"1555-905X (Electronic)","PMID":"30030271","abstract":"BACKGROUND AND OBJECTIVES: Patients with CKD have a high risk of atrial fibrillation. Both CKD and atrial fibrillation are associated with higher risk of stroke and death. However, the effect of incident atrial fibrillation on stroke risk among patients with CKD is unknown. DESIGN, SETTING, PARTICIPANTS, &amp; MEASUREMENTS: Our study included adults with CKD (eGFR&lt;60 ml/min per 1.73 m(2)) without previously documented atrial fibrillation who had been in contact with health care in Stockholm, Sweden during 2006-2011. Incident atrial fibrillation was identified by administrative diagnostic codes in outpatient or inpatient care and treated as a time-updated exposure in the analysis of stroke and death risk. Stroke events and deaths were ascertained from regional and national registers with complete coverage. Covariates included demographics, comorbidities, therapeutic procedures, and medications. Multivariable Cox regression analysis and competing risk analysis (accounting for death) were used to estimate the association between incident atrial fibrillation and stroke. RESULTS: Among 116,184 adults with CKD, 13,412 (12%) developed clinically recognized atrial fibrillation during a mean follow-up of 3.9 years (interquartile range, 2.3-5.7 years). Incidence of atrial fibrillation increased across lower eGFR strata: from 29.4 to 46.3 atrial fibrillations per 1000 person-years in subjects with eGFR=45-60 and &lt;30 ml/min per 1.73 m(2), respectively; 1388 (53.8 per 1000 person-years) cases of stroke and 5592 (205.1 per 1000 person-years) deaths occurred after incident atrial fibrillation compared with 6850 (16.6 per 1000 person-years) cases of stroke and 28,613 (67.5 per 1000 person-years) deaths during periods without atrial fibrillation. After adjustment, incident atrial fibrillation was associated with higher risk of stroke (hazard ratio, 2.00; 95% confidence interval, 1.88 to 2.14) and death (hazard ratio, 1.76; 95% confidence interval, 1.71 to 1.82). This was attributed to both ischemic stroke (hazard ratio, 2.11; 95% confidence interval, 1.96 to 2.28) and intracranial bleeds (hazard ratio, 1.64; 95% confidence interval, 1.42 to 1.90). Stroke risk was similar across all eGFR strata. In competing risk analyses accounting for death, the association between incident atrial fibrillation and stroke was attenuated but remained higher (subhazard ratio, 1.49; 95% confidence interval, 1.39 to 1.60). CONCLUSIONS: Patients with CKD who develop atrial fibrillation are at hi…","author":[{"dropping-particle":"","family":"Carrero","given":"Juan Jesus","non-dropping-particle":"","parse-names":false,"suffix":""},{"dropping-particle":"","family":"Trevisan","given":"Marco","non-dropping-particle":"","parse-names":false,"suffix":""},{"dropping-particle":"","family":"Sood","given":"Manish M.","non-dropping-particle":"","parse-names":false,"suffix":""},{"dropping-particle":"","family":"Barany","given":"Peter","non-dropping-particle":"","parse-names":false,"suffix":""},{"dropping-particle":"","family":"Xu","given":"Hong","non-dropping-particle":"","parse-names":false,"suffix":""},{"dropping-particle":"","family":"Evans","given":"Marie","non-dropping-particle":"","parse-names":false,"suffix":""},{"dropping-particle":"","family":"Friberg","given":"Leif","non-dropping-particle":"","parse-names":false,"suffix":""},{"dropping-particle":"","family":"Szummer","given":"Karolina","non-dropping-particle":"","parse-names":false,"suffix":""},{"dropping-particle":"","family":"Bárány","given":"Peter","non-dropping-particle":"","parse-names":false,"suffix":""},{"dropping-particle":"","family":"Xu","given":"Hong","non-dropping-particle":"","parse-names":false,"suffix":""},{"dropping-particle":"","family":"Evans","given":"Marie","non-dropping-particle":"","parse-names":false,"suffix":""},{"dropping-particle":"","family":"Friberg","given":"Leif","non-dropping-particle":"","parse-names":false,"suffix":""},{"dropping-particle":"","family":"Szummer","given":"Karolina","non-dropping-particle":"","parse-names":false,"suffix":""},{"dropping-particle":"","family":"Barany","given":"Peter","non-dropping-particle":"","parse-names":false,"suffix":""},{"dropping-particle":"","family":"Xu","given":"Hong","non-dropping-particle":"","parse-names":false,"suffix":""},{"dropping-particle":"","family":"Evans","given":"Marie","non-dropping-particle":"","parse-names":false,"suffix":""},{"dropping-particle":"","family":"Friberg","given":"Leif","non-dropping-particle":"","parse-names":false,"suffix":""},{"dropping-particle":"","family":"Szummer","given":"Karolina","non-dropping-particle":"","parse-names":false,"suffix":""}],"container-title":"Clinical Journal of the American Society of Nephrology","id":"ITEM-2","issue":"9","issued":{"date-parts":[["2018","9"]]},"language":"eng","page":"1314-1320","publisher-place":"United States, United States","title":"Incident atrial fibrillation and the risk of stroke in adults with chronic kidney disease: The Stockholm CREAtinine measurements (SCREAM) project","type":"article-journal","volume":"13"},"uris":["http://www.mendeley.com/documents/?uuid=f45ff101-85ce-4879-a450-11ca46d19582"]}],"mendeley":{"formattedCitation":"&lt;sup&gt;3,4&lt;/sup&gt;","plainTextFormattedCitation":"3,4","previouslyFormattedCitation":"&lt;sup&gt;3,4&lt;/sup&gt;"},"properties":{"noteIndex":0},"schema":"https://github.com/citation-style-language/schema/raw/master/csl-citation.json"}</w:instrText>
      </w:r>
      <w:r w:rsidR="009107D4" w:rsidRPr="009107D4">
        <w:fldChar w:fldCharType="separate"/>
      </w:r>
      <w:r w:rsidR="00804A5D" w:rsidRPr="00804A5D">
        <w:rPr>
          <w:noProof/>
          <w:vertAlign w:val="superscript"/>
        </w:rPr>
        <w:t>3,4</w:t>
      </w:r>
      <w:r w:rsidR="009107D4" w:rsidRPr="009107D4">
        <w:fldChar w:fldCharType="end"/>
      </w:r>
      <w:r w:rsidR="009107D4">
        <w:t xml:space="preserve">, </w:t>
      </w:r>
      <w:r w:rsidR="002B5A2E">
        <w:t xml:space="preserve">the influence of CKD on MACE </w:t>
      </w:r>
      <w:r w:rsidR="00E20BE0">
        <w:t xml:space="preserve">in AF </w:t>
      </w:r>
      <w:r w:rsidR="002B5A2E">
        <w:t xml:space="preserve">has not been properly </w:t>
      </w:r>
      <w:r w:rsidR="005F1289">
        <w:t>investigated</w:t>
      </w:r>
      <w:r w:rsidR="009107D4">
        <w:t xml:space="preserve">. </w:t>
      </w:r>
      <w:r w:rsidR="001F4D50">
        <w:t>The</w:t>
      </w:r>
      <w:r w:rsidR="00762746">
        <w:t>refore, the</w:t>
      </w:r>
      <w:r w:rsidR="001F4D50">
        <w:t xml:space="preserve"> </w:t>
      </w:r>
      <w:r w:rsidR="008F2218">
        <w:t>objectives of this study were to evaluate the impact of renal failure on MACE</w:t>
      </w:r>
      <w:r w:rsidR="00237020">
        <w:t xml:space="preserve"> in AF</w:t>
      </w:r>
      <w:r w:rsidR="008F2218">
        <w:t xml:space="preserve">, and the predictive value of the 2MACE score in </w:t>
      </w:r>
      <w:r w:rsidR="00237020">
        <w:t>this setting</w:t>
      </w:r>
      <w:r w:rsidR="008F2218">
        <w:t>.</w:t>
      </w:r>
      <w:r w:rsidR="001F4D50">
        <w:t xml:space="preserve"> </w:t>
      </w:r>
    </w:p>
    <w:p w14:paraId="5531C346" w14:textId="5D9A40B8" w:rsidR="00F3394B" w:rsidRPr="003705DF" w:rsidRDefault="00536F8A">
      <w:pPr>
        <w:pStyle w:val="Heading1"/>
      </w:pPr>
      <w:r w:rsidRPr="003705DF">
        <w:t>Methods</w:t>
      </w:r>
    </w:p>
    <w:p w14:paraId="330E278B" w14:textId="1520F99D" w:rsidR="00D90403" w:rsidRDefault="00E62DD5" w:rsidP="00DC50BA">
      <w:pPr>
        <w:spacing w:after="0"/>
        <w:ind w:left="720"/>
      </w:pPr>
      <w:r>
        <w:t>We included</w:t>
      </w:r>
      <w:r w:rsidR="00B10637">
        <w:t xml:space="preserve"> patients from the AMADEUS (</w:t>
      </w:r>
      <w:r w:rsidR="00A24A8F" w:rsidRPr="00A24A8F">
        <w:t>Evaluating the Use of SR34006 Compared to Warfarin or Acenocoumarol in Patients With Atrial Fibrillation</w:t>
      </w:r>
      <w:r w:rsidR="00A24A8F">
        <w:t>) trial.</w:t>
      </w:r>
      <w:r w:rsidR="00B10637">
        <w:t xml:space="preserve"> </w:t>
      </w:r>
      <w:r>
        <w:t>Details of the study design have previously been</w:t>
      </w:r>
      <w:r w:rsidR="00B10637">
        <w:t xml:space="preserve"> </w:t>
      </w:r>
      <w:r>
        <w:t>published</w:t>
      </w:r>
      <w:r w:rsidR="007A6F1B">
        <w:t xml:space="preserve"> </w:t>
      </w:r>
      <w:r w:rsidR="007A6F1B">
        <w:fldChar w:fldCharType="begin" w:fldLock="1"/>
      </w:r>
      <w:r w:rsidR="00804A5D">
        <w:instrText>ADDIN CSL_CITATION {"citationItems":[{"id":"ITEM-1","itemData":{"DOI":"10.1016/S0140-6736(08)60168-3","ISSN":"1474-547X (Electronic)","PMID":"18294998","abstract":"BACKGROUND: Vitamin K antagonists, the current standard treatment for prophylaxis against stroke and systemic embolism in patients with atrial fibrillation, require regular monitoring and dose adjustment; an unmonitored, fixed-dose anticoagulant regimen would be preferable. The aim of this randomised, open-label non-inferiority trial was to compare the efficacy and safety of idraparinux with vitamin K antagonists. METHODS: Patients with atrial fibrillation at risk for thromboembolism were randomly assigned to receive either subcutaneous idraparinux (2.5 mg weekly) or adjusted-dose vitamin K antagonists (target of an international normalised ratio of 2-3). Assessment of outcome was done blinded to treatment. The primary efficacy outcome was the cumulative incidence of all stroke and systemic embolism. The principal safety outcome was clinically relevant bleeding. Analyses were done by intention to treat; the non-inferiority hazard ratio was set at 1.5. This trial is registered with ClinicalTrials.gov, number NCT00070655. FINDINGS: The trial was stopped after randomisation of 4576 patients (2283 to receive idraparinux, 2293 to receive vitamin K antagonists) and a mean follow-up period of 10.7 (SD 5.4) months because of excess clinically relevant bleeding with idraparinux (346 cases vs 226 cases; 19.7 vs 11.3 per 100 patient-years; p&lt;0.0001). There were 21 instances of intracranial bleeding with idraparinux and nine with vitamin K antagonists (1.1 vs 0.4 per 100 patient-years; p=0.014); elderly patients and those with renal impairment were at greater risk of such complications. There were 18 cases of thromboembolism with idraparinux and 27 cases with vitamin K antagonists (0.9 vs 1.3 per 100 patient-years; hazard ratio 0.71, 95% CI 0.39-1.30; p=0.007), satisfying the non-inferiority criterion. There were 62 deaths with idraparinux and 61 with vitamin K anatagonists (3.2 vs 2.9 per 100 patient-years; p=0.49). INTERPRETATION: In patients with atrial fibrillation at risk for thromboembolism, long-term treatment with idraparinux was no worse than vitamin K antagonists in terms of efficacy, but caused significantly more bleeding.","author":[{"dropping-particle":"","family":"Bousser","given":"M G","non-dropping-particle":"","parse-names":false,"suffix":""},{"dropping-particle":"","family":"Bouthier","given":"J","non-dropping-particle":"","parse-names":false,"suffix":""},{"dropping-particle":"","family":"Buller","given":"H R","non-dropping-particle":"","parse-names":false,"suffix":""},{"dropping-particle":"","family":"Cohen","given":"A T","non-dropping-particle":"","parse-names":false,"suffix":""},{"dropping-particle":"","family":"Crijns","given":"H","non-dropping-particle":"","parse-names":false,"suffix":""},{"dropping-particle":"","family":"Davidson","given":"B L","non-dropping-particle":"","parse-names":false,"suffix":""},{"dropping-particle":"","family":"Halperin","given":"J","non-dropping-particle":"","parse-names":false,"suffix":""},{"dropping-particle":"","family":"Hankey","given":"G","non-dropping-particle":"","parse-names":false,"suffix":""},{"dropping-particle":"","family":"Levy","given":"S","non-dropping-particle":"","parse-names":false,"suffix":""},{"dropping-particle":"","family":"Pengo","given":"V","non-dropping-particle":"","parse-names":false,"suffix":""},{"dropping-particle":"","family":"Prandoni","given":"P","non-dropping-particle":"","parse-names":false,"suffix":""},{"dropping-particle":"","family":"Prins","given":"M H","non-dropping-particle":"","parse-names":false,"suffix":""},{"dropping-particle":"","family":"Tomkowski","given":"W","non-dropping-particle":"","parse-names":false,"suffix":""},{"dropping-particle":"","family":"Torp-Pedersen","given":"C","non-dropping-particle":"","parse-names":false,"suffix":""},{"dropping-particle":"","family":"Wyse","given":"D G","non-dropping-particle":"","parse-names":false,"suffix":""}],"container-title":"Lancet","id":"ITEM-1","issue":"9609","issued":{"date-parts":[["2008","1"]]},"language":"eng","page":"315-321","publisher-place":"England","title":"Comparison of idraparinux with vitamin K antagonists for prevention of thromboembolism in patients with atrial fibrillation: a randomised, open-label, non-inferiority trial.","type":"article-journal","volume":"371"},"uris":["http://www.mendeley.com/documents/?uuid=d848e296-bd4f-4698-b560-c60f9678fb9b"]}],"mendeley":{"formattedCitation":"&lt;sup&gt;5&lt;/sup&gt;","plainTextFormattedCitation":"5","previouslyFormattedCitation":"&lt;sup&gt;5&lt;/sup&gt;"},"properties":{"noteIndex":0},"schema":"https://github.com/citation-style-language/schema/raw/master/csl-citation.json"}</w:instrText>
      </w:r>
      <w:r w:rsidR="007A6F1B">
        <w:fldChar w:fldCharType="separate"/>
      </w:r>
      <w:r w:rsidR="00804A5D" w:rsidRPr="00804A5D">
        <w:rPr>
          <w:noProof/>
          <w:vertAlign w:val="superscript"/>
        </w:rPr>
        <w:t>5</w:t>
      </w:r>
      <w:r w:rsidR="007A6F1B">
        <w:fldChar w:fldCharType="end"/>
      </w:r>
      <w:r w:rsidR="00A24A8F">
        <w:t>.</w:t>
      </w:r>
      <w:r w:rsidR="007A6F1B">
        <w:t xml:space="preserve"> </w:t>
      </w:r>
      <w:r w:rsidR="00B10637">
        <w:t xml:space="preserve">In brief, </w:t>
      </w:r>
      <w:r>
        <w:t>this</w:t>
      </w:r>
      <w:r w:rsidR="00E93154">
        <w:t xml:space="preserve"> was a multicentre, randomised, open-label non-inferiority study with blinded </w:t>
      </w:r>
      <w:r>
        <w:t>outcomes assessment</w:t>
      </w:r>
      <w:r w:rsidR="00B10637">
        <w:t xml:space="preserve"> that compared</w:t>
      </w:r>
      <w:r w:rsidR="00E93154">
        <w:t xml:space="preserve"> fixed-dose idraparinux </w:t>
      </w:r>
      <w:r w:rsidR="00B10637">
        <w:t xml:space="preserve">with </w:t>
      </w:r>
      <w:r w:rsidR="00E93154">
        <w:t xml:space="preserve">dose-adjusted </w:t>
      </w:r>
      <w:r w:rsidR="001A5431">
        <w:t>vitamin K antagonist (</w:t>
      </w:r>
      <w:r w:rsidR="00E93154">
        <w:t>VKA</w:t>
      </w:r>
      <w:r w:rsidR="001A5431">
        <w:t>)</w:t>
      </w:r>
      <w:r w:rsidR="00E93154">
        <w:t xml:space="preserve"> in </w:t>
      </w:r>
      <w:r>
        <w:t>patients</w:t>
      </w:r>
      <w:r w:rsidR="00E93154">
        <w:t xml:space="preserve"> with non-valvular AF.</w:t>
      </w:r>
      <w:r w:rsidR="00561197">
        <w:t xml:space="preserve"> </w:t>
      </w:r>
      <w:r>
        <w:t>Study participants</w:t>
      </w:r>
      <w:r w:rsidR="008C0032">
        <w:t xml:space="preserve"> were </w:t>
      </w:r>
      <w:r w:rsidR="00B10637">
        <w:t>enrolled</w:t>
      </w:r>
      <w:r w:rsidR="008C0032">
        <w:t xml:space="preserve"> between September 2003 </w:t>
      </w:r>
      <w:r>
        <w:t>and</w:t>
      </w:r>
      <w:r w:rsidR="008C0032">
        <w:t xml:space="preserve"> July 2005. The exclusion criteria </w:t>
      </w:r>
      <w:r>
        <w:t>included</w:t>
      </w:r>
      <w:r w:rsidR="00B10637">
        <w:t xml:space="preserve"> transient AF caused by a reversible condition, </w:t>
      </w:r>
      <w:r w:rsidR="008C0032">
        <w:t>an</w:t>
      </w:r>
      <w:r w:rsidR="00B10637">
        <w:t>y</w:t>
      </w:r>
      <w:r w:rsidR="008C0032">
        <w:t xml:space="preserve"> indication for VKA other than AF, active </w:t>
      </w:r>
      <w:r w:rsidR="00B10637">
        <w:t>or high-risk</w:t>
      </w:r>
      <w:r w:rsidR="008C0032">
        <w:t xml:space="preserve"> of bleeding, creatinine clearance </w:t>
      </w:r>
      <w:r w:rsidR="00E84728">
        <w:t>&lt;</w:t>
      </w:r>
      <w:r w:rsidR="008C0032">
        <w:t>10 mL/min, severe liver disease,</w:t>
      </w:r>
      <w:r w:rsidR="00B10637">
        <w:t xml:space="preserve"> and</w:t>
      </w:r>
      <w:r w:rsidR="008C0032">
        <w:t xml:space="preserve"> uncontrolled hypertension</w:t>
      </w:r>
      <w:r w:rsidR="00A77146">
        <w:t>.</w:t>
      </w:r>
    </w:p>
    <w:p w14:paraId="4EB1E0E9" w14:textId="2B5AEAFF" w:rsidR="00A340F2" w:rsidRDefault="00A340F2" w:rsidP="00DC50BA">
      <w:pPr>
        <w:spacing w:after="0"/>
        <w:ind w:left="720"/>
      </w:pPr>
      <w:r>
        <w:t xml:space="preserve">Serum creatinine, sex, age and ethnicity were available for the calculation of estimated glomerular filtration rate (eGFR) using the Chronic Kidney Disease Epidemiology Collaboration (CKD-EPI) equation </w:t>
      </w:r>
      <w:r>
        <w:fldChar w:fldCharType="begin" w:fldLock="1"/>
      </w:r>
      <w:r w:rsidR="00804A5D">
        <w:instrText>ADDIN CSL_CITATION {"citationItems":[{"id":"ITEM-1","itemData":{"DOI":"10.1053/j.ajkd.2010.03.026","ISSN":"1523-6838 (Electronic)","PMID":"20557989","abstract":"BACKGROUND: The Modification of Diet in Renal Disease (MDRD) Study equation underestimates measured glomerular filtration rate (GFR) at levels&gt;60 mL/min/1.73 m2, with variable accuracy among subgroups; consequently, estimated GFR (eGFR)&gt;or=60 mL/min/1.73 m2 is not reported by clinical laboratories. Here, performance of a more accurate GFR-estimating equation, the Chronic Kidney Disease Epidemiology Collaboration (CKD-EPI) equation, is reported by level of GFR and clinical characteristics. STUDY DESIGN: Test of diagnostic accuracy. SETTING &amp; PARTICIPANTS: Pooled data set of 3,896 people from 16 studies with measured GFR (not used for the development of either equation). Subgroups were defined by eGFR, age, sex, race, diabetes, prior solid-organ transplant, and body mass index. INDEX TESTS: eGFR from the CKD-EPI and MDRD Study equations and standardized serum creatinine. REFERENCE TEST: Measured GFR using urinary or plasma clearance of exogenous filtration markers. RESULTS: Mean measured GFR was 68+/-36 (SD) mL/min/1.73 m2. For eGFR&lt;30 mL/min/1.73 m2, both equations have similar bias (median difference compared with measured GFR). For eGFR of 30-59 mL/min/1.73 m2, bias was decreased from 4.9 to 2.1 mL/min/1.73 m2 (57% improvement). For eGFR of 60-89 mL/min/1.73 m2, bias was decreased from 11.9 to 4.2 mL/min/1.73 m2 (61% improvement). For eGFR of 90-119 mL/min/1.73 m2, bias was decreased from 10.0 to 1.9 mL/min/1.73 m2 (75% improvement). Similar or improved performance was noted for most subgroups with eGFR&lt;90 mL/min/1.73 m2, other than body mass index&lt;20 kg/m2, with greater variation noted for some subgroups with eGFR&gt;or=90 mL/min/1.73 m2. LIMITATIONS: Limited number of elderly people and racial and ethnic minorities with measured GFR. CONCLUSIONS: The CKD-EPI equation is more accurate than the MDRD Study equation overall and across most subgroups. In contrast to the MDRD Study equation, eGFR&gt;or=60 mL/min/1.73 m2 can be reported using the CKD-EPI equation.","author":[{"dropping-particle":"","family":"Stevens","given":"Lesley A","non-dropping-particle":"","parse-names":false,"suffix":""},{"dropping-particle":"","family":"Schmid","given":"Christopher H","non-dropping-particle":"","parse-names":false,"suffix":""},{"dropping-particle":"","family":"Greene","given":"Tom","non-dropping-particle":"","parse-names":false,"suffix":""},{"dropping-particle":"","family":"Zhang","given":"Yaping Lucy","non-dropping-particle":"","parse-names":false,"suffix":""},{"dropping-particle":"","family":"Beck","given":"Gerald J","non-dropping-particle":"","parse-names":false,"suffix":""},{"dropping-particle":"","family":"Froissart","given":"Marc","non-dropping-particle":"","parse-names":false,"suffix":""},{"dropping-particle":"","family":"Hamm","given":"Lee L","non-dropping-particle":"","parse-names":false,"suffix":""},{"dropping-particle":"","family":"Lewis","given":"Julia B","non-dropping-particle":"","parse-names":false,"suffix":""},{"dropping-particle":"","family":"Mauer","given":"Michael","non-dropping-particle":"","parse-names":false,"suffix":""},{"dropping-particle":"","family":"Navis","given":"Gerjan J","non-dropping-particle":"","parse-names":false,"suffix":""},{"dropping-particle":"","family":"Steffes","given":"Michael W","non-dropping-particle":"","parse-names":false,"suffix":""},{"dropping-particle":"","family":"Eggers","given":"Paul W","non-dropping-particle":"","parse-names":false,"suffix":""},{"dropping-particle":"","family":"Coresh","given":"Josef","non-dropping-particle":"","parse-names":false,"suffix":""},{"dropping-particle":"","family":"Levey","given":"Andrew S","non-dropping-particle":"","parse-names":false,"suffix":""}],"container-title":"American journal of kidney diseases","id":"ITEM-1","issue":"3","issued":{"date-parts":[["2010","9"]]},"language":"eng","page":"486-495","publisher-place":"United States","title":"Comparative performance of the CKD Epidemiology Collaboration (CKD-EPI) and the Modification of Diet in Renal Disease (MDRD) Study equations for estimating GFR levels above 60 mL/min/1.73 m2.","type":"article-journal","volume":"56"},"uris":["http://www.mendeley.com/documents/?uuid=8bd7913c-7e88-4251-97ac-ff8949a95041"]}],"mendeley":{"formattedCitation":"&lt;sup&gt;6&lt;/sup&gt;","plainTextFormattedCitation":"6","previouslyFormattedCitation":"&lt;sup&gt;6&lt;/sup&gt;"},"properties":{"noteIndex":0},"schema":"https://github.com/citation-style-language/schema/raw/master/csl-citation.json"}</w:instrText>
      </w:r>
      <w:r>
        <w:fldChar w:fldCharType="separate"/>
      </w:r>
      <w:r w:rsidR="00804A5D" w:rsidRPr="00804A5D">
        <w:rPr>
          <w:noProof/>
          <w:vertAlign w:val="superscript"/>
        </w:rPr>
        <w:t>6</w:t>
      </w:r>
      <w:r>
        <w:fldChar w:fldCharType="end"/>
      </w:r>
      <w:r>
        <w:t xml:space="preserve">. Study participants with missing variables to </w:t>
      </w:r>
      <w:r>
        <w:lastRenderedPageBreak/>
        <w:t xml:space="preserve">determine eGFR were excluded and the remainder were categorised into </w:t>
      </w:r>
      <w:r w:rsidR="00E21112">
        <w:t>2</w:t>
      </w:r>
      <w:r>
        <w:t xml:space="preserve"> groups based on </w:t>
      </w:r>
      <w:r w:rsidR="00357519">
        <w:t xml:space="preserve">the presence of CKD. For the purposes of this </w:t>
      </w:r>
      <w:r w:rsidR="00802381">
        <w:t>an</w:t>
      </w:r>
      <w:r w:rsidR="00E24B28">
        <w:t>a</w:t>
      </w:r>
      <w:r w:rsidR="00802381">
        <w:t>lysis</w:t>
      </w:r>
      <w:r w:rsidR="00357519">
        <w:t>, CKD was defined as</w:t>
      </w:r>
      <w:r>
        <w:t xml:space="preserve"> eGFR </w:t>
      </w:r>
      <w:r w:rsidR="00357519">
        <w:t>&lt;</w:t>
      </w:r>
      <w:r>
        <w:t>60</w:t>
      </w:r>
      <w:r w:rsidRPr="007D3E8D">
        <w:t xml:space="preserve"> </w:t>
      </w:r>
      <w:r>
        <w:t>ml/min/1.73 m</w:t>
      </w:r>
      <w:r w:rsidRPr="00604B01">
        <w:rPr>
          <w:vertAlign w:val="superscript"/>
        </w:rPr>
        <w:t>2</w:t>
      </w:r>
      <w:r>
        <w:t xml:space="preserve">. </w:t>
      </w:r>
      <w:r w:rsidR="00047F56">
        <w:t xml:space="preserve">The primary endpoint was MACE (composite of </w:t>
      </w:r>
      <w:r w:rsidR="00223228">
        <w:t>myocardial infarction (</w:t>
      </w:r>
      <w:r w:rsidR="006F0804">
        <w:t>MI</w:t>
      </w:r>
      <w:r w:rsidR="00223228">
        <w:t>)</w:t>
      </w:r>
      <w:r w:rsidR="00047F56">
        <w:t>, cardiac revascularisation and cardiovascular mortality). Secondary endpoints included OCRE (other clinically relevant events; defined as a composite of stroke, major bleeding and non-cardiovascular mortality) and each of the specific outcomes.</w:t>
      </w:r>
      <w:r w:rsidR="001C1B20">
        <w:t xml:space="preserve"> These endpoints were adjudicated outcomes in this clinical trial cohort.</w:t>
      </w:r>
    </w:p>
    <w:p w14:paraId="561ED95B" w14:textId="6E4A49BF" w:rsidR="00CC35B5" w:rsidRDefault="00CC35B5" w:rsidP="00DC50BA">
      <w:pPr>
        <w:spacing w:after="0"/>
        <w:ind w:left="720"/>
      </w:pPr>
      <w:r>
        <w:t xml:space="preserve">The </w:t>
      </w:r>
      <w:r w:rsidRPr="006E2513">
        <w:t>2MACE</w:t>
      </w:r>
      <w:r>
        <w:t xml:space="preserve"> score was determined </w:t>
      </w:r>
      <w:r w:rsidR="003B44E9">
        <w:t xml:space="preserve">by </w:t>
      </w:r>
      <w:r>
        <w:t>assigning</w:t>
      </w:r>
      <w:r w:rsidR="00A340F2">
        <w:t xml:space="preserve"> 2 points for m</w:t>
      </w:r>
      <w:r w:rsidRPr="006E2513">
        <w:t>etabolic syndrome</w:t>
      </w:r>
      <w:r w:rsidR="00A340F2">
        <w:t xml:space="preserve"> and a</w:t>
      </w:r>
      <w:r w:rsidRPr="006E2513">
        <w:t>ge ≥75</w:t>
      </w:r>
      <w:r w:rsidR="00A340F2">
        <w:t xml:space="preserve"> years</w:t>
      </w:r>
      <w:r w:rsidRPr="006E2513">
        <w:t>,</w:t>
      </w:r>
      <w:r w:rsidR="00A340F2">
        <w:t xml:space="preserve"> and 1 point for</w:t>
      </w:r>
      <w:r w:rsidRPr="006E2513">
        <w:t xml:space="preserve"> </w:t>
      </w:r>
      <w:r w:rsidR="00A340F2">
        <w:t xml:space="preserve">previous </w:t>
      </w:r>
      <w:r w:rsidR="00876CF6">
        <w:t>MI</w:t>
      </w:r>
      <w:r w:rsidR="00A340F2">
        <w:t xml:space="preserve"> or </w:t>
      </w:r>
      <w:r w:rsidRPr="006E2513">
        <w:t xml:space="preserve">cardiac revascularization, </w:t>
      </w:r>
      <w:r w:rsidR="00A340F2">
        <w:t>c</w:t>
      </w:r>
      <w:r w:rsidRPr="006E2513">
        <w:t>ongestive heart failure</w:t>
      </w:r>
      <w:r w:rsidR="00A340F2">
        <w:t xml:space="preserve"> (ejection fraction &lt;40%), and prior</w:t>
      </w:r>
      <w:r w:rsidRPr="006E2513">
        <w:t xml:space="preserve"> thrombo</w:t>
      </w:r>
      <w:r w:rsidR="00A340F2">
        <w:t>e</w:t>
      </w:r>
      <w:r w:rsidRPr="006E2513">
        <w:t>mbolism</w:t>
      </w:r>
      <w:r w:rsidR="003B44E9">
        <w:t xml:space="preserve"> </w:t>
      </w:r>
      <w:r w:rsidR="003B44E9">
        <w:fldChar w:fldCharType="begin" w:fldLock="1"/>
      </w:r>
      <w:r w:rsidR="003B44E9">
        <w:instrText>ADDIN CSL_CITATION {"citationItems":[{"id":"ITEM-1","itemData":{"DOI":"10.1007/s11739-015-1326-1","ISSN":"1970-9366 (Electronic)","PMID":"26471883","abstract":"Recent findings suggest that patients with non-valvular atrial fibrillation (AF), in addition to having a high risk for ischemic stroke, are also at risk for myocardial infarction (MI). The aim of the study was to combine factors predicting Major Adverse Cardiovascular Events (MACE) in AF patients, including fatal/nonfatal MI, cardiac revascularization, and cardiovascular death, into a simple risk score. Predictors of MACE were obtained from a prospective observational cohort study, including 1019 AF patients taking vitamin K antagonists from the Atherothrombosis Center, of Sapienza University of Rome. Thus, we derived the 2MACE score [2 points for Metabolic Syndrome and Age &gt;/=75, 1 point for MI/revascularization, Congestive heart failure (ejection fraction &lt;/=40 %), thrombo-Embolism (stroke/transient ischemic attack)], ranging from 0 to 7 points. To evaluate the 2MACE score, we included an external validation cohort of 1089 anticoagulated AF patients from the Thrombosis Centre of Azienda Ospedaliero-Universitaria Careggi, Firenze, Italy. At follow-up, 111 AF patients in the internal and 68 in the external cohort experienced a MACE. The 2MACE score showed a good ability in discriminating AF patients experiencing MACE both in the internal derivation cohort, with a c-index of 0.79 [95 % Confidence Interval (CI) 0.71-0.90, p &lt; 0.001] and in the external validation cohort (c-index 0.66, 95 % CI 0.60-0.73, p &lt; 0.001). The overall Hazard Ratio (HR) was 1.61 (95 % CI 1.40-1.85, p &lt; 0.001) for each additional point. A 2MACE score &gt;/=3 had the best combination of specificity and sensitivity, with an HR of 3.92 (95 % CI 2.41-6.40, p &lt; 0.001). The new simple 2MACE score may help identifying AF patients at risk for cardiovascular events.","author":[{"dropping-particle":"","family":"Pastori","given":"Daniele","non-dropping-particle":"","parse-names":false,"suffix":""},{"dropping-particle":"","family":"Farcomeni","given":"Alessio","non-dropping-particle":"","parse-names":false,"suffix":""},{"dropping-particle":"","family":"Poli","given":"Daniela","non-dropping-particle":"","parse-names":false,"suffix":""},{"dropping-particle":"","family":"Antonucci","given":"Emilia","non-dropping-particle":"","parse-names":false,"suffix":""},{"dropping-particle":"","family":"Angelico","given":"Francesco","non-dropping-particle":"","parse-names":false,"suffix":""},{"dropping-particle":"","family":"Ben","given":"Maria","non-dropping-particle":"Del","parse-names":false,"suffix":""},{"dropping-particle":"","family":"Cangemi","given":"Roberto","non-dropping-particle":"","parse-names":false,"suffix":""},{"dropping-particle":"","family":"Tanzilli","given":"Gaetano","non-dropping-particle":"","parse-names":false,"suffix":""},{"dropping-particle":"","family":"Lip","given":"Gregory Yoke Hong","non-dropping-particle":"","parse-names":false,"suffix":""},{"dropping-particle":"","family":"Pignatelli","given":"Pasquale","non-dropping-particle":"","parse-names":false,"suffix":""},{"dropping-particle":"","family":"Violi","given":"Francesco","non-dropping-particle":"","parse-names":false,"suffix":""}],"container-title":"Internal and emergency medicine","id":"ITEM-1","issue":"2","issued":{"date-parts":[["2016","3"]]},"language":"eng","note":"2MACE score internal derivation cohort with c-index of 0.79 and external validation cohort with c-index of 0.66\nHR was 1.61 (95% CI 1.40 - 1.85) for each addition point of the 2MACE score","page":"199-204","publisher-place":"Italy","title":"Cardiovascular risk stratification in patients with non-valvular atrial fibrillation: the 2MACE score.","type":"article-journal","volume":"11"},"uris":["http://www.mendeley.com/documents/?uuid=e4d0fd05-2913-4338-9da2-9a704619c372"]}],"mendeley":{"formattedCitation":"&lt;sup&gt;2&lt;/sup&gt;","plainTextFormattedCitation":"2","previouslyFormattedCitation":"&lt;sup&gt;2&lt;/sup&gt;"},"properties":{"noteIndex":0},"schema":"https://github.com/citation-style-language/schema/raw/master/csl-citation.json"}</w:instrText>
      </w:r>
      <w:r w:rsidR="003B44E9">
        <w:fldChar w:fldCharType="separate"/>
      </w:r>
      <w:r w:rsidR="003B44E9" w:rsidRPr="001A5431">
        <w:rPr>
          <w:noProof/>
          <w:vertAlign w:val="superscript"/>
        </w:rPr>
        <w:t>2</w:t>
      </w:r>
      <w:r w:rsidR="003B44E9">
        <w:fldChar w:fldCharType="end"/>
      </w:r>
      <w:r w:rsidRPr="006E2513">
        <w:t xml:space="preserve">. </w:t>
      </w:r>
      <w:r w:rsidR="00A340F2">
        <w:t xml:space="preserve">The </w:t>
      </w:r>
      <w:r w:rsidRPr="006E2513">
        <w:t>CHA</w:t>
      </w:r>
      <w:r w:rsidRPr="00A340F2">
        <w:rPr>
          <w:vertAlign w:val="subscript"/>
        </w:rPr>
        <w:t>2</w:t>
      </w:r>
      <w:r w:rsidRPr="006E2513">
        <w:t>DS</w:t>
      </w:r>
      <w:r w:rsidRPr="00A340F2">
        <w:rPr>
          <w:vertAlign w:val="subscript"/>
        </w:rPr>
        <w:t>2</w:t>
      </w:r>
      <w:r w:rsidRPr="006E2513">
        <w:t>-VASc</w:t>
      </w:r>
      <w:r w:rsidR="003B44E9">
        <w:t>, CHADS</w:t>
      </w:r>
      <w:r w:rsidR="003B44E9" w:rsidRPr="00DC50BA">
        <w:rPr>
          <w:vertAlign w:val="subscript"/>
        </w:rPr>
        <w:t>2</w:t>
      </w:r>
      <w:r w:rsidR="003B44E9">
        <w:t xml:space="preserve"> and HAS-BLED scores were determined as previously described</w:t>
      </w:r>
      <w:r w:rsidR="00A340F2">
        <w:t xml:space="preserve"> </w:t>
      </w:r>
      <w:r w:rsidR="003B44E9">
        <w:fldChar w:fldCharType="begin" w:fldLock="1"/>
      </w:r>
      <w:r w:rsidR="00E42598">
        <w:instrText>ADDIN CSL_CITATION {"citationItems":[{"id":"ITEM-1","itemData":{"DOI":"10.1378/chest.09-1584","ISSN":"19313543","PMID":"19762550","abstract":"BACKGROUND: Contemporary clinical risk stratification schemata for predicting stroke and thromboembolism (TE) in patients with atrial fibrillation (AF) are largely derived from risk factors identified from trial cohorts. Thus, many potential risk factors have not been included. METHODS: We refined the 2006 Birmingham/National Institute for Health and Clinical Excellence (NICE) stroke risk stratification schema into a risk factor-based approach by reclassifying and/or incorporating additional new risk factors where relevant. This schema was then compared with existing stroke risk stratification schema in a real-world cohort of patients with AF (n = 1,084) from the Euro Heart Survey for AF. RESULTS: Risk categorization differed widely between the different schemes compared. Patients classified as high risk ranged from 10.2% with the Framingham schema to 75.7% with the Birmingham 2009 schema. The classic CHADS(2) (Congestive heart failure, Hypertension, Age &gt; 75, Diabetes, prior Stroke/transient ischemic attack) schema categorized the largest proportion (61.9%) into the intermediate-risk strata, whereas the Birmingham 2009 schema classified 15.1% into this category. The Birmingham 2009 schema classified only 9.2% as low risk, whereas the Framingham scheme categorized 48.3% as low risk. Calculated C-statistics suggested modest predictive value of all schema for TE. The Birmingham 2009 schema fared marginally better (C-statistic, 0.606) than CHADS(2). However, those classified as low risk by the Birmingham 2009 and NICE schema were truly low risk with no TE events recorded, whereas TE events occurred in 1.4% of low-risk CHADS(2) subjects. When expressed as a scoring system, the Birmingham 2009 schema (CHA(2)DS(2)-VASc acronym) showed an increase in TE rate with increasing scores (P value for trend = .003). CONCLUSIONS: Our novel, simple stroke risk stratification schema, based on a risk factor approach, provides some improvement in predictive value for TE over the CHADS(2) schema, with low event rates in low-risk subjects and the classification of only a small proportion of subjects into the intermediate-risk category. This schema could improve our approach to stroke risk stratification in patients with AF.","author":[{"dropping-particle":"","family":"Lip","given":"Gregory Y.H.","non-dropping-particle":"","parse-names":false,"suffix":""},{"dropping-particle":"","family":"Nieuwlaat","given":"Robby","non-dropping-particle":"","parse-names":false,"suffix":""},{"dropping-particle":"","family":"Pisters","given":"Ron","non-dropping-particle":"","parse-names":false,"suffix":""},{"dropping-particle":"","family":"Lane","given":"Deirdre A.","non-dropping-particle":"","parse-names":false,"suffix":""},{"dropping-particle":"","family":"Crijns","given":"Harry J.G.M.","non-dropping-particle":"","parse-names":false,"suffix":""}],"container-title":"Chest","id":"ITEM-1","issue":"2","issued":{"date-parts":[["2010","2"]]},"language":"eng","page":"263-272","publisher":"The American College of Chest Physicians","publisher-place":"United States","title":"Refining clinical risk stratification for predicting stroke and thromboembolism in atrial fibrillation using a novel risk factor-based approach: The Euro Heart Survey on atrial fibrillation","type":"article-journal","volume":"137"},"uris":["http://www.mendeley.com/documents/?uuid=750fd2bc-065a-4923-9cda-f994dfd2af8c"]},{"id":"ITEM-2","itemData":{"ISSN":"0098-7484 (Print)","PMID":"11401607","abstract":"CONTEXT: Patients who have atrial fibrillation (AF) have an increased risk of stroke, but their absolute rate of stroke depends on age and comorbid conditions. OBJECTIVE: To assess the predictive value of classification schemes that estimate stroke risk in patients with AF. DESIGN, SETTING, AND PATIENTS: Two existing classification schemes were combined into a new stroke-risk scheme, the CHADS( 2) index, and all 3 classification schemes were validated. The CHADS( 2) was formed by assigning 1 point each for the presence of congestive heart failure, hypertension, age 75 years or older, and diabetes mellitus and by assigning 2 points for history of stroke or transient ischemic attack. Data from peer review organizations representing 7 states were used to assemble a National Registry of AF (NRAF) consisting of 1733 Medicare beneficiaries aged 65 to 95 years who had nonrheumatic AF and were not prescribed warfarin at hospital discharge. MAIN OUTCOME MEASURE: Hospitalization for ischemic stroke, determined by Medicare claims data. RESULTS: During 2121 patient-years of follow-up, 94 patients were readmitted to the hospital for ischemic stroke (stroke rate, 4.4 per 100 patient-years). As indicated by a c statistic greater than 0.5, the 2 existing classification schemes predicted stroke better than chance: c of 0.68 (95% confidence interval [CI], 0.65-0.71) for the scheme developed by the Atrial Fibrillation Investigators (AFI) and c of 0.74 (95% CI, 0.71-0.76) for the Stroke Prevention in Atrial Fibrillation (SPAF) III scheme. However, with a c statistic of 0.82 (95% CI, 0.80-0.84), the CHADS( 2) index was the most accurate predictor of stroke. The stroke rate per 100 patient-years without antithrombotic therapy increased by a factor of 1.5 (95% CI, 1.3-1.7) for each 1-point increase in the CHADS( 2) score: 1.9 (95% CI, 1.2-3.0) for a score of 0; 2.8 (95% CI, 2.0-3.8) for 1; 4.0 (95% CI, 3.1-5.1) for 2; 5.9 (95% CI, 4.6-7.3) for 3; 8.5 (95% CI, 6.3-11.1) for 4; 12.5 (95% CI, 8.2-17.5) for 5; and 18.2 (95% CI, 10.5-27.4) for 6. CONCLUSION: The 2 existing classification schemes and especially a new stroke risk index, CHADS( 2), can quantify risk of stroke for patients who have AF and may aid in selection of antithrombotic therapy.","author":[{"dropping-particle":"","family":"Gage","given":"B F","non-dropping-particle":"","parse-names":false,"suffix":""},{"dropping-particle":"","family":"Waterman","given":"A D","non-dropping-particle":"","parse-names":false,"suffix":""},{"dropping-particle":"","family":"Shannon","given":"W","non-dropping-particle":"","parse-names":false,"suffix":""},{"dropping-particle":"","family":"Boechler","given":"M","non-dropping-particle":"","parse-names":false,"suffix":""},{"dropping-particle":"","family":"Rich","given":"M W","non-dropping-particle":"","parse-names":false,"suffix":""},{"dropping-particle":"","family":"Radford","given":"M J","non-dropping-particle":"","parse-names":false,"suffix":""}],"container-title":"JAMA","id":"ITEM-2","issue":"22","issued":{"date-parts":[["2001","6"]]},"language":"eng","page":"2864-2870","publisher-place":"United States","title":"Validation of clinical classification schemes for predicting stroke: results from the National Registry of Atrial Fibrillation.","type":"article-journal","volume":"285"},"uris":["http://www.mendeley.com/documents/?uuid=2c728498-739c-450f-be5d-fa234acc00df"]},{"id":"ITEM-3","itemData":{"DOI":"10.1378/chest.10-0134","ISSN":"19313543","PMID":"20299623","abstract":"Objective: Despite extensive use of oral anticoagulation (OAC) in patients with atrial fibrillation (AF) and the increased bleeding risk associated with such OAC use, no handy quantification tool for assessing this risk exists. We aimed to develop a practical risk score to estimate the 1-year risk for major bleeding (intracranial, hospitalization, hemoglobin decrease &gt;2 g/L, and/or transfusion) in a cohort of real-world patients with AF. Methods: Based on 3,978 patients in the Euro Heart Survey on AF with complete follow-up, all univariate bleeding risk factors in this cohort were used in a multivariate analysis along with historical bleeding risk factors. A new bleeding risk score termed HAS-BLED (Hypertension, Abnormal renal/liver function, Stroke, Bleeding history or predisposition, Labile international normalized ratio, Elderly (&gt; 65 years), Drugs/alcohol concomitantly) was calculated, incorporating risk factors from the derivation cohort. Results: Fifty-three (1.5%) major bleeds occurred during 1-year follow-up. The annual bleeding rate increased with increasing risk factors. The predictive accuracy in the overall population using significant risk factors in the derivation cohort (C statistic 0.72) was consistent when applied in several subgroups. Application of the new bleeding risk score (HAS-BLED) gave similar C statistics except where patients were receiving antiplatelet agents alone or no antithrombotic therapy, with C statistics of 0.91 and 0.85, respectively. Conclusion: This simple, novel bleeding risk score (HAS-BLED) provides a practical tool to assess the individual bleeding risk of real-world patients with AF, potentially supporting clinical decision making regarding antithrombotic therapy in patients with AF. © 2010 American College of Chest Physicians.","author":[{"dropping-particle":"","family":"Pisters","given":"Ron","non-dropping-particle":"","parse-names":false,"suffix":""},{"dropping-particle":"","family":"Lane","given":"Deirdre A.","non-dropping-particle":"","parse-names":false,"suffix":""},{"dropping-particle":"","family":"Nieuwlaat","given":"Robby","non-dropping-particle":"","parse-names":false,"suffix":""},{"dropping-particle":"","family":"Vos","given":"Cees B.","non-dropping-particle":"de","parse-names":false,"suffix":""},{"dropping-particle":"","family":"Crijns","given":"Harry J","non-dropping-particle":"","parse-names":false,"suffix":""},{"dropping-particle":"","family":"Lip","given":"Gregory Y","non-dropping-particle":"","parse-names":false,"suffix":""}],"container-title":"Chest","id":"ITEM-3","issue":"5","issued":{"date-parts":[["2010","11"]]},"language":"eng","page":"1093-1100","publisher-place":"United States","title":"A novel user-friendly score (HAS-BLED) to assess 1-year risk of major bleeding in patients with atrial fibrillation: The Euro Heart Survey","type":"article-journal","volume":"138"},"uris":["http://www.mendeley.com/documents/?uuid=0e8ca903-c444-4298-9e7c-aa4cda641bc2"]}],"mendeley":{"formattedCitation":"&lt;sup&gt;7–9&lt;/sup&gt;","plainTextFormattedCitation":"7–9","previouslyFormattedCitation":"&lt;sup&gt;7–9&lt;/sup&gt;"},"properties":{"noteIndex":0},"schema":"https://github.com/citation-style-language/schema/raw/master/csl-citation.json"}</w:instrText>
      </w:r>
      <w:r w:rsidR="003B44E9">
        <w:fldChar w:fldCharType="separate"/>
      </w:r>
      <w:r w:rsidR="003B44E9" w:rsidRPr="003B44E9">
        <w:rPr>
          <w:noProof/>
          <w:vertAlign w:val="superscript"/>
        </w:rPr>
        <w:t>7–9</w:t>
      </w:r>
      <w:r w:rsidR="003B44E9">
        <w:fldChar w:fldCharType="end"/>
      </w:r>
      <w:r w:rsidRPr="006E2513">
        <w:t xml:space="preserve">. </w:t>
      </w:r>
    </w:p>
    <w:p w14:paraId="4EECE720" w14:textId="0D3A106F" w:rsidR="00F72EA6" w:rsidRDefault="00FD69EB" w:rsidP="00DC50BA">
      <w:pPr>
        <w:spacing w:after="0"/>
        <w:ind w:left="720"/>
      </w:pPr>
      <w:r>
        <w:t xml:space="preserve">Continuous variables were </w:t>
      </w:r>
      <w:r w:rsidR="003D43AC">
        <w:t>assessed</w:t>
      </w:r>
      <w:r>
        <w:t xml:space="preserve"> for normality with </w:t>
      </w:r>
      <w:r w:rsidR="0008375F">
        <w:t>Kolmogorov-Smirnov test.</w:t>
      </w:r>
      <w:r>
        <w:t xml:space="preserve"> The v</w:t>
      </w:r>
      <w:r w:rsidR="0008375F">
        <w:t xml:space="preserve">ariables with </w:t>
      </w:r>
      <w:r w:rsidR="000B1FD1">
        <w:t xml:space="preserve">a </w:t>
      </w:r>
      <w:r w:rsidR="0008375F">
        <w:t xml:space="preserve">normal distribution were </w:t>
      </w:r>
      <w:r w:rsidR="003D43AC">
        <w:t>described</w:t>
      </w:r>
      <w:r w:rsidR="0008375F">
        <w:t xml:space="preserve"> </w:t>
      </w:r>
      <w:r>
        <w:t>with</w:t>
      </w:r>
      <w:r w:rsidR="0008375F">
        <w:t xml:space="preserve"> mean</w:t>
      </w:r>
      <w:r>
        <w:t>s</w:t>
      </w:r>
      <w:r w:rsidR="0008375F">
        <w:t xml:space="preserve"> and standard deviation</w:t>
      </w:r>
      <w:r>
        <w:t>s</w:t>
      </w:r>
      <w:r w:rsidR="0008375F">
        <w:t xml:space="preserve">, and </w:t>
      </w:r>
      <w:r w:rsidR="003D43AC">
        <w:t>tested</w:t>
      </w:r>
      <w:r w:rsidR="0008375F">
        <w:t xml:space="preserve"> for differences </w:t>
      </w:r>
      <w:r w:rsidR="000B1FD1">
        <w:t>with</w:t>
      </w:r>
      <w:r w:rsidR="0008375F">
        <w:t xml:space="preserve"> </w:t>
      </w:r>
      <w:r w:rsidR="0008375F" w:rsidRPr="0008375F">
        <w:rPr>
          <w:i/>
          <w:iCs/>
        </w:rPr>
        <w:t>t</w:t>
      </w:r>
      <w:r w:rsidR="0008375F">
        <w:t xml:space="preserve">-test. </w:t>
      </w:r>
      <w:r>
        <w:t>The v</w:t>
      </w:r>
      <w:r w:rsidR="000B1FD1">
        <w:t>ariables without normal distribution</w:t>
      </w:r>
      <w:r w:rsidR="0008375F">
        <w:t xml:space="preserve"> were </w:t>
      </w:r>
      <w:r w:rsidR="003D43AC">
        <w:t>described</w:t>
      </w:r>
      <w:r w:rsidR="000B1FD1">
        <w:t xml:space="preserve"> </w:t>
      </w:r>
      <w:r>
        <w:t>with</w:t>
      </w:r>
      <w:r w:rsidR="0008375F">
        <w:t xml:space="preserve"> median</w:t>
      </w:r>
      <w:r>
        <w:t>s</w:t>
      </w:r>
      <w:r w:rsidR="0008375F">
        <w:t xml:space="preserve"> and interquartile range</w:t>
      </w:r>
      <w:r>
        <w:t>s</w:t>
      </w:r>
      <w:r w:rsidR="0008375F">
        <w:t xml:space="preserve"> (IQR</w:t>
      </w:r>
      <w:r>
        <w:t>s</w:t>
      </w:r>
      <w:r w:rsidR="0008375F">
        <w:t xml:space="preserve">), and </w:t>
      </w:r>
      <w:r w:rsidR="003D43AC">
        <w:t>tested</w:t>
      </w:r>
      <w:r w:rsidR="0008375F">
        <w:t xml:space="preserve"> for differences </w:t>
      </w:r>
      <w:r w:rsidR="000B1FD1">
        <w:t>with Mann-Whitney U test.</w:t>
      </w:r>
      <w:r w:rsidR="0008375F">
        <w:t xml:space="preserve"> Categorical </w:t>
      </w:r>
      <w:r w:rsidR="00E05492">
        <w:t>variables</w:t>
      </w:r>
      <w:r w:rsidR="0008375F">
        <w:t xml:space="preserve"> were </w:t>
      </w:r>
      <w:r w:rsidR="003D43AC">
        <w:t>described</w:t>
      </w:r>
      <w:r w:rsidR="000B1FD1">
        <w:t xml:space="preserve"> </w:t>
      </w:r>
      <w:r>
        <w:t>with</w:t>
      </w:r>
      <w:r w:rsidR="000B1FD1">
        <w:t xml:space="preserve"> </w:t>
      </w:r>
      <w:r>
        <w:t>counts</w:t>
      </w:r>
      <w:r w:rsidR="0008375F">
        <w:t xml:space="preserve"> and </w:t>
      </w:r>
      <w:r w:rsidR="00E84728">
        <w:t>%</w:t>
      </w:r>
      <w:r w:rsidR="0008375F">
        <w:t xml:space="preserve">, and </w:t>
      </w:r>
      <w:r w:rsidR="003D43AC">
        <w:t>tested</w:t>
      </w:r>
      <w:r w:rsidR="0008375F">
        <w:t xml:space="preserve"> for differences </w:t>
      </w:r>
      <w:r w:rsidR="00115D22">
        <w:t>with</w:t>
      </w:r>
      <w:r w:rsidR="0008375F">
        <w:t xml:space="preserve"> chi-squared </w:t>
      </w:r>
      <w:r w:rsidR="00E05492">
        <w:t xml:space="preserve">test </w:t>
      </w:r>
      <w:r w:rsidR="0008375F">
        <w:t>or Fisher’s exact test.</w:t>
      </w:r>
      <w:r w:rsidR="00F72EA6">
        <w:t xml:space="preserve"> </w:t>
      </w:r>
    </w:p>
    <w:p w14:paraId="4F31FC99" w14:textId="0795329E" w:rsidR="00293727" w:rsidRDefault="003D43AC" w:rsidP="00DC50BA">
      <w:pPr>
        <w:spacing w:after="0"/>
        <w:ind w:left="720"/>
      </w:pPr>
      <w:r>
        <w:t>Univariate cox r</w:t>
      </w:r>
      <w:r w:rsidR="00D103BE">
        <w:t xml:space="preserve">egression analysis was </w:t>
      </w:r>
      <w:r w:rsidR="007632A9">
        <w:t xml:space="preserve">used to compare the </w:t>
      </w:r>
      <w:r>
        <w:t>hazard ratio</w:t>
      </w:r>
      <w:r w:rsidR="00841B38">
        <w:t xml:space="preserve"> (HR)</w:t>
      </w:r>
      <w:r>
        <w:t xml:space="preserve"> between</w:t>
      </w:r>
      <w:r w:rsidR="007632A9">
        <w:t xml:space="preserve"> </w:t>
      </w:r>
      <w:r>
        <w:t>the</w:t>
      </w:r>
      <w:r w:rsidR="007632A9">
        <w:t xml:space="preserve"> groups</w:t>
      </w:r>
      <w:r w:rsidR="00D103BE">
        <w:t xml:space="preserve">. </w:t>
      </w:r>
      <w:r>
        <w:t xml:space="preserve">Plots of Kaplan-Meier curves were performed </w:t>
      </w:r>
      <w:r w:rsidR="00712467">
        <w:t>and</w:t>
      </w:r>
      <w:r w:rsidR="00D103BE">
        <w:t xml:space="preserve"> survival distributions </w:t>
      </w:r>
      <w:r w:rsidR="00712467">
        <w:t>c</w:t>
      </w:r>
      <w:r w:rsidR="00D103BE">
        <w:t xml:space="preserve">ompared </w:t>
      </w:r>
      <w:r w:rsidR="007632A9">
        <w:t>with</w:t>
      </w:r>
      <w:r w:rsidR="00D103BE">
        <w:t xml:space="preserve"> log-rank test.</w:t>
      </w:r>
      <w:r w:rsidR="00712467">
        <w:t xml:space="preserve"> </w:t>
      </w:r>
      <w:r w:rsidR="0050033C">
        <w:t>P</w:t>
      </w:r>
      <w:r w:rsidR="00712467">
        <w:t xml:space="preserve">redictive capability of the 2MACE score for primary outcome </w:t>
      </w:r>
      <w:r w:rsidR="0050033C">
        <w:t>was investigated using receiver-operating characteristic (ROC) curves, and the performance was</w:t>
      </w:r>
      <w:r w:rsidR="00712467">
        <w:t xml:space="preserve"> </w:t>
      </w:r>
      <w:r w:rsidR="0050033C">
        <w:t xml:space="preserve">tested against the </w:t>
      </w:r>
      <w:r w:rsidR="0050033C" w:rsidRPr="006E2513">
        <w:t>CHA</w:t>
      </w:r>
      <w:r w:rsidR="0050033C" w:rsidRPr="00A340F2">
        <w:rPr>
          <w:vertAlign w:val="subscript"/>
        </w:rPr>
        <w:t>2</w:t>
      </w:r>
      <w:r w:rsidR="0050033C" w:rsidRPr="006E2513">
        <w:t>DS</w:t>
      </w:r>
      <w:r w:rsidR="0050033C" w:rsidRPr="00A340F2">
        <w:rPr>
          <w:vertAlign w:val="subscript"/>
        </w:rPr>
        <w:t>2</w:t>
      </w:r>
      <w:r w:rsidR="0050033C" w:rsidRPr="006E2513">
        <w:t>-VASc</w:t>
      </w:r>
      <w:r w:rsidR="00EC2DA6">
        <w:t>, CHADS</w:t>
      </w:r>
      <w:r w:rsidR="00EC2DA6" w:rsidRPr="00DC50BA">
        <w:rPr>
          <w:vertAlign w:val="subscript"/>
        </w:rPr>
        <w:t>2</w:t>
      </w:r>
      <w:r w:rsidR="0050033C">
        <w:t xml:space="preserve"> and HAS-BLED scores. Area under the curve (AUC) was used to reflect the c-</w:t>
      </w:r>
      <w:r w:rsidR="008F2218">
        <w:t>index</w:t>
      </w:r>
      <w:r w:rsidR="00802381">
        <w:t>,</w:t>
      </w:r>
      <w:r w:rsidR="0050033C">
        <w:t xml:space="preserve"> which represents the ability of scores to predict events. </w:t>
      </w:r>
    </w:p>
    <w:p w14:paraId="2B0C3EBE" w14:textId="18DD992A" w:rsidR="007C4231" w:rsidRDefault="005048CE" w:rsidP="00DC50BA">
      <w:pPr>
        <w:spacing w:after="0"/>
        <w:ind w:left="720"/>
      </w:pPr>
      <w:r>
        <w:lastRenderedPageBreak/>
        <w:t>Multivariable regression analys</w:t>
      </w:r>
      <w:r w:rsidR="00E31744">
        <w:t>e</w:t>
      </w:r>
      <w:r>
        <w:t xml:space="preserve">s </w:t>
      </w:r>
      <w:r w:rsidR="00E31744">
        <w:t>were</w:t>
      </w:r>
      <w:r>
        <w:t xml:space="preserve"> performed to</w:t>
      </w:r>
      <w:r w:rsidR="0045777D">
        <w:t xml:space="preserve"> identify independent predictors of MACE</w:t>
      </w:r>
      <w:r>
        <w:t xml:space="preserve"> </w:t>
      </w:r>
      <w:r w:rsidR="0045777D">
        <w:t xml:space="preserve">and </w:t>
      </w:r>
      <w:r w:rsidR="00307757">
        <w:t xml:space="preserve">evaluate </w:t>
      </w:r>
      <w:r w:rsidR="00E31744">
        <w:t xml:space="preserve">the implementation of these scoring tools as prognostic markers based on renal function. The models were adjusted </w:t>
      </w:r>
      <w:r w:rsidR="00325CFC">
        <w:t xml:space="preserve">for </w:t>
      </w:r>
      <w:r w:rsidR="0045777D">
        <w:t xml:space="preserve">important </w:t>
      </w:r>
      <w:r w:rsidR="00325CFC">
        <w:t>variables that were significantly different between the groups at baseline</w:t>
      </w:r>
      <w:r w:rsidR="00E31744">
        <w:t xml:space="preserve">, excluding those that were already </w:t>
      </w:r>
      <w:r w:rsidR="00A21EFE">
        <w:t>incorporated</w:t>
      </w:r>
      <w:r w:rsidR="00E31744">
        <w:t xml:space="preserve"> in each scoring tool</w:t>
      </w:r>
      <w:r w:rsidR="00325CFC">
        <w:t>.</w:t>
      </w:r>
      <w:r w:rsidR="003B44E9">
        <w:t xml:space="preserve"> A sensitivity analysis </w:t>
      </w:r>
      <w:r w:rsidR="007B0B32">
        <w:t xml:space="preserve">of the primary outcome </w:t>
      </w:r>
      <w:r w:rsidR="003B44E9">
        <w:t xml:space="preserve">was performed </w:t>
      </w:r>
      <w:r w:rsidR="007B0B32">
        <w:t>after</w:t>
      </w:r>
      <w:r w:rsidR="003B44E9">
        <w:t xml:space="preserve"> propensity score matching that adjusted for possible differences in baseline characteristics between the groups. Patients were matched in a 1:1 ratio based on propensity score generated by logistic regressions with a match tolerance of 0.1 and using the nearest-neighbour technique without replacement. </w:t>
      </w:r>
      <w:r w:rsidR="0008375F">
        <w:t>A</w:t>
      </w:r>
      <w:r w:rsidR="0054121A">
        <w:t xml:space="preserve"> </w:t>
      </w:r>
      <w:r w:rsidR="00E84728">
        <w:t>2</w:t>
      </w:r>
      <w:r w:rsidR="0008375F">
        <w:t xml:space="preserve">-sided </w:t>
      </w:r>
      <w:r w:rsidR="0054121A">
        <w:rPr>
          <w:i/>
          <w:iCs/>
        </w:rPr>
        <w:t>p</w:t>
      </w:r>
      <w:r w:rsidR="0008375F">
        <w:t xml:space="preserve"> value of &lt;0.05 was considered statistically significant. Analyses were performed using SPSS software version 24 (</w:t>
      </w:r>
      <w:r w:rsidR="0008375F" w:rsidRPr="001012E8">
        <w:t>IBM Corp</w:t>
      </w:r>
      <w:r w:rsidR="0008375F">
        <w:t xml:space="preserve">, </w:t>
      </w:r>
      <w:r w:rsidR="0008375F" w:rsidRPr="001012E8">
        <w:t>Armonk, NY</w:t>
      </w:r>
      <w:r w:rsidR="0008375F">
        <w:t>)</w:t>
      </w:r>
      <w:r w:rsidR="00A03A43">
        <w:t xml:space="preserve"> and MedCalc version 19.4.0</w:t>
      </w:r>
      <w:r w:rsidR="0008375F">
        <w:t>.</w:t>
      </w:r>
    </w:p>
    <w:p w14:paraId="42889335" w14:textId="569847ED" w:rsidR="00995221" w:rsidRDefault="00536F8A">
      <w:pPr>
        <w:pStyle w:val="Heading1"/>
      </w:pPr>
      <w:r w:rsidRPr="00384FED">
        <w:t>Results</w:t>
      </w:r>
    </w:p>
    <w:p w14:paraId="56508369" w14:textId="1BFA34CF" w:rsidR="000D7D3F" w:rsidRPr="00C81FCE" w:rsidRDefault="000D7D3F" w:rsidP="00DC50BA">
      <w:pPr>
        <w:spacing w:after="0"/>
        <w:ind w:left="720"/>
      </w:pPr>
      <w:r>
        <w:t>The AMADEUS trial recruited 4,576 patients and data was available for calculation of eGFR in 4,554 (99.5%) patients. The final study cohort comprised of 1,526 (33.5%) females with a median age of 71 (IQR 64 - 77) years</w:t>
      </w:r>
      <w:r w:rsidR="0090043A">
        <w:t xml:space="preserve"> (Table 1). In the warfarin arm, the</w:t>
      </w:r>
      <w:r w:rsidR="00357519">
        <w:t xml:space="preserve"> median time in therapeutic range </w:t>
      </w:r>
      <w:r w:rsidR="0090043A">
        <w:t>was</w:t>
      </w:r>
      <w:r w:rsidR="00357519">
        <w:t xml:space="preserve"> 58 (IQR 45 - 70) %. </w:t>
      </w:r>
      <w:r>
        <w:t xml:space="preserve">Median eGFR was 86.2 (IQR 68.7 - 94.0) </w:t>
      </w:r>
      <w:r w:rsidRPr="00360001">
        <w:t>mL/min/1.73 m</w:t>
      </w:r>
      <w:r w:rsidRPr="00360001">
        <w:rPr>
          <w:vertAlign w:val="superscript"/>
        </w:rPr>
        <w:t>2</w:t>
      </w:r>
      <w:r>
        <w:t xml:space="preserve">, of which </w:t>
      </w:r>
      <w:r w:rsidR="00603E12">
        <w:t>3,838</w:t>
      </w:r>
      <w:r>
        <w:t xml:space="preserve"> (84.</w:t>
      </w:r>
      <w:r w:rsidR="00603E12">
        <w:t>3</w:t>
      </w:r>
      <w:r>
        <w:t xml:space="preserve">%) patients </w:t>
      </w:r>
      <w:r w:rsidR="00603E12">
        <w:t>had an</w:t>
      </w:r>
      <w:r>
        <w:t xml:space="preserve"> eGFR ≥60</w:t>
      </w:r>
      <w:r w:rsidRPr="00CF0AEB">
        <w:t xml:space="preserve"> </w:t>
      </w:r>
      <w:r w:rsidRPr="00360001">
        <w:t>mL/min/1.73 m</w:t>
      </w:r>
      <w:r w:rsidRPr="00360001">
        <w:rPr>
          <w:vertAlign w:val="superscript"/>
        </w:rPr>
        <w:t>2</w:t>
      </w:r>
      <w:r>
        <w:t xml:space="preserve"> </w:t>
      </w:r>
      <w:r w:rsidR="00357519">
        <w:t>(non-CKD</w:t>
      </w:r>
      <w:r w:rsidR="0090043A">
        <w:t xml:space="preserve"> group</w:t>
      </w:r>
      <w:r w:rsidR="00357519">
        <w:t xml:space="preserve">) </w:t>
      </w:r>
      <w:r>
        <w:t xml:space="preserve">and </w:t>
      </w:r>
      <w:r w:rsidR="00603E12">
        <w:t>716</w:t>
      </w:r>
      <w:r>
        <w:t xml:space="preserve"> (15.</w:t>
      </w:r>
      <w:r w:rsidR="00603E12">
        <w:t>7</w:t>
      </w:r>
      <w:r>
        <w:t xml:space="preserve">%) </w:t>
      </w:r>
      <w:r w:rsidRPr="006F0804">
        <w:t xml:space="preserve">patients </w:t>
      </w:r>
      <w:r w:rsidR="00603E12" w:rsidRPr="006F0804">
        <w:t>had an</w:t>
      </w:r>
      <w:r w:rsidRPr="006F0804">
        <w:t xml:space="preserve"> eGFR &lt;60 mL/min/1.73 m</w:t>
      </w:r>
      <w:r w:rsidRPr="006F0804">
        <w:rPr>
          <w:vertAlign w:val="superscript"/>
        </w:rPr>
        <w:t>2</w:t>
      </w:r>
      <w:r w:rsidR="00357519" w:rsidRPr="006F0804">
        <w:t xml:space="preserve"> (CKD</w:t>
      </w:r>
      <w:r w:rsidR="0090043A" w:rsidRPr="006F0804">
        <w:t xml:space="preserve"> group</w:t>
      </w:r>
      <w:r w:rsidR="00357519" w:rsidRPr="006F0804">
        <w:t>)</w:t>
      </w:r>
      <w:r w:rsidRPr="006F0804">
        <w:t>.</w:t>
      </w:r>
      <w:r w:rsidR="00296BD5">
        <w:t xml:space="preserve"> </w:t>
      </w:r>
      <w:r w:rsidR="00357519" w:rsidRPr="006F0804">
        <w:t xml:space="preserve">Patients </w:t>
      </w:r>
      <w:r w:rsidR="00DB04FD" w:rsidRPr="006F0804">
        <w:t xml:space="preserve">recruited </w:t>
      </w:r>
      <w:r w:rsidR="00357519" w:rsidRPr="006F0804">
        <w:t xml:space="preserve">with CKD </w:t>
      </w:r>
      <w:r w:rsidRPr="006F0804">
        <w:t>were younger</w:t>
      </w:r>
      <w:r w:rsidR="00E0528B" w:rsidRPr="006F0804">
        <w:t xml:space="preserve">, </w:t>
      </w:r>
      <w:r w:rsidRPr="006F0804">
        <w:t>more likely to be females</w:t>
      </w:r>
      <w:r w:rsidR="00E0528B" w:rsidRPr="006F0804">
        <w:t xml:space="preserve"> and h</w:t>
      </w:r>
      <w:r w:rsidRPr="006F0804">
        <w:t>ad</w:t>
      </w:r>
      <w:r w:rsidR="00357519" w:rsidRPr="006F0804">
        <w:t xml:space="preserve"> a</w:t>
      </w:r>
      <w:r w:rsidRPr="006F0804">
        <w:t xml:space="preserve"> higher prevalence of hypertension and diabetes mellit</w:t>
      </w:r>
      <w:r w:rsidR="00E0528B" w:rsidRPr="006F0804">
        <w:t>us</w:t>
      </w:r>
      <w:r w:rsidRPr="006F0804">
        <w:t xml:space="preserve"> but lower prevalence of coronary artery disease</w:t>
      </w:r>
      <w:r w:rsidR="00BF1972" w:rsidRPr="006F0804">
        <w:t xml:space="preserve"> (CAD)</w:t>
      </w:r>
      <w:r w:rsidRPr="006F0804">
        <w:t xml:space="preserve">, heart failure, prior thromboembolism and anaemia. </w:t>
      </w:r>
    </w:p>
    <w:p w14:paraId="0A8B221F" w14:textId="68C89973" w:rsidR="00DB04FD" w:rsidRPr="00CF0268" w:rsidRDefault="00C0037D" w:rsidP="00DC50BA">
      <w:pPr>
        <w:spacing w:after="0"/>
        <w:ind w:left="720"/>
      </w:pPr>
      <w:r>
        <w:t>After a m</w:t>
      </w:r>
      <w:r w:rsidR="00DB04FD">
        <w:t xml:space="preserve">edian (IQR) follow-up </w:t>
      </w:r>
      <w:r>
        <w:t>of</w:t>
      </w:r>
      <w:r w:rsidR="00DB04FD">
        <w:t xml:space="preserve"> 34</w:t>
      </w:r>
      <w:r>
        <w:t>6</w:t>
      </w:r>
      <w:r w:rsidR="00DB04FD">
        <w:t xml:space="preserve"> (18</w:t>
      </w:r>
      <w:r>
        <w:t>5</w:t>
      </w:r>
      <w:r w:rsidR="00DB04FD">
        <w:t xml:space="preserve"> - 457) days</w:t>
      </w:r>
      <w:r>
        <w:t>, t</w:t>
      </w:r>
      <w:r w:rsidR="00DB04FD">
        <w:t xml:space="preserve">here were </w:t>
      </w:r>
      <w:r w:rsidR="00F72EA6">
        <w:t>79</w:t>
      </w:r>
      <w:r w:rsidR="00DB04FD">
        <w:t xml:space="preserve"> (</w:t>
      </w:r>
      <w:r w:rsidR="00F72EA6">
        <w:t>1.7</w:t>
      </w:r>
      <w:r w:rsidR="00DB04FD">
        <w:t xml:space="preserve">%) </w:t>
      </w:r>
      <w:r w:rsidR="007F666F">
        <w:t xml:space="preserve">MACE </w:t>
      </w:r>
      <w:r w:rsidR="00841B38">
        <w:t xml:space="preserve">and 220 (4.8%) OCRE </w:t>
      </w:r>
      <w:r>
        <w:t>which occurred at a</w:t>
      </w:r>
      <w:r w:rsidR="00846DA1">
        <w:t xml:space="preserve"> rate</w:t>
      </w:r>
      <w:r w:rsidR="005D2878">
        <w:t xml:space="preserve"> of </w:t>
      </w:r>
      <w:r w:rsidR="00841B38">
        <w:t>1.94% and 5.43% per 100 patient-years</w:t>
      </w:r>
      <w:r w:rsidR="00846DA1">
        <w:t xml:space="preserve"> (PYs)</w:t>
      </w:r>
      <w:r w:rsidR="00841B38">
        <w:t>, respectively</w:t>
      </w:r>
      <w:r w:rsidR="00DB04FD">
        <w:t xml:space="preserve">. </w:t>
      </w:r>
      <w:r w:rsidR="00846DA1">
        <w:t xml:space="preserve">The incidence of cardiovascular mortality was 1.41% per 100 </w:t>
      </w:r>
      <w:r w:rsidR="00846DA1">
        <w:lastRenderedPageBreak/>
        <w:t xml:space="preserve">PYs and non-cardiovascular mortality was 2.44% per 100 PYs. </w:t>
      </w:r>
      <w:r w:rsidR="00DB04FD">
        <w:t>Overall, there was no statistical difference in crude</w:t>
      </w:r>
      <w:r w:rsidR="000B6B25">
        <w:t xml:space="preserve"> incidence of</w:t>
      </w:r>
      <w:r w:rsidR="00DB04FD">
        <w:t xml:space="preserve"> </w:t>
      </w:r>
      <w:r w:rsidR="00841B38">
        <w:t>MACE, OCRE or specific major adverse events between the groups</w:t>
      </w:r>
      <w:r w:rsidR="00717A9F">
        <w:t xml:space="preserve"> (Table 2)</w:t>
      </w:r>
      <w:r w:rsidR="00DB04FD">
        <w:t xml:space="preserve">. </w:t>
      </w:r>
      <w:r w:rsidR="00841B38">
        <w:t xml:space="preserve">The HR </w:t>
      </w:r>
      <w:r w:rsidR="000B6B25">
        <w:t xml:space="preserve">for </w:t>
      </w:r>
      <w:r w:rsidR="00841B38">
        <w:t xml:space="preserve">the CKD vs non-CKD group for MACE was 0.53 (95% confidence interval [CI] 0.24 - 1.14, </w:t>
      </w:r>
      <w:r w:rsidR="00841B38">
        <w:rPr>
          <w:i/>
          <w:iCs/>
        </w:rPr>
        <w:t>p</w:t>
      </w:r>
      <w:r w:rsidR="00841B38">
        <w:t xml:space="preserve"> = 0.104), and OCRE was 0.66 (95% CI 0.43 - 1.01, </w:t>
      </w:r>
      <w:r w:rsidR="00841B38">
        <w:rPr>
          <w:i/>
          <w:iCs/>
        </w:rPr>
        <w:t>p</w:t>
      </w:r>
      <w:r w:rsidR="00841B38">
        <w:t xml:space="preserve"> = 0.054)</w:t>
      </w:r>
      <w:r w:rsidR="00717A9F">
        <w:t xml:space="preserve">. </w:t>
      </w:r>
      <w:r w:rsidR="00DB04FD">
        <w:t xml:space="preserve">Kaplan-Meier survival analysis found </w:t>
      </w:r>
      <w:r w:rsidR="0037274D">
        <w:t>no statistical difference in terms</w:t>
      </w:r>
      <w:r w:rsidR="00DB04FD">
        <w:t xml:space="preserve"> of </w:t>
      </w:r>
      <w:r w:rsidR="00717A9F">
        <w:t xml:space="preserve">MACE (log-rank </w:t>
      </w:r>
      <w:r w:rsidR="00717A9F">
        <w:rPr>
          <w:i/>
          <w:iCs/>
        </w:rPr>
        <w:t xml:space="preserve">p </w:t>
      </w:r>
      <w:r w:rsidR="00717A9F">
        <w:t xml:space="preserve">= 0.098) and OCRE (log-rank </w:t>
      </w:r>
      <w:r w:rsidR="00717A9F">
        <w:rPr>
          <w:i/>
          <w:iCs/>
        </w:rPr>
        <w:t xml:space="preserve">p </w:t>
      </w:r>
      <w:r w:rsidR="00717A9F">
        <w:t xml:space="preserve">= 0.053) </w:t>
      </w:r>
      <w:r w:rsidR="0037274D">
        <w:t>between</w:t>
      </w:r>
      <w:r w:rsidR="00DB04FD">
        <w:t xml:space="preserve"> both groups </w:t>
      </w:r>
      <w:r w:rsidR="004F2629">
        <w:t>(</w:t>
      </w:r>
      <w:r w:rsidR="00DB04FD">
        <w:t xml:space="preserve">Figure </w:t>
      </w:r>
      <w:r w:rsidR="004F2629">
        <w:t>1)</w:t>
      </w:r>
      <w:r w:rsidR="00DB04FD">
        <w:t>.</w:t>
      </w:r>
    </w:p>
    <w:p w14:paraId="22796087" w14:textId="05B91F70" w:rsidR="0013004D" w:rsidRDefault="00DB04FD" w:rsidP="00DC50BA">
      <w:pPr>
        <w:spacing w:after="0"/>
        <w:ind w:left="720"/>
      </w:pPr>
      <w:r>
        <w:t xml:space="preserve">On multivariable regression analysis, </w:t>
      </w:r>
      <w:r w:rsidR="0045777D">
        <w:t xml:space="preserve">independent predictors for MACE were </w:t>
      </w:r>
      <w:r>
        <w:t>age</w:t>
      </w:r>
      <w:r w:rsidR="004F2629">
        <w:t xml:space="preserve"> (HR 1.06 per year increase [95% CI 1.03 - 1.10])</w:t>
      </w:r>
      <w:r>
        <w:t xml:space="preserve">, </w:t>
      </w:r>
      <w:r w:rsidR="00BF1972">
        <w:t>CAD</w:t>
      </w:r>
      <w:r w:rsidR="004F2629">
        <w:t xml:space="preserve"> (HR 2.03 [95% CI 1.28 - 3.19])</w:t>
      </w:r>
      <w:r w:rsidR="0045777D">
        <w:t xml:space="preserve"> and heart failure</w:t>
      </w:r>
      <w:r w:rsidR="004F2629">
        <w:t xml:space="preserve"> (HR 1.65 [95% CI 1.03 - 2.66])</w:t>
      </w:r>
      <w:r w:rsidR="0045777D">
        <w:t xml:space="preserve"> </w:t>
      </w:r>
      <w:r w:rsidR="004F2629">
        <w:t>[Figure 2]</w:t>
      </w:r>
      <w:r w:rsidR="00A21EFE">
        <w:t>, after adjustment for sex, presence of CKD, diabetes mellitus, hypertension and prior thromboembolism</w:t>
      </w:r>
      <w:r>
        <w:t xml:space="preserve">. </w:t>
      </w:r>
      <w:r w:rsidR="00A21EFE">
        <w:t>T</w:t>
      </w:r>
      <w:r w:rsidR="0013004D">
        <w:t xml:space="preserve">he presence of CKD was not found to be </w:t>
      </w:r>
      <w:r w:rsidR="0037274D">
        <w:t xml:space="preserve">independently </w:t>
      </w:r>
      <w:r w:rsidR="0013004D">
        <w:t>associated with MACE (HR 1.03 [95% CI 0.45 - 2.34]).</w:t>
      </w:r>
    </w:p>
    <w:p w14:paraId="05AFE12B" w14:textId="4D44FA69" w:rsidR="003B44E9" w:rsidRDefault="0052224F" w:rsidP="00DC50BA">
      <w:pPr>
        <w:spacing w:after="0"/>
        <w:ind w:left="720"/>
      </w:pPr>
      <w:r>
        <w:t xml:space="preserve">Using ROC curve analysis, the AUC of the 2MACE score </w:t>
      </w:r>
      <w:r w:rsidR="00D65004">
        <w:t xml:space="preserve">for </w:t>
      </w:r>
      <w:r w:rsidR="001132C5">
        <w:t xml:space="preserve">prediction of </w:t>
      </w:r>
      <w:r w:rsidR="00D65004">
        <w:t xml:space="preserve">MACE </w:t>
      </w:r>
      <w:r>
        <w:t xml:space="preserve">was 0.65 (95% CI 0.59 - 0.71, </w:t>
      </w:r>
      <w:r>
        <w:rPr>
          <w:i/>
          <w:iCs/>
        </w:rPr>
        <w:t>p</w:t>
      </w:r>
      <w:r>
        <w:t xml:space="preserve"> &lt; 0.001)</w:t>
      </w:r>
      <w:r w:rsidR="004C41B8">
        <w:t xml:space="preserve"> [Figure 3]</w:t>
      </w:r>
      <w:r>
        <w:t xml:space="preserve">. </w:t>
      </w:r>
      <w:r w:rsidR="00D65004">
        <w:t xml:space="preserve">The AUC of the </w:t>
      </w:r>
      <w:r w:rsidR="00D65004" w:rsidRPr="006E2513">
        <w:t>CHA</w:t>
      </w:r>
      <w:r w:rsidR="00D65004" w:rsidRPr="00A340F2">
        <w:rPr>
          <w:vertAlign w:val="subscript"/>
        </w:rPr>
        <w:t>2</w:t>
      </w:r>
      <w:r w:rsidR="00D65004" w:rsidRPr="006E2513">
        <w:t>DS</w:t>
      </w:r>
      <w:r w:rsidR="00D65004" w:rsidRPr="00A340F2">
        <w:rPr>
          <w:vertAlign w:val="subscript"/>
        </w:rPr>
        <w:t>2</w:t>
      </w:r>
      <w:r w:rsidR="00D65004" w:rsidRPr="006E2513">
        <w:t>-VASc</w:t>
      </w:r>
      <w:r w:rsidR="00EC2DA6">
        <w:t>, CHADS</w:t>
      </w:r>
      <w:r w:rsidR="00EC2DA6" w:rsidRPr="00DC50BA">
        <w:rPr>
          <w:vertAlign w:val="subscript"/>
        </w:rPr>
        <w:t>2</w:t>
      </w:r>
      <w:r w:rsidR="00D65004">
        <w:t xml:space="preserve"> and HAS-BLED scores were lower at 0.64 (95% CI 0.57 - 0.70)</w:t>
      </w:r>
      <w:r w:rsidR="00EC2DA6">
        <w:t>, 0.61 (95% CI 0.55 - 0.67)</w:t>
      </w:r>
      <w:r w:rsidR="00D65004">
        <w:t xml:space="preserve"> and 0.63 (95% CI 0.57 - 0.69), respectively</w:t>
      </w:r>
      <w:r w:rsidR="009F7C3A">
        <w:t>.</w:t>
      </w:r>
      <w:r w:rsidR="00A03A43">
        <w:t xml:space="preserve"> However, these differences were not statistically significant when compared to the 2MACE score (</w:t>
      </w:r>
      <w:r w:rsidR="00A03A43">
        <w:rPr>
          <w:i/>
          <w:iCs/>
        </w:rPr>
        <w:t xml:space="preserve">p </w:t>
      </w:r>
      <w:r w:rsidR="00A03A43">
        <w:t>&gt; 0.05).</w:t>
      </w:r>
      <w:r w:rsidR="009F7C3A">
        <w:t xml:space="preserve"> </w:t>
      </w:r>
      <w:r w:rsidR="00451F37">
        <w:t>Each additional point of the 2MACE score was associated with an adjusted HR</w:t>
      </w:r>
      <w:r w:rsidR="0037274D">
        <w:t xml:space="preserve"> for MACE</w:t>
      </w:r>
      <w:r w:rsidR="00451F37">
        <w:t xml:space="preserve"> of 1.57 (95% CI 1.26 - 1.96, </w:t>
      </w:r>
      <w:r w:rsidR="00451F37" w:rsidRPr="00451F37">
        <w:rPr>
          <w:i/>
          <w:iCs/>
        </w:rPr>
        <w:t>p</w:t>
      </w:r>
      <w:r w:rsidR="00451F37">
        <w:rPr>
          <w:i/>
          <w:iCs/>
        </w:rPr>
        <w:t xml:space="preserve"> </w:t>
      </w:r>
      <w:r w:rsidR="00451F37">
        <w:t xml:space="preserve">&lt; 0.001). </w:t>
      </w:r>
      <w:r w:rsidR="00387343">
        <w:t>I</w:t>
      </w:r>
      <w:r w:rsidR="00451F37">
        <w:t>n t</w:t>
      </w:r>
      <w:r w:rsidR="009F7C3A">
        <w:t>he presence of CKD</w:t>
      </w:r>
      <w:r w:rsidR="00451F37">
        <w:t>, each additional point of the 2MACE score</w:t>
      </w:r>
      <w:r w:rsidR="009F7C3A">
        <w:t xml:space="preserve"> was associated with a</w:t>
      </w:r>
      <w:r w:rsidR="00106489">
        <w:t xml:space="preserve"> greater risk of MACE</w:t>
      </w:r>
      <w:r w:rsidR="004C41B8">
        <w:t xml:space="preserve"> </w:t>
      </w:r>
      <w:r w:rsidR="0044050B">
        <w:t>(HR 3.17 [</w:t>
      </w:r>
      <w:r w:rsidR="00BF28EF">
        <w:t xml:space="preserve">95% CI </w:t>
      </w:r>
      <w:r w:rsidR="00451F37">
        <w:t>1</w:t>
      </w:r>
      <w:r w:rsidR="0044050B">
        <w:t>.28 - 7.85] vs 1.48 [</w:t>
      </w:r>
      <w:r w:rsidR="00BF28EF">
        <w:t xml:space="preserve">95% CI </w:t>
      </w:r>
      <w:r w:rsidR="0044050B">
        <w:t>1.17 - 1.87] in the non-CKD group), after adjustment for other comorbidities.</w:t>
      </w:r>
      <w:r w:rsidR="00742C0B">
        <w:t xml:space="preserve"> </w:t>
      </w:r>
      <w:r w:rsidR="00840CBE">
        <w:t>In general, similar increments</w:t>
      </w:r>
      <w:r w:rsidR="00742C0B">
        <w:t xml:space="preserve"> were obtained when the </w:t>
      </w:r>
      <w:r w:rsidR="00742C0B" w:rsidRPr="006E2513">
        <w:t>CHA</w:t>
      </w:r>
      <w:r w:rsidR="00742C0B" w:rsidRPr="00A340F2">
        <w:rPr>
          <w:vertAlign w:val="subscript"/>
        </w:rPr>
        <w:t>2</w:t>
      </w:r>
      <w:r w:rsidR="00742C0B" w:rsidRPr="006E2513">
        <w:t>DS</w:t>
      </w:r>
      <w:r w:rsidR="00742C0B" w:rsidRPr="00A340F2">
        <w:rPr>
          <w:vertAlign w:val="subscript"/>
        </w:rPr>
        <w:t>2</w:t>
      </w:r>
      <w:r w:rsidR="00742C0B" w:rsidRPr="006E2513">
        <w:t>-VASc</w:t>
      </w:r>
      <w:r w:rsidR="00840CBE">
        <w:t>, CHADS</w:t>
      </w:r>
      <w:r w:rsidR="00840CBE" w:rsidRPr="00DC50BA">
        <w:rPr>
          <w:vertAlign w:val="subscript"/>
        </w:rPr>
        <w:t>2</w:t>
      </w:r>
      <w:r w:rsidR="00742C0B">
        <w:t xml:space="preserve"> and HAS-BLED scores were utilised.</w:t>
      </w:r>
      <w:r w:rsidR="00A24349">
        <w:t xml:space="preserve"> </w:t>
      </w:r>
      <w:r w:rsidR="007D1961">
        <w:t>In terms of MACE, t</w:t>
      </w:r>
      <w:r w:rsidR="00A24349">
        <w:t xml:space="preserve">here was a </w:t>
      </w:r>
      <w:r w:rsidR="00A24349">
        <w:lastRenderedPageBreak/>
        <w:t>significant interaction between CKD and 2MACE (</w:t>
      </w:r>
      <w:r w:rsidR="00A24349" w:rsidRPr="00DC50BA">
        <w:rPr>
          <w:i/>
          <w:iCs/>
        </w:rPr>
        <w:t>p</w:t>
      </w:r>
      <w:r w:rsidR="00A24349">
        <w:t xml:space="preserve"> = 0.036) that was not demonstrated with the other risk scores (</w:t>
      </w:r>
      <w:r w:rsidR="00A24349">
        <w:rPr>
          <w:i/>
          <w:iCs/>
        </w:rPr>
        <w:t>p</w:t>
      </w:r>
      <w:r w:rsidR="00A24349">
        <w:t xml:space="preserve"> &gt; 0.05).</w:t>
      </w:r>
    </w:p>
    <w:p w14:paraId="410ED07B" w14:textId="6D087BFE" w:rsidR="0037274D" w:rsidRPr="00E12A50" w:rsidRDefault="004A3991" w:rsidP="00DC50BA">
      <w:pPr>
        <w:spacing w:after="0"/>
        <w:ind w:left="720"/>
      </w:pPr>
      <w:r>
        <w:t>Sensitivity analysis using a propensity score matched cohort of 714 patients with similar baseline characteristics (</w:t>
      </w:r>
      <w:r>
        <w:rPr>
          <w:i/>
          <w:iCs/>
        </w:rPr>
        <w:t xml:space="preserve">p </w:t>
      </w:r>
      <w:r>
        <w:t xml:space="preserve">&gt; 0.05) across the groups </w:t>
      </w:r>
      <w:r w:rsidR="007B0B32">
        <w:t xml:space="preserve">found no statistically significant difference in terms of MACE between the CKD vs non-CKD groups (HR 1.04 [95% CI 0.26 - 4.14, </w:t>
      </w:r>
      <w:r w:rsidR="007B0B32">
        <w:rPr>
          <w:i/>
          <w:iCs/>
        </w:rPr>
        <w:t xml:space="preserve">p = </w:t>
      </w:r>
      <w:r w:rsidR="007B0B32">
        <w:t xml:space="preserve">0.961]). </w:t>
      </w:r>
    </w:p>
    <w:p w14:paraId="6EE6688B" w14:textId="7FA353C0" w:rsidR="00F3394B" w:rsidRDefault="008009E3">
      <w:pPr>
        <w:pStyle w:val="Heading1"/>
      </w:pPr>
      <w:r w:rsidRPr="003705DF">
        <w:t>Discussion</w:t>
      </w:r>
    </w:p>
    <w:p w14:paraId="4F009B46" w14:textId="4091E3CE" w:rsidR="003C4955" w:rsidRDefault="005F1289" w:rsidP="00DC50BA">
      <w:pPr>
        <w:spacing w:after="0"/>
        <w:ind w:left="720"/>
      </w:pPr>
      <w:r>
        <w:t>The main finding</w:t>
      </w:r>
      <w:r w:rsidR="00816DEA">
        <w:t>s</w:t>
      </w:r>
      <w:r>
        <w:t xml:space="preserve"> in this study </w:t>
      </w:r>
      <w:r w:rsidR="00876CF6">
        <w:t>were</w:t>
      </w:r>
      <w:r>
        <w:t xml:space="preserve"> that although CKD per se was not </w:t>
      </w:r>
      <w:r w:rsidR="00AE5E03">
        <w:t>found to be an independent predictor of</w:t>
      </w:r>
      <w:r>
        <w:t xml:space="preserve"> MACE in AF patients, it </w:t>
      </w:r>
      <w:r w:rsidR="0037274D">
        <w:t>appeared to have</w:t>
      </w:r>
      <w:r>
        <w:t xml:space="preserve"> synergistic effect with other comorbidities included in the 2MACE score</w:t>
      </w:r>
      <w:r w:rsidR="00752436">
        <w:t xml:space="preserve">. As a result, </w:t>
      </w:r>
      <w:r>
        <w:t>each component</w:t>
      </w:r>
      <w:r w:rsidR="00752436">
        <w:t xml:space="preserve"> in this tool</w:t>
      </w:r>
      <w:r>
        <w:t xml:space="preserve"> contributed to a greater risk of MACE in the presence of CKD.</w:t>
      </w:r>
      <w:r w:rsidR="00AE5E03">
        <w:t xml:space="preserve"> </w:t>
      </w:r>
      <w:r w:rsidR="00186B1B">
        <w:t xml:space="preserve">Furthermore, the 2MACE score </w:t>
      </w:r>
      <w:r w:rsidR="0037274D">
        <w:t xml:space="preserve">may be a useful tool for clinical risk stratification of high-risk </w:t>
      </w:r>
      <w:r w:rsidR="00107332">
        <w:t>subgroups in AF with better predictive capabilities than</w:t>
      </w:r>
      <w:r w:rsidR="00186B1B">
        <w:t xml:space="preserve"> the </w:t>
      </w:r>
      <w:r w:rsidR="00186B1B" w:rsidRPr="006E2513">
        <w:t>CHA</w:t>
      </w:r>
      <w:r w:rsidR="00186B1B" w:rsidRPr="00A340F2">
        <w:rPr>
          <w:vertAlign w:val="subscript"/>
        </w:rPr>
        <w:t>2</w:t>
      </w:r>
      <w:r w:rsidR="00186B1B" w:rsidRPr="006E2513">
        <w:t>DS</w:t>
      </w:r>
      <w:r w:rsidR="00186B1B" w:rsidRPr="00A340F2">
        <w:rPr>
          <w:vertAlign w:val="subscript"/>
        </w:rPr>
        <w:t>2</w:t>
      </w:r>
      <w:r w:rsidR="00186B1B" w:rsidRPr="006E2513">
        <w:t>-VASc</w:t>
      </w:r>
      <w:r w:rsidR="00EC2DA6">
        <w:t>, CHADS</w:t>
      </w:r>
      <w:r w:rsidR="00EC2DA6" w:rsidRPr="00DC50BA">
        <w:rPr>
          <w:vertAlign w:val="subscript"/>
        </w:rPr>
        <w:t>2</w:t>
      </w:r>
      <w:r w:rsidR="00186B1B">
        <w:t xml:space="preserve"> and HAS-BLED scores.</w:t>
      </w:r>
    </w:p>
    <w:p w14:paraId="3C95F227" w14:textId="567073A1" w:rsidR="00B54E56" w:rsidRDefault="00B54E56" w:rsidP="00DC50BA">
      <w:pPr>
        <w:spacing w:after="0"/>
        <w:ind w:left="720"/>
      </w:pPr>
      <w:r>
        <w:t xml:space="preserve">There exists a bidirectional relationship between AF and CAD such that AF may herald or occur as a result of manifest CAD </w:t>
      </w:r>
      <w:r>
        <w:fldChar w:fldCharType="begin" w:fldLock="1"/>
      </w:r>
      <w:r w:rsidR="00804A5D">
        <w:instrText>ADDIN CSL_CITATION {"citationItems":[{"id":"ITEM-1","itemData":{"DOI":"10.1016/j.atherosclerosis.2016.09.011","ISSN":"1879-1484 (Electronic)","PMID":"27673698","abstract":"BACKGROUND AND AIMS: The presence of atrial fibrillation (AF) markedly increases  the risk of stroke and mortality in patients. Whether AF is a risk factor for myocardial infarction (MI) is discrepant from current studies. The aim of this meta-analysis was to ascertain the association of AF with incident MI. METHODS: Studies were identified through PubMed, CENTRAL, EMBASE, reviews and reference lists of relevant papers. Results of the MI outcome were presented as hazard ratio (HR) and 95% confidence interval (CI). Statistical analyses were performed with Stata 12.0 (Stata Corp LP, College Station, Texas, USA). RESULTS: Twelve studies, with a total of 169,306 patients, were included in the analysis. AF was associated with a 47% increased risk of MI (HR:1.47; 95% CI: 1.21-1.80; p = 0.000; I(2) = 84.1%), while in patients free of coronary heart disease at baseline the risk could be increased by 71% (HR:1.71; 95% CI: 1.36-2.14; p = 0.000; I(2) = 83.1%). Moreover, patients with AF had higher MI risk in the studies with lower mean age (&lt;60 years) (HR:1.66; 95% CI: 1.26-2.20; p = 0.000; I(2) = 82.9%) than in the studies with higher mean age (&gt;/=60 years) (HR:1.35; 95% CI: 1.00-1.82; p = 0.000; I(2) = 84.9%). Sex difference also existed, and the association between AF and MI was stronger in women (HR:2.02; 95% CI: 1.60-2.56; p = 0.017; I(2) = 61.0%) than in men (HR:1.44; 95% CI: 1.13-1.84; p = 0.000; I(2) = 76.1%). CONCLUSIONS: AF is associated with an increased risk of incident MI, especially in patients free of coronary heart disease at baseline, young patients and women. The findings need confirmation in well-designed observational trials.","author":[{"dropping-particle":"","family":"Guo","given":"Xue-Yuan","non-dropping-particle":"","parse-names":false,"suffix":""},{"dropping-particle":"","family":"Li","given":"Na","non-dropping-particle":"","parse-names":false,"suffix":""},{"dropping-particle":"","family":"Du","given":"Xin","non-dropping-particle":"","parse-names":false,"suffix":""},{"dropping-particle":"","family":"Bai","given":"Rong","non-dropping-particle":"","parse-names":false,"suffix":""},{"dropping-particle":"","family":"Yu","given":"Rong-Hui","non-dropping-particle":"","parse-names":false,"suffix":""},{"dropping-particle":"","family":"Long","given":"De-Yong","non-dropping-particle":"","parse-names":false,"suffix":""},{"dropping-particle":"","family":"Tang","given":"Ri-Bo","non-dropping-particle":"","parse-names":false,"suffix":""},{"dropping-particle":"","family":"Sang","given":"Cai-Hua","non-dropping-particle":"","parse-names":false,"suffix":""},{"dropping-particle":"","family":"Jiang","given":"Chen-Xi","non-dropping-particle":"","parse-names":false,"suffix":""},{"dropping-particle":"","family":"Ning","given":"Man","non-dropping-particle":"","parse-names":false,"suffix":""},{"dropping-particle":"","family":"Li","given":"Song-Nan","non-dropping-particle":"","parse-names":false,"suffix":""},{"dropping-particle":"","family":"Liu","given":"Nian","non-dropping-particle":"","parse-names":false,"suffix":""},{"dropping-particle":"","family":"Dong","given":"Jian-Zeng","non-dropping-particle":"","parse-names":false,"suffix":""},{"dropping-particle":"","family":"Ma","given":"Chang-Sheng","non-dropping-particle":"","parse-names":false,"suffix":""}],"container-title":"Atherosclerosis","id":"ITEM-1","issued":{"date-parts":[["2016","11"]]},"language":"eng","page":"1-7","publisher-place":"Ireland","title":"Atrial fibrillation is associated with an increased risk of myocardial infarction: Insights from a meta-analysis.","type":"article-journal","volume":"254"},"uris":["http://www.mendeley.com/documents/?uuid=128677f7-3668-4788-9a8d-f87620fb0f26"]},{"id":"ITEM-2","itemData":{"DOI":"10.1093/eurheartj/ehn579","ISSN":"1522-9645 (Electronic)","PMID":"19109347","abstract":"Atrial fibrillation (AF), the most commonly encountered clinical arrhythmia, often complicates acute myocardial infarction (AMI) with an incidence between 6 and 21%. Predictors of the arrhythmia in the setting of AMI include advanced age, heart failure symptoms, and depressed left ventricular function. The bulk of evidence demonstrates that AF in patients hospitalized for AMI has serious adverse prognostic implications regarding in-hospital, but also long-term mortality. This seems to apply for all patient populations studied without significant differences related to the treatment of AMI (i.e. no reperfusion therapy vs. thrombolysis vs. percutaneous coronary intervention). Mortality is particularly high in patients who have congestive heart failure and/or a reduced left ventricular ejection fraction. Finally, there are persuasive data indicating that AF complicating AMI not only increases the risk for ischaemic stroke during hospitalization but also during follow-up. This seems to apply also for transient AF which has reversed back to sinus rhythm at the time of discharge. These observations emphasize the need for prospective studies evaluating optimal therapeutic approaches for patients with AMI complicated by AF.","author":[{"dropping-particle":"","family":"Schmitt","given":"Joern","non-dropping-particle":"","parse-names":false,"suffix":""},{"dropping-particle":"","family":"Duray","given":"Gabor","non-dropping-particle":"","parse-names":false,"suffix":""},{"dropping-particle":"","family":"Gersh","given":"Bernard J","non-dropping-particle":"","parse-names":false,"suffix":""},{"dropping-particle":"","family":"Hohnloser","given":"Stefan H","non-dropping-particle":"","parse-names":false,"suffix":""}],"container-title":"European heart journal","id":"ITEM-2","issue":"9","issued":{"date-parts":[["2009","5"]]},"language":"eng","page":"1038-1045","publisher-place":"England","title":"Atrial fibrillation in acute myocardial infarction: a systematic review of the incidence, clinical features and prognostic implications.","type":"article-journal","volume":"30"},"uris":["http://www.mendeley.com/documents/?uuid=c8f2fc06-e50d-4511-8ff7-b94b8ac6dae6"]}],"mendeley":{"formattedCitation":"&lt;sup&gt;10,11&lt;/sup&gt;","plainTextFormattedCitation":"10,11","previouslyFormattedCitation":"&lt;sup&gt;10,11&lt;/sup&gt;"},"properties":{"noteIndex":0},"schema":"https://github.com/citation-style-language/schema/raw/master/csl-citation.json"}</w:instrText>
      </w:r>
      <w:r>
        <w:fldChar w:fldCharType="separate"/>
      </w:r>
      <w:r w:rsidR="00804A5D" w:rsidRPr="00804A5D">
        <w:rPr>
          <w:noProof/>
          <w:vertAlign w:val="superscript"/>
        </w:rPr>
        <w:t>10,11</w:t>
      </w:r>
      <w:r>
        <w:fldChar w:fldCharType="end"/>
      </w:r>
      <w:r>
        <w:t xml:space="preserve">. It was estimated that the prevalence of AF in patients with </w:t>
      </w:r>
      <w:r w:rsidR="000A1AD8">
        <w:t xml:space="preserve">the </w:t>
      </w:r>
      <w:r>
        <w:t xml:space="preserve">established atherosclerotic disease </w:t>
      </w:r>
      <w:r w:rsidR="00834697">
        <w:t>was</w:t>
      </w:r>
      <w:r>
        <w:t xml:space="preserve"> </w:t>
      </w:r>
      <w:r w:rsidR="00E21112">
        <w:t>5-fold</w:t>
      </w:r>
      <w:r>
        <w:t xml:space="preserve"> higher compared to the general population </w:t>
      </w:r>
      <w:r>
        <w:fldChar w:fldCharType="begin" w:fldLock="1"/>
      </w:r>
      <w:r w:rsidR="00804A5D">
        <w:instrText>ADDIN CSL_CITATION {"citationItems":[{"id":"ITEM-1","itemData":{"DOI":"10.1016/j.ahj.2008.06.029","ISSN":"1097-6744 (Electronic)","PMID":"19061698","abstract":"BACKGROUND: Atrial fibrillation (AF) is a major risk factor (RF) for ischemic stroke. Its prevalence and prognostic impact in patients with atherothrombosis are unclear. METHODS: Risk factors, drug usage, and 1-year cardiovascular (CV) outcomes (CV death, myocardial infarction [MI], and stroke) were compared in AF and non-AF patients from the REduction of Atherothrombosis for Continued Health (REACH) Registry, an international, prospective cohort of 68,236 stable outpatients with established atherothrombosis or&gt;or=3 atherothrombotic RFs. RESULTS: Atrial fibrillation and 1-year follow-up data are available for 63,589 patients. The prevalence of AF was, 12.5%, 13.7%, 11.5%, and 6.2% among coronary artery disease, CV disease, peripheral artery disease, and RF-only patients, respectively. Of the 6,814 patients with AF, 6.7% experienced CV death, nonfatal MI, or nonfatal stroke within a year. The annual incidence of nonfatal stroke (2.4% vs 1.6%, P&lt;.0001) and unstable angina (6.0% vs 4.0%, P&lt;.00001) was higher, and CV death was more than double (3.2% vs 1.4%, P&lt;.0001), in AF versus non-AF patients. In these patients with or at high risk of atherothrombosis, most patients with AF received antiplatelet agents, but only 53.1% were treated with oral anticoagulants. Even with high CHADS2 (congestive heart failure, hypertension, aging, diabetes mellitus, and stroke) scores, anticoagulant use did not exceed (59%). The rate of bleeding requiring hospitalization was higher in AF versus non-AF patients (1.5% vs 0.8%, P&lt;.0001), possibly related to the more frequent use of anticoagulants (53.1% vs 7.1%). CONCLUSIONS: Atrial fibrillation is common in patients with atherothrombosis, associated with more frequent fatal and nonfatal CV outcomes, and underuse of oral anticoagulants.","author":[{"dropping-particle":"","family":"Goto","given":"Shinya","non-dropping-particle":"","parse-names":false,"suffix":""},{"dropping-particle":"","family":"Bhatt","given":"Deepak L","non-dropping-particle":"","parse-names":false,"suffix":""},{"dropping-particle":"","family":"Rother","given":"Joachim","non-dropping-particle":"","parse-names":false,"suffix":""},{"dropping-particle":"","family":"Alberts","given":"Mark","non-dropping-particle":"","parse-names":false,"suffix":""},{"dropping-particle":"","family":"Hill","given":"Michael D","non-dropping-particle":"","parse-names":false,"suffix":""},{"dropping-particle":"","family":"Ikeda","given":"Yasuo","non-dropping-particle":"","parse-names":false,"suffix":""},{"dropping-particle":"","family":"Uchiyama","given":"Shinichiro","non-dropping-particle":"","parse-names":false,"suffix":""},{"dropping-particle":"","family":"D'Agostino","given":"Ralph","non-dropping-particle":"","parse-names":false,"suffix":""},{"dropping-particle":"","family":"Ohman","given":"E Magnus","non-dropping-particle":"","parse-names":false,"suffix":""},{"dropping-particle":"","family":"Liau","given":"Chiau-Suong","non-dropping-particle":"","parse-names":false,"suffix":""},{"dropping-particle":"","family":"Hirsch","given":"Alan T","non-dropping-particle":"","parse-names":false,"suffix":""},{"dropping-particle":"","family":"Mas","given":"Jean-Louis","non-dropping-particle":"","parse-names":false,"suffix":""},{"dropping-particle":"","family":"Wilson","given":"Peter W F","non-dropping-particle":"","parse-names":false,"suffix":""},{"dropping-particle":"","family":"Corbalan","given":"Ramon","non-dropping-particle":"","parse-names":false,"suffix":""},{"dropping-particle":"","family":"Aichner","given":"Franz","non-dropping-particle":"","parse-names":false,"suffix":""},{"dropping-particle":"","family":"Steg","given":"P Gabriel","non-dropping-particle":"","parse-names":false,"suffix":""}],"container-title":"American heart journal","id":"ITEM-1","issue":"5","issued":{"date-parts":[["2008","11"]]},"language":"eng","note":"Compared to the general population, AF prevalence in patients with established atherosclerotic disease is fivefold higher (2.3% vs 11.7%, respectively)","page":"855-63, 863.e2","publisher-place":"United States","title":"Prevalence, clinical profile, and cardiovascular outcomes of atrial fibrillation  patients with atherothrombosis.","type":"article-journal","volume":"156"},"uris":["http://www.mendeley.com/documents/?uuid=12207cc2-5f02-4efd-b3be-70d3e4d33698"]}],"mendeley":{"formattedCitation":"&lt;sup&gt;12&lt;/sup&gt;","plainTextFormattedCitation":"12","previouslyFormattedCitation":"&lt;sup&gt;12&lt;/sup&gt;"},"properties":{"noteIndex":0},"schema":"https://github.com/citation-style-language/schema/raw/master/csl-citation.json"}</w:instrText>
      </w:r>
      <w:r>
        <w:fldChar w:fldCharType="separate"/>
      </w:r>
      <w:r w:rsidR="00804A5D" w:rsidRPr="00804A5D">
        <w:rPr>
          <w:noProof/>
          <w:vertAlign w:val="superscript"/>
        </w:rPr>
        <w:t>12</w:t>
      </w:r>
      <w:r>
        <w:fldChar w:fldCharType="end"/>
      </w:r>
      <w:r>
        <w:t xml:space="preserve">. Furthermore, AF itself was independently associated with an increased risk of MI and cardiovascular mortality </w:t>
      </w:r>
      <w:r>
        <w:fldChar w:fldCharType="begin" w:fldLock="1"/>
      </w:r>
      <w:r w:rsidR="00804A5D">
        <w:instrText>ADDIN CSL_CITATION {"citationItems":[{"id":"ITEM-1","itemData":{"DOI":"10.1016/j.hrthm.2014.08.003","ISSN":"1556-3871 (Electronic)","PMID":"25101483","abstract":"BACKGROUND: The risk of acute myocardial infarction (AMI) in patients with atrial fibrillation (AF) with a CHA2DS2-VASc score of 0 (for men) or 1 (for women) has not been previously investigated. OBJECTIVE: The objective of the present study was to compare the risk of AMI in AF and non-AF subjects with a low (0 or 1) CHA2DS2-VASc score. METHODS: By using the National Health Insurance Research Database in Taiwan, we identified 7254 men with AF (with a CHA2DS2-VASc score of 0) and 4860 women with AF (with a CHA2DS2-VASc score of 1). For each study patient, 1 age-, sex-, and CHA2DS2-VASc score-matched subject without AF was randomly selected to constitute the control group (n = 12,114). The clinical end point was the occurrence of AMI. RESULTS: During a mean follow-up period of 5.7 +/- 3.6 years, 258 patients (1.1%) suffered an AMI, with an annual incidence of 0.29% and 0.10% for patients with and without AF. AF was an independent risk factor of AMI, with an adjusted hazard ratio (HR) of 2.93 (95% confidence interval 2.21-3.87; P &lt; .001). The risk of AMI was higher in men with AF than in women with AF, with a hazard ratio of 2.24 (95% confidence interval 1.61-3.11; P &lt; .001) after adjustment for age and other comorbidities. CONCLUSION: In patients with a CHA2DS2-VASc score of 0 or 1, AF was an independent risk factor of AMI. The risk of AMI was higher in men with AF than in women with AF. Cardiovascular risk prevention should be performed as part of the holistic management of AF to minimize the risks of AMI associated with AF.","author":[{"dropping-particle":"","family":"Chao","given":"Tze-Fan","non-dropping-particle":"","parse-names":false,"suffix":""},{"dropping-particle":"","family":"Huang","given":"Yen-Chang","non-dropping-particle":"","parse-names":false,"suffix":""},{"dropping-particle":"","family":"Liu","given":"Chia-Jen","non-dropping-particle":"","parse-names":false,"suffix":""},{"dropping-particle":"","family":"Chen","given":"Su-Jung","non-dropping-particle":"","parse-names":false,"suffix":""},{"dropping-particle":"","family":"Wang","given":"Kang-Ling","non-dropping-particle":"","parse-names":false,"suffix":""},{"dropping-particle":"","family":"Lin","given":"Yenn-Jiang","non-dropping-particle":"","parse-names":false,"suffix":""},{"dropping-particle":"","family":"Chang","given":"Shih-Lin","non-dropping-particle":"","parse-names":false,"suffix":""},{"dropping-particle":"","family":"Lo","given":"Li-Wei","non-dropping-particle":"","parse-names":false,"suffix":""},{"dropping-particle":"","family":"Hu","given":"Yu-Feng","non-dropping-particle":"","parse-names":false,"suffix":""},{"dropping-particle":"","family":"Tuan","given":"Ta-Chuan","non-dropping-particle":"","parse-names":false,"suffix":""},{"dropping-particle":"","family":"Chen","given":"Tzeng-Ji","non-dropping-particle":"","parse-names":false,"suffix":""},{"dropping-particle":"","family":"Hsieh","given":"Ming-Hsiung","non-dropping-particle":"","parse-names":false,"suffix":""},{"dropping-particle":"","family":"Lip","given":"Gregory Y H","non-dropping-particle":"","parse-names":false,"suffix":""},{"dropping-particle":"","family":"Chen","given":"Shih-Ann","non-dropping-particle":"","parse-names":false,"suffix":""}],"container-title":"Heart rhythm","id":"ITEM-1","issue":"11","issued":{"date-parts":[["2014","11"]]},"language":"eng","page":"1941-1947","publisher-place":"United States","title":"Acute myocardial infarction in patients with atrial fibrillation with a CHA2DS2-VASc score of 0 or 1: a nationwide cohort study.","type":"article-journal","volume":"11"},"uris":["http://www.mendeley.com/documents/?uuid=d9593b1c-294e-4a54-a3f2-b51a137d607e"]}],"mendeley":{"formattedCitation":"&lt;sup&gt;13&lt;/sup&gt;","plainTextFormattedCitation":"13","previouslyFormattedCitation":"&lt;sup&gt;13&lt;/sup&gt;"},"properties":{"noteIndex":0},"schema":"https://github.com/citation-style-language/schema/raw/master/csl-citation.json"}</w:instrText>
      </w:r>
      <w:r>
        <w:fldChar w:fldCharType="separate"/>
      </w:r>
      <w:r w:rsidR="00804A5D" w:rsidRPr="00804A5D">
        <w:rPr>
          <w:noProof/>
          <w:vertAlign w:val="superscript"/>
        </w:rPr>
        <w:t>13</w:t>
      </w:r>
      <w:r>
        <w:fldChar w:fldCharType="end"/>
      </w:r>
      <w:r>
        <w:t>.</w:t>
      </w:r>
      <w:r w:rsidRPr="00AC63BB">
        <w:t xml:space="preserve"> </w:t>
      </w:r>
      <w:r>
        <w:t xml:space="preserve">A systematic review of observational studies found that the incidence of MI in AF patients ranged from 0.4% to 2.5% per year </w:t>
      </w:r>
      <w:r>
        <w:fldChar w:fldCharType="begin" w:fldLock="1"/>
      </w:r>
      <w:r w:rsidR="00804A5D">
        <w:instrText>ADDIN CSL_CITATION {"citationItems":[{"id":"ITEM-1","itemData":{"DOI":"10.1161/JAHA.116.003347","ISSN":"2047-9980 (Electronic)","PMID":"27208001","abstract":"BACKGROUND: A growing body of evidence suggests that atrial fibrillation (AF) is  associated with myocardial infarction (MI). However, incidence and management of MI in AF is still undefined. METHODS AND RESULTS: We searched MEDLINE via PubMed and Cochrane database between 1965 and 2015. All observational clinical studies and interventional trials reporting 1-year incidence of MI in AF were included. We also discussed pathophysiological mechanisms, predictors, and therapeutic approaches to reduce the risk of MI in AF. Twenty-one observational studies and 10 clinical trials were included. The annual rate of MI in observational studies including AF patients ranged from 0.4% to 2.5%. Higher rates of MI were reported in AF patients with stable coronary artery disease (11.5%/year), vascular disease (4.47%/year), heart failure (2.9%/year), and in those undergoing coronary artery interventions (6.3%/year). However, lower annual rates have been described in AF patients from Eastern countries (0.2-0.3%/year), and in those enrolled in clinical trials (from 0.4 to 1.3%/year). CONCLUSIONS: AF patients had a significant residual risk of MI despite anticoagulant treatment. Coexistence of atherosclerotic risk factors and platelet activation account for the increased risk of MI in AF. Identification of high-risk AF patients is a needed first step to develop cost-effective approaches for prevention. A new score, the 2MACE score, has been recently developed to stratify MI risk in AF, and may help not only in allocating resources to high-risk groups, but also in design of studies examining novel therapies for prevention of MI in AF.","author":[{"dropping-particle":"","family":"Violi","given":"Francesco","non-dropping-particle":"","parse-names":false,"suffix":""},{"dropping-particle":"","family":"Soliman","given":"Elsayed Z","non-dropping-particle":"","parse-names":false,"suffix":""},{"dropping-particle":"","family":"Pignatelli","given":"Pasquale","non-dropping-particle":"","parse-names":false,"suffix":""},{"dropping-particle":"","family":"Pastori","given":"Daniele","non-dropping-particle":"","parse-names":false,"suffix":""}],"container-title":"Journal of the American Heart Association","id":"ITEM-1","issue":"5","issued":{"date-parts":[["2016","5"]]},"language":"eng","note":"Systematic review\n\nAnnual rate of MI in observational studies including AF patients ranged from 0.4% to 2.5%. However, these were as high as 11.5%/year among patients with known stable coronary artery disease","publisher-place":"England","title":"Atrial Fibrillation and Myocardial Infarction: A Systematic Review and Appraisal  of Pathophysiologic Mechanisms.","type":"article-journal","volume":"5"},"uris":["http://www.mendeley.com/documents/?uuid=af64ae55-3049-4077-978a-c79d85e4096d"]}],"mendeley":{"formattedCitation":"&lt;sup&gt;14&lt;/sup&gt;","plainTextFormattedCitation":"14","previouslyFormattedCitation":"&lt;sup&gt;14&lt;/sup&gt;"},"properties":{"noteIndex":0},"schema":"https://github.com/citation-style-language/schema/raw/master/csl-citation.json"}</w:instrText>
      </w:r>
      <w:r>
        <w:fldChar w:fldCharType="separate"/>
      </w:r>
      <w:r w:rsidR="00804A5D" w:rsidRPr="00804A5D">
        <w:rPr>
          <w:noProof/>
          <w:vertAlign w:val="superscript"/>
        </w:rPr>
        <w:t>14</w:t>
      </w:r>
      <w:r>
        <w:fldChar w:fldCharType="end"/>
      </w:r>
      <w:r>
        <w:t xml:space="preserve">. However, the authors also reported that the </w:t>
      </w:r>
      <w:r w:rsidR="00834697">
        <w:t>rate of MI</w:t>
      </w:r>
      <w:r>
        <w:t xml:space="preserve"> </w:t>
      </w:r>
      <w:r w:rsidR="00695E0B">
        <w:t>was up to</w:t>
      </w:r>
      <w:r>
        <w:t xml:space="preserve"> 11.5% per year among AF patients with known stable </w:t>
      </w:r>
      <w:r w:rsidR="00BF1972">
        <w:t>CAD</w:t>
      </w:r>
      <w:r>
        <w:t>.</w:t>
      </w:r>
      <w:r w:rsidR="008202CE">
        <w:t xml:space="preserve"> </w:t>
      </w:r>
      <w:r w:rsidR="006F02B6">
        <w:t>A possible cause of MI in patients with AF may be related to embolic events to the coronary arteries. Indeed, t</w:t>
      </w:r>
      <w:r w:rsidR="008202CE">
        <w:t xml:space="preserve">he most frequent cause of MI secondary to coronary embolisation was found to be AF and </w:t>
      </w:r>
      <w:r w:rsidR="008202CE">
        <w:lastRenderedPageBreak/>
        <w:t xml:space="preserve">this was associated with a </w:t>
      </w:r>
      <w:r w:rsidR="00E21112">
        <w:t>9-fold</w:t>
      </w:r>
      <w:r w:rsidR="008202CE">
        <w:t xml:space="preserve"> increased risk of cardiovascular mortality compared to MI due to other causes </w:t>
      </w:r>
      <w:r w:rsidR="008202CE">
        <w:fldChar w:fldCharType="begin" w:fldLock="1"/>
      </w:r>
      <w:r w:rsidR="00804A5D">
        <w:instrText>ADDIN CSL_CITATION {"citationItems":[{"id":"ITEM-1","itemData":{"DOI":"10.1161/CIRCULATIONAHA.114.015134","ISSN":"1524-4539 (Electronic)","PMID":"26216084","abstract":"BACKGROUND: Coronary artery embolism (CE) is recognized as an important nonatherosclerotic cause of acute myocardial infarction. Its prevalence, clinical features, and prognosis remain insufficiently characterized. METHODS AND RESULTS: We screened 1776 consecutive patients who presented with de novo acute myocardial infarction between 2001 and 2013. CE was diagnosed based on criteria encompassing histological, angiographic, and other diagnostic imaging findings. The prevalence, clinical characteristics, treatment strategies, in-hospital outcomes, and long-term risk of CE recurrence or major adverse cardiac and cerebrovascular events (cardiac death, fatal arrhythmia, or recurrent thromboembolism) were evaluated. The prevalence of CE was 2.9% (n=52), including 8 (15%) patients with multivessel CE. Atrial fibrillation was the most common cause (n=38, 73%). Only 39% of patients with CE were treated with vitamin K antagonists, and the median international normalized ratio was 1.42 (range, 0.95-1.80). Eighteen of the 30 CE patients with nonvalvular atrial fibrillation had a CHADS2 score of 0 or 1. When those patients were reevaluated using CHA2DS2-VASc, 61% were reassigned to a higher risk category. During a median follow-up of 49 months, CE and thromboembolism recurred in 5 atrial fibrillation patients. The 5-year rate of major adverse cardiac and cerebrovascular events was 27.1%. In the propensity score-matched cohorts (n=45 each), Kaplan-Meier analysis showed a significantly higher incidence of cardiac death in the CE group than in the non-CE group (hazard ratio, 9.29; 95% confidence interval, 1.13-76.5; P&lt;0.001). CONCLUSIONS: Atrial fibrillation is the most frequent cause of CE. Patients with CE represent a high-risk subgroup of patients with acute myocardial infarction and require close follow-up.","author":[{"dropping-particle":"","family":"Shibata","given":"Tatsuhiro","non-dropping-particle":"","parse-names":false,"suffix":""},{"dropping-particle":"","family":"Kawakami","given":"Shoji","non-dropping-particle":"","parse-names":false,"suffix":""},{"dropping-particle":"","family":"Noguchi","given":"Teruo","non-dropping-particle":"","parse-names":false,"suffix":""},{"dropping-particle":"","family":"Tanaka","given":"Tomotaka","non-dropping-particle":"","parse-names":false,"suffix":""},{"dropping-particle":"","family":"Asaumi","given":"Yasuhide","non-dropping-particle":"","parse-names":false,"suffix":""},{"dropping-particle":"","family":"Kanaya","given":"Tomoaki","non-dropping-particle":"","parse-names":false,"suffix":""},{"dropping-particle":"","family":"Nagai","given":"Toshiyuki","non-dropping-particle":"","parse-names":false,"suffix":""},{"dropping-particle":"","family":"Nakao","given":"Kazuhiro","non-dropping-particle":"","parse-names":false,"suffix":""},{"dropping-particle":"","family":"Fujino","given":"Masashi","non-dropping-particle":"","parse-names":false,"suffix":""},{"dropping-particle":"","family":"Nagatsuka","given":"Kazuyuki","non-dropping-particle":"","parse-names":false,"suffix":""},{"dropping-particle":"","family":"Ishibashi-Ueda","given":"Hatsue","non-dropping-particle":"","parse-names":false,"suffix":""},{"dropping-particle":"","family":"Nishimura","given":"Kunihiro","non-dropping-particle":"","parse-names":false,"suffix":""},{"dropping-particle":"","family":"Miyamoto","given":"Yoshihiro","non-dropping-particle":"","parse-names":false,"suffix":""},{"dropping-particle":"","family":"Kusano","given":"Kengo","non-dropping-particle":"","parse-names":false,"suffix":""},{"dropping-particle":"","family":"Anzai","given":"Toshihisa","non-dropping-particle":"","parse-names":false,"suffix":""},{"dropping-particle":"","family":"Goto","given":"Yoichi","non-dropping-particle":"","parse-names":false,"suffix":""},{"dropping-particle":"","family":"Ogawa","given":"Hisao","non-dropping-particle":"","parse-names":false,"suffix":""},{"dropping-particle":"","family":"Yasuda","given":"Satoshi","non-dropping-particle":"","parse-names":false,"suffix":""}],"container-title":"Circulation","id":"ITEM-1","issue":"4","issued":{"date-parts":[["2015","7"]]},"language":"eng","page":"241-250","publisher-place":"United States","title":"Prevalence, Clinical Features, and Prognosis of Acute Myocardial Infarction Attributable to Coronary Artery Embolism.","type":"article-journal","volume":"132"},"uris":["http://www.mendeley.com/documents/?uuid=1c08b205-d6ca-4d83-aa74-0681bd0e6050"]}],"mendeley":{"formattedCitation":"&lt;sup&gt;15&lt;/sup&gt;","plainTextFormattedCitation":"15","previouslyFormattedCitation":"&lt;sup&gt;15&lt;/sup&gt;"},"properties":{"noteIndex":0},"schema":"https://github.com/citation-style-language/schema/raw/master/csl-citation.json"}</w:instrText>
      </w:r>
      <w:r w:rsidR="008202CE">
        <w:fldChar w:fldCharType="separate"/>
      </w:r>
      <w:r w:rsidR="00804A5D" w:rsidRPr="00804A5D">
        <w:rPr>
          <w:noProof/>
          <w:vertAlign w:val="superscript"/>
        </w:rPr>
        <w:t>15</w:t>
      </w:r>
      <w:r w:rsidR="008202CE">
        <w:fldChar w:fldCharType="end"/>
      </w:r>
      <w:r w:rsidR="008202CE">
        <w:t>.</w:t>
      </w:r>
      <w:r w:rsidR="008202CE" w:rsidRPr="00E70C40">
        <w:t xml:space="preserve"> </w:t>
      </w:r>
    </w:p>
    <w:p w14:paraId="22FABE34" w14:textId="73D562BF" w:rsidR="00B54E56" w:rsidRDefault="00B54E56" w:rsidP="00DC50BA">
      <w:pPr>
        <w:spacing w:after="0"/>
        <w:ind w:left="720"/>
      </w:pPr>
      <w:r>
        <w:t xml:space="preserve">A study of consecutive patients with acute coronary syndrome from the </w:t>
      </w:r>
      <w:r w:rsidR="0091425F" w:rsidRPr="0091425F">
        <w:t>Analysis of Delay in Acute Myocardial Infarction</w:t>
      </w:r>
      <w:r w:rsidR="0091425F">
        <w:t xml:space="preserve"> (</w:t>
      </w:r>
      <w:r>
        <w:t>ARIAM</w:t>
      </w:r>
      <w:r w:rsidR="0091425F">
        <w:t>)</w:t>
      </w:r>
      <w:r>
        <w:t xml:space="preserve"> registry demonstrated that new-onset AF was an independent predictor for </w:t>
      </w:r>
      <w:r w:rsidR="0091425F">
        <w:t>MACE</w:t>
      </w:r>
      <w:r>
        <w:t xml:space="preserve"> and mortality </w:t>
      </w:r>
      <w:r>
        <w:fldChar w:fldCharType="begin" w:fldLock="1"/>
      </w:r>
      <w:r w:rsidR="00804A5D">
        <w:instrText>ADDIN CSL_CITATION {"citationItems":[{"id":"ITEM-1","itemData":{"DOI":"10.1177/2048872613517370","ISSN":"2048-8734 (Electronic)","PMID":"24381097","abstract":"AIMS: The prognostic ability of atrial fibrillation (AF) in acute coronary syndromes (ACS) is unclear. Studies regarding patient outcomes with respect to the timing of AF are scarce and conflicting. The present study aimed to determine the frequency, predictors and impact on clinical outcome of AF in patients with ACS. METHODS: We analysed 39,237 consecutive patients with ACS included in the ARIAM registry between January /2001 and December 2011. Patients with AF were compared with patients in sinus rhythm. We differentiate between new-onset AF and previous AF cases to analyse mortality and other major adverse cardiac events (MACE) during hospitalization. RESULTS: Of the patients, 2851 (7.3%) developed AF; 1568 (55%) of these were new-onset AF and 1283 (45%) had previous AF. The AF group had a higher risk profile at baseline and poorer clinical presentation at admission than non-AF patients. Compared with previous AF patients, new-onset AF presented with fewer comorbidities, including hypertension, diabetes, prior myocardial infarction, and chronic renal impairment. The inhospital mortality for new-onset AF, previous AF, and non-AF patients were 14, 11.6, and 5.2%, respectively (new-onset AF unadjusted HR 2.19, 95% CI 1.9-2.53, p&lt;0.001; adjusted HR 1.70, 95% CI 1.12-3.4, p&lt;0.001). After propensity score analysis, only new-onset AF persisted as an independent predictor for mortality (HR 1.62, 95% CI 1.09-2.89, p&lt;0.001). Other MACE such as reinfarction, malignant arrhythmias, and heart failure were also more frequent in new-onset AF patients than in previous AF or non-AF patients. CONCLUSIONS: These findings suggest that the presence of new-onset AF during ACS is associated with a significant increase in mortality, even after adjusting for confounding variables.","author":[{"dropping-particle":"","family":"Almendro-Delia","given":"Manuel","non-dropping-particle":"","parse-names":false,"suffix":""},{"dropping-particle":"","family":"Valle-Caballero","given":"Maria Jose","non-dropping-particle":"","parse-names":false,"suffix":""},{"dropping-particle":"","family":"Garcia-Rubira","given":"Juan C","non-dropping-particle":"","parse-names":false,"suffix":""},{"dropping-particle":"","family":"Munoz-Calero","given":"Blanca","non-dropping-particle":"","parse-names":false,"suffix":""},{"dropping-particle":"","family":"Garcia-Alcantara","given":"Angel","non-dropping-particle":"","parse-names":false,"suffix":""},{"dropping-particle":"","family":"Reina-Toral","given":"Antonio","non-dropping-particle":"","parse-names":false,"suffix":""},{"dropping-particle":"","family":"Benitez-Parejo","given":"Jose","non-dropping-particle":"","parse-names":false,"suffix":""},{"dropping-particle":"","family":"Hidalgo-Urbano","given":"Rafael","non-dropping-particle":"","parse-names":false,"suffix":""}],"container-title":"European heart journal. Acute cardiovascular care","id":"ITEM-1","issue":"2","issued":{"date-parts":[["2014","6"]]},"language":"eng","note":"ARIAM registry\n\nNew onset AF among ACS patients was an independent predictor for MACE events and mortality","page":"141-148","publisher-place":"England","title":"Prognostic impact of atrial fibrillation in acute coronary syndromes: results from the ARIAM registry.","type":"article-journal","volume":"3"},"uris":["http://www.mendeley.com/documents/?uuid=b1850010-1f26-4178-9ce0-b3862fae173e"]}],"mendeley":{"formattedCitation":"&lt;sup&gt;16&lt;/sup&gt;","plainTextFormattedCitation":"16","previouslyFormattedCitation":"&lt;sup&gt;16&lt;/sup&gt;"},"properties":{"noteIndex":0},"schema":"https://github.com/citation-style-language/schema/raw/master/csl-citation.json"}</w:instrText>
      </w:r>
      <w:r>
        <w:fldChar w:fldCharType="separate"/>
      </w:r>
      <w:r w:rsidR="00804A5D" w:rsidRPr="00804A5D">
        <w:rPr>
          <w:noProof/>
          <w:vertAlign w:val="superscript"/>
        </w:rPr>
        <w:t>16</w:t>
      </w:r>
      <w:r>
        <w:fldChar w:fldCharType="end"/>
      </w:r>
      <w:r>
        <w:t xml:space="preserve">. Similar findings were described by Worme </w:t>
      </w:r>
      <w:r>
        <w:rPr>
          <w:i/>
          <w:iCs/>
        </w:rPr>
        <w:t>et al.</w:t>
      </w:r>
      <w:r>
        <w:t xml:space="preserve"> who performed a retrospective analysis of the </w:t>
      </w:r>
      <w:r w:rsidR="0091425F" w:rsidRPr="0091425F">
        <w:t>Global Registry of Acute Coronary Events</w:t>
      </w:r>
      <w:r w:rsidR="0091425F">
        <w:t xml:space="preserve"> (</w:t>
      </w:r>
      <w:r>
        <w:t>GRACE</w:t>
      </w:r>
      <w:r w:rsidR="0091425F">
        <w:t>) registry</w:t>
      </w:r>
      <w:r>
        <w:t xml:space="preserve"> </w:t>
      </w:r>
      <w:r>
        <w:fldChar w:fldCharType="begin" w:fldLock="1"/>
      </w:r>
      <w:r w:rsidR="00804A5D">
        <w:instrText>ADDIN CSL_CITATION {"citationItems":[{"id":"ITEM-1","itemData":{"DOI":"10.1016/j.amjcard.2018.06.001","ISSN":"1879-1913 (Electronic)","PMID":"30115426","abstract":"Atrial fibrillation (AF) is a frequent complication of acute coronary syndromes (ACS) and is associated with an increased risk of in-hospital and long-term mortality. Our objective was to determine whether patients with previous AF and those who presented with or developed AF during their ACS hospitalization (new onset) have an associated increased risk of short- and mid-term cardiovascular events, death, or a composite. We included 7,228 patients from the Global Registry of Acute Coronary Events electrocardiogram core laboratory substudy, who presented with an ACS. Associated multivariable-adjusted risk of death and major adverse cardiovascular events (MACE) of death, re-infarction, or stroke in-hospital and at 6 months were estimated. New-onset AF and previous AF patients had higher rates of in-hospital mortality (14.9% and 10.9%, respectively) compared with patients without AF (3.8%; both p &lt; 0.001). New-onset AF and previous AF patients had higher rates of 6-month mortality (22.3% and 21.3%, respectively) compared with patients without AF (7.0%; both p &lt;0.001). After adjustment for clinical prognosticators, including those in the Global Registry of Acute Coronary Events risk model, new-onset AF was associated with higher mortality in-hospital (ORadj 1.87, 95% CI 1.30 to 2.70) and at 6 months (ORadj 1.75, 95% CI 1.29 to 2.39) as well as MACE at 6 months (ORadj 1.43, 95% CI 1.12 to 1.81) compared with patients without AF, but were at similar risk compared to those with previous AF (all p &gt; 0.40). In conclusion, the risk of death and MACE after ACS in patients with new-onset and previous AF appears similar and significantly increased compared with patients without AF.","author":[{"dropping-particle":"","family":"Worme","given":"Mali D","non-dropping-particle":"","parse-names":false,"suffix":""},{"dropping-particle":"","family":"Tan","given":"Mary K","non-dropping-particle":"","parse-names":false,"suffix":""},{"dropping-particle":"","family":"Armstrong","given":"David W J","non-dropping-particle":"","parse-names":false,"suffix":""},{"dropping-particle":"","family":"Yan","given":"Andrew T","non-dropping-particle":"","parse-names":false,"suffix":""},{"dropping-particle":"","family":"Tan","given":"Nigel S","non-dropping-particle":"","parse-names":false,"suffix":""},{"dropping-particle":"","family":"Brieger","given":"David","non-dropping-particle":"","parse-names":false,"suffix":""},{"dropping-particle":"","family":"Budaj","given":"Andrzej","non-dropping-particle":"","parse-names":false,"suffix":""},{"dropping-particle":"","family":"Gore","given":"Joel M","non-dropping-particle":"","parse-names":false,"suffix":""},{"dropping-particle":"","family":"Lopez-Sendon","given":"Jose","non-dropping-particle":"","parse-names":false,"suffix":""},{"dropping-particle":"","family":"Werf","given":"Frans","non-dropping-particle":"Van de","parse-names":false,"suffix":""},{"dropping-particle":"","family":"Steg","given":"Ph Gabriel","non-dropping-particle":"","parse-names":false,"suffix":""},{"dropping-particle":"","family":"Fox","given":"Keith A A","non-dropping-particle":"","parse-names":false,"suffix":""},{"dropping-particle":"","family":"Goodman","given":"Shaun G","non-dropping-particle":"","parse-names":false,"suffix":""},{"dropping-particle":"","family":"Udell","given":"Jacob A","non-dropping-particle":"","parse-names":false,"suffix":""}],"container-title":"The American journal of cardiology","id":"ITEM-1","issue":"6","issued":{"date-parts":[["2018","9"]]},"language":"eng","note":"Patients with acute MI\nMACE = death, repeat MI or stroke at 6 months\nAF was associated with higher risk of mortality and MACE","page":"944-951","publisher-place":"United States","title":"Previous and New Onset Atrial Fibrillation and Associated Outcomes in Acute Coronary Syndromes (from the Global Registry of Acute Coronary Events).","type":"article-journal","volume":"122"},"uris":["http://www.mendeley.com/documents/?uuid=725528a4-4fad-4063-8c4c-074c7ffba1f7"]}],"mendeley":{"formattedCitation":"&lt;sup&gt;17&lt;/sup&gt;","plainTextFormattedCitation":"17","previouslyFormattedCitation":"&lt;sup&gt;17&lt;/sup&gt;"},"properties":{"noteIndex":0},"schema":"https://github.com/citation-style-language/schema/raw/master/csl-citation.json"}</w:instrText>
      </w:r>
      <w:r>
        <w:fldChar w:fldCharType="separate"/>
      </w:r>
      <w:r w:rsidR="00804A5D" w:rsidRPr="00804A5D">
        <w:rPr>
          <w:noProof/>
          <w:vertAlign w:val="superscript"/>
        </w:rPr>
        <w:t>17</w:t>
      </w:r>
      <w:r>
        <w:fldChar w:fldCharType="end"/>
      </w:r>
      <w:r>
        <w:t xml:space="preserve">. Among patients with atherosclerotic disease, AF was associated with a </w:t>
      </w:r>
      <w:r w:rsidR="00E21112">
        <w:t>2-fold</w:t>
      </w:r>
      <w:r>
        <w:t xml:space="preserve"> increase in MACE during a 4-year follow-up period </w:t>
      </w:r>
      <w:r>
        <w:fldChar w:fldCharType="begin" w:fldLock="1"/>
      </w:r>
      <w:r w:rsidR="00804A5D">
        <w:instrText>ADDIN CSL_CITATION {"citationItems":[{"id":"ITEM-1","itemData":{"DOI":"10.1016/j.ijcard.2013.11.030","ISSN":"1874-1754 (Electronic)","PMID":"24321327","abstract":"BACKGROUND: Patients with atrial fibrillation (AF) are at increased risk of thromboembolic events. The long-term prognostic implications of AF in patients with atherothrombosis are unknown. METHODS: We compared 4-year CV outcomes in patients with and without a history of AF recorded at their baseline visit in the REACH Registry, an international, prospective cohort of patients with established atherosclerotic arterial disease (CAD, CVD, PAD) or at least 3 risk factors (RFO). RESULTS: AF status and 4 year follow-up data were available on 44,518 patients. The prevalence of AF at baseline was 10.3% (n=4582). Overall, patients with AF had approximately a 2-fold increase in the composite of CV death, MI, or stroke compared with patients without AF after adjustment for age, gender, prior ischemic event, vascular disease, congestive heart failure, diabetes, smoking, body mass index, region, aspirin and statin use (18.9% vs. 9.4%, p&lt;0.0001). This increased risk was observed both in patients with established atherothrombosis (CAD: 15.5% vs. 8.0%, p=0.0001; CVD: 23.6% vs. 13.6%, p&lt;0.0001; PAD: 24.3% vs. 13.5%, p=0.089) and those with multiple risk factors (RFO: 12.1% vs. 5.9%, p=0.017). Only 52% of patients with a history of AF at baseline were receiving anticoagulation at 4 years. CONCLUSIONS: Patients with a history of both AF and atherothrombosis have particularly high long-term CV risk. Despite this increased risk, almost half of all patients with AF do not receive guideline recommended anticoagulation, highlighting an important public health priority.","author":[{"dropping-particle":"","family":"Ruff","given":"Christian T","non-dropping-particle":"","parse-names":false,"suffix":""},{"dropping-particle":"","family":"Bhatt","given":"Deepak L","non-dropping-particle":"","parse-names":false,"suffix":""},{"dropping-particle":"","family":"Steg","given":"Ph Gabriel","non-dropping-particle":"","parse-names":false,"suffix":""},{"dropping-particle":"","family":"Gersh","given":"Bernard J","non-dropping-particle":"","parse-names":false,"suffix":""},{"dropping-particle":"","family":"Alberts","given":"Mark J","non-dropping-particle":"","parse-names":false,"suffix":""},{"dropping-particle":"","family":"Hoffman","given":"Elaine B","non-dropping-particle":"","parse-names":false,"suffix":""},{"dropping-particle":"","family":"Ohman","given":"E Magnus","non-dropping-particle":"","parse-names":false,"suffix":""},{"dropping-particle":"","family":"Eagle","given":"Kim A","non-dropping-particle":"","parse-names":false,"suffix":""},{"dropping-particle":"","family":"Lip","given":"Gregory Y H","non-dropping-particle":"","parse-names":false,"suffix":""},{"dropping-particle":"","family":"Goto","given":"Shinya","non-dropping-particle":"","parse-names":false,"suffix":""}],"container-title":"International journal of cardiology","id":"ITEM-1","issue":"3","issued":{"date-parts":[["2014","1"]]},"language":"eng","note":"The composite event rate of CV death/MI/stroke over the 4-year follow-up period was 24.3% in AF patients compared to 13.3% for those without AF (p&amp;lt;0.0001)\n\nLinear correlation between MACE and CHA2DS2-VASc score","page":"413-418","publisher-place":"Netherlands","title":"Long-term cardiovascular outcomes in patients with atrial fibrillation and atherothrombosis in the REACH Registry.","type":"article-journal","volume":"170"},"uris":["http://www.mendeley.com/documents/?uuid=01c4520f-2518-4bcf-bd54-db809c338486"]}],"mendeley":{"formattedCitation":"&lt;sup&gt;18&lt;/sup&gt;","plainTextFormattedCitation":"18","previouslyFormattedCitation":"&lt;sup&gt;18&lt;/sup&gt;"},"properties":{"noteIndex":0},"schema":"https://github.com/citation-style-language/schema/raw/master/csl-citation.json"}</w:instrText>
      </w:r>
      <w:r>
        <w:fldChar w:fldCharType="separate"/>
      </w:r>
      <w:r w:rsidR="00804A5D" w:rsidRPr="00804A5D">
        <w:rPr>
          <w:noProof/>
          <w:vertAlign w:val="superscript"/>
        </w:rPr>
        <w:t>18</w:t>
      </w:r>
      <w:r>
        <w:fldChar w:fldCharType="end"/>
      </w:r>
      <w:r>
        <w:t>. Interestingly, authors</w:t>
      </w:r>
      <w:r w:rsidR="00B4393F">
        <w:t xml:space="preserve"> of the study</w:t>
      </w:r>
      <w:r>
        <w:t xml:space="preserve"> reported that there was a linear correlation between MACE and CHA</w:t>
      </w:r>
      <w:r w:rsidRPr="00CE47BD">
        <w:rPr>
          <w:vertAlign w:val="subscript"/>
        </w:rPr>
        <w:t>2</w:t>
      </w:r>
      <w:r>
        <w:t>DS</w:t>
      </w:r>
      <w:r w:rsidRPr="00CE47BD">
        <w:rPr>
          <w:vertAlign w:val="subscript"/>
        </w:rPr>
        <w:t>2</w:t>
      </w:r>
      <w:r>
        <w:t>-VASc score.</w:t>
      </w:r>
      <w:r w:rsidR="0091425F">
        <w:t xml:space="preserve"> </w:t>
      </w:r>
    </w:p>
    <w:p w14:paraId="7427CF3B" w14:textId="509D01F5" w:rsidR="00BF586D" w:rsidRDefault="009C07E6" w:rsidP="00DC50BA">
      <w:pPr>
        <w:spacing w:after="0"/>
        <w:ind w:left="720"/>
      </w:pPr>
      <w:r>
        <w:t xml:space="preserve">Overall, there is limited and </w:t>
      </w:r>
      <w:r w:rsidR="00690631">
        <w:t>conflicting</w:t>
      </w:r>
      <w:r>
        <w:t xml:space="preserve"> evidence on the effects of CKD on MACE in patients with AF. </w:t>
      </w:r>
      <w:r w:rsidR="00EE3816">
        <w:t xml:space="preserve">Polovina </w:t>
      </w:r>
      <w:r w:rsidR="00EE3816">
        <w:rPr>
          <w:i/>
          <w:iCs/>
        </w:rPr>
        <w:t>et al.</w:t>
      </w:r>
      <w:r w:rsidR="00EE3816">
        <w:t xml:space="preserve"> demonstrated that there was a significantly greater prevalence of CKD among AF patients who suffered a MACE (26.8% vs 17.6% without MACE) </w:t>
      </w:r>
      <w:r w:rsidR="00EE3816">
        <w:fldChar w:fldCharType="begin" w:fldLock="1"/>
      </w:r>
      <w:r w:rsidR="00804A5D">
        <w:instrText>ADDIN CSL_CITATION {"citationItems":[{"id":"ITEM-1","itemData":{"DOI":"10.1016/j.ijcard.2017.09.154","ISSN":"1874-1754 (Electronic)","PMID":"28986061","abstract":"BACKGROUND: In addition to thromboembolism, atrial fibrillation (AF) may also predispose to major adverse cardiovascular events (MACE) attributable to coronary artery disease (CAD), including myocardial infarction (MI). The 2MACE score (2 points - Metabolic syndrome and Age&gt;/=75years, 1 point - MI/revascularization, Congestive heart failure/ejection-fraction &lt;40%, and thrombo-Embolism) was recently proposed to help identify AF patients at risk of MACE. We assessed the predictive validity of the 2MACE score for MACE occurrence in AF patients free of CAD at baseline. METHODS: Non-valvular AF patients (n=794) without CAD (mean-age, 62.5+/-12.1years, metabolic syndrome, 34.0%; heart failure/ejection-fraction &lt;40%, 25.7%; thromboembolism, 9.7%) were prospectively followed for 5years, or until MACE (composite of non-fatal/fatal MI, revascularization and cardiovascular death). At inclusion, CAD was excluded by medical history, exercise-stress testing and/or coronary angiography. Also, the 2MACE score was determined. RESULTS: At follow-up, 112 patients experienced MACE (2.8%/year). The 2MACE score demonstrated adequate discrimination (C-statistic, 0.699; 95% confidence interval [CI], 0.648-0.750; P&lt;0.001) and calibration (Hosmer-Lemeshow P=0.79) for MACE. The score was significantly associated with MACE, with the adjusted Hazard Ratio (aHR) of 1.56 (95%CI, 1.35-1.73; P&lt;0.001). As for individual outcomes, the score predicted MI (n=46; aHR, 1.49; 95%CI 1.23-1.80), revascularization (n=32; aHR, 1.41; 95%CI, 1.11-1.80) and cardiovascular death (n=34; aHR, 1.43; 95%CI, 1.14-1.81), all P&lt;0.001. CONCLUSIONS: The 2MACE score successfully predicts future MACE, including incident MI, coronary revascularization and cardiovascular death in AF patients free of CAD at baseline. It may have a role in risk-stratification and primary prevention of MACE in AF patients.","author":[{"dropping-particle":"","family":"Polovina","given":"Marija","non-dropping-particle":"","parse-names":false,"suffix":""},{"dropping-particle":"","family":"Dikic","given":"Dijana","non-dropping-particle":"","parse-names":false,"suffix":""},{"dropping-particle":"","family":"Vlajkovic","given":"Ana","non-dropping-particle":"","parse-names":false,"suffix":""},{"dropping-particle":"","family":"Vilotijevic","given":"Matej","non-dropping-particle":"","parse-names":false,"suffix":""},{"dropping-particle":"","family":"Milinkovic","given":"Ivan","non-dropping-particle":"","parse-names":false,"suffix":""},{"dropping-particle":"","family":"Asanin","given":"Milika","non-dropping-particle":"","parse-names":false,"suffix":""},{"dropping-particle":"","family":"Ostojic","given":"Miodrag","non-dropping-particle":"","parse-names":false,"suffix":""},{"dropping-particle":"","family":"Coats","given":"Andrew J S","non-dropping-particle":"","parse-names":false,"suffix":""},{"dropping-particle":"","family":"Seferovic","given":"Petar M","non-dropping-particle":"","parse-names":false,"suffix":""}],"container-title":"International journal of cardiology","id":"ITEM-1","issued":{"date-parts":[["2017","12"]]},"language":"eng","note":"Prospective validation of 2MACE score\n\nNon-valvular AF patients without CAD were prospectively evaluated for 5 years or until MACE\nMACE = composite of nonfatal/fatal MI, revascularisation and CV death\nAnnual rates of MACE were 2.8%\n2MACE c-statistic 0.699\nAdjusted HR of 1.56 (95% CI 1.35 - 1.73, p&amp;lt;0.001)\n\n2MACE score successfully predicts future MACE","page":"191-197","publisher-place":"Netherlands","title":"Adverse cardiovascular outcomes in atrial fibrillation: Validation of the new 2MACE risk score.","type":"article-journal","volume":"249"},"uris":["http://www.mendeley.com/documents/?uuid=4de36d1d-cbd7-4f53-98d4-5d27fc879cfd"]}],"mendeley":{"formattedCitation":"&lt;sup&gt;19&lt;/sup&gt;","plainTextFormattedCitation":"19","previouslyFormattedCitation":"&lt;sup&gt;19&lt;/sup&gt;"},"properties":{"noteIndex":0},"schema":"https://github.com/citation-style-language/schema/raw/master/csl-citation.json"}</w:instrText>
      </w:r>
      <w:r w:rsidR="00EE3816">
        <w:fldChar w:fldCharType="separate"/>
      </w:r>
      <w:r w:rsidR="00804A5D" w:rsidRPr="00804A5D">
        <w:rPr>
          <w:noProof/>
          <w:vertAlign w:val="superscript"/>
        </w:rPr>
        <w:t>19</w:t>
      </w:r>
      <w:r w:rsidR="00EE3816">
        <w:fldChar w:fldCharType="end"/>
      </w:r>
      <w:r w:rsidR="00EE3816">
        <w:t xml:space="preserve">. </w:t>
      </w:r>
      <w:r>
        <w:t xml:space="preserve">In a large cohort study involving </w:t>
      </w:r>
      <w:r w:rsidR="00907A0D">
        <w:t xml:space="preserve">77,752 </w:t>
      </w:r>
      <w:r>
        <w:t xml:space="preserve">AF </w:t>
      </w:r>
      <w:r w:rsidR="00907A0D">
        <w:t>patients with or at risk of atherosclerotic disease</w:t>
      </w:r>
      <w:r>
        <w:t xml:space="preserve">, the cumulative incidence of MACE at </w:t>
      </w:r>
      <w:r w:rsidR="00E21112">
        <w:t>4</w:t>
      </w:r>
      <w:r>
        <w:t xml:space="preserve"> years was </w:t>
      </w:r>
      <w:r w:rsidR="00907A0D">
        <w:t>9.9%</w:t>
      </w:r>
      <w:r>
        <w:t>, occurring</w:t>
      </w:r>
      <w:r w:rsidR="00907A0D">
        <w:t xml:space="preserve"> at a rate of 2.95 events/100 PYs</w:t>
      </w:r>
      <w:r w:rsidR="00F273D2">
        <w:t xml:space="preserve"> </w:t>
      </w:r>
      <w:r w:rsidR="00F273D2">
        <w:fldChar w:fldCharType="begin" w:fldLock="1"/>
      </w:r>
      <w:r w:rsidR="00804A5D">
        <w:instrText>ADDIN CSL_CITATION {"citationItems":[{"id":"ITEM-1","itemData":{"DOI":"10.1002/clc.23344","ISSN":"1932-8737 (Electronic)","PMID":"32106334","abstract":"BACKGROUND: There is a paucity of contemporary data assessing the implications of atrial fibrillation (AF) on major adverse cardiovascular events (MACE) in patients with or at high-risk for atherosclerotic disease managed in routine practice. HYPOTHESIS: We sought to evaluate the 4-year incidence of MACE in patients with or at risk of atherosclerotic disease in the presence of AF. METHODS: Using US MarketScan data, we identified AF patients &gt;/=45 years old with billing codes indicating established coronary artery disease, cerebrovascular disease, or peripheral artery disease or the presence of &gt;/=3 risk factors for atherosclerotic disease from January 1, 2013 to December 31, 2013 with a minimum of 4-years of available follow-up. We calculated the 4-year incidence of MACE (cardiovascular death or hospitalization with a primary billing code for myocardial infarction or ischemic stroke). Patients were further stratified by CHA2 DS2 -VASc score and oral anticoagulation (OAC) use at baseline. RESULTS: We identified 625,951 patients with 4-years of follow-up, of which 77,752 (12.4%) had comorbid AF. The median (25%, 75% range) CHA2 DS2 -VASc score was 4 (3, 5) and 64% of patients received an OAC at baseline. The incidence of MACE increased as CHA2 DS2 -VASc scores increased (P-interaction&lt;.0001 for all). AF patients receiving an OAC were less likely to experience MACE (8.9% vs 11.6%, P &lt; .0001) including ischemic stroke (5.4% vs 6.7%, P &lt; .0001). CONCLUSION: Comorbid AF carries a substantial risk of MACE in patients with or at risk of atherosclerotic disease. MACE risk increases with higher CHA2 DS2 -VASc scores and is more likely in patients without OAC.","author":[{"dropping-particle":"","family":"Miao","given":"Benjamin","non-dropping-particle":"","parse-names":false,"suffix":""},{"dropping-particle":"V","family":"Hernandez","given":"Adrian","non-dropping-particle":"","parse-names":false,"suffix":""},{"dropping-particle":"","family":"Roman","given":"Yuani M","non-dropping-particle":"","parse-names":false,"suffix":""},{"dropping-particle":"","family":"Alberts","given":"Mark J","non-dropping-particle":"","parse-names":false,"suffix":""},{"dropping-particle":"","family":"Coleman","given":"Craig I","non-dropping-particle":"","parse-names":false,"suffix":""},{"dropping-particle":"","family":"Baker","given":"William L","non-dropping-particle":"","parse-names":false,"suffix":""}],"container-title":"Clinical cardiology","id":"ITEM-1","issued":{"date-parts":[["2020","2"]]},"language":"eng","note":"Uses US MarketScan data\n\nLarge study involving 77,752 patients with or at risk of atherosclerotic disease in the presence of AF\n\n4-years FU\n\n9.9% total MACE at 4-years\nMACE (composite of CV mortality, MI or ischaemic stroke) occured at a rate of 2.95 events/100 PYs\nThese events were independently reduced with the use of oral anticoagulation\n\nLow rates of OAC use (64.4% in those where it is indicated)","publisher-place":"United States","title":"Four-year incidence of major adverse cardiovascular events in patients with atherosclerosis and atrial fibrillation.","type":"article-journal"},"uris":["http://www.mendeley.com/documents/?uuid=9014d757-0b05-44e4-8c5a-118b9d297860"]}],"mendeley":{"formattedCitation":"&lt;sup&gt;20&lt;/sup&gt;","plainTextFormattedCitation":"20","previouslyFormattedCitation":"&lt;sup&gt;20&lt;/sup&gt;"},"properties":{"noteIndex":0},"schema":"https://github.com/citation-style-language/schema/raw/master/csl-citation.json"}</w:instrText>
      </w:r>
      <w:r w:rsidR="00F273D2">
        <w:fldChar w:fldCharType="separate"/>
      </w:r>
      <w:r w:rsidR="00804A5D" w:rsidRPr="00804A5D">
        <w:rPr>
          <w:noProof/>
          <w:vertAlign w:val="superscript"/>
        </w:rPr>
        <w:t>20</w:t>
      </w:r>
      <w:r w:rsidR="00F273D2">
        <w:fldChar w:fldCharType="end"/>
      </w:r>
      <w:r w:rsidR="00186B1B">
        <w:t xml:space="preserve">. </w:t>
      </w:r>
      <w:r w:rsidR="00F273D2">
        <w:t xml:space="preserve">The authors found that CKD stage </w:t>
      </w:r>
      <w:r w:rsidR="00876CF6">
        <w:t xml:space="preserve">≥3 </w:t>
      </w:r>
      <w:r w:rsidR="00F273D2">
        <w:t xml:space="preserve">was independently associated with MACE. However, it was </w:t>
      </w:r>
      <w:r w:rsidR="00CE1D68">
        <w:t>observed</w:t>
      </w:r>
      <w:r w:rsidR="00F273D2">
        <w:t xml:space="preserve"> that</w:t>
      </w:r>
      <w:r w:rsidR="007608A1">
        <w:t xml:space="preserve"> </w:t>
      </w:r>
      <w:r w:rsidR="00F273D2">
        <w:t>the study had l</w:t>
      </w:r>
      <w:r w:rsidR="00907A0D">
        <w:t>ow rates</w:t>
      </w:r>
      <w:r w:rsidR="007608A1">
        <w:t xml:space="preserve"> (64.4%)</w:t>
      </w:r>
      <w:r w:rsidR="00907A0D">
        <w:t xml:space="preserve"> of </w:t>
      </w:r>
      <w:r w:rsidR="00EE7BF1">
        <w:t>oral anticoagulation</w:t>
      </w:r>
      <w:r w:rsidR="00907A0D">
        <w:t xml:space="preserve"> use</w:t>
      </w:r>
      <w:r w:rsidR="007608A1">
        <w:t xml:space="preserve"> among patients with a valid indication</w:t>
      </w:r>
      <w:r w:rsidR="00907A0D">
        <w:t>.</w:t>
      </w:r>
      <w:r w:rsidR="00186B1B">
        <w:t xml:space="preserve"> </w:t>
      </w:r>
      <w:r w:rsidR="00EE3816">
        <w:t xml:space="preserve">In contrast, a prospective cohort study by Blann </w:t>
      </w:r>
      <w:r w:rsidR="00EE3816">
        <w:rPr>
          <w:i/>
          <w:iCs/>
        </w:rPr>
        <w:t>et al.</w:t>
      </w:r>
      <w:r w:rsidR="00EE3816">
        <w:t xml:space="preserve"> found that </w:t>
      </w:r>
      <w:r w:rsidR="00186B1B">
        <w:t xml:space="preserve">eGFR was not </w:t>
      </w:r>
      <w:r w:rsidR="00735B54">
        <w:t xml:space="preserve">independently </w:t>
      </w:r>
      <w:r w:rsidR="00186B1B">
        <w:t>associated with MACE</w:t>
      </w:r>
      <w:r w:rsidR="00EE3816">
        <w:t>, after adjustment for other risk factors</w:t>
      </w:r>
      <w:r w:rsidR="0091425F">
        <w:t xml:space="preserve"> </w:t>
      </w:r>
      <w:r w:rsidR="0091425F">
        <w:fldChar w:fldCharType="begin" w:fldLock="1"/>
      </w:r>
      <w:r w:rsidR="00804A5D">
        <w:instrText>ADDIN CSL_CITATION {"citationItems":[{"id":"ITEM-1","itemData":{"DOI":"10.1160/TH14-11-0932","ISSN":"2567-689X (Electronic)","PMID":"25716989","author":[{"dropping-particle":"","family":"Blann","given":"Andrew D","non-dropping-particle":"","parse-names":false,"suffix":""},{"dropping-particle":"","family":"Lip","given":"Gregory Y H","non-dropping-particle":"","parse-names":false,"suffix":""}],"container-title":"Thrombosis and haemostasis","id":"ITEM-1","issue":"5","issued":{"date-parts":[["2015","5"]]},"language":"eng","note":"CHA2DS2-VASc score was independently associated with MACE events. However, MACE was defined as ischaemic stroke/TIA, MI, SE and deaths in this study","page":"1155-1157","publisher-place":"Germany","title":"Renal, endothelial function, warfarin management, and the CHADS2, CHA2DS2VASc and HAS-BLED scores inpredicting MACE in AF.","type":"article-journal","volume":"113"},"uris":["http://www.mendeley.com/documents/?uuid=3a46c364-6b63-43f2-9b18-43a12bb1e7b4"]}],"mendeley":{"formattedCitation":"&lt;sup&gt;21&lt;/sup&gt;","plainTextFormattedCitation":"21","previouslyFormattedCitation":"&lt;sup&gt;21&lt;/sup&gt;"},"properties":{"noteIndex":0},"schema":"https://github.com/citation-style-language/schema/raw/master/csl-citation.json"}</w:instrText>
      </w:r>
      <w:r w:rsidR="0091425F">
        <w:fldChar w:fldCharType="separate"/>
      </w:r>
      <w:r w:rsidR="00804A5D" w:rsidRPr="00804A5D">
        <w:rPr>
          <w:noProof/>
          <w:vertAlign w:val="superscript"/>
        </w:rPr>
        <w:t>21</w:t>
      </w:r>
      <w:r w:rsidR="0091425F">
        <w:fldChar w:fldCharType="end"/>
      </w:r>
      <w:r w:rsidR="00186B1B">
        <w:t>.</w:t>
      </w:r>
      <w:r w:rsidR="00EE3816" w:rsidRPr="00EE3816">
        <w:t xml:space="preserve"> </w:t>
      </w:r>
      <w:r w:rsidR="00EE3816">
        <w:t>The authors reported that the CHA</w:t>
      </w:r>
      <w:r w:rsidR="00EE3816" w:rsidRPr="00CE47BD">
        <w:rPr>
          <w:vertAlign w:val="subscript"/>
        </w:rPr>
        <w:t>2</w:t>
      </w:r>
      <w:r w:rsidR="00EE3816">
        <w:t>DS</w:t>
      </w:r>
      <w:r w:rsidR="00EE3816" w:rsidRPr="00CE47BD">
        <w:rPr>
          <w:vertAlign w:val="subscript"/>
        </w:rPr>
        <w:t>2</w:t>
      </w:r>
      <w:r w:rsidR="00EE3816">
        <w:t>-VASc score and number of clinic visits were the only independent predictors of MACE.</w:t>
      </w:r>
      <w:r w:rsidR="00CE1D68">
        <w:t xml:space="preserve"> However, it was acknowledged that renal function was likely to </w:t>
      </w:r>
      <w:r w:rsidR="00777E74">
        <w:t>remain</w:t>
      </w:r>
      <w:r w:rsidR="00CE1D68">
        <w:t xml:space="preserve"> important due to its effects on anticoagulation therapy </w:t>
      </w:r>
      <w:r w:rsidR="00CE1D68">
        <w:fldChar w:fldCharType="begin" w:fldLock="1"/>
      </w:r>
      <w:r w:rsidR="00804A5D">
        <w:instrText>ADDIN CSL_CITATION {"citationItems":[{"id":"ITEM-1","itemData":{"DOI":"10.1160/TH14-11-0932","ISSN":"2567-689X (Electronic)","PMID":"25716989","author":[{"dropping-particle":"","family":"Blann","given":"Andrew D","non-dropping-particle":"","parse-names":false,"suffix":""},{"dropping-particle":"","family":"Lip","given":"Gregory Y H","non-dropping-particle":"","parse-names":false,"suffix":""}],"container-title":"Thrombosis and haemostasis","id":"ITEM-1","issue":"5","issued":{"date-parts":[["2015","5"]]},"language":"eng","note":"CHA2DS2-VASc score was independently associated with MACE events. However, MACE was defined as ischaemic stroke/TIA, MI, SE and deaths in this study","page":"1155-1157","publisher-place":"Germany","title":"Renal, endothelial function, warfarin management, and the CHADS2, CHA2DS2VASc and HAS-BLED scores inpredicting MACE in AF.","type":"article-journal","volume":"113"},"uris":["http://www.mendeley.com/documents/?uuid=3a46c364-6b63-43f2-9b18-43a12bb1e7b4"]}],"mendeley":{"formattedCitation":"&lt;sup&gt;21&lt;/sup&gt;","plainTextFormattedCitation":"21","previouslyFormattedCitation":"&lt;sup&gt;21&lt;/sup&gt;"},"properties":{"noteIndex":0},"schema":"https://github.com/citation-style-language/schema/raw/master/csl-citation.json"}</w:instrText>
      </w:r>
      <w:r w:rsidR="00CE1D68">
        <w:fldChar w:fldCharType="separate"/>
      </w:r>
      <w:r w:rsidR="00804A5D" w:rsidRPr="00804A5D">
        <w:rPr>
          <w:noProof/>
          <w:vertAlign w:val="superscript"/>
        </w:rPr>
        <w:t>21</w:t>
      </w:r>
      <w:r w:rsidR="00CE1D68">
        <w:fldChar w:fldCharType="end"/>
      </w:r>
      <w:r w:rsidR="00CE1D68">
        <w:t>.</w:t>
      </w:r>
      <w:r w:rsidR="009F4866">
        <w:t xml:space="preserve"> In </w:t>
      </w:r>
      <w:r w:rsidR="00B4393F">
        <w:t>our</w:t>
      </w:r>
      <w:r w:rsidR="009F4866">
        <w:t xml:space="preserve"> study, there was no association between CKD and MACE in AF, after </w:t>
      </w:r>
      <w:r w:rsidR="00D818C5">
        <w:t>accounting</w:t>
      </w:r>
      <w:r w:rsidR="009F4866">
        <w:t xml:space="preserve"> for other risk factors. </w:t>
      </w:r>
      <w:r w:rsidR="00FD04C8">
        <w:t xml:space="preserve">This was further </w:t>
      </w:r>
      <w:r w:rsidR="00FB178A">
        <w:t>confirmed in</w:t>
      </w:r>
      <w:r w:rsidR="00FD04C8">
        <w:t xml:space="preserve"> our sensitivity analysis using a </w:t>
      </w:r>
      <w:r w:rsidR="00FD04C8">
        <w:lastRenderedPageBreak/>
        <w:t xml:space="preserve">propensity score matched cohort of patients with similar baseline characteristics. </w:t>
      </w:r>
      <w:r w:rsidR="009F4866">
        <w:t xml:space="preserve">In addition, </w:t>
      </w:r>
      <w:r w:rsidR="00D818C5">
        <w:t>though</w:t>
      </w:r>
      <w:r w:rsidR="009F4866">
        <w:t xml:space="preserve"> there was a significant nu</w:t>
      </w:r>
      <w:r w:rsidR="00D818C5">
        <w:t>mber of MACE, the predominant complications were stroke, major bleeding and non-cardiovascular mortality.</w:t>
      </w:r>
    </w:p>
    <w:p w14:paraId="5ED47AA5" w14:textId="5FF59F74" w:rsidR="00777E74" w:rsidRDefault="00777E74" w:rsidP="00DC50BA">
      <w:pPr>
        <w:spacing w:after="0"/>
        <w:ind w:left="720"/>
      </w:pPr>
      <w:r>
        <w:t xml:space="preserve">The </w:t>
      </w:r>
      <w:r w:rsidR="00C54457">
        <w:t xml:space="preserve">2MACE score </w:t>
      </w:r>
      <w:r>
        <w:t xml:space="preserve">was previously developed for risk stratification of MACE in AF. Results from </w:t>
      </w:r>
      <w:r w:rsidR="00C54457">
        <w:t xml:space="preserve">internal </w:t>
      </w:r>
      <w:r>
        <w:t xml:space="preserve">and external </w:t>
      </w:r>
      <w:r w:rsidR="00C54457">
        <w:t>derivation cohort</w:t>
      </w:r>
      <w:r>
        <w:t>s</w:t>
      </w:r>
      <w:r w:rsidR="00C54457">
        <w:t xml:space="preserve"> </w:t>
      </w:r>
      <w:r w:rsidR="00735B54">
        <w:t>showed</w:t>
      </w:r>
      <w:r>
        <w:t xml:space="preserve"> a </w:t>
      </w:r>
      <w:r w:rsidR="00C54457">
        <w:t xml:space="preserve">c-index of 0.79 </w:t>
      </w:r>
      <w:r>
        <w:t>and</w:t>
      </w:r>
      <w:r w:rsidR="00C54457">
        <w:t xml:space="preserve"> 0.66</w:t>
      </w:r>
      <w:r>
        <w:t xml:space="preserve">, respectively </w:t>
      </w:r>
      <w:r>
        <w:fldChar w:fldCharType="begin" w:fldLock="1"/>
      </w:r>
      <w:r w:rsidR="004B24CF">
        <w:instrText>ADDIN CSL_CITATION {"citationItems":[{"id":"ITEM-1","itemData":{"DOI":"10.1007/s11739-015-1326-1","ISSN":"1970-9366 (Electronic)","PMID":"26471883","abstract":"Recent findings suggest that patients with non-valvular atrial fibrillation (AF), in addition to having a high risk for ischemic stroke, are also at risk for myocardial infarction (MI). The aim of the study was to combine factors predicting Major Adverse Cardiovascular Events (MACE) in AF patients, including fatal/nonfatal MI, cardiac revascularization, and cardiovascular death, into a simple risk score. Predictors of MACE were obtained from a prospective observational cohort study, including 1019 AF patients taking vitamin K antagonists from the Atherothrombosis Center, of Sapienza University of Rome. Thus, we derived the 2MACE score [2 points for Metabolic Syndrome and Age &gt;/=75, 1 point for MI/revascularization, Congestive heart failure (ejection fraction &lt;/=40 %), thrombo-Embolism (stroke/transient ischemic attack)], ranging from 0 to 7 points. To evaluate the 2MACE score, we included an external validation cohort of 1089 anticoagulated AF patients from the Thrombosis Centre of Azienda Ospedaliero-Universitaria Careggi, Firenze, Italy. At follow-up, 111 AF patients in the internal and 68 in the external cohort experienced a MACE. The 2MACE score showed a good ability in discriminating AF patients experiencing MACE both in the internal derivation cohort, with a c-index of 0.79 [95 % Confidence Interval (CI) 0.71-0.90, p &lt; 0.001] and in the external validation cohort (c-index 0.66, 95 % CI 0.60-0.73, p &lt; 0.001). The overall Hazard Ratio (HR) was 1.61 (95 % CI 1.40-1.85, p &lt; 0.001) for each additional point. A 2MACE score &gt;/=3 had the best combination of specificity and sensitivity, with an HR of 3.92 (95 % CI 2.41-6.40, p &lt; 0.001). The new simple 2MACE score may help identifying AF patients at risk for cardiovascular events.","author":[{"dropping-particle":"","family":"Pastori","given":"Daniele","non-dropping-particle":"","parse-names":false,"suffix":""},{"dropping-particle":"","family":"Farcomeni","given":"Alessio","non-dropping-particle":"","parse-names":false,"suffix":""},{"dropping-particle":"","family":"Poli","given":"Daniela","non-dropping-particle":"","parse-names":false,"suffix":""},{"dropping-particle":"","family":"Antonucci","given":"Emilia","non-dropping-particle":"","parse-names":false,"suffix":""},{"dropping-particle":"","family":"Angelico","given":"Francesco","non-dropping-particle":"","parse-names":false,"suffix":""},{"dropping-particle":"","family":"Ben","given":"Maria","non-dropping-particle":"Del","parse-names":false,"suffix":""},{"dropping-particle":"","family":"Cangemi","given":"Roberto","non-dropping-particle":"","parse-names":false,"suffix":""},{"dropping-particle":"","family":"Tanzilli","given":"Gaetano","non-dropping-particle":"","parse-names":false,"suffix":""},{"dropping-particle":"","family":"Lip","given":"Gregory Yoke Hong","non-dropping-particle":"","parse-names":false,"suffix":""},{"dropping-particle":"","family":"Pignatelli","given":"Pasquale","non-dropping-particle":"","parse-names":false,"suffix":""},{"dropping-particle":"","family":"Violi","given":"Francesco","non-dropping-particle":"","parse-names":false,"suffix":""}],"container-title":"Internal and emergency medicine","id":"ITEM-1","issue":"2","issued":{"date-parts":[["2016","3"]]},"language":"eng","note":"2MACE score internal derivation cohort with c-index of 0.79 and external validation cohort with c-index of 0.66\nHR was 1.61 (95% CI 1.40 - 1.85) for each addition point of the 2MACE score","page":"199-204","publisher-place":"Italy","title":"Cardiovascular risk stratification in patients with non-valvular atrial fibrillation: the 2MACE score.","type":"article-journal","volume":"11"},"uris":["http://www.mendeley.com/documents/?uuid=e4d0fd05-2913-4338-9da2-9a704619c372"]}],"mendeley":{"formattedCitation":"&lt;sup&gt;2&lt;/sup&gt;","plainTextFormattedCitation":"2","previouslyFormattedCitation":"&lt;sup&gt;2&lt;/sup&gt;"},"properties":{"noteIndex":0},"schema":"https://github.com/citation-style-language/schema/raw/master/csl-citation.json"}</w:instrText>
      </w:r>
      <w:r>
        <w:fldChar w:fldCharType="separate"/>
      </w:r>
      <w:r w:rsidR="001A5431" w:rsidRPr="001A5431">
        <w:rPr>
          <w:noProof/>
          <w:vertAlign w:val="superscript"/>
        </w:rPr>
        <w:t>2</w:t>
      </w:r>
      <w:r>
        <w:fldChar w:fldCharType="end"/>
      </w:r>
      <w:r w:rsidR="00C54457">
        <w:t xml:space="preserve">. </w:t>
      </w:r>
      <w:r w:rsidR="00451F37">
        <w:t xml:space="preserve">Pastori </w:t>
      </w:r>
      <w:r w:rsidR="00451F37">
        <w:rPr>
          <w:i/>
          <w:iCs/>
        </w:rPr>
        <w:t>et al.</w:t>
      </w:r>
      <w:r w:rsidR="00451F37">
        <w:t xml:space="preserve"> demonstrated that each additional point of the 2MACE score was associated with an adjusted HR of 1.61 (95% CI 1.40 - 1.85)</w:t>
      </w:r>
      <w:r w:rsidR="007022AF">
        <w:t>, which is similar to that found in the present analysis</w:t>
      </w:r>
      <w:r w:rsidR="00451F37">
        <w:t>.</w:t>
      </w:r>
      <w:r w:rsidR="00106489">
        <w:t xml:space="preserve"> </w:t>
      </w:r>
      <w:r w:rsidR="00876CF6">
        <w:t>Moreover</w:t>
      </w:r>
      <w:r w:rsidR="00106489">
        <w:t xml:space="preserve">, </w:t>
      </w:r>
      <w:r w:rsidR="000B6B25">
        <w:t>a new finding from th</w:t>
      </w:r>
      <w:r w:rsidR="007022AF">
        <w:t xml:space="preserve">is </w:t>
      </w:r>
      <w:r w:rsidR="000B6B25">
        <w:t xml:space="preserve">study is that the 2MACE score may be useful in a high-risk subgroup of AF patients, such as those with CKD. </w:t>
      </w:r>
    </w:p>
    <w:p w14:paraId="52F22795" w14:textId="5B877564" w:rsidR="00043E39" w:rsidRDefault="00E70C40" w:rsidP="00DC50BA">
      <w:pPr>
        <w:spacing w:after="0"/>
        <w:ind w:left="720"/>
      </w:pPr>
      <w:r>
        <w:t>There are several potential mechanisms linking AF</w:t>
      </w:r>
      <w:r w:rsidR="005B4235">
        <w:t>, CKD</w:t>
      </w:r>
      <w:r>
        <w:t xml:space="preserve"> and CAD. </w:t>
      </w:r>
      <w:r w:rsidR="005B4235">
        <w:t>All these</w:t>
      </w:r>
      <w:r>
        <w:t xml:space="preserve"> conditions have</w:t>
      </w:r>
      <w:r w:rsidR="00895240">
        <w:t xml:space="preserve"> been associated </w:t>
      </w:r>
      <w:r>
        <w:t>with</w:t>
      </w:r>
      <w:r w:rsidR="00895240">
        <w:t xml:space="preserve"> chronic low-grade inflammation and oxidative stress that may involve increased levels of oxidised lipoproteins</w:t>
      </w:r>
      <w:r>
        <w:t xml:space="preserve"> known to cause endothelial injury</w:t>
      </w:r>
      <w:r w:rsidR="00895240">
        <w:t xml:space="preserve"> </w:t>
      </w:r>
      <w:r w:rsidR="00895240">
        <w:fldChar w:fldCharType="begin" w:fldLock="1"/>
      </w:r>
      <w:r w:rsidR="00804A5D">
        <w:instrText>ADDIN CSL_CITATION {"citationItems":[{"id":"ITEM-1","itemData":{"DOI":"10.1016/j.hrthm.2009.12.009","ISSN":"1556-3871 (Electronic)","PMID":"20153266","abstract":"BACKGROUND: Atrial fibrillation (AF) is the most common arrhythmia seen in clinical practice. Increasing evidence indicates that inflammation and oxidative stress contribute to the pathogenesis of AF, but their role remains poorly defined. In addition, whether inflammation and oxidative stress are associated with particular types of AF is unclear. OBJECTIVE: The purpose of this study was to define the role of inflammation and oxidative stress in AF. METHODS: Using a case-control study design, 305 patients with AF were compared with 150 control patients. AF was categorized into lone and typical AF and further subcategorized as paroxysmal, persistent, or permanent AF. Serum concentrations of interleukin (IL)-6, IL-8, IL-10, tumor necrosis factor (TNF)-alpha, monocyte chemoattractant protein (MCP)-1, vascular endothelial growth factor (VEGF), N-terminal pro-brain (B-type) natriuretic peptide (NTpBNP), and urinary F(2)-isoprostanes, a measure of oxidative stress, were measured. RESULTS: IL-6, IL-8, IL-10, TNF-alpha, MCP1, VEGF, and NTpBNP concentrations were independently associated with AF (all P &lt;.05). However, F(2)-isoprostane excretion was not elevated (P = .50). Graded increases in TNF-alpha [median (interquartile range) 6.8 (3.4-11.3), 8.0 (5.6-10.9), 10.1 (5.7-12.4) pg/mL, P &lt;.05] and NTpBNP [170.6 (67.3-481.9), 681.39 (310.3-1,439.0), 1,179.9 (653.1-2,096.0) pg/mL, P &lt;.001] were seen among the subgroups of paroxysmal, persistent, and permanent AF, respectively. CONCLUSION: Inflammatory biomarkers were significantly increased in patients with AF, supporting a strong association between inflammation and AF. Surprisingly, urinary F(2)-isoprostanes, a sensitive index of systemic oxidative stress in vivo, were not increased in AF overall or in different subtypes of AF.","author":[{"dropping-particle":"","family":"Li","given":"Jie","non-dropping-particle":"","parse-names":false,"suffix":""},{"dropping-particle":"","family":"Solus","given":"Joseph","non-dropping-particle":"","parse-names":false,"suffix":""},{"dropping-particle":"","family":"Chen","given":"Qingxia","non-dropping-particle":"","parse-names":false,"suffix":""},{"dropping-particle":"","family":"Rho","given":"Young Hee","non-dropping-particle":"","parse-names":false,"suffix":""},{"dropping-particle":"","family":"Milne","given":"Ginger","non-dropping-particle":"","parse-names":false,"suffix":""},{"dropping-particle":"","family":"Stein","given":"C Michael","non-dropping-particle":"","parse-names":false,"suffix":""},{"dropping-particle":"","family":"Darbar","given":"Dawood","non-dropping-particle":"","parse-names":false,"suffix":""}],"container-title":"Heart rhythm","id":"ITEM-1","issue":"4","issued":{"date-parts":[["2010","4"]]},"language":"eng","page":"438-444","publisher-place":"United States","title":"Role of inflammation and oxidative stress in atrial fibrillation.","type":"article-journal","volume":"7"},"uris":["http://www.mendeley.com/documents/?uuid=eec2252b-c1bb-4095-a921-a39b1631c53e"]},{"id":"ITEM-2","itemData":{"DOI":"10.1016/j.ijcard.2017.07.022","ISSN":"1874-1754 (Electronic)","PMID":"28942872","abstract":"BACKGROUND: The data on biomarkers as predictors of atrial fibrillation (AF) in patients with coronary artery disease (CAD) are limited. METHODS: A total of 1946 patients with CAD were recruited to the ARTEMIS study. At baseline, the study patients underwent clinical and echocardiographic examinations and had laboratory tests. The patients (n=1710) with the information about the occurrence of new-onset AF during the follow-up were included in the present analysis. RESULTS: During 5.7+/-1.5years of follow-up, 143 (8.4%) patients developed a new-onset AF. Higher values of soluble ST2 (sST2) (20.2+/-10.8 vs. 17.5+/-7.2ng/mL, p=0.005), high-sensitivity troponin T (hs-TnT) (11.9+/-10.2 vs. 10.3+/-8.3ng/L, p=0.005), high-sensitivity C-reactive protein (hs-CRP) (3.3+/-5.9 vs. 2.0+/-4.4mg/L, p&lt;0.001) and brain natriuretic peptide (BNP) (85.6+/-77.5 vs. 64.9+/-73.5ng/L, p&lt;0.001) had significant associations with the occurrence of new-onset AF. In the Cox clinical hazards model, higher age (p=0.004), greater weight (p=0.045), larger left atrial diameter (p=0.001), use of asthma/chronic obstructive pulmonary disease medication (p=0.001) and lack of cholesterol lowering medication (p=0.008) had a significant association with the increased risk of AF. When the biomarkers were tested in the Cox clinical hazards model, sST2 (HR=1.025, 95% CI=1.007-1.043, p=0.006) and hs-CRP (HR=1.027, 95% CI=1.008-1.047, p=0.006) retained their significant power in predicting AF. CONCLUSION: A biomarker of fibrosis, sST2, and a biomarker of inflammation, hs-CRP, predict the risk of occurrence of new-onset AF in patients with CAD. These biomarkers contributed to the discrimination of the AF risk model, but did not improve it markedly.","author":[{"dropping-particle":"","family":"Nortamo","given":"Santeri","non-dropping-particle":"","parse-names":false,"suffix":""},{"dropping-particle":"","family":"Ukkola","given":"Olavi","non-dropping-particle":"","parse-names":false,"suffix":""},{"dropping-particle":"","family":"Lepojarvi","given":"Samuli","non-dropping-particle":"","parse-names":false,"suffix":""},{"dropping-particle":"","family":"Kentta","given":"Tuomas","non-dropping-particle":"","parse-names":false,"suffix":""},{"dropping-particle":"","family":"Kiviniemi","given":"Antti","non-dropping-particle":"","parse-names":false,"suffix":""},{"dropping-particle":"","family":"Junttila","given":"Juhani","non-dropping-particle":"","parse-names":false,"suffix":""},{"dropping-particle":"","family":"Huikuri","given":"Heikki","non-dropping-particle":"","parse-names":false,"suffix":""},{"dropping-particle":"","family":"Perkiomaki","given":"Juha","non-dropping-particle":"","parse-names":false,"suffix":""}],"container-title":"International journal of cardiology","id":"ITEM-2","issued":{"date-parts":[["2017","12"]]},"language":"eng","page":"173-178","publisher-place":"Netherlands","title":"Association of sST2 and hs-CRP levels with new-onset atrial fibrillation in coronary artery disease.","type":"article-journal","volume":"248"},"uris":["http://www.mendeley.com/documents/?uuid=7cd029b1-9a86-4490-9d61-cde782098373"]},{"id":"ITEM-3","itemData":{"DOI":"10.1155/2015/653026","ISSN":"1466-1861 (Electronic)","PMID":"26229238","abstract":"We compared plasma levels of biomarkers of inflammation (CRP) and oxidation (oxLDL), determined at study inclusion in lone atrial fibrillation (LAF) patients (48.6 +/- 11.5 years; 74.0% men) and sinus rhythm controls (49.7 +/- 9.3 years; 72.7% men, P &gt; 0.05), and investigated the association of baseline CRP and oxLDL levels with the risk for vascular disease (VD) development (hypertension, cerebrovascular disease, coronary/peripheral artery disease, and pulmonary embolism) during prospective follow-up. Baseline CRP (1.2 [0.7-1.9] mg/L versus 1.1 [0.7-1.6] mg/L) and oxLDL levels (66.3 +/- 21.2 U/L versus 57.1 +/- 14.6 U/L) were higher in LAF patients (both P &lt; 0.05). Following a median of 36 months, incident VD occurred in 14 (28.0%) LAF patients, all of whom developed arterial hypertension, and in 5 (11.4%) controls (hypertension, n = 4; coronary artery disease, n = 1), P &lt; 0.05. LAF patients developed VD more frequently and at a younger age. Both CRP (HR, 2.54; 95% CI, 1.26-5.12; P = 0.009) and oxLDL (HR, 2.24; 95% CI, 1.14-4.40; P = 0.019) were multivariate predictors of incident hypertension in LAF patients, but not in the controls. Further research should clarify clinical relevance of investigated biomarkers for risk stratification and treatment of LAF patients.","author":[{"dropping-particle":"","family":"Polovina","given":"Marija M","non-dropping-particle":"","parse-names":false,"suffix":""},{"dropping-particle":"","family":"Ostojic","given":"Miodrag C","non-dropping-particle":"","parse-names":false,"suffix":""},{"dropping-particle":"","family":"Potpara","given":"Tatjana S","non-dropping-particle":"","parse-names":false,"suffix":""}],"container-title":"Mediators of inflammation","id":"ITEM-3","issued":{"date-parts":[["2015"]]},"language":"eng","page":"653026","publisher-place":"United States","title":"Relation of Biomarkers of Inflammation and Oxidative Stress with Hypertension Occurrence in Lone Atrial Fibrillation.","type":"article-journal","volume":"2015"},"uris":["http://www.mendeley.com/documents/?uuid=0cf2ed6e-099c-4b2d-9e54-edef412385c9"]},{"id":"ITEM-4","itemData":{"ISSN":"1523-6838 (Electronic)","PMID":"14750089","abstract":"BACKGROUND: Studies in the general population suggest that low-grade inflammation, endothelial dysfunction, and platelet activation are associated with an increased risk of cardiovascular events. METHODS: Markers of inflammation, endothelial dysfunction, and platelet activation were measured in 334 patients with chronic kidney disease (serum creatinine &gt;1.47 mg/dL [&gt;130 micromol/L] at screening) and compared with 2 age- and sex-matched control groups, 1 comprising 92 patients with coronary artery disease and the other comprising 96 apparently healthy individuals with no history of cardiovascular or kidney disease. RESULTS: There was evidence of low-grade inflammation in the chronic renal impairment group compared with healthy controls, with higher concentrations of C-reactive protein (3.70 versus 2.18 mg/L, P &lt; 0.01) and fibrinogen (3.48 versus 2.67 g/L, P &lt; 0.001) and lower serum albumin concentration (41.8 versus 44.0 g/dL [418 versus 440 g/L], P &lt; 0.001). More severe renal impairment was associated with a trend towards higher fibrinogen and lower albumin concentrations (both P &lt; 0.001), although there was no association with higher C-reactive protein level. As compared to healthy controls, plasma von Willebrand factor (142 versus 108 IU/dL, P &lt; 0.001) and soluble P-selectin concentrations (57.0 versus 43.3 ng/mL, P &lt; 0.001) were also higher in the chronic renal impairment group. More severe renal impairment was associated with a trend towards higher levels of von Willebrand factor (P &lt; 0.001) and of soluble P selectin (P &lt; 0.05). CONCLUSION: This cross-sectional analysis demonstrates that chronic kidney disease is associated with low-grade inflammation, endothelial dysfunction, and platelet activation, even among patients with moderate renal impairment.","author":[{"dropping-particle":"","family":"Landray","given":"Martin J","non-dropping-particle":"","parse-names":false,"suffix":""},{"dropping-particle":"","family":"Wheeler","given":"David C","non-dropping-particle":"","parse-names":false,"suffix":""},{"dropping-particle":"","family":"Lip","given":"Gregory Y H","non-dropping-particle":"","parse-names":false,"suffix":""},{"dropping-particle":"","family":"Newman","given":"David J","non-dropping-particle":"","parse-names":false,"suffix":""},{"dropping-particle":"","family":"Blann","given":"Andrew D","non-dropping-particle":"","parse-names":false,"suffix":""},{"dropping-particle":"","family":"McGlynn","given":"Fiona J","non-dropping-particle":"","parse-names":false,"suffix":""},{"dropping-particle":"","family":"Ball","given":"Simon","non-dropping-particle":"","parse-names":false,"suffix":""},{"dropping-particle":"","family":"Townend","given":"John N","non-dropping-particle":"","parse-names":false,"suffix":""},{"dropping-particle":"","family":"Baigent","given":"Colin","non-dropping-particle":"","parse-names":false,"suffix":""}],"container-title":"American journal of kidney diseases","id":"ITEM-4","issue":"2","issued":{"date-parts":[["2004","2"]]},"language":"eng","page":"244-253","publisher-place":"United States","title":"Inflammation, endothelial dysfunction, and platelet activation in patients with chronic kidney disease: the chronic renal impairment in Birmingham (CRIB) study.","type":"article-journal","volume":"43"},"uris":["http://www.mendeley.com/documents/?uuid=f65ff508-bc4c-4230-9ea9-dd367f0bef62"]}],"mendeley":{"formattedCitation":"&lt;sup&gt;22–25&lt;/sup&gt;","plainTextFormattedCitation":"22–25","previouslyFormattedCitation":"&lt;sup&gt;22–25&lt;/sup&gt;"},"properties":{"noteIndex":0},"schema":"https://github.com/citation-style-language/schema/raw/master/csl-citation.json"}</w:instrText>
      </w:r>
      <w:r w:rsidR="00895240">
        <w:fldChar w:fldCharType="separate"/>
      </w:r>
      <w:r w:rsidR="00804A5D" w:rsidRPr="00804A5D">
        <w:rPr>
          <w:noProof/>
          <w:vertAlign w:val="superscript"/>
        </w:rPr>
        <w:t>22–25</w:t>
      </w:r>
      <w:r w:rsidR="00895240">
        <w:fldChar w:fldCharType="end"/>
      </w:r>
      <w:r w:rsidR="00895240">
        <w:t>.</w:t>
      </w:r>
      <w:r w:rsidR="005B4235">
        <w:t xml:space="preserve"> </w:t>
      </w:r>
      <w:r w:rsidR="00876CF6">
        <w:t>Furthermore</w:t>
      </w:r>
      <w:r w:rsidR="005B4235">
        <w:t xml:space="preserve">, each has been shown to </w:t>
      </w:r>
      <w:r w:rsidR="008202CE">
        <w:t xml:space="preserve">be </w:t>
      </w:r>
      <w:r w:rsidR="005B4235">
        <w:t xml:space="preserve">related to hypercoagulability </w:t>
      </w:r>
      <w:r w:rsidR="00457BDA">
        <w:fldChar w:fldCharType="begin" w:fldLock="1"/>
      </w:r>
      <w:r w:rsidR="003B44E9">
        <w:instrText>ADDIN CSL_CITATION {"citationItems":[{"id":"ITEM-1","itemData":{"DOI":"10.1016/j.jacc.2007.11.083","ISSN":"1558-3597 (Electronic)","PMID":"18452786","abstract":"OBJECTIVES: The purpose of this study was to determine whether acute onset atrial fibrillation (AF), independent of other risk factors, predisposes to an early prothrombotic state. BACKGROUND: Several risk factors predispose to the hypercoagulable state in human AF, but whether acute onset AF alone is prothrombotic remains unclear. METHODS: Patients with paroxysmal AF (n = 22) underwent radiofrequency catheter ablation. All patients presented in sinus rhythm. Baseline blood samples were obtained simultaneously from the femoral vein (systemic sample) and the coronary sinus (local cardiac sample). The AF was induced by burst atrial pacing in 14 patients (AF group). A control group (n = 8) underwent atrial pacing at 120 beats/min. Blood samples were recollected after 15 min. Platelet P-selectin expression (CD62) was measured using flow cytometry. Markers of thrombin generation (thrombin antithrombin complex, prothrombin fragment 1.2), inflammation (C-reactive protein, interleukin-6), and nitric oxide were measured using enzyme-linked immunosorbent assays. RESULTS: Neither local nor systemic platelet activation changed in the control group. In the AF group, local cardiac platelet activation (percent P-selectin [+] platelets) increased significantly (2.2 +/- 0.6% to 2.8 +/- 1.0%, p = 0.007); however, systemic platelet activation did not change. The AF group had increased local thrombin generation (thrombin antithrombin complex: 8.5 +/- 7.6 ng/ml to 33.2 +/- 17.4 ng/ml, p = 0.003; prothrombin fragment 1.2: 95.6 +/- 45.6 micromol/l to 243.8 +/- 120.1 micromol/l, p = 0.003), decreased nitric oxide production (25.2 +/- 10.8 micromol/l to 22.3 +/- 10.0 micromol/l, p &lt; 0.02), and no change in inflammatory markers. CONCLUSIONS: Human AF causes local cardiac platelet activation within minutes of onset. The results demonstrate how AF alone, independent of other risk factors, may contribute to the hypercoagulable state.","author":[{"dropping-particle":"","family":"Akar","given":"Joseph G","non-dropping-particle":"","parse-names":false,"suffix":""},{"dropping-particle":"","family":"Jeske","given":"Walter","non-dropping-particle":"","parse-names":false,"suffix":""},{"dropping-particle":"","family":"Wilber","given":"David J","non-dropping-particle":"","parse-names":false,"suffix":""}],"container-title":"Journal of the American College of Cardiology","id":"ITEM-1","issue":"18","issued":{"date-parts":[["2008","5"]]},"language":"eng","page":"1790-1793","publisher-place":"United States, United States","title":"Acute onset human atrial fibrillation is associated with local cardiac platelet activation and endothelial dysfunction.","type":"article-journal","volume":"51"},"uris":["http://www.mendeley.com/documents/?uuid=86a7b336-1755-4112-93fc-0e03310acb51"]},{"id":"ITEM-2","itemData":{"DOI":"10.3109/09537100903548903","ISSN":"1369-1635 (Electronic)","PMID":"20377327","abstract":"The objective of the study was to determine the relation of platelet reactivity,  hypercoagulability and inflammation in various stages of coronary artery disease acuity (CAD). Thrombin-induced platelet-fibrin clot strength (MA), time to initial platelet-fibrin clot formation (R), C-reactive protein (CRP), prothrombotic factors, activated GPIIb/IIIa receptor expression and other biomarkers were studied in patients with asymptomatic stable CAD (AS), in patients undergoing PCI for stable (SA) and unstable angina (UA). MA and R were measured by thrombelastography, GPIIb/IIIa expression by flow cytometry and all other markers by fluorokine multianalyte profiling assays. An overall increase in all measurements from a clinically stable to an unstable disease state was observed. There was a distinct stepwise increment in MA [AS vs. SA (p = 0.02), SA vs. UA (p = 0.02) and AS vs. UA (p &lt; 0.001)]. MA exhibited the strongest correlation with other prothrombotic markers (p &lt; or = 0.02), with CRP (p &lt; 0.001) at all levels of CAD acuity. A distinct pathophysiological state of heightened platelet function, hypercoagulability and inflammation marks the presence of unstable cardiovascular disease requiring intervention. Further studies are required to investigate the primary mechanisms linking the above processes associated with a prothrombotic state resulting in clinical destabilization of the disease.","author":[{"dropping-particle":"","family":"Tantry","given":"Udaya S","non-dropping-particle":"","parse-names":false,"suffix":""},{"dropping-particle":"","family":"Bliden","given":"Kevin P","non-dropping-particle":"","parse-names":false,"suffix":""},{"dropping-particle":"","family":"Suarez","given":"Thomas A","non-dropping-particle":"","parse-names":false,"suffix":""},{"dropping-particle":"","family":"Kreutz","given":"Rolf P","non-dropping-particle":"","parse-names":false,"suffix":""},{"dropping-particle":"","family":"Dichiara","given":"Joseph","non-dropping-particle":"","parse-names":false,"suffix":""},{"dropping-particle":"","family":"Gurbel","given":"Paul A","non-dropping-particle":"","parse-names":false,"suffix":""}],"container-title":"Platelets","id":"ITEM-2","issue":"5","issued":{"date-parts":[["2010"]]},"language":"eng","page":"360-367","publisher-place":"England","title":"Hypercoagulability, platelet function, inflammation and coronary artery disease acuity: results of the Thrombotic RIsk Progression (TRIP) study.","type":"article-journal","volume":"21"},"uris":["http://www.mendeley.com/documents/?uuid=a424e29d-d763-47e4-ba4c-8042a16ff433"]},{"id":"ITEM-3","itemData":{"ISSN":"1523-6838 (Electronic)","PMID":"14750089","abstract":"BACKGROUND: Studies in the general population suggest that low-grade inflammation, endothelial dysfunction, and platelet activation are associated with an increased risk of cardiovascular events. METHODS: Markers of inflammation, endothelial dysfunction, and platelet activation were measured in 334 patients with chronic kidney disease (serum creatinine &gt;1.47 mg/dL [&gt;130 micromol/L] at screening) and compared with 2 age- and sex-matched control groups, 1 comprising 92 patients with coronary artery disease and the other comprising 96 apparently healthy individuals with no history of cardiovascular or kidney disease. RESULTS: There was evidence of low-grade inflammation in the chronic renal impairment group compared with healthy controls, with higher concentrations of C-reactive protein (3.70 versus 2.18 mg/L, P &lt; 0.01) and fibrinogen (3.48 versus 2.67 g/L, P &lt; 0.001) and lower serum albumin concentration (41.8 versus 44.0 g/dL [418 versus 440 g/L], P &lt; 0.001). More severe renal impairment was associated with a trend towards higher fibrinogen and lower albumin concentrations (both P &lt; 0.001), although there was no association with higher C-reactive protein level. As compared to healthy controls, plasma von Willebrand factor (142 versus 108 IU/dL, P &lt; 0.001) and soluble P-selectin concentrations (57.0 versus 43.3 ng/mL, P &lt; 0.001) were also higher in the chronic renal impairment group. More severe renal impairment was associated with a trend towards higher levels of von Willebrand factor (P &lt; 0.001) and of soluble P selectin (P &lt; 0.05). CONCLUSION: This cross-sectional analysis demonstrates that chronic kidney disease is associated with low-grade inflammation, endothelial dysfunction, and platelet activation, even among patients with moderate renal impairment.","author":[{"dropping-particle":"","family":"Landray","given":"Martin J","non-dropping-particle":"","parse-names":false,"suffix":""},{"dropping-particle":"","family":"Wheeler","given":"David C","non-dropping-particle":"","parse-names":false,"suffix":""},{"dropping-particle":"","family":"Lip","given":"Gregory Y H","non-dropping-particle":"","parse-names":false,"suffix":""},{"dropping-particle":"","family":"Newman","given":"David J","non-dropping-particle":"","parse-names":false,"suffix":""},{"dropping-particle":"","family":"Blann","given":"Andrew D","non-dropping-particle":"","parse-names":false,"suffix":""},{"dropping-particle":"","family":"McGlynn","given":"Fiona J","non-dropping-particle":"","parse-names":false,"suffix":""},{"dropping-particle":"","family":"Ball","given":"Simon","non-dropping-particle":"","parse-names":false,"suffix":""},{"dropping-particle":"","family":"Townend","given":"John N","non-dropping-particle":"","parse-names":false,"suffix":""},{"dropping-particle":"","family":"Baigent","given":"Colin","non-dropping-particle":"","parse-names":false,"suffix":""}],"container-title":"American journal of kidney diseases","id":"ITEM-3","issue":"2","issued":{"date-parts":[["2004","2"]]},"language":"eng","page":"244-253","publisher-place":"United States","title":"Inflammation, endothelial dysfunction, and platelet activation in patients with chronic kidney disease: the chronic renal impairment in Birmingham (CRIB) study.","type":"article-journal","volume":"43"},"uris":["http://www.mendeley.com/documents/?uuid=f65ff508-bc4c-4230-9ea9-dd367f0bef62"]}],"mendeley":{"formattedCitation":"&lt;sup&gt;25–27&lt;/sup&gt;","plainTextFormattedCitation":"25–27","previouslyFormattedCitation":"&lt;sup&gt;25–27&lt;/sup&gt;"},"properties":{"noteIndex":0},"schema":"https://github.com/citation-style-language/schema/raw/master/csl-citation.json"}</w:instrText>
      </w:r>
      <w:r w:rsidR="00457BDA">
        <w:fldChar w:fldCharType="separate"/>
      </w:r>
      <w:r w:rsidR="00804A5D" w:rsidRPr="00804A5D">
        <w:rPr>
          <w:noProof/>
          <w:vertAlign w:val="superscript"/>
        </w:rPr>
        <w:t>25–27</w:t>
      </w:r>
      <w:r w:rsidR="00457BDA">
        <w:fldChar w:fldCharType="end"/>
      </w:r>
      <w:r w:rsidR="005B4235">
        <w:t xml:space="preserve"> and endothelial dysfunction</w:t>
      </w:r>
      <w:r w:rsidR="00BF586D">
        <w:t xml:space="preserve"> </w:t>
      </w:r>
      <w:r w:rsidR="00BF586D">
        <w:fldChar w:fldCharType="begin" w:fldLock="1"/>
      </w:r>
      <w:r w:rsidR="003B44E9">
        <w:instrText>ADDIN CSL_CITATION {"citationItems":[{"id":"ITEM-1","itemData":{"ISSN":"0340-6245 (Print)","PMID":"16543961","abstract":"\"It is quite useless to argue the questions concerning the development of intimal scleroses if we study and discuss the late stages of the disease alone. If we wish to gain insight into the complex question of arterio-sclerosis we must attempt to follow the lesion from its earliest beginning\" (Klotz and Manning, J Path Bact 1911: 16; 211-20). Over thirty years ago Boneu and colleagues published a report of raised levels of plasma von Willebrand factor (vWf) in patients with arteritis, diabetes and sepsis. They concluded that raised levels of this molecule indicate endothelial damage, and may possibly be a contributory factor in thrombosis in arterial disease. The former aspect of this conclusion is now accepted, and numerous studies on the risk factors for atherosclerosis provide mechanisms for this damage. Other studies have demonstrated raised levels in cancer and in connective tissue disease. Numerous long-term follow-up studies have also demonstrated that increased vWf predicts major cardiovascular end points. However, the link between these studies, and the latter aspect of Boneu's conclusion, that raised vWf contributes to thrombosis is, although attractive, nevertheless unproven. Despite this, vWf remains the most important plasma marker of endothelial damage/dysfunction and as such attracts clinical attention.","author":[{"dropping-particle":"","family":"Blann","given":"Andrew D","non-dropping-particle":"","parse-names":false,"suffix":""}],"container-title":"Thrombosis and haemostasis","id":"ITEM-1","issue":"1","issued":{"date-parts":[["2006","1"]]},"language":"eng","note":"A potential link between renal failure and CV disease is endothelial injury as glomerular damage causes nephropathy and ultimately microvascular and macrovascular damage","page":"49-55","publisher-place":"Germany","title":"Plasma von Willebrand factor, thrombosis, and the endothelium: the first 30 years.","type":"article-journal","volume":"95"},"uris":["http://www.mendeley.com/documents/?uuid=3dbfe2ef-c8fa-41b4-90d8-364e0e445467"]},{"id":"ITEM-2","itemData":{"DOI":"10.1016/j.ijcard.2010.09.004","ISSN":"1874-1754 (Electronic)","PMID":"20926145","abstract":"BACKGROUND: The endothelial nitric oxide synthase (eNOS) inhibitor asymmetric dimethylarginine (ADMA) is a well-established risk factor for oxidative stress, vascular dysfunction, and congestive heart failure. The aim of the present study was to determine the impact of rapid atrial pacing (RAP) on ADMA levels and eNOS expression. METHODS AND RESULTS: ADMA levels were studied in 60 age- and gender-matched patients. Thirty five patients had persistent atrial fibrillation (AF)&gt;/= 4months. In AF-patients, parameters were studied before and 24h after electrical cardioversion. Moreover, ADMA, eNOS expression, and calcium-handling proteins were studied in pigs subjected to RAP as well as in endothelial cell (EC) cultures. ADMA level was significantly higher in AF compared to sinus rhythm patients (p=0.024). ADMA was highest in AF-patients, who also showed elevated troponin T (TnT) levels. Moreover, ADMA showed a significant linear correlation to TnT (r=0.47; p&lt;0.01). After electrical cardioversion ADMA returned to normal within 24h. In pigs, RAP for 7h increased ADMA levels (p=0.018) and TnI (p&lt;0.05), and reduced mRNA expression of ventricular and aortic eNOS (-80%; p&lt;0.05) compared to sham-control. However, ADMA per se did not affect eNOS mRNA level in EC cultures. CONCLUSION: The current study shows that acute and persistent episodes of atrial tachyarrhythmia are associated with elevated ADMA levels accompanied by increased ischemic myocardial markers. Moreover, RAP increases ADMA and down-regulates eNOS expression in an ADMA-independent manner. We conclude that the combination of these two separate and potentially synergistic mechanisms may contribute to long-term vascular injury during atrial tachyarrhythmia.","author":[{"dropping-particle":"","family":"Goette","given":"Andreas","non-dropping-particle":"","parse-names":false,"suffix":""},{"dropping-particle":"","family":"Hammwohner","given":"Matthias","non-dropping-particle":"","parse-names":false,"suffix":""},{"dropping-particle":"","family":"Bukowska","given":"Alicja","non-dropping-particle":"","parse-names":false,"suffix":""},{"dropping-particle":"","family":"Scalera","given":"Fortunato","non-dropping-particle":"","parse-names":false,"suffix":""},{"dropping-particle":"","family":"Martens-Lobenhoffer","given":"Jens","non-dropping-particle":"","parse-names":false,"suffix":""},{"dropping-particle":"","family":"Dobrev","given":"Dobromir","non-dropping-particle":"","parse-names":false,"suffix":""},{"dropping-particle":"","family":"Ravens","given":"Ursula","non-dropping-particle":"","parse-names":false,"suffix":""},{"dropping-particle":"","family":"Weinert","given":"Soenke","non-dropping-particle":"","parse-names":false,"suffix":""},{"dropping-particle":"","family":"Medunjanin","given":"Senad","non-dropping-particle":"","parse-names":false,"suffix":""},{"dropping-particle":"","family":"Lendeckel","given":"Uwe","non-dropping-particle":"","parse-names":false,"suffix":""},{"dropping-particle":"","family":"Bode-Boger","given":"Stefanie M","non-dropping-particle":"","parse-names":false,"suffix":""}],"container-title":"International journal of cardiology","id":"ITEM-2","issue":"2","issued":{"date-parts":[["2012","1"]]},"language":"eng","page":"141-146","publisher-place":"Netherlands, Netherlands","title":"The impact of rapid atrial pacing on ADMA and endothelial NOS.","type":"article-journal","volume":"154"},"uris":["http://www.mendeley.com/documents/?uuid=4b8c8a8c-55b4-41eb-86be-98e805506d41"]},{"id":"ITEM-3","itemData":{"ISSN":"1875-6212 (Electronic)","PMID":"26759218","abstract":"BACKGROUND: Endothelial dysfunction is involved in the pathogenesis of atherosclerosis and cardiovascular complications in chronic kidney disease (CKD). Asymmetric dimethylarginine (ADMA), an endogenous inhibitor of endothelial nitric oxide synthase (eNOS), is considered as a marker of endothelial dysfunction. The aim of this study was to evaluate serum ADMA, eNOS concentration and left ventricular structure and function in CKD patients and to assess the impact of the type of dialyzer on serum ADMA and eNOS concentrations after a haemodialysis (HD) session. MATERIAL AND METHODS: Peripheral blood was collected from 35 predialysis CKD patients, 40 CKD patients on HD and 15 healthy subjects. Patients on HD were divided into two groups according to the dialyzer used based on polynephron or cellulose membranes. Plasma ADMA and eNOS concentrations were assessed. All subjects underwent echocardiography and were evaluated for selected biochemical parameters. RESULTS: We found significantly higher serum ADMA (p&lt;0.05) and significantly lower eNOS (p&lt;0.05) concentration in CKD patients compared with healthy subjects. Both dialyzers significantly reduced serum ADMA concentration (p&lt;0.05) but none of the analysed dialyzers showed superiority when comparing the results. We showed that stage V CKD patients, who had the highest serum ADMA concentration had the lowest left ventricle ejection fraction (LVEF) and the highest left ventricle mass (LVM) and left ventricular end diastolic diameter (LVEDd). CONCLUSIONS: Our results supports the presence of endothelial dysfunction in CKD patients. Correlation between elevated serum AMDA concentration and disadvantageous changes in left ventricular structure and function may indicate an important role of endothelial dysfunction in cardiovascular complications in CKD patients.","author":[{"dropping-particle":"","family":"Bartnicki","given":"Piotr","non-dropping-particle":"","parse-names":false,"suffix":""},{"dropping-particle":"","family":"Kowalczyk","given":"Mariusz","non-dropping-particle":"","parse-names":false,"suffix":""},{"dropping-particle":"","family":"Franczyk-Skora","given":"Beata","non-dropping-particle":"","parse-names":false,"suffix":""},{"dropping-particle":"","family":"Baj","given":"Zbigniew","non-dropping-particle":"","parse-names":false,"suffix":""},{"dropping-particle":"","family":"Rysz","given":"Jacek","non-dropping-particle":"","parse-names":false,"suffix":""}],"container-title":"Current vascular pharmacology","id":"ITEM-3","issue":"4","issued":{"date-parts":[["2016"]]},"language":"eng","page":"360-367","publisher-place":"United Arab Emirates, United Arab Emirates","title":"Evaluation of Endothelial (dys)Function, Left Ventricular Structure and Function in Patients with Chronic Kidney Disease.","type":"article-journal","volume":"14"},"uris":["http://www.mendeley.com/documents/?uuid=f8530752-6fc2-44f4-96ae-80f38ea33e9f"]}],"mendeley":{"formattedCitation":"&lt;sup&gt;28–30&lt;/sup&gt;","plainTextFormattedCitation":"28–30","previouslyFormattedCitation":"&lt;sup&gt;28–30&lt;/sup&gt;"},"properties":{"noteIndex":0},"schema":"https://github.com/citation-style-language/schema/raw/master/csl-citation.json"}</w:instrText>
      </w:r>
      <w:r w:rsidR="00BF586D">
        <w:fldChar w:fldCharType="separate"/>
      </w:r>
      <w:r w:rsidR="00804A5D" w:rsidRPr="00804A5D">
        <w:rPr>
          <w:noProof/>
          <w:vertAlign w:val="superscript"/>
        </w:rPr>
        <w:t>28–30</w:t>
      </w:r>
      <w:r w:rsidR="00BF586D">
        <w:fldChar w:fldCharType="end"/>
      </w:r>
      <w:r w:rsidR="00043E39">
        <w:t>.</w:t>
      </w:r>
    </w:p>
    <w:p w14:paraId="2F29C9D5" w14:textId="7BBC0AAA" w:rsidR="0091425F" w:rsidRDefault="004B24CF" w:rsidP="00DC50BA">
      <w:pPr>
        <w:spacing w:after="0"/>
        <w:ind w:left="720"/>
      </w:pPr>
      <w:r>
        <w:t>In terms of limitations, the</w:t>
      </w:r>
      <w:r w:rsidR="00567609" w:rsidRPr="00F11C97">
        <w:t xml:space="preserve"> findings from this study </w:t>
      </w:r>
      <w:r w:rsidR="003E4D70">
        <w:t>were</w:t>
      </w:r>
      <w:r w:rsidR="00567609" w:rsidRPr="00F11C97">
        <w:t xml:space="preserve"> based on a post-hoc analysis of the AMADEUS trial and should </w:t>
      </w:r>
      <w:r w:rsidR="00F11C97">
        <w:t xml:space="preserve">therefore </w:t>
      </w:r>
      <w:r w:rsidR="00567609" w:rsidRPr="00F11C97">
        <w:t xml:space="preserve">be interpreted </w:t>
      </w:r>
      <w:r w:rsidR="00F11C97">
        <w:t xml:space="preserve">with caution. </w:t>
      </w:r>
      <w:r w:rsidR="006A22DF">
        <w:t xml:space="preserve">Given that diabetes mellitus and hypertension are two important causes of CKD, we may have detected a significant difference </w:t>
      </w:r>
      <w:r w:rsidR="00C03C24">
        <w:t xml:space="preserve">in the results </w:t>
      </w:r>
      <w:r w:rsidR="006A22DF">
        <w:t xml:space="preserve">with a longer follow-up duration. </w:t>
      </w:r>
      <w:r w:rsidR="00F11C97">
        <w:t xml:space="preserve">Exclusion of patients with creatinine clearance of </w:t>
      </w:r>
      <w:r w:rsidR="00E84728">
        <w:t>&lt;</w:t>
      </w:r>
      <w:r w:rsidR="00F11C97">
        <w:t xml:space="preserve">10 mL/min </w:t>
      </w:r>
      <w:r w:rsidR="00816DEA">
        <w:t xml:space="preserve">indicates that the results should not be extrapolated to patients with end-stage renal disease. </w:t>
      </w:r>
      <w:r w:rsidR="00120B00">
        <w:t xml:space="preserve">Furthermore, </w:t>
      </w:r>
      <w:r w:rsidR="00FC40E0">
        <w:t xml:space="preserve">our trial participants may not be representative of the real-world population who tend to be older with more comorbidities. </w:t>
      </w:r>
      <w:r w:rsidR="0091425F">
        <w:t>The CHA</w:t>
      </w:r>
      <w:r w:rsidR="0091425F" w:rsidRPr="00CE47BD">
        <w:rPr>
          <w:vertAlign w:val="subscript"/>
        </w:rPr>
        <w:t>2</w:t>
      </w:r>
      <w:r w:rsidR="0091425F">
        <w:t>DS</w:t>
      </w:r>
      <w:r w:rsidR="0091425F" w:rsidRPr="00CE47BD">
        <w:rPr>
          <w:vertAlign w:val="subscript"/>
        </w:rPr>
        <w:t>2</w:t>
      </w:r>
      <w:r w:rsidR="0091425F">
        <w:t>-VASc</w:t>
      </w:r>
      <w:r w:rsidR="00840CBE">
        <w:t>, CHADS</w:t>
      </w:r>
      <w:r w:rsidR="00840CBE" w:rsidRPr="00DC50BA">
        <w:rPr>
          <w:vertAlign w:val="subscript"/>
        </w:rPr>
        <w:t>2</w:t>
      </w:r>
      <w:r w:rsidR="0091425F">
        <w:t xml:space="preserve"> </w:t>
      </w:r>
      <w:r w:rsidR="00432F3D">
        <w:t xml:space="preserve">and HAS-BLED </w:t>
      </w:r>
      <w:r w:rsidR="0091425F">
        <w:t>score</w:t>
      </w:r>
      <w:r w:rsidR="00432F3D">
        <w:t>s</w:t>
      </w:r>
      <w:r w:rsidR="0091425F">
        <w:t xml:space="preserve"> w</w:t>
      </w:r>
      <w:r w:rsidR="00432F3D">
        <w:t>ere</w:t>
      </w:r>
      <w:r w:rsidR="0091425F">
        <w:t xml:space="preserve"> not specifically </w:t>
      </w:r>
      <w:r w:rsidR="00432F3D">
        <w:t>developed</w:t>
      </w:r>
      <w:r w:rsidR="0091425F">
        <w:t xml:space="preserve"> to evaluate MACE</w:t>
      </w:r>
      <w:r w:rsidR="00432F3D">
        <w:t>,</w:t>
      </w:r>
      <w:r w:rsidR="0091425F">
        <w:t xml:space="preserve"> </w:t>
      </w:r>
      <w:r w:rsidR="00432F3D">
        <w:t>though the former has been found to be</w:t>
      </w:r>
      <w:r w:rsidR="0091425F">
        <w:t xml:space="preserve"> useful for this purpose </w:t>
      </w:r>
      <w:r w:rsidR="0091425F">
        <w:fldChar w:fldCharType="begin" w:fldLock="1"/>
      </w:r>
      <w:r w:rsidR="00804A5D">
        <w:instrText>ADDIN CSL_CITATION {"citationItems":[{"id":"ITEM-1","itemData":{"DOI":"10.1016/j.ijcard.2013.11.030","ISSN":"1874-1754 (Electronic)","PMID":"24321327","abstract":"BACKGROUND: Patients with atrial fibrillation (AF) are at increased risk of thromboembolic events. The long-term prognostic implications of AF in patients with atherothrombosis are unknown. METHODS: We compared 4-year CV outcomes in patients with and without a history of AF recorded at their baseline visit in the REACH Registry, an international, prospective cohort of patients with established atherosclerotic arterial disease (CAD, CVD, PAD) or at least 3 risk factors (RFO). RESULTS: AF status and 4 year follow-up data were available on 44,518 patients. The prevalence of AF at baseline was 10.3% (n=4582). Overall, patients with AF had approximately a 2-fold increase in the composite of CV death, MI, or stroke compared with patients without AF after adjustment for age, gender, prior ischemic event, vascular disease, congestive heart failure, diabetes, smoking, body mass index, region, aspirin and statin use (18.9% vs. 9.4%, p&lt;0.0001). This increased risk was observed both in patients with established atherothrombosis (CAD: 15.5% vs. 8.0%, p=0.0001; CVD: 23.6% vs. 13.6%, p&lt;0.0001; PAD: 24.3% vs. 13.5%, p=0.089) and those with multiple risk factors (RFO: 12.1% vs. 5.9%, p=0.017). Only 52% of patients with a history of AF at baseline were receiving anticoagulation at 4 years. CONCLUSIONS: Patients with a history of both AF and atherothrombosis have particularly high long-term CV risk. Despite this increased risk, almost half of all patients with AF do not receive guideline recommended anticoagulation, highlighting an important public health priority.","author":[{"dropping-particle":"","family":"Ruff","given":"Christian T","non-dropping-particle":"","parse-names":false,"suffix":""},{"dropping-particle":"","family":"Bhatt","given":"Deepak L","non-dropping-particle":"","parse-names":false,"suffix":""},{"dropping-particle":"","family":"Steg","given":"Ph Gabriel","non-dropping-particle":"","parse-names":false,"suffix":""},{"dropping-particle":"","family":"Gersh","given":"Bernard J","non-dropping-particle":"","parse-names":false,"suffix":""},{"dropping-particle":"","family":"Alberts","given":"Mark J","non-dropping-particle":"","parse-names":false,"suffix":""},{"dropping-particle":"","family":"Hoffman","given":"Elaine B","non-dropping-particle":"","parse-names":false,"suffix":""},{"dropping-particle":"","family":"Ohman","given":"E Magnus","non-dropping-particle":"","parse-names":false,"suffix":""},{"dropping-particle":"","family":"Eagle","given":"Kim A","non-dropping-particle":"","parse-names":false,"suffix":""},{"dropping-particle":"","family":"Lip","given":"Gregory Y H","non-dropping-particle":"","parse-names":false,"suffix":""},{"dropping-particle":"","family":"Goto","given":"Shinya","non-dropping-particle":"","parse-names":false,"suffix":""}],"container-title":"International journal of cardiology","id":"ITEM-1","issue":"3","issued":{"date-parts":[["2014","1"]]},"language":"eng","note":"The composite event rate of CV death/MI/stroke over the 4-year follow-up period was 24.3% in AF patients compared to 13.3% for those without AF (p&amp;lt;0.0001)\n\nLinear correlation between MACE and CHA2DS2-VASc score","page":"413-418","publisher-place":"Netherlands","title":"Long-term cardiovascular outcomes in patients with atrial fibrillation and atherothrombosis in the REACH Registry.","type":"article-journal","volume":"170"},"uris":["http://www.mendeley.com/documents/?uuid=01c4520f-2518-4bcf-bd54-db809c338486"]},{"id":"ITEM-2","itemData":{"DOI":"10.1160/TH14-11-0932","ISSN":"2567-689X (Electronic)","PMID":"25716989","author":[{"dropping-particle":"","family":"Blann","given":"Andrew D","non-dropping-particle":"","parse-names":false,"suffix":""},{"dropping-particle":"","family":"Lip","given":"Gregory Y H","non-dropping-particle":"","parse-names":false,"suffix":""}],"container-title":"Thrombosis and haemostasis","id":"ITEM-2","issue":"5","issued":{"date-parts":[["2015","5"]]},"language":"eng","note":"CHA2DS2-VASc score was independently associated with MACE events. However, MACE was defined as ischaemic stroke/TIA, MI, SE and deaths in this study","page":"1155-1157","publisher-place":"Germany","title":"Renal, endothelial function, warfarin management, and the CHADS2, CHA2DS2VASc and HAS-BLED scores inpredicting MACE in AF.","type":"article-journal","volume":"113"},"uris":["http://www.mendeley.com/documents/?uuid=3a46c364-6b63-43f2-9b18-43a12bb1e7b4"]}],"mendeley":{"formattedCitation":"&lt;sup&gt;18,21&lt;/sup&gt;","plainTextFormattedCitation":"18,21","previouslyFormattedCitation":"&lt;sup&gt;18,21&lt;/sup&gt;"},"properties":{"noteIndex":0},"schema":"https://github.com/citation-style-language/schema/raw/master/csl-citation.json"}</w:instrText>
      </w:r>
      <w:r w:rsidR="0091425F">
        <w:fldChar w:fldCharType="separate"/>
      </w:r>
      <w:r w:rsidR="00804A5D" w:rsidRPr="00804A5D">
        <w:rPr>
          <w:noProof/>
          <w:vertAlign w:val="superscript"/>
        </w:rPr>
        <w:t>18,21</w:t>
      </w:r>
      <w:r w:rsidR="0091425F">
        <w:fldChar w:fldCharType="end"/>
      </w:r>
      <w:r w:rsidR="0091425F">
        <w:t>.</w:t>
      </w:r>
      <w:r w:rsidR="00C0037D">
        <w:t xml:space="preserve"> </w:t>
      </w:r>
      <w:r w:rsidR="00840CBE">
        <w:t>T</w:t>
      </w:r>
      <w:r w:rsidR="00B748BD">
        <w:t xml:space="preserve">his analysis highlights that the HAS-BLED score </w:t>
      </w:r>
      <w:r w:rsidR="00B748BD">
        <w:lastRenderedPageBreak/>
        <w:t>which was designed as a bleeding risk assessment tool should not be used to assess MACE.</w:t>
      </w:r>
      <w:r w:rsidR="00E23FA5">
        <w:t xml:space="preserve"> </w:t>
      </w:r>
    </w:p>
    <w:p w14:paraId="58F21863" w14:textId="1CA08FB4" w:rsidR="00480009" w:rsidRDefault="006F0804" w:rsidP="00DC50BA">
      <w:pPr>
        <w:spacing w:after="0"/>
        <w:ind w:left="720"/>
      </w:pPr>
      <w:r>
        <w:t>The 2MACE score may be a useful tool for clinical risk stratification of high-risk AF patients with CKD. Those at high MACE risk could be targeted for more intensive cardiovascular prevention strategies. The presence of CKD was not found to be independently associated with MACE in AF patients.</w:t>
      </w:r>
    </w:p>
    <w:p w14:paraId="64BB7B88" w14:textId="77777777" w:rsidR="0079614A" w:rsidRPr="00F54663" w:rsidRDefault="0079614A" w:rsidP="00DC50BA">
      <w:pPr>
        <w:spacing w:after="0"/>
        <w:ind w:left="720"/>
      </w:pPr>
    </w:p>
    <w:p w14:paraId="781E4D5B" w14:textId="7E274A57" w:rsidR="008F4D1C" w:rsidRDefault="008F4D1C" w:rsidP="00DC50BA">
      <w:pPr>
        <w:spacing w:after="0"/>
      </w:pPr>
      <w:r w:rsidRPr="003705DF">
        <w:rPr>
          <w:rStyle w:val="SubtitleChar"/>
        </w:rPr>
        <w:t>Acknowledgements</w:t>
      </w:r>
      <w:r w:rsidRPr="003705DF">
        <w:t xml:space="preserve">: </w:t>
      </w:r>
      <w:r w:rsidR="008D045B">
        <w:t>None</w:t>
      </w:r>
    </w:p>
    <w:p w14:paraId="01F3F4D1" w14:textId="77777777" w:rsidR="00220A8C" w:rsidRDefault="00220A8C" w:rsidP="00DC50BA">
      <w:pPr>
        <w:spacing w:after="0"/>
      </w:pPr>
    </w:p>
    <w:bookmarkStart w:id="2" w:name="_Hlk22922448"/>
    <w:p w14:paraId="0F0D94F2" w14:textId="6DEB79DB" w:rsidR="00E42598" w:rsidRPr="00E42598" w:rsidRDefault="0041405F">
      <w:pPr>
        <w:widowControl w:val="0"/>
        <w:autoSpaceDE w:val="0"/>
        <w:autoSpaceDN w:val="0"/>
        <w:adjustRightInd w:val="0"/>
        <w:spacing w:after="0"/>
        <w:rPr>
          <w:noProof/>
        </w:rPr>
      </w:pPr>
      <w:r w:rsidRPr="003705DF">
        <w:fldChar w:fldCharType="begin" w:fldLock="1"/>
      </w:r>
      <w:r w:rsidRPr="003705DF">
        <w:instrText xml:space="preserve">ADDIN Mendeley Bibliography CSL_BIBLIOGRAPHY </w:instrText>
      </w:r>
      <w:r w:rsidRPr="003705DF">
        <w:fldChar w:fldCharType="separate"/>
      </w:r>
      <w:r w:rsidR="00E42598" w:rsidRPr="00E42598">
        <w:rPr>
          <w:noProof/>
        </w:rPr>
        <w:t xml:space="preserve">1. Pokorney SD, Piccini JP, Stevens SR, Patel MR, Pieper KS, Halperin JL, Breithardt G, Singer DE, Hankey GJ, Hacke W, Becker RC, Berkowitz SD, Nessel CC, Mahaffey KW, Fox KAA, Califf RM. Cause of Death and Predictors of All-Cause Mortality in Anticoagulated Patients With Nonvalvular Atrial Fibrillation: Data From ROCKET AF. </w:t>
      </w:r>
      <w:r w:rsidR="00E42598" w:rsidRPr="00E42598">
        <w:rPr>
          <w:i/>
          <w:iCs/>
          <w:noProof/>
        </w:rPr>
        <w:t>J Am Heart Assoc</w:t>
      </w:r>
      <w:r w:rsidR="00E42598" w:rsidRPr="00E42598">
        <w:rPr>
          <w:noProof/>
        </w:rPr>
        <w:t xml:space="preserve"> 2016;5:e002197.</w:t>
      </w:r>
    </w:p>
    <w:p w14:paraId="1717D2C5" w14:textId="77777777" w:rsidR="00E42598" w:rsidRPr="00E42598" w:rsidRDefault="00E42598">
      <w:pPr>
        <w:widowControl w:val="0"/>
        <w:autoSpaceDE w:val="0"/>
        <w:autoSpaceDN w:val="0"/>
        <w:adjustRightInd w:val="0"/>
        <w:spacing w:after="0"/>
        <w:rPr>
          <w:noProof/>
        </w:rPr>
      </w:pPr>
      <w:r w:rsidRPr="00E42598">
        <w:rPr>
          <w:noProof/>
        </w:rPr>
        <w:t xml:space="preserve">2. Pastori D, Farcomeni A, Poli D, Antonucci E, Angelico F, Ben M Del, Cangemi R, Tanzilli G, Lip GYH, Pignatelli P, Violi F. Cardiovascular risk stratification in patients with non-valvular atrial fibrillation: the 2MACE score. </w:t>
      </w:r>
      <w:r w:rsidRPr="00E42598">
        <w:rPr>
          <w:i/>
          <w:iCs/>
          <w:noProof/>
        </w:rPr>
        <w:t>Intern Emerg Med</w:t>
      </w:r>
      <w:r w:rsidRPr="00E42598">
        <w:rPr>
          <w:noProof/>
        </w:rPr>
        <w:t xml:space="preserve"> 2016;11:199–204.</w:t>
      </w:r>
    </w:p>
    <w:p w14:paraId="07FD94A7" w14:textId="77777777" w:rsidR="00E42598" w:rsidRPr="00E42598" w:rsidRDefault="00E42598">
      <w:pPr>
        <w:widowControl w:val="0"/>
        <w:autoSpaceDE w:val="0"/>
        <w:autoSpaceDN w:val="0"/>
        <w:adjustRightInd w:val="0"/>
        <w:spacing w:after="0"/>
        <w:rPr>
          <w:noProof/>
        </w:rPr>
      </w:pPr>
      <w:r w:rsidRPr="00E42598">
        <w:rPr>
          <w:noProof/>
        </w:rPr>
        <w:t xml:space="preserve">3. Isakova T, Nickolas TL, Denburg M, Yarlagadda S, Weiner DE, Gutierrez OM, Bansal V, Rosas SE, Nigwekar S, Yee J, Kramer H. KDOQI US Commentary on the 2017 KDIGO Clinical Practice Guideline Update for the Diagnosis, Evaluation, Prevention, and Treatment of Chronic Kidney Disease-Mineral and Bone Disorder (CKD-MBD). </w:t>
      </w:r>
      <w:r w:rsidRPr="00E42598">
        <w:rPr>
          <w:i/>
          <w:iCs/>
          <w:noProof/>
        </w:rPr>
        <w:t>Am J kidney Dis</w:t>
      </w:r>
      <w:r w:rsidRPr="00E42598">
        <w:rPr>
          <w:noProof/>
        </w:rPr>
        <w:t xml:space="preserve"> 2017;70:737–751.</w:t>
      </w:r>
    </w:p>
    <w:p w14:paraId="263C9047" w14:textId="77777777" w:rsidR="00E42598" w:rsidRPr="00E42598" w:rsidRDefault="00E42598">
      <w:pPr>
        <w:widowControl w:val="0"/>
        <w:autoSpaceDE w:val="0"/>
        <w:autoSpaceDN w:val="0"/>
        <w:adjustRightInd w:val="0"/>
        <w:spacing w:after="0"/>
        <w:rPr>
          <w:noProof/>
        </w:rPr>
      </w:pPr>
      <w:r w:rsidRPr="00E42598">
        <w:rPr>
          <w:noProof/>
        </w:rPr>
        <w:t xml:space="preserve">4. Carrero JJ, Trevisan M, Sood MM, Barany P, Xu H, Evans M, Friberg L, Szummer K, Bárány P, Xu H, Evans M, Friberg L, Szummer K, Barany P, Xu H, Evans M, Friberg L, Szummer K. Incident atrial fibrillation and the risk of stroke in adults with chronic kidney </w:t>
      </w:r>
      <w:r w:rsidRPr="00E42598">
        <w:rPr>
          <w:noProof/>
        </w:rPr>
        <w:lastRenderedPageBreak/>
        <w:t xml:space="preserve">disease: The Stockholm CREAtinine measurements (SCREAM) project. </w:t>
      </w:r>
      <w:r w:rsidRPr="00E42598">
        <w:rPr>
          <w:i/>
          <w:iCs/>
          <w:noProof/>
        </w:rPr>
        <w:t>Clin J Am Soc Nephrol</w:t>
      </w:r>
      <w:r w:rsidRPr="00E42598">
        <w:rPr>
          <w:noProof/>
        </w:rPr>
        <w:t xml:space="preserve"> 2018;13:1314–1320.</w:t>
      </w:r>
    </w:p>
    <w:p w14:paraId="7C77C3D0" w14:textId="77777777" w:rsidR="00E42598" w:rsidRPr="00E42598" w:rsidRDefault="00E42598">
      <w:pPr>
        <w:widowControl w:val="0"/>
        <w:autoSpaceDE w:val="0"/>
        <w:autoSpaceDN w:val="0"/>
        <w:adjustRightInd w:val="0"/>
        <w:spacing w:after="0"/>
        <w:rPr>
          <w:noProof/>
        </w:rPr>
      </w:pPr>
      <w:r w:rsidRPr="00E42598">
        <w:rPr>
          <w:noProof/>
        </w:rPr>
        <w:t xml:space="preserve">5. Bousser MG, Bouthier J, Buller HR, Cohen AT, Crijns H, Davidson BL, Halperin J, Hankey G, Levy S, Pengo V, Prandoni P, Prins MH, Tomkowski W, Torp-Pedersen C, Wyse DG. Comparison of idraparinux with vitamin K antagonists for prevention of thromboembolism in patients with atrial fibrillation: a randomised, open-label, non-inferiority trial. </w:t>
      </w:r>
      <w:r w:rsidRPr="00E42598">
        <w:rPr>
          <w:i/>
          <w:iCs/>
          <w:noProof/>
        </w:rPr>
        <w:t>Lancet</w:t>
      </w:r>
      <w:r w:rsidRPr="00E42598">
        <w:rPr>
          <w:noProof/>
        </w:rPr>
        <w:t xml:space="preserve"> 2008;371:315–321.</w:t>
      </w:r>
    </w:p>
    <w:p w14:paraId="19A00278" w14:textId="77777777" w:rsidR="00E42598" w:rsidRPr="00E42598" w:rsidRDefault="00E42598">
      <w:pPr>
        <w:widowControl w:val="0"/>
        <w:autoSpaceDE w:val="0"/>
        <w:autoSpaceDN w:val="0"/>
        <w:adjustRightInd w:val="0"/>
        <w:spacing w:after="0"/>
        <w:rPr>
          <w:noProof/>
        </w:rPr>
      </w:pPr>
      <w:r w:rsidRPr="00E42598">
        <w:rPr>
          <w:noProof/>
        </w:rPr>
        <w:t xml:space="preserve">6. Stevens LA, Schmid CH, Greene T, Zhang YL, Beck GJ, Froissart M, Hamm LL, Lewis JB, Mauer M, Navis GJ, Steffes MW, Eggers PW, Coresh J, Levey AS. Comparative performance of the CKD Epidemiology Collaboration (CKD-EPI) and the Modification of Diet in Renal Disease (MDRD) Study equations for estimating GFR levels above 60 mL/min/1.73 m2. </w:t>
      </w:r>
      <w:r w:rsidRPr="00E42598">
        <w:rPr>
          <w:i/>
          <w:iCs/>
          <w:noProof/>
        </w:rPr>
        <w:t>Am J kidney Dis</w:t>
      </w:r>
      <w:r w:rsidRPr="00E42598">
        <w:rPr>
          <w:noProof/>
        </w:rPr>
        <w:t xml:space="preserve"> 2010;56:486–495.</w:t>
      </w:r>
    </w:p>
    <w:p w14:paraId="2A8B6B78" w14:textId="77777777" w:rsidR="00E42598" w:rsidRPr="00E42598" w:rsidRDefault="00E42598">
      <w:pPr>
        <w:widowControl w:val="0"/>
        <w:autoSpaceDE w:val="0"/>
        <w:autoSpaceDN w:val="0"/>
        <w:adjustRightInd w:val="0"/>
        <w:spacing w:after="0"/>
        <w:rPr>
          <w:noProof/>
        </w:rPr>
      </w:pPr>
      <w:r w:rsidRPr="00E42598">
        <w:rPr>
          <w:noProof/>
        </w:rPr>
        <w:t xml:space="preserve">7. Lip GYH, Nieuwlaat R, Pisters R, Lane DA, Crijns HJGM. Refining clinical risk stratification for predicting stroke and thromboembolism in atrial fibrillation using a novel risk factor-based approach: The Euro Heart Survey on atrial fibrillation. </w:t>
      </w:r>
      <w:r w:rsidRPr="00E42598">
        <w:rPr>
          <w:i/>
          <w:iCs/>
          <w:noProof/>
        </w:rPr>
        <w:t>Chest</w:t>
      </w:r>
      <w:r w:rsidRPr="00E42598">
        <w:rPr>
          <w:noProof/>
        </w:rPr>
        <w:t xml:space="preserve"> 2010;137:263–272.</w:t>
      </w:r>
    </w:p>
    <w:p w14:paraId="41A6A513" w14:textId="77777777" w:rsidR="00E42598" w:rsidRPr="00E42598" w:rsidRDefault="00E42598">
      <w:pPr>
        <w:widowControl w:val="0"/>
        <w:autoSpaceDE w:val="0"/>
        <w:autoSpaceDN w:val="0"/>
        <w:adjustRightInd w:val="0"/>
        <w:spacing w:after="0"/>
        <w:rPr>
          <w:noProof/>
        </w:rPr>
      </w:pPr>
      <w:r w:rsidRPr="00E42598">
        <w:rPr>
          <w:noProof/>
        </w:rPr>
        <w:t xml:space="preserve">8. Gage BF, Waterman AD, Shannon W, Boechler M, Rich MW, Radford MJ. Validation of clinical classification schemes for predicting stroke: results from the National Registry of Atrial Fibrillation. </w:t>
      </w:r>
      <w:r w:rsidRPr="00E42598">
        <w:rPr>
          <w:i/>
          <w:iCs/>
          <w:noProof/>
        </w:rPr>
        <w:t>JAMA</w:t>
      </w:r>
      <w:r w:rsidRPr="00E42598">
        <w:rPr>
          <w:noProof/>
        </w:rPr>
        <w:t xml:space="preserve"> 2001;285:2864–2870.</w:t>
      </w:r>
    </w:p>
    <w:p w14:paraId="31179282" w14:textId="77777777" w:rsidR="00E42598" w:rsidRPr="00E42598" w:rsidRDefault="00E42598">
      <w:pPr>
        <w:widowControl w:val="0"/>
        <w:autoSpaceDE w:val="0"/>
        <w:autoSpaceDN w:val="0"/>
        <w:adjustRightInd w:val="0"/>
        <w:spacing w:after="0"/>
        <w:rPr>
          <w:noProof/>
        </w:rPr>
      </w:pPr>
      <w:r w:rsidRPr="00E42598">
        <w:rPr>
          <w:noProof/>
        </w:rPr>
        <w:t xml:space="preserve">9. Pisters R, Lane DA, Nieuwlaat R, Vos CB de, Crijns HJ, Lip GY. A novel user-friendly score (HAS-BLED) to assess 1-year risk of major bleeding in patients with atrial fibrillation: The Euro Heart Survey. </w:t>
      </w:r>
      <w:r w:rsidRPr="00E42598">
        <w:rPr>
          <w:i/>
          <w:iCs/>
          <w:noProof/>
        </w:rPr>
        <w:t>Chest</w:t>
      </w:r>
      <w:r w:rsidRPr="00E42598">
        <w:rPr>
          <w:noProof/>
        </w:rPr>
        <w:t xml:space="preserve"> 2010;138:1093–1100.</w:t>
      </w:r>
    </w:p>
    <w:p w14:paraId="705C5F70" w14:textId="77777777" w:rsidR="00E42598" w:rsidRPr="00E42598" w:rsidRDefault="00E42598">
      <w:pPr>
        <w:widowControl w:val="0"/>
        <w:autoSpaceDE w:val="0"/>
        <w:autoSpaceDN w:val="0"/>
        <w:adjustRightInd w:val="0"/>
        <w:spacing w:after="0"/>
        <w:rPr>
          <w:noProof/>
        </w:rPr>
      </w:pPr>
      <w:r w:rsidRPr="00E42598">
        <w:rPr>
          <w:noProof/>
        </w:rPr>
        <w:t xml:space="preserve">10. Guo X-Y, Li N, Du X, Bai R, Yu R-H, Long D-Y, Tang R-B, Sang C-H, Jiang C-X, Ning M, Li S-N, Liu N, Dong J-Z, Ma C-S. Atrial fibrillation is associated with an increased risk of myocardial infarction: Insights from a meta-analysis. </w:t>
      </w:r>
      <w:r w:rsidRPr="00E42598">
        <w:rPr>
          <w:i/>
          <w:iCs/>
          <w:noProof/>
        </w:rPr>
        <w:t>Atherosclerosis</w:t>
      </w:r>
      <w:r w:rsidRPr="00E42598">
        <w:rPr>
          <w:noProof/>
        </w:rPr>
        <w:t xml:space="preserve"> 2016;254:1–7.</w:t>
      </w:r>
    </w:p>
    <w:p w14:paraId="22C64034" w14:textId="77777777" w:rsidR="00E42598" w:rsidRPr="00E42598" w:rsidRDefault="00E42598">
      <w:pPr>
        <w:widowControl w:val="0"/>
        <w:autoSpaceDE w:val="0"/>
        <w:autoSpaceDN w:val="0"/>
        <w:adjustRightInd w:val="0"/>
        <w:spacing w:after="0"/>
        <w:rPr>
          <w:noProof/>
        </w:rPr>
      </w:pPr>
      <w:r w:rsidRPr="00E42598">
        <w:rPr>
          <w:noProof/>
        </w:rPr>
        <w:t xml:space="preserve">11. Schmitt J, Duray G, Gersh BJ, Hohnloser SH. Atrial fibrillation in acute myocardial </w:t>
      </w:r>
      <w:r w:rsidRPr="00E42598">
        <w:rPr>
          <w:noProof/>
        </w:rPr>
        <w:lastRenderedPageBreak/>
        <w:t xml:space="preserve">infarction: a systematic review of the incidence, clinical features and prognostic implications. </w:t>
      </w:r>
      <w:r w:rsidRPr="00E42598">
        <w:rPr>
          <w:i/>
          <w:iCs/>
          <w:noProof/>
        </w:rPr>
        <w:t>Eur Heart J</w:t>
      </w:r>
      <w:r w:rsidRPr="00E42598">
        <w:rPr>
          <w:noProof/>
        </w:rPr>
        <w:t xml:space="preserve"> 2009;30:1038–1045.</w:t>
      </w:r>
    </w:p>
    <w:p w14:paraId="2A99CFC0" w14:textId="77777777" w:rsidR="00E42598" w:rsidRPr="00E42598" w:rsidRDefault="00E42598">
      <w:pPr>
        <w:widowControl w:val="0"/>
        <w:autoSpaceDE w:val="0"/>
        <w:autoSpaceDN w:val="0"/>
        <w:adjustRightInd w:val="0"/>
        <w:spacing w:after="0"/>
        <w:rPr>
          <w:noProof/>
        </w:rPr>
      </w:pPr>
      <w:r w:rsidRPr="00E42598">
        <w:rPr>
          <w:noProof/>
        </w:rPr>
        <w:t xml:space="preserve">12. Goto S, Bhatt DL, Rother J, Alberts M, Hill MD, Ikeda Y, Uchiyama S, D’Agostino R, Ohman EM, Liau C-S, Hirsch AT, Mas J-L, Wilson PWF, Corbalan R, Aichner F, Steg PG. Prevalence, clinical profile, and cardiovascular outcomes of atrial fibrillation  patients with atherothrombosis. </w:t>
      </w:r>
      <w:r w:rsidRPr="00E42598">
        <w:rPr>
          <w:i/>
          <w:iCs/>
          <w:noProof/>
        </w:rPr>
        <w:t>Am Heart J</w:t>
      </w:r>
      <w:r w:rsidRPr="00E42598">
        <w:rPr>
          <w:noProof/>
        </w:rPr>
        <w:t xml:space="preserve"> 2008;156:855–63, 863.e2.</w:t>
      </w:r>
    </w:p>
    <w:p w14:paraId="69C3CFD0" w14:textId="77777777" w:rsidR="00E42598" w:rsidRPr="00E42598" w:rsidRDefault="00E42598">
      <w:pPr>
        <w:widowControl w:val="0"/>
        <w:autoSpaceDE w:val="0"/>
        <w:autoSpaceDN w:val="0"/>
        <w:adjustRightInd w:val="0"/>
        <w:spacing w:after="0"/>
        <w:rPr>
          <w:noProof/>
        </w:rPr>
      </w:pPr>
      <w:r w:rsidRPr="00E42598">
        <w:rPr>
          <w:noProof/>
        </w:rPr>
        <w:t xml:space="preserve">13. Chao T-F, Huang Y-C, Liu C-J, Chen S-J, Wang K-L, Lin Y-J, Chang S-L, Lo L-W, Hu Y-F, Tuan T-C, Chen T-J, Hsieh M-H, Lip GYH, Chen S-A. Acute myocardial infarction in patients with atrial fibrillation with a CHA2DS2-VASc score of 0 or 1: a nationwide cohort study. </w:t>
      </w:r>
      <w:r w:rsidRPr="00E42598">
        <w:rPr>
          <w:i/>
          <w:iCs/>
          <w:noProof/>
        </w:rPr>
        <w:t>Heart Rhythm</w:t>
      </w:r>
      <w:r w:rsidRPr="00E42598">
        <w:rPr>
          <w:noProof/>
        </w:rPr>
        <w:t xml:space="preserve"> 2014;11:1941–1947.</w:t>
      </w:r>
    </w:p>
    <w:p w14:paraId="18086151" w14:textId="77777777" w:rsidR="00E42598" w:rsidRPr="00E42598" w:rsidRDefault="00E42598">
      <w:pPr>
        <w:widowControl w:val="0"/>
        <w:autoSpaceDE w:val="0"/>
        <w:autoSpaceDN w:val="0"/>
        <w:adjustRightInd w:val="0"/>
        <w:spacing w:after="0"/>
        <w:rPr>
          <w:noProof/>
        </w:rPr>
      </w:pPr>
      <w:r w:rsidRPr="00E42598">
        <w:rPr>
          <w:noProof/>
        </w:rPr>
        <w:t xml:space="preserve">14. Violi F, Soliman EZ, Pignatelli P, Pastori D. Atrial Fibrillation and Myocardial Infarction: A Systematic Review and Appraisal  of Pathophysiologic Mechanisms. </w:t>
      </w:r>
      <w:r w:rsidRPr="00E42598">
        <w:rPr>
          <w:i/>
          <w:iCs/>
          <w:noProof/>
        </w:rPr>
        <w:t>J Am Heart Assoc</w:t>
      </w:r>
      <w:r w:rsidRPr="00E42598">
        <w:rPr>
          <w:noProof/>
        </w:rPr>
        <w:t xml:space="preserve"> 2016;5.</w:t>
      </w:r>
    </w:p>
    <w:p w14:paraId="148A127B" w14:textId="77777777" w:rsidR="00E42598" w:rsidRPr="00E42598" w:rsidRDefault="00E42598">
      <w:pPr>
        <w:widowControl w:val="0"/>
        <w:autoSpaceDE w:val="0"/>
        <w:autoSpaceDN w:val="0"/>
        <w:adjustRightInd w:val="0"/>
        <w:spacing w:after="0"/>
        <w:rPr>
          <w:noProof/>
        </w:rPr>
      </w:pPr>
      <w:r w:rsidRPr="00E42598">
        <w:rPr>
          <w:noProof/>
        </w:rPr>
        <w:t xml:space="preserve">15. Shibata T, Kawakami S, Noguchi T, Tanaka T, Asaumi Y, Kanaya T, Nagai T, Nakao K, Fujino M, Nagatsuka K, Ishibashi-Ueda H, Nishimura K, Miyamoto Y, Kusano K, Anzai T, Goto Y, Ogawa H, Yasuda S. Prevalence, Clinical Features, and Prognosis of Acute Myocardial Infarction Attributable to Coronary Artery Embolism. </w:t>
      </w:r>
      <w:r w:rsidRPr="00E42598">
        <w:rPr>
          <w:i/>
          <w:iCs/>
          <w:noProof/>
        </w:rPr>
        <w:t>Circulation</w:t>
      </w:r>
      <w:r w:rsidRPr="00E42598">
        <w:rPr>
          <w:noProof/>
        </w:rPr>
        <w:t xml:space="preserve"> 2015;132:241–250.</w:t>
      </w:r>
    </w:p>
    <w:p w14:paraId="0FF3B90D" w14:textId="77777777" w:rsidR="00E42598" w:rsidRPr="00E42598" w:rsidRDefault="00E42598">
      <w:pPr>
        <w:widowControl w:val="0"/>
        <w:autoSpaceDE w:val="0"/>
        <w:autoSpaceDN w:val="0"/>
        <w:adjustRightInd w:val="0"/>
        <w:spacing w:after="0"/>
        <w:rPr>
          <w:noProof/>
        </w:rPr>
      </w:pPr>
      <w:r w:rsidRPr="00E42598">
        <w:rPr>
          <w:noProof/>
        </w:rPr>
        <w:t xml:space="preserve">16. Almendro-Delia M, Valle-Caballero MJ, Garcia-Rubira JC, Munoz-Calero B, Garcia-Alcantara A, Reina-Toral A, Benitez-Parejo J, Hidalgo-Urbano R. Prognostic impact of atrial fibrillation in acute coronary syndromes: results from the ARIAM registry. </w:t>
      </w:r>
      <w:r w:rsidRPr="00E42598">
        <w:rPr>
          <w:i/>
          <w:iCs/>
          <w:noProof/>
        </w:rPr>
        <w:t>Eur Hear journal Acute Cardiovasc care</w:t>
      </w:r>
      <w:r w:rsidRPr="00E42598">
        <w:rPr>
          <w:noProof/>
        </w:rPr>
        <w:t xml:space="preserve"> 2014;3:141–148.</w:t>
      </w:r>
    </w:p>
    <w:p w14:paraId="140EDC53" w14:textId="77777777" w:rsidR="00E42598" w:rsidRPr="00E42598" w:rsidRDefault="00E42598">
      <w:pPr>
        <w:widowControl w:val="0"/>
        <w:autoSpaceDE w:val="0"/>
        <w:autoSpaceDN w:val="0"/>
        <w:adjustRightInd w:val="0"/>
        <w:spacing w:after="0"/>
        <w:rPr>
          <w:noProof/>
        </w:rPr>
      </w:pPr>
      <w:r w:rsidRPr="00E42598">
        <w:rPr>
          <w:noProof/>
        </w:rPr>
        <w:t xml:space="preserve">17. Worme MD, Tan MK, Armstrong DWJ, Yan AT, Tan NS, Brieger D, Budaj A, Gore JM, Lopez-Sendon J, Werf F Van de, Steg PG, Fox KAA, Goodman SG, Udell JA. Previous and New Onset Atrial Fibrillation and Associated Outcomes in Acute Coronary Syndromes (from </w:t>
      </w:r>
      <w:r w:rsidRPr="00E42598">
        <w:rPr>
          <w:noProof/>
        </w:rPr>
        <w:lastRenderedPageBreak/>
        <w:t xml:space="preserve">the Global Registry of Acute Coronary Events). </w:t>
      </w:r>
      <w:r w:rsidRPr="00E42598">
        <w:rPr>
          <w:i/>
          <w:iCs/>
          <w:noProof/>
        </w:rPr>
        <w:t>Am J Cardiol</w:t>
      </w:r>
      <w:r w:rsidRPr="00E42598">
        <w:rPr>
          <w:noProof/>
        </w:rPr>
        <w:t xml:space="preserve"> 2018;122:944–951.</w:t>
      </w:r>
    </w:p>
    <w:p w14:paraId="19272343" w14:textId="77777777" w:rsidR="00E42598" w:rsidRPr="00E42598" w:rsidRDefault="00E42598">
      <w:pPr>
        <w:widowControl w:val="0"/>
        <w:autoSpaceDE w:val="0"/>
        <w:autoSpaceDN w:val="0"/>
        <w:adjustRightInd w:val="0"/>
        <w:spacing w:after="0"/>
        <w:rPr>
          <w:noProof/>
        </w:rPr>
      </w:pPr>
      <w:r w:rsidRPr="00E42598">
        <w:rPr>
          <w:noProof/>
        </w:rPr>
        <w:t xml:space="preserve">18. Ruff CT, Bhatt DL, Steg PG, Gersh BJ, Alberts MJ, Hoffman EB, Ohman EM, Eagle KA, Lip GYH, Goto S. Long-term cardiovascular outcomes in patients with atrial fibrillation and atherothrombosis in the REACH Registry. </w:t>
      </w:r>
      <w:r w:rsidRPr="00E42598">
        <w:rPr>
          <w:i/>
          <w:iCs/>
          <w:noProof/>
        </w:rPr>
        <w:t>Int J Cardiol</w:t>
      </w:r>
      <w:r w:rsidRPr="00E42598">
        <w:rPr>
          <w:noProof/>
        </w:rPr>
        <w:t xml:space="preserve"> 2014;170:413–418.</w:t>
      </w:r>
    </w:p>
    <w:p w14:paraId="0D808348" w14:textId="77777777" w:rsidR="00E42598" w:rsidRPr="00E42598" w:rsidRDefault="00E42598">
      <w:pPr>
        <w:widowControl w:val="0"/>
        <w:autoSpaceDE w:val="0"/>
        <w:autoSpaceDN w:val="0"/>
        <w:adjustRightInd w:val="0"/>
        <w:spacing w:after="0"/>
        <w:rPr>
          <w:noProof/>
        </w:rPr>
      </w:pPr>
      <w:r w:rsidRPr="00E42598">
        <w:rPr>
          <w:noProof/>
        </w:rPr>
        <w:t xml:space="preserve">19. Polovina M, Dikic D, Vlajkovic A, Vilotijevic M, Milinkovic I, Asanin M, Ostojic M, Coats AJS, Seferovic PM. Adverse cardiovascular outcomes in atrial fibrillation: Validation of the new 2MACE risk score. </w:t>
      </w:r>
      <w:r w:rsidRPr="00E42598">
        <w:rPr>
          <w:i/>
          <w:iCs/>
          <w:noProof/>
        </w:rPr>
        <w:t>Int J Cardiol</w:t>
      </w:r>
      <w:r w:rsidRPr="00E42598">
        <w:rPr>
          <w:noProof/>
        </w:rPr>
        <w:t xml:space="preserve"> 2017;249:191–197.</w:t>
      </w:r>
    </w:p>
    <w:p w14:paraId="16390EA4" w14:textId="77777777" w:rsidR="00E42598" w:rsidRPr="00E42598" w:rsidRDefault="00E42598">
      <w:pPr>
        <w:widowControl w:val="0"/>
        <w:autoSpaceDE w:val="0"/>
        <w:autoSpaceDN w:val="0"/>
        <w:adjustRightInd w:val="0"/>
        <w:spacing w:after="0"/>
        <w:rPr>
          <w:noProof/>
        </w:rPr>
      </w:pPr>
      <w:r w:rsidRPr="00E42598">
        <w:rPr>
          <w:noProof/>
        </w:rPr>
        <w:t xml:space="preserve">20. Miao B, Hernandez A V, Roman YM, Alberts MJ, Coleman CI, Baker WL. Four-year incidence of major adverse cardiovascular events in patients with atherosclerosis and atrial fibrillation. </w:t>
      </w:r>
      <w:r w:rsidRPr="00E42598">
        <w:rPr>
          <w:i/>
          <w:iCs/>
          <w:noProof/>
        </w:rPr>
        <w:t>Clin Cardiol</w:t>
      </w:r>
      <w:r w:rsidRPr="00E42598">
        <w:rPr>
          <w:noProof/>
        </w:rPr>
        <w:t xml:space="preserve"> 2020.</w:t>
      </w:r>
    </w:p>
    <w:p w14:paraId="25F366DF" w14:textId="77777777" w:rsidR="00E42598" w:rsidRPr="00E42598" w:rsidRDefault="00E42598">
      <w:pPr>
        <w:widowControl w:val="0"/>
        <w:autoSpaceDE w:val="0"/>
        <w:autoSpaceDN w:val="0"/>
        <w:adjustRightInd w:val="0"/>
        <w:spacing w:after="0"/>
        <w:rPr>
          <w:noProof/>
        </w:rPr>
      </w:pPr>
      <w:r w:rsidRPr="00E42598">
        <w:rPr>
          <w:noProof/>
        </w:rPr>
        <w:t xml:space="preserve">21. Blann AD, Lip GYH. Renal, endothelial function, warfarin management, and the CHADS2, CHA2DS2VASc and HAS-BLED scores inpredicting MACE in AF. </w:t>
      </w:r>
      <w:r w:rsidRPr="00E42598">
        <w:rPr>
          <w:i/>
          <w:iCs/>
          <w:noProof/>
        </w:rPr>
        <w:t>Thromb Haemost</w:t>
      </w:r>
      <w:r w:rsidRPr="00E42598">
        <w:rPr>
          <w:noProof/>
        </w:rPr>
        <w:t xml:space="preserve"> 2015;113:1155–1157.</w:t>
      </w:r>
    </w:p>
    <w:p w14:paraId="05BE42D2" w14:textId="77777777" w:rsidR="00E42598" w:rsidRPr="00E42598" w:rsidRDefault="00E42598">
      <w:pPr>
        <w:widowControl w:val="0"/>
        <w:autoSpaceDE w:val="0"/>
        <w:autoSpaceDN w:val="0"/>
        <w:adjustRightInd w:val="0"/>
        <w:spacing w:after="0"/>
        <w:rPr>
          <w:noProof/>
        </w:rPr>
      </w:pPr>
      <w:r w:rsidRPr="00E42598">
        <w:rPr>
          <w:noProof/>
        </w:rPr>
        <w:t xml:space="preserve">22. Li J, Solus J, Chen Q, Rho YH, Milne G, Stein CM, Darbar D. Role of inflammation and oxidative stress in atrial fibrillation. </w:t>
      </w:r>
      <w:r w:rsidRPr="00E42598">
        <w:rPr>
          <w:i/>
          <w:iCs/>
          <w:noProof/>
        </w:rPr>
        <w:t>Heart Rhythm</w:t>
      </w:r>
      <w:r w:rsidRPr="00E42598">
        <w:rPr>
          <w:noProof/>
        </w:rPr>
        <w:t xml:space="preserve"> 2010;7:438–444.</w:t>
      </w:r>
    </w:p>
    <w:p w14:paraId="6F16228A" w14:textId="77777777" w:rsidR="00E42598" w:rsidRPr="00E42598" w:rsidRDefault="00E42598">
      <w:pPr>
        <w:widowControl w:val="0"/>
        <w:autoSpaceDE w:val="0"/>
        <w:autoSpaceDN w:val="0"/>
        <w:adjustRightInd w:val="0"/>
        <w:spacing w:after="0"/>
        <w:rPr>
          <w:noProof/>
        </w:rPr>
      </w:pPr>
      <w:r w:rsidRPr="00E42598">
        <w:rPr>
          <w:noProof/>
        </w:rPr>
        <w:t xml:space="preserve">23. Nortamo S, Ukkola O, Lepojarvi S, Kentta T, Kiviniemi A, Junttila J, Huikuri H, Perkiomaki J. Association of sST2 and hs-CRP levels with new-onset atrial fibrillation in coronary artery disease. </w:t>
      </w:r>
      <w:r w:rsidRPr="00E42598">
        <w:rPr>
          <w:i/>
          <w:iCs/>
          <w:noProof/>
        </w:rPr>
        <w:t>Int J Cardiol</w:t>
      </w:r>
      <w:r w:rsidRPr="00E42598">
        <w:rPr>
          <w:noProof/>
        </w:rPr>
        <w:t xml:space="preserve"> 2017;248:173–178.</w:t>
      </w:r>
    </w:p>
    <w:p w14:paraId="3F380770" w14:textId="77777777" w:rsidR="00E42598" w:rsidRPr="00E42598" w:rsidRDefault="00E42598">
      <w:pPr>
        <w:widowControl w:val="0"/>
        <w:autoSpaceDE w:val="0"/>
        <w:autoSpaceDN w:val="0"/>
        <w:adjustRightInd w:val="0"/>
        <w:spacing w:after="0"/>
        <w:rPr>
          <w:noProof/>
        </w:rPr>
      </w:pPr>
      <w:r w:rsidRPr="00E42598">
        <w:rPr>
          <w:noProof/>
        </w:rPr>
        <w:t xml:space="preserve">24. Polovina MM, Ostojic MC, Potpara TS. Relation of Biomarkers of Inflammation and Oxidative Stress with Hypertension Occurrence in Lone Atrial Fibrillation. </w:t>
      </w:r>
      <w:r w:rsidRPr="00E42598">
        <w:rPr>
          <w:i/>
          <w:iCs/>
          <w:noProof/>
        </w:rPr>
        <w:t>Mediators Inflamm</w:t>
      </w:r>
      <w:r w:rsidRPr="00E42598">
        <w:rPr>
          <w:noProof/>
        </w:rPr>
        <w:t xml:space="preserve"> 2015;2015:653026.</w:t>
      </w:r>
    </w:p>
    <w:p w14:paraId="63821E8A" w14:textId="77777777" w:rsidR="00E42598" w:rsidRPr="00E42598" w:rsidRDefault="00E42598">
      <w:pPr>
        <w:widowControl w:val="0"/>
        <w:autoSpaceDE w:val="0"/>
        <w:autoSpaceDN w:val="0"/>
        <w:adjustRightInd w:val="0"/>
        <w:spacing w:after="0"/>
        <w:rPr>
          <w:noProof/>
        </w:rPr>
      </w:pPr>
      <w:r w:rsidRPr="00E42598">
        <w:rPr>
          <w:noProof/>
        </w:rPr>
        <w:t xml:space="preserve">25. Landray MJ, Wheeler DC, Lip GYH, Newman DJ, Blann AD, McGlynn FJ, Ball S, Townend JN, Baigent C. Inflammation, endothelial dysfunction, and platelet activation in patients with chronic kidney disease: the chronic renal impairment in Birmingham (CRIB) study. </w:t>
      </w:r>
      <w:r w:rsidRPr="00E42598">
        <w:rPr>
          <w:i/>
          <w:iCs/>
          <w:noProof/>
        </w:rPr>
        <w:t>Am J kidney Dis</w:t>
      </w:r>
      <w:r w:rsidRPr="00E42598">
        <w:rPr>
          <w:noProof/>
        </w:rPr>
        <w:t xml:space="preserve"> 2004;43:244–253.</w:t>
      </w:r>
    </w:p>
    <w:p w14:paraId="11DA7F95" w14:textId="77777777" w:rsidR="00E42598" w:rsidRPr="00E42598" w:rsidRDefault="00E42598">
      <w:pPr>
        <w:widowControl w:val="0"/>
        <w:autoSpaceDE w:val="0"/>
        <w:autoSpaceDN w:val="0"/>
        <w:adjustRightInd w:val="0"/>
        <w:spacing w:after="0"/>
        <w:rPr>
          <w:noProof/>
        </w:rPr>
      </w:pPr>
      <w:r w:rsidRPr="00E42598">
        <w:rPr>
          <w:noProof/>
        </w:rPr>
        <w:lastRenderedPageBreak/>
        <w:t xml:space="preserve">26. Akar JG, Jeske W, Wilber DJ. Acute onset human atrial fibrillation is associated with local cardiac platelet activation and endothelial dysfunction. </w:t>
      </w:r>
      <w:r w:rsidRPr="00E42598">
        <w:rPr>
          <w:i/>
          <w:iCs/>
          <w:noProof/>
        </w:rPr>
        <w:t>J Am Coll Cardiol</w:t>
      </w:r>
      <w:r w:rsidRPr="00E42598">
        <w:rPr>
          <w:noProof/>
        </w:rPr>
        <w:t xml:space="preserve"> 2008;51:1790–1793.</w:t>
      </w:r>
    </w:p>
    <w:p w14:paraId="065D3CBE" w14:textId="77777777" w:rsidR="00E42598" w:rsidRPr="00E42598" w:rsidRDefault="00E42598">
      <w:pPr>
        <w:widowControl w:val="0"/>
        <w:autoSpaceDE w:val="0"/>
        <w:autoSpaceDN w:val="0"/>
        <w:adjustRightInd w:val="0"/>
        <w:spacing w:after="0"/>
        <w:rPr>
          <w:noProof/>
        </w:rPr>
      </w:pPr>
      <w:r w:rsidRPr="00E42598">
        <w:rPr>
          <w:noProof/>
        </w:rPr>
        <w:t xml:space="preserve">27. Tantry US, Bliden KP, Suarez TA, Kreutz RP, Dichiara J, Gurbel PA. Hypercoagulability, platelet function, inflammation and coronary artery disease acuity: results of the Thrombotic RIsk Progression (TRIP) study. </w:t>
      </w:r>
      <w:r w:rsidRPr="00E42598">
        <w:rPr>
          <w:i/>
          <w:iCs/>
          <w:noProof/>
        </w:rPr>
        <w:t>Platelets</w:t>
      </w:r>
      <w:r w:rsidRPr="00E42598">
        <w:rPr>
          <w:noProof/>
        </w:rPr>
        <w:t xml:space="preserve"> 2010;21:360–367.</w:t>
      </w:r>
    </w:p>
    <w:p w14:paraId="41EFEEAF" w14:textId="77777777" w:rsidR="00E42598" w:rsidRPr="00E42598" w:rsidRDefault="00E42598">
      <w:pPr>
        <w:widowControl w:val="0"/>
        <w:autoSpaceDE w:val="0"/>
        <w:autoSpaceDN w:val="0"/>
        <w:adjustRightInd w:val="0"/>
        <w:spacing w:after="0"/>
        <w:rPr>
          <w:noProof/>
        </w:rPr>
      </w:pPr>
      <w:r w:rsidRPr="00E42598">
        <w:rPr>
          <w:noProof/>
        </w:rPr>
        <w:t xml:space="preserve">28. Blann AD. Plasma von Willebrand factor, thrombosis, and the endothelium: the first 30 years. </w:t>
      </w:r>
      <w:r w:rsidRPr="00E42598">
        <w:rPr>
          <w:i/>
          <w:iCs/>
          <w:noProof/>
        </w:rPr>
        <w:t>Thromb Haemost</w:t>
      </w:r>
      <w:r w:rsidRPr="00E42598">
        <w:rPr>
          <w:noProof/>
        </w:rPr>
        <w:t xml:space="preserve"> 2006;95:49–55.</w:t>
      </w:r>
    </w:p>
    <w:p w14:paraId="2CA4891D" w14:textId="77777777" w:rsidR="00E42598" w:rsidRPr="00E42598" w:rsidRDefault="00E42598">
      <w:pPr>
        <w:widowControl w:val="0"/>
        <w:autoSpaceDE w:val="0"/>
        <w:autoSpaceDN w:val="0"/>
        <w:adjustRightInd w:val="0"/>
        <w:spacing w:after="0"/>
        <w:rPr>
          <w:noProof/>
        </w:rPr>
      </w:pPr>
      <w:r w:rsidRPr="00E42598">
        <w:rPr>
          <w:noProof/>
        </w:rPr>
        <w:t xml:space="preserve">29. Goette A, Hammwohner M, Bukowska A, Scalera F, Martens-Lobenhoffer J, Dobrev D, Ravens U, Weinert S, Medunjanin S, Lendeckel U, Bode-Boger SM. The impact of rapid atrial pacing on ADMA and endothelial NOS. </w:t>
      </w:r>
      <w:r w:rsidRPr="00E42598">
        <w:rPr>
          <w:i/>
          <w:iCs/>
          <w:noProof/>
        </w:rPr>
        <w:t>Int J Cardiol</w:t>
      </w:r>
      <w:r w:rsidRPr="00E42598">
        <w:rPr>
          <w:noProof/>
        </w:rPr>
        <w:t xml:space="preserve"> 2012;154:141–146.</w:t>
      </w:r>
    </w:p>
    <w:p w14:paraId="3F2CF9B3" w14:textId="77777777" w:rsidR="00E42598" w:rsidRPr="00E42598" w:rsidRDefault="00E42598">
      <w:pPr>
        <w:widowControl w:val="0"/>
        <w:autoSpaceDE w:val="0"/>
        <w:autoSpaceDN w:val="0"/>
        <w:adjustRightInd w:val="0"/>
        <w:spacing w:after="0"/>
        <w:rPr>
          <w:noProof/>
        </w:rPr>
      </w:pPr>
      <w:r w:rsidRPr="00E42598">
        <w:rPr>
          <w:noProof/>
        </w:rPr>
        <w:t xml:space="preserve">30. Bartnicki P, Kowalczyk M, Franczyk-Skora B, Baj Z, Rysz J. Evaluation of Endothelial (dys)Function, Left Ventricular Structure and Function in Patients with Chronic Kidney Disease. </w:t>
      </w:r>
      <w:r w:rsidRPr="00E42598">
        <w:rPr>
          <w:i/>
          <w:iCs/>
          <w:noProof/>
        </w:rPr>
        <w:t>Curr Vasc Pharmacol</w:t>
      </w:r>
      <w:r w:rsidRPr="00E42598">
        <w:rPr>
          <w:noProof/>
        </w:rPr>
        <w:t xml:space="preserve"> 2016;14:360–367.</w:t>
      </w:r>
    </w:p>
    <w:p w14:paraId="381645C2" w14:textId="77777777" w:rsidR="00D43F16" w:rsidRDefault="0041405F">
      <w:pPr>
        <w:spacing w:after="0"/>
        <w:sectPr w:rsidR="00D43F16" w:rsidSect="00D360A4">
          <w:footerReference w:type="default" r:id="rId9"/>
          <w:footerReference w:type="first" r:id="rId10"/>
          <w:pgSz w:w="11906" w:h="16838" w:code="9"/>
          <w:pgMar w:top="1440" w:right="1440" w:bottom="1440" w:left="1440" w:header="709" w:footer="709" w:gutter="0"/>
          <w:lnNumType w:countBy="1" w:restart="continuous"/>
          <w:cols w:space="708"/>
          <w:titlePg/>
          <w:docGrid w:linePitch="360"/>
        </w:sectPr>
      </w:pPr>
      <w:r w:rsidRPr="003705DF">
        <w:fldChar w:fldCharType="end"/>
      </w:r>
    </w:p>
    <w:p w14:paraId="5C391473" w14:textId="77777777" w:rsidR="00F4437C" w:rsidRPr="003705DF" w:rsidRDefault="00F4437C">
      <w:pPr>
        <w:pStyle w:val="Heading1"/>
      </w:pPr>
      <w:r w:rsidRPr="003705DF">
        <w:lastRenderedPageBreak/>
        <w:t>Figure Legends</w:t>
      </w:r>
    </w:p>
    <w:p w14:paraId="14D2641C" w14:textId="77777777" w:rsidR="00F4437C" w:rsidRDefault="00F4437C">
      <w:pPr>
        <w:spacing w:after="0"/>
      </w:pPr>
      <w:r w:rsidRPr="003705DF">
        <w:rPr>
          <w:b/>
        </w:rPr>
        <w:t>Figure 1</w:t>
      </w:r>
      <w:r>
        <w:t>.</w:t>
      </w:r>
      <w:r>
        <w:tab/>
        <w:t>Kaplan-Meier analysis for composite outcomes of MACE (composite of myocardial infarction, cardiac revascularisation and cardiovascular mortality; 1A), and OCRE (composite of stroke, major bleeding and non-cardiovascular mortality; 1B). (dashed line: non-CKD; solid line: CKD)</w:t>
      </w:r>
    </w:p>
    <w:p w14:paraId="665741F6" w14:textId="77777777" w:rsidR="00F4437C" w:rsidRPr="003705DF" w:rsidRDefault="00F4437C">
      <w:pPr>
        <w:spacing w:after="0"/>
      </w:pPr>
      <w:r w:rsidRPr="003705DF">
        <w:rPr>
          <w:b/>
        </w:rPr>
        <w:t xml:space="preserve">Figure </w:t>
      </w:r>
      <w:r>
        <w:rPr>
          <w:b/>
        </w:rPr>
        <w:t>2</w:t>
      </w:r>
      <w:r>
        <w:t>.</w:t>
      </w:r>
      <w:r>
        <w:tab/>
        <w:t>Multivariable cox regression analysis for independent predictors of MACE (composite of myocardial infarction, cardiac revascularisation and cardiovascular mortality).</w:t>
      </w:r>
    </w:p>
    <w:p w14:paraId="0088FED5" w14:textId="31B8080C" w:rsidR="001A516E" w:rsidRPr="001A516E" w:rsidRDefault="00F4437C">
      <w:pPr>
        <w:spacing w:after="0"/>
      </w:pPr>
      <w:r w:rsidRPr="003705DF">
        <w:rPr>
          <w:b/>
        </w:rPr>
        <w:t xml:space="preserve">Figure </w:t>
      </w:r>
      <w:r>
        <w:rPr>
          <w:b/>
        </w:rPr>
        <w:t>3</w:t>
      </w:r>
      <w:r>
        <w:t>.</w:t>
      </w:r>
      <w:r>
        <w:tab/>
        <w:t>Receiver-operating characteristic curves comparison for MACE (composite of myocardial infarction, cardiac revascularisation and cardiovascular mortality) with the 2MACE, CHA</w:t>
      </w:r>
      <w:r>
        <w:rPr>
          <w:vertAlign w:val="subscript"/>
        </w:rPr>
        <w:t>2</w:t>
      </w:r>
      <w:r>
        <w:t>DS</w:t>
      </w:r>
      <w:r>
        <w:rPr>
          <w:vertAlign w:val="subscript"/>
        </w:rPr>
        <w:t>2</w:t>
      </w:r>
      <w:r>
        <w:t>-VASc, CHADS</w:t>
      </w:r>
      <w:r w:rsidRPr="00DC50BA">
        <w:rPr>
          <w:vertAlign w:val="subscript"/>
        </w:rPr>
        <w:t>2</w:t>
      </w:r>
      <w:r>
        <w:t xml:space="preserve"> and HAS-BLED scores</w:t>
      </w:r>
      <w:bookmarkEnd w:id="2"/>
    </w:p>
    <w:sectPr w:rsidR="001A516E" w:rsidRPr="001A516E" w:rsidSect="001A516E">
      <w:pgSz w:w="11906" w:h="16838" w:code="9"/>
      <w:pgMar w:top="1440" w:right="1440" w:bottom="1440" w:left="1440" w:header="709" w:footer="709"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B1300" w14:textId="77777777" w:rsidR="00D577A5" w:rsidRDefault="00D577A5" w:rsidP="00384FED">
      <w:r>
        <w:separator/>
      </w:r>
    </w:p>
    <w:p w14:paraId="03F4AFFC" w14:textId="77777777" w:rsidR="00D577A5" w:rsidRDefault="00D577A5" w:rsidP="00384FED"/>
    <w:p w14:paraId="5D1006E0" w14:textId="77777777" w:rsidR="00D577A5" w:rsidRDefault="00D577A5" w:rsidP="00384FED"/>
  </w:endnote>
  <w:endnote w:type="continuationSeparator" w:id="0">
    <w:p w14:paraId="3FBF7A2D" w14:textId="77777777" w:rsidR="00D577A5" w:rsidRDefault="00D577A5" w:rsidP="00384FED">
      <w:r>
        <w:continuationSeparator/>
      </w:r>
    </w:p>
    <w:p w14:paraId="2FBEF534" w14:textId="77777777" w:rsidR="00D577A5" w:rsidRDefault="00D577A5" w:rsidP="00384FED"/>
    <w:p w14:paraId="4BD19219" w14:textId="77777777" w:rsidR="00D577A5" w:rsidRDefault="00D577A5" w:rsidP="00384F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241307"/>
      <w:docPartObj>
        <w:docPartGallery w:val="Page Numbers (Bottom of Page)"/>
        <w:docPartUnique/>
      </w:docPartObj>
    </w:sdtPr>
    <w:sdtEndPr>
      <w:rPr>
        <w:color w:val="7F7F7F" w:themeColor="background1" w:themeShade="7F"/>
        <w:spacing w:val="60"/>
      </w:rPr>
    </w:sdtEndPr>
    <w:sdtContent>
      <w:p w14:paraId="367C75B0" w14:textId="40037565" w:rsidR="004A3991" w:rsidRDefault="004A3991" w:rsidP="00FB0575">
        <w:pPr>
          <w:pStyle w:val="Footer"/>
          <w:jc w:val="right"/>
        </w:pPr>
        <w:r>
          <w:fldChar w:fldCharType="begin"/>
        </w:r>
        <w:r>
          <w:instrText xml:space="preserve"> PAGE   \* MERGEFORMAT </w:instrText>
        </w:r>
        <w:r>
          <w:fldChar w:fldCharType="separate"/>
        </w:r>
        <w:r w:rsidR="00672ECC">
          <w:rPr>
            <w:noProof/>
          </w:rPr>
          <w:t>14</w:t>
        </w:r>
        <w:r>
          <w:rPr>
            <w:noProof/>
          </w:rPr>
          <w:fldChar w:fldCharType="end"/>
        </w:r>
        <w:r>
          <w:t xml:space="preserve"> | </w:t>
        </w:r>
        <w:r>
          <w:rPr>
            <w:color w:val="7F7F7F" w:themeColor="background1" w:themeShade="7F"/>
            <w:spacing w:val="60"/>
          </w:rPr>
          <w:t>Page</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614440"/>
      <w:docPartObj>
        <w:docPartGallery w:val="Page Numbers (Bottom of Page)"/>
        <w:docPartUnique/>
      </w:docPartObj>
    </w:sdtPr>
    <w:sdtEndPr>
      <w:rPr>
        <w:color w:val="7F7F7F" w:themeColor="background1" w:themeShade="7F"/>
        <w:spacing w:val="60"/>
      </w:rPr>
    </w:sdtEndPr>
    <w:sdtContent>
      <w:p w14:paraId="14080CDA" w14:textId="38300C0B" w:rsidR="004A3991" w:rsidRDefault="004A3991" w:rsidP="00F129D6">
        <w:pPr>
          <w:pStyle w:val="Footer"/>
          <w:jc w:val="right"/>
        </w:pPr>
        <w:r>
          <w:fldChar w:fldCharType="begin"/>
        </w:r>
        <w:r>
          <w:instrText xml:space="preserve"> PAGE   \* MERGEFORMAT </w:instrText>
        </w:r>
        <w:r>
          <w:fldChar w:fldCharType="separate"/>
        </w:r>
        <w:r w:rsidR="00672ECC">
          <w:rPr>
            <w:noProof/>
          </w:rPr>
          <w:t>15</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26C5E3" w14:textId="77777777" w:rsidR="00D577A5" w:rsidRDefault="00D577A5" w:rsidP="00384FED">
      <w:r>
        <w:separator/>
      </w:r>
    </w:p>
    <w:p w14:paraId="70826B1B" w14:textId="77777777" w:rsidR="00D577A5" w:rsidRDefault="00D577A5" w:rsidP="00384FED"/>
    <w:p w14:paraId="5653DC40" w14:textId="77777777" w:rsidR="00D577A5" w:rsidRDefault="00D577A5" w:rsidP="00384FED"/>
  </w:footnote>
  <w:footnote w:type="continuationSeparator" w:id="0">
    <w:p w14:paraId="1C4C8C83" w14:textId="77777777" w:rsidR="00D577A5" w:rsidRDefault="00D577A5" w:rsidP="00384FED">
      <w:r>
        <w:continuationSeparator/>
      </w:r>
    </w:p>
    <w:p w14:paraId="3FB7467F" w14:textId="77777777" w:rsidR="00D577A5" w:rsidRDefault="00D577A5" w:rsidP="00384FED"/>
    <w:p w14:paraId="751845DC" w14:textId="77777777" w:rsidR="00D577A5" w:rsidRDefault="00D577A5" w:rsidP="00384FE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332F0"/>
    <w:multiLevelType w:val="multilevel"/>
    <w:tmpl w:val="0809001F"/>
    <w:lvl w:ilvl="0">
      <w:start w:val="1"/>
      <w:numFmt w:val="decimal"/>
      <w:lvlText w:val="%1."/>
      <w:lvlJc w:val="left"/>
      <w:pPr>
        <w:ind w:left="360" w:hanging="360"/>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33176F5"/>
    <w:multiLevelType w:val="hybridMultilevel"/>
    <w:tmpl w:val="6082E7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566D46"/>
    <w:multiLevelType w:val="hybridMultilevel"/>
    <w:tmpl w:val="BD8E97EE"/>
    <w:lvl w:ilvl="0" w:tplc="22A43BC0">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535605"/>
    <w:multiLevelType w:val="multilevel"/>
    <w:tmpl w:val="CA9C81E6"/>
    <w:lvl w:ilvl="0">
      <w:start w:val="1"/>
      <w:numFmt w:val="none"/>
      <w:lvlText w:val="Table "/>
      <w:lvlJc w:val="left"/>
      <w:pPr>
        <w:ind w:left="284" w:hanging="284"/>
      </w:pPr>
      <w:rPr>
        <w:rFonts w:ascii="Times New Roman" w:hAnsi="Times New Roman" w:cs="Times New Roman" w:hint="default"/>
        <w:b w:val="0"/>
        <w:bCs/>
        <w:i w:val="0"/>
        <w:iCs w:val="0"/>
        <w:caps w:val="0"/>
        <w:smallCaps w:val="0"/>
        <w:strike w:val="0"/>
        <w:dstrike w:val="0"/>
        <w:snapToGrid w:val="0"/>
        <w:vanish w:val="0"/>
        <w:color w:val="000000"/>
        <w:spacing w:val="0"/>
        <w:w w:val="0"/>
        <w:kern w:val="0"/>
        <w:position w:val="0"/>
        <w:sz w:val="0"/>
        <w:szCs w:val="0"/>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5F46737"/>
    <w:multiLevelType w:val="multilevel"/>
    <w:tmpl w:val="16E846EC"/>
    <w:lvl w:ilvl="0">
      <w:start w:val="1"/>
      <w:numFmt w:val="decimal"/>
      <w:pStyle w:val="Figure"/>
      <w:lvlText w:val="Figure %1."/>
      <w:lvlJc w:val="left"/>
      <w:pPr>
        <w:ind w:left="710" w:firstLine="0"/>
      </w:pPr>
      <w:rPr>
        <w:rFonts w:cs="Times New Roman" w:hint="default"/>
        <w:b/>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31D2E16"/>
    <w:multiLevelType w:val="multilevel"/>
    <w:tmpl w:val="A6B4E296"/>
    <w:lvl w:ilvl="0">
      <w:start w:val="1"/>
      <w:numFmt w:val="decimal"/>
      <w:lvlText w:val="Table %1."/>
      <w:lvlJc w:val="left"/>
      <w:pPr>
        <w:ind w:left="284" w:hanging="284"/>
      </w:pPr>
      <w:rPr>
        <w:rFonts w:ascii="Times New Roman" w:hAnsi="Times New Roman" w:cs="Times New Roman"/>
        <w:b w:val="0"/>
        <w:bCs/>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8D16CA9"/>
    <w:multiLevelType w:val="hybridMultilevel"/>
    <w:tmpl w:val="74B83D8C"/>
    <w:lvl w:ilvl="0" w:tplc="E07A489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0"/>
  </w:num>
  <w:num w:numId="5">
    <w:abstractNumId w:val="5"/>
  </w:num>
  <w:num w:numId="6">
    <w:abstractNumId w:val="3"/>
  </w:num>
  <w:num w:numId="7">
    <w:abstractNumId w:val="2"/>
  </w:num>
  <w:num w:numId="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hyphenationZone w:val="283"/>
  <w:drawingGridHorizontalSpacing w:val="110"/>
  <w:displayHorizontalDrawingGridEvery w:val="2"/>
  <w:characterSpacingControl w:val="doNotCompress"/>
  <w:hdrShapeDefaults>
    <o:shapedefaults v:ext="edit" spidmax="2049" style="mso-width-relative:margin;mso-height-relative:margin" fillcolor="white" stroke="f">
      <v:fill color="white" opacity="0"/>
      <v:stroke on="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J Cardiovasc Electrophysiol Copy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92dvx9txawe52etw075xtaa2v2xxxe92e9x&quot;&gt;AF&lt;record-ids&gt;&lt;item&gt;2488&lt;/item&gt;&lt;/record-ids&gt;&lt;/item&gt;&lt;/Libraries&gt;"/>
  </w:docVars>
  <w:rsids>
    <w:rsidRoot w:val="009B1FA1"/>
    <w:rsid w:val="00000654"/>
    <w:rsid w:val="000019E1"/>
    <w:rsid w:val="0000263A"/>
    <w:rsid w:val="00002A55"/>
    <w:rsid w:val="000031A8"/>
    <w:rsid w:val="000032C2"/>
    <w:rsid w:val="000035D5"/>
    <w:rsid w:val="00003798"/>
    <w:rsid w:val="0000443F"/>
    <w:rsid w:val="00005156"/>
    <w:rsid w:val="00005381"/>
    <w:rsid w:val="000065C2"/>
    <w:rsid w:val="000066EC"/>
    <w:rsid w:val="000077AC"/>
    <w:rsid w:val="000104E9"/>
    <w:rsid w:val="00011788"/>
    <w:rsid w:val="00011BB0"/>
    <w:rsid w:val="00011DEC"/>
    <w:rsid w:val="0001350E"/>
    <w:rsid w:val="00013A50"/>
    <w:rsid w:val="00014B18"/>
    <w:rsid w:val="00015AA5"/>
    <w:rsid w:val="00016C08"/>
    <w:rsid w:val="00017207"/>
    <w:rsid w:val="0001722B"/>
    <w:rsid w:val="0001788A"/>
    <w:rsid w:val="00022A8E"/>
    <w:rsid w:val="00022B27"/>
    <w:rsid w:val="000240D9"/>
    <w:rsid w:val="000249F8"/>
    <w:rsid w:val="00024B6D"/>
    <w:rsid w:val="00024BA4"/>
    <w:rsid w:val="00024F27"/>
    <w:rsid w:val="000251FB"/>
    <w:rsid w:val="00025DDD"/>
    <w:rsid w:val="00027348"/>
    <w:rsid w:val="0003054E"/>
    <w:rsid w:val="00031BAB"/>
    <w:rsid w:val="0003344C"/>
    <w:rsid w:val="00033592"/>
    <w:rsid w:val="00033A0F"/>
    <w:rsid w:val="000348BC"/>
    <w:rsid w:val="00034B0C"/>
    <w:rsid w:val="00036444"/>
    <w:rsid w:val="000366BF"/>
    <w:rsid w:val="000401DA"/>
    <w:rsid w:val="00040FDE"/>
    <w:rsid w:val="000412FE"/>
    <w:rsid w:val="00041D7D"/>
    <w:rsid w:val="00042B61"/>
    <w:rsid w:val="00043328"/>
    <w:rsid w:val="00043E39"/>
    <w:rsid w:val="0004434B"/>
    <w:rsid w:val="0004470C"/>
    <w:rsid w:val="00045492"/>
    <w:rsid w:val="00045BD2"/>
    <w:rsid w:val="00045EE3"/>
    <w:rsid w:val="00047C9C"/>
    <w:rsid w:val="00047F56"/>
    <w:rsid w:val="00050172"/>
    <w:rsid w:val="000529BD"/>
    <w:rsid w:val="00052E28"/>
    <w:rsid w:val="000532C7"/>
    <w:rsid w:val="00054586"/>
    <w:rsid w:val="000546E3"/>
    <w:rsid w:val="00054D6B"/>
    <w:rsid w:val="000560E6"/>
    <w:rsid w:val="00056E6F"/>
    <w:rsid w:val="0005757D"/>
    <w:rsid w:val="0005765C"/>
    <w:rsid w:val="00057F45"/>
    <w:rsid w:val="00060529"/>
    <w:rsid w:val="00060668"/>
    <w:rsid w:val="00061F0A"/>
    <w:rsid w:val="00064195"/>
    <w:rsid w:val="000645B6"/>
    <w:rsid w:val="00064873"/>
    <w:rsid w:val="00065346"/>
    <w:rsid w:val="00066296"/>
    <w:rsid w:val="00066A96"/>
    <w:rsid w:val="00066EBF"/>
    <w:rsid w:val="0007020E"/>
    <w:rsid w:val="00071C53"/>
    <w:rsid w:val="00072DE2"/>
    <w:rsid w:val="00073AD8"/>
    <w:rsid w:val="00074BAD"/>
    <w:rsid w:val="00075FDC"/>
    <w:rsid w:val="00076417"/>
    <w:rsid w:val="00076E3A"/>
    <w:rsid w:val="00077D64"/>
    <w:rsid w:val="00077FD4"/>
    <w:rsid w:val="00080F89"/>
    <w:rsid w:val="000818BB"/>
    <w:rsid w:val="00082035"/>
    <w:rsid w:val="00082EA5"/>
    <w:rsid w:val="0008375F"/>
    <w:rsid w:val="00084BA8"/>
    <w:rsid w:val="00084C10"/>
    <w:rsid w:val="00085057"/>
    <w:rsid w:val="00086948"/>
    <w:rsid w:val="00086FC7"/>
    <w:rsid w:val="00087092"/>
    <w:rsid w:val="00090851"/>
    <w:rsid w:val="00091190"/>
    <w:rsid w:val="00092543"/>
    <w:rsid w:val="000927D5"/>
    <w:rsid w:val="000935C6"/>
    <w:rsid w:val="00093AC4"/>
    <w:rsid w:val="00093ACB"/>
    <w:rsid w:val="000957F9"/>
    <w:rsid w:val="00095869"/>
    <w:rsid w:val="000961A8"/>
    <w:rsid w:val="00096B14"/>
    <w:rsid w:val="0009768F"/>
    <w:rsid w:val="000977B1"/>
    <w:rsid w:val="000A036B"/>
    <w:rsid w:val="000A04E4"/>
    <w:rsid w:val="000A0B22"/>
    <w:rsid w:val="000A1460"/>
    <w:rsid w:val="000A193B"/>
    <w:rsid w:val="000A1AD8"/>
    <w:rsid w:val="000A2228"/>
    <w:rsid w:val="000A481E"/>
    <w:rsid w:val="000A4CD1"/>
    <w:rsid w:val="000A584C"/>
    <w:rsid w:val="000A7B05"/>
    <w:rsid w:val="000B087D"/>
    <w:rsid w:val="000B1D42"/>
    <w:rsid w:val="000B1FD1"/>
    <w:rsid w:val="000B2968"/>
    <w:rsid w:val="000B45BD"/>
    <w:rsid w:val="000B4B2D"/>
    <w:rsid w:val="000B6B25"/>
    <w:rsid w:val="000B6EA3"/>
    <w:rsid w:val="000B7038"/>
    <w:rsid w:val="000B7EAC"/>
    <w:rsid w:val="000C02B7"/>
    <w:rsid w:val="000C2075"/>
    <w:rsid w:val="000C211B"/>
    <w:rsid w:val="000C2C5A"/>
    <w:rsid w:val="000C4156"/>
    <w:rsid w:val="000C425F"/>
    <w:rsid w:val="000C4E9B"/>
    <w:rsid w:val="000C4FC8"/>
    <w:rsid w:val="000C61A4"/>
    <w:rsid w:val="000C6C4D"/>
    <w:rsid w:val="000C735C"/>
    <w:rsid w:val="000C7DAC"/>
    <w:rsid w:val="000D0E10"/>
    <w:rsid w:val="000D1C4B"/>
    <w:rsid w:val="000D1E6E"/>
    <w:rsid w:val="000D3A17"/>
    <w:rsid w:val="000D4340"/>
    <w:rsid w:val="000D5C3E"/>
    <w:rsid w:val="000D7047"/>
    <w:rsid w:val="000D77B2"/>
    <w:rsid w:val="000D7BCB"/>
    <w:rsid w:val="000D7C08"/>
    <w:rsid w:val="000D7D3F"/>
    <w:rsid w:val="000E0C9E"/>
    <w:rsid w:val="000E127E"/>
    <w:rsid w:val="000E199A"/>
    <w:rsid w:val="000E1DEB"/>
    <w:rsid w:val="000E358B"/>
    <w:rsid w:val="000E3ED5"/>
    <w:rsid w:val="000E4312"/>
    <w:rsid w:val="000E4E05"/>
    <w:rsid w:val="000E4F5A"/>
    <w:rsid w:val="000E51A5"/>
    <w:rsid w:val="000E593B"/>
    <w:rsid w:val="000E5E6E"/>
    <w:rsid w:val="000F2708"/>
    <w:rsid w:val="000F3ACE"/>
    <w:rsid w:val="000F3B88"/>
    <w:rsid w:val="000F433B"/>
    <w:rsid w:val="000F54BC"/>
    <w:rsid w:val="000F631A"/>
    <w:rsid w:val="000F69FB"/>
    <w:rsid w:val="000F6F30"/>
    <w:rsid w:val="00100703"/>
    <w:rsid w:val="00100CAC"/>
    <w:rsid w:val="001012E8"/>
    <w:rsid w:val="00101F02"/>
    <w:rsid w:val="00102139"/>
    <w:rsid w:val="001046FF"/>
    <w:rsid w:val="001057EE"/>
    <w:rsid w:val="00105A5E"/>
    <w:rsid w:val="00105F8C"/>
    <w:rsid w:val="00106489"/>
    <w:rsid w:val="0010663A"/>
    <w:rsid w:val="00107044"/>
    <w:rsid w:val="00107332"/>
    <w:rsid w:val="00107744"/>
    <w:rsid w:val="001101B0"/>
    <w:rsid w:val="00111CAA"/>
    <w:rsid w:val="00112BD4"/>
    <w:rsid w:val="001132C5"/>
    <w:rsid w:val="001144AB"/>
    <w:rsid w:val="00114559"/>
    <w:rsid w:val="0011472B"/>
    <w:rsid w:val="00115021"/>
    <w:rsid w:val="00115D22"/>
    <w:rsid w:val="001160D3"/>
    <w:rsid w:val="001176F8"/>
    <w:rsid w:val="00117A72"/>
    <w:rsid w:val="00120B00"/>
    <w:rsid w:val="00120DCE"/>
    <w:rsid w:val="0012226B"/>
    <w:rsid w:val="001227C3"/>
    <w:rsid w:val="00122C0D"/>
    <w:rsid w:val="00123F42"/>
    <w:rsid w:val="00124D00"/>
    <w:rsid w:val="00126281"/>
    <w:rsid w:val="00127C51"/>
    <w:rsid w:val="0013004D"/>
    <w:rsid w:val="00133896"/>
    <w:rsid w:val="00133A7D"/>
    <w:rsid w:val="00134D16"/>
    <w:rsid w:val="00134E59"/>
    <w:rsid w:val="00136EE4"/>
    <w:rsid w:val="0013725F"/>
    <w:rsid w:val="00137F6F"/>
    <w:rsid w:val="00140063"/>
    <w:rsid w:val="00140572"/>
    <w:rsid w:val="00140AC9"/>
    <w:rsid w:val="00140C4C"/>
    <w:rsid w:val="001421B1"/>
    <w:rsid w:val="001424FE"/>
    <w:rsid w:val="0014276E"/>
    <w:rsid w:val="00142B51"/>
    <w:rsid w:val="0014330E"/>
    <w:rsid w:val="00144ACF"/>
    <w:rsid w:val="00146A72"/>
    <w:rsid w:val="001470C0"/>
    <w:rsid w:val="001477C9"/>
    <w:rsid w:val="001507AA"/>
    <w:rsid w:val="00151F96"/>
    <w:rsid w:val="001522B2"/>
    <w:rsid w:val="001524C6"/>
    <w:rsid w:val="00152EE2"/>
    <w:rsid w:val="0015446F"/>
    <w:rsid w:val="00154DF7"/>
    <w:rsid w:val="00155145"/>
    <w:rsid w:val="001564F5"/>
    <w:rsid w:val="001624F1"/>
    <w:rsid w:val="00162E8E"/>
    <w:rsid w:val="001639D8"/>
    <w:rsid w:val="00163BE1"/>
    <w:rsid w:val="001644B8"/>
    <w:rsid w:val="0016471A"/>
    <w:rsid w:val="0016513D"/>
    <w:rsid w:val="001654CE"/>
    <w:rsid w:val="00165753"/>
    <w:rsid w:val="00165BF2"/>
    <w:rsid w:val="00165F7A"/>
    <w:rsid w:val="00165FB5"/>
    <w:rsid w:val="00166E1D"/>
    <w:rsid w:val="001703C3"/>
    <w:rsid w:val="001712DB"/>
    <w:rsid w:val="00171670"/>
    <w:rsid w:val="00171762"/>
    <w:rsid w:val="00171D29"/>
    <w:rsid w:val="00172C19"/>
    <w:rsid w:val="00172E33"/>
    <w:rsid w:val="00172F81"/>
    <w:rsid w:val="0017332D"/>
    <w:rsid w:val="00173B90"/>
    <w:rsid w:val="00173C3F"/>
    <w:rsid w:val="0017554D"/>
    <w:rsid w:val="00175C27"/>
    <w:rsid w:val="00175CC0"/>
    <w:rsid w:val="001771ED"/>
    <w:rsid w:val="0017762B"/>
    <w:rsid w:val="0017788D"/>
    <w:rsid w:val="00177D06"/>
    <w:rsid w:val="00181A2C"/>
    <w:rsid w:val="00182C95"/>
    <w:rsid w:val="00183725"/>
    <w:rsid w:val="00184CC4"/>
    <w:rsid w:val="00185110"/>
    <w:rsid w:val="00185320"/>
    <w:rsid w:val="00185E89"/>
    <w:rsid w:val="00186B1B"/>
    <w:rsid w:val="00190367"/>
    <w:rsid w:val="001906BC"/>
    <w:rsid w:val="001918A4"/>
    <w:rsid w:val="001920AE"/>
    <w:rsid w:val="00193DE4"/>
    <w:rsid w:val="00194760"/>
    <w:rsid w:val="00195705"/>
    <w:rsid w:val="00197F34"/>
    <w:rsid w:val="001A0044"/>
    <w:rsid w:val="001A0683"/>
    <w:rsid w:val="001A11E7"/>
    <w:rsid w:val="001A12B1"/>
    <w:rsid w:val="001A1B78"/>
    <w:rsid w:val="001A43E9"/>
    <w:rsid w:val="001A516E"/>
    <w:rsid w:val="001A53F2"/>
    <w:rsid w:val="001A5431"/>
    <w:rsid w:val="001A57D2"/>
    <w:rsid w:val="001A65FC"/>
    <w:rsid w:val="001A7E6D"/>
    <w:rsid w:val="001B4B67"/>
    <w:rsid w:val="001B5187"/>
    <w:rsid w:val="001B6F09"/>
    <w:rsid w:val="001B7A01"/>
    <w:rsid w:val="001C09CB"/>
    <w:rsid w:val="001C0C5D"/>
    <w:rsid w:val="001C14A7"/>
    <w:rsid w:val="001C1B20"/>
    <w:rsid w:val="001C25E0"/>
    <w:rsid w:val="001C25F9"/>
    <w:rsid w:val="001C4A08"/>
    <w:rsid w:val="001C6775"/>
    <w:rsid w:val="001C70E0"/>
    <w:rsid w:val="001D04F5"/>
    <w:rsid w:val="001D0A46"/>
    <w:rsid w:val="001D0D7C"/>
    <w:rsid w:val="001D1081"/>
    <w:rsid w:val="001D12A6"/>
    <w:rsid w:val="001D20AC"/>
    <w:rsid w:val="001D2FCA"/>
    <w:rsid w:val="001D3170"/>
    <w:rsid w:val="001D3375"/>
    <w:rsid w:val="001D3D55"/>
    <w:rsid w:val="001D4898"/>
    <w:rsid w:val="001D532A"/>
    <w:rsid w:val="001D5400"/>
    <w:rsid w:val="001D66A0"/>
    <w:rsid w:val="001E091B"/>
    <w:rsid w:val="001E2812"/>
    <w:rsid w:val="001E3B8D"/>
    <w:rsid w:val="001E42E5"/>
    <w:rsid w:val="001E5AB5"/>
    <w:rsid w:val="001E5EFA"/>
    <w:rsid w:val="001E5F52"/>
    <w:rsid w:val="001E68A3"/>
    <w:rsid w:val="001E7358"/>
    <w:rsid w:val="001E7751"/>
    <w:rsid w:val="001F01FC"/>
    <w:rsid w:val="001F06E0"/>
    <w:rsid w:val="001F27F6"/>
    <w:rsid w:val="001F2D4F"/>
    <w:rsid w:val="001F383D"/>
    <w:rsid w:val="001F3A01"/>
    <w:rsid w:val="001F4567"/>
    <w:rsid w:val="001F489E"/>
    <w:rsid w:val="001F4D50"/>
    <w:rsid w:val="001F4D7F"/>
    <w:rsid w:val="001F6F60"/>
    <w:rsid w:val="00200609"/>
    <w:rsid w:val="0020281D"/>
    <w:rsid w:val="00204155"/>
    <w:rsid w:val="002047DF"/>
    <w:rsid w:val="00204D59"/>
    <w:rsid w:val="00205126"/>
    <w:rsid w:val="0020535B"/>
    <w:rsid w:val="0020595A"/>
    <w:rsid w:val="00205FE8"/>
    <w:rsid w:val="0020667C"/>
    <w:rsid w:val="002073CD"/>
    <w:rsid w:val="0021126A"/>
    <w:rsid w:val="0021147A"/>
    <w:rsid w:val="00211E21"/>
    <w:rsid w:val="0021269F"/>
    <w:rsid w:val="00213837"/>
    <w:rsid w:val="00213C15"/>
    <w:rsid w:val="00214A0D"/>
    <w:rsid w:val="002155EB"/>
    <w:rsid w:val="002157B6"/>
    <w:rsid w:val="00216256"/>
    <w:rsid w:val="00216524"/>
    <w:rsid w:val="00216DB8"/>
    <w:rsid w:val="002173C9"/>
    <w:rsid w:val="002174E2"/>
    <w:rsid w:val="00217690"/>
    <w:rsid w:val="00220528"/>
    <w:rsid w:val="00220A8C"/>
    <w:rsid w:val="00222650"/>
    <w:rsid w:val="00223228"/>
    <w:rsid w:val="0022461A"/>
    <w:rsid w:val="00226605"/>
    <w:rsid w:val="00227062"/>
    <w:rsid w:val="002300B1"/>
    <w:rsid w:val="00231F7B"/>
    <w:rsid w:val="00232C6B"/>
    <w:rsid w:val="00232F0A"/>
    <w:rsid w:val="002331A4"/>
    <w:rsid w:val="002335F7"/>
    <w:rsid w:val="002351B6"/>
    <w:rsid w:val="0023532D"/>
    <w:rsid w:val="00235CC2"/>
    <w:rsid w:val="00235D88"/>
    <w:rsid w:val="002360DC"/>
    <w:rsid w:val="00236CFC"/>
    <w:rsid w:val="00237020"/>
    <w:rsid w:val="0023707F"/>
    <w:rsid w:val="002377CE"/>
    <w:rsid w:val="00237DBA"/>
    <w:rsid w:val="00237EC1"/>
    <w:rsid w:val="0024036A"/>
    <w:rsid w:val="0024064F"/>
    <w:rsid w:val="00240B1E"/>
    <w:rsid w:val="00241112"/>
    <w:rsid w:val="002423F4"/>
    <w:rsid w:val="00243A9E"/>
    <w:rsid w:val="00245E97"/>
    <w:rsid w:val="0024615C"/>
    <w:rsid w:val="00250BE5"/>
    <w:rsid w:val="0025258D"/>
    <w:rsid w:val="0025362A"/>
    <w:rsid w:val="002538D9"/>
    <w:rsid w:val="002542EA"/>
    <w:rsid w:val="00254B81"/>
    <w:rsid w:val="00254FDB"/>
    <w:rsid w:val="00255411"/>
    <w:rsid w:val="00256351"/>
    <w:rsid w:val="00256A0F"/>
    <w:rsid w:val="00256AB6"/>
    <w:rsid w:val="00256F6E"/>
    <w:rsid w:val="00257AAA"/>
    <w:rsid w:val="002601BC"/>
    <w:rsid w:val="00260D0B"/>
    <w:rsid w:val="002615B8"/>
    <w:rsid w:val="00261622"/>
    <w:rsid w:val="002638C3"/>
    <w:rsid w:val="00263E97"/>
    <w:rsid w:val="00266557"/>
    <w:rsid w:val="0026666C"/>
    <w:rsid w:val="00267348"/>
    <w:rsid w:val="00267612"/>
    <w:rsid w:val="00267CC3"/>
    <w:rsid w:val="00270EFE"/>
    <w:rsid w:val="00271414"/>
    <w:rsid w:val="00271758"/>
    <w:rsid w:val="0027219A"/>
    <w:rsid w:val="00272513"/>
    <w:rsid w:val="00272763"/>
    <w:rsid w:val="00272BFA"/>
    <w:rsid w:val="002740F7"/>
    <w:rsid w:val="00275857"/>
    <w:rsid w:val="00275D8A"/>
    <w:rsid w:val="002774F1"/>
    <w:rsid w:val="00277D49"/>
    <w:rsid w:val="00280296"/>
    <w:rsid w:val="00280847"/>
    <w:rsid w:val="00280AD9"/>
    <w:rsid w:val="00280C8B"/>
    <w:rsid w:val="002816C8"/>
    <w:rsid w:val="00281D2A"/>
    <w:rsid w:val="002844F1"/>
    <w:rsid w:val="00285A08"/>
    <w:rsid w:val="00285BF0"/>
    <w:rsid w:val="0028678C"/>
    <w:rsid w:val="002870CA"/>
    <w:rsid w:val="00287293"/>
    <w:rsid w:val="0029120E"/>
    <w:rsid w:val="0029182B"/>
    <w:rsid w:val="00292401"/>
    <w:rsid w:val="00292546"/>
    <w:rsid w:val="0029301C"/>
    <w:rsid w:val="00293727"/>
    <w:rsid w:val="00294019"/>
    <w:rsid w:val="0029417A"/>
    <w:rsid w:val="00294314"/>
    <w:rsid w:val="00296BD5"/>
    <w:rsid w:val="002975CC"/>
    <w:rsid w:val="002A2190"/>
    <w:rsid w:val="002A23A0"/>
    <w:rsid w:val="002A4D96"/>
    <w:rsid w:val="002A4E01"/>
    <w:rsid w:val="002B21F9"/>
    <w:rsid w:val="002B22D4"/>
    <w:rsid w:val="002B25DB"/>
    <w:rsid w:val="002B5A2E"/>
    <w:rsid w:val="002B65E8"/>
    <w:rsid w:val="002C02DB"/>
    <w:rsid w:val="002C08A1"/>
    <w:rsid w:val="002C18BD"/>
    <w:rsid w:val="002C1B24"/>
    <w:rsid w:val="002C1C90"/>
    <w:rsid w:val="002C1EFA"/>
    <w:rsid w:val="002C22F5"/>
    <w:rsid w:val="002C26D6"/>
    <w:rsid w:val="002C48BE"/>
    <w:rsid w:val="002C572E"/>
    <w:rsid w:val="002C5DE8"/>
    <w:rsid w:val="002C7AE6"/>
    <w:rsid w:val="002D096B"/>
    <w:rsid w:val="002D0F82"/>
    <w:rsid w:val="002D1F77"/>
    <w:rsid w:val="002D2359"/>
    <w:rsid w:val="002D2AA2"/>
    <w:rsid w:val="002D341E"/>
    <w:rsid w:val="002D5978"/>
    <w:rsid w:val="002D5B72"/>
    <w:rsid w:val="002D5DE0"/>
    <w:rsid w:val="002D7065"/>
    <w:rsid w:val="002D7735"/>
    <w:rsid w:val="002E04D0"/>
    <w:rsid w:val="002E052F"/>
    <w:rsid w:val="002E210F"/>
    <w:rsid w:val="002E21AA"/>
    <w:rsid w:val="002E3BA2"/>
    <w:rsid w:val="002E417F"/>
    <w:rsid w:val="002E4C6C"/>
    <w:rsid w:val="002E4DB6"/>
    <w:rsid w:val="002E50EC"/>
    <w:rsid w:val="002E5AB4"/>
    <w:rsid w:val="002E70E3"/>
    <w:rsid w:val="002E7F4C"/>
    <w:rsid w:val="002F0567"/>
    <w:rsid w:val="002F0F97"/>
    <w:rsid w:val="002F1474"/>
    <w:rsid w:val="002F1A3F"/>
    <w:rsid w:val="002F2872"/>
    <w:rsid w:val="002F2B4A"/>
    <w:rsid w:val="002F332F"/>
    <w:rsid w:val="002F4482"/>
    <w:rsid w:val="002F5692"/>
    <w:rsid w:val="002F5D7F"/>
    <w:rsid w:val="002F666C"/>
    <w:rsid w:val="00300144"/>
    <w:rsid w:val="00300467"/>
    <w:rsid w:val="003004D3"/>
    <w:rsid w:val="00300BC8"/>
    <w:rsid w:val="0030376B"/>
    <w:rsid w:val="00303F70"/>
    <w:rsid w:val="0030435B"/>
    <w:rsid w:val="0030517F"/>
    <w:rsid w:val="00306A4A"/>
    <w:rsid w:val="00306DC0"/>
    <w:rsid w:val="00306E66"/>
    <w:rsid w:val="00307757"/>
    <w:rsid w:val="003079FC"/>
    <w:rsid w:val="00312391"/>
    <w:rsid w:val="003126D7"/>
    <w:rsid w:val="00313533"/>
    <w:rsid w:val="0031392D"/>
    <w:rsid w:val="00313C11"/>
    <w:rsid w:val="00313D65"/>
    <w:rsid w:val="00313FE3"/>
    <w:rsid w:val="003140DC"/>
    <w:rsid w:val="0031609C"/>
    <w:rsid w:val="003160FA"/>
    <w:rsid w:val="00316545"/>
    <w:rsid w:val="00316F9F"/>
    <w:rsid w:val="00321155"/>
    <w:rsid w:val="00322F3A"/>
    <w:rsid w:val="00323258"/>
    <w:rsid w:val="003248B3"/>
    <w:rsid w:val="00324AB3"/>
    <w:rsid w:val="00325C59"/>
    <w:rsid w:val="00325CFC"/>
    <w:rsid w:val="003265D0"/>
    <w:rsid w:val="0033057A"/>
    <w:rsid w:val="00333163"/>
    <w:rsid w:val="00335103"/>
    <w:rsid w:val="003362E7"/>
    <w:rsid w:val="00336C60"/>
    <w:rsid w:val="00336DF5"/>
    <w:rsid w:val="003379F0"/>
    <w:rsid w:val="003414D4"/>
    <w:rsid w:val="00341E4F"/>
    <w:rsid w:val="003437B3"/>
    <w:rsid w:val="00346363"/>
    <w:rsid w:val="0034646C"/>
    <w:rsid w:val="00347206"/>
    <w:rsid w:val="003477FE"/>
    <w:rsid w:val="00352178"/>
    <w:rsid w:val="00352D7A"/>
    <w:rsid w:val="00353904"/>
    <w:rsid w:val="00353987"/>
    <w:rsid w:val="003558CE"/>
    <w:rsid w:val="00356012"/>
    <w:rsid w:val="00356606"/>
    <w:rsid w:val="00357519"/>
    <w:rsid w:val="00360001"/>
    <w:rsid w:val="00361DBB"/>
    <w:rsid w:val="0036265E"/>
    <w:rsid w:val="00362EFC"/>
    <w:rsid w:val="00363937"/>
    <w:rsid w:val="00365AEF"/>
    <w:rsid w:val="00366417"/>
    <w:rsid w:val="0036734D"/>
    <w:rsid w:val="003676D3"/>
    <w:rsid w:val="00367CC2"/>
    <w:rsid w:val="00367DB2"/>
    <w:rsid w:val="00367F18"/>
    <w:rsid w:val="003705DF"/>
    <w:rsid w:val="003706C2"/>
    <w:rsid w:val="00370D2B"/>
    <w:rsid w:val="003717D7"/>
    <w:rsid w:val="0037274D"/>
    <w:rsid w:val="00372FC0"/>
    <w:rsid w:val="003748FC"/>
    <w:rsid w:val="00374D24"/>
    <w:rsid w:val="003754C4"/>
    <w:rsid w:val="00377572"/>
    <w:rsid w:val="00377B24"/>
    <w:rsid w:val="003800AD"/>
    <w:rsid w:val="00380E9E"/>
    <w:rsid w:val="00380F55"/>
    <w:rsid w:val="00381031"/>
    <w:rsid w:val="0038110C"/>
    <w:rsid w:val="003813AB"/>
    <w:rsid w:val="00381D41"/>
    <w:rsid w:val="0038201E"/>
    <w:rsid w:val="00382118"/>
    <w:rsid w:val="00382F99"/>
    <w:rsid w:val="00383CE1"/>
    <w:rsid w:val="0038486A"/>
    <w:rsid w:val="00384E8C"/>
    <w:rsid w:val="00384F4A"/>
    <w:rsid w:val="00384FED"/>
    <w:rsid w:val="0038524E"/>
    <w:rsid w:val="00387343"/>
    <w:rsid w:val="00387526"/>
    <w:rsid w:val="003900B6"/>
    <w:rsid w:val="003907F9"/>
    <w:rsid w:val="003915AD"/>
    <w:rsid w:val="00392B4F"/>
    <w:rsid w:val="003935EF"/>
    <w:rsid w:val="0039384B"/>
    <w:rsid w:val="0039444B"/>
    <w:rsid w:val="003944D3"/>
    <w:rsid w:val="00395287"/>
    <w:rsid w:val="00396571"/>
    <w:rsid w:val="00396C56"/>
    <w:rsid w:val="00396C84"/>
    <w:rsid w:val="0039751A"/>
    <w:rsid w:val="00397A05"/>
    <w:rsid w:val="00397E31"/>
    <w:rsid w:val="003A0113"/>
    <w:rsid w:val="003A0E2A"/>
    <w:rsid w:val="003A1E82"/>
    <w:rsid w:val="003A4850"/>
    <w:rsid w:val="003A48F3"/>
    <w:rsid w:val="003A4D26"/>
    <w:rsid w:val="003A586B"/>
    <w:rsid w:val="003A759A"/>
    <w:rsid w:val="003A7715"/>
    <w:rsid w:val="003A7C9E"/>
    <w:rsid w:val="003A7D9A"/>
    <w:rsid w:val="003B0B4B"/>
    <w:rsid w:val="003B1EFF"/>
    <w:rsid w:val="003B3D1E"/>
    <w:rsid w:val="003B3EA5"/>
    <w:rsid w:val="003B44E9"/>
    <w:rsid w:val="003B4B10"/>
    <w:rsid w:val="003B4CA5"/>
    <w:rsid w:val="003B6AD6"/>
    <w:rsid w:val="003C00B9"/>
    <w:rsid w:val="003C1B67"/>
    <w:rsid w:val="003C2407"/>
    <w:rsid w:val="003C2C68"/>
    <w:rsid w:val="003C3652"/>
    <w:rsid w:val="003C41C0"/>
    <w:rsid w:val="003C4955"/>
    <w:rsid w:val="003C51E8"/>
    <w:rsid w:val="003C6278"/>
    <w:rsid w:val="003D0180"/>
    <w:rsid w:val="003D2039"/>
    <w:rsid w:val="003D267C"/>
    <w:rsid w:val="003D342A"/>
    <w:rsid w:val="003D348B"/>
    <w:rsid w:val="003D4111"/>
    <w:rsid w:val="003D43AC"/>
    <w:rsid w:val="003D50DF"/>
    <w:rsid w:val="003D7536"/>
    <w:rsid w:val="003E0CE1"/>
    <w:rsid w:val="003E0D3F"/>
    <w:rsid w:val="003E0D64"/>
    <w:rsid w:val="003E163F"/>
    <w:rsid w:val="003E1FA7"/>
    <w:rsid w:val="003E2404"/>
    <w:rsid w:val="003E330E"/>
    <w:rsid w:val="003E3C53"/>
    <w:rsid w:val="003E480F"/>
    <w:rsid w:val="003E4D70"/>
    <w:rsid w:val="003E4E81"/>
    <w:rsid w:val="003E5126"/>
    <w:rsid w:val="003E5A2B"/>
    <w:rsid w:val="003E6063"/>
    <w:rsid w:val="003E6761"/>
    <w:rsid w:val="003E6E3A"/>
    <w:rsid w:val="003E718F"/>
    <w:rsid w:val="003F2934"/>
    <w:rsid w:val="003F36D7"/>
    <w:rsid w:val="003F3ACF"/>
    <w:rsid w:val="003F3EF1"/>
    <w:rsid w:val="003F429F"/>
    <w:rsid w:val="003F665D"/>
    <w:rsid w:val="003F68F3"/>
    <w:rsid w:val="003F6FA6"/>
    <w:rsid w:val="003F7AC7"/>
    <w:rsid w:val="00400019"/>
    <w:rsid w:val="004010C1"/>
    <w:rsid w:val="004013C0"/>
    <w:rsid w:val="0040176A"/>
    <w:rsid w:val="004021D2"/>
    <w:rsid w:val="004026BC"/>
    <w:rsid w:val="00402E0F"/>
    <w:rsid w:val="00402F3B"/>
    <w:rsid w:val="004039CE"/>
    <w:rsid w:val="00405B37"/>
    <w:rsid w:val="00405EEB"/>
    <w:rsid w:val="00407AEA"/>
    <w:rsid w:val="00410319"/>
    <w:rsid w:val="00410BAE"/>
    <w:rsid w:val="00412F3C"/>
    <w:rsid w:val="00413AF8"/>
    <w:rsid w:val="0041405F"/>
    <w:rsid w:val="0041539F"/>
    <w:rsid w:val="0041582F"/>
    <w:rsid w:val="00415CEB"/>
    <w:rsid w:val="0041722D"/>
    <w:rsid w:val="00420B63"/>
    <w:rsid w:val="00420D71"/>
    <w:rsid w:val="00424BD4"/>
    <w:rsid w:val="00425B6F"/>
    <w:rsid w:val="00425CDF"/>
    <w:rsid w:val="00426EB4"/>
    <w:rsid w:val="00427648"/>
    <w:rsid w:val="004278B3"/>
    <w:rsid w:val="00427F22"/>
    <w:rsid w:val="00430ABC"/>
    <w:rsid w:val="00430D92"/>
    <w:rsid w:val="004327FB"/>
    <w:rsid w:val="00432F3D"/>
    <w:rsid w:val="004334F0"/>
    <w:rsid w:val="004340E9"/>
    <w:rsid w:val="004351A7"/>
    <w:rsid w:val="00435AF2"/>
    <w:rsid w:val="00437374"/>
    <w:rsid w:val="00437841"/>
    <w:rsid w:val="0044050B"/>
    <w:rsid w:val="0044066B"/>
    <w:rsid w:val="00440B6F"/>
    <w:rsid w:val="004414D3"/>
    <w:rsid w:val="00441948"/>
    <w:rsid w:val="004419BC"/>
    <w:rsid w:val="00441EC9"/>
    <w:rsid w:val="00442822"/>
    <w:rsid w:val="0044343E"/>
    <w:rsid w:val="00443D85"/>
    <w:rsid w:val="00444219"/>
    <w:rsid w:val="004445F6"/>
    <w:rsid w:val="004446A2"/>
    <w:rsid w:val="00446427"/>
    <w:rsid w:val="004469DA"/>
    <w:rsid w:val="00447606"/>
    <w:rsid w:val="0045008E"/>
    <w:rsid w:val="00450B63"/>
    <w:rsid w:val="00450DEC"/>
    <w:rsid w:val="00450E3D"/>
    <w:rsid w:val="00450EE4"/>
    <w:rsid w:val="00451F2D"/>
    <w:rsid w:val="00451F37"/>
    <w:rsid w:val="00453B19"/>
    <w:rsid w:val="004547FB"/>
    <w:rsid w:val="00454882"/>
    <w:rsid w:val="004559FA"/>
    <w:rsid w:val="004560B9"/>
    <w:rsid w:val="004564B3"/>
    <w:rsid w:val="0045777D"/>
    <w:rsid w:val="00457BDA"/>
    <w:rsid w:val="00457CC4"/>
    <w:rsid w:val="0046061B"/>
    <w:rsid w:val="00460A87"/>
    <w:rsid w:val="004628A3"/>
    <w:rsid w:val="00463524"/>
    <w:rsid w:val="004638E9"/>
    <w:rsid w:val="00463C52"/>
    <w:rsid w:val="0046449B"/>
    <w:rsid w:val="00470C01"/>
    <w:rsid w:val="00472BA5"/>
    <w:rsid w:val="00473568"/>
    <w:rsid w:val="0047374E"/>
    <w:rsid w:val="00473923"/>
    <w:rsid w:val="00473E1B"/>
    <w:rsid w:val="00473E8C"/>
    <w:rsid w:val="004743F0"/>
    <w:rsid w:val="00474ADF"/>
    <w:rsid w:val="0047570B"/>
    <w:rsid w:val="004761B5"/>
    <w:rsid w:val="00476322"/>
    <w:rsid w:val="0047653C"/>
    <w:rsid w:val="00480009"/>
    <w:rsid w:val="004803A0"/>
    <w:rsid w:val="0048056F"/>
    <w:rsid w:val="00481470"/>
    <w:rsid w:val="0048177E"/>
    <w:rsid w:val="00482E51"/>
    <w:rsid w:val="004830CC"/>
    <w:rsid w:val="00484209"/>
    <w:rsid w:val="004842B6"/>
    <w:rsid w:val="00485D27"/>
    <w:rsid w:val="00485E01"/>
    <w:rsid w:val="00486E6F"/>
    <w:rsid w:val="00487159"/>
    <w:rsid w:val="00487377"/>
    <w:rsid w:val="00490265"/>
    <w:rsid w:val="004905FD"/>
    <w:rsid w:val="0049216C"/>
    <w:rsid w:val="00492C71"/>
    <w:rsid w:val="00493BC9"/>
    <w:rsid w:val="004944FF"/>
    <w:rsid w:val="004972C6"/>
    <w:rsid w:val="0049751C"/>
    <w:rsid w:val="00497FAE"/>
    <w:rsid w:val="004A037C"/>
    <w:rsid w:val="004A0D67"/>
    <w:rsid w:val="004A1808"/>
    <w:rsid w:val="004A1B41"/>
    <w:rsid w:val="004A1C26"/>
    <w:rsid w:val="004A1F2E"/>
    <w:rsid w:val="004A2354"/>
    <w:rsid w:val="004A2878"/>
    <w:rsid w:val="004A2978"/>
    <w:rsid w:val="004A3991"/>
    <w:rsid w:val="004A50F2"/>
    <w:rsid w:val="004A5F76"/>
    <w:rsid w:val="004A65F3"/>
    <w:rsid w:val="004A7514"/>
    <w:rsid w:val="004A7BE9"/>
    <w:rsid w:val="004B0B4E"/>
    <w:rsid w:val="004B183C"/>
    <w:rsid w:val="004B22A8"/>
    <w:rsid w:val="004B24CF"/>
    <w:rsid w:val="004B3118"/>
    <w:rsid w:val="004B328F"/>
    <w:rsid w:val="004B4552"/>
    <w:rsid w:val="004B4EDA"/>
    <w:rsid w:val="004B5082"/>
    <w:rsid w:val="004B51BA"/>
    <w:rsid w:val="004B55BC"/>
    <w:rsid w:val="004B58C8"/>
    <w:rsid w:val="004B6B13"/>
    <w:rsid w:val="004B6B52"/>
    <w:rsid w:val="004C030A"/>
    <w:rsid w:val="004C0896"/>
    <w:rsid w:val="004C09CF"/>
    <w:rsid w:val="004C0B56"/>
    <w:rsid w:val="004C16EA"/>
    <w:rsid w:val="004C1884"/>
    <w:rsid w:val="004C1AA4"/>
    <w:rsid w:val="004C34DE"/>
    <w:rsid w:val="004C41B8"/>
    <w:rsid w:val="004C4446"/>
    <w:rsid w:val="004C4921"/>
    <w:rsid w:val="004C582A"/>
    <w:rsid w:val="004C5BFD"/>
    <w:rsid w:val="004C66C5"/>
    <w:rsid w:val="004C6B5B"/>
    <w:rsid w:val="004C7EEA"/>
    <w:rsid w:val="004C7FB4"/>
    <w:rsid w:val="004D051D"/>
    <w:rsid w:val="004D25B5"/>
    <w:rsid w:val="004D27B9"/>
    <w:rsid w:val="004D447A"/>
    <w:rsid w:val="004D4957"/>
    <w:rsid w:val="004D545C"/>
    <w:rsid w:val="004D652A"/>
    <w:rsid w:val="004D6F7E"/>
    <w:rsid w:val="004D72BC"/>
    <w:rsid w:val="004D758C"/>
    <w:rsid w:val="004D77FE"/>
    <w:rsid w:val="004D7878"/>
    <w:rsid w:val="004D7E2F"/>
    <w:rsid w:val="004E0020"/>
    <w:rsid w:val="004E00C1"/>
    <w:rsid w:val="004E0FE1"/>
    <w:rsid w:val="004E11C0"/>
    <w:rsid w:val="004E203C"/>
    <w:rsid w:val="004E290A"/>
    <w:rsid w:val="004E33E2"/>
    <w:rsid w:val="004E3968"/>
    <w:rsid w:val="004E3B8B"/>
    <w:rsid w:val="004E4AFF"/>
    <w:rsid w:val="004E5B28"/>
    <w:rsid w:val="004E5C3D"/>
    <w:rsid w:val="004E6435"/>
    <w:rsid w:val="004E6F61"/>
    <w:rsid w:val="004E7AE7"/>
    <w:rsid w:val="004F10CE"/>
    <w:rsid w:val="004F150A"/>
    <w:rsid w:val="004F2629"/>
    <w:rsid w:val="004F279C"/>
    <w:rsid w:val="004F4197"/>
    <w:rsid w:val="004F4969"/>
    <w:rsid w:val="004F4B2C"/>
    <w:rsid w:val="004F5F38"/>
    <w:rsid w:val="004F675E"/>
    <w:rsid w:val="004F6CFD"/>
    <w:rsid w:val="0050033C"/>
    <w:rsid w:val="00500CFB"/>
    <w:rsid w:val="00500E75"/>
    <w:rsid w:val="005023CB"/>
    <w:rsid w:val="0050267F"/>
    <w:rsid w:val="00502BF0"/>
    <w:rsid w:val="005037D5"/>
    <w:rsid w:val="00503926"/>
    <w:rsid w:val="00503BC2"/>
    <w:rsid w:val="005040F1"/>
    <w:rsid w:val="005048CE"/>
    <w:rsid w:val="00506544"/>
    <w:rsid w:val="00507146"/>
    <w:rsid w:val="005078F9"/>
    <w:rsid w:val="00510029"/>
    <w:rsid w:val="00510392"/>
    <w:rsid w:val="005108F5"/>
    <w:rsid w:val="00510B35"/>
    <w:rsid w:val="00510E1A"/>
    <w:rsid w:val="005118B8"/>
    <w:rsid w:val="00512851"/>
    <w:rsid w:val="0051321A"/>
    <w:rsid w:val="0051409C"/>
    <w:rsid w:val="00515B95"/>
    <w:rsid w:val="00520C5A"/>
    <w:rsid w:val="005213A7"/>
    <w:rsid w:val="00521D8C"/>
    <w:rsid w:val="0052224F"/>
    <w:rsid w:val="0052296F"/>
    <w:rsid w:val="00522F99"/>
    <w:rsid w:val="005248E2"/>
    <w:rsid w:val="005252C3"/>
    <w:rsid w:val="00525CE7"/>
    <w:rsid w:val="00525F49"/>
    <w:rsid w:val="0052671A"/>
    <w:rsid w:val="00526A2E"/>
    <w:rsid w:val="0052758B"/>
    <w:rsid w:val="00527DA8"/>
    <w:rsid w:val="005303AD"/>
    <w:rsid w:val="00530F12"/>
    <w:rsid w:val="0053157D"/>
    <w:rsid w:val="005327F7"/>
    <w:rsid w:val="0053311B"/>
    <w:rsid w:val="00533156"/>
    <w:rsid w:val="005331B9"/>
    <w:rsid w:val="00533485"/>
    <w:rsid w:val="00533499"/>
    <w:rsid w:val="00534307"/>
    <w:rsid w:val="005348B0"/>
    <w:rsid w:val="00534DF6"/>
    <w:rsid w:val="00534FF9"/>
    <w:rsid w:val="005350A1"/>
    <w:rsid w:val="00535284"/>
    <w:rsid w:val="0053529D"/>
    <w:rsid w:val="00536F8A"/>
    <w:rsid w:val="00536FBA"/>
    <w:rsid w:val="00537A97"/>
    <w:rsid w:val="00537AD5"/>
    <w:rsid w:val="00540696"/>
    <w:rsid w:val="00540A70"/>
    <w:rsid w:val="0054121A"/>
    <w:rsid w:val="005412E9"/>
    <w:rsid w:val="00541CB0"/>
    <w:rsid w:val="00542E10"/>
    <w:rsid w:val="005439AF"/>
    <w:rsid w:val="005439CB"/>
    <w:rsid w:val="00543C83"/>
    <w:rsid w:val="00544B69"/>
    <w:rsid w:val="005451A6"/>
    <w:rsid w:val="00545E7A"/>
    <w:rsid w:val="0054694A"/>
    <w:rsid w:val="00546C51"/>
    <w:rsid w:val="0055165F"/>
    <w:rsid w:val="005518B5"/>
    <w:rsid w:val="005519E8"/>
    <w:rsid w:val="0055224A"/>
    <w:rsid w:val="00552956"/>
    <w:rsid w:val="00552AF4"/>
    <w:rsid w:val="005535AB"/>
    <w:rsid w:val="0055469F"/>
    <w:rsid w:val="00554BEF"/>
    <w:rsid w:val="00556BED"/>
    <w:rsid w:val="00556CFE"/>
    <w:rsid w:val="00556F9A"/>
    <w:rsid w:val="00561197"/>
    <w:rsid w:val="005619CB"/>
    <w:rsid w:val="00561AD1"/>
    <w:rsid w:val="00561ECC"/>
    <w:rsid w:val="0056223D"/>
    <w:rsid w:val="00562FF9"/>
    <w:rsid w:val="00563034"/>
    <w:rsid w:val="005637BA"/>
    <w:rsid w:val="005647EC"/>
    <w:rsid w:val="00565904"/>
    <w:rsid w:val="00566449"/>
    <w:rsid w:val="005665E0"/>
    <w:rsid w:val="00567609"/>
    <w:rsid w:val="00570786"/>
    <w:rsid w:val="00570B94"/>
    <w:rsid w:val="00570D5F"/>
    <w:rsid w:val="00571100"/>
    <w:rsid w:val="005711CF"/>
    <w:rsid w:val="0057123F"/>
    <w:rsid w:val="00571B0D"/>
    <w:rsid w:val="00572475"/>
    <w:rsid w:val="0057309A"/>
    <w:rsid w:val="00575456"/>
    <w:rsid w:val="0057557F"/>
    <w:rsid w:val="00576379"/>
    <w:rsid w:val="005765E5"/>
    <w:rsid w:val="005813F3"/>
    <w:rsid w:val="00581D7E"/>
    <w:rsid w:val="00581DD2"/>
    <w:rsid w:val="0058401C"/>
    <w:rsid w:val="005848A4"/>
    <w:rsid w:val="00584FEC"/>
    <w:rsid w:val="0058585F"/>
    <w:rsid w:val="0058624D"/>
    <w:rsid w:val="005870A4"/>
    <w:rsid w:val="0058716A"/>
    <w:rsid w:val="00587A66"/>
    <w:rsid w:val="0059041F"/>
    <w:rsid w:val="00590933"/>
    <w:rsid w:val="00590A39"/>
    <w:rsid w:val="00590C0D"/>
    <w:rsid w:val="00591515"/>
    <w:rsid w:val="005917B2"/>
    <w:rsid w:val="00591B40"/>
    <w:rsid w:val="0059201B"/>
    <w:rsid w:val="005923C0"/>
    <w:rsid w:val="00592FD3"/>
    <w:rsid w:val="00593288"/>
    <w:rsid w:val="00593860"/>
    <w:rsid w:val="00593B19"/>
    <w:rsid w:val="005945CA"/>
    <w:rsid w:val="00595B12"/>
    <w:rsid w:val="00596061"/>
    <w:rsid w:val="005971FD"/>
    <w:rsid w:val="0059798D"/>
    <w:rsid w:val="005A01ED"/>
    <w:rsid w:val="005A0790"/>
    <w:rsid w:val="005A080B"/>
    <w:rsid w:val="005A1113"/>
    <w:rsid w:val="005A1373"/>
    <w:rsid w:val="005A28F3"/>
    <w:rsid w:val="005A4DCC"/>
    <w:rsid w:val="005A5D5A"/>
    <w:rsid w:val="005A63AE"/>
    <w:rsid w:val="005A6CC7"/>
    <w:rsid w:val="005A786F"/>
    <w:rsid w:val="005B0680"/>
    <w:rsid w:val="005B0A8C"/>
    <w:rsid w:val="005B1780"/>
    <w:rsid w:val="005B223E"/>
    <w:rsid w:val="005B2674"/>
    <w:rsid w:val="005B2D96"/>
    <w:rsid w:val="005B4235"/>
    <w:rsid w:val="005B4547"/>
    <w:rsid w:val="005B483C"/>
    <w:rsid w:val="005B5204"/>
    <w:rsid w:val="005B5A9E"/>
    <w:rsid w:val="005B5D49"/>
    <w:rsid w:val="005B7629"/>
    <w:rsid w:val="005C0263"/>
    <w:rsid w:val="005C1309"/>
    <w:rsid w:val="005C13CE"/>
    <w:rsid w:val="005C140B"/>
    <w:rsid w:val="005C17DC"/>
    <w:rsid w:val="005C2135"/>
    <w:rsid w:val="005C2435"/>
    <w:rsid w:val="005C28D4"/>
    <w:rsid w:val="005C28DF"/>
    <w:rsid w:val="005C33DD"/>
    <w:rsid w:val="005C3403"/>
    <w:rsid w:val="005C3CDE"/>
    <w:rsid w:val="005C56EF"/>
    <w:rsid w:val="005C6F25"/>
    <w:rsid w:val="005C717B"/>
    <w:rsid w:val="005C7A73"/>
    <w:rsid w:val="005D05E7"/>
    <w:rsid w:val="005D0EEA"/>
    <w:rsid w:val="005D19FD"/>
    <w:rsid w:val="005D1B46"/>
    <w:rsid w:val="005D2878"/>
    <w:rsid w:val="005D32B9"/>
    <w:rsid w:val="005D42C1"/>
    <w:rsid w:val="005D4CAE"/>
    <w:rsid w:val="005D5537"/>
    <w:rsid w:val="005D611A"/>
    <w:rsid w:val="005D7183"/>
    <w:rsid w:val="005E130F"/>
    <w:rsid w:val="005E1663"/>
    <w:rsid w:val="005E1E73"/>
    <w:rsid w:val="005E1F0B"/>
    <w:rsid w:val="005E2068"/>
    <w:rsid w:val="005E24A1"/>
    <w:rsid w:val="005E2A14"/>
    <w:rsid w:val="005E2C45"/>
    <w:rsid w:val="005E46E8"/>
    <w:rsid w:val="005E5202"/>
    <w:rsid w:val="005E5625"/>
    <w:rsid w:val="005E5B01"/>
    <w:rsid w:val="005F0604"/>
    <w:rsid w:val="005F1289"/>
    <w:rsid w:val="005F2C42"/>
    <w:rsid w:val="005F4023"/>
    <w:rsid w:val="005F4AF1"/>
    <w:rsid w:val="005F52F2"/>
    <w:rsid w:val="005F5EF9"/>
    <w:rsid w:val="005F63D0"/>
    <w:rsid w:val="006020F3"/>
    <w:rsid w:val="00603E12"/>
    <w:rsid w:val="006045C1"/>
    <w:rsid w:val="00604B01"/>
    <w:rsid w:val="00605FA9"/>
    <w:rsid w:val="00606A7E"/>
    <w:rsid w:val="00607B4A"/>
    <w:rsid w:val="00607BB0"/>
    <w:rsid w:val="00610990"/>
    <w:rsid w:val="00611140"/>
    <w:rsid w:val="006111C3"/>
    <w:rsid w:val="006111C7"/>
    <w:rsid w:val="006118A7"/>
    <w:rsid w:val="00611F75"/>
    <w:rsid w:val="00612436"/>
    <w:rsid w:val="006124A2"/>
    <w:rsid w:val="00614B5F"/>
    <w:rsid w:val="006158E8"/>
    <w:rsid w:val="00616F0F"/>
    <w:rsid w:val="0061751B"/>
    <w:rsid w:val="00617E4C"/>
    <w:rsid w:val="00620500"/>
    <w:rsid w:val="00621AB7"/>
    <w:rsid w:val="006231B9"/>
    <w:rsid w:val="00624ED6"/>
    <w:rsid w:val="006252F1"/>
    <w:rsid w:val="006253AD"/>
    <w:rsid w:val="00625FFE"/>
    <w:rsid w:val="00626028"/>
    <w:rsid w:val="00626255"/>
    <w:rsid w:val="006263FB"/>
    <w:rsid w:val="00627C6F"/>
    <w:rsid w:val="00631569"/>
    <w:rsid w:val="00631682"/>
    <w:rsid w:val="006325B3"/>
    <w:rsid w:val="00632BD2"/>
    <w:rsid w:val="006334DF"/>
    <w:rsid w:val="006334F2"/>
    <w:rsid w:val="006335FB"/>
    <w:rsid w:val="00634220"/>
    <w:rsid w:val="006357AE"/>
    <w:rsid w:val="00635E3F"/>
    <w:rsid w:val="00640884"/>
    <w:rsid w:val="006416E0"/>
    <w:rsid w:val="006435F0"/>
    <w:rsid w:val="00643614"/>
    <w:rsid w:val="006441FA"/>
    <w:rsid w:val="00644A0B"/>
    <w:rsid w:val="00644D1C"/>
    <w:rsid w:val="00644DD3"/>
    <w:rsid w:val="00645089"/>
    <w:rsid w:val="00646133"/>
    <w:rsid w:val="00646DF5"/>
    <w:rsid w:val="006474C0"/>
    <w:rsid w:val="00647FB8"/>
    <w:rsid w:val="00650302"/>
    <w:rsid w:val="0065076A"/>
    <w:rsid w:val="00650E9C"/>
    <w:rsid w:val="006510A7"/>
    <w:rsid w:val="00651F1C"/>
    <w:rsid w:val="0065236B"/>
    <w:rsid w:val="006557DD"/>
    <w:rsid w:val="00655A9A"/>
    <w:rsid w:val="00656A99"/>
    <w:rsid w:val="00656DAD"/>
    <w:rsid w:val="00657AFF"/>
    <w:rsid w:val="00660E48"/>
    <w:rsid w:val="00660EF1"/>
    <w:rsid w:val="00660F2E"/>
    <w:rsid w:val="00661B95"/>
    <w:rsid w:val="006623D4"/>
    <w:rsid w:val="00663C6A"/>
    <w:rsid w:val="00665344"/>
    <w:rsid w:val="00665BB2"/>
    <w:rsid w:val="006660F5"/>
    <w:rsid w:val="006667EB"/>
    <w:rsid w:val="006702D4"/>
    <w:rsid w:val="00670EC5"/>
    <w:rsid w:val="006720AA"/>
    <w:rsid w:val="00672388"/>
    <w:rsid w:val="006729CC"/>
    <w:rsid w:val="00672ECC"/>
    <w:rsid w:val="00673638"/>
    <w:rsid w:val="00673BC5"/>
    <w:rsid w:val="00673D97"/>
    <w:rsid w:val="0067650D"/>
    <w:rsid w:val="006774DC"/>
    <w:rsid w:val="006779CB"/>
    <w:rsid w:val="00677DF1"/>
    <w:rsid w:val="00680944"/>
    <w:rsid w:val="0068152E"/>
    <w:rsid w:val="00682173"/>
    <w:rsid w:val="006831E7"/>
    <w:rsid w:val="00683659"/>
    <w:rsid w:val="00684B5C"/>
    <w:rsid w:val="00685911"/>
    <w:rsid w:val="00690631"/>
    <w:rsid w:val="00690BAF"/>
    <w:rsid w:val="00690D21"/>
    <w:rsid w:val="006921A6"/>
    <w:rsid w:val="00692D0F"/>
    <w:rsid w:val="006934E0"/>
    <w:rsid w:val="00695488"/>
    <w:rsid w:val="00695A7B"/>
    <w:rsid w:val="00695E0B"/>
    <w:rsid w:val="0069715D"/>
    <w:rsid w:val="00697CB7"/>
    <w:rsid w:val="006A128A"/>
    <w:rsid w:val="006A1C44"/>
    <w:rsid w:val="006A1FAF"/>
    <w:rsid w:val="006A22DF"/>
    <w:rsid w:val="006A2698"/>
    <w:rsid w:val="006A41D3"/>
    <w:rsid w:val="006A48CF"/>
    <w:rsid w:val="006A503B"/>
    <w:rsid w:val="006A53B3"/>
    <w:rsid w:val="006A548F"/>
    <w:rsid w:val="006A73D1"/>
    <w:rsid w:val="006A793E"/>
    <w:rsid w:val="006A7A9A"/>
    <w:rsid w:val="006B07DD"/>
    <w:rsid w:val="006B29D5"/>
    <w:rsid w:val="006B2E19"/>
    <w:rsid w:val="006B313F"/>
    <w:rsid w:val="006B35BB"/>
    <w:rsid w:val="006B4653"/>
    <w:rsid w:val="006B4887"/>
    <w:rsid w:val="006B54A0"/>
    <w:rsid w:val="006B761A"/>
    <w:rsid w:val="006B7DE4"/>
    <w:rsid w:val="006C07ED"/>
    <w:rsid w:val="006C1867"/>
    <w:rsid w:val="006C1B06"/>
    <w:rsid w:val="006C1E0D"/>
    <w:rsid w:val="006C1FE8"/>
    <w:rsid w:val="006C29E1"/>
    <w:rsid w:val="006C3279"/>
    <w:rsid w:val="006C5AD5"/>
    <w:rsid w:val="006C5EE4"/>
    <w:rsid w:val="006D007D"/>
    <w:rsid w:val="006D0A9F"/>
    <w:rsid w:val="006D1D7A"/>
    <w:rsid w:val="006D26C1"/>
    <w:rsid w:val="006D4069"/>
    <w:rsid w:val="006D42E0"/>
    <w:rsid w:val="006D61C5"/>
    <w:rsid w:val="006D653E"/>
    <w:rsid w:val="006D7EBB"/>
    <w:rsid w:val="006E04CD"/>
    <w:rsid w:val="006E17D3"/>
    <w:rsid w:val="006E2513"/>
    <w:rsid w:val="006E3029"/>
    <w:rsid w:val="006E335B"/>
    <w:rsid w:val="006E3727"/>
    <w:rsid w:val="006E6859"/>
    <w:rsid w:val="006E69BD"/>
    <w:rsid w:val="006E70AC"/>
    <w:rsid w:val="006E7138"/>
    <w:rsid w:val="006F02B6"/>
    <w:rsid w:val="006F0804"/>
    <w:rsid w:val="006F1E32"/>
    <w:rsid w:val="006F2782"/>
    <w:rsid w:val="006F327F"/>
    <w:rsid w:val="006F3FAC"/>
    <w:rsid w:val="006F49F8"/>
    <w:rsid w:val="006F5986"/>
    <w:rsid w:val="006F6282"/>
    <w:rsid w:val="006F6931"/>
    <w:rsid w:val="006F6B7A"/>
    <w:rsid w:val="0070162E"/>
    <w:rsid w:val="007022AF"/>
    <w:rsid w:val="007037A6"/>
    <w:rsid w:val="00703B34"/>
    <w:rsid w:val="00704BBE"/>
    <w:rsid w:val="00704D54"/>
    <w:rsid w:val="00704F6F"/>
    <w:rsid w:val="00706354"/>
    <w:rsid w:val="007071F6"/>
    <w:rsid w:val="00707E5A"/>
    <w:rsid w:val="00707EC9"/>
    <w:rsid w:val="00710E75"/>
    <w:rsid w:val="00712467"/>
    <w:rsid w:val="007138B4"/>
    <w:rsid w:val="007138BA"/>
    <w:rsid w:val="007139A2"/>
    <w:rsid w:val="00716B85"/>
    <w:rsid w:val="007178BF"/>
    <w:rsid w:val="00717A9F"/>
    <w:rsid w:val="00720B73"/>
    <w:rsid w:val="00722893"/>
    <w:rsid w:val="0072293D"/>
    <w:rsid w:val="00722D0D"/>
    <w:rsid w:val="00722EDA"/>
    <w:rsid w:val="00723218"/>
    <w:rsid w:val="007234CC"/>
    <w:rsid w:val="007246F2"/>
    <w:rsid w:val="007248C2"/>
    <w:rsid w:val="0072491E"/>
    <w:rsid w:val="00724ABA"/>
    <w:rsid w:val="00724DCC"/>
    <w:rsid w:val="00725247"/>
    <w:rsid w:val="00725D0F"/>
    <w:rsid w:val="00725DD9"/>
    <w:rsid w:val="00726C03"/>
    <w:rsid w:val="00726FD2"/>
    <w:rsid w:val="007279E0"/>
    <w:rsid w:val="007311EE"/>
    <w:rsid w:val="00731312"/>
    <w:rsid w:val="0073151B"/>
    <w:rsid w:val="00731ED7"/>
    <w:rsid w:val="00732373"/>
    <w:rsid w:val="00732920"/>
    <w:rsid w:val="00733458"/>
    <w:rsid w:val="007344B9"/>
    <w:rsid w:val="007347ED"/>
    <w:rsid w:val="007354A1"/>
    <w:rsid w:val="00735B54"/>
    <w:rsid w:val="00736A70"/>
    <w:rsid w:val="00740882"/>
    <w:rsid w:val="0074275F"/>
    <w:rsid w:val="00742B38"/>
    <w:rsid w:val="00742C0B"/>
    <w:rsid w:val="00743562"/>
    <w:rsid w:val="00743DD9"/>
    <w:rsid w:val="00744452"/>
    <w:rsid w:val="00745137"/>
    <w:rsid w:val="007457F6"/>
    <w:rsid w:val="00746323"/>
    <w:rsid w:val="0074708B"/>
    <w:rsid w:val="0074774F"/>
    <w:rsid w:val="00752436"/>
    <w:rsid w:val="00752B96"/>
    <w:rsid w:val="00752F04"/>
    <w:rsid w:val="00753AE9"/>
    <w:rsid w:val="00754F17"/>
    <w:rsid w:val="0075583E"/>
    <w:rsid w:val="00755E14"/>
    <w:rsid w:val="00757136"/>
    <w:rsid w:val="00760765"/>
    <w:rsid w:val="007608A1"/>
    <w:rsid w:val="007615AD"/>
    <w:rsid w:val="00762746"/>
    <w:rsid w:val="007632A9"/>
    <w:rsid w:val="0076383A"/>
    <w:rsid w:val="00763998"/>
    <w:rsid w:val="00765EE4"/>
    <w:rsid w:val="00766C36"/>
    <w:rsid w:val="00767A67"/>
    <w:rsid w:val="00771125"/>
    <w:rsid w:val="00772222"/>
    <w:rsid w:val="00773B39"/>
    <w:rsid w:val="00773BF4"/>
    <w:rsid w:val="00774B85"/>
    <w:rsid w:val="007750E4"/>
    <w:rsid w:val="00775284"/>
    <w:rsid w:val="007759E6"/>
    <w:rsid w:val="00775DE2"/>
    <w:rsid w:val="00775F84"/>
    <w:rsid w:val="00777E74"/>
    <w:rsid w:val="00780311"/>
    <w:rsid w:val="0078152A"/>
    <w:rsid w:val="00781554"/>
    <w:rsid w:val="00782D4F"/>
    <w:rsid w:val="007832C8"/>
    <w:rsid w:val="00784091"/>
    <w:rsid w:val="00784920"/>
    <w:rsid w:val="007905BE"/>
    <w:rsid w:val="00792F06"/>
    <w:rsid w:val="00794DA0"/>
    <w:rsid w:val="00794E00"/>
    <w:rsid w:val="0079614A"/>
    <w:rsid w:val="007974B2"/>
    <w:rsid w:val="00797A23"/>
    <w:rsid w:val="007A0B08"/>
    <w:rsid w:val="007A27AE"/>
    <w:rsid w:val="007A3012"/>
    <w:rsid w:val="007A3101"/>
    <w:rsid w:val="007A62BD"/>
    <w:rsid w:val="007A68A2"/>
    <w:rsid w:val="007A6A5A"/>
    <w:rsid w:val="007A6F1B"/>
    <w:rsid w:val="007B0993"/>
    <w:rsid w:val="007B0B32"/>
    <w:rsid w:val="007B1E25"/>
    <w:rsid w:val="007B30DA"/>
    <w:rsid w:val="007B3835"/>
    <w:rsid w:val="007B5784"/>
    <w:rsid w:val="007B5B0F"/>
    <w:rsid w:val="007B672C"/>
    <w:rsid w:val="007B7023"/>
    <w:rsid w:val="007B70F5"/>
    <w:rsid w:val="007C0C5A"/>
    <w:rsid w:val="007C113E"/>
    <w:rsid w:val="007C1D76"/>
    <w:rsid w:val="007C2796"/>
    <w:rsid w:val="007C389E"/>
    <w:rsid w:val="007C4231"/>
    <w:rsid w:val="007C456F"/>
    <w:rsid w:val="007C5374"/>
    <w:rsid w:val="007C7379"/>
    <w:rsid w:val="007C742E"/>
    <w:rsid w:val="007D066C"/>
    <w:rsid w:val="007D0C2B"/>
    <w:rsid w:val="007D0F54"/>
    <w:rsid w:val="007D14D2"/>
    <w:rsid w:val="007D1837"/>
    <w:rsid w:val="007D1961"/>
    <w:rsid w:val="007D2257"/>
    <w:rsid w:val="007D3630"/>
    <w:rsid w:val="007D3E8D"/>
    <w:rsid w:val="007D4201"/>
    <w:rsid w:val="007D45EC"/>
    <w:rsid w:val="007D4C16"/>
    <w:rsid w:val="007D4E82"/>
    <w:rsid w:val="007D5088"/>
    <w:rsid w:val="007D56C4"/>
    <w:rsid w:val="007D56F9"/>
    <w:rsid w:val="007D5C71"/>
    <w:rsid w:val="007D688F"/>
    <w:rsid w:val="007E0F42"/>
    <w:rsid w:val="007E1273"/>
    <w:rsid w:val="007E2336"/>
    <w:rsid w:val="007E24C9"/>
    <w:rsid w:val="007E3322"/>
    <w:rsid w:val="007E3B71"/>
    <w:rsid w:val="007E4838"/>
    <w:rsid w:val="007E4A0E"/>
    <w:rsid w:val="007E5395"/>
    <w:rsid w:val="007E5578"/>
    <w:rsid w:val="007E55DF"/>
    <w:rsid w:val="007E5CA1"/>
    <w:rsid w:val="007E5CE4"/>
    <w:rsid w:val="007E62A5"/>
    <w:rsid w:val="007E6BD7"/>
    <w:rsid w:val="007E7004"/>
    <w:rsid w:val="007F195A"/>
    <w:rsid w:val="007F28F6"/>
    <w:rsid w:val="007F32BE"/>
    <w:rsid w:val="007F3770"/>
    <w:rsid w:val="007F39AA"/>
    <w:rsid w:val="007F3E23"/>
    <w:rsid w:val="007F4300"/>
    <w:rsid w:val="007F6204"/>
    <w:rsid w:val="007F666F"/>
    <w:rsid w:val="007F6D79"/>
    <w:rsid w:val="00800549"/>
    <w:rsid w:val="008009E3"/>
    <w:rsid w:val="0080171F"/>
    <w:rsid w:val="00802381"/>
    <w:rsid w:val="008039BB"/>
    <w:rsid w:val="00803D93"/>
    <w:rsid w:val="00804182"/>
    <w:rsid w:val="008046BA"/>
    <w:rsid w:val="00804A5D"/>
    <w:rsid w:val="00804EAF"/>
    <w:rsid w:val="00805165"/>
    <w:rsid w:val="00805820"/>
    <w:rsid w:val="00806510"/>
    <w:rsid w:val="0080712C"/>
    <w:rsid w:val="0080788E"/>
    <w:rsid w:val="00810BF5"/>
    <w:rsid w:val="00810E3E"/>
    <w:rsid w:val="008112A2"/>
    <w:rsid w:val="00812E47"/>
    <w:rsid w:val="00815C65"/>
    <w:rsid w:val="00815DEC"/>
    <w:rsid w:val="008164CF"/>
    <w:rsid w:val="00816B78"/>
    <w:rsid w:val="00816DEA"/>
    <w:rsid w:val="00817CB5"/>
    <w:rsid w:val="008201B9"/>
    <w:rsid w:val="008202CE"/>
    <w:rsid w:val="00821AA7"/>
    <w:rsid w:val="00821F80"/>
    <w:rsid w:val="0082220A"/>
    <w:rsid w:val="008232CC"/>
    <w:rsid w:val="0082347A"/>
    <w:rsid w:val="00823F09"/>
    <w:rsid w:val="008254E6"/>
    <w:rsid w:val="00825F4B"/>
    <w:rsid w:val="00831748"/>
    <w:rsid w:val="00832729"/>
    <w:rsid w:val="00833D80"/>
    <w:rsid w:val="0083413E"/>
    <w:rsid w:val="00834347"/>
    <w:rsid w:val="00834697"/>
    <w:rsid w:val="00834790"/>
    <w:rsid w:val="00834A65"/>
    <w:rsid w:val="008361A1"/>
    <w:rsid w:val="00836E40"/>
    <w:rsid w:val="0083742B"/>
    <w:rsid w:val="00837D1E"/>
    <w:rsid w:val="00837D34"/>
    <w:rsid w:val="00837D65"/>
    <w:rsid w:val="00840361"/>
    <w:rsid w:val="00840CBE"/>
    <w:rsid w:val="0084195F"/>
    <w:rsid w:val="00841B38"/>
    <w:rsid w:val="00842763"/>
    <w:rsid w:val="00842BEB"/>
    <w:rsid w:val="008430E3"/>
    <w:rsid w:val="00845574"/>
    <w:rsid w:val="008465BC"/>
    <w:rsid w:val="00846DA1"/>
    <w:rsid w:val="00846FF9"/>
    <w:rsid w:val="00847210"/>
    <w:rsid w:val="008479FB"/>
    <w:rsid w:val="00847AA0"/>
    <w:rsid w:val="00850E0E"/>
    <w:rsid w:val="008518B5"/>
    <w:rsid w:val="00851AEC"/>
    <w:rsid w:val="00852EAD"/>
    <w:rsid w:val="00853E13"/>
    <w:rsid w:val="008541B1"/>
    <w:rsid w:val="008543DC"/>
    <w:rsid w:val="008557D4"/>
    <w:rsid w:val="00856197"/>
    <w:rsid w:val="00860135"/>
    <w:rsid w:val="008610DA"/>
    <w:rsid w:val="0086327A"/>
    <w:rsid w:val="00864222"/>
    <w:rsid w:val="008645DA"/>
    <w:rsid w:val="008653E7"/>
    <w:rsid w:val="0086540E"/>
    <w:rsid w:val="0086591E"/>
    <w:rsid w:val="008669E5"/>
    <w:rsid w:val="00867995"/>
    <w:rsid w:val="00867D89"/>
    <w:rsid w:val="00867EA2"/>
    <w:rsid w:val="008707EA"/>
    <w:rsid w:val="00870C79"/>
    <w:rsid w:val="00871A61"/>
    <w:rsid w:val="00872E93"/>
    <w:rsid w:val="0087301E"/>
    <w:rsid w:val="008731B9"/>
    <w:rsid w:val="008740A1"/>
    <w:rsid w:val="008742B6"/>
    <w:rsid w:val="0087506F"/>
    <w:rsid w:val="008750C7"/>
    <w:rsid w:val="008763AA"/>
    <w:rsid w:val="008768D2"/>
    <w:rsid w:val="00876CF6"/>
    <w:rsid w:val="00876F2E"/>
    <w:rsid w:val="00880377"/>
    <w:rsid w:val="00882362"/>
    <w:rsid w:val="0088374B"/>
    <w:rsid w:val="0088451E"/>
    <w:rsid w:val="00886288"/>
    <w:rsid w:val="00886C0A"/>
    <w:rsid w:val="0088734E"/>
    <w:rsid w:val="008906D0"/>
    <w:rsid w:val="008906F2"/>
    <w:rsid w:val="00890B40"/>
    <w:rsid w:val="00891E66"/>
    <w:rsid w:val="00891F45"/>
    <w:rsid w:val="00892A93"/>
    <w:rsid w:val="00892FE9"/>
    <w:rsid w:val="0089409F"/>
    <w:rsid w:val="00894239"/>
    <w:rsid w:val="008949FA"/>
    <w:rsid w:val="00895240"/>
    <w:rsid w:val="00896D8C"/>
    <w:rsid w:val="008A019C"/>
    <w:rsid w:val="008A1421"/>
    <w:rsid w:val="008A17A9"/>
    <w:rsid w:val="008A1885"/>
    <w:rsid w:val="008A1C4E"/>
    <w:rsid w:val="008A2771"/>
    <w:rsid w:val="008A3B50"/>
    <w:rsid w:val="008A4DCD"/>
    <w:rsid w:val="008A57CD"/>
    <w:rsid w:val="008A5FEF"/>
    <w:rsid w:val="008A7177"/>
    <w:rsid w:val="008B2033"/>
    <w:rsid w:val="008B267D"/>
    <w:rsid w:val="008B39C3"/>
    <w:rsid w:val="008B39C7"/>
    <w:rsid w:val="008B42B0"/>
    <w:rsid w:val="008B4580"/>
    <w:rsid w:val="008B4689"/>
    <w:rsid w:val="008B54A7"/>
    <w:rsid w:val="008B54D7"/>
    <w:rsid w:val="008B66D7"/>
    <w:rsid w:val="008B6AAB"/>
    <w:rsid w:val="008B6C82"/>
    <w:rsid w:val="008B7239"/>
    <w:rsid w:val="008B7435"/>
    <w:rsid w:val="008B759B"/>
    <w:rsid w:val="008B7AE2"/>
    <w:rsid w:val="008C0032"/>
    <w:rsid w:val="008C099C"/>
    <w:rsid w:val="008C1B41"/>
    <w:rsid w:val="008C3E3A"/>
    <w:rsid w:val="008C54D6"/>
    <w:rsid w:val="008C6920"/>
    <w:rsid w:val="008C699C"/>
    <w:rsid w:val="008C6B75"/>
    <w:rsid w:val="008C70EA"/>
    <w:rsid w:val="008C7D4D"/>
    <w:rsid w:val="008C7F0D"/>
    <w:rsid w:val="008C7F25"/>
    <w:rsid w:val="008D03B8"/>
    <w:rsid w:val="008D045B"/>
    <w:rsid w:val="008D26F9"/>
    <w:rsid w:val="008D2D7F"/>
    <w:rsid w:val="008D3C4D"/>
    <w:rsid w:val="008D42A2"/>
    <w:rsid w:val="008D6EF7"/>
    <w:rsid w:val="008D6FA5"/>
    <w:rsid w:val="008E030F"/>
    <w:rsid w:val="008E0CAE"/>
    <w:rsid w:val="008E123A"/>
    <w:rsid w:val="008E12F7"/>
    <w:rsid w:val="008E1998"/>
    <w:rsid w:val="008E522F"/>
    <w:rsid w:val="008E702D"/>
    <w:rsid w:val="008E73FE"/>
    <w:rsid w:val="008F0AE4"/>
    <w:rsid w:val="008F2218"/>
    <w:rsid w:val="008F2CF9"/>
    <w:rsid w:val="008F3F1B"/>
    <w:rsid w:val="008F4709"/>
    <w:rsid w:val="008F4D1C"/>
    <w:rsid w:val="008F581B"/>
    <w:rsid w:val="0090043A"/>
    <w:rsid w:val="009015EF"/>
    <w:rsid w:val="00902171"/>
    <w:rsid w:val="00902173"/>
    <w:rsid w:val="00902D21"/>
    <w:rsid w:val="009051D6"/>
    <w:rsid w:val="009058E5"/>
    <w:rsid w:val="00905975"/>
    <w:rsid w:val="009059EA"/>
    <w:rsid w:val="00906878"/>
    <w:rsid w:val="00906F48"/>
    <w:rsid w:val="00907461"/>
    <w:rsid w:val="00907510"/>
    <w:rsid w:val="00907A0D"/>
    <w:rsid w:val="00910265"/>
    <w:rsid w:val="009107D4"/>
    <w:rsid w:val="00910DA2"/>
    <w:rsid w:val="00913771"/>
    <w:rsid w:val="00913BA0"/>
    <w:rsid w:val="0091425F"/>
    <w:rsid w:val="00914618"/>
    <w:rsid w:val="00914CC4"/>
    <w:rsid w:val="0091555E"/>
    <w:rsid w:val="00916A8C"/>
    <w:rsid w:val="009221FF"/>
    <w:rsid w:val="00922B14"/>
    <w:rsid w:val="00922FDA"/>
    <w:rsid w:val="0092502C"/>
    <w:rsid w:val="00925152"/>
    <w:rsid w:val="00927700"/>
    <w:rsid w:val="00927B31"/>
    <w:rsid w:val="00930BE9"/>
    <w:rsid w:val="00932F50"/>
    <w:rsid w:val="00933832"/>
    <w:rsid w:val="00935035"/>
    <w:rsid w:val="00935470"/>
    <w:rsid w:val="009357B3"/>
    <w:rsid w:val="009357B8"/>
    <w:rsid w:val="00941672"/>
    <w:rsid w:val="00941E15"/>
    <w:rsid w:val="0094232F"/>
    <w:rsid w:val="00942CC3"/>
    <w:rsid w:val="00942E70"/>
    <w:rsid w:val="00943232"/>
    <w:rsid w:val="00944FD5"/>
    <w:rsid w:val="00945E00"/>
    <w:rsid w:val="009467ED"/>
    <w:rsid w:val="00947579"/>
    <w:rsid w:val="009476B4"/>
    <w:rsid w:val="00947B3A"/>
    <w:rsid w:val="00947C8F"/>
    <w:rsid w:val="00951DA3"/>
    <w:rsid w:val="009520DA"/>
    <w:rsid w:val="0095235C"/>
    <w:rsid w:val="00952B30"/>
    <w:rsid w:val="00953471"/>
    <w:rsid w:val="00953CD6"/>
    <w:rsid w:val="009549F7"/>
    <w:rsid w:val="00954B7E"/>
    <w:rsid w:val="00955192"/>
    <w:rsid w:val="00955215"/>
    <w:rsid w:val="009553F7"/>
    <w:rsid w:val="009554B1"/>
    <w:rsid w:val="009562A1"/>
    <w:rsid w:val="00957FCC"/>
    <w:rsid w:val="00960326"/>
    <w:rsid w:val="00960406"/>
    <w:rsid w:val="0096098D"/>
    <w:rsid w:val="00961D63"/>
    <w:rsid w:val="00962103"/>
    <w:rsid w:val="009641A4"/>
    <w:rsid w:val="009651FD"/>
    <w:rsid w:val="00965CA6"/>
    <w:rsid w:val="00965E86"/>
    <w:rsid w:val="00970904"/>
    <w:rsid w:val="009710F4"/>
    <w:rsid w:val="009746BD"/>
    <w:rsid w:val="0097489D"/>
    <w:rsid w:val="00974D78"/>
    <w:rsid w:val="009756D1"/>
    <w:rsid w:val="00975C8A"/>
    <w:rsid w:val="00977597"/>
    <w:rsid w:val="00977A1B"/>
    <w:rsid w:val="009819E4"/>
    <w:rsid w:val="00982B7B"/>
    <w:rsid w:val="00982C72"/>
    <w:rsid w:val="00983A63"/>
    <w:rsid w:val="00983EA7"/>
    <w:rsid w:val="00984395"/>
    <w:rsid w:val="009853BD"/>
    <w:rsid w:val="0098549C"/>
    <w:rsid w:val="0098612E"/>
    <w:rsid w:val="0098626A"/>
    <w:rsid w:val="0098633A"/>
    <w:rsid w:val="009865CA"/>
    <w:rsid w:val="00986DEA"/>
    <w:rsid w:val="009874B8"/>
    <w:rsid w:val="00987CE7"/>
    <w:rsid w:val="009909D6"/>
    <w:rsid w:val="00990FB0"/>
    <w:rsid w:val="00991FAC"/>
    <w:rsid w:val="009925A2"/>
    <w:rsid w:val="00993383"/>
    <w:rsid w:val="009933C6"/>
    <w:rsid w:val="00993D47"/>
    <w:rsid w:val="00993E5B"/>
    <w:rsid w:val="00995221"/>
    <w:rsid w:val="00995668"/>
    <w:rsid w:val="009960C2"/>
    <w:rsid w:val="009A0C68"/>
    <w:rsid w:val="009A119B"/>
    <w:rsid w:val="009A19C5"/>
    <w:rsid w:val="009A1B77"/>
    <w:rsid w:val="009A2234"/>
    <w:rsid w:val="009A2732"/>
    <w:rsid w:val="009A308D"/>
    <w:rsid w:val="009A33A0"/>
    <w:rsid w:val="009A3411"/>
    <w:rsid w:val="009A34B3"/>
    <w:rsid w:val="009A3506"/>
    <w:rsid w:val="009A35C1"/>
    <w:rsid w:val="009A37EA"/>
    <w:rsid w:val="009A549B"/>
    <w:rsid w:val="009A5518"/>
    <w:rsid w:val="009A5F25"/>
    <w:rsid w:val="009A6890"/>
    <w:rsid w:val="009A7054"/>
    <w:rsid w:val="009B0592"/>
    <w:rsid w:val="009B08DA"/>
    <w:rsid w:val="009B1FA1"/>
    <w:rsid w:val="009B5753"/>
    <w:rsid w:val="009B59ED"/>
    <w:rsid w:val="009C026A"/>
    <w:rsid w:val="009C07E6"/>
    <w:rsid w:val="009C1E23"/>
    <w:rsid w:val="009C2B46"/>
    <w:rsid w:val="009C2BD3"/>
    <w:rsid w:val="009C5239"/>
    <w:rsid w:val="009C622E"/>
    <w:rsid w:val="009C62A9"/>
    <w:rsid w:val="009C634A"/>
    <w:rsid w:val="009C7780"/>
    <w:rsid w:val="009D02A1"/>
    <w:rsid w:val="009D15F1"/>
    <w:rsid w:val="009D25F7"/>
    <w:rsid w:val="009D2A68"/>
    <w:rsid w:val="009D2CD7"/>
    <w:rsid w:val="009D2F78"/>
    <w:rsid w:val="009D2F7D"/>
    <w:rsid w:val="009D326D"/>
    <w:rsid w:val="009D329D"/>
    <w:rsid w:val="009D46CB"/>
    <w:rsid w:val="009D49D2"/>
    <w:rsid w:val="009D5359"/>
    <w:rsid w:val="009D5C37"/>
    <w:rsid w:val="009D5EB2"/>
    <w:rsid w:val="009E064C"/>
    <w:rsid w:val="009E0916"/>
    <w:rsid w:val="009E0C0F"/>
    <w:rsid w:val="009E0C1E"/>
    <w:rsid w:val="009E1C29"/>
    <w:rsid w:val="009E2E21"/>
    <w:rsid w:val="009E3CDB"/>
    <w:rsid w:val="009E3D0F"/>
    <w:rsid w:val="009E40C5"/>
    <w:rsid w:val="009E5A9B"/>
    <w:rsid w:val="009E5F8C"/>
    <w:rsid w:val="009E7431"/>
    <w:rsid w:val="009E7FCA"/>
    <w:rsid w:val="009F236F"/>
    <w:rsid w:val="009F343A"/>
    <w:rsid w:val="009F41BD"/>
    <w:rsid w:val="009F479D"/>
    <w:rsid w:val="009F4866"/>
    <w:rsid w:val="009F5621"/>
    <w:rsid w:val="009F62B2"/>
    <w:rsid w:val="009F6AFE"/>
    <w:rsid w:val="009F6B84"/>
    <w:rsid w:val="009F6FAB"/>
    <w:rsid w:val="009F735E"/>
    <w:rsid w:val="009F7C3A"/>
    <w:rsid w:val="009F7CB8"/>
    <w:rsid w:val="00A00552"/>
    <w:rsid w:val="00A01572"/>
    <w:rsid w:val="00A02C3B"/>
    <w:rsid w:val="00A03A43"/>
    <w:rsid w:val="00A03C0B"/>
    <w:rsid w:val="00A03E14"/>
    <w:rsid w:val="00A04188"/>
    <w:rsid w:val="00A05E00"/>
    <w:rsid w:val="00A07654"/>
    <w:rsid w:val="00A07D92"/>
    <w:rsid w:val="00A103E8"/>
    <w:rsid w:val="00A10585"/>
    <w:rsid w:val="00A107E9"/>
    <w:rsid w:val="00A109F2"/>
    <w:rsid w:val="00A10F77"/>
    <w:rsid w:val="00A1117A"/>
    <w:rsid w:val="00A11208"/>
    <w:rsid w:val="00A12195"/>
    <w:rsid w:val="00A12759"/>
    <w:rsid w:val="00A12945"/>
    <w:rsid w:val="00A12BA6"/>
    <w:rsid w:val="00A138DF"/>
    <w:rsid w:val="00A13F27"/>
    <w:rsid w:val="00A148B7"/>
    <w:rsid w:val="00A14D91"/>
    <w:rsid w:val="00A1575D"/>
    <w:rsid w:val="00A15DF8"/>
    <w:rsid w:val="00A16E2B"/>
    <w:rsid w:val="00A17627"/>
    <w:rsid w:val="00A17E7F"/>
    <w:rsid w:val="00A21837"/>
    <w:rsid w:val="00A21EFE"/>
    <w:rsid w:val="00A22DFB"/>
    <w:rsid w:val="00A23796"/>
    <w:rsid w:val="00A23A78"/>
    <w:rsid w:val="00A24349"/>
    <w:rsid w:val="00A243F2"/>
    <w:rsid w:val="00A24A8F"/>
    <w:rsid w:val="00A2650A"/>
    <w:rsid w:val="00A2656D"/>
    <w:rsid w:val="00A2662E"/>
    <w:rsid w:val="00A2774E"/>
    <w:rsid w:val="00A31FCB"/>
    <w:rsid w:val="00A33C62"/>
    <w:rsid w:val="00A33D41"/>
    <w:rsid w:val="00A340F2"/>
    <w:rsid w:val="00A343FF"/>
    <w:rsid w:val="00A34A24"/>
    <w:rsid w:val="00A34B42"/>
    <w:rsid w:val="00A34F5C"/>
    <w:rsid w:val="00A37974"/>
    <w:rsid w:val="00A37D15"/>
    <w:rsid w:val="00A4020F"/>
    <w:rsid w:val="00A41D8B"/>
    <w:rsid w:val="00A420E8"/>
    <w:rsid w:val="00A4290A"/>
    <w:rsid w:val="00A44266"/>
    <w:rsid w:val="00A44D96"/>
    <w:rsid w:val="00A47439"/>
    <w:rsid w:val="00A4745B"/>
    <w:rsid w:val="00A474D5"/>
    <w:rsid w:val="00A50C8A"/>
    <w:rsid w:val="00A51238"/>
    <w:rsid w:val="00A51347"/>
    <w:rsid w:val="00A51FDC"/>
    <w:rsid w:val="00A5373D"/>
    <w:rsid w:val="00A551B9"/>
    <w:rsid w:val="00A55449"/>
    <w:rsid w:val="00A55FC5"/>
    <w:rsid w:val="00A572EB"/>
    <w:rsid w:val="00A5734D"/>
    <w:rsid w:val="00A577CD"/>
    <w:rsid w:val="00A605D1"/>
    <w:rsid w:val="00A6077D"/>
    <w:rsid w:val="00A60D1E"/>
    <w:rsid w:val="00A62014"/>
    <w:rsid w:val="00A63721"/>
    <w:rsid w:val="00A6490D"/>
    <w:rsid w:val="00A64941"/>
    <w:rsid w:val="00A64AD2"/>
    <w:rsid w:val="00A65FB0"/>
    <w:rsid w:val="00A66566"/>
    <w:rsid w:val="00A670ED"/>
    <w:rsid w:val="00A67EFE"/>
    <w:rsid w:val="00A70868"/>
    <w:rsid w:val="00A70CAD"/>
    <w:rsid w:val="00A71BD5"/>
    <w:rsid w:val="00A72B89"/>
    <w:rsid w:val="00A746E0"/>
    <w:rsid w:val="00A7652F"/>
    <w:rsid w:val="00A77146"/>
    <w:rsid w:val="00A77423"/>
    <w:rsid w:val="00A80E42"/>
    <w:rsid w:val="00A81100"/>
    <w:rsid w:val="00A813A9"/>
    <w:rsid w:val="00A8252C"/>
    <w:rsid w:val="00A827EE"/>
    <w:rsid w:val="00A831AF"/>
    <w:rsid w:val="00A84014"/>
    <w:rsid w:val="00A84318"/>
    <w:rsid w:val="00A845E9"/>
    <w:rsid w:val="00A85145"/>
    <w:rsid w:val="00A86801"/>
    <w:rsid w:val="00A9043A"/>
    <w:rsid w:val="00A912D5"/>
    <w:rsid w:val="00A92304"/>
    <w:rsid w:val="00A92D3A"/>
    <w:rsid w:val="00A92ECB"/>
    <w:rsid w:val="00A940E0"/>
    <w:rsid w:val="00A9590D"/>
    <w:rsid w:val="00A96A81"/>
    <w:rsid w:val="00A976B0"/>
    <w:rsid w:val="00A978AF"/>
    <w:rsid w:val="00AA182F"/>
    <w:rsid w:val="00AA24DD"/>
    <w:rsid w:val="00AA2D96"/>
    <w:rsid w:val="00AA3B7C"/>
    <w:rsid w:val="00AA42B9"/>
    <w:rsid w:val="00AA489A"/>
    <w:rsid w:val="00AA490B"/>
    <w:rsid w:val="00AA4C52"/>
    <w:rsid w:val="00AA4D68"/>
    <w:rsid w:val="00AA5CB7"/>
    <w:rsid w:val="00AA606A"/>
    <w:rsid w:val="00AA673C"/>
    <w:rsid w:val="00AA698D"/>
    <w:rsid w:val="00AA6AD4"/>
    <w:rsid w:val="00AA6FF1"/>
    <w:rsid w:val="00AA71AD"/>
    <w:rsid w:val="00AB2687"/>
    <w:rsid w:val="00AB373C"/>
    <w:rsid w:val="00AB3C69"/>
    <w:rsid w:val="00AB607F"/>
    <w:rsid w:val="00AB663C"/>
    <w:rsid w:val="00AB754A"/>
    <w:rsid w:val="00AB7B23"/>
    <w:rsid w:val="00AC1057"/>
    <w:rsid w:val="00AC20FB"/>
    <w:rsid w:val="00AC23CC"/>
    <w:rsid w:val="00AC2417"/>
    <w:rsid w:val="00AC2D1F"/>
    <w:rsid w:val="00AC306E"/>
    <w:rsid w:val="00AC313C"/>
    <w:rsid w:val="00AC33A3"/>
    <w:rsid w:val="00AC4E08"/>
    <w:rsid w:val="00AC52FC"/>
    <w:rsid w:val="00AC588A"/>
    <w:rsid w:val="00AC5BF4"/>
    <w:rsid w:val="00AC63BB"/>
    <w:rsid w:val="00AC7E3C"/>
    <w:rsid w:val="00AD0313"/>
    <w:rsid w:val="00AD129D"/>
    <w:rsid w:val="00AD3372"/>
    <w:rsid w:val="00AD593E"/>
    <w:rsid w:val="00AD5A75"/>
    <w:rsid w:val="00AD6059"/>
    <w:rsid w:val="00AE0E60"/>
    <w:rsid w:val="00AE148E"/>
    <w:rsid w:val="00AE15CD"/>
    <w:rsid w:val="00AE21D8"/>
    <w:rsid w:val="00AE25B4"/>
    <w:rsid w:val="00AE4677"/>
    <w:rsid w:val="00AE47BA"/>
    <w:rsid w:val="00AE4B52"/>
    <w:rsid w:val="00AE5E03"/>
    <w:rsid w:val="00AE6401"/>
    <w:rsid w:val="00AE68EE"/>
    <w:rsid w:val="00AF0105"/>
    <w:rsid w:val="00AF09CD"/>
    <w:rsid w:val="00AF24F1"/>
    <w:rsid w:val="00AF2904"/>
    <w:rsid w:val="00AF2BC9"/>
    <w:rsid w:val="00AF3A38"/>
    <w:rsid w:val="00AF499C"/>
    <w:rsid w:val="00AF775A"/>
    <w:rsid w:val="00AF7E83"/>
    <w:rsid w:val="00B01239"/>
    <w:rsid w:val="00B0172F"/>
    <w:rsid w:val="00B02BDD"/>
    <w:rsid w:val="00B0324A"/>
    <w:rsid w:val="00B05A28"/>
    <w:rsid w:val="00B05DA0"/>
    <w:rsid w:val="00B0653B"/>
    <w:rsid w:val="00B0663F"/>
    <w:rsid w:val="00B07A6F"/>
    <w:rsid w:val="00B10637"/>
    <w:rsid w:val="00B11427"/>
    <w:rsid w:val="00B1163E"/>
    <w:rsid w:val="00B11A3F"/>
    <w:rsid w:val="00B125F9"/>
    <w:rsid w:val="00B12F8D"/>
    <w:rsid w:val="00B1437B"/>
    <w:rsid w:val="00B143D6"/>
    <w:rsid w:val="00B1487A"/>
    <w:rsid w:val="00B14E5D"/>
    <w:rsid w:val="00B15329"/>
    <w:rsid w:val="00B153E1"/>
    <w:rsid w:val="00B17D08"/>
    <w:rsid w:val="00B17E06"/>
    <w:rsid w:val="00B22644"/>
    <w:rsid w:val="00B22CCD"/>
    <w:rsid w:val="00B2686C"/>
    <w:rsid w:val="00B2717D"/>
    <w:rsid w:val="00B27A4E"/>
    <w:rsid w:val="00B27DA6"/>
    <w:rsid w:val="00B306C2"/>
    <w:rsid w:val="00B31E06"/>
    <w:rsid w:val="00B326A0"/>
    <w:rsid w:val="00B331C1"/>
    <w:rsid w:val="00B332C4"/>
    <w:rsid w:val="00B347B0"/>
    <w:rsid w:val="00B35043"/>
    <w:rsid w:val="00B359BB"/>
    <w:rsid w:val="00B36EB5"/>
    <w:rsid w:val="00B374CB"/>
    <w:rsid w:val="00B377C8"/>
    <w:rsid w:val="00B40167"/>
    <w:rsid w:val="00B42648"/>
    <w:rsid w:val="00B4273E"/>
    <w:rsid w:val="00B431BD"/>
    <w:rsid w:val="00B4393F"/>
    <w:rsid w:val="00B44EF0"/>
    <w:rsid w:val="00B45DC5"/>
    <w:rsid w:val="00B46247"/>
    <w:rsid w:val="00B51922"/>
    <w:rsid w:val="00B51C19"/>
    <w:rsid w:val="00B526DF"/>
    <w:rsid w:val="00B5423B"/>
    <w:rsid w:val="00B549B4"/>
    <w:rsid w:val="00B54E56"/>
    <w:rsid w:val="00B55297"/>
    <w:rsid w:val="00B554A7"/>
    <w:rsid w:val="00B57788"/>
    <w:rsid w:val="00B578EC"/>
    <w:rsid w:val="00B60E60"/>
    <w:rsid w:val="00B62BAC"/>
    <w:rsid w:val="00B63282"/>
    <w:rsid w:val="00B64727"/>
    <w:rsid w:val="00B6484F"/>
    <w:rsid w:val="00B64A5A"/>
    <w:rsid w:val="00B66254"/>
    <w:rsid w:val="00B66847"/>
    <w:rsid w:val="00B66E30"/>
    <w:rsid w:val="00B67613"/>
    <w:rsid w:val="00B67C47"/>
    <w:rsid w:val="00B7413B"/>
    <w:rsid w:val="00B7445C"/>
    <w:rsid w:val="00B748BD"/>
    <w:rsid w:val="00B75E35"/>
    <w:rsid w:val="00B76AB9"/>
    <w:rsid w:val="00B76BCC"/>
    <w:rsid w:val="00B8058D"/>
    <w:rsid w:val="00B81891"/>
    <w:rsid w:val="00B8277A"/>
    <w:rsid w:val="00B83140"/>
    <w:rsid w:val="00B84F51"/>
    <w:rsid w:val="00B8783D"/>
    <w:rsid w:val="00B879AA"/>
    <w:rsid w:val="00B9143F"/>
    <w:rsid w:val="00B92441"/>
    <w:rsid w:val="00B92DF6"/>
    <w:rsid w:val="00B93B91"/>
    <w:rsid w:val="00B95137"/>
    <w:rsid w:val="00B9591A"/>
    <w:rsid w:val="00B95ED7"/>
    <w:rsid w:val="00BA0432"/>
    <w:rsid w:val="00BA044A"/>
    <w:rsid w:val="00BA1A91"/>
    <w:rsid w:val="00BA1B70"/>
    <w:rsid w:val="00BA1D73"/>
    <w:rsid w:val="00BA1DF4"/>
    <w:rsid w:val="00BA2555"/>
    <w:rsid w:val="00BA3844"/>
    <w:rsid w:val="00BA42B7"/>
    <w:rsid w:val="00BA42BE"/>
    <w:rsid w:val="00BA4810"/>
    <w:rsid w:val="00BA4B21"/>
    <w:rsid w:val="00BA50BD"/>
    <w:rsid w:val="00BA6071"/>
    <w:rsid w:val="00BA610B"/>
    <w:rsid w:val="00BA6AFB"/>
    <w:rsid w:val="00BB020F"/>
    <w:rsid w:val="00BB02A9"/>
    <w:rsid w:val="00BB18C4"/>
    <w:rsid w:val="00BB3BED"/>
    <w:rsid w:val="00BB3D92"/>
    <w:rsid w:val="00BB55E0"/>
    <w:rsid w:val="00BB6F90"/>
    <w:rsid w:val="00BB7897"/>
    <w:rsid w:val="00BB7F5C"/>
    <w:rsid w:val="00BC0142"/>
    <w:rsid w:val="00BC068D"/>
    <w:rsid w:val="00BC078A"/>
    <w:rsid w:val="00BC09CF"/>
    <w:rsid w:val="00BC0FDF"/>
    <w:rsid w:val="00BC11FD"/>
    <w:rsid w:val="00BC1A50"/>
    <w:rsid w:val="00BC25F9"/>
    <w:rsid w:val="00BC3749"/>
    <w:rsid w:val="00BC389B"/>
    <w:rsid w:val="00BC4B50"/>
    <w:rsid w:val="00BC5769"/>
    <w:rsid w:val="00BD01F6"/>
    <w:rsid w:val="00BD2E5B"/>
    <w:rsid w:val="00BD2FB9"/>
    <w:rsid w:val="00BD316D"/>
    <w:rsid w:val="00BD3CE7"/>
    <w:rsid w:val="00BD3EB8"/>
    <w:rsid w:val="00BD42C8"/>
    <w:rsid w:val="00BD44B2"/>
    <w:rsid w:val="00BD491E"/>
    <w:rsid w:val="00BD51FE"/>
    <w:rsid w:val="00BD5C1D"/>
    <w:rsid w:val="00BD681F"/>
    <w:rsid w:val="00BD6AC4"/>
    <w:rsid w:val="00BE1B57"/>
    <w:rsid w:val="00BE2341"/>
    <w:rsid w:val="00BE2C47"/>
    <w:rsid w:val="00BE2CC9"/>
    <w:rsid w:val="00BE394A"/>
    <w:rsid w:val="00BE437F"/>
    <w:rsid w:val="00BE4530"/>
    <w:rsid w:val="00BE713A"/>
    <w:rsid w:val="00BE7F54"/>
    <w:rsid w:val="00BF0943"/>
    <w:rsid w:val="00BF0C28"/>
    <w:rsid w:val="00BF18B9"/>
    <w:rsid w:val="00BF1972"/>
    <w:rsid w:val="00BF1C4D"/>
    <w:rsid w:val="00BF2625"/>
    <w:rsid w:val="00BF28EF"/>
    <w:rsid w:val="00BF2F94"/>
    <w:rsid w:val="00BF41FE"/>
    <w:rsid w:val="00BF474B"/>
    <w:rsid w:val="00BF4A68"/>
    <w:rsid w:val="00BF4C5F"/>
    <w:rsid w:val="00BF4F76"/>
    <w:rsid w:val="00BF514E"/>
    <w:rsid w:val="00BF586D"/>
    <w:rsid w:val="00BF5D38"/>
    <w:rsid w:val="00BF6528"/>
    <w:rsid w:val="00BF6C58"/>
    <w:rsid w:val="00BF6CAE"/>
    <w:rsid w:val="00BF797C"/>
    <w:rsid w:val="00BF7EE9"/>
    <w:rsid w:val="00C0037D"/>
    <w:rsid w:val="00C00558"/>
    <w:rsid w:val="00C00FE5"/>
    <w:rsid w:val="00C00FEA"/>
    <w:rsid w:val="00C01524"/>
    <w:rsid w:val="00C022E8"/>
    <w:rsid w:val="00C02BE5"/>
    <w:rsid w:val="00C03C24"/>
    <w:rsid w:val="00C047C6"/>
    <w:rsid w:val="00C062AD"/>
    <w:rsid w:val="00C06656"/>
    <w:rsid w:val="00C10E16"/>
    <w:rsid w:val="00C11D77"/>
    <w:rsid w:val="00C12108"/>
    <w:rsid w:val="00C14C1C"/>
    <w:rsid w:val="00C175A9"/>
    <w:rsid w:val="00C17754"/>
    <w:rsid w:val="00C206AC"/>
    <w:rsid w:val="00C20D3A"/>
    <w:rsid w:val="00C21579"/>
    <w:rsid w:val="00C21C60"/>
    <w:rsid w:val="00C22C1E"/>
    <w:rsid w:val="00C24062"/>
    <w:rsid w:val="00C2480B"/>
    <w:rsid w:val="00C24D2B"/>
    <w:rsid w:val="00C268F8"/>
    <w:rsid w:val="00C26B8B"/>
    <w:rsid w:val="00C30301"/>
    <w:rsid w:val="00C31281"/>
    <w:rsid w:val="00C32FAB"/>
    <w:rsid w:val="00C33CF7"/>
    <w:rsid w:val="00C33D5B"/>
    <w:rsid w:val="00C340B1"/>
    <w:rsid w:val="00C35ACD"/>
    <w:rsid w:val="00C35C2D"/>
    <w:rsid w:val="00C3619E"/>
    <w:rsid w:val="00C3636C"/>
    <w:rsid w:val="00C3701E"/>
    <w:rsid w:val="00C3742B"/>
    <w:rsid w:val="00C37A8A"/>
    <w:rsid w:val="00C41807"/>
    <w:rsid w:val="00C42321"/>
    <w:rsid w:val="00C430AD"/>
    <w:rsid w:val="00C4325F"/>
    <w:rsid w:val="00C435A1"/>
    <w:rsid w:val="00C440F3"/>
    <w:rsid w:val="00C44485"/>
    <w:rsid w:val="00C444E7"/>
    <w:rsid w:val="00C45080"/>
    <w:rsid w:val="00C45412"/>
    <w:rsid w:val="00C46166"/>
    <w:rsid w:val="00C464EC"/>
    <w:rsid w:val="00C46779"/>
    <w:rsid w:val="00C471A0"/>
    <w:rsid w:val="00C51372"/>
    <w:rsid w:val="00C51E91"/>
    <w:rsid w:val="00C5244F"/>
    <w:rsid w:val="00C53005"/>
    <w:rsid w:val="00C53C1D"/>
    <w:rsid w:val="00C54457"/>
    <w:rsid w:val="00C55E5E"/>
    <w:rsid w:val="00C5630A"/>
    <w:rsid w:val="00C56C61"/>
    <w:rsid w:val="00C57054"/>
    <w:rsid w:val="00C571DB"/>
    <w:rsid w:val="00C572D1"/>
    <w:rsid w:val="00C577E3"/>
    <w:rsid w:val="00C60701"/>
    <w:rsid w:val="00C61AB7"/>
    <w:rsid w:val="00C62F03"/>
    <w:rsid w:val="00C6316A"/>
    <w:rsid w:val="00C64028"/>
    <w:rsid w:val="00C6494E"/>
    <w:rsid w:val="00C64B87"/>
    <w:rsid w:val="00C6558D"/>
    <w:rsid w:val="00C66A33"/>
    <w:rsid w:val="00C670F2"/>
    <w:rsid w:val="00C70F38"/>
    <w:rsid w:val="00C71CD7"/>
    <w:rsid w:val="00C72691"/>
    <w:rsid w:val="00C72937"/>
    <w:rsid w:val="00C74884"/>
    <w:rsid w:val="00C74DE6"/>
    <w:rsid w:val="00C74ECE"/>
    <w:rsid w:val="00C75443"/>
    <w:rsid w:val="00C759A6"/>
    <w:rsid w:val="00C7751D"/>
    <w:rsid w:val="00C805D4"/>
    <w:rsid w:val="00C81280"/>
    <w:rsid w:val="00C819E4"/>
    <w:rsid w:val="00C81FCE"/>
    <w:rsid w:val="00C82710"/>
    <w:rsid w:val="00C82929"/>
    <w:rsid w:val="00C82A18"/>
    <w:rsid w:val="00C82F5F"/>
    <w:rsid w:val="00C83331"/>
    <w:rsid w:val="00C83BC3"/>
    <w:rsid w:val="00C83CAB"/>
    <w:rsid w:val="00C8476C"/>
    <w:rsid w:val="00C852FF"/>
    <w:rsid w:val="00C9090C"/>
    <w:rsid w:val="00C957EF"/>
    <w:rsid w:val="00C95B94"/>
    <w:rsid w:val="00C96FDF"/>
    <w:rsid w:val="00C972F9"/>
    <w:rsid w:val="00C976CC"/>
    <w:rsid w:val="00C97851"/>
    <w:rsid w:val="00C97933"/>
    <w:rsid w:val="00C97BC7"/>
    <w:rsid w:val="00C97D0E"/>
    <w:rsid w:val="00CA138C"/>
    <w:rsid w:val="00CA3B7D"/>
    <w:rsid w:val="00CA4213"/>
    <w:rsid w:val="00CA5558"/>
    <w:rsid w:val="00CA5A31"/>
    <w:rsid w:val="00CA6A4D"/>
    <w:rsid w:val="00CA7601"/>
    <w:rsid w:val="00CA7943"/>
    <w:rsid w:val="00CB150B"/>
    <w:rsid w:val="00CB1E3C"/>
    <w:rsid w:val="00CB25A1"/>
    <w:rsid w:val="00CB2EC9"/>
    <w:rsid w:val="00CB35CF"/>
    <w:rsid w:val="00CB38B1"/>
    <w:rsid w:val="00CB4BF9"/>
    <w:rsid w:val="00CB5331"/>
    <w:rsid w:val="00CB588C"/>
    <w:rsid w:val="00CB59BF"/>
    <w:rsid w:val="00CB5A1B"/>
    <w:rsid w:val="00CB7171"/>
    <w:rsid w:val="00CB71E0"/>
    <w:rsid w:val="00CB7206"/>
    <w:rsid w:val="00CC35B5"/>
    <w:rsid w:val="00CC3813"/>
    <w:rsid w:val="00CC449C"/>
    <w:rsid w:val="00CC48E7"/>
    <w:rsid w:val="00CC4B5F"/>
    <w:rsid w:val="00CC5525"/>
    <w:rsid w:val="00CC665D"/>
    <w:rsid w:val="00CC6725"/>
    <w:rsid w:val="00CD03BC"/>
    <w:rsid w:val="00CD0E03"/>
    <w:rsid w:val="00CD1239"/>
    <w:rsid w:val="00CD2A25"/>
    <w:rsid w:val="00CD3D0C"/>
    <w:rsid w:val="00CD46BB"/>
    <w:rsid w:val="00CD4F67"/>
    <w:rsid w:val="00CD5519"/>
    <w:rsid w:val="00CD5CE6"/>
    <w:rsid w:val="00CD68E5"/>
    <w:rsid w:val="00CD70D8"/>
    <w:rsid w:val="00CD7308"/>
    <w:rsid w:val="00CE0429"/>
    <w:rsid w:val="00CE0723"/>
    <w:rsid w:val="00CE1D68"/>
    <w:rsid w:val="00CE261E"/>
    <w:rsid w:val="00CE392E"/>
    <w:rsid w:val="00CE3D44"/>
    <w:rsid w:val="00CE47BD"/>
    <w:rsid w:val="00CE5AF2"/>
    <w:rsid w:val="00CE7412"/>
    <w:rsid w:val="00CE75E2"/>
    <w:rsid w:val="00CF0268"/>
    <w:rsid w:val="00CF0AEB"/>
    <w:rsid w:val="00CF0D1F"/>
    <w:rsid w:val="00CF10A4"/>
    <w:rsid w:val="00CF2E04"/>
    <w:rsid w:val="00CF34FB"/>
    <w:rsid w:val="00CF3CEF"/>
    <w:rsid w:val="00CF3DDA"/>
    <w:rsid w:val="00CF4555"/>
    <w:rsid w:val="00CF5D0F"/>
    <w:rsid w:val="00CF65AB"/>
    <w:rsid w:val="00CF7419"/>
    <w:rsid w:val="00CF7803"/>
    <w:rsid w:val="00CF7ED3"/>
    <w:rsid w:val="00D00461"/>
    <w:rsid w:val="00D00B38"/>
    <w:rsid w:val="00D00DA0"/>
    <w:rsid w:val="00D00ED2"/>
    <w:rsid w:val="00D01A99"/>
    <w:rsid w:val="00D01D93"/>
    <w:rsid w:val="00D02345"/>
    <w:rsid w:val="00D038E9"/>
    <w:rsid w:val="00D046EF"/>
    <w:rsid w:val="00D0510C"/>
    <w:rsid w:val="00D056AE"/>
    <w:rsid w:val="00D05D9E"/>
    <w:rsid w:val="00D07A7B"/>
    <w:rsid w:val="00D103BE"/>
    <w:rsid w:val="00D114D9"/>
    <w:rsid w:val="00D1158E"/>
    <w:rsid w:val="00D12216"/>
    <w:rsid w:val="00D12F82"/>
    <w:rsid w:val="00D13CC8"/>
    <w:rsid w:val="00D13D69"/>
    <w:rsid w:val="00D1439D"/>
    <w:rsid w:val="00D1443D"/>
    <w:rsid w:val="00D14780"/>
    <w:rsid w:val="00D15704"/>
    <w:rsid w:val="00D16DF1"/>
    <w:rsid w:val="00D1700F"/>
    <w:rsid w:val="00D17237"/>
    <w:rsid w:val="00D2020A"/>
    <w:rsid w:val="00D207C5"/>
    <w:rsid w:val="00D20C31"/>
    <w:rsid w:val="00D22527"/>
    <w:rsid w:val="00D22C30"/>
    <w:rsid w:val="00D230CE"/>
    <w:rsid w:val="00D249B3"/>
    <w:rsid w:val="00D251D0"/>
    <w:rsid w:val="00D269B7"/>
    <w:rsid w:val="00D30BA5"/>
    <w:rsid w:val="00D3292F"/>
    <w:rsid w:val="00D360A4"/>
    <w:rsid w:val="00D3642A"/>
    <w:rsid w:val="00D3753F"/>
    <w:rsid w:val="00D37EC5"/>
    <w:rsid w:val="00D40687"/>
    <w:rsid w:val="00D40C0E"/>
    <w:rsid w:val="00D4121B"/>
    <w:rsid w:val="00D4179E"/>
    <w:rsid w:val="00D41D35"/>
    <w:rsid w:val="00D42E54"/>
    <w:rsid w:val="00D43F16"/>
    <w:rsid w:val="00D43F72"/>
    <w:rsid w:val="00D45819"/>
    <w:rsid w:val="00D45CB6"/>
    <w:rsid w:val="00D46C33"/>
    <w:rsid w:val="00D472E1"/>
    <w:rsid w:val="00D47F7A"/>
    <w:rsid w:val="00D5057C"/>
    <w:rsid w:val="00D51C52"/>
    <w:rsid w:val="00D5200B"/>
    <w:rsid w:val="00D524F8"/>
    <w:rsid w:val="00D53577"/>
    <w:rsid w:val="00D537AC"/>
    <w:rsid w:val="00D54077"/>
    <w:rsid w:val="00D54459"/>
    <w:rsid w:val="00D5578E"/>
    <w:rsid w:val="00D567B7"/>
    <w:rsid w:val="00D568EB"/>
    <w:rsid w:val="00D5705D"/>
    <w:rsid w:val="00D57739"/>
    <w:rsid w:val="00D577A5"/>
    <w:rsid w:val="00D60B76"/>
    <w:rsid w:val="00D60D06"/>
    <w:rsid w:val="00D64186"/>
    <w:rsid w:val="00D643A1"/>
    <w:rsid w:val="00D643BC"/>
    <w:rsid w:val="00D65004"/>
    <w:rsid w:val="00D668BF"/>
    <w:rsid w:val="00D67B5B"/>
    <w:rsid w:val="00D714C3"/>
    <w:rsid w:val="00D72430"/>
    <w:rsid w:val="00D73484"/>
    <w:rsid w:val="00D73812"/>
    <w:rsid w:val="00D73C58"/>
    <w:rsid w:val="00D7452B"/>
    <w:rsid w:val="00D75A53"/>
    <w:rsid w:val="00D76FC4"/>
    <w:rsid w:val="00D778F2"/>
    <w:rsid w:val="00D80A19"/>
    <w:rsid w:val="00D818C5"/>
    <w:rsid w:val="00D849EE"/>
    <w:rsid w:val="00D84C82"/>
    <w:rsid w:val="00D85849"/>
    <w:rsid w:val="00D86F3B"/>
    <w:rsid w:val="00D90403"/>
    <w:rsid w:val="00D90957"/>
    <w:rsid w:val="00D90964"/>
    <w:rsid w:val="00D91C73"/>
    <w:rsid w:val="00D9227F"/>
    <w:rsid w:val="00D9234F"/>
    <w:rsid w:val="00D92640"/>
    <w:rsid w:val="00D92854"/>
    <w:rsid w:val="00D92F67"/>
    <w:rsid w:val="00D9681D"/>
    <w:rsid w:val="00D97803"/>
    <w:rsid w:val="00D97891"/>
    <w:rsid w:val="00D979BC"/>
    <w:rsid w:val="00DA1B9C"/>
    <w:rsid w:val="00DA3B6B"/>
    <w:rsid w:val="00DA4DEC"/>
    <w:rsid w:val="00DA662D"/>
    <w:rsid w:val="00DA797A"/>
    <w:rsid w:val="00DA7A58"/>
    <w:rsid w:val="00DB04FD"/>
    <w:rsid w:val="00DB0AA2"/>
    <w:rsid w:val="00DB103A"/>
    <w:rsid w:val="00DB12EF"/>
    <w:rsid w:val="00DB1C9D"/>
    <w:rsid w:val="00DB1F04"/>
    <w:rsid w:val="00DB520C"/>
    <w:rsid w:val="00DB53A3"/>
    <w:rsid w:val="00DB63BC"/>
    <w:rsid w:val="00DC01BE"/>
    <w:rsid w:val="00DC2460"/>
    <w:rsid w:val="00DC3434"/>
    <w:rsid w:val="00DC50BA"/>
    <w:rsid w:val="00DC5458"/>
    <w:rsid w:val="00DC555D"/>
    <w:rsid w:val="00DC75DD"/>
    <w:rsid w:val="00DD0AE1"/>
    <w:rsid w:val="00DD0C60"/>
    <w:rsid w:val="00DD1272"/>
    <w:rsid w:val="00DD1839"/>
    <w:rsid w:val="00DD205E"/>
    <w:rsid w:val="00DD301A"/>
    <w:rsid w:val="00DD568A"/>
    <w:rsid w:val="00DD5886"/>
    <w:rsid w:val="00DD6647"/>
    <w:rsid w:val="00DD6933"/>
    <w:rsid w:val="00DD79BF"/>
    <w:rsid w:val="00DD7BAA"/>
    <w:rsid w:val="00DE0DA1"/>
    <w:rsid w:val="00DE1692"/>
    <w:rsid w:val="00DE1F56"/>
    <w:rsid w:val="00DE4BA0"/>
    <w:rsid w:val="00DE4CBA"/>
    <w:rsid w:val="00DE5800"/>
    <w:rsid w:val="00DE6795"/>
    <w:rsid w:val="00DE695E"/>
    <w:rsid w:val="00DE7063"/>
    <w:rsid w:val="00DF0B47"/>
    <w:rsid w:val="00DF281C"/>
    <w:rsid w:val="00DF2EA1"/>
    <w:rsid w:val="00DF323D"/>
    <w:rsid w:val="00DF3311"/>
    <w:rsid w:val="00DF44F3"/>
    <w:rsid w:val="00DF4E0F"/>
    <w:rsid w:val="00DF75BD"/>
    <w:rsid w:val="00DF77CF"/>
    <w:rsid w:val="00DF7FC0"/>
    <w:rsid w:val="00E0044F"/>
    <w:rsid w:val="00E00CC9"/>
    <w:rsid w:val="00E01165"/>
    <w:rsid w:val="00E012F3"/>
    <w:rsid w:val="00E01A0F"/>
    <w:rsid w:val="00E01C9C"/>
    <w:rsid w:val="00E020D3"/>
    <w:rsid w:val="00E03C1A"/>
    <w:rsid w:val="00E03DCC"/>
    <w:rsid w:val="00E04117"/>
    <w:rsid w:val="00E05113"/>
    <w:rsid w:val="00E0528B"/>
    <w:rsid w:val="00E05492"/>
    <w:rsid w:val="00E06131"/>
    <w:rsid w:val="00E073F1"/>
    <w:rsid w:val="00E0764A"/>
    <w:rsid w:val="00E079C5"/>
    <w:rsid w:val="00E07BE3"/>
    <w:rsid w:val="00E1054F"/>
    <w:rsid w:val="00E10C07"/>
    <w:rsid w:val="00E10F78"/>
    <w:rsid w:val="00E11BB5"/>
    <w:rsid w:val="00E12A50"/>
    <w:rsid w:val="00E130E6"/>
    <w:rsid w:val="00E13441"/>
    <w:rsid w:val="00E13633"/>
    <w:rsid w:val="00E13718"/>
    <w:rsid w:val="00E13AA9"/>
    <w:rsid w:val="00E167AA"/>
    <w:rsid w:val="00E17785"/>
    <w:rsid w:val="00E179A6"/>
    <w:rsid w:val="00E20790"/>
    <w:rsid w:val="00E20BE0"/>
    <w:rsid w:val="00E21112"/>
    <w:rsid w:val="00E22C0B"/>
    <w:rsid w:val="00E22E72"/>
    <w:rsid w:val="00E22F3F"/>
    <w:rsid w:val="00E2381D"/>
    <w:rsid w:val="00E23FA5"/>
    <w:rsid w:val="00E245E4"/>
    <w:rsid w:val="00E24B28"/>
    <w:rsid w:val="00E25889"/>
    <w:rsid w:val="00E270DF"/>
    <w:rsid w:val="00E27106"/>
    <w:rsid w:val="00E30362"/>
    <w:rsid w:val="00E30D56"/>
    <w:rsid w:val="00E310B2"/>
    <w:rsid w:val="00E31744"/>
    <w:rsid w:val="00E34ED3"/>
    <w:rsid w:val="00E358C0"/>
    <w:rsid w:val="00E373E4"/>
    <w:rsid w:val="00E40088"/>
    <w:rsid w:val="00E405F0"/>
    <w:rsid w:val="00E412BA"/>
    <w:rsid w:val="00E413A3"/>
    <w:rsid w:val="00E414A1"/>
    <w:rsid w:val="00E42598"/>
    <w:rsid w:val="00E44477"/>
    <w:rsid w:val="00E446AB"/>
    <w:rsid w:val="00E44E1D"/>
    <w:rsid w:val="00E44F83"/>
    <w:rsid w:val="00E462A7"/>
    <w:rsid w:val="00E51ABF"/>
    <w:rsid w:val="00E53BD5"/>
    <w:rsid w:val="00E561B6"/>
    <w:rsid w:val="00E5781A"/>
    <w:rsid w:val="00E579ED"/>
    <w:rsid w:val="00E61577"/>
    <w:rsid w:val="00E6178A"/>
    <w:rsid w:val="00E61D85"/>
    <w:rsid w:val="00E62DD5"/>
    <w:rsid w:val="00E63847"/>
    <w:rsid w:val="00E64198"/>
    <w:rsid w:val="00E64542"/>
    <w:rsid w:val="00E64A93"/>
    <w:rsid w:val="00E6652E"/>
    <w:rsid w:val="00E66FCA"/>
    <w:rsid w:val="00E6711A"/>
    <w:rsid w:val="00E67C83"/>
    <w:rsid w:val="00E70C40"/>
    <w:rsid w:val="00E7199D"/>
    <w:rsid w:val="00E72B3C"/>
    <w:rsid w:val="00E73DC4"/>
    <w:rsid w:val="00E751B0"/>
    <w:rsid w:val="00E76065"/>
    <w:rsid w:val="00E76288"/>
    <w:rsid w:val="00E763FC"/>
    <w:rsid w:val="00E764CF"/>
    <w:rsid w:val="00E7722A"/>
    <w:rsid w:val="00E80F81"/>
    <w:rsid w:val="00E84728"/>
    <w:rsid w:val="00E84D9C"/>
    <w:rsid w:val="00E85E43"/>
    <w:rsid w:val="00E875B7"/>
    <w:rsid w:val="00E917EA"/>
    <w:rsid w:val="00E92276"/>
    <w:rsid w:val="00E922C1"/>
    <w:rsid w:val="00E92562"/>
    <w:rsid w:val="00E92864"/>
    <w:rsid w:val="00E930F5"/>
    <w:rsid w:val="00E93154"/>
    <w:rsid w:val="00E9355B"/>
    <w:rsid w:val="00E94770"/>
    <w:rsid w:val="00E95502"/>
    <w:rsid w:val="00E95CAB"/>
    <w:rsid w:val="00E961D3"/>
    <w:rsid w:val="00EA0BDF"/>
    <w:rsid w:val="00EA13B9"/>
    <w:rsid w:val="00EA1A3C"/>
    <w:rsid w:val="00EA4342"/>
    <w:rsid w:val="00EA4D11"/>
    <w:rsid w:val="00EA4F10"/>
    <w:rsid w:val="00EA6CDA"/>
    <w:rsid w:val="00EA6CE2"/>
    <w:rsid w:val="00EB0281"/>
    <w:rsid w:val="00EB0CA7"/>
    <w:rsid w:val="00EB0E1D"/>
    <w:rsid w:val="00EB0F2A"/>
    <w:rsid w:val="00EB1225"/>
    <w:rsid w:val="00EB148E"/>
    <w:rsid w:val="00EB2743"/>
    <w:rsid w:val="00EB325A"/>
    <w:rsid w:val="00EB3CD9"/>
    <w:rsid w:val="00EB52BA"/>
    <w:rsid w:val="00EB58AE"/>
    <w:rsid w:val="00EB6C86"/>
    <w:rsid w:val="00EB6EAA"/>
    <w:rsid w:val="00EB7648"/>
    <w:rsid w:val="00EC03BB"/>
    <w:rsid w:val="00EC1191"/>
    <w:rsid w:val="00EC27E5"/>
    <w:rsid w:val="00EC2DA6"/>
    <w:rsid w:val="00EC6170"/>
    <w:rsid w:val="00EC65D0"/>
    <w:rsid w:val="00EC660B"/>
    <w:rsid w:val="00ED07C0"/>
    <w:rsid w:val="00ED07E7"/>
    <w:rsid w:val="00ED34B7"/>
    <w:rsid w:val="00ED3902"/>
    <w:rsid w:val="00ED3BE1"/>
    <w:rsid w:val="00ED587D"/>
    <w:rsid w:val="00ED66A6"/>
    <w:rsid w:val="00ED7AA2"/>
    <w:rsid w:val="00EE0EE7"/>
    <w:rsid w:val="00EE1548"/>
    <w:rsid w:val="00EE271C"/>
    <w:rsid w:val="00EE2FBC"/>
    <w:rsid w:val="00EE3816"/>
    <w:rsid w:val="00EE4B92"/>
    <w:rsid w:val="00EE5BD7"/>
    <w:rsid w:val="00EE7BF1"/>
    <w:rsid w:val="00EE7D51"/>
    <w:rsid w:val="00EE7FEA"/>
    <w:rsid w:val="00EF096A"/>
    <w:rsid w:val="00EF14AC"/>
    <w:rsid w:val="00EF303D"/>
    <w:rsid w:val="00EF3CB9"/>
    <w:rsid w:val="00EF45FE"/>
    <w:rsid w:val="00EF5047"/>
    <w:rsid w:val="00EF5E29"/>
    <w:rsid w:val="00EF69D9"/>
    <w:rsid w:val="00EF701E"/>
    <w:rsid w:val="00EF71CC"/>
    <w:rsid w:val="00F0091F"/>
    <w:rsid w:val="00F02B06"/>
    <w:rsid w:val="00F02DCA"/>
    <w:rsid w:val="00F055E5"/>
    <w:rsid w:val="00F058F3"/>
    <w:rsid w:val="00F05A04"/>
    <w:rsid w:val="00F07059"/>
    <w:rsid w:val="00F07237"/>
    <w:rsid w:val="00F10A91"/>
    <w:rsid w:val="00F1111E"/>
    <w:rsid w:val="00F117C5"/>
    <w:rsid w:val="00F11C97"/>
    <w:rsid w:val="00F129D6"/>
    <w:rsid w:val="00F12DD9"/>
    <w:rsid w:val="00F1327F"/>
    <w:rsid w:val="00F15350"/>
    <w:rsid w:val="00F15845"/>
    <w:rsid w:val="00F16988"/>
    <w:rsid w:val="00F17145"/>
    <w:rsid w:val="00F171CF"/>
    <w:rsid w:val="00F205C0"/>
    <w:rsid w:val="00F222C8"/>
    <w:rsid w:val="00F241B3"/>
    <w:rsid w:val="00F246FD"/>
    <w:rsid w:val="00F24953"/>
    <w:rsid w:val="00F26E1E"/>
    <w:rsid w:val="00F273D2"/>
    <w:rsid w:val="00F276A7"/>
    <w:rsid w:val="00F27A8A"/>
    <w:rsid w:val="00F3056A"/>
    <w:rsid w:val="00F31227"/>
    <w:rsid w:val="00F31672"/>
    <w:rsid w:val="00F31915"/>
    <w:rsid w:val="00F32704"/>
    <w:rsid w:val="00F32C32"/>
    <w:rsid w:val="00F32CA4"/>
    <w:rsid w:val="00F334D2"/>
    <w:rsid w:val="00F3394B"/>
    <w:rsid w:val="00F3498D"/>
    <w:rsid w:val="00F35962"/>
    <w:rsid w:val="00F359E8"/>
    <w:rsid w:val="00F360B2"/>
    <w:rsid w:val="00F360F6"/>
    <w:rsid w:val="00F4096F"/>
    <w:rsid w:val="00F40A33"/>
    <w:rsid w:val="00F41152"/>
    <w:rsid w:val="00F42BD8"/>
    <w:rsid w:val="00F4437C"/>
    <w:rsid w:val="00F44CA6"/>
    <w:rsid w:val="00F44EA8"/>
    <w:rsid w:val="00F45210"/>
    <w:rsid w:val="00F45FBB"/>
    <w:rsid w:val="00F50D3D"/>
    <w:rsid w:val="00F50E44"/>
    <w:rsid w:val="00F51FF5"/>
    <w:rsid w:val="00F53187"/>
    <w:rsid w:val="00F53D2B"/>
    <w:rsid w:val="00F54663"/>
    <w:rsid w:val="00F56915"/>
    <w:rsid w:val="00F57025"/>
    <w:rsid w:val="00F5778F"/>
    <w:rsid w:val="00F57F94"/>
    <w:rsid w:val="00F6053D"/>
    <w:rsid w:val="00F627A1"/>
    <w:rsid w:val="00F6348A"/>
    <w:rsid w:val="00F636AD"/>
    <w:rsid w:val="00F639E2"/>
    <w:rsid w:val="00F65937"/>
    <w:rsid w:val="00F662FA"/>
    <w:rsid w:val="00F665AE"/>
    <w:rsid w:val="00F671F2"/>
    <w:rsid w:val="00F67720"/>
    <w:rsid w:val="00F67AB4"/>
    <w:rsid w:val="00F70B76"/>
    <w:rsid w:val="00F713C4"/>
    <w:rsid w:val="00F721E1"/>
    <w:rsid w:val="00F72EA6"/>
    <w:rsid w:val="00F7335F"/>
    <w:rsid w:val="00F7345B"/>
    <w:rsid w:val="00F7383D"/>
    <w:rsid w:val="00F73EEA"/>
    <w:rsid w:val="00F74B11"/>
    <w:rsid w:val="00F754A9"/>
    <w:rsid w:val="00F808A6"/>
    <w:rsid w:val="00F822E2"/>
    <w:rsid w:val="00F8296D"/>
    <w:rsid w:val="00F82D4F"/>
    <w:rsid w:val="00F83E61"/>
    <w:rsid w:val="00F86110"/>
    <w:rsid w:val="00F865AC"/>
    <w:rsid w:val="00F869E3"/>
    <w:rsid w:val="00F874CE"/>
    <w:rsid w:val="00F87A42"/>
    <w:rsid w:val="00F90686"/>
    <w:rsid w:val="00F908D6"/>
    <w:rsid w:val="00F908D8"/>
    <w:rsid w:val="00F914BD"/>
    <w:rsid w:val="00F9239B"/>
    <w:rsid w:val="00F93170"/>
    <w:rsid w:val="00F94684"/>
    <w:rsid w:val="00F95A93"/>
    <w:rsid w:val="00FA052B"/>
    <w:rsid w:val="00FA09FA"/>
    <w:rsid w:val="00FA0FD8"/>
    <w:rsid w:val="00FA14F3"/>
    <w:rsid w:val="00FA1B37"/>
    <w:rsid w:val="00FA4392"/>
    <w:rsid w:val="00FA4489"/>
    <w:rsid w:val="00FA44E4"/>
    <w:rsid w:val="00FB0575"/>
    <w:rsid w:val="00FB0700"/>
    <w:rsid w:val="00FB150A"/>
    <w:rsid w:val="00FB178A"/>
    <w:rsid w:val="00FB1802"/>
    <w:rsid w:val="00FB216D"/>
    <w:rsid w:val="00FB25F6"/>
    <w:rsid w:val="00FB5822"/>
    <w:rsid w:val="00FB5909"/>
    <w:rsid w:val="00FB6DC1"/>
    <w:rsid w:val="00FB7ACF"/>
    <w:rsid w:val="00FC1644"/>
    <w:rsid w:val="00FC28D2"/>
    <w:rsid w:val="00FC2B91"/>
    <w:rsid w:val="00FC3CAF"/>
    <w:rsid w:val="00FC3F06"/>
    <w:rsid w:val="00FC40E0"/>
    <w:rsid w:val="00FC492D"/>
    <w:rsid w:val="00FC54CC"/>
    <w:rsid w:val="00FC5891"/>
    <w:rsid w:val="00FC7BEE"/>
    <w:rsid w:val="00FC7E1D"/>
    <w:rsid w:val="00FD04C8"/>
    <w:rsid w:val="00FD09AA"/>
    <w:rsid w:val="00FD0B19"/>
    <w:rsid w:val="00FD0DD4"/>
    <w:rsid w:val="00FD2221"/>
    <w:rsid w:val="00FD3E8D"/>
    <w:rsid w:val="00FD4AD7"/>
    <w:rsid w:val="00FD4DC8"/>
    <w:rsid w:val="00FD562B"/>
    <w:rsid w:val="00FD6163"/>
    <w:rsid w:val="00FD69EB"/>
    <w:rsid w:val="00FD706D"/>
    <w:rsid w:val="00FE1277"/>
    <w:rsid w:val="00FE15F6"/>
    <w:rsid w:val="00FE2750"/>
    <w:rsid w:val="00FE29EE"/>
    <w:rsid w:val="00FE2B04"/>
    <w:rsid w:val="00FE321D"/>
    <w:rsid w:val="00FE3859"/>
    <w:rsid w:val="00FE3FDC"/>
    <w:rsid w:val="00FE4019"/>
    <w:rsid w:val="00FE42F7"/>
    <w:rsid w:val="00FE4CB2"/>
    <w:rsid w:val="00FE50D2"/>
    <w:rsid w:val="00FE5D3D"/>
    <w:rsid w:val="00FE62B4"/>
    <w:rsid w:val="00FE672B"/>
    <w:rsid w:val="00FE7080"/>
    <w:rsid w:val="00FE7673"/>
    <w:rsid w:val="00FE7773"/>
    <w:rsid w:val="00FE7B74"/>
    <w:rsid w:val="00FF0E5E"/>
    <w:rsid w:val="00FF1BD3"/>
    <w:rsid w:val="00FF5FC8"/>
    <w:rsid w:val="00FF680B"/>
    <w:rsid w:val="00FF6B75"/>
    <w:rsid w:val="00FF735C"/>
    <w:rsid w:val="00FF7A29"/>
    <w:rsid w:val="00FF7C96"/>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yle="mso-width-relative:margin;mso-height-relative:margin" fillcolor="white" stroke="f">
      <v:fill color="white" opacity="0"/>
      <v:stroke on="f"/>
    </o:shapedefaults>
    <o:shapelayout v:ext="edit">
      <o:idmap v:ext="edit" data="1"/>
    </o:shapelayout>
  </w:shapeDefaults>
  <w:decimalSymbol w:val="."/>
  <w:listSeparator w:val=","/>
  <w14:docId w14:val="398744BF"/>
  <w15:docId w15:val="{10B182DA-6BFD-494B-8DF5-87CCF5A6B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FED"/>
    <w:pPr>
      <w:spacing w:after="240" w:line="480" w:lineRule="auto"/>
      <w:jc w:val="both"/>
    </w:pPr>
    <w:rPr>
      <w:rFonts w:ascii="Times New Roman" w:hAnsi="Times New Roman" w:cs="Times New Roman"/>
      <w:bCs/>
      <w:sz w:val="24"/>
      <w:szCs w:val="24"/>
    </w:rPr>
  </w:style>
  <w:style w:type="paragraph" w:styleId="Heading1">
    <w:name w:val="heading 1"/>
    <w:basedOn w:val="Normal"/>
    <w:next w:val="Normal"/>
    <w:link w:val="Heading1Char"/>
    <w:uiPriority w:val="9"/>
    <w:qFormat/>
    <w:rsid w:val="00384FED"/>
    <w:pPr>
      <w:spacing w:before="240" w:after="0"/>
      <w:outlineLvl w:val="0"/>
    </w:pPr>
    <w:rPr>
      <w:b/>
    </w:rPr>
  </w:style>
  <w:style w:type="paragraph" w:styleId="Heading2">
    <w:name w:val="heading 2"/>
    <w:basedOn w:val="Normal"/>
    <w:next w:val="Normal"/>
    <w:link w:val="Heading2Char"/>
    <w:uiPriority w:val="9"/>
    <w:unhideWhenUsed/>
    <w:qFormat/>
    <w:rsid w:val="00384FED"/>
    <w:pPr>
      <w:spacing w:before="240" w:after="0"/>
      <w:outlineLvl w:val="1"/>
    </w:pPr>
    <w:rPr>
      <w:b/>
      <w:bCs w:val="0"/>
      <w:i/>
      <w:iCs/>
    </w:rPr>
  </w:style>
  <w:style w:type="paragraph" w:styleId="Heading3">
    <w:name w:val="heading 3"/>
    <w:basedOn w:val="Normal"/>
    <w:next w:val="Normal"/>
    <w:link w:val="Heading3Char"/>
    <w:uiPriority w:val="9"/>
    <w:semiHidden/>
    <w:unhideWhenUsed/>
    <w:qFormat/>
    <w:rsid w:val="004F10CE"/>
    <w:pPr>
      <w:keepNext/>
      <w:keepLines/>
      <w:spacing w:before="200"/>
      <w:outlineLvl w:val="2"/>
    </w:pPr>
    <w:rPr>
      <w:rFonts w:asciiTheme="majorHAnsi" w:eastAsiaTheme="majorEastAsia" w:hAnsiTheme="majorHAnsi" w:cstheme="majorBidi"/>
      <w:b/>
      <w:bCs w:val="0"/>
      <w:color w:val="4F81BD" w:themeColor="accent1"/>
    </w:rPr>
  </w:style>
  <w:style w:type="paragraph" w:styleId="Heading4">
    <w:name w:val="heading 4"/>
    <w:basedOn w:val="Normal"/>
    <w:next w:val="Normal"/>
    <w:link w:val="Heading4Char"/>
    <w:uiPriority w:val="9"/>
    <w:semiHidden/>
    <w:unhideWhenUsed/>
    <w:qFormat/>
    <w:rsid w:val="008C7F2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4D1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D1C"/>
    <w:rPr>
      <w:rFonts w:ascii="Tahoma" w:hAnsi="Tahoma" w:cs="Tahoma"/>
      <w:sz w:val="16"/>
      <w:szCs w:val="16"/>
    </w:rPr>
  </w:style>
  <w:style w:type="paragraph" w:styleId="NoSpacing">
    <w:name w:val="No Spacing"/>
    <w:basedOn w:val="Normal"/>
    <w:uiPriority w:val="1"/>
    <w:qFormat/>
    <w:rsid w:val="00FD562B"/>
    <w:pPr>
      <w:autoSpaceDE w:val="0"/>
      <w:autoSpaceDN w:val="0"/>
      <w:adjustRightInd w:val="0"/>
      <w:spacing w:line="240" w:lineRule="auto"/>
    </w:pPr>
    <w:rPr>
      <w:i/>
      <w:iCs/>
      <w:sz w:val="22"/>
      <w:szCs w:val="22"/>
    </w:rPr>
  </w:style>
  <w:style w:type="character" w:styleId="CommentReference">
    <w:name w:val="annotation reference"/>
    <w:basedOn w:val="DefaultParagraphFont"/>
    <w:uiPriority w:val="99"/>
    <w:semiHidden/>
    <w:unhideWhenUsed/>
    <w:rsid w:val="00222650"/>
    <w:rPr>
      <w:sz w:val="16"/>
      <w:szCs w:val="16"/>
    </w:rPr>
  </w:style>
  <w:style w:type="paragraph" w:styleId="CommentText">
    <w:name w:val="annotation text"/>
    <w:basedOn w:val="Normal"/>
    <w:link w:val="CommentTextChar"/>
    <w:uiPriority w:val="99"/>
    <w:unhideWhenUsed/>
    <w:rsid w:val="00222650"/>
    <w:pPr>
      <w:spacing w:line="240" w:lineRule="auto"/>
    </w:pPr>
    <w:rPr>
      <w:sz w:val="20"/>
      <w:szCs w:val="20"/>
    </w:rPr>
  </w:style>
  <w:style w:type="character" w:customStyle="1" w:styleId="CommentTextChar">
    <w:name w:val="Comment Text Char"/>
    <w:basedOn w:val="DefaultParagraphFont"/>
    <w:link w:val="CommentText"/>
    <w:uiPriority w:val="99"/>
    <w:rsid w:val="00222650"/>
    <w:rPr>
      <w:sz w:val="20"/>
      <w:szCs w:val="20"/>
    </w:rPr>
  </w:style>
  <w:style w:type="paragraph" w:styleId="CommentSubject">
    <w:name w:val="annotation subject"/>
    <w:basedOn w:val="CommentText"/>
    <w:next w:val="CommentText"/>
    <w:link w:val="CommentSubjectChar"/>
    <w:uiPriority w:val="99"/>
    <w:semiHidden/>
    <w:unhideWhenUsed/>
    <w:rsid w:val="00222650"/>
    <w:rPr>
      <w:b/>
      <w:bCs w:val="0"/>
    </w:rPr>
  </w:style>
  <w:style w:type="character" w:customStyle="1" w:styleId="CommentSubjectChar">
    <w:name w:val="Comment Subject Char"/>
    <w:basedOn w:val="CommentTextChar"/>
    <w:link w:val="CommentSubject"/>
    <w:uiPriority w:val="99"/>
    <w:semiHidden/>
    <w:rsid w:val="00222650"/>
    <w:rPr>
      <w:b/>
      <w:bCs/>
      <w:sz w:val="20"/>
      <w:szCs w:val="20"/>
    </w:rPr>
  </w:style>
  <w:style w:type="paragraph" w:styleId="ListParagraph">
    <w:name w:val="List Paragraph"/>
    <w:basedOn w:val="Normal"/>
    <w:uiPriority w:val="34"/>
    <w:qFormat/>
    <w:rsid w:val="005F0604"/>
    <w:pPr>
      <w:ind w:left="720"/>
      <w:contextualSpacing/>
    </w:pPr>
  </w:style>
  <w:style w:type="character" w:customStyle="1" w:styleId="Heading1Char">
    <w:name w:val="Heading 1 Char"/>
    <w:basedOn w:val="DefaultParagraphFont"/>
    <w:link w:val="Heading1"/>
    <w:uiPriority w:val="9"/>
    <w:rsid w:val="00384FED"/>
    <w:rPr>
      <w:rFonts w:ascii="Times New Roman" w:hAnsi="Times New Roman" w:cs="Times New Roman"/>
      <w:b/>
      <w:bCs/>
      <w:sz w:val="24"/>
      <w:szCs w:val="24"/>
    </w:rPr>
  </w:style>
  <w:style w:type="character" w:customStyle="1" w:styleId="Heading2Char">
    <w:name w:val="Heading 2 Char"/>
    <w:basedOn w:val="DefaultParagraphFont"/>
    <w:link w:val="Heading2"/>
    <w:uiPriority w:val="9"/>
    <w:rsid w:val="00384FED"/>
    <w:rPr>
      <w:rFonts w:ascii="Times New Roman" w:hAnsi="Times New Roman" w:cs="Times New Roman"/>
      <w:b/>
      <w:i/>
      <w:iCs/>
      <w:sz w:val="24"/>
      <w:szCs w:val="24"/>
    </w:rPr>
  </w:style>
  <w:style w:type="character" w:customStyle="1" w:styleId="Heading3Char">
    <w:name w:val="Heading 3 Char"/>
    <w:basedOn w:val="DefaultParagraphFont"/>
    <w:link w:val="Heading3"/>
    <w:uiPriority w:val="9"/>
    <w:semiHidden/>
    <w:rsid w:val="004F10CE"/>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A16E2B"/>
    <w:pPr>
      <w:tabs>
        <w:tab w:val="center" w:pos="4513"/>
        <w:tab w:val="right" w:pos="9026"/>
      </w:tabs>
      <w:spacing w:line="240" w:lineRule="auto"/>
    </w:pPr>
  </w:style>
  <w:style w:type="character" w:customStyle="1" w:styleId="HeaderChar">
    <w:name w:val="Header Char"/>
    <w:basedOn w:val="DefaultParagraphFont"/>
    <w:link w:val="Header"/>
    <w:uiPriority w:val="99"/>
    <w:rsid w:val="00A16E2B"/>
  </w:style>
  <w:style w:type="paragraph" w:styleId="Footer">
    <w:name w:val="footer"/>
    <w:basedOn w:val="Normal"/>
    <w:link w:val="FooterChar"/>
    <w:uiPriority w:val="99"/>
    <w:unhideWhenUsed/>
    <w:rsid w:val="00A16E2B"/>
    <w:pPr>
      <w:tabs>
        <w:tab w:val="center" w:pos="4513"/>
        <w:tab w:val="right" w:pos="9026"/>
      </w:tabs>
      <w:spacing w:line="240" w:lineRule="auto"/>
    </w:pPr>
  </w:style>
  <w:style w:type="character" w:customStyle="1" w:styleId="FooterChar">
    <w:name w:val="Footer Char"/>
    <w:basedOn w:val="DefaultParagraphFont"/>
    <w:link w:val="Footer"/>
    <w:uiPriority w:val="99"/>
    <w:rsid w:val="00A16E2B"/>
  </w:style>
  <w:style w:type="paragraph" w:styleId="Revision">
    <w:name w:val="Revision"/>
    <w:hidden/>
    <w:uiPriority w:val="99"/>
    <w:semiHidden/>
    <w:rsid w:val="00402F3B"/>
    <w:pPr>
      <w:spacing w:after="0" w:line="240" w:lineRule="auto"/>
    </w:pPr>
  </w:style>
  <w:style w:type="table" w:styleId="TableGrid">
    <w:name w:val="Table Grid"/>
    <w:basedOn w:val="TableNormal"/>
    <w:uiPriority w:val="39"/>
    <w:rsid w:val="00625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8F4D1C"/>
  </w:style>
  <w:style w:type="paragraph" w:styleId="Subtitle">
    <w:name w:val="Subtitle"/>
    <w:basedOn w:val="Normal"/>
    <w:next w:val="Normal"/>
    <w:link w:val="SubtitleChar"/>
    <w:uiPriority w:val="11"/>
    <w:qFormat/>
    <w:rsid w:val="007C113E"/>
    <w:rPr>
      <w:b/>
      <w:bCs w:val="0"/>
    </w:rPr>
  </w:style>
  <w:style w:type="character" w:customStyle="1" w:styleId="SubtitleChar">
    <w:name w:val="Subtitle Char"/>
    <w:basedOn w:val="DefaultParagraphFont"/>
    <w:link w:val="Subtitle"/>
    <w:uiPriority w:val="11"/>
    <w:rsid w:val="007C113E"/>
    <w:rPr>
      <w:rFonts w:ascii="Times New Roman" w:hAnsi="Times New Roman" w:cs="Times New Roman"/>
      <w:b/>
      <w:sz w:val="24"/>
      <w:szCs w:val="24"/>
    </w:rPr>
  </w:style>
  <w:style w:type="character" w:styleId="SubtleReference">
    <w:name w:val="Subtle Reference"/>
    <w:uiPriority w:val="31"/>
    <w:qFormat/>
    <w:rsid w:val="0087301E"/>
    <w:rPr>
      <w:rFonts w:ascii="Times New Roman" w:hAnsi="Times New Roman" w:cs="Times New Roman"/>
      <w:sz w:val="24"/>
      <w:szCs w:val="24"/>
    </w:rPr>
  </w:style>
  <w:style w:type="character" w:styleId="SubtleEmphasis">
    <w:name w:val="Subtle Emphasis"/>
    <w:uiPriority w:val="19"/>
    <w:qFormat/>
    <w:rsid w:val="008557D4"/>
    <w:rPr>
      <w:i/>
      <w:iCs/>
      <w:u w:val="single"/>
    </w:rPr>
  </w:style>
  <w:style w:type="character" w:styleId="Emphasis">
    <w:name w:val="Emphasis"/>
    <w:basedOn w:val="DefaultParagraphFont"/>
    <w:uiPriority w:val="20"/>
    <w:qFormat/>
    <w:rsid w:val="00356012"/>
    <w:rPr>
      <w:i/>
      <w:iCs/>
    </w:rPr>
  </w:style>
  <w:style w:type="character" w:styleId="Strong">
    <w:name w:val="Strong"/>
    <w:basedOn w:val="DefaultParagraphFont"/>
    <w:uiPriority w:val="22"/>
    <w:qFormat/>
    <w:rsid w:val="00356012"/>
    <w:rPr>
      <w:b/>
      <w:bCs/>
    </w:rPr>
  </w:style>
  <w:style w:type="paragraph" w:styleId="Title">
    <w:name w:val="Title"/>
    <w:basedOn w:val="Normal"/>
    <w:next w:val="Normal"/>
    <w:link w:val="TitleChar"/>
    <w:uiPriority w:val="10"/>
    <w:qFormat/>
    <w:rsid w:val="00356012"/>
    <w:rPr>
      <w:b/>
      <w:bCs w:val="0"/>
    </w:rPr>
  </w:style>
  <w:style w:type="character" w:customStyle="1" w:styleId="TitleChar">
    <w:name w:val="Title Char"/>
    <w:basedOn w:val="DefaultParagraphFont"/>
    <w:link w:val="Title"/>
    <w:uiPriority w:val="10"/>
    <w:rsid w:val="00356012"/>
    <w:rPr>
      <w:rFonts w:ascii="Times New Roman" w:hAnsi="Times New Roman" w:cs="Times New Roman"/>
      <w:b/>
      <w:sz w:val="24"/>
      <w:szCs w:val="24"/>
    </w:rPr>
  </w:style>
  <w:style w:type="paragraph" w:customStyle="1" w:styleId="TableHeading">
    <w:name w:val="Table Heading"/>
    <w:basedOn w:val="Normal"/>
    <w:link w:val="TableHeadingChar"/>
    <w:rsid w:val="00440B6F"/>
    <w:pPr>
      <w:jc w:val="center"/>
    </w:pPr>
  </w:style>
  <w:style w:type="character" w:customStyle="1" w:styleId="TableHeadingChar">
    <w:name w:val="Table Heading Char"/>
    <w:basedOn w:val="DefaultParagraphFont"/>
    <w:link w:val="TableHeading"/>
    <w:rsid w:val="00440B6F"/>
    <w:rPr>
      <w:rFonts w:ascii="Times New Roman" w:hAnsi="Times New Roman" w:cs="Times New Roman"/>
      <w:bCs/>
      <w:sz w:val="24"/>
      <w:szCs w:val="24"/>
    </w:rPr>
  </w:style>
  <w:style w:type="paragraph" w:customStyle="1" w:styleId="EndNoteBibliographyTitle">
    <w:name w:val="EndNote Bibliography Title"/>
    <w:basedOn w:val="Normal"/>
    <w:rsid w:val="00A813A9"/>
    <w:pPr>
      <w:jc w:val="center"/>
    </w:pPr>
  </w:style>
  <w:style w:type="paragraph" w:customStyle="1" w:styleId="EndNoteBibliography">
    <w:name w:val="EndNote Bibliography"/>
    <w:basedOn w:val="Normal"/>
    <w:rsid w:val="00A813A9"/>
    <w:pPr>
      <w:spacing w:line="240" w:lineRule="auto"/>
      <w:jc w:val="center"/>
    </w:pPr>
  </w:style>
  <w:style w:type="paragraph" w:customStyle="1" w:styleId="Figure">
    <w:name w:val="Figure"/>
    <w:basedOn w:val="Heading2"/>
    <w:link w:val="FigureChar"/>
    <w:qFormat/>
    <w:rsid w:val="00CE75E2"/>
    <w:pPr>
      <w:numPr>
        <w:numId w:val="3"/>
      </w:numPr>
      <w:ind w:left="1418" w:hanging="1418"/>
    </w:pPr>
    <w:rPr>
      <w:b w:val="0"/>
      <w:bCs/>
      <w:i w:val="0"/>
      <w:iCs w:val="0"/>
    </w:rPr>
  </w:style>
  <w:style w:type="paragraph" w:customStyle="1" w:styleId="Table">
    <w:name w:val="Table"/>
    <w:basedOn w:val="Heading2"/>
    <w:link w:val="TableChar"/>
    <w:qFormat/>
    <w:rsid w:val="008B7AE2"/>
    <w:pPr>
      <w:spacing w:line="240" w:lineRule="auto"/>
    </w:pPr>
    <w:rPr>
      <w:i w:val="0"/>
      <w:iCs w:val="0"/>
    </w:rPr>
  </w:style>
  <w:style w:type="character" w:customStyle="1" w:styleId="FigureChar">
    <w:name w:val="Figure Char"/>
    <w:basedOn w:val="Heading2Char"/>
    <w:link w:val="Figure"/>
    <w:rsid w:val="00CE75E2"/>
    <w:rPr>
      <w:rFonts w:ascii="Times New Roman" w:hAnsi="Times New Roman" w:cs="Times New Roman"/>
      <w:b w:val="0"/>
      <w:bCs/>
      <w:i w:val="0"/>
      <w:iCs w:val="0"/>
      <w:sz w:val="24"/>
      <w:szCs w:val="24"/>
    </w:rPr>
  </w:style>
  <w:style w:type="character" w:customStyle="1" w:styleId="TableChar">
    <w:name w:val="Table Char"/>
    <w:basedOn w:val="Heading2Char"/>
    <w:link w:val="Table"/>
    <w:rsid w:val="008B7AE2"/>
    <w:rPr>
      <w:rFonts w:ascii="Times New Roman" w:hAnsi="Times New Roman" w:cs="Times New Roman"/>
      <w:b/>
      <w:i w:val="0"/>
      <w:iCs w:val="0"/>
      <w:sz w:val="24"/>
      <w:szCs w:val="24"/>
    </w:rPr>
  </w:style>
  <w:style w:type="character" w:styleId="Hyperlink">
    <w:name w:val="Hyperlink"/>
    <w:basedOn w:val="DefaultParagraphFont"/>
    <w:uiPriority w:val="99"/>
    <w:unhideWhenUsed/>
    <w:rsid w:val="008B42B0"/>
    <w:rPr>
      <w:color w:val="0000FF" w:themeColor="hyperlink"/>
      <w:u w:val="single"/>
    </w:rPr>
  </w:style>
  <w:style w:type="character" w:customStyle="1" w:styleId="Menzionenonrisolta1">
    <w:name w:val="Menzione non risolta1"/>
    <w:basedOn w:val="DefaultParagraphFont"/>
    <w:uiPriority w:val="99"/>
    <w:rsid w:val="008B42B0"/>
    <w:rPr>
      <w:color w:val="605E5C"/>
      <w:shd w:val="clear" w:color="auto" w:fill="E1DFDD"/>
    </w:rPr>
  </w:style>
  <w:style w:type="table" w:customStyle="1" w:styleId="TableGrid1">
    <w:name w:val="Table Grid1"/>
    <w:basedOn w:val="TableNormal"/>
    <w:next w:val="TableGrid"/>
    <w:uiPriority w:val="39"/>
    <w:rsid w:val="00B95ED7"/>
    <w:pPr>
      <w:spacing w:after="0" w:line="240" w:lineRule="auto"/>
    </w:pPr>
    <w:rPr>
      <w:rFonts w:ascii="Times New Roman" w:eastAsia="Batang"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95ED7"/>
    <w:pPr>
      <w:spacing w:after="0" w:line="240" w:lineRule="auto"/>
    </w:pPr>
    <w:rPr>
      <w:rFonts w:ascii="Times New Roman" w:eastAsia="Batang"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95ED7"/>
    <w:pPr>
      <w:spacing w:after="0" w:line="240" w:lineRule="auto"/>
    </w:pPr>
    <w:rPr>
      <w:rFonts w:ascii="Times New Roman" w:eastAsia="Batang"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95ED7"/>
    <w:pPr>
      <w:spacing w:after="0" w:line="240" w:lineRule="auto"/>
    </w:pPr>
    <w:rPr>
      <w:rFonts w:ascii="Times New Roman" w:eastAsia="Batang"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ubtitle">
    <w:name w:val="Table subtitle"/>
    <w:basedOn w:val="Normal"/>
    <w:link w:val="TablesubtitleChar"/>
    <w:qFormat/>
    <w:rsid w:val="00AF7E83"/>
    <w:pPr>
      <w:spacing w:line="240" w:lineRule="auto"/>
    </w:pPr>
  </w:style>
  <w:style w:type="character" w:customStyle="1" w:styleId="TablesubtitleChar">
    <w:name w:val="Table subtitle Char"/>
    <w:basedOn w:val="DefaultParagraphFont"/>
    <w:link w:val="Tablesubtitle"/>
    <w:rsid w:val="00AF7E83"/>
    <w:rPr>
      <w:rFonts w:ascii="Times New Roman" w:hAnsi="Times New Roman" w:cs="Times New Roman"/>
      <w:bCs/>
      <w:sz w:val="24"/>
      <w:szCs w:val="24"/>
    </w:rPr>
  </w:style>
  <w:style w:type="character" w:customStyle="1" w:styleId="Heading4Char">
    <w:name w:val="Heading 4 Char"/>
    <w:basedOn w:val="DefaultParagraphFont"/>
    <w:link w:val="Heading4"/>
    <w:uiPriority w:val="9"/>
    <w:semiHidden/>
    <w:rsid w:val="008C7F25"/>
    <w:rPr>
      <w:rFonts w:asciiTheme="majorHAnsi" w:eastAsiaTheme="majorEastAsia" w:hAnsiTheme="majorHAnsi" w:cstheme="majorBidi"/>
      <w:bCs/>
      <w:i/>
      <w:iCs/>
      <w:color w:val="365F91" w:themeColor="accent1" w:themeShade="BF"/>
      <w:sz w:val="24"/>
      <w:szCs w:val="24"/>
    </w:rPr>
  </w:style>
  <w:style w:type="paragraph" w:customStyle="1" w:styleId="Text">
    <w:name w:val="Text"/>
    <w:basedOn w:val="Normal"/>
    <w:link w:val="TextChar"/>
    <w:qFormat/>
    <w:rsid w:val="00A138DF"/>
    <w:rPr>
      <w:rFonts w:eastAsiaTheme="minorHAnsi"/>
      <w:bCs w:val="0"/>
      <w:lang w:eastAsia="en-US"/>
    </w:rPr>
  </w:style>
  <w:style w:type="character" w:customStyle="1" w:styleId="TextChar">
    <w:name w:val="Text Char"/>
    <w:basedOn w:val="DefaultParagraphFont"/>
    <w:link w:val="Text"/>
    <w:rsid w:val="00A138DF"/>
    <w:rPr>
      <w:rFonts w:ascii="Times New Roman" w:eastAsiaTheme="minorHAnsi" w:hAnsi="Times New Roman" w:cs="Times New Roman"/>
      <w:sz w:val="24"/>
      <w:szCs w:val="24"/>
      <w:lang w:eastAsia="en-US"/>
    </w:rPr>
  </w:style>
  <w:style w:type="paragraph" w:styleId="HTMLPreformatted">
    <w:name w:val="HTML Preformatted"/>
    <w:basedOn w:val="Normal"/>
    <w:link w:val="HTMLPreformattedChar"/>
    <w:uiPriority w:val="99"/>
    <w:semiHidden/>
    <w:unhideWhenUsed/>
    <w:rsid w:val="00F33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bCs w:val="0"/>
      <w:sz w:val="20"/>
      <w:szCs w:val="20"/>
    </w:rPr>
  </w:style>
  <w:style w:type="character" w:customStyle="1" w:styleId="HTMLPreformattedChar">
    <w:name w:val="HTML Preformatted Char"/>
    <w:basedOn w:val="DefaultParagraphFont"/>
    <w:link w:val="HTMLPreformatted"/>
    <w:uiPriority w:val="99"/>
    <w:semiHidden/>
    <w:rsid w:val="00F334D2"/>
    <w:rPr>
      <w:rFonts w:ascii="Courier New" w:eastAsia="Times New Roman" w:hAnsi="Courier New" w:cs="Courier New"/>
      <w:sz w:val="20"/>
      <w:szCs w:val="20"/>
    </w:rPr>
  </w:style>
  <w:style w:type="paragraph" w:styleId="BodyText">
    <w:name w:val="Body Text"/>
    <w:basedOn w:val="Normal"/>
    <w:link w:val="BodyTextChar"/>
    <w:uiPriority w:val="1"/>
    <w:qFormat/>
    <w:rsid w:val="00886288"/>
    <w:pPr>
      <w:widowControl w:val="0"/>
      <w:spacing w:line="240" w:lineRule="auto"/>
      <w:ind w:left="117"/>
      <w:jc w:val="left"/>
    </w:pPr>
    <w:rPr>
      <w:rFonts w:ascii="Calibri" w:eastAsia="Calibri" w:hAnsi="Calibri" w:cstheme="minorBidi"/>
      <w:bCs w:val="0"/>
      <w:lang w:val="en-US" w:eastAsia="ja-JP"/>
    </w:rPr>
  </w:style>
  <w:style w:type="character" w:customStyle="1" w:styleId="BodyTextChar">
    <w:name w:val="Body Text Char"/>
    <w:basedOn w:val="DefaultParagraphFont"/>
    <w:link w:val="BodyText"/>
    <w:uiPriority w:val="1"/>
    <w:rsid w:val="00886288"/>
    <w:rPr>
      <w:rFonts w:ascii="Calibri" w:eastAsia="Calibri" w:hAnsi="Calibri"/>
      <w:sz w:val="24"/>
      <w:szCs w:val="24"/>
      <w:lang w:val="en-US" w:eastAsia="ja-JP"/>
    </w:rPr>
  </w:style>
  <w:style w:type="table" w:customStyle="1" w:styleId="TableGrid5">
    <w:name w:val="Table Grid5"/>
    <w:basedOn w:val="TableNormal"/>
    <w:next w:val="TableGrid"/>
    <w:uiPriority w:val="39"/>
    <w:rsid w:val="00A55449"/>
    <w:pPr>
      <w:spacing w:after="0" w:line="240" w:lineRule="auto"/>
    </w:pPr>
    <w:rPr>
      <w:rFonts w:ascii="Times New Roman" w:eastAsia="Calibri"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A55449"/>
    <w:pPr>
      <w:spacing w:after="0" w:line="240" w:lineRule="auto"/>
    </w:pPr>
    <w:rPr>
      <w:rFonts w:ascii="Times New Roman" w:eastAsia="Calibri"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865AC"/>
    <w:pPr>
      <w:spacing w:before="100" w:beforeAutospacing="1" w:after="100" w:afterAutospacing="1" w:line="240" w:lineRule="auto"/>
      <w:jc w:val="left"/>
    </w:pPr>
    <w:rPr>
      <w:rFonts w:eastAsia="Times New Roman"/>
      <w:bCs w:val="0"/>
    </w:rPr>
  </w:style>
  <w:style w:type="table" w:customStyle="1" w:styleId="TableGrid7">
    <w:name w:val="Table Grid7"/>
    <w:basedOn w:val="TableNormal"/>
    <w:next w:val="TableGrid"/>
    <w:uiPriority w:val="39"/>
    <w:rsid w:val="00F72EA6"/>
    <w:pPr>
      <w:spacing w:after="0" w:line="240" w:lineRule="auto"/>
    </w:pPr>
    <w:rPr>
      <w:rFonts w:ascii="Times New Roman" w:eastAsia="Calibri"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245E97"/>
    <w:pPr>
      <w:spacing w:after="0" w:line="240" w:lineRule="auto"/>
    </w:pPr>
    <w:rPr>
      <w:rFonts w:ascii="Times New Roman" w:eastAsia="Calibri" w:hAnsi="Times New Roman" w:cs="Times New Roman"/>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E847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8230">
      <w:bodyDiv w:val="1"/>
      <w:marLeft w:val="0"/>
      <w:marRight w:val="0"/>
      <w:marTop w:val="0"/>
      <w:marBottom w:val="0"/>
      <w:divBdr>
        <w:top w:val="none" w:sz="0" w:space="0" w:color="auto"/>
        <w:left w:val="none" w:sz="0" w:space="0" w:color="auto"/>
        <w:bottom w:val="none" w:sz="0" w:space="0" w:color="auto"/>
        <w:right w:val="none" w:sz="0" w:space="0" w:color="auto"/>
      </w:divBdr>
    </w:div>
    <w:div w:id="47075272">
      <w:bodyDiv w:val="1"/>
      <w:marLeft w:val="0"/>
      <w:marRight w:val="0"/>
      <w:marTop w:val="0"/>
      <w:marBottom w:val="0"/>
      <w:divBdr>
        <w:top w:val="none" w:sz="0" w:space="0" w:color="auto"/>
        <w:left w:val="none" w:sz="0" w:space="0" w:color="auto"/>
        <w:bottom w:val="none" w:sz="0" w:space="0" w:color="auto"/>
        <w:right w:val="none" w:sz="0" w:space="0" w:color="auto"/>
      </w:divBdr>
    </w:div>
    <w:div w:id="50622675">
      <w:bodyDiv w:val="1"/>
      <w:marLeft w:val="0"/>
      <w:marRight w:val="0"/>
      <w:marTop w:val="0"/>
      <w:marBottom w:val="0"/>
      <w:divBdr>
        <w:top w:val="none" w:sz="0" w:space="0" w:color="auto"/>
        <w:left w:val="none" w:sz="0" w:space="0" w:color="auto"/>
        <w:bottom w:val="none" w:sz="0" w:space="0" w:color="auto"/>
        <w:right w:val="none" w:sz="0" w:space="0" w:color="auto"/>
      </w:divBdr>
    </w:div>
    <w:div w:id="83652883">
      <w:bodyDiv w:val="1"/>
      <w:marLeft w:val="0"/>
      <w:marRight w:val="0"/>
      <w:marTop w:val="0"/>
      <w:marBottom w:val="0"/>
      <w:divBdr>
        <w:top w:val="none" w:sz="0" w:space="0" w:color="auto"/>
        <w:left w:val="none" w:sz="0" w:space="0" w:color="auto"/>
        <w:bottom w:val="none" w:sz="0" w:space="0" w:color="auto"/>
        <w:right w:val="none" w:sz="0" w:space="0" w:color="auto"/>
      </w:divBdr>
    </w:div>
    <w:div w:id="112747171">
      <w:bodyDiv w:val="1"/>
      <w:marLeft w:val="0"/>
      <w:marRight w:val="0"/>
      <w:marTop w:val="0"/>
      <w:marBottom w:val="0"/>
      <w:divBdr>
        <w:top w:val="none" w:sz="0" w:space="0" w:color="auto"/>
        <w:left w:val="none" w:sz="0" w:space="0" w:color="auto"/>
        <w:bottom w:val="none" w:sz="0" w:space="0" w:color="auto"/>
        <w:right w:val="none" w:sz="0" w:space="0" w:color="auto"/>
      </w:divBdr>
    </w:div>
    <w:div w:id="141700988">
      <w:bodyDiv w:val="1"/>
      <w:marLeft w:val="0"/>
      <w:marRight w:val="0"/>
      <w:marTop w:val="0"/>
      <w:marBottom w:val="0"/>
      <w:divBdr>
        <w:top w:val="none" w:sz="0" w:space="0" w:color="auto"/>
        <w:left w:val="none" w:sz="0" w:space="0" w:color="auto"/>
        <w:bottom w:val="none" w:sz="0" w:space="0" w:color="auto"/>
        <w:right w:val="none" w:sz="0" w:space="0" w:color="auto"/>
      </w:divBdr>
    </w:div>
    <w:div w:id="143619230">
      <w:bodyDiv w:val="1"/>
      <w:marLeft w:val="0"/>
      <w:marRight w:val="0"/>
      <w:marTop w:val="0"/>
      <w:marBottom w:val="0"/>
      <w:divBdr>
        <w:top w:val="none" w:sz="0" w:space="0" w:color="auto"/>
        <w:left w:val="none" w:sz="0" w:space="0" w:color="auto"/>
        <w:bottom w:val="none" w:sz="0" w:space="0" w:color="auto"/>
        <w:right w:val="none" w:sz="0" w:space="0" w:color="auto"/>
      </w:divBdr>
    </w:div>
    <w:div w:id="153839156">
      <w:bodyDiv w:val="1"/>
      <w:marLeft w:val="0"/>
      <w:marRight w:val="0"/>
      <w:marTop w:val="0"/>
      <w:marBottom w:val="0"/>
      <w:divBdr>
        <w:top w:val="none" w:sz="0" w:space="0" w:color="auto"/>
        <w:left w:val="none" w:sz="0" w:space="0" w:color="auto"/>
        <w:bottom w:val="none" w:sz="0" w:space="0" w:color="auto"/>
        <w:right w:val="none" w:sz="0" w:space="0" w:color="auto"/>
      </w:divBdr>
    </w:div>
    <w:div w:id="224948944">
      <w:bodyDiv w:val="1"/>
      <w:marLeft w:val="0"/>
      <w:marRight w:val="0"/>
      <w:marTop w:val="0"/>
      <w:marBottom w:val="0"/>
      <w:divBdr>
        <w:top w:val="none" w:sz="0" w:space="0" w:color="auto"/>
        <w:left w:val="none" w:sz="0" w:space="0" w:color="auto"/>
        <w:bottom w:val="none" w:sz="0" w:space="0" w:color="auto"/>
        <w:right w:val="none" w:sz="0" w:space="0" w:color="auto"/>
      </w:divBdr>
    </w:div>
    <w:div w:id="256596643">
      <w:bodyDiv w:val="1"/>
      <w:marLeft w:val="0"/>
      <w:marRight w:val="0"/>
      <w:marTop w:val="0"/>
      <w:marBottom w:val="0"/>
      <w:divBdr>
        <w:top w:val="none" w:sz="0" w:space="0" w:color="auto"/>
        <w:left w:val="none" w:sz="0" w:space="0" w:color="auto"/>
        <w:bottom w:val="none" w:sz="0" w:space="0" w:color="auto"/>
        <w:right w:val="none" w:sz="0" w:space="0" w:color="auto"/>
      </w:divBdr>
    </w:div>
    <w:div w:id="274100823">
      <w:bodyDiv w:val="1"/>
      <w:marLeft w:val="0"/>
      <w:marRight w:val="0"/>
      <w:marTop w:val="0"/>
      <w:marBottom w:val="0"/>
      <w:divBdr>
        <w:top w:val="none" w:sz="0" w:space="0" w:color="auto"/>
        <w:left w:val="none" w:sz="0" w:space="0" w:color="auto"/>
        <w:bottom w:val="none" w:sz="0" w:space="0" w:color="auto"/>
        <w:right w:val="none" w:sz="0" w:space="0" w:color="auto"/>
      </w:divBdr>
    </w:div>
    <w:div w:id="277758631">
      <w:bodyDiv w:val="1"/>
      <w:marLeft w:val="0"/>
      <w:marRight w:val="0"/>
      <w:marTop w:val="0"/>
      <w:marBottom w:val="0"/>
      <w:divBdr>
        <w:top w:val="none" w:sz="0" w:space="0" w:color="auto"/>
        <w:left w:val="none" w:sz="0" w:space="0" w:color="auto"/>
        <w:bottom w:val="none" w:sz="0" w:space="0" w:color="auto"/>
        <w:right w:val="none" w:sz="0" w:space="0" w:color="auto"/>
      </w:divBdr>
    </w:div>
    <w:div w:id="448551680">
      <w:bodyDiv w:val="1"/>
      <w:marLeft w:val="0"/>
      <w:marRight w:val="0"/>
      <w:marTop w:val="0"/>
      <w:marBottom w:val="0"/>
      <w:divBdr>
        <w:top w:val="none" w:sz="0" w:space="0" w:color="auto"/>
        <w:left w:val="none" w:sz="0" w:space="0" w:color="auto"/>
        <w:bottom w:val="none" w:sz="0" w:space="0" w:color="auto"/>
        <w:right w:val="none" w:sz="0" w:space="0" w:color="auto"/>
      </w:divBdr>
    </w:div>
    <w:div w:id="498621273">
      <w:bodyDiv w:val="1"/>
      <w:marLeft w:val="0"/>
      <w:marRight w:val="0"/>
      <w:marTop w:val="0"/>
      <w:marBottom w:val="0"/>
      <w:divBdr>
        <w:top w:val="none" w:sz="0" w:space="0" w:color="auto"/>
        <w:left w:val="none" w:sz="0" w:space="0" w:color="auto"/>
        <w:bottom w:val="none" w:sz="0" w:space="0" w:color="auto"/>
        <w:right w:val="none" w:sz="0" w:space="0" w:color="auto"/>
      </w:divBdr>
    </w:div>
    <w:div w:id="542982269">
      <w:bodyDiv w:val="1"/>
      <w:marLeft w:val="0"/>
      <w:marRight w:val="0"/>
      <w:marTop w:val="0"/>
      <w:marBottom w:val="0"/>
      <w:divBdr>
        <w:top w:val="none" w:sz="0" w:space="0" w:color="auto"/>
        <w:left w:val="none" w:sz="0" w:space="0" w:color="auto"/>
        <w:bottom w:val="none" w:sz="0" w:space="0" w:color="auto"/>
        <w:right w:val="none" w:sz="0" w:space="0" w:color="auto"/>
      </w:divBdr>
    </w:div>
    <w:div w:id="551119454">
      <w:bodyDiv w:val="1"/>
      <w:marLeft w:val="0"/>
      <w:marRight w:val="0"/>
      <w:marTop w:val="0"/>
      <w:marBottom w:val="0"/>
      <w:divBdr>
        <w:top w:val="none" w:sz="0" w:space="0" w:color="auto"/>
        <w:left w:val="none" w:sz="0" w:space="0" w:color="auto"/>
        <w:bottom w:val="none" w:sz="0" w:space="0" w:color="auto"/>
        <w:right w:val="none" w:sz="0" w:space="0" w:color="auto"/>
      </w:divBdr>
    </w:div>
    <w:div w:id="559753203">
      <w:bodyDiv w:val="1"/>
      <w:marLeft w:val="0"/>
      <w:marRight w:val="0"/>
      <w:marTop w:val="0"/>
      <w:marBottom w:val="0"/>
      <w:divBdr>
        <w:top w:val="none" w:sz="0" w:space="0" w:color="auto"/>
        <w:left w:val="none" w:sz="0" w:space="0" w:color="auto"/>
        <w:bottom w:val="none" w:sz="0" w:space="0" w:color="auto"/>
        <w:right w:val="none" w:sz="0" w:space="0" w:color="auto"/>
      </w:divBdr>
    </w:div>
    <w:div w:id="694422021">
      <w:bodyDiv w:val="1"/>
      <w:marLeft w:val="0"/>
      <w:marRight w:val="0"/>
      <w:marTop w:val="0"/>
      <w:marBottom w:val="0"/>
      <w:divBdr>
        <w:top w:val="none" w:sz="0" w:space="0" w:color="auto"/>
        <w:left w:val="none" w:sz="0" w:space="0" w:color="auto"/>
        <w:bottom w:val="none" w:sz="0" w:space="0" w:color="auto"/>
        <w:right w:val="none" w:sz="0" w:space="0" w:color="auto"/>
      </w:divBdr>
    </w:div>
    <w:div w:id="710114705">
      <w:bodyDiv w:val="1"/>
      <w:marLeft w:val="0"/>
      <w:marRight w:val="0"/>
      <w:marTop w:val="0"/>
      <w:marBottom w:val="0"/>
      <w:divBdr>
        <w:top w:val="none" w:sz="0" w:space="0" w:color="auto"/>
        <w:left w:val="none" w:sz="0" w:space="0" w:color="auto"/>
        <w:bottom w:val="none" w:sz="0" w:space="0" w:color="auto"/>
        <w:right w:val="none" w:sz="0" w:space="0" w:color="auto"/>
      </w:divBdr>
    </w:div>
    <w:div w:id="741221823">
      <w:bodyDiv w:val="1"/>
      <w:marLeft w:val="0"/>
      <w:marRight w:val="0"/>
      <w:marTop w:val="0"/>
      <w:marBottom w:val="0"/>
      <w:divBdr>
        <w:top w:val="none" w:sz="0" w:space="0" w:color="auto"/>
        <w:left w:val="none" w:sz="0" w:space="0" w:color="auto"/>
        <w:bottom w:val="none" w:sz="0" w:space="0" w:color="auto"/>
        <w:right w:val="none" w:sz="0" w:space="0" w:color="auto"/>
      </w:divBdr>
    </w:div>
    <w:div w:id="774980169">
      <w:bodyDiv w:val="1"/>
      <w:marLeft w:val="0"/>
      <w:marRight w:val="0"/>
      <w:marTop w:val="0"/>
      <w:marBottom w:val="0"/>
      <w:divBdr>
        <w:top w:val="none" w:sz="0" w:space="0" w:color="auto"/>
        <w:left w:val="none" w:sz="0" w:space="0" w:color="auto"/>
        <w:bottom w:val="none" w:sz="0" w:space="0" w:color="auto"/>
        <w:right w:val="none" w:sz="0" w:space="0" w:color="auto"/>
      </w:divBdr>
    </w:div>
    <w:div w:id="835807753">
      <w:bodyDiv w:val="1"/>
      <w:marLeft w:val="0"/>
      <w:marRight w:val="0"/>
      <w:marTop w:val="0"/>
      <w:marBottom w:val="0"/>
      <w:divBdr>
        <w:top w:val="none" w:sz="0" w:space="0" w:color="auto"/>
        <w:left w:val="none" w:sz="0" w:space="0" w:color="auto"/>
        <w:bottom w:val="none" w:sz="0" w:space="0" w:color="auto"/>
        <w:right w:val="none" w:sz="0" w:space="0" w:color="auto"/>
      </w:divBdr>
    </w:div>
    <w:div w:id="837648129">
      <w:bodyDiv w:val="1"/>
      <w:marLeft w:val="0"/>
      <w:marRight w:val="0"/>
      <w:marTop w:val="0"/>
      <w:marBottom w:val="0"/>
      <w:divBdr>
        <w:top w:val="none" w:sz="0" w:space="0" w:color="auto"/>
        <w:left w:val="none" w:sz="0" w:space="0" w:color="auto"/>
        <w:bottom w:val="none" w:sz="0" w:space="0" w:color="auto"/>
        <w:right w:val="none" w:sz="0" w:space="0" w:color="auto"/>
      </w:divBdr>
    </w:div>
    <w:div w:id="855801380">
      <w:bodyDiv w:val="1"/>
      <w:marLeft w:val="0"/>
      <w:marRight w:val="0"/>
      <w:marTop w:val="0"/>
      <w:marBottom w:val="0"/>
      <w:divBdr>
        <w:top w:val="none" w:sz="0" w:space="0" w:color="auto"/>
        <w:left w:val="none" w:sz="0" w:space="0" w:color="auto"/>
        <w:bottom w:val="none" w:sz="0" w:space="0" w:color="auto"/>
        <w:right w:val="none" w:sz="0" w:space="0" w:color="auto"/>
      </w:divBdr>
    </w:div>
    <w:div w:id="947393095">
      <w:bodyDiv w:val="1"/>
      <w:marLeft w:val="0"/>
      <w:marRight w:val="0"/>
      <w:marTop w:val="0"/>
      <w:marBottom w:val="0"/>
      <w:divBdr>
        <w:top w:val="none" w:sz="0" w:space="0" w:color="auto"/>
        <w:left w:val="none" w:sz="0" w:space="0" w:color="auto"/>
        <w:bottom w:val="none" w:sz="0" w:space="0" w:color="auto"/>
        <w:right w:val="none" w:sz="0" w:space="0" w:color="auto"/>
      </w:divBdr>
    </w:div>
    <w:div w:id="1023704748">
      <w:bodyDiv w:val="1"/>
      <w:marLeft w:val="0"/>
      <w:marRight w:val="0"/>
      <w:marTop w:val="0"/>
      <w:marBottom w:val="0"/>
      <w:divBdr>
        <w:top w:val="none" w:sz="0" w:space="0" w:color="auto"/>
        <w:left w:val="none" w:sz="0" w:space="0" w:color="auto"/>
        <w:bottom w:val="none" w:sz="0" w:space="0" w:color="auto"/>
        <w:right w:val="none" w:sz="0" w:space="0" w:color="auto"/>
      </w:divBdr>
    </w:div>
    <w:div w:id="1045520582">
      <w:bodyDiv w:val="1"/>
      <w:marLeft w:val="0"/>
      <w:marRight w:val="0"/>
      <w:marTop w:val="0"/>
      <w:marBottom w:val="0"/>
      <w:divBdr>
        <w:top w:val="none" w:sz="0" w:space="0" w:color="auto"/>
        <w:left w:val="none" w:sz="0" w:space="0" w:color="auto"/>
        <w:bottom w:val="none" w:sz="0" w:space="0" w:color="auto"/>
        <w:right w:val="none" w:sz="0" w:space="0" w:color="auto"/>
      </w:divBdr>
    </w:div>
    <w:div w:id="1050812436">
      <w:bodyDiv w:val="1"/>
      <w:marLeft w:val="0"/>
      <w:marRight w:val="0"/>
      <w:marTop w:val="0"/>
      <w:marBottom w:val="0"/>
      <w:divBdr>
        <w:top w:val="none" w:sz="0" w:space="0" w:color="auto"/>
        <w:left w:val="none" w:sz="0" w:space="0" w:color="auto"/>
        <w:bottom w:val="none" w:sz="0" w:space="0" w:color="auto"/>
        <w:right w:val="none" w:sz="0" w:space="0" w:color="auto"/>
      </w:divBdr>
    </w:div>
    <w:div w:id="1125002187">
      <w:bodyDiv w:val="1"/>
      <w:marLeft w:val="0"/>
      <w:marRight w:val="0"/>
      <w:marTop w:val="0"/>
      <w:marBottom w:val="0"/>
      <w:divBdr>
        <w:top w:val="none" w:sz="0" w:space="0" w:color="auto"/>
        <w:left w:val="none" w:sz="0" w:space="0" w:color="auto"/>
        <w:bottom w:val="none" w:sz="0" w:space="0" w:color="auto"/>
        <w:right w:val="none" w:sz="0" w:space="0" w:color="auto"/>
      </w:divBdr>
    </w:div>
    <w:div w:id="1196851064">
      <w:bodyDiv w:val="1"/>
      <w:marLeft w:val="0"/>
      <w:marRight w:val="0"/>
      <w:marTop w:val="0"/>
      <w:marBottom w:val="0"/>
      <w:divBdr>
        <w:top w:val="none" w:sz="0" w:space="0" w:color="auto"/>
        <w:left w:val="none" w:sz="0" w:space="0" w:color="auto"/>
        <w:bottom w:val="none" w:sz="0" w:space="0" w:color="auto"/>
        <w:right w:val="none" w:sz="0" w:space="0" w:color="auto"/>
      </w:divBdr>
    </w:div>
    <w:div w:id="1225792842">
      <w:bodyDiv w:val="1"/>
      <w:marLeft w:val="0"/>
      <w:marRight w:val="0"/>
      <w:marTop w:val="0"/>
      <w:marBottom w:val="0"/>
      <w:divBdr>
        <w:top w:val="none" w:sz="0" w:space="0" w:color="auto"/>
        <w:left w:val="none" w:sz="0" w:space="0" w:color="auto"/>
        <w:bottom w:val="none" w:sz="0" w:space="0" w:color="auto"/>
        <w:right w:val="none" w:sz="0" w:space="0" w:color="auto"/>
      </w:divBdr>
    </w:div>
    <w:div w:id="1308047367">
      <w:bodyDiv w:val="1"/>
      <w:marLeft w:val="0"/>
      <w:marRight w:val="0"/>
      <w:marTop w:val="0"/>
      <w:marBottom w:val="0"/>
      <w:divBdr>
        <w:top w:val="none" w:sz="0" w:space="0" w:color="auto"/>
        <w:left w:val="none" w:sz="0" w:space="0" w:color="auto"/>
        <w:bottom w:val="none" w:sz="0" w:space="0" w:color="auto"/>
        <w:right w:val="none" w:sz="0" w:space="0" w:color="auto"/>
      </w:divBdr>
    </w:div>
    <w:div w:id="1320883923">
      <w:bodyDiv w:val="1"/>
      <w:marLeft w:val="0"/>
      <w:marRight w:val="0"/>
      <w:marTop w:val="0"/>
      <w:marBottom w:val="0"/>
      <w:divBdr>
        <w:top w:val="none" w:sz="0" w:space="0" w:color="auto"/>
        <w:left w:val="none" w:sz="0" w:space="0" w:color="auto"/>
        <w:bottom w:val="none" w:sz="0" w:space="0" w:color="auto"/>
        <w:right w:val="none" w:sz="0" w:space="0" w:color="auto"/>
      </w:divBdr>
    </w:div>
    <w:div w:id="1355380719">
      <w:bodyDiv w:val="1"/>
      <w:marLeft w:val="0"/>
      <w:marRight w:val="0"/>
      <w:marTop w:val="0"/>
      <w:marBottom w:val="0"/>
      <w:divBdr>
        <w:top w:val="none" w:sz="0" w:space="0" w:color="auto"/>
        <w:left w:val="none" w:sz="0" w:space="0" w:color="auto"/>
        <w:bottom w:val="none" w:sz="0" w:space="0" w:color="auto"/>
        <w:right w:val="none" w:sz="0" w:space="0" w:color="auto"/>
      </w:divBdr>
    </w:div>
    <w:div w:id="1388256782">
      <w:bodyDiv w:val="1"/>
      <w:marLeft w:val="0"/>
      <w:marRight w:val="0"/>
      <w:marTop w:val="0"/>
      <w:marBottom w:val="0"/>
      <w:divBdr>
        <w:top w:val="none" w:sz="0" w:space="0" w:color="auto"/>
        <w:left w:val="none" w:sz="0" w:space="0" w:color="auto"/>
        <w:bottom w:val="none" w:sz="0" w:space="0" w:color="auto"/>
        <w:right w:val="none" w:sz="0" w:space="0" w:color="auto"/>
      </w:divBdr>
    </w:div>
    <w:div w:id="1540775584">
      <w:bodyDiv w:val="1"/>
      <w:marLeft w:val="0"/>
      <w:marRight w:val="0"/>
      <w:marTop w:val="0"/>
      <w:marBottom w:val="0"/>
      <w:divBdr>
        <w:top w:val="none" w:sz="0" w:space="0" w:color="auto"/>
        <w:left w:val="none" w:sz="0" w:space="0" w:color="auto"/>
        <w:bottom w:val="none" w:sz="0" w:space="0" w:color="auto"/>
        <w:right w:val="none" w:sz="0" w:space="0" w:color="auto"/>
      </w:divBdr>
    </w:div>
    <w:div w:id="1679306352">
      <w:bodyDiv w:val="1"/>
      <w:marLeft w:val="0"/>
      <w:marRight w:val="0"/>
      <w:marTop w:val="0"/>
      <w:marBottom w:val="0"/>
      <w:divBdr>
        <w:top w:val="none" w:sz="0" w:space="0" w:color="auto"/>
        <w:left w:val="none" w:sz="0" w:space="0" w:color="auto"/>
        <w:bottom w:val="none" w:sz="0" w:space="0" w:color="auto"/>
        <w:right w:val="none" w:sz="0" w:space="0" w:color="auto"/>
      </w:divBdr>
    </w:div>
    <w:div w:id="1681085396">
      <w:bodyDiv w:val="1"/>
      <w:marLeft w:val="0"/>
      <w:marRight w:val="0"/>
      <w:marTop w:val="0"/>
      <w:marBottom w:val="0"/>
      <w:divBdr>
        <w:top w:val="none" w:sz="0" w:space="0" w:color="auto"/>
        <w:left w:val="none" w:sz="0" w:space="0" w:color="auto"/>
        <w:bottom w:val="none" w:sz="0" w:space="0" w:color="auto"/>
        <w:right w:val="none" w:sz="0" w:space="0" w:color="auto"/>
      </w:divBdr>
    </w:div>
    <w:div w:id="1694696011">
      <w:bodyDiv w:val="1"/>
      <w:marLeft w:val="0"/>
      <w:marRight w:val="0"/>
      <w:marTop w:val="0"/>
      <w:marBottom w:val="0"/>
      <w:divBdr>
        <w:top w:val="none" w:sz="0" w:space="0" w:color="auto"/>
        <w:left w:val="none" w:sz="0" w:space="0" w:color="auto"/>
        <w:bottom w:val="none" w:sz="0" w:space="0" w:color="auto"/>
        <w:right w:val="none" w:sz="0" w:space="0" w:color="auto"/>
      </w:divBdr>
    </w:div>
    <w:div w:id="1698853800">
      <w:bodyDiv w:val="1"/>
      <w:marLeft w:val="0"/>
      <w:marRight w:val="0"/>
      <w:marTop w:val="0"/>
      <w:marBottom w:val="0"/>
      <w:divBdr>
        <w:top w:val="none" w:sz="0" w:space="0" w:color="auto"/>
        <w:left w:val="none" w:sz="0" w:space="0" w:color="auto"/>
        <w:bottom w:val="none" w:sz="0" w:space="0" w:color="auto"/>
        <w:right w:val="none" w:sz="0" w:space="0" w:color="auto"/>
      </w:divBdr>
    </w:div>
    <w:div w:id="1772822915">
      <w:bodyDiv w:val="1"/>
      <w:marLeft w:val="0"/>
      <w:marRight w:val="0"/>
      <w:marTop w:val="0"/>
      <w:marBottom w:val="0"/>
      <w:divBdr>
        <w:top w:val="none" w:sz="0" w:space="0" w:color="auto"/>
        <w:left w:val="none" w:sz="0" w:space="0" w:color="auto"/>
        <w:bottom w:val="none" w:sz="0" w:space="0" w:color="auto"/>
        <w:right w:val="none" w:sz="0" w:space="0" w:color="auto"/>
      </w:divBdr>
    </w:div>
    <w:div w:id="1800763425">
      <w:bodyDiv w:val="1"/>
      <w:marLeft w:val="0"/>
      <w:marRight w:val="0"/>
      <w:marTop w:val="0"/>
      <w:marBottom w:val="0"/>
      <w:divBdr>
        <w:top w:val="none" w:sz="0" w:space="0" w:color="auto"/>
        <w:left w:val="none" w:sz="0" w:space="0" w:color="auto"/>
        <w:bottom w:val="none" w:sz="0" w:space="0" w:color="auto"/>
        <w:right w:val="none" w:sz="0" w:space="0" w:color="auto"/>
      </w:divBdr>
    </w:div>
    <w:div w:id="1812862596">
      <w:bodyDiv w:val="1"/>
      <w:marLeft w:val="0"/>
      <w:marRight w:val="0"/>
      <w:marTop w:val="0"/>
      <w:marBottom w:val="0"/>
      <w:divBdr>
        <w:top w:val="none" w:sz="0" w:space="0" w:color="auto"/>
        <w:left w:val="none" w:sz="0" w:space="0" w:color="auto"/>
        <w:bottom w:val="none" w:sz="0" w:space="0" w:color="auto"/>
        <w:right w:val="none" w:sz="0" w:space="0" w:color="auto"/>
      </w:divBdr>
    </w:div>
    <w:div w:id="1821075670">
      <w:bodyDiv w:val="1"/>
      <w:marLeft w:val="0"/>
      <w:marRight w:val="0"/>
      <w:marTop w:val="0"/>
      <w:marBottom w:val="0"/>
      <w:divBdr>
        <w:top w:val="none" w:sz="0" w:space="0" w:color="auto"/>
        <w:left w:val="none" w:sz="0" w:space="0" w:color="auto"/>
        <w:bottom w:val="none" w:sz="0" w:space="0" w:color="auto"/>
        <w:right w:val="none" w:sz="0" w:space="0" w:color="auto"/>
      </w:divBdr>
    </w:div>
    <w:div w:id="1824269823">
      <w:bodyDiv w:val="1"/>
      <w:marLeft w:val="0"/>
      <w:marRight w:val="0"/>
      <w:marTop w:val="0"/>
      <w:marBottom w:val="0"/>
      <w:divBdr>
        <w:top w:val="none" w:sz="0" w:space="0" w:color="auto"/>
        <w:left w:val="none" w:sz="0" w:space="0" w:color="auto"/>
        <w:bottom w:val="none" w:sz="0" w:space="0" w:color="auto"/>
        <w:right w:val="none" w:sz="0" w:space="0" w:color="auto"/>
      </w:divBdr>
    </w:div>
    <w:div w:id="1842621336">
      <w:bodyDiv w:val="1"/>
      <w:marLeft w:val="0"/>
      <w:marRight w:val="0"/>
      <w:marTop w:val="0"/>
      <w:marBottom w:val="0"/>
      <w:divBdr>
        <w:top w:val="none" w:sz="0" w:space="0" w:color="auto"/>
        <w:left w:val="none" w:sz="0" w:space="0" w:color="auto"/>
        <w:bottom w:val="none" w:sz="0" w:space="0" w:color="auto"/>
        <w:right w:val="none" w:sz="0" w:space="0" w:color="auto"/>
      </w:divBdr>
    </w:div>
    <w:div w:id="1871530715">
      <w:bodyDiv w:val="1"/>
      <w:marLeft w:val="0"/>
      <w:marRight w:val="0"/>
      <w:marTop w:val="0"/>
      <w:marBottom w:val="0"/>
      <w:divBdr>
        <w:top w:val="none" w:sz="0" w:space="0" w:color="auto"/>
        <w:left w:val="none" w:sz="0" w:space="0" w:color="auto"/>
        <w:bottom w:val="none" w:sz="0" w:space="0" w:color="auto"/>
        <w:right w:val="none" w:sz="0" w:space="0" w:color="auto"/>
      </w:divBdr>
    </w:div>
    <w:div w:id="1891845240">
      <w:bodyDiv w:val="1"/>
      <w:marLeft w:val="0"/>
      <w:marRight w:val="0"/>
      <w:marTop w:val="0"/>
      <w:marBottom w:val="0"/>
      <w:divBdr>
        <w:top w:val="none" w:sz="0" w:space="0" w:color="auto"/>
        <w:left w:val="none" w:sz="0" w:space="0" w:color="auto"/>
        <w:bottom w:val="none" w:sz="0" w:space="0" w:color="auto"/>
        <w:right w:val="none" w:sz="0" w:space="0" w:color="auto"/>
      </w:divBdr>
    </w:div>
    <w:div w:id="1914003233">
      <w:bodyDiv w:val="1"/>
      <w:marLeft w:val="0"/>
      <w:marRight w:val="0"/>
      <w:marTop w:val="0"/>
      <w:marBottom w:val="0"/>
      <w:divBdr>
        <w:top w:val="none" w:sz="0" w:space="0" w:color="auto"/>
        <w:left w:val="none" w:sz="0" w:space="0" w:color="auto"/>
        <w:bottom w:val="none" w:sz="0" w:space="0" w:color="auto"/>
        <w:right w:val="none" w:sz="0" w:space="0" w:color="auto"/>
      </w:divBdr>
    </w:div>
    <w:div w:id="1922249069">
      <w:bodyDiv w:val="1"/>
      <w:marLeft w:val="0"/>
      <w:marRight w:val="0"/>
      <w:marTop w:val="0"/>
      <w:marBottom w:val="0"/>
      <w:divBdr>
        <w:top w:val="none" w:sz="0" w:space="0" w:color="auto"/>
        <w:left w:val="none" w:sz="0" w:space="0" w:color="auto"/>
        <w:bottom w:val="none" w:sz="0" w:space="0" w:color="auto"/>
        <w:right w:val="none" w:sz="0" w:space="0" w:color="auto"/>
      </w:divBdr>
    </w:div>
    <w:div w:id="1934632558">
      <w:bodyDiv w:val="1"/>
      <w:marLeft w:val="0"/>
      <w:marRight w:val="0"/>
      <w:marTop w:val="0"/>
      <w:marBottom w:val="0"/>
      <w:divBdr>
        <w:top w:val="none" w:sz="0" w:space="0" w:color="auto"/>
        <w:left w:val="none" w:sz="0" w:space="0" w:color="auto"/>
        <w:bottom w:val="none" w:sz="0" w:space="0" w:color="auto"/>
        <w:right w:val="none" w:sz="0" w:space="0" w:color="auto"/>
      </w:divBdr>
    </w:div>
    <w:div w:id="1944340150">
      <w:bodyDiv w:val="1"/>
      <w:marLeft w:val="0"/>
      <w:marRight w:val="0"/>
      <w:marTop w:val="0"/>
      <w:marBottom w:val="0"/>
      <w:divBdr>
        <w:top w:val="none" w:sz="0" w:space="0" w:color="auto"/>
        <w:left w:val="none" w:sz="0" w:space="0" w:color="auto"/>
        <w:bottom w:val="none" w:sz="0" w:space="0" w:color="auto"/>
        <w:right w:val="none" w:sz="0" w:space="0" w:color="auto"/>
      </w:divBdr>
    </w:div>
    <w:div w:id="202107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gory.lip@liverpool.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919C608-22E6-49A4-B0BC-4D3B903C449C}">
  <we:reference id="wa104382081" version="1.5.0.0" store="en-US" storeType="OMEX"/>
  <we:alternateReferences>
    <we:reference id="wa104382081" version="1.5.0.0" store="WA104382081" storeType="OMEX"/>
  </we:alternateReferences>
  <we:properties>
    <we:property name="MENDELEY_CITATIONS" val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2A6CF-0DF0-4069-B3C5-25FE1CE79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22801</Words>
  <Characters>129968</Characters>
  <Application>Microsoft Office Word</Application>
  <DocSecurity>0</DocSecurity>
  <Lines>1083</Lines>
  <Paragraphs>304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Liverpool Heart and Chest Hospital</Company>
  <LinksUpToDate>false</LinksUpToDate>
  <CharactersWithSpaces>152465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Wern Yew Ding</dc:creator>
  <cp:lastModifiedBy>Lyus, Rosemary</cp:lastModifiedBy>
  <cp:revision>2</cp:revision>
  <dcterms:created xsi:type="dcterms:W3CDTF">2020-09-04T15:45:00Z</dcterms:created>
  <dcterms:modified xsi:type="dcterms:W3CDTF">2020-09-04T15:45:00Z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http://www.zotero.org/styles/american-heart-journal</vt:lpwstr>
  </property>
  <property fmtid="{D5CDD505-2E9C-101B-9397-08002B2CF9AE}" pid="3" name="Mendeley Recent Style Name 0_1">
    <vt:lpwstr>American Heart Journal</vt:lpwstr>
  </property>
  <property fmtid="{D5CDD505-2E9C-101B-9397-08002B2CF9AE}" pid="4" name="Mendeley Recent Style Id 1_1">
    <vt:lpwstr>http://www.zotero.org/styles/cardiovascular-research</vt:lpwstr>
  </property>
  <property fmtid="{D5CDD505-2E9C-101B-9397-08002B2CF9AE}" pid="5" name="Mendeley Recent Style Name 1_1">
    <vt:lpwstr>Cardiovascular Research</vt:lpwstr>
  </property>
  <property fmtid="{D5CDD505-2E9C-101B-9397-08002B2CF9AE}" pid="6" name="Mendeley Recent Style Id 2_1">
    <vt:lpwstr>http://www.zotero.org/styles/chest</vt:lpwstr>
  </property>
  <property fmtid="{D5CDD505-2E9C-101B-9397-08002B2CF9AE}" pid="7" name="Mendeley Recent Style Name 2_1">
    <vt:lpwstr>Chest</vt:lpwstr>
  </property>
  <property fmtid="{D5CDD505-2E9C-101B-9397-08002B2CF9AE}" pid="8" name="Mendeley Recent Style Id 3_1">
    <vt:lpwstr>http://csl.mendeley.com/styles/495272171/european-society-of-cardiology</vt:lpwstr>
  </property>
  <property fmtid="{D5CDD505-2E9C-101B-9397-08002B2CF9AE}" pid="9" name="Mendeley Recent Style Name 3_1">
    <vt:lpwstr>European Society of Cardiology - Wern Yew Ding</vt:lpwstr>
  </property>
  <property fmtid="{D5CDD505-2E9C-101B-9397-08002B2CF9AE}" pid="10" name="Mendeley Recent Style Id 4_1">
    <vt:lpwstr>http://www.zotero.org/styles/heart</vt:lpwstr>
  </property>
  <property fmtid="{D5CDD505-2E9C-101B-9397-08002B2CF9AE}" pid="11" name="Mendeley Recent Style Name 4_1">
    <vt:lpwstr>Heart</vt:lpwstr>
  </property>
  <property fmtid="{D5CDD505-2E9C-101B-9397-08002B2CF9AE}" pid="12" name="Mendeley Recent Style Id 5_1">
    <vt:lpwstr>http://www.zotero.org/styles/journal-of-the-american-college-of-cardiology</vt:lpwstr>
  </property>
  <property fmtid="{D5CDD505-2E9C-101B-9397-08002B2CF9AE}" pid="13" name="Mendeley Recent Style Name 5_1">
    <vt:lpwstr>Journal of the American College of Cardiology</vt:lpwstr>
  </property>
  <property fmtid="{D5CDD505-2E9C-101B-9397-08002B2CF9AE}" pid="14" name="Mendeley Recent Style Id 6_1">
    <vt:lpwstr>http://www.zotero.org/styles/journal-of-the-american-heart-association</vt:lpwstr>
  </property>
  <property fmtid="{D5CDD505-2E9C-101B-9397-08002B2CF9AE}" pid="15" name="Mendeley Recent Style Name 6_1">
    <vt:lpwstr>Journal of the American Heart Association</vt:lpwstr>
  </property>
  <property fmtid="{D5CDD505-2E9C-101B-9397-08002B2CF9AE}" pid="16" name="Mendeley Recent Style Id 7_1">
    <vt:lpwstr>http://www.zotero.org/styles/the-american-journal-of-cardiology</vt:lpwstr>
  </property>
  <property fmtid="{D5CDD505-2E9C-101B-9397-08002B2CF9AE}" pid="17" name="Mendeley Recent Style Name 7_1">
    <vt:lpwstr>The American Journal of Cardiology</vt:lpwstr>
  </property>
  <property fmtid="{D5CDD505-2E9C-101B-9397-08002B2CF9AE}" pid="18" name="Mendeley Recent Style Id 8_1">
    <vt:lpwstr>https://csl.mendeley.com/styles/495272171/thrombosis-and-haemostasis-3</vt:lpwstr>
  </property>
  <property fmtid="{D5CDD505-2E9C-101B-9397-08002B2CF9AE}" pid="19" name="Mendeley Recent Style Name 8_1">
    <vt:lpwstr>Thrombosis and Haemostasis - Wern Yew Ding</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9880f7fe-323f-37e0-90b3-229727a02ae3</vt:lpwstr>
  </property>
  <property fmtid="{D5CDD505-2E9C-101B-9397-08002B2CF9AE}" pid="24" name="Mendeley Citation Style_1">
    <vt:lpwstr>http://www.zotero.org/styles/the-american-journal-of-cardiology</vt:lpwstr>
  </property>
</Properties>
</file>