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AF790" w14:textId="77777777" w:rsidR="00D30D48" w:rsidRPr="00D30D48" w:rsidRDefault="00D30D48" w:rsidP="00D30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0D48">
        <w:rPr>
          <w:rFonts w:ascii="Times New Roman" w:hAnsi="Times New Roman" w:cs="Times New Roman"/>
          <w:b/>
          <w:sz w:val="24"/>
          <w:szCs w:val="24"/>
        </w:rPr>
        <w:t xml:space="preserve">NOVEL UNDERSTANDING OF THE PATHOGENESIS OF JUVENILE IDIOPATHIC ARTHRITIS: FOCUS ON </w:t>
      </w:r>
      <w:r w:rsidRPr="00D30D48">
        <w:rPr>
          <w:rFonts w:ascii="Times New Roman" w:hAnsi="Times New Roman" w:cs="Times New Roman"/>
          <w:b/>
          <w:bCs/>
          <w:sz w:val="24"/>
          <w:szCs w:val="24"/>
          <w:lang w:val="en-US"/>
        </w:rPr>
        <w:t>MESENCHYMAL STEM CELLS</w:t>
      </w:r>
      <w:r w:rsidRPr="00D30D48">
        <w:rPr>
          <w:rFonts w:ascii="Times New Roman" w:hAnsi="Times New Roman" w:cs="Times New Roman"/>
          <w:b/>
          <w:sz w:val="24"/>
          <w:szCs w:val="24"/>
        </w:rPr>
        <w:t xml:space="preserve"> IMPAIRMENT, SENESCENCE AND IMMUNOREGULATORY FUNCTION</w:t>
      </w:r>
    </w:p>
    <w:p w14:paraId="04880497" w14:textId="77777777" w:rsidR="00D30D48" w:rsidRPr="00D30D48" w:rsidRDefault="00D30D48" w:rsidP="00D30D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lang w:val="en-US"/>
        </w:rPr>
      </w:pPr>
      <w:r w:rsidRPr="00D30D48">
        <w:rPr>
          <w:rStyle w:val="normaltextrun"/>
          <w:rFonts w:eastAsiaTheme="majorEastAsia"/>
          <w:lang w:val="en-US"/>
        </w:rPr>
        <w:t>Lina N. Zaripova</w:t>
      </w:r>
      <w:r w:rsidRPr="00D30D48">
        <w:rPr>
          <w:rStyle w:val="normaltextrun"/>
          <w:rFonts w:eastAsiaTheme="majorEastAsia"/>
          <w:vertAlign w:val="superscript"/>
          <w:lang w:val="en-US"/>
        </w:rPr>
        <w:t>1</w:t>
      </w:r>
      <w:r w:rsidRPr="00D30D48">
        <w:rPr>
          <w:rStyle w:val="normaltextrun"/>
          <w:rFonts w:eastAsiaTheme="majorEastAsia"/>
          <w:lang w:val="en-US"/>
        </w:rPr>
        <w:t>, Angela Midgley</w:t>
      </w:r>
      <w:r w:rsidRPr="00D30D48">
        <w:rPr>
          <w:rStyle w:val="normaltextrun"/>
          <w:rFonts w:eastAsiaTheme="majorEastAsia"/>
          <w:vertAlign w:val="superscript"/>
          <w:lang w:val="en-US"/>
        </w:rPr>
        <w:t>2</w:t>
      </w:r>
      <w:r w:rsidRPr="00D30D48">
        <w:rPr>
          <w:rStyle w:val="normaltextrun"/>
          <w:rFonts w:eastAsiaTheme="majorEastAsia"/>
          <w:lang w:val="en-US"/>
        </w:rPr>
        <w:t>, Stephen E. Christmas</w:t>
      </w:r>
      <w:r w:rsidRPr="00D30D48">
        <w:rPr>
          <w:rStyle w:val="normaltextrun"/>
          <w:rFonts w:eastAsiaTheme="majorEastAsia"/>
          <w:vertAlign w:val="superscript"/>
          <w:lang w:val="en-US"/>
        </w:rPr>
        <w:t>3</w:t>
      </w:r>
      <w:r w:rsidRPr="00D30D48">
        <w:rPr>
          <w:rStyle w:val="normaltextrun"/>
          <w:rFonts w:eastAsiaTheme="majorEastAsia"/>
          <w:lang w:val="en-US"/>
        </w:rPr>
        <w:t>, Eileen M. Baildam</w:t>
      </w:r>
      <w:r w:rsidRPr="00D30D48">
        <w:rPr>
          <w:rStyle w:val="normaltextrun"/>
          <w:rFonts w:eastAsiaTheme="majorEastAsia"/>
          <w:vertAlign w:val="superscript"/>
          <w:lang w:val="en-US"/>
        </w:rPr>
        <w:t>4</w:t>
      </w:r>
      <w:r w:rsidRPr="00D30D48">
        <w:rPr>
          <w:rStyle w:val="normaltextrun"/>
          <w:rFonts w:eastAsiaTheme="majorEastAsia"/>
          <w:lang w:val="en-US"/>
        </w:rPr>
        <w:t>, Rachel A. Oldershaw</w:t>
      </w:r>
      <w:r w:rsidRPr="00D30D48">
        <w:rPr>
          <w:rStyle w:val="normaltextrun"/>
          <w:rFonts w:eastAsiaTheme="majorEastAsia"/>
          <w:vertAlign w:val="superscript"/>
          <w:lang w:val="en-US"/>
        </w:rPr>
        <w:t xml:space="preserve">1 </w:t>
      </w:r>
    </w:p>
    <w:p w14:paraId="7124CDF3" w14:textId="77777777" w:rsidR="00D30D48" w:rsidRPr="00D30D48" w:rsidRDefault="00D30D48" w:rsidP="00D30D48">
      <w:pPr>
        <w:jc w:val="both"/>
        <w:rPr>
          <w:rFonts w:ascii="Times New Roman" w:hAnsi="Times New Roman" w:cs="Times New Roman"/>
          <w:sz w:val="24"/>
          <w:szCs w:val="24"/>
        </w:rPr>
      </w:pPr>
      <w:r w:rsidRPr="00D30D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30D48">
        <w:rPr>
          <w:rFonts w:ascii="Times New Roman" w:hAnsi="Times New Roman" w:cs="Times New Roman"/>
          <w:sz w:val="24"/>
          <w:szCs w:val="24"/>
        </w:rPr>
        <w:t xml:space="preserve">Department of Musculoskeletal Biology, Institute of Ageing and Chronic Disease, Faculty of Health and Life Sciences, University of Liverpool, William Henry Duncan Building, 6 West Derby Street, Liverpool, L7 8TX, United Kingdom. </w:t>
      </w:r>
    </w:p>
    <w:p w14:paraId="2BFDCCDA" w14:textId="77777777" w:rsidR="00D30D48" w:rsidRPr="00D30D48" w:rsidRDefault="00D30D48" w:rsidP="00D30D48">
      <w:pPr>
        <w:jc w:val="both"/>
        <w:rPr>
          <w:rFonts w:ascii="Times New Roman" w:hAnsi="Times New Roman" w:cs="Times New Roman"/>
          <w:sz w:val="24"/>
          <w:szCs w:val="24"/>
        </w:rPr>
      </w:pPr>
      <w:r w:rsidRPr="00D30D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0D48">
        <w:rPr>
          <w:rFonts w:ascii="Times New Roman" w:hAnsi="Times New Roman" w:cs="Times New Roman"/>
          <w:sz w:val="24"/>
          <w:szCs w:val="24"/>
        </w:rPr>
        <w:t>Department of Women’s Health, Institute of Translational Medicine, University of Liverpool, University Department, First Floor, Liverpool Women's Hospital, Crown Street, Liverpool, L8 7SS, United Kingdom.</w:t>
      </w:r>
    </w:p>
    <w:p w14:paraId="42A89E7D" w14:textId="77777777" w:rsidR="00D30D48" w:rsidRPr="00D30D48" w:rsidRDefault="00D30D48" w:rsidP="00D30D48">
      <w:pPr>
        <w:jc w:val="both"/>
        <w:rPr>
          <w:rFonts w:ascii="Times New Roman" w:hAnsi="Times New Roman" w:cs="Times New Roman"/>
          <w:sz w:val="24"/>
          <w:szCs w:val="24"/>
        </w:rPr>
      </w:pPr>
      <w:r w:rsidRPr="00D30D4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30D48">
        <w:rPr>
          <w:rFonts w:ascii="Times New Roman" w:hAnsi="Times New Roman" w:cs="Times New Roman"/>
          <w:sz w:val="24"/>
          <w:szCs w:val="24"/>
        </w:rPr>
        <w:t>Department of Clinical Infection, Microbiology and Immunology, Institute of Infection and Global Health, Faculty of Health and Life Sciences, University of Liverpool, The Ronald Ross Building, 8 West Derby Street, Liverpool, L69 7BE, United Kingdom.</w:t>
      </w:r>
    </w:p>
    <w:p w14:paraId="59D4EC56" w14:textId="010DCB81" w:rsidR="00D30D48" w:rsidRPr="00D30D48" w:rsidRDefault="00D30D48" w:rsidP="00D30D48">
      <w:pPr>
        <w:rPr>
          <w:rFonts w:ascii="Times New Roman" w:hAnsi="Times New Roman" w:cs="Times New Roman"/>
          <w:sz w:val="24"/>
          <w:szCs w:val="24"/>
        </w:rPr>
      </w:pPr>
      <w:r w:rsidRPr="00D30D4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30D48">
        <w:rPr>
          <w:rFonts w:ascii="Times New Roman" w:hAnsi="Times New Roman" w:cs="Times New Roman"/>
          <w:sz w:val="24"/>
          <w:szCs w:val="24"/>
        </w:rPr>
        <w:t>Department of Paediatric Rheumatology, Alder Hey Children’s NHS Foundation Trust, East Prescott Road, Liverpool, L14 5AB, United Kingdom.</w:t>
      </w:r>
    </w:p>
    <w:p w14:paraId="0944C385" w14:textId="77DBDDF7" w:rsidR="00D30D48" w:rsidRPr="00D30D48" w:rsidRDefault="00D30D48" w:rsidP="00D30D48">
      <w:pPr>
        <w:rPr>
          <w:rFonts w:ascii="Times New Roman" w:hAnsi="Times New Roman" w:cs="Times New Roman"/>
          <w:sz w:val="24"/>
          <w:szCs w:val="24"/>
        </w:rPr>
      </w:pPr>
    </w:p>
    <w:p w14:paraId="5A20DC3B" w14:textId="59F38192" w:rsidR="00D30D48" w:rsidRPr="00D30D48" w:rsidRDefault="00D30D48" w:rsidP="00D30D48">
      <w:pPr>
        <w:rPr>
          <w:rFonts w:ascii="Times New Roman" w:hAnsi="Times New Roman" w:cs="Times New Roman"/>
          <w:sz w:val="24"/>
          <w:szCs w:val="24"/>
        </w:rPr>
      </w:pPr>
      <w:r w:rsidRPr="00D30D48">
        <w:rPr>
          <w:rFonts w:ascii="Times New Roman" w:hAnsi="Times New Roman" w:cs="Times New Roman"/>
          <w:b/>
          <w:bCs/>
          <w:sz w:val="24"/>
          <w:szCs w:val="24"/>
        </w:rPr>
        <w:t>Background</w:t>
      </w:r>
      <w:r w:rsidRPr="00D30D48">
        <w:rPr>
          <w:rFonts w:ascii="Times New Roman" w:hAnsi="Times New Roman" w:cs="Times New Roman"/>
          <w:sz w:val="24"/>
          <w:szCs w:val="24"/>
        </w:rPr>
        <w:t>:</w:t>
      </w:r>
    </w:p>
    <w:p w14:paraId="02EE7BD0" w14:textId="77777777" w:rsidR="00D30D48" w:rsidRPr="00D30D48" w:rsidRDefault="00D30D48" w:rsidP="00D30D48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D30D48">
        <w:rPr>
          <w:rFonts w:ascii="Times New Roman" w:hAnsi="Times New Roman" w:cs="Times New Roman"/>
          <w:sz w:val="24"/>
          <w:szCs w:val="24"/>
        </w:rPr>
        <w:t xml:space="preserve">Juvenile idiopathic arthritis (JIA) is a well-known </w:t>
      </w:r>
      <w:r w:rsidRPr="00D30D48">
        <w:rPr>
          <w:rFonts w:ascii="Times New Roman" w:hAnsi="Times New Roman" w:cs="Times New Roman"/>
          <w:sz w:val="24"/>
          <w:szCs w:val="24"/>
          <w:lang w:val="en-US"/>
        </w:rPr>
        <w:t xml:space="preserve">chronic </w:t>
      </w:r>
      <w:r w:rsidRPr="00D30D48">
        <w:rPr>
          <w:rFonts w:ascii="Times New Roman" w:hAnsi="Times New Roman" w:cs="Times New Roman"/>
          <w:sz w:val="24"/>
          <w:szCs w:val="24"/>
          <w:lang w:val="en"/>
        </w:rPr>
        <w:t xml:space="preserve">rheumatic </w:t>
      </w:r>
      <w:r w:rsidRPr="00D30D48">
        <w:rPr>
          <w:rFonts w:ascii="Times New Roman" w:hAnsi="Times New Roman" w:cs="Times New Roman"/>
          <w:sz w:val="24"/>
          <w:szCs w:val="24"/>
          <w:lang w:val="en-US"/>
        </w:rPr>
        <w:t xml:space="preserve">disease of childhood characterised by </w:t>
      </w:r>
      <w:r w:rsidRPr="00D30D48">
        <w:rPr>
          <w:rFonts w:ascii="Times New Roman" w:hAnsi="Times New Roman" w:cs="Times New Roman"/>
          <w:sz w:val="24"/>
          <w:szCs w:val="24"/>
        </w:rPr>
        <w:t xml:space="preserve">progressive </w:t>
      </w:r>
      <w:r w:rsidRPr="00D30D48">
        <w:rPr>
          <w:rFonts w:ascii="Times New Roman" w:hAnsi="Times New Roman" w:cs="Times New Roman"/>
          <w:sz w:val="24"/>
          <w:szCs w:val="24"/>
          <w:lang w:val="en-US"/>
        </w:rPr>
        <w:t>joint destruction and severe systemic complications</w:t>
      </w:r>
      <w:r w:rsidRPr="00D30D4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557FCC34" w14:textId="6DBE98C6" w:rsidR="00D30D48" w:rsidRPr="00D30D48" w:rsidRDefault="00D30D48" w:rsidP="00D30D48">
      <w:pPr>
        <w:jc w:val="both"/>
        <w:rPr>
          <w:rFonts w:ascii="Times New Roman" w:hAnsi="Times New Roman" w:cs="Times New Roman"/>
          <w:sz w:val="24"/>
          <w:szCs w:val="24"/>
        </w:rPr>
      </w:pPr>
      <w:r w:rsidRPr="00D30D48">
        <w:rPr>
          <w:rFonts w:ascii="Times New Roman" w:hAnsi="Times New Roman" w:cs="Times New Roman"/>
          <w:sz w:val="24"/>
          <w:szCs w:val="24"/>
        </w:rPr>
        <w:t xml:space="preserve">Immune </w:t>
      </w:r>
      <w:r w:rsidRPr="00D30D48">
        <w:rPr>
          <w:rFonts w:ascii="Times New Roman" w:hAnsi="Times New Roman" w:cs="Times New Roman"/>
          <w:sz w:val="24"/>
          <w:szCs w:val="24"/>
          <w:lang w:val="en-US"/>
        </w:rPr>
        <w:t xml:space="preserve">cells are known to trigger the pathophysiological cascade in JIA, but there is little information regarding the contribution made by </w:t>
      </w:r>
      <w:r w:rsidRPr="00D30D48">
        <w:rPr>
          <w:rFonts w:ascii="Times New Roman" w:hAnsi="Times New Roman" w:cs="Times New Roman"/>
          <w:sz w:val="24"/>
          <w:szCs w:val="24"/>
          <w:lang w:val="en"/>
        </w:rPr>
        <w:t xml:space="preserve">Mesenchymal stem cells (MSCs). These cells are </w:t>
      </w:r>
      <w:r w:rsidRPr="00D30D48">
        <w:rPr>
          <w:rFonts w:ascii="Times New Roman" w:hAnsi="Times New Roman" w:cs="Times New Roman"/>
          <w:sz w:val="24"/>
          <w:szCs w:val="24"/>
          <w:lang w:val="en-US"/>
        </w:rPr>
        <w:t xml:space="preserve">able to modulate the immune response </w:t>
      </w:r>
      <w:r w:rsidRPr="00D30D48">
        <w:rPr>
          <w:rFonts w:ascii="Times New Roman" w:hAnsi="Times New Roman" w:cs="Times New Roman"/>
          <w:sz w:val="24"/>
          <w:szCs w:val="24"/>
        </w:rPr>
        <w:t xml:space="preserve">and decrease the level of pro-inflammatory cytokines. With addition of </w:t>
      </w:r>
      <w:r w:rsidRPr="00D30D48">
        <w:rPr>
          <w:rFonts w:ascii="Times New Roman" w:hAnsi="Times New Roman" w:cs="Times New Roman"/>
          <w:sz w:val="24"/>
          <w:szCs w:val="24"/>
          <w:lang w:val="en-US"/>
        </w:rPr>
        <w:t xml:space="preserve">regenerative </w:t>
      </w:r>
      <w:proofErr w:type="gramStart"/>
      <w:r w:rsidRPr="00D30D48">
        <w:rPr>
          <w:rFonts w:ascii="Times New Roman" w:hAnsi="Times New Roman" w:cs="Times New Roman"/>
          <w:sz w:val="24"/>
          <w:szCs w:val="24"/>
          <w:lang w:val="en-US"/>
        </w:rPr>
        <w:t>property</w:t>
      </w:r>
      <w:proofErr w:type="gramEnd"/>
      <w:r w:rsidRPr="00D30D48">
        <w:rPr>
          <w:rFonts w:ascii="Times New Roman" w:hAnsi="Times New Roman" w:cs="Times New Roman"/>
          <w:sz w:val="24"/>
          <w:szCs w:val="24"/>
          <w:lang w:val="en"/>
        </w:rPr>
        <w:t xml:space="preserve"> it makes MSCs potential candidates for clinical application as immunosuppressants</w:t>
      </w:r>
      <w:r w:rsidRPr="00D30D48">
        <w:rPr>
          <w:rFonts w:ascii="Times New Roman" w:hAnsi="Times New Roman" w:cs="Times New Roman"/>
          <w:sz w:val="24"/>
          <w:szCs w:val="24"/>
        </w:rPr>
        <w:t xml:space="preserve"> in treatment of autoimmune diseases. </w:t>
      </w:r>
    </w:p>
    <w:p w14:paraId="48DF36AE" w14:textId="439A7D2B" w:rsidR="00D30D48" w:rsidRPr="00D30D48" w:rsidRDefault="00D30D48" w:rsidP="00D30D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0D48">
        <w:rPr>
          <w:rFonts w:ascii="Times New Roman" w:hAnsi="Times New Roman" w:cs="Times New Roman"/>
          <w:b/>
          <w:bCs/>
          <w:sz w:val="24"/>
          <w:szCs w:val="24"/>
        </w:rPr>
        <w:t>Objectives:</w:t>
      </w:r>
    </w:p>
    <w:p w14:paraId="5FDAE1F3" w14:textId="18C0C09A" w:rsidR="00D30D48" w:rsidRPr="00D30D48" w:rsidRDefault="00D30D48" w:rsidP="00D30D48">
      <w:pPr>
        <w:pStyle w:val="Style1"/>
        <w:spacing w:before="240"/>
        <w:rPr>
          <w:szCs w:val="24"/>
        </w:rPr>
      </w:pPr>
      <w:r w:rsidRPr="00D30D48">
        <w:rPr>
          <w:szCs w:val="24"/>
        </w:rPr>
        <w:t>To investigate MSCs proliferation, viability</w:t>
      </w:r>
      <w:r w:rsidRPr="00D30D48">
        <w:rPr>
          <w:szCs w:val="24"/>
          <w:lang w:val="en"/>
        </w:rPr>
        <w:t xml:space="preserve"> and </w:t>
      </w:r>
      <w:r w:rsidRPr="00D30D48">
        <w:rPr>
          <w:szCs w:val="24"/>
        </w:rPr>
        <w:t>immunomodulatory function in JIA and healthy children.</w:t>
      </w:r>
    </w:p>
    <w:p w14:paraId="35A98F97" w14:textId="77777777" w:rsidR="00D30D48" w:rsidRPr="00D30D48" w:rsidRDefault="00D30D48" w:rsidP="00D30D48">
      <w:pPr>
        <w:pStyle w:val="Style1"/>
        <w:spacing w:before="240"/>
        <w:rPr>
          <w:szCs w:val="24"/>
        </w:rPr>
      </w:pPr>
    </w:p>
    <w:p w14:paraId="583C26BF" w14:textId="0A9489F1" w:rsidR="00D30D48" w:rsidRPr="00D30D48" w:rsidRDefault="00D30D48" w:rsidP="00D30D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0D48">
        <w:rPr>
          <w:rFonts w:ascii="Times New Roman" w:hAnsi="Times New Roman" w:cs="Times New Roman"/>
          <w:b/>
          <w:bCs/>
          <w:sz w:val="24"/>
          <w:szCs w:val="24"/>
        </w:rPr>
        <w:t>Methods:</w:t>
      </w:r>
    </w:p>
    <w:p w14:paraId="03507C44" w14:textId="77777777" w:rsidR="00D30D48" w:rsidRPr="00D30D48" w:rsidRDefault="00D30D48" w:rsidP="00D30D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D48">
        <w:rPr>
          <w:rFonts w:ascii="Times New Roman" w:hAnsi="Times New Roman" w:cs="Times New Roman"/>
          <w:sz w:val="24"/>
          <w:szCs w:val="24"/>
          <w:lang w:val="en"/>
        </w:rPr>
        <w:t>MSCs</w:t>
      </w:r>
      <w:r w:rsidRPr="00D30D48">
        <w:rPr>
          <w:rFonts w:ascii="Times New Roman" w:hAnsi="Times New Roman" w:cs="Times New Roman"/>
          <w:sz w:val="24"/>
          <w:szCs w:val="24"/>
        </w:rPr>
        <w:t xml:space="preserve"> were </w:t>
      </w:r>
      <w:r w:rsidRPr="00D30D48">
        <w:rPr>
          <w:rFonts w:ascii="Times New Roman" w:hAnsi="Times New Roman" w:cs="Times New Roman"/>
          <w:sz w:val="24"/>
          <w:szCs w:val="24"/>
          <w:lang w:val="en"/>
        </w:rPr>
        <w:t xml:space="preserve">separated </w:t>
      </w:r>
      <w:r w:rsidRPr="00D30D48">
        <w:rPr>
          <w:rFonts w:ascii="Times New Roman" w:hAnsi="Times New Roman" w:cs="Times New Roman"/>
          <w:sz w:val="24"/>
          <w:szCs w:val="24"/>
        </w:rPr>
        <w:t xml:space="preserve">from peripheral blood (PB) and synovial fluid (SF) of JIA patients and healthy controls. Cell proliferation rate was counted by Population doublings per day (PDD) during 9 days, in the last of which </w:t>
      </w:r>
      <w:bookmarkStart w:id="1" w:name="_Hlk21346796"/>
      <w:proofErr w:type="spellStart"/>
      <w:r w:rsidRPr="00D30D48">
        <w:rPr>
          <w:rFonts w:ascii="Times New Roman" w:hAnsi="Times New Roman" w:cs="Times New Roman"/>
          <w:sz w:val="24"/>
          <w:szCs w:val="24"/>
        </w:rPr>
        <w:t>alamarBlue</w:t>
      </w:r>
      <w:proofErr w:type="spellEnd"/>
      <w:r w:rsidRPr="00D30D48">
        <w:rPr>
          <w:rFonts w:ascii="Times New Roman" w:hAnsi="Times New Roman" w:cs="Times New Roman"/>
          <w:sz w:val="24"/>
          <w:szCs w:val="24"/>
        </w:rPr>
        <w:t>™</w:t>
      </w:r>
      <w:bookmarkEnd w:id="1"/>
      <w:r w:rsidRPr="00D30D48">
        <w:rPr>
          <w:rFonts w:ascii="Times New Roman" w:hAnsi="Times New Roman" w:cs="Times New Roman"/>
          <w:sz w:val="24"/>
          <w:szCs w:val="24"/>
        </w:rPr>
        <w:t xml:space="preserve"> assays were performed to assess cell viability.</w:t>
      </w:r>
      <w:r w:rsidRPr="00D30D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D48">
        <w:rPr>
          <w:rFonts w:ascii="Times New Roman" w:hAnsi="Times New Roman" w:cs="Times New Roman"/>
          <w:sz w:val="24"/>
          <w:szCs w:val="24"/>
          <w:shd w:val="clear" w:color="auto" w:fill="FFFFFF"/>
        </w:rPr>
        <w:t>Due to measure senescence MSCs were stained with SA-</w:t>
      </w:r>
      <w:r w:rsidRPr="00D30D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β</w:t>
      </w:r>
      <w:r w:rsidRPr="00D30D48">
        <w:rPr>
          <w:rFonts w:ascii="Times New Roman" w:hAnsi="Times New Roman" w:cs="Times New Roman"/>
          <w:sz w:val="24"/>
          <w:szCs w:val="24"/>
          <w:shd w:val="clear" w:color="auto" w:fill="FFFFFF"/>
        </w:rPr>
        <w:t>-galactosidase</w:t>
      </w:r>
      <w:r w:rsidRPr="00D30D4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30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Immunofluorescence was used to examine the expression of </w:t>
      </w:r>
      <w:r w:rsidRPr="00D30D48">
        <w:rPr>
          <w:rFonts w:ascii="Times New Roman" w:hAnsi="Times New Roman" w:cs="Times New Roman"/>
          <w:sz w:val="24"/>
          <w:szCs w:val="24"/>
        </w:rPr>
        <w:t xml:space="preserve">p16, p21, p53. </w:t>
      </w:r>
      <w:r w:rsidRPr="00D30D48">
        <w:rPr>
          <w:rFonts w:ascii="Times New Roman" w:hAnsi="Times New Roman" w:cs="Times New Roman"/>
          <w:bCs/>
          <w:sz w:val="24"/>
          <w:szCs w:val="24"/>
        </w:rPr>
        <w:t>O</w:t>
      </w:r>
      <w:proofErr w:type="spellStart"/>
      <w:r w:rsidRPr="00D30D48">
        <w:rPr>
          <w:rFonts w:ascii="Times New Roman" w:hAnsi="Times New Roman" w:cs="Times New Roman"/>
          <w:bCs/>
          <w:sz w:val="24"/>
          <w:szCs w:val="24"/>
          <w:lang w:val="en-US"/>
        </w:rPr>
        <w:t>xidative</w:t>
      </w:r>
      <w:proofErr w:type="spellEnd"/>
      <w:r w:rsidRPr="00D30D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stress was measured with</w:t>
      </w:r>
      <w:r w:rsidRPr="00D30D48">
        <w:rPr>
          <w:rFonts w:ascii="Times New Roman" w:hAnsi="Times New Roman" w:cs="Times New Roman"/>
          <w:bCs/>
          <w:sz w:val="24"/>
          <w:szCs w:val="24"/>
        </w:rPr>
        <w:t xml:space="preserve"> DCFH-DA. </w:t>
      </w:r>
      <w:r w:rsidRPr="00D30D48">
        <w:rPr>
          <w:rFonts w:ascii="Times New Roman" w:hAnsi="Times New Roman" w:cs="Times New Roman"/>
          <w:sz w:val="24"/>
          <w:szCs w:val="24"/>
        </w:rPr>
        <w:t xml:space="preserve">Cell cycle analysis was evaluated with Propidium Iodide and analysed by Accuri® C6 Flow Cytometer. </w:t>
      </w:r>
    </w:p>
    <w:p w14:paraId="41BBDCB3" w14:textId="77777777" w:rsidR="00D30D48" w:rsidRPr="00D30D48" w:rsidRDefault="00D30D48" w:rsidP="00D30D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48">
        <w:rPr>
          <w:rFonts w:ascii="Times New Roman" w:hAnsi="Times New Roman" w:cs="Times New Roman"/>
          <w:sz w:val="24"/>
          <w:szCs w:val="24"/>
        </w:rPr>
        <w:t xml:space="preserve">Commercially-available bone marrow mesenchymal stem cells (BM-MSCs) were treated with graded concentrations of pro-inflammatory cytokines (0.1-100 ng/ml) with following examination of cell </w:t>
      </w:r>
      <w:r w:rsidRPr="00D30D48">
        <w:rPr>
          <w:rFonts w:ascii="Times New Roman" w:hAnsi="Times New Roman" w:cs="Times New Roman"/>
          <w:sz w:val="24"/>
          <w:szCs w:val="24"/>
        </w:rPr>
        <w:lastRenderedPageBreak/>
        <w:t xml:space="preserve">viability. Mixed lymphocyte reactions (MLR) were performed to measure MSC immunomodulatory ability </w:t>
      </w:r>
      <w:r w:rsidRPr="00D30D48">
        <w:rPr>
          <w:rFonts w:ascii="Times New Roman" w:hAnsi="Times New Roman" w:cs="Times New Roman"/>
          <w:i/>
          <w:iCs/>
          <w:sz w:val="24"/>
          <w:szCs w:val="24"/>
        </w:rPr>
        <w:t>in vitro.</w:t>
      </w:r>
      <w:r w:rsidRPr="00D30D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36BFC" w14:textId="21376FF0" w:rsidR="00D30D48" w:rsidRPr="00D30D48" w:rsidRDefault="00D30D48" w:rsidP="00D30D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0D48">
        <w:rPr>
          <w:rFonts w:ascii="Times New Roman" w:hAnsi="Times New Roman" w:cs="Times New Roman"/>
          <w:b/>
          <w:bCs/>
          <w:sz w:val="24"/>
          <w:szCs w:val="24"/>
        </w:rPr>
        <w:t>Results:</w:t>
      </w:r>
    </w:p>
    <w:p w14:paraId="6D391C90" w14:textId="3B340517" w:rsidR="00D30D48" w:rsidRPr="00D30D48" w:rsidRDefault="00D30D48" w:rsidP="00D30D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1358859"/>
      <w:r w:rsidRPr="00D30D4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30D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growth kinetics of JIA-MSCs </w:t>
      </w:r>
      <w:r w:rsidRPr="00D30D48">
        <w:rPr>
          <w:rFonts w:ascii="Times New Roman" w:hAnsi="Times New Roman" w:cs="Times New Roman"/>
          <w:bCs/>
          <w:sz w:val="24"/>
          <w:szCs w:val="24"/>
        </w:rPr>
        <w:t xml:space="preserve">were different from healthy controls. JIA-MSCs divided slowly and </w:t>
      </w:r>
      <w:r w:rsidRPr="00D30D48">
        <w:rPr>
          <w:rFonts w:ascii="Times New Roman" w:hAnsi="Times New Roman" w:cs="Times New Roman"/>
          <w:sz w:val="24"/>
          <w:szCs w:val="24"/>
          <w:lang w:val="en"/>
        </w:rPr>
        <w:t xml:space="preserve">appeared disorganised with large cytoplasm and loads of outgrowth. </w:t>
      </w:r>
      <w:r w:rsidRPr="00D30D48">
        <w:rPr>
          <w:rFonts w:ascii="Times New Roman" w:hAnsi="Times New Roman" w:cs="Times New Roman"/>
          <w:bCs/>
          <w:sz w:val="24"/>
          <w:szCs w:val="24"/>
          <w:lang w:val="en-US"/>
        </w:rPr>
        <w:t>They</w:t>
      </w:r>
      <w:r w:rsidRPr="00D30D48">
        <w:rPr>
          <w:rFonts w:ascii="Times New Roman" w:hAnsi="Times New Roman" w:cs="Times New Roman"/>
          <w:bCs/>
          <w:sz w:val="24"/>
          <w:szCs w:val="24"/>
        </w:rPr>
        <w:t xml:space="preserve"> demonstrated a decrease in cell proliferation (negative PDD) and metabolic activity. D</w:t>
      </w:r>
      <w:r w:rsidRPr="00D30D48">
        <w:rPr>
          <w:rFonts w:ascii="Times New Roman" w:hAnsi="Times New Roman" w:cs="Times New Roman"/>
          <w:sz w:val="24"/>
          <w:szCs w:val="24"/>
        </w:rPr>
        <w:t xml:space="preserve">ifference in growth kinetics and </w:t>
      </w:r>
      <w:r w:rsidRPr="00D30D48">
        <w:rPr>
          <w:rFonts w:ascii="Times New Roman" w:hAnsi="Times New Roman" w:cs="Times New Roman"/>
          <w:bCs/>
          <w:sz w:val="24"/>
          <w:szCs w:val="24"/>
        </w:rPr>
        <w:t xml:space="preserve">metabolic activity were found </w:t>
      </w:r>
      <w:r w:rsidRPr="00D30D48">
        <w:rPr>
          <w:rFonts w:ascii="Times New Roman" w:hAnsi="Times New Roman" w:cs="Times New Roman"/>
          <w:sz w:val="24"/>
          <w:szCs w:val="24"/>
        </w:rPr>
        <w:t xml:space="preserve">inside the JIA PB group with some evidence of response following biological treatment. Thus, PB-MSCs from patients treated with TNFα and anti-IL6 medications had notably higher cell proliferation and metabolic activity against JIA patients received other therapy. Considering this difference, it was hypothesised that cytokines obtained in a high amount in PB and SF of JIA patients may influence MSCs viability. To prove this BM-MSCs were treated with cytokines and </w:t>
      </w:r>
      <w:r w:rsidRPr="00D30D48">
        <w:rPr>
          <w:rFonts w:ascii="Times New Roman" w:hAnsi="Times New Roman" w:cs="Times New Roman"/>
          <w:spacing w:val="1"/>
          <w:sz w:val="24"/>
          <w:szCs w:val="24"/>
        </w:rPr>
        <w:t xml:space="preserve">demonstrated a dose-dependent decrease in </w:t>
      </w:r>
      <w:r w:rsidRPr="00D30D48">
        <w:rPr>
          <w:rFonts w:ascii="Times New Roman" w:hAnsi="Times New Roman" w:cs="Times New Roman"/>
          <w:sz w:val="24"/>
          <w:szCs w:val="24"/>
        </w:rPr>
        <w:t xml:space="preserve">metabolic activity significantly after TNFα and IL1, no significantly after treatment with IL6. Both BM-MSCs treated with cytokines and JIA-MSCs displayed high level of reactive oxygen species. </w:t>
      </w:r>
    </w:p>
    <w:p w14:paraId="4309C336" w14:textId="77777777" w:rsidR="00D30D48" w:rsidRPr="00D30D48" w:rsidRDefault="00D30D48" w:rsidP="00D30D48">
      <w:pPr>
        <w:pStyle w:val="Style1"/>
        <w:spacing w:before="240"/>
        <w:rPr>
          <w:szCs w:val="24"/>
          <w:lang w:val="en"/>
        </w:rPr>
      </w:pPr>
      <w:r w:rsidRPr="00D30D48">
        <w:rPr>
          <w:szCs w:val="24"/>
        </w:rPr>
        <w:t xml:space="preserve">Cell cycle analysis revealed that JIA-MSCs were arrested in G0/G1 phase with low number of mitotic cells. In addition, </w:t>
      </w:r>
      <w:r w:rsidRPr="00D30D48">
        <w:rPr>
          <w:color w:val="000000"/>
          <w:szCs w:val="24"/>
          <w:shd w:val="clear" w:color="auto" w:fill="FFFFFF"/>
        </w:rPr>
        <w:t xml:space="preserve">the number of </w:t>
      </w:r>
      <w:r w:rsidRPr="00D30D48">
        <w:rPr>
          <w:rFonts w:eastAsia="Times New Roman"/>
          <w:szCs w:val="24"/>
        </w:rPr>
        <w:t xml:space="preserve">senescence-associated </w:t>
      </w:r>
      <w:r w:rsidRPr="00D30D48">
        <w:rPr>
          <w:color w:val="000000"/>
          <w:szCs w:val="24"/>
          <w:shd w:val="clear" w:color="auto" w:fill="FFFFFF"/>
        </w:rPr>
        <w:t>SA-</w:t>
      </w:r>
      <w:r w:rsidRPr="00D30D48">
        <w:rPr>
          <w:rStyle w:val="Emphasis"/>
          <w:color w:val="000000"/>
          <w:szCs w:val="24"/>
        </w:rPr>
        <w:t>β</w:t>
      </w:r>
      <w:r w:rsidRPr="00D30D48">
        <w:rPr>
          <w:color w:val="000000"/>
          <w:szCs w:val="24"/>
          <w:shd w:val="clear" w:color="auto" w:fill="FFFFFF"/>
        </w:rPr>
        <w:t xml:space="preserve">-gal-positive cells was notably higher in </w:t>
      </w:r>
      <w:r w:rsidRPr="00D30D48">
        <w:rPr>
          <w:rFonts w:eastAsia="Times New Roman"/>
          <w:szCs w:val="24"/>
        </w:rPr>
        <w:t xml:space="preserve">JIA-MSCs. </w:t>
      </w:r>
      <w:r w:rsidRPr="00D30D48">
        <w:rPr>
          <w:szCs w:val="24"/>
          <w:lang w:val="en"/>
        </w:rPr>
        <w:t xml:space="preserve">Furthermore, JIA-MSCs expressed high level of immunofluorescence for p16, p21 and p53 which played an important role in regulating the senescence progress of MSCs. </w:t>
      </w:r>
    </w:p>
    <w:p w14:paraId="6892D50B" w14:textId="77777777" w:rsidR="00D30D48" w:rsidRPr="00D30D48" w:rsidRDefault="00D30D48" w:rsidP="00D30D48">
      <w:pPr>
        <w:spacing w:before="240" w:after="2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30D48">
        <w:rPr>
          <w:rFonts w:ascii="Times New Roman" w:hAnsi="Times New Roman" w:cs="Times New Roman"/>
          <w:sz w:val="24"/>
          <w:szCs w:val="24"/>
        </w:rPr>
        <w:t xml:space="preserve">Results of MLR showed the ability of BM-MSCs to decrease the percentage of activated T-helpers, T-suppressors, B-cells and natural </w:t>
      </w:r>
      <w:proofErr w:type="gramStart"/>
      <w:r w:rsidRPr="00D30D48">
        <w:rPr>
          <w:rFonts w:ascii="Times New Roman" w:hAnsi="Times New Roman" w:cs="Times New Roman"/>
          <w:sz w:val="24"/>
          <w:szCs w:val="24"/>
        </w:rPr>
        <w:t>killers</w:t>
      </w:r>
      <w:proofErr w:type="gramEnd"/>
      <w:r w:rsidRPr="00D30D48">
        <w:rPr>
          <w:rFonts w:ascii="Times New Roman" w:hAnsi="Times New Roman" w:cs="Times New Roman"/>
          <w:sz w:val="24"/>
          <w:szCs w:val="24"/>
        </w:rPr>
        <w:t xml:space="preserve"> proliferation, while JIA-MSCs </w:t>
      </w:r>
      <w:r w:rsidRPr="00D30D48">
        <w:rPr>
          <w:rFonts w:ascii="Times New Roman" w:hAnsi="Times New Roman" w:cs="Times New Roman"/>
          <w:spacing w:val="1"/>
          <w:sz w:val="24"/>
          <w:szCs w:val="24"/>
        </w:rPr>
        <w:t xml:space="preserve">lost this property. </w:t>
      </w:r>
    </w:p>
    <w:bookmarkEnd w:id="2"/>
    <w:p w14:paraId="2466EAF6" w14:textId="66CDFF76" w:rsidR="00D30D48" w:rsidRPr="00D30D48" w:rsidRDefault="00D30D48" w:rsidP="00D30D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0D48">
        <w:rPr>
          <w:rFonts w:ascii="Times New Roman" w:hAnsi="Times New Roman" w:cs="Times New Roman"/>
          <w:b/>
          <w:bCs/>
          <w:sz w:val="24"/>
          <w:szCs w:val="24"/>
        </w:rPr>
        <w:t xml:space="preserve">Conclusion: </w:t>
      </w:r>
    </w:p>
    <w:p w14:paraId="567D1FB8" w14:textId="77777777" w:rsidR="00D30D48" w:rsidRPr="00D30D48" w:rsidRDefault="00D30D48" w:rsidP="00D30D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48">
        <w:rPr>
          <w:rFonts w:ascii="Times New Roman" w:hAnsi="Times New Roman" w:cs="Times New Roman"/>
          <w:sz w:val="24"/>
          <w:szCs w:val="24"/>
          <w:lang w:val="en"/>
        </w:rPr>
        <w:t xml:space="preserve">Taken together current research has demonstrated that under the influence of proinflammatory cytokines JIA-MSCs </w:t>
      </w:r>
      <w:r w:rsidRPr="00D30D48">
        <w:rPr>
          <w:rFonts w:ascii="Times New Roman" w:hAnsi="Times New Roman" w:cs="Times New Roman"/>
          <w:sz w:val="24"/>
          <w:szCs w:val="24"/>
        </w:rPr>
        <w:t>suffered from oxidative stress</w:t>
      </w:r>
      <w:r w:rsidRPr="00D30D48">
        <w:rPr>
          <w:rFonts w:ascii="Times New Roman" w:hAnsi="Times New Roman" w:cs="Times New Roman"/>
          <w:sz w:val="24"/>
          <w:szCs w:val="24"/>
          <w:lang w:val="en"/>
        </w:rPr>
        <w:t xml:space="preserve"> and disruption of metabolic activity acquire senescent morphology, </w:t>
      </w:r>
      <w:r w:rsidRPr="00D30D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shorten of telomere length, arrest in G0 phase of cell cycle and finally </w:t>
      </w:r>
      <w:r w:rsidRPr="00D30D48">
        <w:rPr>
          <w:rFonts w:ascii="Times New Roman" w:hAnsi="Times New Roman" w:cs="Times New Roman"/>
          <w:bCs/>
          <w:sz w:val="24"/>
          <w:szCs w:val="24"/>
          <w:lang w:val="en-US"/>
        </w:rPr>
        <w:t>loss</w:t>
      </w:r>
      <w:r w:rsidRPr="00D30D48">
        <w:rPr>
          <w:rFonts w:ascii="Times New Roman" w:hAnsi="Times New Roman" w:cs="Times New Roman"/>
          <w:sz w:val="24"/>
          <w:szCs w:val="24"/>
        </w:rPr>
        <w:t xml:space="preserve"> of immune regulation</w:t>
      </w:r>
      <w:r w:rsidRPr="00D30D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D30D48">
        <w:rPr>
          <w:rFonts w:ascii="Times New Roman" w:hAnsi="Times New Roman" w:cs="Times New Roman"/>
          <w:sz w:val="24"/>
          <w:szCs w:val="24"/>
        </w:rPr>
        <w:t>We are continuing our research to determine the mechanisms that are responsible for the impaired phenotype with the aim of identifying new therapeutic strategies for the treatment of JIA.</w:t>
      </w:r>
    </w:p>
    <w:p w14:paraId="0CB9E420" w14:textId="77777777" w:rsidR="00E31271" w:rsidRPr="00D30D48" w:rsidRDefault="00E31271">
      <w:pPr>
        <w:rPr>
          <w:rFonts w:ascii="Times New Roman" w:hAnsi="Times New Roman" w:cs="Times New Roman"/>
          <w:sz w:val="24"/>
          <w:szCs w:val="24"/>
        </w:rPr>
      </w:pPr>
    </w:p>
    <w:sectPr w:rsidR="00E31271" w:rsidRPr="00D30D4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48"/>
    <w:rsid w:val="004D718E"/>
    <w:rsid w:val="00C911DE"/>
    <w:rsid w:val="00D30D48"/>
    <w:rsid w:val="00E3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9FED"/>
  <w15:chartTrackingRefBased/>
  <w15:docId w15:val="{3DA3C41F-E3CF-4704-AD81-584187D7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D48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718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718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718E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718E"/>
    <w:rPr>
      <w:rFonts w:ascii="Times New Roman" w:eastAsiaTheme="majorEastAsia" w:hAnsi="Times New Roman" w:cstheme="majorBidi"/>
      <w:sz w:val="32"/>
      <w:szCs w:val="32"/>
      <w:lang w:val="en-GB"/>
    </w:rPr>
  </w:style>
  <w:style w:type="paragraph" w:customStyle="1" w:styleId="paragraph">
    <w:name w:val="paragraph"/>
    <w:basedOn w:val="Normal"/>
    <w:rsid w:val="00D3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30D48"/>
  </w:style>
  <w:style w:type="paragraph" w:customStyle="1" w:styleId="Style1">
    <w:name w:val="Style1"/>
    <w:basedOn w:val="Normal"/>
    <w:link w:val="Style1Char"/>
    <w:qFormat/>
    <w:rsid w:val="00D30D48"/>
    <w:pPr>
      <w:spacing w:after="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character" w:customStyle="1" w:styleId="Style1Char">
    <w:name w:val="Style1 Char"/>
    <w:basedOn w:val="DefaultParagraphFont"/>
    <w:link w:val="Style1"/>
    <w:rsid w:val="00D30D48"/>
    <w:rPr>
      <w:rFonts w:ascii="Times New Roman" w:hAnsi="Times New Roman" w:cs="Times New Roman"/>
      <w:sz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D30D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Zaripova</dc:creator>
  <cp:keywords/>
  <dc:description/>
  <cp:lastModifiedBy>Oldershaw, Rachel</cp:lastModifiedBy>
  <cp:revision>2</cp:revision>
  <dcterms:created xsi:type="dcterms:W3CDTF">2020-09-04T16:42:00Z</dcterms:created>
  <dcterms:modified xsi:type="dcterms:W3CDTF">2020-09-04T16:42:00Z</dcterms:modified>
</cp:coreProperties>
</file>