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71F59" w14:textId="55CD4A96" w:rsidR="00B030E0" w:rsidRPr="001D3D20" w:rsidRDefault="0053519C" w:rsidP="006842EF">
      <w:pPr>
        <w:spacing w:line="360" w:lineRule="auto"/>
        <w:jc w:val="center"/>
        <w:rPr>
          <w:b/>
          <w:lang w:val="en-US"/>
        </w:rPr>
      </w:pPr>
      <w:r w:rsidRPr="001D3D20">
        <w:rPr>
          <w:b/>
          <w:lang w:val="en-US"/>
        </w:rPr>
        <w:t>Should we r</w:t>
      </w:r>
      <w:r w:rsidR="00B030E0" w:rsidRPr="001D3D20">
        <w:rPr>
          <w:b/>
          <w:lang w:val="en-US"/>
        </w:rPr>
        <w:t>eintroduc</w:t>
      </w:r>
      <w:r w:rsidRPr="001D3D20">
        <w:rPr>
          <w:b/>
          <w:lang w:val="en-US"/>
        </w:rPr>
        <w:t>e</w:t>
      </w:r>
      <w:r w:rsidR="00B030E0" w:rsidRPr="001D3D20">
        <w:rPr>
          <w:b/>
          <w:lang w:val="en-US"/>
        </w:rPr>
        <w:t xml:space="preserve"> </w:t>
      </w:r>
      <w:r w:rsidR="00D5172E" w:rsidRPr="001D3D20">
        <w:rPr>
          <w:b/>
          <w:lang w:val="en-US"/>
        </w:rPr>
        <w:t>previous</w:t>
      </w:r>
      <w:r w:rsidR="00B030E0" w:rsidRPr="001D3D20">
        <w:rPr>
          <w:b/>
          <w:lang w:val="en-US"/>
        </w:rPr>
        <w:t xml:space="preserve"> </w:t>
      </w:r>
      <w:r w:rsidR="00EE43E9" w:rsidRPr="001D3D20">
        <w:rPr>
          <w:b/>
          <w:lang w:val="en-US"/>
        </w:rPr>
        <w:t>venous thromboembolism</w:t>
      </w:r>
      <w:r w:rsidR="00B030E0" w:rsidRPr="001D3D20">
        <w:rPr>
          <w:b/>
          <w:lang w:val="en-US"/>
        </w:rPr>
        <w:t xml:space="preserve"> </w:t>
      </w:r>
      <w:r w:rsidR="00FC4534" w:rsidRPr="001D3D20">
        <w:rPr>
          <w:b/>
          <w:lang w:val="en-US"/>
        </w:rPr>
        <w:t>into</w:t>
      </w:r>
      <w:r w:rsidR="00B030E0" w:rsidRPr="001D3D20">
        <w:rPr>
          <w:b/>
          <w:lang w:val="en-US"/>
        </w:rPr>
        <w:t xml:space="preserve"> </w:t>
      </w:r>
      <w:r w:rsidR="00FC4534" w:rsidRPr="001D3D20">
        <w:rPr>
          <w:b/>
          <w:lang w:val="en-US"/>
        </w:rPr>
        <w:t xml:space="preserve">the </w:t>
      </w:r>
      <w:r w:rsidR="00D5172E" w:rsidRPr="001D3D20">
        <w:rPr>
          <w:b/>
          <w:lang w:val="en-US"/>
        </w:rPr>
        <w:t xml:space="preserve">atrial fibrillation </w:t>
      </w:r>
      <w:r w:rsidR="00FC4534" w:rsidRPr="001D3D20">
        <w:rPr>
          <w:b/>
          <w:lang w:val="en-US"/>
        </w:rPr>
        <w:t xml:space="preserve">anticoagulation decision </w:t>
      </w:r>
      <w:r w:rsidR="00EC6F50" w:rsidRPr="001D3D20">
        <w:rPr>
          <w:b/>
          <w:lang w:val="en-US"/>
        </w:rPr>
        <w:t>process</w:t>
      </w:r>
      <w:r w:rsidR="00FF4973" w:rsidRPr="001D3D20">
        <w:rPr>
          <w:b/>
          <w:lang w:val="en-US"/>
        </w:rPr>
        <w:t>? Results from</w:t>
      </w:r>
      <w:r w:rsidR="00B030E0" w:rsidRPr="001D3D20">
        <w:rPr>
          <w:b/>
          <w:lang w:val="en-US"/>
        </w:rPr>
        <w:t xml:space="preserve"> a nationwide cohort</w:t>
      </w:r>
      <w:r w:rsidR="00C36F6D" w:rsidRPr="001D3D20">
        <w:rPr>
          <w:b/>
          <w:lang w:val="en-US"/>
        </w:rPr>
        <w:t xml:space="preserve"> study</w:t>
      </w:r>
    </w:p>
    <w:p w14:paraId="1F3B9A22" w14:textId="77777777" w:rsidR="009828BB" w:rsidRPr="001D3D20" w:rsidRDefault="009828BB" w:rsidP="006842EF">
      <w:pPr>
        <w:spacing w:line="360" w:lineRule="auto"/>
        <w:jc w:val="center"/>
        <w:rPr>
          <w:b/>
          <w:lang w:val="en-US"/>
        </w:rPr>
      </w:pPr>
    </w:p>
    <w:p w14:paraId="5F89C5CD" w14:textId="5B63A3FE" w:rsidR="00B93FFA" w:rsidRPr="001D3D20" w:rsidRDefault="009828BB" w:rsidP="006842EF">
      <w:pPr>
        <w:spacing w:line="360" w:lineRule="auto"/>
        <w:rPr>
          <w:lang w:val="en-US"/>
        </w:rPr>
      </w:pPr>
      <w:proofErr w:type="spellStart"/>
      <w:r w:rsidRPr="001D3D20">
        <w:rPr>
          <w:lang w:val="en-US"/>
        </w:rPr>
        <w:t>Thure</w:t>
      </w:r>
      <w:proofErr w:type="spellEnd"/>
      <w:r w:rsidRPr="001D3D20">
        <w:rPr>
          <w:lang w:val="en-US"/>
        </w:rPr>
        <w:t xml:space="preserve"> </w:t>
      </w:r>
      <w:proofErr w:type="spellStart"/>
      <w:r w:rsidRPr="001D3D20">
        <w:rPr>
          <w:lang w:val="en-US"/>
        </w:rPr>
        <w:t>Filskov</w:t>
      </w:r>
      <w:proofErr w:type="spellEnd"/>
      <w:r w:rsidRPr="001D3D20">
        <w:rPr>
          <w:lang w:val="en-US"/>
        </w:rPr>
        <w:t xml:space="preserve"> Overvad</w:t>
      </w:r>
      <w:r w:rsidRPr="001D3D20">
        <w:rPr>
          <w:vertAlign w:val="superscript"/>
          <w:lang w:val="en-US"/>
        </w:rPr>
        <w:t>1,2</w:t>
      </w:r>
      <w:r w:rsidRPr="001D3D20">
        <w:rPr>
          <w:lang w:val="en-US"/>
        </w:rPr>
        <w:tab/>
      </w:r>
      <w:r w:rsidRPr="001D3D20">
        <w:rPr>
          <w:lang w:val="en-US"/>
        </w:rPr>
        <w:tab/>
        <w:t>MD, PhD</w:t>
      </w:r>
    </w:p>
    <w:p w14:paraId="3A4A639D" w14:textId="77777777" w:rsidR="00122901" w:rsidRPr="001D3D20" w:rsidRDefault="00534827" w:rsidP="006842EF">
      <w:pPr>
        <w:spacing w:line="360" w:lineRule="auto"/>
        <w:rPr>
          <w:lang w:val="en-US"/>
        </w:rPr>
      </w:pPr>
      <w:proofErr w:type="spellStart"/>
      <w:r w:rsidRPr="001D3D20">
        <w:rPr>
          <w:lang w:val="en-US"/>
        </w:rPr>
        <w:t>Flemming</w:t>
      </w:r>
      <w:proofErr w:type="spellEnd"/>
      <w:r w:rsidRPr="001D3D20">
        <w:rPr>
          <w:lang w:val="en-US"/>
        </w:rPr>
        <w:t xml:space="preserve"> Skjøth</w:t>
      </w:r>
      <w:r w:rsidRPr="001D3D20">
        <w:rPr>
          <w:vertAlign w:val="superscript"/>
          <w:lang w:val="en-US"/>
        </w:rPr>
        <w:t>1,3</w:t>
      </w:r>
      <w:r w:rsidRPr="001D3D20">
        <w:rPr>
          <w:lang w:val="en-US"/>
        </w:rPr>
        <w:tab/>
      </w:r>
      <w:r w:rsidRPr="001D3D20">
        <w:rPr>
          <w:lang w:val="en-US"/>
        </w:rPr>
        <w:tab/>
        <w:t>MSc, PhD</w:t>
      </w:r>
    </w:p>
    <w:p w14:paraId="4376397E" w14:textId="1B73791C" w:rsidR="00B93FFA" w:rsidRPr="001D3D20" w:rsidRDefault="00122901" w:rsidP="006842EF">
      <w:pPr>
        <w:spacing w:line="360" w:lineRule="auto"/>
        <w:rPr>
          <w:lang w:val="en-US"/>
        </w:rPr>
      </w:pPr>
      <w:r w:rsidRPr="001D3D20">
        <w:rPr>
          <w:lang w:val="en-US"/>
        </w:rPr>
        <w:t>Ida Ehlers Albertsen</w:t>
      </w:r>
      <w:r w:rsidRPr="001D3D20">
        <w:rPr>
          <w:vertAlign w:val="superscript"/>
          <w:lang w:val="en-US"/>
        </w:rPr>
        <w:t>1,</w:t>
      </w:r>
      <w:r w:rsidR="003A4207" w:rsidRPr="001D3D20">
        <w:rPr>
          <w:vertAlign w:val="superscript"/>
          <w:lang w:val="en-US"/>
        </w:rPr>
        <w:t>4</w:t>
      </w:r>
      <w:r w:rsidRPr="001D3D20">
        <w:rPr>
          <w:lang w:val="en-US"/>
        </w:rPr>
        <w:tab/>
      </w:r>
      <w:r w:rsidRPr="001D3D20">
        <w:rPr>
          <w:lang w:val="en-US"/>
        </w:rPr>
        <w:tab/>
        <w:t>MD</w:t>
      </w:r>
    </w:p>
    <w:p w14:paraId="4626F551" w14:textId="5C2F36E6" w:rsidR="00122901" w:rsidRPr="001D3D20" w:rsidRDefault="00B93FFA" w:rsidP="006842EF">
      <w:pPr>
        <w:spacing w:line="360" w:lineRule="auto"/>
        <w:rPr>
          <w:lang w:val="en-US"/>
        </w:rPr>
      </w:pPr>
      <w:r w:rsidRPr="001D3D20">
        <w:rPr>
          <w:lang w:val="en-US"/>
        </w:rPr>
        <w:t xml:space="preserve">Torben </w:t>
      </w:r>
      <w:proofErr w:type="spellStart"/>
      <w:r w:rsidRPr="001D3D20">
        <w:rPr>
          <w:lang w:val="en-US"/>
        </w:rPr>
        <w:t>Bjerregaard</w:t>
      </w:r>
      <w:proofErr w:type="spellEnd"/>
      <w:r w:rsidRPr="001D3D20">
        <w:rPr>
          <w:lang w:val="en-US"/>
        </w:rPr>
        <w:t xml:space="preserve"> Larsen</w:t>
      </w:r>
      <w:r w:rsidRPr="001D3D20">
        <w:rPr>
          <w:lang w:val="en-US"/>
        </w:rPr>
        <w:tab/>
      </w:r>
      <w:r w:rsidRPr="001D3D20">
        <w:rPr>
          <w:vertAlign w:val="superscript"/>
          <w:lang w:val="en-US"/>
        </w:rPr>
        <w:t>1,</w:t>
      </w:r>
      <w:r w:rsidR="003A4207" w:rsidRPr="001D3D20">
        <w:rPr>
          <w:vertAlign w:val="superscript"/>
          <w:lang w:val="en-US"/>
        </w:rPr>
        <w:t>4</w:t>
      </w:r>
      <w:r w:rsidRPr="001D3D20">
        <w:rPr>
          <w:lang w:val="en-US"/>
        </w:rPr>
        <w:tab/>
        <w:t>MD, PhD</w:t>
      </w:r>
    </w:p>
    <w:p w14:paraId="2E525A25" w14:textId="6D6D2592" w:rsidR="002D310A" w:rsidRPr="001D3D20" w:rsidRDefault="00F91454" w:rsidP="006842EF">
      <w:pPr>
        <w:tabs>
          <w:tab w:val="left" w:pos="3907"/>
        </w:tabs>
        <w:spacing w:line="360" w:lineRule="auto"/>
        <w:rPr>
          <w:lang w:val="en-US"/>
        </w:rPr>
      </w:pPr>
      <w:r w:rsidRPr="001D3D20">
        <w:rPr>
          <w:lang w:val="en-US"/>
        </w:rPr>
        <w:t>Mette Søgaard</w:t>
      </w:r>
      <w:r w:rsidR="003A4207" w:rsidRPr="001D3D20">
        <w:rPr>
          <w:vertAlign w:val="superscript"/>
          <w:lang w:val="en-US"/>
        </w:rPr>
        <w:t>1,4</w:t>
      </w:r>
      <w:r w:rsidR="00363234" w:rsidRPr="001D3D20">
        <w:rPr>
          <w:vertAlign w:val="superscript"/>
          <w:lang w:val="en-US"/>
        </w:rPr>
        <w:tab/>
      </w:r>
      <w:r w:rsidR="00363234" w:rsidRPr="001D3D20">
        <w:rPr>
          <w:lang w:val="en-US"/>
        </w:rPr>
        <w:t>DVM, PhD</w:t>
      </w:r>
      <w:r w:rsidR="00363234" w:rsidRPr="001D3D20">
        <w:rPr>
          <w:vertAlign w:val="superscript"/>
          <w:lang w:val="en-US"/>
        </w:rPr>
        <w:tab/>
      </w:r>
      <w:r w:rsidR="00363234" w:rsidRPr="001D3D20">
        <w:rPr>
          <w:vertAlign w:val="superscript"/>
          <w:lang w:val="en-US"/>
        </w:rPr>
        <w:tab/>
      </w:r>
    </w:p>
    <w:p w14:paraId="49A8845F" w14:textId="5D2A3C13" w:rsidR="009828BB" w:rsidRPr="001D3D20" w:rsidRDefault="009828BB" w:rsidP="006842EF">
      <w:pPr>
        <w:spacing w:line="360" w:lineRule="auto"/>
        <w:rPr>
          <w:lang w:val="en-US"/>
        </w:rPr>
      </w:pPr>
      <w:r w:rsidRPr="001D3D20">
        <w:rPr>
          <w:lang w:val="en-US"/>
        </w:rPr>
        <w:t>Gregory Y. H. Lip</w:t>
      </w:r>
      <w:r w:rsidRPr="001D3D20">
        <w:rPr>
          <w:vertAlign w:val="superscript"/>
          <w:lang w:val="en-US"/>
        </w:rPr>
        <w:t>1,5</w:t>
      </w:r>
      <w:r w:rsidRPr="001D3D20">
        <w:rPr>
          <w:lang w:val="en-US"/>
        </w:rPr>
        <w:tab/>
      </w:r>
      <w:r w:rsidRPr="001D3D20">
        <w:rPr>
          <w:lang w:val="en-US"/>
        </w:rPr>
        <w:tab/>
        <w:t>MD</w:t>
      </w:r>
    </w:p>
    <w:p w14:paraId="279BA8EE" w14:textId="77777777" w:rsidR="00FD5E32" w:rsidRPr="001D3D20" w:rsidRDefault="00FD5E32" w:rsidP="006842EF">
      <w:pPr>
        <w:spacing w:line="360" w:lineRule="auto"/>
        <w:rPr>
          <w:lang w:val="en-US"/>
        </w:rPr>
      </w:pPr>
    </w:p>
    <w:p w14:paraId="19AC73F3" w14:textId="77777777" w:rsidR="00FD5E32" w:rsidRPr="001D3D20" w:rsidRDefault="00FD5E32" w:rsidP="006842EF">
      <w:pPr>
        <w:spacing w:line="360" w:lineRule="auto"/>
        <w:jc w:val="both"/>
        <w:rPr>
          <w:b/>
          <w:lang w:val="en-US"/>
        </w:rPr>
      </w:pPr>
      <w:r w:rsidRPr="001D3D20">
        <w:rPr>
          <w:b/>
          <w:lang w:val="en-US"/>
        </w:rPr>
        <w:t>Affiliations</w:t>
      </w:r>
    </w:p>
    <w:p w14:paraId="07E901AE" w14:textId="77777777" w:rsidR="00FD5E32" w:rsidRPr="001D3D20" w:rsidRDefault="00FD5E32" w:rsidP="006842EF">
      <w:pPr>
        <w:spacing w:line="360" w:lineRule="auto"/>
        <w:rPr>
          <w:color w:val="000000"/>
          <w:shd w:val="clear" w:color="auto" w:fill="FFFFFF"/>
          <w:lang w:val="en-US"/>
        </w:rPr>
      </w:pPr>
      <w:r w:rsidRPr="001D3D20">
        <w:rPr>
          <w:lang w:val="en-US"/>
        </w:rPr>
        <w:t xml:space="preserve">1) </w:t>
      </w:r>
      <w:r w:rsidRPr="001D3D20">
        <w:rPr>
          <w:color w:val="000000"/>
          <w:shd w:val="clear" w:color="auto" w:fill="FFFFFF"/>
          <w:lang w:val="en-US"/>
        </w:rPr>
        <w:t>Aalborg Thrombosis Research Unit, Department of Clinical Medicine, Faculty of Health, Aalborg University, Aalborg, Denmark</w:t>
      </w:r>
    </w:p>
    <w:p w14:paraId="10F21FDE" w14:textId="687C2559" w:rsidR="00FD5E32" w:rsidRPr="001D3D20" w:rsidRDefault="00FD5E32" w:rsidP="006842EF">
      <w:pPr>
        <w:spacing w:line="360" w:lineRule="auto"/>
        <w:rPr>
          <w:color w:val="000000"/>
          <w:shd w:val="clear" w:color="auto" w:fill="FFFFFF"/>
          <w:lang w:val="en-US"/>
        </w:rPr>
      </w:pPr>
      <w:r w:rsidRPr="001D3D20">
        <w:rPr>
          <w:color w:val="000000"/>
          <w:shd w:val="clear" w:color="auto" w:fill="FFFFFF"/>
          <w:lang w:val="en-US"/>
        </w:rPr>
        <w:t xml:space="preserve">2) </w:t>
      </w:r>
      <w:r w:rsidR="00636E5A" w:rsidRPr="001D3D20">
        <w:rPr>
          <w:color w:val="000000"/>
          <w:shd w:val="clear" w:color="auto" w:fill="FFFFFF"/>
          <w:lang w:val="en-US"/>
        </w:rPr>
        <w:t xml:space="preserve">Department of Medicine, North Denmark Regional Hospital, </w:t>
      </w:r>
      <w:proofErr w:type="spellStart"/>
      <w:r w:rsidR="00636E5A" w:rsidRPr="001D3D20">
        <w:rPr>
          <w:color w:val="000000"/>
          <w:shd w:val="clear" w:color="auto" w:fill="FFFFFF"/>
          <w:lang w:val="en-US"/>
        </w:rPr>
        <w:t>Hjørring</w:t>
      </w:r>
      <w:proofErr w:type="spellEnd"/>
      <w:r w:rsidR="00636E5A" w:rsidRPr="001D3D20">
        <w:rPr>
          <w:color w:val="000000"/>
          <w:shd w:val="clear" w:color="auto" w:fill="FFFFFF"/>
          <w:lang w:val="en-US"/>
        </w:rPr>
        <w:t>, Denmark</w:t>
      </w:r>
    </w:p>
    <w:p w14:paraId="3D0897FA" w14:textId="22FBC4D2" w:rsidR="003A4207" w:rsidRPr="001D3D20" w:rsidRDefault="003A4207" w:rsidP="006842EF">
      <w:pPr>
        <w:spacing w:line="360" w:lineRule="auto"/>
        <w:rPr>
          <w:lang w:val="en-US"/>
        </w:rPr>
      </w:pPr>
      <w:r w:rsidRPr="001D3D20">
        <w:rPr>
          <w:color w:val="000000"/>
          <w:shd w:val="clear" w:color="auto" w:fill="FFFFFF"/>
          <w:lang w:val="en-US"/>
        </w:rPr>
        <w:t>3) Unit for Clinical Biostatistics, Aalborg University Hospital, Aalborg, Denmark</w:t>
      </w:r>
    </w:p>
    <w:p w14:paraId="33BD4F35" w14:textId="2333A4F5" w:rsidR="00E81818" w:rsidRPr="001D3D20" w:rsidRDefault="003A4207" w:rsidP="006842EF">
      <w:pPr>
        <w:spacing w:line="360" w:lineRule="auto"/>
        <w:rPr>
          <w:color w:val="000000"/>
          <w:shd w:val="clear" w:color="auto" w:fill="FFFFFF"/>
          <w:lang w:val="en-US"/>
        </w:rPr>
      </w:pPr>
      <w:r w:rsidRPr="001D3D20">
        <w:rPr>
          <w:color w:val="000000"/>
          <w:shd w:val="clear" w:color="auto" w:fill="FFFFFF"/>
          <w:lang w:val="en-US"/>
        </w:rPr>
        <w:t>4</w:t>
      </w:r>
      <w:r w:rsidR="00FD5E32" w:rsidRPr="001D3D20">
        <w:rPr>
          <w:color w:val="000000"/>
          <w:shd w:val="clear" w:color="auto" w:fill="FFFFFF"/>
          <w:lang w:val="en-US"/>
        </w:rPr>
        <w:t>) Department of Cardiology, Aalborg University Hospital, Aalborg, Denmark</w:t>
      </w:r>
    </w:p>
    <w:p w14:paraId="009469A4" w14:textId="48888A4E" w:rsidR="00FE6E7F" w:rsidRPr="001D3D20" w:rsidRDefault="003A4207" w:rsidP="006842EF">
      <w:pPr>
        <w:spacing w:line="360" w:lineRule="auto"/>
        <w:rPr>
          <w:color w:val="000000"/>
          <w:shd w:val="clear" w:color="auto" w:fill="FFFFFF"/>
          <w:lang w:val="en-US"/>
        </w:rPr>
      </w:pPr>
      <w:r w:rsidRPr="001D3D20">
        <w:rPr>
          <w:color w:val="000000"/>
          <w:shd w:val="clear" w:color="auto" w:fill="FFFFFF"/>
          <w:lang w:val="en-US"/>
        </w:rPr>
        <w:t>5</w:t>
      </w:r>
      <w:r w:rsidR="007248EB" w:rsidRPr="001D3D20">
        <w:rPr>
          <w:color w:val="000000"/>
          <w:shd w:val="clear" w:color="auto" w:fill="FFFFFF"/>
          <w:lang w:val="en-US"/>
        </w:rPr>
        <w:t xml:space="preserve">) </w:t>
      </w:r>
      <w:r w:rsidR="00747626" w:rsidRPr="001D3D20">
        <w:rPr>
          <w:lang w:val="en-US"/>
        </w:rPr>
        <w:t>Liverpool Centre for Cardiovascular Science, University of Liverpool and Liverpool Heart &amp; Chest Hospital, Liverpool, United Kingdom.</w:t>
      </w:r>
    </w:p>
    <w:p w14:paraId="640332FC" w14:textId="77777777" w:rsidR="000D0AA1" w:rsidRPr="001D3D20" w:rsidRDefault="000D0AA1" w:rsidP="006842EF">
      <w:pPr>
        <w:spacing w:line="360" w:lineRule="auto"/>
        <w:rPr>
          <w:color w:val="000000"/>
          <w:shd w:val="clear" w:color="auto" w:fill="FFFFFF"/>
          <w:lang w:val="en-US"/>
        </w:rPr>
      </w:pPr>
    </w:p>
    <w:p w14:paraId="794336A2" w14:textId="4AD774DD" w:rsidR="00E812E2" w:rsidRPr="001D3D20" w:rsidRDefault="00FE6E7F" w:rsidP="006842EF">
      <w:pPr>
        <w:spacing w:line="360" w:lineRule="auto"/>
        <w:rPr>
          <w:bCs/>
          <w:color w:val="000000"/>
          <w:shd w:val="clear" w:color="auto" w:fill="FFFFFF"/>
          <w:lang w:val="en-US"/>
        </w:rPr>
      </w:pPr>
      <w:r w:rsidRPr="001D3D20">
        <w:rPr>
          <w:b/>
          <w:color w:val="000000"/>
          <w:shd w:val="clear" w:color="auto" w:fill="FFFFFF"/>
          <w:lang w:val="en-US"/>
        </w:rPr>
        <w:t>Word count</w:t>
      </w:r>
      <w:r w:rsidR="00A33A55" w:rsidRPr="001D3D20">
        <w:rPr>
          <w:b/>
          <w:color w:val="000000"/>
          <w:shd w:val="clear" w:color="auto" w:fill="FFFFFF"/>
          <w:lang w:val="en-US"/>
        </w:rPr>
        <w:t xml:space="preserve"> (excluding abstract) </w:t>
      </w:r>
      <w:r w:rsidR="00206835">
        <w:rPr>
          <w:bCs/>
          <w:color w:val="000000"/>
          <w:shd w:val="clear" w:color="auto" w:fill="FFFFFF"/>
          <w:lang w:val="en-US"/>
        </w:rPr>
        <w:t>2,995</w:t>
      </w:r>
      <w:bookmarkStart w:id="0" w:name="_GoBack"/>
      <w:bookmarkEnd w:id="0"/>
    </w:p>
    <w:p w14:paraId="20650936" w14:textId="77777777" w:rsidR="00E812E2" w:rsidRPr="001D3D20" w:rsidRDefault="00E812E2" w:rsidP="006842EF">
      <w:pPr>
        <w:spacing w:line="360" w:lineRule="auto"/>
        <w:rPr>
          <w:color w:val="000000"/>
          <w:shd w:val="clear" w:color="auto" w:fill="FFFFFF"/>
          <w:lang w:val="en-US"/>
        </w:rPr>
      </w:pPr>
    </w:p>
    <w:p w14:paraId="2668A050" w14:textId="16DAF1A9" w:rsidR="00A33A55" w:rsidRPr="001D3D20" w:rsidRDefault="00E812E2" w:rsidP="006842EF">
      <w:pPr>
        <w:spacing w:line="360" w:lineRule="auto"/>
        <w:rPr>
          <w:color w:val="000000"/>
          <w:shd w:val="clear" w:color="auto" w:fill="FFFFFF"/>
          <w:lang w:val="en-US"/>
        </w:rPr>
      </w:pPr>
      <w:r w:rsidRPr="001D3D20">
        <w:rPr>
          <w:color w:val="000000"/>
          <w:shd w:val="clear" w:color="auto" w:fill="FFFFFF"/>
          <w:lang w:val="en-US"/>
        </w:rPr>
        <w:t>The Danish Health Data Agency provided the data for this study.</w:t>
      </w:r>
    </w:p>
    <w:p w14:paraId="58A573B2" w14:textId="2293EFD8" w:rsidR="00FE6E7F" w:rsidRPr="001D3D20" w:rsidRDefault="00FE6E7F" w:rsidP="006842EF">
      <w:pPr>
        <w:spacing w:line="360" w:lineRule="auto"/>
        <w:rPr>
          <w:color w:val="000000"/>
          <w:shd w:val="clear" w:color="auto" w:fill="FFFFFF"/>
          <w:lang w:val="en-US"/>
        </w:rPr>
      </w:pPr>
      <w:r w:rsidRPr="001D3D20">
        <w:rPr>
          <w:color w:val="000000"/>
          <w:shd w:val="clear" w:color="auto" w:fill="FFFFFF"/>
          <w:lang w:val="en-US"/>
        </w:rPr>
        <w:br w:type="page"/>
      </w:r>
    </w:p>
    <w:p w14:paraId="35880F95" w14:textId="506F0B08" w:rsidR="006842EF" w:rsidRPr="001D3D20" w:rsidRDefault="006842EF" w:rsidP="006842EF">
      <w:pPr>
        <w:spacing w:line="360" w:lineRule="auto"/>
        <w:jc w:val="center"/>
        <w:rPr>
          <w:b/>
          <w:color w:val="000000"/>
          <w:shd w:val="clear" w:color="auto" w:fill="FFFFFF"/>
          <w:lang w:val="en-US"/>
        </w:rPr>
      </w:pPr>
      <w:r w:rsidRPr="001D3D20">
        <w:rPr>
          <w:b/>
          <w:color w:val="000000"/>
          <w:shd w:val="clear" w:color="auto" w:fill="FFFFFF"/>
          <w:lang w:val="en-US"/>
        </w:rPr>
        <w:lastRenderedPageBreak/>
        <w:t>Abstract</w:t>
      </w:r>
      <w:r w:rsidR="002A5DBF" w:rsidRPr="001D3D20">
        <w:rPr>
          <w:b/>
          <w:color w:val="000000"/>
          <w:shd w:val="clear" w:color="auto" w:fill="FFFFFF"/>
          <w:lang w:val="en-US"/>
        </w:rPr>
        <w:t xml:space="preserve"> (2</w:t>
      </w:r>
      <w:r w:rsidR="00D04F2C">
        <w:rPr>
          <w:b/>
          <w:color w:val="000000"/>
          <w:shd w:val="clear" w:color="auto" w:fill="FFFFFF"/>
          <w:lang w:val="en-US"/>
        </w:rPr>
        <w:t>47</w:t>
      </w:r>
      <w:r w:rsidR="002A5DBF" w:rsidRPr="001D3D20">
        <w:rPr>
          <w:b/>
          <w:color w:val="000000"/>
          <w:shd w:val="clear" w:color="auto" w:fill="FFFFFF"/>
          <w:lang w:val="en-US"/>
        </w:rPr>
        <w:t xml:space="preserve"> words)</w:t>
      </w:r>
    </w:p>
    <w:p w14:paraId="590A38BC" w14:textId="313A2DAE" w:rsidR="006842EF" w:rsidRPr="001D3D20" w:rsidRDefault="006842EF" w:rsidP="006842EF">
      <w:pPr>
        <w:spacing w:line="360" w:lineRule="auto"/>
        <w:rPr>
          <w:b/>
          <w:color w:val="000000"/>
          <w:shd w:val="clear" w:color="auto" w:fill="FFFFFF"/>
          <w:lang w:val="en-US"/>
        </w:rPr>
      </w:pPr>
    </w:p>
    <w:p w14:paraId="555F28F5" w14:textId="1E688007" w:rsidR="008C620D" w:rsidRPr="008C620D" w:rsidRDefault="002A5DBF" w:rsidP="002A5DBF">
      <w:pPr>
        <w:spacing w:line="360" w:lineRule="auto"/>
        <w:rPr>
          <w:b/>
          <w:color w:val="000000"/>
          <w:shd w:val="clear" w:color="auto" w:fill="FFFFFF"/>
          <w:lang w:val="en-US"/>
        </w:rPr>
      </w:pPr>
      <w:r w:rsidRPr="001D3D20">
        <w:rPr>
          <w:b/>
          <w:color w:val="000000"/>
          <w:shd w:val="clear" w:color="auto" w:fill="FFFFFF"/>
          <w:lang w:val="en-US"/>
        </w:rPr>
        <w:t>Background</w:t>
      </w:r>
      <w:r w:rsidR="008C620D">
        <w:rPr>
          <w:b/>
          <w:color w:val="000000"/>
          <w:shd w:val="clear" w:color="auto" w:fill="FFFFFF"/>
          <w:lang w:val="en-US"/>
        </w:rPr>
        <w:t xml:space="preserve"> </w:t>
      </w:r>
      <w:r w:rsidRPr="001D3D20">
        <w:rPr>
          <w:bCs/>
          <w:color w:val="000000"/>
          <w:shd w:val="clear" w:color="auto" w:fill="FFFFFF"/>
          <w:lang w:val="en-US"/>
        </w:rPr>
        <w:t>In atrial fibrillation guidelines, previous venous thromboembolism (VTE) is not accounted for when deciding on whether or not to initiate oral anticoagulation.</w:t>
      </w:r>
    </w:p>
    <w:p w14:paraId="7A3F8BF2" w14:textId="77777777" w:rsidR="008C620D" w:rsidRDefault="008C620D" w:rsidP="002A5DBF">
      <w:pPr>
        <w:spacing w:line="360" w:lineRule="auto"/>
        <w:rPr>
          <w:bCs/>
          <w:color w:val="000000"/>
          <w:shd w:val="clear" w:color="auto" w:fill="FFFFFF"/>
          <w:lang w:val="en-US"/>
        </w:rPr>
      </w:pPr>
    </w:p>
    <w:p w14:paraId="217E3CBD" w14:textId="53D94013" w:rsidR="002A5DBF" w:rsidRPr="001D3D20" w:rsidRDefault="008C620D" w:rsidP="002A5DBF">
      <w:pPr>
        <w:spacing w:line="360" w:lineRule="auto"/>
        <w:rPr>
          <w:bCs/>
          <w:color w:val="000000"/>
          <w:shd w:val="clear" w:color="auto" w:fill="FFFFFF"/>
          <w:lang w:val="en-US"/>
        </w:rPr>
      </w:pPr>
      <w:r>
        <w:rPr>
          <w:b/>
          <w:color w:val="000000"/>
          <w:shd w:val="clear" w:color="auto" w:fill="FFFFFF"/>
          <w:lang w:val="en-US"/>
        </w:rPr>
        <w:t xml:space="preserve">Objectives </w:t>
      </w:r>
      <w:r>
        <w:rPr>
          <w:bCs/>
          <w:color w:val="000000"/>
          <w:shd w:val="clear" w:color="auto" w:fill="FFFFFF"/>
          <w:lang w:val="en-US"/>
        </w:rPr>
        <w:t>T</w:t>
      </w:r>
      <w:r w:rsidR="002A5DBF" w:rsidRPr="001D3D20">
        <w:rPr>
          <w:bCs/>
          <w:color w:val="000000"/>
          <w:shd w:val="clear" w:color="auto" w:fill="FFFFFF"/>
          <w:lang w:val="en-US"/>
        </w:rPr>
        <w:t xml:space="preserve">o assess whether previous VTE </w:t>
      </w:r>
      <w:r w:rsidR="0064426A" w:rsidRPr="001D3D20">
        <w:rPr>
          <w:bCs/>
          <w:color w:val="000000"/>
          <w:shd w:val="clear" w:color="auto" w:fill="FFFFFF"/>
          <w:lang w:val="en-US"/>
        </w:rPr>
        <w:t>was</w:t>
      </w:r>
      <w:r w:rsidR="002A5DBF" w:rsidRPr="001D3D20">
        <w:rPr>
          <w:bCs/>
          <w:color w:val="000000"/>
          <w:shd w:val="clear" w:color="auto" w:fill="FFFFFF"/>
          <w:lang w:val="en-US"/>
        </w:rPr>
        <w:t xml:space="preserve"> a prognostic factor for future thromboembolic events in</w:t>
      </w:r>
      <w:r w:rsidR="002F4CC4">
        <w:rPr>
          <w:bCs/>
          <w:color w:val="000000"/>
          <w:shd w:val="clear" w:color="auto" w:fill="FFFFFF"/>
          <w:lang w:val="en-US"/>
        </w:rPr>
        <w:t xml:space="preserve"> patients with</w:t>
      </w:r>
      <w:r w:rsidR="002A5DBF" w:rsidRPr="001D3D20">
        <w:rPr>
          <w:bCs/>
          <w:color w:val="000000"/>
          <w:shd w:val="clear" w:color="auto" w:fill="FFFFFF"/>
          <w:lang w:val="en-US"/>
        </w:rPr>
        <w:t xml:space="preserve"> atrial fibrillation.</w:t>
      </w:r>
    </w:p>
    <w:p w14:paraId="02ECE52C" w14:textId="77777777" w:rsidR="002A5DBF" w:rsidRPr="001D3D20" w:rsidRDefault="002A5DBF" w:rsidP="002A5DBF">
      <w:pPr>
        <w:spacing w:line="360" w:lineRule="auto"/>
        <w:rPr>
          <w:bCs/>
          <w:color w:val="000000"/>
          <w:shd w:val="clear" w:color="auto" w:fill="FFFFFF"/>
          <w:lang w:val="en-US"/>
        </w:rPr>
      </w:pPr>
    </w:p>
    <w:p w14:paraId="59E37195" w14:textId="478BBB1E" w:rsidR="002A5DBF" w:rsidRPr="00703296" w:rsidRDefault="002A5DBF" w:rsidP="002A5DBF">
      <w:pPr>
        <w:spacing w:line="360" w:lineRule="auto"/>
        <w:rPr>
          <w:b/>
          <w:color w:val="000000"/>
          <w:shd w:val="clear" w:color="auto" w:fill="FFFFFF"/>
          <w:lang w:val="en-US"/>
        </w:rPr>
      </w:pPr>
      <w:r w:rsidRPr="001D3D20">
        <w:rPr>
          <w:b/>
          <w:color w:val="000000"/>
          <w:shd w:val="clear" w:color="auto" w:fill="FFFFFF"/>
          <w:lang w:val="en-US"/>
        </w:rPr>
        <w:t>Methods</w:t>
      </w:r>
      <w:r w:rsidR="00703296">
        <w:rPr>
          <w:b/>
          <w:color w:val="000000"/>
          <w:shd w:val="clear" w:color="auto" w:fill="FFFFFF"/>
          <w:lang w:val="en-US"/>
        </w:rPr>
        <w:t xml:space="preserve"> </w:t>
      </w:r>
      <w:r w:rsidRPr="001D3D20">
        <w:rPr>
          <w:bCs/>
          <w:color w:val="000000"/>
          <w:shd w:val="clear" w:color="auto" w:fill="FFFFFF"/>
          <w:lang w:val="en-US"/>
        </w:rPr>
        <w:t xml:space="preserve">Incident atrial fibrillation patients from 2000-2017 were defined and characterized using nationwide Danish </w:t>
      </w:r>
      <w:r w:rsidR="00BB5439">
        <w:rPr>
          <w:bCs/>
          <w:color w:val="000000"/>
          <w:shd w:val="clear" w:color="auto" w:fill="FFFFFF"/>
          <w:lang w:val="en-US"/>
        </w:rPr>
        <w:t>health</w:t>
      </w:r>
      <w:r w:rsidRPr="001D3D20">
        <w:rPr>
          <w:bCs/>
          <w:color w:val="000000"/>
          <w:shd w:val="clear" w:color="auto" w:fill="FFFFFF"/>
          <w:lang w:val="en-US"/>
        </w:rPr>
        <w:t xml:space="preserve"> registries. Cox regression analyses were used to calculate hazard ratios (95% confidence interval) for the outcomes ‘ischemic stroke or systemic embolism’ and </w:t>
      </w:r>
      <w:r w:rsidR="00625262">
        <w:rPr>
          <w:bCs/>
          <w:color w:val="000000"/>
          <w:shd w:val="clear" w:color="auto" w:fill="FFFFFF"/>
          <w:lang w:val="en-US"/>
        </w:rPr>
        <w:t>‘</w:t>
      </w:r>
      <w:r w:rsidRPr="001D3D20">
        <w:rPr>
          <w:bCs/>
          <w:color w:val="000000"/>
          <w:shd w:val="clear" w:color="auto" w:fill="FFFFFF"/>
          <w:lang w:val="en-US"/>
        </w:rPr>
        <w:t>ischemic stroke, systemic embolism, or VTE’ according to previous VTE status. Analyses were adjusted for components of CHA</w:t>
      </w:r>
      <w:r w:rsidRPr="001D3D20">
        <w:rPr>
          <w:bCs/>
          <w:color w:val="000000"/>
          <w:shd w:val="clear" w:color="auto" w:fill="FFFFFF"/>
          <w:vertAlign w:val="subscript"/>
          <w:lang w:val="en-US"/>
        </w:rPr>
        <w:t>2</w:t>
      </w:r>
      <w:r w:rsidRPr="001D3D20">
        <w:rPr>
          <w:bCs/>
          <w:color w:val="000000"/>
          <w:shd w:val="clear" w:color="auto" w:fill="FFFFFF"/>
          <w:lang w:val="en-US"/>
        </w:rPr>
        <w:t>DS</w:t>
      </w:r>
      <w:r w:rsidRPr="001D3D20">
        <w:rPr>
          <w:bCs/>
          <w:color w:val="000000"/>
          <w:shd w:val="clear" w:color="auto" w:fill="FFFFFF"/>
          <w:vertAlign w:val="subscript"/>
          <w:lang w:val="en-US"/>
        </w:rPr>
        <w:t>2</w:t>
      </w:r>
      <w:r w:rsidRPr="001D3D20">
        <w:rPr>
          <w:bCs/>
          <w:color w:val="000000"/>
          <w:shd w:val="clear" w:color="auto" w:fill="FFFFFF"/>
          <w:lang w:val="en-US"/>
        </w:rPr>
        <w:t xml:space="preserve">-VASc and </w:t>
      </w:r>
      <w:r w:rsidR="00903E35" w:rsidRPr="001D3D20">
        <w:rPr>
          <w:bCs/>
          <w:color w:val="000000"/>
          <w:shd w:val="clear" w:color="auto" w:fill="FFFFFF"/>
          <w:lang w:val="en-US"/>
        </w:rPr>
        <w:t xml:space="preserve">time-varying use of </w:t>
      </w:r>
      <w:r w:rsidRPr="001D3D20">
        <w:rPr>
          <w:bCs/>
          <w:color w:val="000000"/>
          <w:shd w:val="clear" w:color="auto" w:fill="FFFFFF"/>
          <w:lang w:val="en-US"/>
        </w:rPr>
        <w:t>oral anticoagulat</w:t>
      </w:r>
      <w:r w:rsidR="00903E35" w:rsidRPr="001D3D20">
        <w:rPr>
          <w:bCs/>
          <w:color w:val="000000"/>
          <w:shd w:val="clear" w:color="auto" w:fill="FFFFFF"/>
          <w:lang w:val="en-US"/>
        </w:rPr>
        <w:t>ion</w:t>
      </w:r>
      <w:r w:rsidRPr="001D3D20">
        <w:rPr>
          <w:bCs/>
          <w:color w:val="000000"/>
          <w:shd w:val="clear" w:color="auto" w:fill="FFFFFF"/>
          <w:lang w:val="en-US"/>
        </w:rPr>
        <w:t>.</w:t>
      </w:r>
    </w:p>
    <w:p w14:paraId="058958CB" w14:textId="77777777" w:rsidR="002A5DBF" w:rsidRPr="001D3D20" w:rsidRDefault="002A5DBF" w:rsidP="002A5DBF">
      <w:pPr>
        <w:spacing w:line="360" w:lineRule="auto"/>
        <w:rPr>
          <w:bCs/>
          <w:color w:val="000000"/>
          <w:shd w:val="clear" w:color="auto" w:fill="FFFFFF"/>
          <w:lang w:val="en-US"/>
        </w:rPr>
      </w:pPr>
    </w:p>
    <w:p w14:paraId="479D9214" w14:textId="0D396FCA" w:rsidR="002A5DBF" w:rsidRPr="00703296" w:rsidRDefault="002A5DBF" w:rsidP="002A5DBF">
      <w:pPr>
        <w:spacing w:line="360" w:lineRule="auto"/>
        <w:rPr>
          <w:b/>
          <w:color w:val="000000"/>
          <w:shd w:val="clear" w:color="auto" w:fill="FFFFFF"/>
          <w:lang w:val="en-US"/>
        </w:rPr>
      </w:pPr>
      <w:r w:rsidRPr="001D3D20">
        <w:rPr>
          <w:b/>
          <w:color w:val="000000"/>
          <w:shd w:val="clear" w:color="auto" w:fill="FFFFFF"/>
          <w:lang w:val="en-US"/>
        </w:rPr>
        <w:t>Results</w:t>
      </w:r>
      <w:r w:rsidR="00703296">
        <w:rPr>
          <w:b/>
          <w:color w:val="000000"/>
          <w:shd w:val="clear" w:color="auto" w:fill="FFFFFF"/>
          <w:lang w:val="en-US"/>
        </w:rPr>
        <w:t xml:space="preserve"> </w:t>
      </w:r>
      <w:r w:rsidRPr="001D3D20">
        <w:rPr>
          <w:bCs/>
          <w:color w:val="000000"/>
          <w:shd w:val="clear" w:color="auto" w:fill="FFFFFF"/>
          <w:lang w:val="en-US"/>
        </w:rPr>
        <w:t xml:space="preserve">The study population consisted of </w:t>
      </w:r>
      <w:r w:rsidRPr="001D3D20">
        <w:rPr>
          <w:color w:val="000000"/>
          <w:shd w:val="clear" w:color="auto" w:fill="FFFFFF"/>
          <w:lang w:val="en-US"/>
        </w:rPr>
        <w:t xml:space="preserve">246,313 patients with incident atrial fibrillation, of which 6,516 (2.6%) had previous VTE. Patients with previous VTE carried an overall similar adjusted risk of ‘ischemic stroke or systemic embolism’ compared with patients without previous VTE (reference), hazard ratio </w:t>
      </w:r>
      <w:r w:rsidRPr="001D3D20">
        <w:rPr>
          <w:lang w:val="en-US"/>
        </w:rPr>
        <w:t xml:space="preserve">0.99 (95% confidence interval 0.90-1.09). When </w:t>
      </w:r>
      <w:r w:rsidR="008A7FDF" w:rsidRPr="001D3D20">
        <w:rPr>
          <w:lang w:val="en-US"/>
        </w:rPr>
        <w:t>analyzing</w:t>
      </w:r>
      <w:r w:rsidR="00AA0BFC" w:rsidRPr="001D3D20">
        <w:rPr>
          <w:lang w:val="en-US"/>
        </w:rPr>
        <w:t xml:space="preserve"> a</w:t>
      </w:r>
      <w:r w:rsidRPr="001D3D20">
        <w:rPr>
          <w:lang w:val="en-US"/>
        </w:rPr>
        <w:t xml:space="preserve"> composite</w:t>
      </w:r>
      <w:r w:rsidR="00903E35" w:rsidRPr="001D3D20">
        <w:rPr>
          <w:lang w:val="en-US"/>
        </w:rPr>
        <w:t xml:space="preserve"> thromboembolic</w:t>
      </w:r>
      <w:r w:rsidRPr="001D3D20">
        <w:rPr>
          <w:lang w:val="en-US"/>
        </w:rPr>
        <w:t xml:space="preserve"> outcome</w:t>
      </w:r>
      <w:r w:rsidR="00F81572" w:rsidRPr="001D3D20">
        <w:rPr>
          <w:lang w:val="en-US"/>
        </w:rPr>
        <w:t xml:space="preserve"> of </w:t>
      </w:r>
      <w:r w:rsidR="00903E35" w:rsidRPr="001D3D20">
        <w:rPr>
          <w:lang w:val="en-US"/>
        </w:rPr>
        <w:t>‘</w:t>
      </w:r>
      <w:r w:rsidR="00F81572" w:rsidRPr="001D3D20">
        <w:rPr>
          <w:bCs/>
          <w:color w:val="000000"/>
          <w:shd w:val="clear" w:color="auto" w:fill="FFFFFF"/>
          <w:lang w:val="en-US"/>
        </w:rPr>
        <w:t>ischemic stroke, systemic embolism, or VTE</w:t>
      </w:r>
      <w:r w:rsidR="00903E35" w:rsidRPr="001D3D20">
        <w:rPr>
          <w:bCs/>
          <w:color w:val="000000"/>
          <w:shd w:val="clear" w:color="auto" w:fill="FFFFFF"/>
          <w:lang w:val="en-US"/>
        </w:rPr>
        <w:t>’</w:t>
      </w:r>
      <w:r w:rsidRPr="001D3D20">
        <w:rPr>
          <w:lang w:val="en-US"/>
        </w:rPr>
        <w:t>, patients with previous VTE were a</w:t>
      </w:r>
      <w:r w:rsidR="003B291A" w:rsidRPr="001D3D20">
        <w:rPr>
          <w:lang w:val="en-US"/>
        </w:rPr>
        <w:t>t</w:t>
      </w:r>
      <w:r w:rsidRPr="001D3D20">
        <w:rPr>
          <w:lang w:val="en-US"/>
        </w:rPr>
        <w:t xml:space="preserve"> high-risk, hazard ratio 1.76 (95% confidence interval 1.64-1.90). Similar conclusions were found when stratifying by VTE subtype</w:t>
      </w:r>
      <w:r w:rsidR="0007050C">
        <w:rPr>
          <w:lang w:val="en-US"/>
        </w:rPr>
        <w:t xml:space="preserve">, </w:t>
      </w:r>
      <w:r w:rsidRPr="001D3D20">
        <w:rPr>
          <w:lang w:val="en-US"/>
        </w:rPr>
        <w:t xml:space="preserve">among patients with low </w:t>
      </w:r>
      <w:r w:rsidRPr="001D3D20">
        <w:rPr>
          <w:bCs/>
          <w:color w:val="000000"/>
          <w:shd w:val="clear" w:color="auto" w:fill="FFFFFF"/>
          <w:lang w:val="en-US"/>
        </w:rPr>
        <w:t>CHA</w:t>
      </w:r>
      <w:r w:rsidRPr="001D3D20">
        <w:rPr>
          <w:bCs/>
          <w:color w:val="000000"/>
          <w:shd w:val="clear" w:color="auto" w:fill="FFFFFF"/>
          <w:vertAlign w:val="subscript"/>
          <w:lang w:val="en-US"/>
        </w:rPr>
        <w:t>2</w:t>
      </w:r>
      <w:r w:rsidRPr="001D3D20">
        <w:rPr>
          <w:bCs/>
          <w:color w:val="000000"/>
          <w:shd w:val="clear" w:color="auto" w:fill="FFFFFF"/>
          <w:lang w:val="en-US"/>
        </w:rPr>
        <w:t>DS</w:t>
      </w:r>
      <w:r w:rsidRPr="001D3D20">
        <w:rPr>
          <w:bCs/>
          <w:color w:val="000000"/>
          <w:shd w:val="clear" w:color="auto" w:fill="FFFFFF"/>
          <w:vertAlign w:val="subscript"/>
          <w:lang w:val="en-US"/>
        </w:rPr>
        <w:t>2</w:t>
      </w:r>
      <w:r w:rsidRPr="001D3D20">
        <w:rPr>
          <w:bCs/>
          <w:color w:val="000000"/>
          <w:shd w:val="clear" w:color="auto" w:fill="FFFFFF"/>
          <w:lang w:val="en-US"/>
        </w:rPr>
        <w:t>-VASc scores</w:t>
      </w:r>
      <w:r w:rsidR="003214A5" w:rsidRPr="001D3D20">
        <w:rPr>
          <w:bCs/>
          <w:color w:val="000000"/>
          <w:shd w:val="clear" w:color="auto" w:fill="FFFFFF"/>
          <w:lang w:val="en-US"/>
        </w:rPr>
        <w:t>, or</w:t>
      </w:r>
      <w:r w:rsidR="00903E35" w:rsidRPr="001D3D20">
        <w:rPr>
          <w:bCs/>
          <w:color w:val="000000"/>
          <w:shd w:val="clear" w:color="auto" w:fill="FFFFFF"/>
          <w:lang w:val="en-US"/>
        </w:rPr>
        <w:t xml:space="preserve"> when restricting to</w:t>
      </w:r>
      <w:r w:rsidR="003214A5" w:rsidRPr="001D3D20">
        <w:rPr>
          <w:bCs/>
          <w:color w:val="000000"/>
          <w:shd w:val="clear" w:color="auto" w:fill="FFFFFF"/>
          <w:lang w:val="en-US"/>
        </w:rPr>
        <w:t xml:space="preserve"> the non-anticoagulated </w:t>
      </w:r>
      <w:r w:rsidR="003214A5" w:rsidRPr="001D3D20">
        <w:rPr>
          <w:color w:val="000000"/>
          <w:shd w:val="clear" w:color="auto" w:fill="FFFFFF"/>
          <w:lang w:val="en-US"/>
        </w:rPr>
        <w:t>subset of the study population</w:t>
      </w:r>
      <w:r w:rsidRPr="001D3D20">
        <w:rPr>
          <w:bCs/>
          <w:color w:val="000000"/>
          <w:shd w:val="clear" w:color="auto" w:fill="FFFFFF"/>
          <w:lang w:val="en-US"/>
        </w:rPr>
        <w:t>.</w:t>
      </w:r>
    </w:p>
    <w:p w14:paraId="02F9D326" w14:textId="77777777" w:rsidR="002A5DBF" w:rsidRPr="001D3D20" w:rsidRDefault="002A5DBF" w:rsidP="002A5DBF">
      <w:pPr>
        <w:spacing w:line="360" w:lineRule="auto"/>
        <w:rPr>
          <w:bCs/>
          <w:color w:val="000000"/>
          <w:shd w:val="clear" w:color="auto" w:fill="FFFFFF"/>
          <w:lang w:val="en-US"/>
        </w:rPr>
      </w:pPr>
    </w:p>
    <w:p w14:paraId="01626B53" w14:textId="77777777" w:rsidR="00E435F8" w:rsidRDefault="002A5DBF" w:rsidP="001D3D20">
      <w:pPr>
        <w:spacing w:line="360" w:lineRule="auto"/>
        <w:rPr>
          <w:bCs/>
          <w:color w:val="000000"/>
          <w:shd w:val="clear" w:color="auto" w:fill="FFFFFF"/>
          <w:lang w:val="en-US"/>
        </w:rPr>
      </w:pPr>
      <w:r w:rsidRPr="001D3D20">
        <w:rPr>
          <w:b/>
          <w:color w:val="000000"/>
          <w:shd w:val="clear" w:color="auto" w:fill="FFFFFF"/>
          <w:lang w:val="en-US"/>
        </w:rPr>
        <w:t>Conclusions</w:t>
      </w:r>
      <w:r w:rsidR="00703296">
        <w:rPr>
          <w:b/>
          <w:color w:val="000000"/>
          <w:shd w:val="clear" w:color="auto" w:fill="FFFFFF"/>
          <w:lang w:val="en-US"/>
        </w:rPr>
        <w:t xml:space="preserve"> </w:t>
      </w:r>
      <w:r w:rsidR="000E65EB" w:rsidRPr="001D3D20">
        <w:rPr>
          <w:color w:val="000000"/>
          <w:shd w:val="clear" w:color="auto" w:fill="FFFFFF"/>
          <w:lang w:val="en-US"/>
        </w:rPr>
        <w:t>Patients with previous VTE carried</w:t>
      </w:r>
      <w:r w:rsidR="0037621F">
        <w:rPr>
          <w:color w:val="000000"/>
          <w:shd w:val="clear" w:color="auto" w:fill="FFFFFF"/>
          <w:lang w:val="en-US"/>
        </w:rPr>
        <w:t xml:space="preserve"> </w:t>
      </w:r>
      <w:r w:rsidR="000E65EB" w:rsidRPr="001D3D20">
        <w:rPr>
          <w:color w:val="000000"/>
          <w:shd w:val="clear" w:color="auto" w:fill="FFFFFF"/>
          <w:lang w:val="en-US"/>
        </w:rPr>
        <w:t xml:space="preserve">similar risk of ‘ischemic stroke or systemic embolism’ compared with patients without previous VTE. Nonetheless, </w:t>
      </w:r>
      <w:r w:rsidR="000E65EB" w:rsidRPr="001D3D20">
        <w:rPr>
          <w:bCs/>
          <w:color w:val="000000"/>
          <w:shd w:val="clear" w:color="auto" w:fill="FFFFFF"/>
          <w:lang w:val="en-US"/>
        </w:rPr>
        <w:t xml:space="preserve">they </w:t>
      </w:r>
      <w:bookmarkStart w:id="1" w:name="OLE_LINK1"/>
      <w:bookmarkStart w:id="2" w:name="OLE_LINK2"/>
      <w:r w:rsidR="000E65EB" w:rsidRPr="001D3D20">
        <w:rPr>
          <w:bCs/>
          <w:color w:val="000000"/>
          <w:shd w:val="clear" w:color="auto" w:fill="FFFFFF"/>
          <w:lang w:val="en-US"/>
        </w:rPr>
        <w:t>remain</w:t>
      </w:r>
      <w:r w:rsidRPr="001D3D20">
        <w:rPr>
          <w:bCs/>
          <w:color w:val="000000"/>
          <w:shd w:val="clear" w:color="auto" w:fill="FFFFFF"/>
          <w:lang w:val="en-US"/>
        </w:rPr>
        <w:t xml:space="preserve"> a high-risk population compared with patients without previous VTE</w:t>
      </w:r>
      <w:bookmarkEnd w:id="1"/>
      <w:bookmarkEnd w:id="2"/>
      <w:r w:rsidRPr="001D3D20">
        <w:rPr>
          <w:bCs/>
          <w:color w:val="000000"/>
          <w:shd w:val="clear" w:color="auto" w:fill="FFFFFF"/>
          <w:lang w:val="en-US"/>
        </w:rPr>
        <w:t>, mainly due to an excess risk of future VTE events.</w:t>
      </w:r>
    </w:p>
    <w:p w14:paraId="44F6D28E" w14:textId="77777777" w:rsidR="00E435F8" w:rsidRDefault="00E435F8">
      <w:pPr>
        <w:rPr>
          <w:bCs/>
          <w:color w:val="000000"/>
          <w:shd w:val="clear" w:color="auto" w:fill="FFFFFF"/>
          <w:lang w:val="en-US"/>
        </w:rPr>
      </w:pPr>
      <w:r>
        <w:rPr>
          <w:bCs/>
          <w:color w:val="000000"/>
          <w:shd w:val="clear" w:color="auto" w:fill="FFFFFF"/>
          <w:lang w:val="en-US"/>
        </w:rPr>
        <w:br w:type="page"/>
      </w:r>
    </w:p>
    <w:p w14:paraId="3EF77139" w14:textId="77777777" w:rsidR="00E435F8" w:rsidRDefault="00E435F8" w:rsidP="001D3D20">
      <w:pPr>
        <w:spacing w:line="360" w:lineRule="auto"/>
        <w:rPr>
          <w:b/>
          <w:color w:val="000000"/>
          <w:shd w:val="clear" w:color="auto" w:fill="FFFFFF"/>
          <w:lang w:val="en-US"/>
        </w:rPr>
      </w:pPr>
      <w:r>
        <w:rPr>
          <w:b/>
          <w:color w:val="000000"/>
          <w:shd w:val="clear" w:color="auto" w:fill="FFFFFF"/>
          <w:lang w:val="en-US"/>
        </w:rPr>
        <w:lastRenderedPageBreak/>
        <w:t>Abbreviations</w:t>
      </w:r>
    </w:p>
    <w:p w14:paraId="0AC4ACEF" w14:textId="77777777" w:rsidR="00E435F8" w:rsidRDefault="00E435F8" w:rsidP="001D3D20">
      <w:pPr>
        <w:spacing w:line="360" w:lineRule="auto"/>
        <w:rPr>
          <w:b/>
          <w:color w:val="000000"/>
          <w:shd w:val="clear" w:color="auto" w:fill="FFFFFF"/>
          <w:lang w:val="en-US"/>
        </w:rPr>
      </w:pPr>
    </w:p>
    <w:p w14:paraId="46C919BD" w14:textId="77777777" w:rsidR="0089326D" w:rsidRDefault="0089326D" w:rsidP="001D3D20">
      <w:pPr>
        <w:spacing w:line="360" w:lineRule="auto"/>
        <w:rPr>
          <w:bCs/>
          <w:color w:val="000000"/>
          <w:shd w:val="clear" w:color="auto" w:fill="FFFFFF"/>
          <w:lang w:val="en-US"/>
        </w:rPr>
      </w:pPr>
      <w:r>
        <w:rPr>
          <w:b/>
          <w:color w:val="000000"/>
          <w:shd w:val="clear" w:color="auto" w:fill="FFFFFF"/>
          <w:lang w:val="en-US"/>
        </w:rPr>
        <w:t xml:space="preserve">CI </w:t>
      </w:r>
      <w:r>
        <w:rPr>
          <w:bCs/>
          <w:color w:val="000000"/>
          <w:shd w:val="clear" w:color="auto" w:fill="FFFFFF"/>
          <w:lang w:val="en-US"/>
        </w:rPr>
        <w:t>confidence interval</w:t>
      </w:r>
    </w:p>
    <w:p w14:paraId="3DEF920F" w14:textId="3A8A2094" w:rsidR="00172F27" w:rsidRDefault="00172F27" w:rsidP="001D3D20">
      <w:pPr>
        <w:spacing w:line="360" w:lineRule="auto"/>
        <w:rPr>
          <w:bCs/>
          <w:color w:val="000000"/>
          <w:shd w:val="clear" w:color="auto" w:fill="FFFFFF"/>
          <w:lang w:val="en-US"/>
        </w:rPr>
      </w:pPr>
      <w:r w:rsidRPr="00172F27">
        <w:rPr>
          <w:b/>
          <w:color w:val="000000"/>
          <w:shd w:val="clear" w:color="auto" w:fill="FFFFFF"/>
          <w:lang w:val="en-US"/>
        </w:rPr>
        <w:t>HR</w:t>
      </w:r>
      <w:r>
        <w:rPr>
          <w:b/>
          <w:color w:val="000000"/>
          <w:shd w:val="clear" w:color="auto" w:fill="FFFFFF"/>
          <w:lang w:val="en-US"/>
        </w:rPr>
        <w:t xml:space="preserve"> </w:t>
      </w:r>
      <w:r>
        <w:rPr>
          <w:bCs/>
          <w:color w:val="000000"/>
          <w:shd w:val="clear" w:color="auto" w:fill="FFFFFF"/>
          <w:lang w:val="en-US"/>
        </w:rPr>
        <w:t>hazard rate ratio</w:t>
      </w:r>
    </w:p>
    <w:p w14:paraId="6010AF8C" w14:textId="6C09A2C3" w:rsidR="00C3444B" w:rsidRPr="00C3444B" w:rsidRDefault="00C3444B" w:rsidP="001D3D20">
      <w:pPr>
        <w:spacing w:line="360" w:lineRule="auto"/>
        <w:rPr>
          <w:bCs/>
          <w:color w:val="000000"/>
          <w:shd w:val="clear" w:color="auto" w:fill="FFFFFF"/>
          <w:lang w:val="en-US"/>
        </w:rPr>
      </w:pPr>
      <w:r>
        <w:rPr>
          <w:b/>
          <w:color w:val="000000"/>
          <w:shd w:val="clear" w:color="auto" w:fill="FFFFFF"/>
          <w:lang w:val="en-US"/>
        </w:rPr>
        <w:t xml:space="preserve">NOAC </w:t>
      </w:r>
      <w:r>
        <w:rPr>
          <w:bCs/>
          <w:color w:val="000000"/>
          <w:shd w:val="clear" w:color="auto" w:fill="FFFFFF"/>
          <w:lang w:val="en-US"/>
        </w:rPr>
        <w:t>non-vitamin K antagonist oral anticoagulant</w:t>
      </w:r>
    </w:p>
    <w:p w14:paraId="2DBB71F7" w14:textId="1689C24C" w:rsidR="006842EF" w:rsidRPr="0089326D" w:rsidRDefault="0089326D" w:rsidP="001D3D20">
      <w:pPr>
        <w:spacing w:line="360" w:lineRule="auto"/>
        <w:rPr>
          <w:b/>
          <w:color w:val="000000"/>
          <w:shd w:val="clear" w:color="auto" w:fill="FFFFFF"/>
          <w:lang w:val="en-US"/>
        </w:rPr>
      </w:pPr>
      <w:r w:rsidRPr="0089326D">
        <w:rPr>
          <w:b/>
          <w:color w:val="000000"/>
          <w:shd w:val="clear" w:color="auto" w:fill="FFFFFF"/>
          <w:lang w:val="en-US"/>
        </w:rPr>
        <w:t>VTE</w:t>
      </w:r>
      <w:r>
        <w:rPr>
          <w:b/>
          <w:color w:val="000000"/>
          <w:shd w:val="clear" w:color="auto" w:fill="FFFFFF"/>
          <w:lang w:val="en-US"/>
        </w:rPr>
        <w:t xml:space="preserve"> </w:t>
      </w:r>
      <w:r>
        <w:rPr>
          <w:bCs/>
          <w:color w:val="000000"/>
          <w:shd w:val="clear" w:color="auto" w:fill="FFFFFF"/>
          <w:lang w:val="en-US"/>
        </w:rPr>
        <w:t>venous thromboembolism</w:t>
      </w:r>
      <w:r w:rsidR="006842EF" w:rsidRPr="0089326D">
        <w:rPr>
          <w:b/>
          <w:color w:val="000000"/>
          <w:shd w:val="clear" w:color="auto" w:fill="FFFFFF"/>
          <w:lang w:val="en-US"/>
        </w:rPr>
        <w:br w:type="page"/>
      </w:r>
    </w:p>
    <w:p w14:paraId="5E545991" w14:textId="4C5273B7" w:rsidR="009715D5" w:rsidRPr="001D3D20" w:rsidRDefault="00E81818" w:rsidP="006842EF">
      <w:pPr>
        <w:spacing w:line="360" w:lineRule="auto"/>
        <w:jc w:val="center"/>
        <w:rPr>
          <w:b/>
          <w:color w:val="000000"/>
          <w:shd w:val="clear" w:color="auto" w:fill="FFFFFF"/>
          <w:lang w:val="en-US"/>
        </w:rPr>
      </w:pPr>
      <w:r w:rsidRPr="001D3D20">
        <w:rPr>
          <w:b/>
          <w:color w:val="000000"/>
          <w:shd w:val="clear" w:color="auto" w:fill="FFFFFF"/>
          <w:lang w:val="en-US"/>
        </w:rPr>
        <w:lastRenderedPageBreak/>
        <w:t>Introduction</w:t>
      </w:r>
    </w:p>
    <w:p w14:paraId="64FCF62D" w14:textId="77777777" w:rsidR="00B65532" w:rsidRPr="001D3D20" w:rsidRDefault="00B65532" w:rsidP="006842EF">
      <w:pPr>
        <w:spacing w:line="360" w:lineRule="auto"/>
        <w:rPr>
          <w:b/>
          <w:color w:val="000000"/>
          <w:shd w:val="clear" w:color="auto" w:fill="FFFFFF"/>
          <w:lang w:val="en-US"/>
        </w:rPr>
      </w:pPr>
    </w:p>
    <w:p w14:paraId="53585B76" w14:textId="74935BA2" w:rsidR="00DA5E27" w:rsidRPr="001D3D20" w:rsidRDefault="00C1736E" w:rsidP="006842EF">
      <w:pPr>
        <w:spacing w:line="360" w:lineRule="auto"/>
        <w:rPr>
          <w:color w:val="000000"/>
          <w:shd w:val="clear" w:color="auto" w:fill="FFFFFF"/>
          <w:lang w:val="en-US"/>
        </w:rPr>
      </w:pPr>
      <w:r w:rsidRPr="001D3D20">
        <w:rPr>
          <w:color w:val="000000"/>
          <w:shd w:val="clear" w:color="auto" w:fill="FFFFFF"/>
          <w:lang w:val="en-US"/>
        </w:rPr>
        <w:t>Atrial fibrillation is the</w:t>
      </w:r>
      <w:r w:rsidR="00C74FDD" w:rsidRPr="001D3D20">
        <w:rPr>
          <w:color w:val="000000"/>
          <w:shd w:val="clear" w:color="auto" w:fill="FFFFFF"/>
          <w:lang w:val="en-US"/>
        </w:rPr>
        <w:t xml:space="preserve"> most</w:t>
      </w:r>
      <w:r w:rsidRPr="001D3D20">
        <w:rPr>
          <w:color w:val="000000"/>
          <w:shd w:val="clear" w:color="auto" w:fill="FFFFFF"/>
          <w:lang w:val="en-US"/>
        </w:rPr>
        <w:t xml:space="preserve"> common cardiac arrhythmia with the </w:t>
      </w:r>
      <w:r w:rsidR="00626307" w:rsidRPr="001D3D20">
        <w:rPr>
          <w:color w:val="000000"/>
          <w:shd w:val="clear" w:color="auto" w:fill="FFFFFF"/>
          <w:lang w:val="en-US"/>
        </w:rPr>
        <w:t>proportions</w:t>
      </w:r>
      <w:r w:rsidRPr="001D3D20">
        <w:rPr>
          <w:color w:val="000000"/>
          <w:shd w:val="clear" w:color="auto" w:fill="FFFFFF"/>
          <w:lang w:val="en-US"/>
        </w:rPr>
        <w:t xml:space="preserve"> of pandemic.</w:t>
      </w:r>
      <w:r w:rsidR="00D80ECF"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{"citationItems":[{"id":"ITEM-1","itemData":{"DOI":"10.1038/nrcardio.2014.118","ISSN":"1759-5010","PMID":"25113750","abstract":"Atrial fibrillation (AF) is a major public health burden worldwide, and its prevalence is set to increase owing to widespread population ageing, especially in rapidly developing countries such as Brazil, China, India, and Indonesia. Despite the availability of epidemiological data on the prevalence of AF in North America and Western Europe, corresponding data are limited in Africa, Asia, and South America. Moreover, other observations suggest that the prevalence of AF might be underestimated-not only in low-income and middle-income countries, but also in their high-income counterparts. Future studies are required to provide precise estimations of the global AF burden, identify important risk factors in various regions worldwide, and take into consideration regional and ethnic variations in AF. Furthermore, in response to the increasing prevalence of AF, additional resources will need to be allocated globally for prevention and treatment of AF and its associated complications. In this Review, we discuss the available data on the global prevalence, risk factors, management, financial costs, and clinical burden of AF, and highlight the current worldwide inadequacy of its treatment.","author":[{"dropping-particle":"","family":"Rahman","given":"Faisal","non-dropping-particle":"","parse-names":false,"suffix":""},{"dropping-particle":"","family":"Kwan","given":"Gene F","non-dropping-particle":"","parse-names":false,"suffix":""},{"dropping-particle":"","family":"Benjamin","given":"Emelia J","non-dropping-particle":"","parse-names":false,"suffix":""}],"container-title":"Nature reviews. Cardiology","id":"ITEM-1","issue":"11","issued":{"date-parts":[["2014"]]},"page":"639-654","title":"Global epidemiology of atrial fibrillation.","type":"article-journal","volume":"11"},"uris":["http://www.mendeley.com/documents/?uuid=58e25bb5-3c76-4fac-a2c0-b0c2479ba155"]}],"mendeley":{"formattedCitation":"&lt;sup&gt;1&lt;/sup&gt;","plainTextFormattedCitation":"1","previouslyFormattedCitation":"&lt;sup&gt;1&lt;/sup&gt;"},"properties":{"noteIndex":0},"schema":"https://github.com/citation-style-language/schema/raw/master/csl-citation.json"}</w:instrText>
      </w:r>
      <w:r w:rsidR="00D80ECF"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1</w:t>
      </w:r>
      <w:r w:rsidR="00D80ECF" w:rsidRPr="001D3D20">
        <w:rPr>
          <w:color w:val="000000"/>
          <w:shd w:val="clear" w:color="auto" w:fill="FFFFFF"/>
          <w:lang w:val="en-US"/>
        </w:rPr>
        <w:fldChar w:fldCharType="end"/>
      </w:r>
      <w:r w:rsidR="000B6352" w:rsidRPr="001D3D20">
        <w:rPr>
          <w:color w:val="000000"/>
          <w:shd w:val="clear" w:color="auto" w:fill="FFFFFF"/>
          <w:lang w:val="en-US"/>
        </w:rPr>
        <w:t xml:space="preserve"> Stroke is the most feared complication of atrial fibrillation</w:t>
      </w:r>
      <w:r w:rsidR="00967229" w:rsidRPr="001D3D20">
        <w:rPr>
          <w:color w:val="000000"/>
          <w:shd w:val="clear" w:color="auto" w:fill="FFFFFF"/>
          <w:lang w:val="en-US"/>
        </w:rPr>
        <w:t xml:space="preserve">, but </w:t>
      </w:r>
      <w:r w:rsidR="00CF324A" w:rsidRPr="001D3D20">
        <w:rPr>
          <w:color w:val="000000"/>
          <w:shd w:val="clear" w:color="auto" w:fill="FFFFFF"/>
          <w:lang w:val="en-US"/>
        </w:rPr>
        <w:t xml:space="preserve">strokes </w:t>
      </w:r>
      <w:r w:rsidR="00967229" w:rsidRPr="001D3D20">
        <w:rPr>
          <w:color w:val="000000"/>
          <w:shd w:val="clear" w:color="auto" w:fill="FFFFFF"/>
          <w:lang w:val="en-US"/>
        </w:rPr>
        <w:t>can be effectively prevented by oral anticoagulation.</w:t>
      </w:r>
      <w:r w:rsidR="00CF324A"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{"citationItems":[{"id":"ITEM-1","itemData":{"DOI":"10.7326/0003-4819-146-12-200706190-00007","ISSN":"00034819","PMID":"10507957","abstract":"PURPOSE: To characterize the efficacy and safety of anticoagulants and antiplatelet agents for prevention of stroke in patients with atrial fibrillation. DATA SOURCES: Randomized trials identified by using the search strategy developed by the Cochrane Collaboration Stroke Review Group. STUDY SELECTION: All published randomized trials testing antithrombotic agents to prevent stroke in patients with atrial fibrillation. DATA EXTRACTION: Data on interventions, number of participants, duration of exposure and occurrence of all stroke (ischemic and hemorrhagic), major extracranial bleeding, and death were extracted independently by two investigators. DATA SYNTHESIS: Sixteen trials included a total of 9874 participants (mean follow-up, 1.7 years). Adjusted-dose warfarin (six trials, 2900 participants) reduced stroke by 62% (95% CI, 48% to 72%); absolute risk reductions were 2.7% per year for primary prevention and 8.4% per year for secondary prevention. Major extracranial bleeding was increased by warfarin therapy (absolute risk increase, 0.3% per year). Aspirin (six trials, 3119 participants) reduced stroke by 22% (CI, 2% to 38%); absolute risk reductions were 1.5% per year for primary prevention and 2.5% per year for secondary prevention. Adjusted-dose warfarin (five trials, 2837 participants) was more efficacious than aspirin (relative risk reduction, 36% CI, 14% to 52%). Other randomized comparisons yielded inconclusive results. CONCLUSIONS: Adjusted-dose warfarin and aspirin reduce stroke in patients with atrial fibrillation, and warfarin is substantially more efficacious than aspirin. The benefit of antithrombotic therapy was not offset by the occurrence of major hemorrhage among participants in randomized trials. Judicious use of antithrombotic therapy, tailored according to the inherent risk for stroke, importantly reduces stroke in patients with atrial fibrillation.","author":[{"dropping-particle":"","family":"Hart","given":"Robert G","non-dropping-particle":"","parse-names":false,"suffix":""},{"dropping-particle":"","family":"Pearce","given":"Lesly A","non-dropping-particle":"","parse-names":false,"suffix":""},{"dropping-particle":"","family":"Aguilar","given":"Maria I","non-dropping-particle":"","parse-names":false,"suffix":""}],"container-title":"Ann Intern Med","id":"ITEM-1","issued":{"date-parts":[["2007"]]},"page":"857-867","title":"Meta-analysis: Antithrombotic therapy to prevent stroke in patients who have nonvalvular atrial fibrillation","type":"article-journal","volume":"146"},"uris":["http://www.mendeley.com/documents/?uuid=61c23716-6930-4b1b-97ae-0b5baca06bec"]}],"mendeley":{"formattedCitation":"&lt;sup&gt;2&lt;/sup&gt;","plainTextFormattedCitation":"2","previouslyFormattedCitation":"&lt;sup&gt;2&lt;/sup&gt;"},"properties":{"noteIndex":0},"schema":"https://github.com/citation-style-language/schema/raw/master/csl-citation.json"}</w:instrText>
      </w:r>
      <w:r w:rsidR="00CF324A"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2</w:t>
      </w:r>
      <w:r w:rsidR="00CF324A" w:rsidRPr="001D3D20">
        <w:rPr>
          <w:color w:val="000000"/>
          <w:shd w:val="clear" w:color="auto" w:fill="FFFFFF"/>
          <w:lang w:val="en-US"/>
        </w:rPr>
        <w:fldChar w:fldCharType="end"/>
      </w:r>
      <w:r w:rsidR="00CF324A" w:rsidRPr="001D3D20">
        <w:rPr>
          <w:color w:val="000000"/>
          <w:shd w:val="clear" w:color="auto" w:fill="FFFFFF"/>
          <w:lang w:val="en-US"/>
        </w:rPr>
        <w:t xml:space="preserve"> </w:t>
      </w:r>
      <w:r w:rsidR="002130AF" w:rsidRPr="001D3D20">
        <w:rPr>
          <w:color w:val="000000"/>
          <w:shd w:val="clear" w:color="auto" w:fill="FFFFFF"/>
          <w:lang w:val="en-US"/>
        </w:rPr>
        <w:t>Venous thromboembolism</w:t>
      </w:r>
      <w:r w:rsidR="00F33294" w:rsidRPr="001D3D20">
        <w:rPr>
          <w:color w:val="000000"/>
          <w:shd w:val="clear" w:color="auto" w:fill="FFFFFF"/>
          <w:lang w:val="en-US"/>
        </w:rPr>
        <w:t xml:space="preserve"> (VTE</w:t>
      </w:r>
      <w:r w:rsidR="002130AF" w:rsidRPr="001D3D20">
        <w:rPr>
          <w:color w:val="000000"/>
          <w:shd w:val="clear" w:color="auto" w:fill="FFFFFF"/>
          <w:lang w:val="en-US"/>
        </w:rPr>
        <w:t>)</w:t>
      </w:r>
      <w:r w:rsidR="00D802A3" w:rsidRPr="001D3D20">
        <w:rPr>
          <w:color w:val="000000"/>
          <w:shd w:val="clear" w:color="auto" w:fill="FFFFFF"/>
          <w:lang w:val="en-US"/>
        </w:rPr>
        <w:t xml:space="preserve">, </w:t>
      </w:r>
      <w:r w:rsidR="00E10504" w:rsidRPr="001D3D20">
        <w:rPr>
          <w:color w:val="000000"/>
          <w:shd w:val="clear" w:color="auto" w:fill="FFFFFF"/>
          <w:lang w:val="en-US"/>
        </w:rPr>
        <w:t>comprising</w:t>
      </w:r>
      <w:r w:rsidR="005279F0" w:rsidRPr="001D3D20">
        <w:rPr>
          <w:color w:val="000000"/>
          <w:shd w:val="clear" w:color="auto" w:fill="FFFFFF"/>
          <w:lang w:val="en-US"/>
        </w:rPr>
        <w:t xml:space="preserve"> deep vein thrombo</w:t>
      </w:r>
      <w:r w:rsidR="00E10504" w:rsidRPr="001D3D20">
        <w:rPr>
          <w:color w:val="000000"/>
          <w:shd w:val="clear" w:color="auto" w:fill="FFFFFF"/>
          <w:lang w:val="en-US"/>
        </w:rPr>
        <w:t>sis and</w:t>
      </w:r>
      <w:r w:rsidR="005279F0" w:rsidRPr="001D3D20">
        <w:rPr>
          <w:color w:val="000000"/>
          <w:shd w:val="clear" w:color="auto" w:fill="FFFFFF"/>
          <w:lang w:val="en-US"/>
        </w:rPr>
        <w:t xml:space="preserve"> pulmonary embolism, is another common type of thrombosis.</w:t>
      </w:r>
      <w:r w:rsidR="007671FE"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{"citationItems":[{"id":"ITEM-1","itemData":{"DOI":"10.1016/S0140-6736(11)61904-1","abstract":"Pulmonary embolism is the third most common cause of death from cardiovascular disease after heart attack and stroke. Sequelae occurring after venous thrombo embolism include chronic thromboembolic pulmonary hypertension and post-thrombotic syndrome. Venous thromboembolism and atherothrombosis share common risk factors and the common pathophysiological characteristics of infl ammation, hypercoagulability, and endothelial injury. Clinical probability assessment helps to identify patients with low clinical probability for whom the diagnosis of venous thromboembolism can be excluded solely with a negative result from a plasma D-dimer test. The diagnosis is usually confi rmed with compression ultrasound showing deep vein thrombosis or with chest CT showing pulmonary embolism. Most patients with venous thromboembolism will respond to anticoagulation, which is the foundation of treatment. Patients with pulmonary embolism should undergo risk stratifi cation to establish whether they will benefi t from the addition of advanced treatment, such as thrombolysis or embolectomy. Several novel oral anticoagulant drugs are in development. These drugs, which could replace vitamin K antagonists and heparins in many patients, are prescribed in fi xed doses and do not need any coagulation monitoring in the laboratory. Although rigorous clinical trials have reported the eff ectiveness and safety of pharmacological prevention with low, fi xed doses of anticoagulant drugs, prophylaxis remains underused in patients admitted to hospital at moderate risk and high risk for venous thromboembolism. In this Seminar, we discuss pulmonary embolism and deep vein thrombosis of the legs.","author":[{"dropping-particle":"","family":"Goldhaber","given":"Samuel Z","non-dropping-particle":"","parse-names":false,"suffix":""},{"dropping-particle":"","family":"Bounameaux","given":"Henri","non-dropping-particle":"","parse-names":false,"suffix":""}],"container-title":"The Lancet","id":"ITEM-1","issued":{"date-parts":[["2012"]]},"page":"1835-1881","title":"Pulmonary embolism and deep vein thrombosis","type":"article-journal","volume":"379"},"uris":["http://www.mendeley.com/documents/?uuid=afca7939-632b-3aca-931a-e1f0355f8c1a"]}],"mendeley":{"formattedCitation":"&lt;sup&gt;3&lt;/sup&gt;","plainTextFormattedCitation":"3","previouslyFormattedCitation":"&lt;sup&gt;3&lt;/sup&gt;"},"properties":{"noteIndex":0},"schema":"https://github.com/citation-style-language/schema/raw/master/csl-citation.json"}</w:instrText>
      </w:r>
      <w:r w:rsidR="007671FE"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3</w:t>
      </w:r>
      <w:r w:rsidR="007671FE" w:rsidRPr="001D3D20">
        <w:rPr>
          <w:color w:val="000000"/>
          <w:shd w:val="clear" w:color="auto" w:fill="FFFFFF"/>
          <w:lang w:val="en-US"/>
        </w:rPr>
        <w:fldChar w:fldCharType="end"/>
      </w:r>
      <w:r w:rsidR="002438DD" w:rsidRPr="001D3D20">
        <w:rPr>
          <w:color w:val="000000"/>
          <w:shd w:val="clear" w:color="auto" w:fill="FFFFFF"/>
          <w:lang w:val="en-US"/>
        </w:rPr>
        <w:t xml:space="preserve"> Several</w:t>
      </w:r>
      <w:r w:rsidR="002912C6" w:rsidRPr="001D3D20">
        <w:rPr>
          <w:color w:val="000000"/>
          <w:shd w:val="clear" w:color="auto" w:fill="FFFFFF"/>
          <w:lang w:val="en-US"/>
        </w:rPr>
        <w:t xml:space="preserve"> studies have</w:t>
      </w:r>
      <w:r w:rsidR="008910D0" w:rsidRPr="001D3D20">
        <w:rPr>
          <w:color w:val="000000"/>
          <w:shd w:val="clear" w:color="auto" w:fill="FFFFFF"/>
          <w:lang w:val="en-US"/>
        </w:rPr>
        <w:t xml:space="preserve"> demonstrated </w:t>
      </w:r>
      <w:r w:rsidR="002230D9" w:rsidRPr="001D3D20">
        <w:rPr>
          <w:color w:val="000000"/>
          <w:shd w:val="clear" w:color="auto" w:fill="FFFFFF"/>
          <w:lang w:val="en-US"/>
        </w:rPr>
        <w:t>common coexistence of</w:t>
      </w:r>
      <w:r w:rsidR="002912C6" w:rsidRPr="001D3D20">
        <w:rPr>
          <w:color w:val="000000"/>
          <w:shd w:val="clear" w:color="auto" w:fill="FFFFFF"/>
          <w:lang w:val="en-US"/>
        </w:rPr>
        <w:t xml:space="preserve"> atrial fibrillation </w:t>
      </w:r>
      <w:r w:rsidR="008910D0" w:rsidRPr="001D3D20">
        <w:rPr>
          <w:color w:val="000000"/>
          <w:shd w:val="clear" w:color="auto" w:fill="FFFFFF"/>
          <w:lang w:val="en-US"/>
        </w:rPr>
        <w:t>and</w:t>
      </w:r>
      <w:r w:rsidR="002912C6" w:rsidRPr="001D3D20">
        <w:rPr>
          <w:color w:val="000000"/>
          <w:shd w:val="clear" w:color="auto" w:fill="FFFFFF"/>
          <w:lang w:val="en-US"/>
        </w:rPr>
        <w:t xml:space="preserve"> </w:t>
      </w:r>
      <w:r w:rsidR="002130AF" w:rsidRPr="001D3D20">
        <w:rPr>
          <w:color w:val="000000"/>
          <w:shd w:val="clear" w:color="auto" w:fill="FFFFFF"/>
          <w:lang w:val="en-US"/>
        </w:rPr>
        <w:t>VTE</w:t>
      </w:r>
      <w:r w:rsidR="000C01B4" w:rsidRPr="001D3D20">
        <w:rPr>
          <w:color w:val="000000"/>
          <w:shd w:val="clear" w:color="auto" w:fill="FFFFFF"/>
          <w:lang w:val="en-US"/>
        </w:rPr>
        <w:t>.</w:t>
      </w:r>
      <w:r w:rsidR="002912C6"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{"citationItems":[{"id":"ITEM-1","itemData":{"DOI":"10.1016/j.ijcard.2017.04.081","ISSN":"01675273","abstract":"a r t i c l e i n f o Background: Patients with atrial fibrillation or flutter (AFF) are at increased risk of ischemic stroke, but their risk of other thromboembolic events remains less clear. Methods: During 2004-2013, we conducted a nationwide population-based cohort study using Danish medical registries. We identified all patients with first-time AFF and sampled a sex-, age-, and calendar year-matched general population comparison cohort without AFF. For myocardial infarction, peripheral embolism, ischemic stroke, hemorrhagic stroke, deep venous thrombosis, and pulmonary embolism, we computed cumulative risks and adjusted incidence rate ratios (aIRRs) adjusted for comorbidity and medication. Results: The study population consisted of 103,989 patients with AFF and 519,935 individuals without AFF from the general population. Ten-year cumulative risks in the AFF cohort were 3.5% for myocardial infarction, 0.5% for peripheral embolism, 6.7% for ischemic stroke, 1.3% for hemorrhagic stroke, 1.0% for deep venous thrombosis, and 1.3% for pulmonary embolism. During the first 30 days following AFF, aIRRs were markedly (4 to 16-fold) increased for all outcomes and similarly elevated for myocardial infarction (aIRR = 8.0, 95% confidence interval (CI): 6.8-9.5) and ischemic stroke (aIRR = 9.9, 95% CI: 8.5-11.5). Thereafter, aIRRs decreased gradually, reaching unity after 5 years for myocardial infarction, deep venous thrombosis, and pulmonary embolism, but remained 1.6 to 3.5-fold increased for peripheral embolism, ischemic stroke, and hemorrhagic stroke. Conclusions: AFF was a risk factor for all arterial and venous outcomes during the first year of follow-up, but only for peripheral embolism, ischemic stroke, and hemorrhagic stroke thereafter.","author":[{"dropping-particle":"","family":"Sundbøll","given":"Jens","non-dropping-particle":"","parse-names":false,"suffix":""},{"dropping-particle":"","family":"Hováth-Puhó","given":"Erzsébet","non-dropping-particle":"","parse-names":false,"suffix":""},{"dropping-particle":"","family":"Adelborg","given":"Kasper","non-dropping-particle":"","parse-names":false,"suffix":""},{"dropping-particle":"","family":"Ording","given":"Anne","non-dropping-particle":"","parse-names":false,"suffix":""},{"dropping-particle":"","family":"Schmidt","given":"Morten","non-dropping-particle":"","parse-names":false,"suffix":""},{"dropping-particle":"","family":"Bøtker","given":"Hans Erik","non-dropping-particle":"","parse-names":false,"suffix":""},{"dropping-particle":"","family":"Sørensen","given":"Henrik Toft","non-dropping-particle":"","parse-names":false,"suffix":""}],"container-title":"International Journal of Cardiology","id":"ITEM-1","issued":{"date-parts":[["2017","8"]]},"page":"182-187","title":"Risk of arterial and venous thromboembolism in patients with atrial fibrillation or flutter: A nationwide population-based cohort study","type":"article-journal","volume":"241"},"uris":["http://www.mendeley.com/documents/?uuid=db1898fe-4dd9-3081-8b28-362caa8d35f1"]},{"id":"ITEM-2","itemData":{"DOI":"10.1055/s-0036-1598005","ISSN":"10989064","abstract":"Pulmonary embolism (PE) is a common, potentially fatal thrombotic disease. Atrial fibrillation (AF), the most common arrhythmia, may also lead to thromboembolic complications. Although initially appearing as distinct entities, PE and AF may coexist. The direction and extent of this association has not been well characterized. We performed a search of PubMed, Scopus, and the Cochrane Database of Systematic Reviews for publications that reported coexisting AF in patients with PE, or vice versa, to provide a systematic overview of pathophysiological and epidemiological aspects of this association (last search: October 13, 2016). We screened 650 articles following the PubMed search, and 697 through Scopus. PE and AF share many common risk factors, including old age, obesity, heart failure, and inflammatory states. In addition, PE may lead to AF through right-sided pressure overload or inflammatory cytokines. AF, in turn, might lead to right atrial appendage clot formation and thereby PE. Epidemiological studies indicate that AF can be seen as a presenting sign, during the early phase, or later in the course of recovery from PE. Patients with AF are also at increased risk of developing PE, a risk that correlates with the CHA 2 DS 2 -VASc score. For the choice of antithrombotic therapy, PE-related factors (provoked or unproved, active cancer, and prior recurrence) and AF-related factors (CHA 2 DS 2 -VASc score), risk of bleeding, and patient preferences should be considered. In conclusion, PE and AF may coexist, with an understudied bidirectional association. Prognostication and choice of antithrombotic therapy in patients with both PE and AF might be different compared with those who present with only one of the two and warrants further investigation.","author":[{"dropping-particle":"","family":"Bikdeli","given":"B.","non-dropping-particle":"","parse-names":false,"suffix":""},{"dropping-particle":"","family":"Abou Ziki","given":"M.D.","non-dropping-particle":"","parse-names":false,"suffix":""},{"dropping-particle":"","family":"Lip","given":"G.Y.H.","non-dropping-particle":"","parse-names":false,"suffix":""}],"container-title":"Seminars in Thrombosis and Hemostasis","id":"ITEM-2","issue":"8","issued":{"date-parts":[["2017"]]},"page":"849-863","title":"Pulmonary embolism and atrial fibrillation: Two sides of the same coin? A systematic review","type":"article-journal","volume":"43"},"uris":["http://www.mendeley.com/documents/?uuid=8b0cce1b-bb42-492e-8f00-4ccd46370667"]}],"mendeley":{"formattedCitation":"&lt;sup&gt;4,5&lt;/sup&gt;","plainTextFormattedCitation":"4,5","previouslyFormattedCitation":"&lt;sup&gt;4,5&lt;/sup&gt;"},"properties":{"noteIndex":0},"schema":"https://github.com/citation-style-language/schema/raw/master/csl-citation.json"}</w:instrText>
      </w:r>
      <w:r w:rsidR="002912C6"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4,5</w:t>
      </w:r>
      <w:r w:rsidR="002912C6" w:rsidRPr="001D3D20">
        <w:rPr>
          <w:color w:val="000000"/>
          <w:shd w:val="clear" w:color="auto" w:fill="FFFFFF"/>
          <w:lang w:val="en-US"/>
        </w:rPr>
        <w:fldChar w:fldCharType="end"/>
      </w:r>
      <w:r w:rsidR="00E032C2" w:rsidRPr="001D3D20">
        <w:rPr>
          <w:color w:val="000000"/>
          <w:shd w:val="clear" w:color="auto" w:fill="FFFFFF"/>
          <w:lang w:val="en-US"/>
        </w:rPr>
        <w:t xml:space="preserve"> </w:t>
      </w:r>
      <w:r w:rsidR="002230D9" w:rsidRPr="001D3D20">
        <w:rPr>
          <w:color w:val="000000"/>
          <w:shd w:val="clear" w:color="auto" w:fill="FFFFFF"/>
          <w:lang w:val="en-US"/>
        </w:rPr>
        <w:t>In fact, t</w:t>
      </w:r>
      <w:r w:rsidR="00EE4BF3" w:rsidRPr="001D3D20">
        <w:rPr>
          <w:color w:val="000000"/>
          <w:shd w:val="clear" w:color="auto" w:fill="FFFFFF"/>
          <w:lang w:val="en-US"/>
        </w:rPr>
        <w:t>hrombi forming in low-pressure vasculature such as the left atrium and the veins have</w:t>
      </w:r>
      <w:r w:rsidR="00D170C6" w:rsidRPr="001D3D20">
        <w:rPr>
          <w:color w:val="000000"/>
          <w:shd w:val="clear" w:color="auto" w:fill="FFFFFF"/>
          <w:lang w:val="en-US"/>
        </w:rPr>
        <w:t xml:space="preserve"> constitutional similarities</w:t>
      </w:r>
      <w:r w:rsidR="00A73F8D" w:rsidRPr="001D3D20">
        <w:rPr>
          <w:color w:val="000000"/>
          <w:shd w:val="clear" w:color="auto" w:fill="FFFFFF"/>
          <w:lang w:val="en-US"/>
        </w:rPr>
        <w:t>.</w:t>
      </w:r>
      <w:r w:rsidR="00FD7C31"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{"citationItems":[{"id":"ITEM-1","itemData":{"DOI":"10.1111/j.1538-7836.2004.00899.x","ISSN":"15387933","author":[{"dropping-particle":"","family":"Wysokinski","given":"W. E.","non-dropping-particle":"","parse-names":false,"suffix":""},{"dropping-particle":"","family":"Owen","given":"W. G.","non-dropping-particle":"","parse-names":false,"suffix":""},{"dropping-particle":"","family":"Fass","given":"D. N.","non-dropping-particle":"","parse-names":false,"suffix":""},{"dropping-particle":"","family":"Patrzalek","given":"D. D.","non-dropping-particle":"","parse-names":false,"suffix":""},{"dropping-particle":"","family":"Murphy","given":"L.","non-dropping-particle":"","parse-names":false,"suffix":""},{"dropping-particle":"","family":"Mcbane","given":"R. D.","non-dropping-particle":"","parse-names":false,"suffix":""}],"container-title":"Journal of Thrombosis and Haemostasis","id":"ITEM-1","issue":"9","issued":{"date-parts":[["2004","8","26"]]},"page":"1637-1644","title":"Atrial fibrillation and thrombosis: immunohistochemical differences between in situ and embolized thrombi","type":"article-journal","volume":"2"},"uris":["http://www.mendeley.com/documents/?uuid=96a86ae1-dba6-35d3-bec4-fabefdfa4bd3"]}],"mendeley":{"formattedCitation":"&lt;sup&gt;6&lt;/sup&gt;","plainTextFormattedCitation":"6","previouslyFormattedCitation":"&lt;sup&gt;6&lt;/sup&gt;"},"properties":{"noteIndex":0},"schema":"https://github.com/citation-style-language/schema/raw/master/csl-citation.json"}</w:instrText>
      </w:r>
      <w:r w:rsidR="00FD7C31"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6</w:t>
      </w:r>
      <w:r w:rsidR="00FD7C31" w:rsidRPr="001D3D20">
        <w:rPr>
          <w:color w:val="000000"/>
          <w:shd w:val="clear" w:color="auto" w:fill="FFFFFF"/>
          <w:lang w:val="en-US"/>
        </w:rPr>
        <w:fldChar w:fldCharType="end"/>
      </w:r>
      <w:r w:rsidR="00EE4BF3" w:rsidRPr="001D3D20">
        <w:rPr>
          <w:color w:val="000000"/>
          <w:shd w:val="clear" w:color="auto" w:fill="FFFFFF"/>
          <w:lang w:val="en-US"/>
        </w:rPr>
        <w:t xml:space="preserve"> </w:t>
      </w:r>
      <w:r w:rsidR="00FD7C31"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{"citationItems":[{"id":"ITEM-1","itemData":{"DOI":"10.1001/archinte.163.20.2534-a","ISSN":"0003-9926","author":[{"dropping-particle":"","family":"Tan","given":"Kiat T.","non-dropping-particle":"","parse-names":false,"suffix":""},{"dropping-particle":"","family":"Lip","given":"Gregory Y.","non-dropping-particle":"","parse-names":false,"suffix":""}],"container-title":"Archives of Internal Medicine","id":"ITEM-1","issue":"20","issued":{"date-parts":[["2003","11","10"]]},"page":"2534","title":"Red vs white thrombi: Treating the right clot is crucial","type":"article-journal","volume":"163"},"uris":["http://www.mendeley.com/documents/?uuid=7648cef1-33cf-3a20-b60b-c68225c9d704"]}],"mendeley":{"formattedCitation":"&lt;sup&gt;7&lt;/sup&gt;","plainTextFormattedCitation":"7","previouslyFormattedCitation":"&lt;sup&gt;7&lt;/sup&gt;"},"properties":{"noteIndex":0},"schema":"https://github.com/citation-style-language/schema/raw/master/csl-citation.json"}</w:instrText>
      </w:r>
      <w:r w:rsidR="00FD7C31"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7</w:t>
      </w:r>
      <w:r w:rsidR="00FD7C31" w:rsidRPr="001D3D20">
        <w:rPr>
          <w:color w:val="000000"/>
          <w:shd w:val="clear" w:color="auto" w:fill="FFFFFF"/>
          <w:lang w:val="en-US"/>
        </w:rPr>
        <w:fldChar w:fldCharType="end"/>
      </w:r>
      <w:r w:rsidR="00FD7C31" w:rsidRPr="001D3D20">
        <w:rPr>
          <w:color w:val="000000"/>
          <w:shd w:val="clear" w:color="auto" w:fill="FFFFFF"/>
          <w:lang w:val="en-US"/>
        </w:rPr>
        <w:t xml:space="preserve"> This </w:t>
      </w:r>
      <w:r w:rsidR="00DE3988" w:rsidRPr="001D3D20">
        <w:rPr>
          <w:color w:val="000000"/>
          <w:shd w:val="clear" w:color="auto" w:fill="FFFFFF"/>
          <w:lang w:val="en-US"/>
        </w:rPr>
        <w:t>is consistent with</w:t>
      </w:r>
      <w:r w:rsidR="00FD7C31" w:rsidRPr="001D3D20">
        <w:rPr>
          <w:color w:val="000000"/>
          <w:shd w:val="clear" w:color="auto" w:fill="FFFFFF"/>
          <w:lang w:val="en-US"/>
        </w:rPr>
        <w:t xml:space="preserve"> the superiority of oral anticoagulation over antiplatelets for </w:t>
      </w:r>
      <w:r w:rsidR="00340CD1" w:rsidRPr="001D3D20">
        <w:rPr>
          <w:color w:val="000000"/>
          <w:shd w:val="clear" w:color="auto" w:fill="FFFFFF"/>
          <w:lang w:val="en-US"/>
        </w:rPr>
        <w:t xml:space="preserve">stroke </w:t>
      </w:r>
      <w:r w:rsidR="00FD7C31" w:rsidRPr="001D3D20">
        <w:rPr>
          <w:color w:val="000000"/>
          <w:shd w:val="clear" w:color="auto" w:fill="FFFFFF"/>
          <w:lang w:val="en-US"/>
        </w:rPr>
        <w:t>prevention in atrial fibrillation.</w:t>
      </w:r>
      <w:r w:rsidR="00FD7C31"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{"citationItems":[{"id":"ITEM-1","itemData":{"DOI":"10.7326/0003-4819-146-12-200706190-00007","ISSN":"00034819","PMID":"10507957","abstract":"PURPOSE: To characterize the efficacy and safety of anticoagulants and antiplatelet agents for prevention of stroke in patients with atrial fibrillation. DATA SOURCES: Randomized trials identified by using the search strategy developed by the Cochrane Collaboration Stroke Review Group. STUDY SELECTION: All published randomized trials testing antithrombotic agents to prevent stroke in patients with atrial fibrillation. DATA EXTRACTION: Data on interventions, number of participants, duration of exposure and occurrence of all stroke (ischemic and hemorrhagic), major extracranial bleeding, and death were extracted independently by two investigators. DATA SYNTHESIS: Sixteen trials included a total of 9874 participants (mean follow-up, 1.7 years). Adjusted-dose warfarin (six trials, 2900 participants) reduced stroke by 62% (95% CI, 48% to 72%); absolute risk reductions were 2.7% per year for primary prevention and 8.4% per year for secondary prevention. Major extracranial bleeding was increased by warfarin therapy (absolute risk increase, 0.3% per year). Aspirin (six trials, 3119 participants) reduced stroke by 22% (CI, 2% to 38%); absolute risk reductions were 1.5% per year for primary prevention and 2.5% per year for secondary prevention. Adjusted-dose warfarin (five trials, 2837 participants) was more efficacious than aspirin (relative risk reduction, 36% CI, 14% to 52%). Other randomized comparisons yielded inconclusive results. CONCLUSIONS: Adjusted-dose warfarin and aspirin reduce stroke in patients with atrial fibrillation, and warfarin is substantially more efficacious than aspirin. The benefit of antithrombotic therapy was not offset by the occurrence of major hemorrhage among participants in randomized trials. Judicious use of antithrombotic therapy, tailored according to the inherent risk for stroke, importantly reduces stroke in patients with atrial fibrillation.","author":[{"dropping-particle":"","family":"Hart","given":"Robert G","non-dropping-particle":"","parse-names":false,"suffix":""},{"dropping-particle":"","family":"Pearce","given":"Lesly A","non-dropping-particle":"","parse-names":false,"suffix":""},{"dropping-particle":"","family":"Aguilar","given":"Maria I","non-dropping-particle":"","parse-names":false,"suffix":""}],"container-title":"Ann Intern Med","id":"ITEM-1","issued":{"date-parts":[["2007"]]},"page":"857-867","title":"Meta-analysis: Antithrombotic therapy to prevent stroke in patients who have nonvalvular atrial fibrillation","type":"article-journal","volume":"146"},"uris":["http://www.mendeley.com/documents/?uuid=61c23716-6930-4b1b-97ae-0b5baca06bec"]}],"mendeley":{"formattedCitation":"&lt;sup&gt;2&lt;/sup&gt;","plainTextFormattedCitation":"2","previouslyFormattedCitation":"&lt;sup&gt;2&lt;/sup&gt;"},"properties":{"noteIndex":0},"schema":"https://github.com/citation-style-language/schema/raw/master/csl-citation.json"}</w:instrText>
      </w:r>
      <w:r w:rsidR="00FD7C31"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2</w:t>
      </w:r>
      <w:r w:rsidR="00FD7C31" w:rsidRPr="001D3D20">
        <w:rPr>
          <w:color w:val="000000"/>
          <w:shd w:val="clear" w:color="auto" w:fill="FFFFFF"/>
          <w:lang w:val="en-US"/>
        </w:rPr>
        <w:fldChar w:fldCharType="end"/>
      </w:r>
      <w:r w:rsidR="00BD2A02" w:rsidRPr="001D3D20">
        <w:rPr>
          <w:color w:val="000000"/>
          <w:shd w:val="clear" w:color="auto" w:fill="FFFFFF"/>
          <w:lang w:val="en-US"/>
        </w:rPr>
        <w:t xml:space="preserve"> </w:t>
      </w:r>
    </w:p>
    <w:p w14:paraId="0EFDA0EB" w14:textId="77777777" w:rsidR="00DA5E27" w:rsidRPr="001D3D20" w:rsidRDefault="00DA5E27" w:rsidP="006842EF">
      <w:pPr>
        <w:spacing w:line="360" w:lineRule="auto"/>
        <w:rPr>
          <w:color w:val="000000"/>
          <w:shd w:val="clear" w:color="auto" w:fill="FFFFFF"/>
          <w:lang w:val="en-US"/>
        </w:rPr>
      </w:pPr>
    </w:p>
    <w:p w14:paraId="366C2139" w14:textId="2CC23F0E" w:rsidR="00254B26" w:rsidRPr="001D3D20" w:rsidRDefault="00DA5E27" w:rsidP="006842EF">
      <w:pPr>
        <w:spacing w:line="360" w:lineRule="auto"/>
        <w:rPr>
          <w:color w:val="000000"/>
          <w:shd w:val="clear" w:color="auto" w:fill="FFFFFF"/>
          <w:lang w:val="en-US"/>
        </w:rPr>
      </w:pPr>
      <w:r w:rsidRPr="001D3D20">
        <w:rPr>
          <w:color w:val="000000"/>
          <w:shd w:val="clear" w:color="auto" w:fill="FFFFFF"/>
          <w:lang w:val="en-US"/>
        </w:rPr>
        <w:t>Patients with</w:t>
      </w:r>
      <w:r w:rsidR="006928FF" w:rsidRPr="001D3D20">
        <w:rPr>
          <w:color w:val="000000"/>
          <w:shd w:val="clear" w:color="auto" w:fill="FFFFFF"/>
          <w:lang w:val="en-US"/>
        </w:rPr>
        <w:t xml:space="preserve"> a</w:t>
      </w:r>
      <w:r w:rsidRPr="001D3D20">
        <w:rPr>
          <w:color w:val="000000"/>
          <w:shd w:val="clear" w:color="auto" w:fill="FFFFFF"/>
          <w:lang w:val="en-US"/>
        </w:rPr>
        <w:t xml:space="preserve"> </w:t>
      </w:r>
      <w:r w:rsidR="006928FF" w:rsidRPr="001D3D20">
        <w:rPr>
          <w:color w:val="000000"/>
          <w:shd w:val="clear" w:color="auto" w:fill="FFFFFF"/>
          <w:lang w:val="en-US"/>
        </w:rPr>
        <w:t xml:space="preserve">history of VTE developing </w:t>
      </w:r>
      <w:r w:rsidRPr="001D3D20">
        <w:rPr>
          <w:color w:val="000000"/>
          <w:shd w:val="clear" w:color="auto" w:fill="FFFFFF"/>
          <w:lang w:val="en-US"/>
        </w:rPr>
        <w:t>incident atrial fibrillation may</w:t>
      </w:r>
      <w:r w:rsidR="0049646D" w:rsidRPr="001D3D20">
        <w:rPr>
          <w:color w:val="000000"/>
          <w:shd w:val="clear" w:color="auto" w:fill="FFFFFF"/>
          <w:lang w:val="en-US"/>
        </w:rPr>
        <w:t xml:space="preserve"> therefore</w:t>
      </w:r>
      <w:r w:rsidRPr="001D3D20">
        <w:rPr>
          <w:color w:val="000000"/>
          <w:shd w:val="clear" w:color="auto" w:fill="FFFFFF"/>
          <w:lang w:val="en-US"/>
        </w:rPr>
        <w:t xml:space="preserve"> represent a high-risk category. </w:t>
      </w:r>
      <w:r w:rsidR="0049646D" w:rsidRPr="001D3D20">
        <w:rPr>
          <w:color w:val="000000"/>
          <w:shd w:val="clear" w:color="auto" w:fill="FFFFFF"/>
          <w:lang w:val="en-US"/>
        </w:rPr>
        <w:t>P</w:t>
      </w:r>
      <w:r w:rsidRPr="001D3D20">
        <w:rPr>
          <w:color w:val="000000"/>
          <w:shd w:val="clear" w:color="auto" w:fill="FFFFFF"/>
          <w:lang w:val="en-US"/>
        </w:rPr>
        <w:t xml:space="preserve">atients with a first-time VTE are treated </w:t>
      </w:r>
      <w:r w:rsidR="0049646D" w:rsidRPr="001D3D20">
        <w:rPr>
          <w:color w:val="000000"/>
          <w:shd w:val="clear" w:color="auto" w:fill="FFFFFF"/>
          <w:lang w:val="en-US"/>
        </w:rPr>
        <w:t xml:space="preserve">with anticoagulants, but often </w:t>
      </w:r>
      <w:r w:rsidRPr="001D3D20">
        <w:rPr>
          <w:color w:val="000000"/>
          <w:shd w:val="clear" w:color="auto" w:fill="FFFFFF"/>
          <w:lang w:val="en-US"/>
        </w:rPr>
        <w:t>only for a time-limited period of three to six months.</w:t>
      </w:r>
      <w:r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{"citationItems":[{"id":"ITEM-1","itemData":{"DOI":"10.1016/J.CHEST.2018.07.040","ISSN":"0012-3692","abstract":"BACKGROUND The risk of stroke is heterogeneous across different groups of patients with atrial fibrillation (AF), being dependent on the presence of various stroke risk factors. We provide recommendations for antithrombotic treatment based on net clinical benefit for patients with AF at varying levels of stroke risk and in a number of common clinical scenarios. METHODS Systematic literature reviews were conducted to identify relevant articles published from the last formal search perfomed for the Antithrombotic and Thrombolytic Therapy: American College of Chest Physicians Evidence-Based Clinical Practice Guidelines (9th Edition). The overall quality of the evidence was assessed using the GRADE (Grading of Recommendations, Assessment, Development, and Evaluation) approach. Graded recommendations and ungraded consensus-based statements were drafted, voted on, and revised until consensus was reached. RESULTS For patients with AF without valvular heart disease, including those with paroxysmal AF, who are at low risk of stroke (eg, CHA2DS2-VASc [congestive heart failure, hypertension, age ≥ 75 (doubled), diabetes, stroke (doubled)-vascular disease, age 65-74 and sex category (female)] score of 0 in males or 1 in females), we suggest no antithrombotic therapy. The next step is to consider stroke prevention (ie, oral anticoagulation therapy) for patients with 1 or more non-sex CHA2DS2-VASc stroke risk factors. For patients with a single non-sex CHA2DS2-VASc stroke risk factor, we suggest oral anticoagulation rather than no therapy, aspirin, or combination therapy with aspirin and clopidogrel; and for those at high risk of stroke (eg, CHA2DS2-VASc ≥ 2 in males or ≥ 3 in females), we recommend oral anticoagulation rather than no therapy, aspirin, or combination therapy with aspirin and clopidogrel. Where we recommend or suggest in favor of oral anticoagulation, we suggest using a non-vitamin K antagonist oral anticoagulant drug rather than adjusted-dose vitamin K antagonist therapy. With the latter, it is important to aim for good quality anticoagulation control with a time in therapeutic range &gt; 70%. Attention to modifiable bleeding risk factors (eg, uncontrolled BP, labile international normalized ratios, concomitant use of aspirin or nonsteroidal antiinflammatory drugs in an anticoagulated patient, alcohol excess) should be made at each patient contact, and HAS-BLED (hypertension, abnormal renal/liver function [1 point each], stroke, bleeding history or pred…","author":[{"dropping-particle":"","family":"Lip","given":"Gregory Y.","non-dropping-particle":"","parse-names":false,"suffix":""},{"dropping-particle":"","family":"Banerjee","given":"Amitava","non-dropping-particle":"","parse-names":false,"suffix":""},{"dropping-particle":"","family":"Boriani","given":"Giuseppe","non-dropping-particle":"","parse-names":false,"suffix":""},{"dropping-particle":"","family":"Chiang","given":"Chern en","non-dropping-particle":"","parse-names":false,"suffix":""},{"dropping-particle":"","family":"Fargo","given":"Ramiz","non-dropping-particle":"","parse-names":false,"suffix":""},{"dropping-particle":"","family":"Freedman","given":"Ben","non-dropping-particle":"","parse-names":false,"suffix":""},{"dropping-particle":"","family":"Lane","given":"Deirdre A.","non-dropping-particle":"","parse-names":false,"suffix":""},{"dropping-particle":"","family":"Ruff","given":"Christian T.","non-dropping-particle":"","parse-names":false,"suffix":""},{"dropping-particle":"","family":"Turakhia","given":"Mintu","non-dropping-particle":"","parse-names":false,"suffix":""},{"dropping-particle":"","family":"Werring","given":"David","non-dropping-particle":"","parse-names":false,"suffix":""},{"dropping-particle":"","family":"Patel","given":"Sheena","non-dropping-particle":"","parse-names":false,"suffix":""},{"dropping-particle":"","family":"Moores","given":"Lisa","non-dropping-particle":"","parse-names":false,"suffix":""}],"container-title":"Chest","id":"ITEM-1","issue":"5","issued":{"date-parts":[["2018","11","1"]]},"page":"1121-1201","title":"Antithrombotic Therapy for Atrial Fibrillation: CHEST Guideline and Expert Panel Report","type":"article-journal","volume":"154"},"uris":["http://www.mendeley.com/documents/?uuid=4eb770e0-11f7-3a9e-ad3e-692bf331649b"]},{"id":"ITEM-2","itemData":{"DOI":"10.1093/eurheartj/ehz405","ISBN":"405/5556136","ISSN":"0195-668X","author":[{"dropping-particle":"V","family":"Konstantinides","given":"Stavros","non-dropping-particle":"","parse-names":false,"suffix":""},{"dropping-particle":"","family":"Meyer","given":"Guy","non-dropping-particle":"","parse-names":false,"suffix":""},{"dropping-particle":"","family":"Becattini","given":"Cecilia","non-dropping-particle":"","parse-names":false,"suffix":""},{"dropping-particle":"","family":"Bueno","given":"Héctor","non-dropping-particle":"","parse-names":false,"suffix":""},{"dropping-particle":"","family":"Geersing","given":"Geert Jan","non-dropping-particle":"","parse-names":false,"suffix":""},{"dropping-particle":"","family":"Harjola","given":"Veli Pekka","non-dropping-particle":"","parse-names":false,"suffix":""},{"dropping-particle":"V","family":"Huisman","given":"Menno","non-dropping-particle":"","parse-names":false,"suffix":""},{"dropping-particle":"","family":"Humbert","given":"Marc","non-dropping-particle":"","parse-names":false,"suffix":""},{"dropping-particle":"","family":"Jennings","given":"Catriona Sian","non-dropping-particle":"","parse-names":false,"suffix":""},{"dropping-particle":"","family":"Jiménez","given":"David","non-dropping-particle":"","parse-names":false,"suffix":""},{"dropping-particle":"","family":"Kucher","given":"Nils","non-dropping-particle":"","parse-names":false,"suffix":""},{"dropping-particle":"","family":"Lang","given":"Irene Marthe","non-dropping-particle":"","parse-names":false,"suffix":""},{"dropping-particle":"","family":"Lankeit","given":"Mareike","non-dropping-particle":"","parse-names":false,"suffix":""},{"dropping-particle":"","family":"Lorusso","given":"Roberto","non-dropping-particle":"","parse-names":false,"suffix":""},{"dropping-particle":"","family":"Mazzolai","given":"Lucia","non-dropping-particle":"","parse-names":false,"suffix":""},{"dropping-particle":"","family":"Meneveau","given":"Nicolas","non-dropping-particle":"","parse-names":false,"suffix":""},{"dropping-particle":"","family":"Ní Áinle","given":"Fionnuala","non-dropping-particle":"","parse-names":false,"suffix":""},{"dropping-particle":"","family":"Prandoni","given":"Paolo","non-dropping-particle":"","parse-names":false,"suffix":""},{"dropping-particle":"","family":"Pruszczyk","given":"Piotr","non-dropping-particle":"","parse-names":false,"suffix":""},{"dropping-particle":"","family":"Righini","given":"Marc","non-dropping-particle":"","parse-names":false,"suffix":""},{"dropping-particle":"","family":"Torbicki","given":"Adam","non-dropping-particle":"","parse-names":false,"suffix":""},{"dropping-particle":"Van","family":"Belle","given":"Eric","non-dropping-particle":"","parse-names":false,"suffix":""},{"dropping-particle":"","family":"Zamorano","given":"José Luis","non-dropping-particle":"","parse-names":false,"suffix":""}],"container-title":"European Heart Journal","id":"ITEM-2","issued":{"date-parts":[["2019","8","31"]]},"page":"Epub ahead of print","title":"2019 ESC Guidelines for the diagnosis and management of acute pulmonary embolism developed in collaboration with the European Respiratory Society (ERS)","type":"article-journal"},"uris":["http://www.mendeley.com/documents/?uuid=e6195bad-4e8a-46b7-9a0e-86ddc1a0f639"]}],"mendeley":{"formattedCitation":"&lt;sup&gt;8,9&lt;/sup&gt;","plainTextFormattedCitation":"8,9","previouslyFormattedCitation":"&lt;sup&gt;8,9&lt;/sup&gt;"},"properties":{"noteIndex":0},"schema":"https://github.com/citation-style-language/schema/raw/master/csl-citation.json"}</w:instrText>
      </w:r>
      <w:r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8,9</w:t>
      </w:r>
      <w:r w:rsidRPr="001D3D20">
        <w:rPr>
          <w:color w:val="000000"/>
          <w:shd w:val="clear" w:color="auto" w:fill="FFFFFF"/>
          <w:lang w:val="en-US"/>
        </w:rPr>
        <w:fldChar w:fldCharType="end"/>
      </w:r>
      <w:r w:rsidRPr="001D3D20">
        <w:rPr>
          <w:color w:val="000000"/>
          <w:shd w:val="clear" w:color="auto" w:fill="FFFFFF"/>
          <w:lang w:val="en-US"/>
        </w:rPr>
        <w:t xml:space="preserve"> </w:t>
      </w:r>
      <w:r w:rsidR="00950FB5" w:rsidRPr="001D3D20">
        <w:rPr>
          <w:color w:val="000000"/>
          <w:shd w:val="clear" w:color="auto" w:fill="FFFFFF"/>
          <w:lang w:val="en-US"/>
        </w:rPr>
        <w:t>Contemporary guidelines recommend using the CHA</w:t>
      </w:r>
      <w:r w:rsidR="00950FB5" w:rsidRPr="001D3D20">
        <w:rPr>
          <w:color w:val="000000"/>
          <w:shd w:val="clear" w:color="auto" w:fill="FFFFFF"/>
          <w:vertAlign w:val="subscript"/>
          <w:lang w:val="en-US"/>
        </w:rPr>
        <w:t>2</w:t>
      </w:r>
      <w:r w:rsidR="00950FB5" w:rsidRPr="001D3D20">
        <w:rPr>
          <w:color w:val="000000"/>
          <w:shd w:val="clear" w:color="auto" w:fill="FFFFFF"/>
          <w:lang w:val="en-US"/>
        </w:rPr>
        <w:t>DS</w:t>
      </w:r>
      <w:r w:rsidR="00950FB5" w:rsidRPr="001D3D20">
        <w:rPr>
          <w:color w:val="000000"/>
          <w:shd w:val="clear" w:color="auto" w:fill="FFFFFF"/>
          <w:vertAlign w:val="subscript"/>
          <w:lang w:val="en-US"/>
        </w:rPr>
        <w:t>2</w:t>
      </w:r>
      <w:r w:rsidR="00950FB5" w:rsidRPr="001D3D20">
        <w:rPr>
          <w:color w:val="000000"/>
          <w:shd w:val="clear" w:color="auto" w:fill="FFFFFF"/>
          <w:lang w:val="en-US"/>
        </w:rPr>
        <w:t>-VASc score for risk stratification purposes to guide decisions on anticoagulant treatment.</w:t>
      </w:r>
      <w:r w:rsidR="00950FB5"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{"citationItems":[{"id":"ITEM-1","itemData":{"DOI":"10.1378/chest.09-1584","ISSN":"1931-3543","PMID":"19762550","abstract":"BACKGROUND: Contemporary clinical risk stratification schemata for predicting stroke and thromboembolism (TE) in patients with atrial fibrillation (AF) are largely derived from risk factors identified from trial cohorts. Thus, many potential risk factors have not been included. METHODS: We refined the 2006 Birmingham/National Institute for Health and Clinical Excellence (NICE) stroke risk stratification schema into a risk factor-based approach by reclassifying and/or incorporating additional new risk factors where relevant. This schema was then compared with existing stroke risk stratification schema in a real-world cohort of patients with AF (n = 1,084) from the Euro Heart Survey for AF. RESULTS: Risk categorization differed widely between the different schemes compared. Patients classified as high risk ranged from 10.2% with the Framingham schema to 75.7% with the Birmingham 2009 schema. The classic CHADS(2) (Congestive heart failure, Hypertension, Age &gt; 75, Diabetes, prior Stroke/transient ischemic attack) schema categorized the largest proportion (61.9%) into the intermediate-risk strata, whereas the Birmingham 2009 schema classified 15.1% into this category. The Birmingham 2009 schema classified only 9.2% as low risk, whereas the Framingham scheme categorized 48.3% as low risk. Calculated C-statistics suggested modest predictive value of all schema for TE. The Birmingham 2009 schema fared marginally better (C-statistic, 0.606) than CHADS(2). However, those classified as low risk by the Birmingham 2009 and NICE schema were truly low risk with no TE events recorded, whereas TE events occurred in 1.4% of low-risk CHADS(2) subjects. When expressed as a scoring system, the Birmingham 2009 schema (CHA(2)DS(2)-VASc acronym) showed an increase in TE rate with increasing scores (P value for trend = .003). CONCLUSIONS: Our novel, simple stroke risk stratification schema, based on a risk factor approach, provides some improvement in predictive value for TE over the CHADS(2) schema, with low event rates in low-risk subjects and the classification of only a small proportion of subjects into the intermediate-risk category. This schema could improve our approach to stroke risk stratification in patients with AF.","author":[{"dropping-particle":"","family":"Lip","given":"G Y","non-dropping-particle":"","parse-names":false,"suffix":""},{"dropping-particle":"","family":"Nieuwlaat","given":"Robby","non-dropping-particle":"","parse-names":false,"suffix":""},{"dropping-particle":"","family":"Pisters","given":"Ron","non-dropping-particle":"","parse-names":false,"suffix":""},{"dropping-particle":"","family":"Lane","given":"Deirdre A","non-dropping-particle":"","parse-names":false,"suffix":""},{"dropping-particle":"","family":"Crijns","given":"Harry J","non-dropping-particle":"","parse-names":false,"suffix":""}],"container-title":"Chest","id":"ITEM-1","issue":"2","issued":{"date-parts":[["2010"]]},"page":"263-272","title":"Refining clinical risk stratification for predicting stroke and thromboembolism in atrial fibrillation using a novel risk factor-based approach: the Euro Heart Survey on Atrial Fibrillation.","type":"article-journal","volume":"137"},"uris":["http://www.mendeley.com/documents/?uuid=c50aa977-0b96-40fa-9940-8e0e0b509558"]},{"id":"ITEM-2","itemData":{"DOI":"10.1093/eurheartj/ehw210","ISSN":"0195-668X","author":[{"dropping-particle":"","family":"Kirchhof","given":"Paulus","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non-dropping-particle":"Van","parse-names":false,"suffix":""},{"dropping-particle":"","family":"Vardas","given":"Panagiotis","non-dropping-particle":"","parse-names":false,"suffix":""},{"dropping-particle":"","family":"Agewall","given":"Stefan","non-dropping-particle":"","parse-names":false,"suffix":""},{"dropping-particle":"","family":"Camm","given":"John","non-dropping-particle":"","parse-names":false,"suffix":""},{"dropping-particle":"","family":"Baron Esquivias","given":"Gonzalo","non-dropping-particle":"","parse-names":false,"suffix":""},{"dropping-particle":"","family":"Budts","given":"Werner","non-dropping-particle":"","parse-names":false,"suffix":""},{"dropping-particle":"","family":"Carerj","given":"Scipione","non-dropping-particle":"","parse-names":false,"suffix":""},{"dropping-particle":"","family":"Casselman","given":"Filip","non-dropping-particle":"","parse-names":false,"suffix":""},{"dropping-particle":"","family":"Coca","given":"Antonio","non-dropping-particle":"","parse-names":false,"suffix":""},{"dropping-particle":"","family":"Caterina","given":"Raffaele","non-dropping-particle":"De","parse-names":false,"suffix":""},{"dropping-particle":"","family":"Deftereos","given":"Spiridon","non-dropping-particle":"","parse-names":false,"suffix":""},{"dropping-particle":"","family":"Dobrev","given":"Dobromir","non-dropping-particle":"","parse-names":false,"suffix":""},{"dropping-particle":"","family":"Ferro","given":"José M.","non-dropping-particle":"","parse-names":false,"suffix":""},{"dropping-particle":"","family":"Filippatos","given":"Gerasimos","non-dropping-particle":"","parse-names":false,"suffix":""},{"dropping-particle":"","family":"Fitzsimons","given":"Donna","non-dropping-particle":"","parse-names":false,"suffix":""},{"dropping-particle":"","family":"Gorenek","given":"Bulent","non-dropping-particle":"","parse-names":false,"suffix":""},{"dropping-particle":"","family":"Guenoun","given":"Maxine","non-dropping-particle":"","parse-names":false,"suffix":""},{"dropping-particle":"","family":"Hohnloser","given":"Stefan H.","non-dropping-particle":"","parse-names":false,"suffix":""},{"dropping-particle":"","family":"Kolh","given":"Philippe","non-dropping-particle":"","parse-names":false,"suffix":""},{"dropping-particle":"","family":"Lip","given":"Gregory Y. H.","non-dropping-particle":"","parse-names":false,"suffix":""},{"dropping-particle":"","family":"Manolis","given":"Athanasios","non-dropping-particle":"","parse-names":false,"suffix":""},{"dropping-particle":"","family":"McMurray","given":"John","non-dropping-particle":"","parse-names":false,"suffix":""},{"dropping-particle":"","family":"Ponikowski","given":"Piotr","non-dropping-particle":"","parse-names":false,"suffix":""},{"dropping-particle":"","family":"Rosenhek","given":"Raphael","non-dropping-particle":"","parse-names":false,"suffix":""},{"dropping-particle":"","family":"Ruschitzka","given":"Frank","non-dropping-particle":"","parse-names":false,"suffix":""},{"dropping-particle":"","family":"Savelieva","given":"Irina","non-dropping-particle":"","parse-names":false,"suffix":""},{"dropping-particle":"","family":"Sharma","given":"Sanjay","non-dropping-particle":"","parse-names":false,"suffix":""},{"dropping-particle":"","family":"Suwalski","given":"Piotr","non-dropping-particle":"","parse-names":false,"suffix":""},{"dropping-particle":"","family":"Tamargo","given":"Juan Luis","non-dropping-particle":"","parse-names":false,"suffix":""},{"dropping-particle":"","family":"Taylor","given":"Clare J.","non-dropping-particle":"","parse-names":false,"suffix":""},{"dropping-particle":"","family":"Gelder","given":"Isabelle C.","non-dropping-particle":"Van","parse-names":false,"suffix":""},{"dropping-particle":"","family":"Voors","given":"Adriaan A.","non-dropping-particle":"","parse-names":false,"suffix":""},{"dropping-particle":"","family":"Windecker","given":"Stephan","non-dropping-particle":"","parse-names":false,"suffix":""},{"dropping-particle":"","family":"Zamorano","given":"Jose Luis","non-dropping-particle":"","parse-names":false,"suffix":""},{"dropping-particle":"","family":"Zeppenfeld","given":"Katja","non-dropping-particle":"","parse-names":false,"suffix":""}],"container-title":"European Heart Journal","id":"ITEM-2","issue":"38","issued":{"date-parts":[["2016","10","7"]]},"page":"2893-2962","title":"2016 ESC Guidelines for the management of atrial fibrillation developed in collaboration with EACTS","type":"article-journal","volume":"37"},"uris":["http://www.mendeley.com/documents/?uuid=f28c0cfc-fd87-3db0-bad9-5e78386a0782"]},{"id":"ITEM-3","itemData":{"DOI":"10.1016/j.jacc.2019.01.011","ISSN":"07351097","author":[{"dropping-particle":"","family":"January","given":"Craig T.","non-dropping-particle":"","parse-names":false,"suffix":""},{"dropping-particle":"","family":"Wann","given":"L. Samuel","non-dropping-particle":"","parse-names":false,"suffix":""},{"dropping-particle":"","family":"Calkins","given":"Hugh","non-dropping-particle":"","parse-names":false,"suffix":""},{"dropping-particle":"","family":"Chen","given":"Lin Y.","non-dropping-particle":"","parse-names":false,"suffix":""},{"dropping-particle":"","family":"Cigarroa","given":"Joaquin E.","non-dropping-particle":"","parse-names":false,"suffix":""},{"dropping-particle":"","family":"Cleveland","given":"Joseph C.","non-dropping-particle":"","parse-names":false,"suffix":""},{"dropping-particle":"","family":"Ellinor","given":"Patrick T.","non-dropping-particle":"","parse-names":false,"suffix":""},{"dropping-particle":"","family":"Ezekowitz","given":"Michael D.","non-dropping-particle":"","parse-names":false,"suffix":""},{"dropping-particle":"","family":"Field","given":"Michael E.","non-dropping-particle":"","parse-names":false,"suffix":""},{"dropping-particle":"","family":"Furie","given":"Karen L.","non-dropping-particle":"","parse-names":false,"suffix":""},{"dropping-particle":"","family":"Heidenreich","given":"Paul A.","non-dropping-particle":"","parse-names":false,"suffix":""},{"dropping-particle":"","family":"Murray","given":"Katherine T.","non-dropping-particle":"","parse-names":false,"suffix":""},{"dropping-particle":"","family":"Shea","given":"Julie B.","non-dropping-particle":"","parse-names":false,"suffix":""},{"dropping-particle":"","family":"Tracy","given":"Cynthia M.","non-dropping-particle":"","parse-names":false,"suffix":""},{"dropping-particle":"","family":"Yancy","given":"Clyde W.","non-dropping-particle":"","parse-names":false,"suffix":""}],"container-title":"Journal of the American College of Cardiology","id":"ITEM-3","issue":"1","issued":{"date-parts":[["2019","7","28"]]},"page":"104-132","title":"2019 AHA/ACC/HRS focused update of the 2014 AHA/ACC/HRS guideline for the management of patients with atrial fibrillation","type":"article-journal","volume":"74"},"uris":["http://www.mendeley.com/documents/?uuid=9af540e1-3194-3c33-8911-da1f1bfb3a0f"]}],"mendeley":{"formattedCitation":"&lt;sup&gt;10–12&lt;/sup&gt;","plainTextFormattedCitation":"10–12","previouslyFormattedCitation":"&lt;sup&gt;10–12&lt;/sup&gt;"},"properties":{"noteIndex":0},"schema":"https://github.com/citation-style-language/schema/raw/master/csl-citation.json"}</w:instrText>
      </w:r>
      <w:r w:rsidR="00950FB5"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10–12</w:t>
      </w:r>
      <w:r w:rsidR="00950FB5" w:rsidRPr="001D3D20">
        <w:rPr>
          <w:color w:val="000000"/>
          <w:shd w:val="clear" w:color="auto" w:fill="FFFFFF"/>
          <w:lang w:val="en-US"/>
        </w:rPr>
        <w:fldChar w:fldCharType="end"/>
      </w:r>
      <w:r w:rsidR="00950FB5" w:rsidRPr="001D3D20">
        <w:rPr>
          <w:color w:val="000000"/>
          <w:shd w:val="clear" w:color="auto" w:fill="FFFFFF"/>
          <w:lang w:val="en-US"/>
        </w:rPr>
        <w:t xml:space="preserve"> </w:t>
      </w:r>
      <w:r w:rsidR="00D13331" w:rsidRPr="001D3D20">
        <w:rPr>
          <w:color w:val="000000"/>
          <w:shd w:val="clear" w:color="auto" w:fill="FFFFFF"/>
          <w:lang w:val="en-US"/>
        </w:rPr>
        <w:t>In the current version of the</w:t>
      </w:r>
      <w:r w:rsidRPr="001D3D20">
        <w:rPr>
          <w:color w:val="000000"/>
          <w:shd w:val="clear" w:color="auto" w:fill="FFFFFF"/>
          <w:lang w:val="en-US"/>
        </w:rPr>
        <w:t xml:space="preserve"> CHA</w:t>
      </w:r>
      <w:r w:rsidRPr="001D3D20">
        <w:rPr>
          <w:color w:val="000000"/>
          <w:shd w:val="clear" w:color="auto" w:fill="FFFFFF"/>
          <w:vertAlign w:val="subscript"/>
          <w:lang w:val="en-US"/>
        </w:rPr>
        <w:t>2</w:t>
      </w:r>
      <w:r w:rsidRPr="001D3D20">
        <w:rPr>
          <w:color w:val="000000"/>
          <w:shd w:val="clear" w:color="auto" w:fill="FFFFFF"/>
          <w:lang w:val="en-US"/>
        </w:rPr>
        <w:t>DS</w:t>
      </w:r>
      <w:r w:rsidRPr="001D3D20">
        <w:rPr>
          <w:color w:val="000000"/>
          <w:shd w:val="clear" w:color="auto" w:fill="FFFFFF"/>
          <w:vertAlign w:val="subscript"/>
          <w:lang w:val="en-US"/>
        </w:rPr>
        <w:t>2</w:t>
      </w:r>
      <w:r w:rsidRPr="001D3D20">
        <w:rPr>
          <w:color w:val="000000"/>
          <w:shd w:val="clear" w:color="auto" w:fill="FFFFFF"/>
          <w:lang w:val="en-US"/>
        </w:rPr>
        <w:t>-VASc score</w:t>
      </w:r>
      <w:r w:rsidR="00463F96" w:rsidRPr="001D3D20">
        <w:rPr>
          <w:color w:val="000000"/>
          <w:shd w:val="clear" w:color="auto" w:fill="FFFFFF"/>
          <w:lang w:val="en-US"/>
        </w:rPr>
        <w:t>,</w:t>
      </w:r>
      <w:r w:rsidR="00EF66DF" w:rsidRPr="001D3D20">
        <w:rPr>
          <w:color w:val="000000"/>
          <w:shd w:val="clear" w:color="auto" w:fill="FFFFFF"/>
          <w:lang w:val="en-US"/>
        </w:rPr>
        <w:t xml:space="preserve"> </w:t>
      </w:r>
      <w:r w:rsidR="006A5B25" w:rsidRPr="001D3D20">
        <w:rPr>
          <w:color w:val="000000"/>
          <w:shd w:val="clear" w:color="auto" w:fill="FFFFFF"/>
          <w:lang w:val="en-US"/>
        </w:rPr>
        <w:t>t</w:t>
      </w:r>
      <w:r w:rsidR="00EF66DF" w:rsidRPr="001D3D20">
        <w:rPr>
          <w:color w:val="000000"/>
          <w:shd w:val="clear" w:color="auto" w:fill="FFFFFF"/>
          <w:lang w:val="en-US"/>
        </w:rPr>
        <w:t xml:space="preserve">he ‘V’ component refers to </w:t>
      </w:r>
      <w:r w:rsidR="00EF66DF" w:rsidRPr="001D3D20">
        <w:rPr>
          <w:color w:val="000000"/>
          <w:u w:val="single"/>
          <w:shd w:val="clear" w:color="auto" w:fill="FFFFFF"/>
          <w:lang w:val="en-US"/>
        </w:rPr>
        <w:t>V</w:t>
      </w:r>
      <w:r w:rsidR="002438DD" w:rsidRPr="001D3D20">
        <w:rPr>
          <w:color w:val="000000"/>
          <w:shd w:val="clear" w:color="auto" w:fill="FFFFFF"/>
          <w:lang w:val="en-US"/>
        </w:rPr>
        <w:t>ascular disease</w:t>
      </w:r>
      <w:r w:rsidR="00D13331" w:rsidRPr="001D3D20">
        <w:rPr>
          <w:color w:val="000000"/>
          <w:shd w:val="clear" w:color="auto" w:fill="FFFFFF"/>
          <w:lang w:val="en-US"/>
        </w:rPr>
        <w:t xml:space="preserve"> defined by </w:t>
      </w:r>
      <w:r w:rsidR="00EF66DF" w:rsidRPr="001D3D20">
        <w:rPr>
          <w:color w:val="000000"/>
          <w:shd w:val="clear" w:color="auto" w:fill="FFFFFF"/>
          <w:lang w:val="en-US"/>
        </w:rPr>
        <w:t>peripheral arterial disease, aortic plaque, or</w:t>
      </w:r>
      <w:r w:rsidR="002438DD" w:rsidRPr="001D3D20">
        <w:rPr>
          <w:color w:val="000000"/>
          <w:shd w:val="clear" w:color="auto" w:fill="FFFFFF"/>
          <w:lang w:val="en-US"/>
        </w:rPr>
        <w:t xml:space="preserve"> </w:t>
      </w:r>
      <w:r w:rsidR="0044196E" w:rsidRPr="001D3D20">
        <w:rPr>
          <w:color w:val="000000"/>
          <w:shd w:val="clear" w:color="auto" w:fill="FFFFFF"/>
          <w:lang w:val="en-US"/>
        </w:rPr>
        <w:t>previous myocardial infarction</w:t>
      </w:r>
      <w:r w:rsidR="00D13331" w:rsidRPr="001D3D20">
        <w:rPr>
          <w:color w:val="000000"/>
          <w:shd w:val="clear" w:color="auto" w:fill="FFFFFF"/>
          <w:lang w:val="en-US"/>
        </w:rPr>
        <w:t>. Thus</w:t>
      </w:r>
      <w:r w:rsidR="0044196E" w:rsidRPr="001D3D20">
        <w:rPr>
          <w:color w:val="000000"/>
          <w:shd w:val="clear" w:color="auto" w:fill="FFFFFF"/>
          <w:lang w:val="en-US"/>
        </w:rPr>
        <w:t xml:space="preserve">, </w:t>
      </w:r>
      <w:r w:rsidR="000516A8" w:rsidRPr="001D3D20">
        <w:rPr>
          <w:color w:val="000000"/>
          <w:shd w:val="clear" w:color="auto" w:fill="FFFFFF"/>
          <w:lang w:val="en-US"/>
        </w:rPr>
        <w:t xml:space="preserve">previous </w:t>
      </w:r>
      <w:r w:rsidR="002130AF" w:rsidRPr="001D3D20">
        <w:rPr>
          <w:color w:val="000000"/>
          <w:shd w:val="clear" w:color="auto" w:fill="FFFFFF"/>
          <w:lang w:val="en-US"/>
        </w:rPr>
        <w:t>VTE</w:t>
      </w:r>
      <w:r w:rsidR="000516A8" w:rsidRPr="001D3D20">
        <w:rPr>
          <w:color w:val="000000"/>
          <w:shd w:val="clear" w:color="auto" w:fill="FFFFFF"/>
          <w:lang w:val="en-US"/>
        </w:rPr>
        <w:t xml:space="preserve"> is </w:t>
      </w:r>
      <w:r w:rsidR="00055C66" w:rsidRPr="001D3D20">
        <w:rPr>
          <w:color w:val="000000"/>
          <w:shd w:val="clear" w:color="auto" w:fill="FFFFFF"/>
          <w:lang w:val="en-US"/>
        </w:rPr>
        <w:t xml:space="preserve">presently </w:t>
      </w:r>
      <w:r w:rsidR="000516A8" w:rsidRPr="001D3D20">
        <w:rPr>
          <w:color w:val="000000"/>
          <w:shd w:val="clear" w:color="auto" w:fill="FFFFFF"/>
          <w:lang w:val="en-US"/>
        </w:rPr>
        <w:t>not considered</w:t>
      </w:r>
      <w:r w:rsidR="00C63646" w:rsidRPr="001D3D20">
        <w:rPr>
          <w:color w:val="000000"/>
          <w:shd w:val="clear" w:color="auto" w:fill="FFFFFF"/>
          <w:lang w:val="en-US"/>
        </w:rPr>
        <w:t xml:space="preserve"> in </w:t>
      </w:r>
      <w:r w:rsidR="00055C66" w:rsidRPr="001D3D20">
        <w:rPr>
          <w:color w:val="000000"/>
          <w:shd w:val="clear" w:color="auto" w:fill="FFFFFF"/>
          <w:lang w:val="en-US"/>
        </w:rPr>
        <w:t xml:space="preserve">routine clinical </w:t>
      </w:r>
      <w:r w:rsidR="00495B46" w:rsidRPr="001D3D20">
        <w:rPr>
          <w:color w:val="000000"/>
          <w:shd w:val="clear" w:color="auto" w:fill="FFFFFF"/>
          <w:lang w:val="en-US"/>
        </w:rPr>
        <w:t xml:space="preserve">thromboembolic </w:t>
      </w:r>
      <w:r w:rsidR="00055C66" w:rsidRPr="001D3D20">
        <w:rPr>
          <w:color w:val="000000"/>
          <w:shd w:val="clear" w:color="auto" w:fill="FFFFFF"/>
          <w:lang w:val="en-US"/>
        </w:rPr>
        <w:t>risk assessment</w:t>
      </w:r>
      <w:r w:rsidR="00495B46" w:rsidRPr="001D3D20">
        <w:rPr>
          <w:color w:val="000000"/>
          <w:shd w:val="clear" w:color="auto" w:fill="FFFFFF"/>
          <w:lang w:val="en-US"/>
        </w:rPr>
        <w:t xml:space="preserve"> in atrial fibrillation</w:t>
      </w:r>
      <w:r w:rsidR="000516A8" w:rsidRPr="001D3D20">
        <w:rPr>
          <w:color w:val="000000"/>
          <w:shd w:val="clear" w:color="auto" w:fill="FFFFFF"/>
          <w:lang w:val="en-US"/>
        </w:rPr>
        <w:t xml:space="preserve">, although the original derivation study actually included </w:t>
      </w:r>
      <w:r w:rsidR="002130AF" w:rsidRPr="001D3D20">
        <w:rPr>
          <w:color w:val="000000"/>
          <w:shd w:val="clear" w:color="auto" w:fill="FFFFFF"/>
          <w:lang w:val="en-US"/>
        </w:rPr>
        <w:t>VTE</w:t>
      </w:r>
      <w:r w:rsidR="000516A8" w:rsidRPr="001D3D20">
        <w:rPr>
          <w:color w:val="000000"/>
          <w:shd w:val="clear" w:color="auto" w:fill="FFFFFF"/>
          <w:lang w:val="en-US"/>
        </w:rPr>
        <w:t xml:space="preserve"> </w:t>
      </w:r>
      <w:r w:rsidR="00C87601" w:rsidRPr="001D3D20">
        <w:rPr>
          <w:color w:val="000000"/>
          <w:shd w:val="clear" w:color="auto" w:fill="FFFFFF"/>
          <w:lang w:val="en-US"/>
        </w:rPr>
        <w:t>in the definition of vascular disease</w:t>
      </w:r>
      <w:r w:rsidR="00EF66DF" w:rsidRPr="001D3D20">
        <w:rPr>
          <w:color w:val="000000"/>
          <w:shd w:val="clear" w:color="auto" w:fill="FFFFFF"/>
          <w:lang w:val="en-US"/>
        </w:rPr>
        <w:t>.</w:t>
      </w:r>
      <w:r w:rsidR="00EF66DF"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{"citationItems":[{"id":"ITEM-1","itemData":{"DOI":"10.1111/j.1538-7836.2011.04308.x","ISSN":"1538-7836","PMID":"21535388","abstract":"BACKGROUND The presence of vascular disease (peripheral artery disease [PAD] and/or myocardial infarction [MI]) may impact on the risk of stroke and death among patients with incident atrial fibrillation (AF). To test this hypothesis, we analyzed data from a large Danish prospective cohort, the Danish Diet, Cancer and Health (DCH) study, to assess the risk of stroke or death among those who developed AF according to concomitant presence of vascular disease. METHODS A prospective cohort study of 57, 053 persons (27, 178 men and 29, 876 women, respectively), aged between 50 and 64 years. The risk of stroke or death for patients with vascular disease was assessed amongst 3315 patients with incident AF (mean age, 67.1years; 2130 men, 1185 women) using Cox proportional hazard models, after a median follow-up of 4.8 years. RESULTS Of the subjects with AF, 417 (12.6%) had 'vascular disease' (PAD and/or prior MI). The risk of the primary endpoint (stroke or death) was significantly higher in patients with vascular disease at 1-year follow-up (crude hazard ratio [HR] 2.51 [1.91-3.29]), with corresponding crude HRs for PAD and MI being 3.51 (2.40-5.13), and 1.99 (1.46-2.72), respectively. For the secondary endpoints of death or stroke individually, these risk estimates were similar (crude HR 2.48 [1.89-3.26] and 1.77 [1.18-2.66], respectively). After adjustment for risk factors within the CHADS(2) score, the adjusted HR for the primary endpoint (stroke or death) in patients with vascular disease was 1.91 (1.44-2.54), which was also significant for death (1.97 [1.48-2.62]). CONCLUSION Vascular disease (prior MI and PAD) is an independent risk factor for the primary endpoint of 'stroke or death' in patients with AF, even after adjustment for the CHADS(2) risk score, although this is driven by the impact on mortality. This reaffirms that patients with vascular disease represent a 'high-risk' population, which necessitates proactive management of all cardiovascular risk factors and effective thromboprophylaxis (i.e. oral anticoagulation), which has been shown to significantly reduce the risk of stroke and death in AF.","author":[{"dropping-particle":"","family":"Rasmussen","given":"Lars Hvilsted","non-dropping-particle":"","parse-names":false,"suffix":""},{"dropping-particle":"","family":"Larsen","given":"Torben Bjerregaard","non-dropping-particle":"","parse-names":false,"suffix":""},{"dropping-particle":"","family":"Due","given":"K M","non-dropping-particle":"","parse-names":false,"suffix":""},{"dropping-particle":"","family":"Tjønneland","given":"A","non-dropping-particle":"","parse-names":false,"suffix":""},{"dropping-particle":"","family":"Overvad","given":"Kim","non-dropping-particle":"","parse-names":false,"suffix":""},{"dropping-particle":"","family":"Lip","given":"G Y H","non-dropping-particle":"","parse-names":false,"suffix":""}],"container-title":"Journal of thrombosis and haemostasis : JTH","id":"ITEM-1","issue":"7","issued":{"date-parts":[["2011","7"]]},"page":"1301-7","title":"Impact of vascular disease in predicting stroke and death in patients with atrial fibrillation: the Danish Diet, Cancer and Health cohort study.","type":"article-journal","volume":"9"},"uris":["http://www.mendeley.com/documents/?uuid=6515a97d-1393-4492-9cbe-ca7090c71bd5"]},{"id":"ITEM-2","itemData":{"DOI":"10.1378/chest.09-1584","ISSN":"1931-3543","PMID":"19762550","abstract":"BACKGROUND: Contemporary clinical risk stratification schemata for predicting stroke and thromboembolism (TE) in patients with atrial fibrillation (AF) are largely derived from risk factors identified from trial cohorts. Thus, many potential risk factors have not been included. METHODS: We refined the 2006 Birmingham/National Institute for Health and Clinical Excellence (NICE) stroke risk stratification schema into a risk factor-based approach by reclassifying and/or incorporating additional new risk factors where relevant. This schema was then compared with existing stroke risk stratification schema in a real-world cohort of patients with AF (n = 1,084) from the Euro Heart Survey for AF. RESULTS: Risk categorization differed widely between the different schemes compared. Patients classified as high risk ranged from 10.2% with the Framingham schema to 75.7% with the Birmingham 2009 schema. The classic CHADS(2) (Congestive heart failure, Hypertension, Age &gt; 75, Diabetes, prior Stroke/transient ischemic attack) schema categorized the largest proportion (61.9%) into the intermediate-risk strata, whereas the Birmingham 2009 schema classified 15.1% into this category. The Birmingham 2009 schema classified only 9.2% as low risk, whereas the Framingham scheme categorized 48.3% as low risk. Calculated C-statistics suggested modest predictive value of all schema for TE. The Birmingham 2009 schema fared marginally better (C-statistic, 0.606) than CHADS(2). However, those classified as low risk by the Birmingham 2009 and NICE schema were truly low risk with no TE events recorded, whereas TE events occurred in 1.4% of low-risk CHADS(2) subjects. When expressed as a scoring system, the Birmingham 2009 schema (CHA(2)DS(2)-VASc acronym) showed an increase in TE rate with increasing scores (P value for trend = .003). CONCLUSIONS: Our novel, simple stroke risk stratification schema, based on a risk factor approach, provides some improvement in predictive value for TE over the CHADS(2) schema, with low event rates in low-risk subjects and the classification of only a small proportion of subjects into the intermediate-risk category. This schema could improve our approach to stroke risk stratification in patients with AF.","author":[{"dropping-particle":"","family":"Lip","given":"G Y","non-dropping-particle":"","parse-names":false,"suffix":""},{"dropping-particle":"","family":"Nieuwlaat","given":"Robby","non-dropping-particle":"","parse-names":false,"suffix":""},{"dropping-particle":"","family":"Pisters","given":"Ron","non-dropping-particle":"","parse-names":false,"suffix":""},{"dropping-particle":"","family":"Lane","given":"Deirdre A","non-dropping-particle":"","parse-names":false,"suffix":""},{"dropping-particle":"","family":"Crijns","given":"Harry J","non-dropping-particle":"","parse-names":false,"suffix":""}],"container-title":"Chest","id":"ITEM-2","issue":"2","issued":{"date-parts":[["2010"]]},"page":"263-272","title":"Refining clinical risk stratification for predicting stroke and thromboembolism in atrial fibrillation using a novel risk factor-based approach: the Euro Heart Survey on Atrial Fibrillation.","type":"article-journal","volume":"137"},"uris":["http://www.mendeley.com/documents/?uuid=c50aa977-0b96-40fa-9940-8e0e0b509558"]}],"mendeley":{"formattedCitation":"&lt;sup&gt;10,13&lt;/sup&gt;","plainTextFormattedCitation":"10,13","previouslyFormattedCitation":"&lt;sup&gt;10,13&lt;/sup&gt;"},"properties":{"noteIndex":0},"schema":"https://github.com/citation-style-language/schema/raw/master/csl-citation.json"}</w:instrText>
      </w:r>
      <w:r w:rsidR="00EF66DF"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10,13</w:t>
      </w:r>
      <w:r w:rsidR="00EF66DF" w:rsidRPr="001D3D20">
        <w:rPr>
          <w:color w:val="000000"/>
          <w:shd w:val="clear" w:color="auto" w:fill="FFFFFF"/>
          <w:lang w:val="en-US"/>
        </w:rPr>
        <w:fldChar w:fldCharType="end"/>
      </w:r>
      <w:r w:rsidR="00950FB5" w:rsidRPr="001D3D20">
        <w:rPr>
          <w:color w:val="000000"/>
          <w:shd w:val="clear" w:color="auto" w:fill="FFFFFF"/>
          <w:lang w:val="en-US"/>
        </w:rPr>
        <w:t xml:space="preserve"> If VTE patients with completed anticoagulant treatment subsequently develop atrial fibrillation, the current risk stratification approach does not necessarily dictate a clear indication for anticoagulation, if not other stroke risk factors are evident.</w:t>
      </w:r>
    </w:p>
    <w:p w14:paraId="4AA664B0" w14:textId="77777777" w:rsidR="00254B26" w:rsidRPr="001D3D20" w:rsidRDefault="00254B26" w:rsidP="006842EF">
      <w:pPr>
        <w:spacing w:line="360" w:lineRule="auto"/>
        <w:rPr>
          <w:color w:val="000000"/>
          <w:shd w:val="clear" w:color="auto" w:fill="FFFFFF"/>
          <w:lang w:val="en-US"/>
        </w:rPr>
      </w:pPr>
    </w:p>
    <w:p w14:paraId="1E3A1F45" w14:textId="69000837" w:rsidR="00C32E07" w:rsidRPr="001D3D20" w:rsidRDefault="00E2162E" w:rsidP="006842EF">
      <w:pPr>
        <w:spacing w:line="360" w:lineRule="auto"/>
        <w:rPr>
          <w:color w:val="000000"/>
          <w:shd w:val="clear" w:color="auto" w:fill="FFFFFF"/>
          <w:lang w:val="en-US"/>
        </w:rPr>
      </w:pPr>
      <w:r w:rsidRPr="001D3D20">
        <w:rPr>
          <w:color w:val="000000"/>
          <w:shd w:val="clear" w:color="auto" w:fill="FFFFFF"/>
          <w:lang w:val="en-US"/>
        </w:rPr>
        <w:t>Therefore, t</w:t>
      </w:r>
      <w:r w:rsidR="005163C0" w:rsidRPr="001D3D20">
        <w:rPr>
          <w:color w:val="000000"/>
          <w:shd w:val="clear" w:color="auto" w:fill="FFFFFF"/>
          <w:lang w:val="en-US"/>
        </w:rPr>
        <w:t xml:space="preserve">he aim of this </w:t>
      </w:r>
      <w:r w:rsidR="00AA39EC" w:rsidRPr="001D3D20">
        <w:rPr>
          <w:color w:val="000000"/>
          <w:shd w:val="clear" w:color="auto" w:fill="FFFFFF"/>
          <w:lang w:val="en-US"/>
        </w:rPr>
        <w:t xml:space="preserve">cohort </w:t>
      </w:r>
      <w:r w:rsidR="005163C0" w:rsidRPr="001D3D20">
        <w:rPr>
          <w:color w:val="000000"/>
          <w:shd w:val="clear" w:color="auto" w:fill="FFFFFF"/>
          <w:lang w:val="en-US"/>
        </w:rPr>
        <w:t xml:space="preserve">study was to explore </w:t>
      </w:r>
      <w:r w:rsidR="002F29DF" w:rsidRPr="001D3D20">
        <w:rPr>
          <w:color w:val="000000"/>
          <w:shd w:val="clear" w:color="auto" w:fill="FFFFFF"/>
          <w:lang w:val="en-US"/>
        </w:rPr>
        <w:t xml:space="preserve">whether </w:t>
      </w:r>
      <w:r w:rsidR="0069616F" w:rsidRPr="001D3D20">
        <w:rPr>
          <w:color w:val="000000"/>
          <w:shd w:val="clear" w:color="auto" w:fill="FFFFFF"/>
          <w:lang w:val="en-US"/>
        </w:rPr>
        <w:t xml:space="preserve">history of </w:t>
      </w:r>
      <w:r w:rsidR="002130AF" w:rsidRPr="001D3D20">
        <w:rPr>
          <w:color w:val="000000"/>
          <w:shd w:val="clear" w:color="auto" w:fill="FFFFFF"/>
          <w:lang w:val="en-US"/>
        </w:rPr>
        <w:t>VTE</w:t>
      </w:r>
      <w:r w:rsidR="000516A8" w:rsidRPr="001D3D20">
        <w:rPr>
          <w:color w:val="000000"/>
          <w:shd w:val="clear" w:color="auto" w:fill="FFFFFF"/>
          <w:lang w:val="en-US"/>
        </w:rPr>
        <w:t xml:space="preserve"> should </w:t>
      </w:r>
      <w:r w:rsidR="002F29DF" w:rsidRPr="001D3D20">
        <w:rPr>
          <w:color w:val="000000"/>
          <w:shd w:val="clear" w:color="auto" w:fill="FFFFFF"/>
          <w:lang w:val="en-US"/>
        </w:rPr>
        <w:t xml:space="preserve">be considered a prognostic </w:t>
      </w:r>
      <w:r w:rsidR="00BE2BAA" w:rsidRPr="001D3D20">
        <w:rPr>
          <w:color w:val="000000"/>
          <w:shd w:val="clear" w:color="auto" w:fill="FFFFFF"/>
          <w:lang w:val="en-US"/>
        </w:rPr>
        <w:t xml:space="preserve">factor </w:t>
      </w:r>
      <w:r w:rsidR="002F29DF" w:rsidRPr="001D3D20">
        <w:rPr>
          <w:color w:val="000000"/>
          <w:shd w:val="clear" w:color="auto" w:fill="FFFFFF"/>
          <w:lang w:val="en-US"/>
        </w:rPr>
        <w:t xml:space="preserve">for </w:t>
      </w:r>
      <w:r w:rsidR="00393E7B" w:rsidRPr="001D3D20">
        <w:rPr>
          <w:color w:val="000000"/>
          <w:shd w:val="clear" w:color="auto" w:fill="FFFFFF"/>
          <w:lang w:val="en-US"/>
        </w:rPr>
        <w:t xml:space="preserve">ischemic </w:t>
      </w:r>
      <w:r w:rsidR="002F29DF" w:rsidRPr="001D3D20">
        <w:rPr>
          <w:color w:val="000000"/>
          <w:shd w:val="clear" w:color="auto" w:fill="FFFFFF"/>
          <w:lang w:val="en-US"/>
        </w:rPr>
        <w:t xml:space="preserve">stroke and </w:t>
      </w:r>
      <w:r w:rsidR="00393E7B" w:rsidRPr="001D3D20">
        <w:rPr>
          <w:color w:val="000000"/>
          <w:shd w:val="clear" w:color="auto" w:fill="FFFFFF"/>
          <w:lang w:val="en-US"/>
        </w:rPr>
        <w:t xml:space="preserve">other </w:t>
      </w:r>
      <w:r w:rsidR="004D166D" w:rsidRPr="001D3D20">
        <w:rPr>
          <w:color w:val="000000"/>
          <w:shd w:val="clear" w:color="auto" w:fill="FFFFFF"/>
          <w:lang w:val="en-US"/>
        </w:rPr>
        <w:t>thromboemboli</w:t>
      </w:r>
      <w:r w:rsidR="00393E7B" w:rsidRPr="001D3D20">
        <w:rPr>
          <w:color w:val="000000"/>
          <w:shd w:val="clear" w:color="auto" w:fill="FFFFFF"/>
          <w:lang w:val="en-US"/>
        </w:rPr>
        <w:t>c outcomes</w:t>
      </w:r>
      <w:r w:rsidR="002F29DF" w:rsidRPr="001D3D20">
        <w:rPr>
          <w:color w:val="000000"/>
          <w:shd w:val="clear" w:color="auto" w:fill="FFFFFF"/>
          <w:lang w:val="en-US"/>
        </w:rPr>
        <w:t xml:space="preserve"> in patients with incident atrial fibrillation</w:t>
      </w:r>
      <w:r w:rsidR="005163C0" w:rsidRPr="001D3D20">
        <w:rPr>
          <w:color w:val="000000"/>
          <w:shd w:val="clear" w:color="auto" w:fill="FFFFFF"/>
          <w:lang w:val="en-US"/>
        </w:rPr>
        <w:t>.</w:t>
      </w:r>
    </w:p>
    <w:p w14:paraId="36CE5A22" w14:textId="77777777" w:rsidR="006206A1" w:rsidRPr="001D3D20" w:rsidRDefault="00C32E07" w:rsidP="006842EF">
      <w:pPr>
        <w:spacing w:line="360" w:lineRule="auto"/>
        <w:jc w:val="center"/>
        <w:rPr>
          <w:b/>
          <w:color w:val="000000"/>
          <w:shd w:val="clear" w:color="auto" w:fill="FFFFFF"/>
          <w:lang w:val="en-US"/>
        </w:rPr>
      </w:pPr>
      <w:r w:rsidRPr="001D3D20">
        <w:rPr>
          <w:color w:val="000000"/>
          <w:shd w:val="clear" w:color="auto" w:fill="FFFFFF"/>
          <w:lang w:val="en-US"/>
        </w:rPr>
        <w:br w:type="page"/>
      </w:r>
      <w:r w:rsidR="006206A1" w:rsidRPr="001D3D20">
        <w:rPr>
          <w:b/>
          <w:color w:val="000000"/>
          <w:shd w:val="clear" w:color="auto" w:fill="FFFFFF"/>
          <w:lang w:val="en-US"/>
        </w:rPr>
        <w:lastRenderedPageBreak/>
        <w:t>Methods</w:t>
      </w:r>
    </w:p>
    <w:p w14:paraId="25648971" w14:textId="77777777" w:rsidR="00BE4AE1" w:rsidRPr="001D3D20" w:rsidRDefault="00BE4AE1" w:rsidP="006842EF">
      <w:pPr>
        <w:spacing w:line="360" w:lineRule="auto"/>
        <w:jc w:val="center"/>
        <w:rPr>
          <w:b/>
          <w:color w:val="000000"/>
          <w:shd w:val="clear" w:color="auto" w:fill="FFFFFF"/>
          <w:lang w:val="en-US"/>
        </w:rPr>
      </w:pPr>
    </w:p>
    <w:p w14:paraId="1CF98BA5" w14:textId="77777777" w:rsidR="004D1DE0" w:rsidRPr="001D3D20" w:rsidRDefault="004D1DE0" w:rsidP="006842EF">
      <w:pPr>
        <w:spacing w:line="360" w:lineRule="auto"/>
        <w:rPr>
          <w:i/>
          <w:color w:val="000000"/>
          <w:shd w:val="clear" w:color="auto" w:fill="FFFFFF"/>
          <w:lang w:val="en-US"/>
        </w:rPr>
      </w:pPr>
      <w:r w:rsidRPr="001D3D20">
        <w:rPr>
          <w:i/>
          <w:color w:val="000000"/>
          <w:shd w:val="clear" w:color="auto" w:fill="FFFFFF"/>
          <w:lang w:val="en-US"/>
        </w:rPr>
        <w:t>Study design and data sources</w:t>
      </w:r>
    </w:p>
    <w:p w14:paraId="2C6EF962" w14:textId="0E66CA64" w:rsidR="004D1DE0" w:rsidRPr="001D3D20" w:rsidRDefault="004D1DE0" w:rsidP="006842EF">
      <w:pPr>
        <w:spacing w:line="360" w:lineRule="auto"/>
        <w:rPr>
          <w:color w:val="000000"/>
          <w:shd w:val="clear" w:color="auto" w:fill="FFFFFF"/>
          <w:lang w:val="en-US"/>
        </w:rPr>
      </w:pPr>
      <w:r w:rsidRPr="001D3D20">
        <w:rPr>
          <w:color w:val="000000"/>
          <w:shd w:val="clear" w:color="auto" w:fill="FFFFFF"/>
          <w:lang w:val="en-US"/>
        </w:rPr>
        <w:t xml:space="preserve">This was a register-based cohort study </w:t>
      </w:r>
      <w:r w:rsidR="00E44617" w:rsidRPr="001D3D20">
        <w:rPr>
          <w:color w:val="000000"/>
          <w:shd w:val="clear" w:color="auto" w:fill="FFFFFF"/>
          <w:lang w:val="en-US"/>
        </w:rPr>
        <w:t xml:space="preserve">based on linked individual-level </w:t>
      </w:r>
      <w:r w:rsidRPr="001D3D20">
        <w:rPr>
          <w:color w:val="000000"/>
          <w:shd w:val="clear" w:color="auto" w:fill="FFFFFF"/>
          <w:lang w:val="en-US"/>
        </w:rPr>
        <w:t>data from</w:t>
      </w:r>
      <w:r w:rsidR="00E92991" w:rsidRPr="001D3D20">
        <w:rPr>
          <w:color w:val="000000"/>
          <w:shd w:val="clear" w:color="auto" w:fill="FFFFFF"/>
          <w:lang w:val="en-US"/>
        </w:rPr>
        <w:t xml:space="preserve"> </w:t>
      </w:r>
      <w:r w:rsidRPr="001D3D20">
        <w:rPr>
          <w:color w:val="000000"/>
          <w:shd w:val="clear" w:color="auto" w:fill="FFFFFF"/>
          <w:lang w:val="en-US"/>
        </w:rPr>
        <w:t>nationwide Danish registries using a unique personal identification number given to all Danish residents</w:t>
      </w:r>
      <w:r w:rsidR="00E44617" w:rsidRPr="001D3D20">
        <w:rPr>
          <w:color w:val="000000"/>
          <w:shd w:val="clear" w:color="auto" w:fill="FFFFFF"/>
          <w:lang w:val="en-US"/>
        </w:rPr>
        <w:t xml:space="preserve"> at birth or emmigration</w:t>
      </w:r>
      <w:r w:rsidRPr="001D3D20">
        <w:rPr>
          <w:color w:val="000000"/>
          <w:shd w:val="clear" w:color="auto" w:fill="FFFFFF"/>
          <w:lang w:val="en-US"/>
        </w:rPr>
        <w:t>.</w:t>
      </w:r>
      <w:r w:rsidR="004A6BBE"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{"citationItems":[{"id":"ITEM-1","itemData":{"DOI":"10.1007/s10654-014-9930-3","ISSN":"1573-7284","PMID":"24965263","abstract":"The methodological advances in epidemiology have facilitated the use of the Danish Civil Registration System (CRS) in ways not previously described systematically. We reviewed the CRS and its use as a research tool in epidemiology. We obtained information from the Danish Law on Civil Registration and the Central Office of Civil Registration, and used existing literature to provide illustrative examples of its use. The CRS is an administrative register established on April 2, 1968. It contains individual-level information on all persons residing in Denmark (and Greenland as of May 1, 1972). By January 2014, the CRS had cumulatively registered 9.5 million individuals and more than 400 million person-years of follow-up. A unique ten-digit Civil Personal Register number assigned to all persons in the CRS allows for technically easy, cost-effective, and unambiguous individual-level record linkage of Danish registers. Daily updated information on migration and vital status allows for nationwide cohort studies with virtually complete long-term follow-up on emigration and death. The CRS facilitates sampling of general population comparison cohorts, controls in case-control studies, family cohorts, and target groups in population surveys. The data in the CRS are virtually complete, have high accuracy, and can be retrieved for research purposes while protecting the anonymity of Danish residents. In conclusion, the CRS is a key tool for epidemiological research in Denmark.","author":[{"dropping-particle":"","family":"Schmidt","given":"Morten","non-dropping-particle":"","parse-names":false,"suffix":""},{"dropping-particle":"","family":"Pedersen","given":"Lars","non-dropping-particle":"","parse-names":false,"suffix":""},{"dropping-particle":"","family":"Sørensen","given":"Henrik Toft","non-dropping-particle":"","parse-names":false,"suffix":""}],"container-title":"European journal of epidemiology","id":"ITEM-1","issue":"8","issued":{"date-parts":[["2014"]]},"page":"541-549","title":"The Danish Civil Registration System as a tool in epidemiology.","type":"article-journal","volume":"29"},"uris":["http://www.mendeley.com/documents/?uuid=26f75112-158a-45e0-861d-9e94989e84b9"]}],"mendeley":{"formattedCitation":"&lt;sup&gt;14&lt;/sup&gt;","plainTextFormattedCitation":"14","previouslyFormattedCitation":"&lt;sup&gt;14&lt;/sup&gt;"},"properties":{"noteIndex":0},"schema":"https://github.com/citation-style-language/schema/raw/master/csl-citation.json"}</w:instrText>
      </w:r>
      <w:r w:rsidR="004A6BBE"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14</w:t>
      </w:r>
      <w:r w:rsidR="004A6BBE" w:rsidRPr="001D3D20">
        <w:rPr>
          <w:color w:val="000000"/>
          <w:shd w:val="clear" w:color="auto" w:fill="FFFFFF"/>
          <w:lang w:val="en-US"/>
        </w:rPr>
        <w:fldChar w:fldCharType="end"/>
      </w:r>
      <w:r w:rsidR="003559E8" w:rsidRPr="001D3D20">
        <w:rPr>
          <w:color w:val="000000"/>
          <w:shd w:val="clear" w:color="auto" w:fill="FFFFFF"/>
          <w:lang w:val="en-US"/>
        </w:rPr>
        <w:t xml:space="preserve"> </w:t>
      </w:r>
      <w:r w:rsidR="00E44617" w:rsidRPr="001D3D20">
        <w:rPr>
          <w:color w:val="000000"/>
          <w:shd w:val="clear" w:color="auto" w:fill="FFFFFF"/>
          <w:lang w:val="en-US"/>
        </w:rPr>
        <w:t>W</w:t>
      </w:r>
      <w:r w:rsidR="003559E8" w:rsidRPr="001D3D20">
        <w:rPr>
          <w:color w:val="000000"/>
          <w:shd w:val="clear" w:color="auto" w:fill="FFFFFF"/>
          <w:lang w:val="en-US"/>
        </w:rPr>
        <w:t>e obtained</w:t>
      </w:r>
      <w:r w:rsidR="004F76D4" w:rsidRPr="001D3D20">
        <w:rPr>
          <w:color w:val="000000"/>
          <w:shd w:val="clear" w:color="auto" w:fill="FFFFFF"/>
          <w:lang w:val="en-US"/>
        </w:rPr>
        <w:t xml:space="preserve"> data from: 1) the Civil Registration System holding information about age, sex, vital</w:t>
      </w:r>
      <w:r w:rsidR="006928FF" w:rsidRPr="001D3D20">
        <w:rPr>
          <w:color w:val="000000"/>
          <w:shd w:val="clear" w:color="auto" w:fill="FFFFFF"/>
          <w:lang w:val="en-US"/>
        </w:rPr>
        <w:t>-</w:t>
      </w:r>
      <w:r w:rsidR="004F76D4" w:rsidRPr="001D3D20">
        <w:rPr>
          <w:color w:val="000000"/>
          <w:shd w:val="clear" w:color="auto" w:fill="FFFFFF"/>
          <w:lang w:val="en-US"/>
        </w:rPr>
        <w:t xml:space="preserve"> and emigration status</w:t>
      </w:r>
      <w:r w:rsidR="006561BA"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{"citationItems":[{"id":"ITEM-1","itemData":{"DOI":"10.1177/1403494810387965","ISSN":"1651-1905","PMID":"21775345","abstract":"INTRODUCTION: The Danish Civil Registration System (CRS) was established in 1968, and all persons alive and living in Denmark were registered for administrative use. CONTENT: CRS includes individual information on the unique personal identification number, name, gender, date of birth, place of birth, citizenship, identity of parents and continuously updated information on vital status, place of residence and spouses. VALIDITY AND COVERAGE: Since 1968, CRS has recorded current and historical information on all persons living in Denmark. Among persons born in Denmark in 1960 or later it contains complete information on maternal identity. For women born in Denmark in April 1935 or later it contains complete information on all their children. CRS contains complete information on immigrations and emigrations from 1969 onwards, permanent residence in a Danish municipality from 1971 onwards, and full address in Denmark from 1977 onwards. CONCLUSION: CRS in connection with other registers and biobanks will continue to provide the basis for significant knowledge relevant to the aetiological understanding and possible prevention of human diseases.","author":[{"dropping-particle":"","family":"Pedersen","given":"Carsten Bøcker","non-dropping-particle":"","parse-names":false,"suffix":""}],"container-title":"Scandinavian journal of public health","id":"ITEM-1","issue":"7 Suppl","issued":{"date-parts":[["2011"]]},"page":"22-25","title":"The Danish Civil Registration System.","type":"article-journal","volume":"39"},"uris":["http://www.mendeley.com/documents/?uuid=0af57030-46df-4997-93ce-b5ae7cc6e0cd"]}],"mendeley":{"formattedCitation":"&lt;sup&gt;15&lt;/sup&gt;","plainTextFormattedCitation":"15","previouslyFormattedCitation":"&lt;sup&gt;15&lt;/sup&gt;"},"properties":{"noteIndex":0},"schema":"https://github.com/citation-style-language/schema/raw/master/csl-citation.json"}</w:instrText>
      </w:r>
      <w:r w:rsidR="006561BA"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15</w:t>
      </w:r>
      <w:r w:rsidR="006561BA" w:rsidRPr="001D3D20">
        <w:rPr>
          <w:color w:val="000000"/>
          <w:shd w:val="clear" w:color="auto" w:fill="FFFFFF"/>
          <w:lang w:val="en-US"/>
        </w:rPr>
        <w:fldChar w:fldCharType="end"/>
      </w:r>
      <w:r w:rsidR="004F76D4" w:rsidRPr="001D3D20">
        <w:rPr>
          <w:color w:val="000000"/>
          <w:shd w:val="clear" w:color="auto" w:fill="FFFFFF"/>
          <w:lang w:val="en-US"/>
        </w:rPr>
        <w:t>, 2) the National Patient Register</w:t>
      </w:r>
      <w:r w:rsidR="006561BA" w:rsidRPr="001D3D20">
        <w:rPr>
          <w:color w:val="000000"/>
          <w:shd w:val="clear" w:color="auto" w:fill="FFFFFF"/>
          <w:lang w:val="en-US"/>
        </w:rPr>
        <w:t xml:space="preserve"> storing information about all discharge diagnosis for </w:t>
      </w:r>
      <w:r w:rsidR="008A7FDF" w:rsidRPr="001D3D20">
        <w:rPr>
          <w:color w:val="000000"/>
          <w:shd w:val="clear" w:color="auto" w:fill="FFFFFF"/>
          <w:lang w:val="en-US"/>
        </w:rPr>
        <w:t>hospitalized</w:t>
      </w:r>
      <w:r w:rsidR="006561BA" w:rsidRPr="001D3D20">
        <w:rPr>
          <w:color w:val="000000"/>
          <w:shd w:val="clear" w:color="auto" w:fill="FFFFFF"/>
          <w:lang w:val="en-US"/>
        </w:rPr>
        <w:t xml:space="preserve"> patients since 1977</w:t>
      </w:r>
      <w:r w:rsidR="006561BA"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{"citationItems":[{"id":"ITEM-1","itemData":{"DOI":"10.1177/1403494811401482","ISBN":"1403494811401","ISSN":"1651-1905","PMID":"21775347","abstract":"INTRODUCTION: The Danish National Patient Register (NPR) was established in 1977, and it is considered to be the finest of its kind internationally. CONTENT: At the onset the register included information on inpatient in somatic wards. The content of the register has gradually been expanded, and since 2007 the register has included information on all patients in Danish hospitals. VALIDITY AND COVERAGE: Although the NPR is overall a sound data source, both the content and the definitions of single variables have changed over time. Changes in the organisation and provision of health services may affect both the type and the completeness of registrations. CONCLUSION: The NPR is a unique data source. Researchers using the data should carefully consider potential fallacies in the data before drawing conclusions.","author":[{"dropping-particle":"","family":"Lynge","given":"Elsebeth","non-dropping-particle":"","parse-names":false,"suffix":""},{"dropping-particle":"","family":"Sandegaard","given":"Jakob Lynge","non-dropping-particle":"","parse-names":false,"suffix":""},{"dropping-particle":"","family":"Rebolj","given":"Matejka","non-dropping-particle":"","parse-names":false,"suffix":""}],"container-title":"Scandinavian journal of public health","id":"ITEM-1","issue":"7 Suppl","issued":{"date-parts":[["2011"]]},"page":"30-33","title":"The Danish National Patient Register.","type":"article-journal","volume":"39"},"uris":["http://www.mendeley.com/documents/?uuid=8a1fc566-9bc6-4726-8263-b5d781d186bd"]}],"mendeley":{"formattedCitation":"&lt;sup&gt;16&lt;/sup&gt;","plainTextFormattedCitation":"16","previouslyFormattedCitation":"&lt;sup&gt;16&lt;/sup&gt;"},"properties":{"noteIndex":0},"schema":"https://github.com/citation-style-language/schema/raw/master/csl-citation.json"}</w:instrText>
      </w:r>
      <w:r w:rsidR="006561BA"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16</w:t>
      </w:r>
      <w:r w:rsidR="006561BA" w:rsidRPr="001D3D20">
        <w:rPr>
          <w:color w:val="000000"/>
          <w:shd w:val="clear" w:color="auto" w:fill="FFFFFF"/>
          <w:lang w:val="en-US"/>
        </w:rPr>
        <w:fldChar w:fldCharType="end"/>
      </w:r>
      <w:r w:rsidR="006561BA" w:rsidRPr="001D3D20">
        <w:rPr>
          <w:color w:val="000000"/>
          <w:shd w:val="clear" w:color="auto" w:fill="FFFFFF"/>
          <w:lang w:val="en-US"/>
        </w:rPr>
        <w:t>, and 3) the National Prescriptions Registry, which holds information on all claimed prescriptions from Danish pharmacies since 1995.</w:t>
      </w:r>
      <w:r w:rsidR="006561BA"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{"citationItems":[{"id":"ITEM-1","itemData":{"DOI":"10.1177/1403494810394717","ISSN":"1651-1905","PMID":"21775349","abstract":"INTRODUCTION: Individual-level data on all prescription drugs sold in Danish community pharmacies has since 1994 been recorded in the Register of Medicinal Products Statistics of the Danish Medicines Agency. CONTENT: The register subset, termed the Danish National Prescription Registry (DNPR), contains information on dispensed prescriptions, including variables at the level of the drug user, the prescriber, and the pharmacy. VALIDITY AND COVERAGE: Reimbursement-driven record keeping, with automated bar-code-based data entry provides data of high quality, including detailed information on the dispensed drug. CONCLUSION: The possibility of linkage with many other nationwide individual-level data sources renders the DNPR a very powerful pharmacoepidemiological tool.","author":[{"dropping-particle":"","family":"Kildemoes","given":"Helle Wallach","non-dropping-particle":"","parse-names":false,"suffix":""},{"dropping-particle":"","family":"Sørensen","given":"Henrik Toft","non-dropping-particle":"","parse-names":false,"suffix":""},{"dropping-particle":"","family":"Hallas","given":"Jesper","non-dropping-particle":"","parse-names":false,"suffix":""}],"container-title":"Scandinavian journal of public health","id":"ITEM-1","issue":"7 Suppl","issued":{"date-parts":[["2011"]]},"page":"38-41","title":"The Danish National Prescription Registry.","type":"article-journal","volume":"39"},"uris":["http://www.mendeley.com/documents/?uuid=7506be60-5eaa-4e7c-bcd3-4fa4105bac86"]}],"mendeley":{"formattedCitation":"&lt;sup&gt;17&lt;/sup&gt;","plainTextFormattedCitation":"17","previouslyFormattedCitation":"&lt;sup&gt;17&lt;/sup&gt;"},"properties":{"noteIndex":0},"schema":"https://github.com/citation-style-language/schema/raw/master/csl-citation.json"}</w:instrText>
      </w:r>
      <w:r w:rsidR="006561BA"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17</w:t>
      </w:r>
      <w:r w:rsidR="006561BA" w:rsidRPr="001D3D20">
        <w:rPr>
          <w:color w:val="000000"/>
          <w:shd w:val="clear" w:color="auto" w:fill="FFFFFF"/>
          <w:lang w:val="en-US"/>
        </w:rPr>
        <w:fldChar w:fldCharType="end"/>
      </w:r>
    </w:p>
    <w:p w14:paraId="3861E02C" w14:textId="77777777" w:rsidR="004D1DE0" w:rsidRPr="001D3D20" w:rsidRDefault="004D1DE0" w:rsidP="006842EF">
      <w:pPr>
        <w:spacing w:line="360" w:lineRule="auto"/>
        <w:rPr>
          <w:i/>
          <w:color w:val="000000"/>
          <w:shd w:val="clear" w:color="auto" w:fill="FFFFFF"/>
          <w:lang w:val="en-US"/>
        </w:rPr>
      </w:pPr>
    </w:p>
    <w:p w14:paraId="1DE1BAF9" w14:textId="77777777" w:rsidR="00BF43AC" w:rsidRPr="001D3D20" w:rsidRDefault="00BF43AC" w:rsidP="006842EF">
      <w:pPr>
        <w:spacing w:line="360" w:lineRule="auto"/>
        <w:rPr>
          <w:i/>
          <w:color w:val="000000"/>
          <w:shd w:val="clear" w:color="auto" w:fill="FFFFFF"/>
          <w:lang w:val="en-US"/>
        </w:rPr>
      </w:pPr>
      <w:r w:rsidRPr="001D3D20">
        <w:rPr>
          <w:i/>
          <w:color w:val="000000"/>
          <w:shd w:val="clear" w:color="auto" w:fill="FFFFFF"/>
          <w:lang w:val="en-US"/>
        </w:rPr>
        <w:t>Study population</w:t>
      </w:r>
    </w:p>
    <w:p w14:paraId="77CEA4C4" w14:textId="0DA983FB" w:rsidR="001F769B" w:rsidRPr="001D3D20" w:rsidRDefault="00BF43AC" w:rsidP="006842EF">
      <w:pPr>
        <w:spacing w:line="360" w:lineRule="auto"/>
        <w:rPr>
          <w:color w:val="000000"/>
          <w:shd w:val="clear" w:color="auto" w:fill="FFFFFF"/>
          <w:lang w:val="en-US"/>
        </w:rPr>
      </w:pPr>
      <w:r w:rsidRPr="001D3D20">
        <w:rPr>
          <w:color w:val="000000"/>
          <w:shd w:val="clear" w:color="auto" w:fill="FFFFFF"/>
          <w:lang w:val="en-US"/>
        </w:rPr>
        <w:t xml:space="preserve">The study population included all patients with </w:t>
      </w:r>
      <w:r w:rsidR="0065310E" w:rsidRPr="001D3D20">
        <w:rPr>
          <w:color w:val="000000"/>
          <w:shd w:val="clear" w:color="auto" w:fill="FFFFFF"/>
          <w:lang w:val="en-US"/>
        </w:rPr>
        <w:t xml:space="preserve">incident </w:t>
      </w:r>
      <w:r w:rsidR="00582838" w:rsidRPr="001D3D20">
        <w:rPr>
          <w:color w:val="000000"/>
          <w:shd w:val="clear" w:color="auto" w:fill="FFFFFF"/>
          <w:lang w:val="en-US"/>
        </w:rPr>
        <w:t xml:space="preserve">non-valvular </w:t>
      </w:r>
      <w:r w:rsidR="0065310E" w:rsidRPr="001D3D20">
        <w:rPr>
          <w:color w:val="000000"/>
          <w:shd w:val="clear" w:color="auto" w:fill="FFFFFF"/>
          <w:lang w:val="en-US"/>
        </w:rPr>
        <w:t>atrial fibrillation from</w:t>
      </w:r>
      <w:r w:rsidR="009C6AC2" w:rsidRPr="001D3D20">
        <w:rPr>
          <w:color w:val="000000"/>
          <w:shd w:val="clear" w:color="auto" w:fill="FFFFFF"/>
          <w:lang w:val="en-US"/>
        </w:rPr>
        <w:t xml:space="preserve"> </w:t>
      </w:r>
      <w:r w:rsidR="00363E69" w:rsidRPr="001D3D20">
        <w:rPr>
          <w:color w:val="000000"/>
          <w:shd w:val="clear" w:color="auto" w:fill="FFFFFF"/>
          <w:lang w:val="en-US"/>
        </w:rPr>
        <w:t>2000</w:t>
      </w:r>
      <w:r w:rsidR="0065310E" w:rsidRPr="001D3D20">
        <w:rPr>
          <w:color w:val="000000"/>
          <w:shd w:val="clear" w:color="auto" w:fill="FFFFFF"/>
          <w:lang w:val="en-US"/>
        </w:rPr>
        <w:t xml:space="preserve"> through 201</w:t>
      </w:r>
      <w:r w:rsidR="00363E69" w:rsidRPr="001D3D20">
        <w:rPr>
          <w:color w:val="000000"/>
          <w:shd w:val="clear" w:color="auto" w:fill="FFFFFF"/>
          <w:lang w:val="en-US"/>
        </w:rPr>
        <w:t>7</w:t>
      </w:r>
      <w:r w:rsidR="0065310E" w:rsidRPr="001D3D20">
        <w:rPr>
          <w:color w:val="000000"/>
          <w:shd w:val="clear" w:color="auto" w:fill="FFFFFF"/>
          <w:lang w:val="en-US"/>
        </w:rPr>
        <w:t>.</w:t>
      </w:r>
      <w:r w:rsidR="006A5B25" w:rsidRPr="001D3D20">
        <w:rPr>
          <w:color w:val="000000"/>
          <w:shd w:val="clear" w:color="auto" w:fill="FFFFFF"/>
          <w:lang w:val="en-US"/>
        </w:rPr>
        <w:t xml:space="preserve"> Patients with inconsistent</w:t>
      </w:r>
      <w:r w:rsidR="005B3CE9" w:rsidRPr="001D3D20">
        <w:rPr>
          <w:color w:val="000000"/>
          <w:shd w:val="clear" w:color="auto" w:fill="FFFFFF"/>
          <w:lang w:val="en-US"/>
        </w:rPr>
        <w:t xml:space="preserve"> identification data as well as patients who immigrated within one year prior to</w:t>
      </w:r>
      <w:r w:rsidR="0053706E" w:rsidRPr="001D3D20">
        <w:rPr>
          <w:color w:val="000000"/>
          <w:shd w:val="clear" w:color="auto" w:fill="FFFFFF"/>
          <w:lang w:val="en-US"/>
        </w:rPr>
        <w:t xml:space="preserve"> atrial fibrillation diagnosis</w:t>
      </w:r>
      <w:r w:rsidR="00072FB8" w:rsidRPr="001D3D20">
        <w:rPr>
          <w:color w:val="000000"/>
          <w:shd w:val="clear" w:color="auto" w:fill="FFFFFF"/>
          <w:lang w:val="en-US"/>
        </w:rPr>
        <w:t xml:space="preserve">, or </w:t>
      </w:r>
      <w:r w:rsidR="0053706E" w:rsidRPr="001D3D20">
        <w:rPr>
          <w:color w:val="000000"/>
          <w:shd w:val="clear" w:color="auto" w:fill="FFFFFF"/>
          <w:lang w:val="en-US"/>
        </w:rPr>
        <w:t xml:space="preserve">who had a history of cancer </w:t>
      </w:r>
      <w:r w:rsidR="005B3CE9" w:rsidRPr="001D3D20">
        <w:rPr>
          <w:color w:val="000000"/>
          <w:shd w:val="clear" w:color="auto" w:fill="FFFFFF"/>
          <w:lang w:val="en-US"/>
        </w:rPr>
        <w:t>were excluded</w:t>
      </w:r>
      <w:r w:rsidR="00F174FE" w:rsidRPr="001D3D20">
        <w:rPr>
          <w:color w:val="000000"/>
          <w:shd w:val="clear" w:color="auto" w:fill="FFFFFF"/>
          <w:lang w:val="en-US"/>
        </w:rPr>
        <w:t xml:space="preserve">, see </w:t>
      </w:r>
      <w:r w:rsidR="00F174FE" w:rsidRPr="001D3D20">
        <w:rPr>
          <w:b/>
          <w:bCs/>
          <w:color w:val="000000"/>
          <w:shd w:val="clear" w:color="auto" w:fill="FFFFFF"/>
          <w:lang w:val="en-US"/>
        </w:rPr>
        <w:t>Figure 1</w:t>
      </w:r>
      <w:r w:rsidR="00F174FE" w:rsidRPr="001D3D20">
        <w:rPr>
          <w:color w:val="000000"/>
          <w:shd w:val="clear" w:color="auto" w:fill="FFFFFF"/>
          <w:lang w:val="en-US"/>
        </w:rPr>
        <w:t xml:space="preserve"> for details</w:t>
      </w:r>
      <w:r w:rsidR="00072FB8" w:rsidRPr="001D3D20">
        <w:rPr>
          <w:color w:val="000000"/>
          <w:shd w:val="clear" w:color="auto" w:fill="FFFFFF"/>
          <w:lang w:val="en-US"/>
        </w:rPr>
        <w:t xml:space="preserve">. </w:t>
      </w:r>
    </w:p>
    <w:p w14:paraId="4D93E9E4" w14:textId="77777777" w:rsidR="000A43B6" w:rsidRPr="001D3D20" w:rsidRDefault="000A43B6" w:rsidP="006842EF">
      <w:pPr>
        <w:spacing w:line="360" w:lineRule="auto"/>
        <w:rPr>
          <w:color w:val="000000"/>
          <w:shd w:val="clear" w:color="auto" w:fill="FFFFFF"/>
          <w:lang w:val="en-US"/>
        </w:rPr>
      </w:pPr>
    </w:p>
    <w:p w14:paraId="3E809EE1" w14:textId="77777777" w:rsidR="001F769B" w:rsidRPr="001D3D20" w:rsidRDefault="001F769B" w:rsidP="006842EF">
      <w:pPr>
        <w:spacing w:line="360" w:lineRule="auto"/>
        <w:rPr>
          <w:i/>
          <w:color w:val="000000"/>
          <w:shd w:val="clear" w:color="auto" w:fill="FFFFFF"/>
          <w:lang w:val="en-US"/>
        </w:rPr>
      </w:pPr>
      <w:r w:rsidRPr="001D3D20">
        <w:rPr>
          <w:i/>
          <w:color w:val="000000"/>
          <w:shd w:val="clear" w:color="auto" w:fill="FFFFFF"/>
          <w:lang w:val="en-US"/>
        </w:rPr>
        <w:t>Exposure</w:t>
      </w:r>
    </w:p>
    <w:p w14:paraId="675BE96A" w14:textId="68DDE9BD" w:rsidR="00D057FF" w:rsidRPr="001D3D20" w:rsidRDefault="00DC253C" w:rsidP="006842EF">
      <w:pPr>
        <w:spacing w:line="360" w:lineRule="auto"/>
        <w:rPr>
          <w:color w:val="000000"/>
          <w:shd w:val="clear" w:color="auto" w:fill="FFFFFF"/>
          <w:lang w:val="en-US"/>
        </w:rPr>
      </w:pPr>
      <w:r w:rsidRPr="001D3D20">
        <w:rPr>
          <w:color w:val="000000"/>
          <w:shd w:val="clear" w:color="auto" w:fill="FFFFFF"/>
          <w:lang w:val="en-US"/>
        </w:rPr>
        <w:t>The exposure was</w:t>
      </w:r>
      <w:r w:rsidR="00E92991" w:rsidRPr="001D3D20">
        <w:rPr>
          <w:color w:val="000000"/>
          <w:shd w:val="clear" w:color="auto" w:fill="FFFFFF"/>
          <w:lang w:val="en-US"/>
        </w:rPr>
        <w:t xml:space="preserve"> </w:t>
      </w:r>
      <w:r w:rsidR="001C4A9B" w:rsidRPr="001D3D20">
        <w:rPr>
          <w:color w:val="000000"/>
          <w:shd w:val="clear" w:color="auto" w:fill="FFFFFF"/>
          <w:lang w:val="en-US"/>
        </w:rPr>
        <w:t>a</w:t>
      </w:r>
      <w:r w:rsidR="005B3CE9" w:rsidRPr="001D3D20">
        <w:rPr>
          <w:color w:val="000000"/>
          <w:shd w:val="clear" w:color="auto" w:fill="FFFFFF"/>
          <w:lang w:val="en-US"/>
        </w:rPr>
        <w:t xml:space="preserve"> history </w:t>
      </w:r>
      <w:r w:rsidR="00B25457" w:rsidRPr="001D3D20">
        <w:rPr>
          <w:color w:val="000000"/>
          <w:shd w:val="clear" w:color="auto" w:fill="FFFFFF"/>
          <w:lang w:val="en-US"/>
        </w:rPr>
        <w:t xml:space="preserve">of </w:t>
      </w:r>
      <w:r w:rsidR="002130AF" w:rsidRPr="001D3D20">
        <w:rPr>
          <w:color w:val="000000"/>
          <w:shd w:val="clear" w:color="auto" w:fill="FFFFFF"/>
          <w:lang w:val="en-US"/>
        </w:rPr>
        <w:t>VTE</w:t>
      </w:r>
      <w:r w:rsidR="00B25457" w:rsidRPr="001D3D20">
        <w:rPr>
          <w:color w:val="000000"/>
          <w:shd w:val="clear" w:color="auto" w:fill="FFFFFF"/>
          <w:lang w:val="en-US"/>
        </w:rPr>
        <w:t xml:space="preserve"> (deep vein thrombosis or pulmonary embolism) prior to the atrial fibrillation diagnosis. Specifically, previous </w:t>
      </w:r>
      <w:r w:rsidR="002130AF" w:rsidRPr="001D3D20">
        <w:rPr>
          <w:color w:val="000000"/>
          <w:shd w:val="clear" w:color="auto" w:fill="FFFFFF"/>
          <w:lang w:val="en-US"/>
        </w:rPr>
        <w:t>VTE</w:t>
      </w:r>
      <w:r w:rsidR="00B25457" w:rsidRPr="001D3D20">
        <w:rPr>
          <w:color w:val="000000"/>
          <w:shd w:val="clear" w:color="auto" w:fill="FFFFFF"/>
          <w:lang w:val="en-US"/>
        </w:rPr>
        <w:t xml:space="preserve"> was defined as an in- or outpatient diagnosis</w:t>
      </w:r>
      <w:r w:rsidR="00AE3833" w:rsidRPr="001D3D20">
        <w:rPr>
          <w:color w:val="000000"/>
          <w:shd w:val="clear" w:color="auto" w:fill="FFFFFF"/>
          <w:lang w:val="en-US"/>
        </w:rPr>
        <w:t xml:space="preserve"> (primary or secondary)</w:t>
      </w:r>
      <w:r w:rsidR="00477A67" w:rsidRPr="001D3D20">
        <w:rPr>
          <w:color w:val="000000"/>
          <w:shd w:val="clear" w:color="auto" w:fill="FFFFFF"/>
          <w:lang w:val="en-US"/>
        </w:rPr>
        <w:t xml:space="preserve"> given</w:t>
      </w:r>
      <w:r w:rsidR="00B25457" w:rsidRPr="001D3D20">
        <w:rPr>
          <w:color w:val="000000"/>
          <w:shd w:val="clear" w:color="auto" w:fill="FFFFFF"/>
          <w:lang w:val="en-US"/>
        </w:rPr>
        <w:t xml:space="preserve"> </w:t>
      </w:r>
      <w:r w:rsidR="00D70437" w:rsidRPr="001D3D20">
        <w:rPr>
          <w:color w:val="000000"/>
          <w:shd w:val="clear" w:color="auto" w:fill="FFFFFF"/>
          <w:lang w:val="en-US"/>
        </w:rPr>
        <w:t xml:space="preserve">in combination with an imaging procedure </w:t>
      </w:r>
      <w:r w:rsidR="006928FF" w:rsidRPr="001D3D20">
        <w:rPr>
          <w:color w:val="000000"/>
          <w:shd w:val="clear" w:color="auto" w:fill="FFFFFF"/>
          <w:lang w:val="en-US"/>
        </w:rPr>
        <w:t>(</w:t>
      </w:r>
      <w:r w:rsidR="00D70437" w:rsidRPr="001D3D20">
        <w:rPr>
          <w:color w:val="000000"/>
          <w:shd w:val="clear" w:color="auto" w:fill="FFFFFF"/>
          <w:lang w:val="en-US"/>
        </w:rPr>
        <w:t>ultrasound or computed tomography scan</w:t>
      </w:r>
      <w:r w:rsidR="006928FF" w:rsidRPr="001D3D20">
        <w:rPr>
          <w:color w:val="000000"/>
          <w:shd w:val="clear" w:color="auto" w:fill="FFFFFF"/>
          <w:lang w:val="en-US"/>
        </w:rPr>
        <w:t>)</w:t>
      </w:r>
      <w:r w:rsidR="00B25457" w:rsidRPr="001D3D20">
        <w:rPr>
          <w:color w:val="000000"/>
          <w:shd w:val="clear" w:color="auto" w:fill="FFFFFF"/>
          <w:lang w:val="en-US"/>
        </w:rPr>
        <w:t xml:space="preserve">. This ensures a positive predictive value of the </w:t>
      </w:r>
      <w:r w:rsidR="002130AF" w:rsidRPr="001D3D20">
        <w:rPr>
          <w:color w:val="000000"/>
          <w:shd w:val="clear" w:color="auto" w:fill="FFFFFF"/>
          <w:lang w:val="en-US"/>
        </w:rPr>
        <w:t>VTE</w:t>
      </w:r>
      <w:r w:rsidR="00B25457" w:rsidRPr="001D3D20">
        <w:rPr>
          <w:color w:val="000000"/>
          <w:shd w:val="clear" w:color="auto" w:fill="FFFFFF"/>
          <w:lang w:val="en-US"/>
        </w:rPr>
        <w:t xml:space="preserve"> diagnosis of </w:t>
      </w:r>
      <w:r w:rsidR="001514A1" w:rsidRPr="001D3D20">
        <w:rPr>
          <w:color w:val="000000"/>
          <w:shd w:val="clear" w:color="auto" w:fill="FFFFFF"/>
          <w:lang w:val="en-US"/>
        </w:rPr>
        <w:t>9</w:t>
      </w:r>
      <w:r w:rsidR="00D70437" w:rsidRPr="001D3D20">
        <w:rPr>
          <w:color w:val="000000"/>
          <w:shd w:val="clear" w:color="auto" w:fill="FFFFFF"/>
          <w:lang w:val="en-US"/>
        </w:rPr>
        <w:t>1</w:t>
      </w:r>
      <w:r w:rsidR="001514A1" w:rsidRPr="001D3D20">
        <w:rPr>
          <w:color w:val="000000"/>
          <w:shd w:val="clear" w:color="auto" w:fill="FFFFFF"/>
          <w:lang w:val="en-US"/>
        </w:rPr>
        <w:t>%.</w:t>
      </w:r>
      <w:r w:rsidR="00D70437"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{"citationItems":[{"id":"ITEM-1","itemData":{"DOI":"10.1136/bmjopen-2016-012832","abstract":"Objective: The majority of cardiovascular diagnoses in the Danish National Patient Registry (DNPR) remain to be validated despite extensive use in epidemiological research. We therefore examined the positive predictive value (PPV) of cardiovascular diagnoses in the DNPR. Design: Population-based validation study. Setting: 1 university hospital and 2 regional hospitals in the Central Denmark Region, 2010–2012. Participants: For each cardiovascular diagnosis, up to 100 patients from participating hospitals were randomly sampled during the study period using the DNPR. Main outcome measure: Using medical record review as the reference standard, we examined the PPV for cardiovascular diagnoses in the DNPR, coded according to the International Classification of Diseases, 10th Revision. Results: A total of 2153 medical records (97% of the total sample) were available for review. The PPVs ranged from 64% to 100%, with a mean PPV of 88%. The PPVs were ≥90% for first-time myocardial infarction, stent thrombosis, stable angina pectoris, hypertrophic cardiomyopathy, arrhythmogenic right ventricular cardiomyopathy, takotsubo cardiomyopathy, arterial hypertension, atrial fibrillation or flutter, cardiac arrest, mitral valve regurgitation or stenosis, aortic valve regurgitation or stenosis, pericarditis, hypercholesterolaemia, aortic dissection, aortic aneurysm/dilation and arterial claudication. The PPVs were between 80% and 90% for recurrent myocardial infarction, first-time unstable angina pectoris, pulmonary hypertension, bradycardia, ventricular tachycardia/fibrillation, endocarditis, cardiac tumours, first-time venous thromboembolism and between 70% and 80% for first-time and recurrent admission due to heart failure, first-time dilated cardiomyopathy, restrictive cardiomyopathy and recurrent venous thromboembolism. The PPV for first-time myocarditis was 64%. The PPVs were consistent within age, sex, calendar year and hospital categories. Conclusions: The validity of cardiovascular diagnoses","author":[{"dropping-particle":"","family":"Sundbøll","given":"Jens","non-dropping-particle":"","parse-names":false,"suffix":""},{"dropping-particle":"","family":"Adelborg","given":"Kasper","non-dropping-particle":"","parse-names":false,"suffix":""},{"dropping-particle":"","family":"Munch","given":"Troels","non-dropping-particle":"","parse-names":false,"suffix":""},{"dropping-particle":"","family":"Frøslev","given":"Trine","non-dropping-particle":"","parse-names":false,"suffix":""},{"dropping-particle":"","family":"Toft Sørensen","given":"Henrik","non-dropping-particle":"","parse-names":false,"suffix":""},{"dropping-particle":"","family":"Erik Bøtker","given":"Hans","non-dropping-particle":"","parse-names":false,"suffix":""},{"dropping-particle":"","family":"Schmidt","given":"Morten","non-dropping-particle":"","parse-names":false,"suffix":""}],"container-title":"BMJ Open","id":"ITEM-1","issued":{"date-parts":[["2016"]]},"title":"Positive predictive value of cardiovascular diagnoses in the Danish National Patient Registry: a validation study","type":"article-journal","volume":"6"},"uris":["http://www.mendeley.com/documents/?uuid=1ff83ec1-5cf9-3c29-b15f-ffeca7ef7ebd"]}],"mendeley":{"formattedCitation":"&lt;sup&gt;18&lt;/sup&gt;","plainTextFormattedCitation":"18","previouslyFormattedCitation":"&lt;sup&gt;18&lt;/sup&gt;"},"properties":{"noteIndex":0},"schema":"https://github.com/citation-style-language/schema/raw/master/csl-citation.json"}</w:instrText>
      </w:r>
      <w:r w:rsidR="00D70437"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18</w:t>
      </w:r>
      <w:r w:rsidR="00D70437" w:rsidRPr="001D3D20">
        <w:rPr>
          <w:color w:val="000000"/>
          <w:shd w:val="clear" w:color="auto" w:fill="FFFFFF"/>
          <w:lang w:val="en-US"/>
        </w:rPr>
        <w:fldChar w:fldCharType="end"/>
      </w:r>
      <w:r w:rsidR="004B128B" w:rsidRPr="001D3D20">
        <w:rPr>
          <w:color w:val="000000"/>
          <w:shd w:val="clear" w:color="auto" w:fill="FFFFFF"/>
          <w:lang w:val="en-US"/>
        </w:rPr>
        <w:t xml:space="preserve"> </w:t>
      </w:r>
      <w:r w:rsidR="00477A67" w:rsidRPr="001D3D20">
        <w:rPr>
          <w:color w:val="000000"/>
          <w:shd w:val="clear" w:color="auto" w:fill="FFFFFF"/>
          <w:lang w:val="en-US"/>
        </w:rPr>
        <w:t xml:space="preserve">Furthermore, patients </w:t>
      </w:r>
      <w:r w:rsidR="00C632F2" w:rsidRPr="001D3D20">
        <w:rPr>
          <w:color w:val="000000"/>
          <w:shd w:val="clear" w:color="auto" w:fill="FFFFFF"/>
          <w:lang w:val="en-US"/>
        </w:rPr>
        <w:t xml:space="preserve">with previous VTE </w:t>
      </w:r>
      <w:r w:rsidR="00477A67" w:rsidRPr="001D3D20">
        <w:rPr>
          <w:color w:val="000000"/>
          <w:shd w:val="clear" w:color="auto" w:fill="FFFFFF"/>
          <w:lang w:val="en-US"/>
        </w:rPr>
        <w:t xml:space="preserve">were </w:t>
      </w:r>
      <w:r w:rsidR="004B128B" w:rsidRPr="001D3D20">
        <w:rPr>
          <w:color w:val="000000"/>
          <w:shd w:val="clear" w:color="auto" w:fill="FFFFFF"/>
          <w:lang w:val="en-US"/>
        </w:rPr>
        <w:t xml:space="preserve">subcategorized </w:t>
      </w:r>
      <w:r w:rsidR="00EB46A3" w:rsidRPr="001D3D20">
        <w:rPr>
          <w:color w:val="000000"/>
          <w:shd w:val="clear" w:color="auto" w:fill="FFFFFF"/>
          <w:lang w:val="en-US"/>
        </w:rPr>
        <w:t>into deep vein thrombosis and pulmonary embolism. In case of a history of both su</w:t>
      </w:r>
      <w:r w:rsidR="00C632F2" w:rsidRPr="001D3D20">
        <w:rPr>
          <w:color w:val="000000"/>
          <w:shd w:val="clear" w:color="auto" w:fill="FFFFFF"/>
          <w:lang w:val="en-US"/>
        </w:rPr>
        <w:t>ch</w:t>
      </w:r>
      <w:r w:rsidR="00EB46A3" w:rsidRPr="001D3D20">
        <w:rPr>
          <w:color w:val="000000"/>
          <w:shd w:val="clear" w:color="auto" w:fill="FFFFFF"/>
          <w:lang w:val="en-US"/>
        </w:rPr>
        <w:t xml:space="preserve"> diagnoses, the patient was categorized as having pulmonary embolism.</w:t>
      </w:r>
      <w:r w:rsidR="005E0685" w:rsidRPr="001D3D20">
        <w:rPr>
          <w:color w:val="000000"/>
          <w:shd w:val="clear" w:color="auto" w:fill="FFFFFF"/>
          <w:lang w:val="en-US"/>
        </w:rPr>
        <w:t xml:space="preserve"> Also, </w:t>
      </w:r>
      <w:r w:rsidR="00477A67" w:rsidRPr="001D3D20">
        <w:rPr>
          <w:color w:val="000000"/>
          <w:shd w:val="clear" w:color="auto" w:fill="FFFFFF"/>
          <w:lang w:val="en-US"/>
        </w:rPr>
        <w:t>VTE was</w:t>
      </w:r>
      <w:r w:rsidR="005E0685" w:rsidRPr="001D3D20">
        <w:rPr>
          <w:color w:val="000000"/>
          <w:shd w:val="clear" w:color="auto" w:fill="FFFFFF"/>
          <w:lang w:val="en-US"/>
        </w:rPr>
        <w:t xml:space="preserve"> subdivided as provoked and unprovoked </w:t>
      </w:r>
      <w:r w:rsidR="00B25457" w:rsidRPr="001D3D20">
        <w:rPr>
          <w:color w:val="000000"/>
          <w:shd w:val="clear" w:color="auto" w:fill="FFFFFF"/>
          <w:lang w:val="en-US"/>
        </w:rPr>
        <w:t>as previously defined</w:t>
      </w:r>
      <w:r w:rsidR="0024102D" w:rsidRPr="001D3D20">
        <w:rPr>
          <w:color w:val="000000"/>
          <w:shd w:val="clear" w:color="auto" w:fill="FFFFFF"/>
          <w:lang w:val="en-US"/>
        </w:rPr>
        <w:t xml:space="preserve"> according to the medical history preceding the most recent VTE</w:t>
      </w:r>
      <w:r w:rsidR="00B25457" w:rsidRPr="001D3D20">
        <w:rPr>
          <w:color w:val="000000"/>
          <w:shd w:val="clear" w:color="auto" w:fill="FFFFFF"/>
          <w:lang w:val="en-US"/>
        </w:rPr>
        <w:t>.</w:t>
      </w:r>
      <w:r w:rsidR="007248EB"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{"citationItems":[{"id":"ITEM-1","itemData":{"DOI":"10.1016/j.amjmed.2018.04.042","ISSN":"15557162","abstract":"Purpose: In this study, we aimed to estimate recurrence risk after incident venous thromboembolism, stratified according to unprovoked, provoked, and cancer-related venous thromboembolism in a prospective cohort of inpatients and outpatients receiving routine care. Methods: We linked nationwide Danish health registries to identify all patients with incident venous thromboembolism from January 2000 through December 2015. Rates of recurrence were calculated and Cox regression was used to compute hazard ratios (HRs) with 95% confidence intervals (CIs) by incident venous thromboembolism type after adjusting for coexisting risk factors. Results: The study included 73,993 patients with incident venous thromboembolism (54.1% females; mean age, 62.3 years). At 6-month follow-up, rates per 100 person-years were 6.80, 6.92, and 9.06 for provoked, unprovoked, and cancer-related venous thromboembolism, respectively. At 10-year follow-up, corresponding rates were 2.22, 2.84, and 3.70, respectively. Additionally, at 6-month follow-up, hazard rates of recurrence were comparable for patients with unprovoked venous thromboembolism 1.01 (95% CI, 0.92-1.11) and provoked. At 10-year follow-up, unprovoked venous thromboembolism (HR, 1.17; 95% CI, 1.12-1.23) and cancer-related venous thromboembolism (HR, 1.21; 95% CI, 1.12-1.32) were associated with higher risk of recurrence compared with that found in provoked venous thromboembolism. Conclusions: In this nationwide cohort, patients with cancer-related venous thromboembolism had the highest risk of recurrence. At 6-month follow-up, there were similar risks of recurrence for patients with unprovoked and provoked venous thromboembolism. At 10-year follow-up, recurrence risks were similar for patients with unprovoked venous thromboembolism and patients with cancer-related venous thromboembolism. High recurrence risks in all categories indicate that further research is needed to optimize duration of extended anticoagulation for these patients.","author":[{"dropping-particle":"","family":"Albertsen","given":"Ida Ehlers","non-dropping-particle":"","parse-names":false,"suffix":""},{"dropping-particle":"","family":"Nielsen","given":"Peter Brønnum","non-dropping-particle":"","parse-names":false,"suffix":""},{"dropping-particle":"","family":"Søgaard","given":"Mette","non-dropping-particle":"","parse-names":false,"suffix":""},{"dropping-particle":"","family":"Goldhaber","given":"Samuel Zachary","non-dropping-particle":"","parse-names":false,"suffix":""},{"dropping-particle":"","family":"Overvad","given":"Thure Filskov","non-dropping-particle":"","parse-names":false,"suffix":""},{"dropping-particle":"","family":"Rasmussen","given":"Lars Hvilsted","non-dropping-particle":"","parse-names":false,"suffix":""},{"dropping-particle":"","family":"Larsen","given":"Torben Bjerregaard","non-dropping-particle":"","parse-names":false,"suffix":""}],"container-title":"American Journal of Medicine","id":"ITEM-1","issue":"9","issued":{"date-parts":[["2018"]]},"page":"1067-1074","title":"Risk of recurrent venous thromboembolism: a Danish nationwide cohort study","type":"article-journal","volume":"131"},"uris":["http://www.mendeley.com/documents/?uuid=23622f7d-5a89-49cb-8a8f-9795e4294902"]}],"mendeley":{"formattedCitation":"&lt;sup&gt;19&lt;/sup&gt;","plainTextFormattedCitation":"19","previouslyFormattedCitation":"&lt;sup&gt;19&lt;/sup&gt;"},"properties":{"noteIndex":0},"schema":"https://github.com/citation-style-language/schema/raw/master/csl-citation.json"}</w:instrText>
      </w:r>
      <w:r w:rsidR="007248EB"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19</w:t>
      </w:r>
      <w:r w:rsidR="007248EB" w:rsidRPr="001D3D20">
        <w:rPr>
          <w:color w:val="000000"/>
          <w:shd w:val="clear" w:color="auto" w:fill="FFFFFF"/>
          <w:lang w:val="en-US"/>
        </w:rPr>
        <w:fldChar w:fldCharType="end"/>
      </w:r>
    </w:p>
    <w:p w14:paraId="4C1672E1" w14:textId="77777777" w:rsidR="00DC253C" w:rsidRPr="001D3D20" w:rsidRDefault="00DC253C" w:rsidP="006842EF">
      <w:pPr>
        <w:spacing w:line="360" w:lineRule="auto"/>
        <w:rPr>
          <w:color w:val="000000"/>
          <w:shd w:val="clear" w:color="auto" w:fill="FFFFFF"/>
          <w:lang w:val="en-US"/>
        </w:rPr>
      </w:pPr>
    </w:p>
    <w:p w14:paraId="144206BF" w14:textId="77777777" w:rsidR="00F8413C" w:rsidRPr="001D3D20" w:rsidRDefault="00F8413C" w:rsidP="006842EF">
      <w:pPr>
        <w:spacing w:line="360" w:lineRule="auto"/>
        <w:rPr>
          <w:i/>
          <w:color w:val="000000"/>
          <w:shd w:val="clear" w:color="auto" w:fill="FFFFFF"/>
          <w:lang w:val="en-US"/>
        </w:rPr>
      </w:pPr>
      <w:r w:rsidRPr="001D3D20">
        <w:rPr>
          <w:i/>
          <w:color w:val="000000"/>
          <w:shd w:val="clear" w:color="auto" w:fill="FFFFFF"/>
          <w:lang w:val="en-US"/>
        </w:rPr>
        <w:t>Covariates</w:t>
      </w:r>
    </w:p>
    <w:p w14:paraId="44097B2B" w14:textId="0F0F7C1C" w:rsidR="001F769B" w:rsidRPr="001D3D20" w:rsidRDefault="00F8413C" w:rsidP="006842EF">
      <w:pPr>
        <w:spacing w:line="360" w:lineRule="auto"/>
        <w:rPr>
          <w:color w:val="000000"/>
          <w:shd w:val="clear" w:color="auto" w:fill="FFFFFF"/>
          <w:lang w:val="en-US"/>
        </w:rPr>
      </w:pPr>
      <w:r w:rsidRPr="001D3D20">
        <w:rPr>
          <w:rFonts w:ascii="Calibri" w:hAnsi="Calibri" w:cs="Calibri"/>
          <w:color w:val="000000"/>
          <w:shd w:val="clear" w:color="auto" w:fill="FFFFFF"/>
          <w:lang w:val="en-US"/>
        </w:rPr>
        <w:t>﻿</w:t>
      </w:r>
      <w:r w:rsidR="00F31FD8" w:rsidRPr="001D3D20">
        <w:rPr>
          <w:color w:val="000000"/>
          <w:shd w:val="clear" w:color="auto" w:fill="FFFFFF"/>
          <w:lang w:val="en-US"/>
        </w:rPr>
        <w:t>The CHA</w:t>
      </w:r>
      <w:r w:rsidR="00F31FD8" w:rsidRPr="001D3D20">
        <w:rPr>
          <w:color w:val="000000"/>
          <w:shd w:val="clear" w:color="auto" w:fill="FFFFFF"/>
          <w:vertAlign w:val="subscript"/>
          <w:lang w:val="en-US"/>
        </w:rPr>
        <w:t>2</w:t>
      </w:r>
      <w:r w:rsidR="00F31FD8" w:rsidRPr="001D3D20">
        <w:rPr>
          <w:color w:val="000000"/>
          <w:shd w:val="clear" w:color="auto" w:fill="FFFFFF"/>
          <w:lang w:val="en-US"/>
        </w:rPr>
        <w:t>DS</w:t>
      </w:r>
      <w:r w:rsidR="00F31FD8" w:rsidRPr="001D3D20">
        <w:rPr>
          <w:color w:val="000000"/>
          <w:shd w:val="clear" w:color="auto" w:fill="FFFFFF"/>
          <w:vertAlign w:val="subscript"/>
          <w:lang w:val="en-US"/>
        </w:rPr>
        <w:t>2</w:t>
      </w:r>
      <w:r w:rsidR="00F31FD8" w:rsidRPr="001D3D20">
        <w:rPr>
          <w:color w:val="000000"/>
          <w:shd w:val="clear" w:color="auto" w:fill="FFFFFF"/>
          <w:lang w:val="en-US"/>
        </w:rPr>
        <w:t>-VASc is the preferred stroke risk stratification tool in international guidelines,</w:t>
      </w:r>
      <w:r w:rsidR="00FE761F" w:rsidRPr="001D3D20">
        <w:rPr>
          <w:color w:val="000000"/>
          <w:shd w:val="clear" w:color="auto" w:fill="FFFFFF"/>
          <w:lang w:val="en-US"/>
        </w:rPr>
        <w:t xml:space="preserve"> and components from the score were included as covariates.</w:t>
      </w:r>
      <w:r w:rsidR="00F31FD8" w:rsidRPr="001D3D20">
        <w:rPr>
          <w:color w:val="000000"/>
          <w:shd w:val="clear" w:color="auto" w:fill="FFFFFF"/>
          <w:lang w:val="en-US"/>
        </w:rPr>
        <w:t xml:space="preserve"> </w:t>
      </w:r>
      <w:r w:rsidR="00FE761F" w:rsidRPr="001D3D20">
        <w:rPr>
          <w:color w:val="000000"/>
          <w:shd w:val="clear" w:color="auto" w:fill="FFFFFF"/>
          <w:lang w:val="en-US"/>
        </w:rPr>
        <w:t>This</w:t>
      </w:r>
      <w:r w:rsidR="00F31FD8" w:rsidRPr="001D3D20">
        <w:rPr>
          <w:color w:val="000000"/>
          <w:shd w:val="clear" w:color="auto" w:fill="FFFFFF"/>
          <w:lang w:val="en-US"/>
        </w:rPr>
        <w:t xml:space="preserve"> includes information about </w:t>
      </w:r>
      <w:r w:rsidR="00F31FD8" w:rsidRPr="001D3D20">
        <w:rPr>
          <w:color w:val="000000"/>
          <w:u w:val="single"/>
          <w:shd w:val="clear" w:color="auto" w:fill="FFFFFF"/>
          <w:lang w:val="en-US"/>
        </w:rPr>
        <w:t>C</w:t>
      </w:r>
      <w:r w:rsidR="00F31FD8" w:rsidRPr="001D3D20">
        <w:rPr>
          <w:color w:val="000000"/>
          <w:shd w:val="clear" w:color="auto" w:fill="FFFFFF"/>
          <w:lang w:val="en-US"/>
        </w:rPr>
        <w:t xml:space="preserve">ongestive heart failure, </w:t>
      </w:r>
      <w:r w:rsidR="00F31FD8" w:rsidRPr="001D3D20">
        <w:rPr>
          <w:color w:val="000000"/>
          <w:u w:val="single"/>
          <w:shd w:val="clear" w:color="auto" w:fill="FFFFFF"/>
          <w:lang w:val="en-US"/>
        </w:rPr>
        <w:t>H</w:t>
      </w:r>
      <w:r w:rsidR="00F31FD8" w:rsidRPr="001D3D20">
        <w:rPr>
          <w:color w:val="000000"/>
          <w:shd w:val="clear" w:color="auto" w:fill="FFFFFF"/>
          <w:lang w:val="en-US"/>
        </w:rPr>
        <w:t xml:space="preserve">ypertension, </w:t>
      </w:r>
      <w:r w:rsidR="00F31FD8" w:rsidRPr="001D3D20">
        <w:rPr>
          <w:color w:val="000000"/>
          <w:u w:val="single"/>
          <w:shd w:val="clear" w:color="auto" w:fill="FFFFFF"/>
          <w:lang w:val="en-US"/>
        </w:rPr>
        <w:t>A</w:t>
      </w:r>
      <w:r w:rsidR="00F31FD8" w:rsidRPr="001D3D20">
        <w:rPr>
          <w:color w:val="000000"/>
          <w:shd w:val="clear" w:color="auto" w:fill="FFFFFF"/>
          <w:lang w:val="en-US"/>
        </w:rPr>
        <w:t xml:space="preserve">ge </w:t>
      </w:r>
      <w:r w:rsidR="00F31FD8" w:rsidRPr="001D3D20">
        <w:rPr>
          <w:color w:val="000000"/>
          <w:shd w:val="clear" w:color="auto" w:fill="FFFFFF"/>
          <w:lang w:val="en-US"/>
        </w:rPr>
        <w:sym w:font="Symbol" w:char="F0B3"/>
      </w:r>
      <w:r w:rsidR="00F31FD8" w:rsidRPr="001D3D20">
        <w:rPr>
          <w:color w:val="000000"/>
          <w:shd w:val="clear" w:color="auto" w:fill="FFFFFF"/>
          <w:lang w:val="en-US"/>
        </w:rPr>
        <w:t>75 years [doubled]</w:t>
      </w:r>
      <w:r w:rsidR="00491197" w:rsidRPr="001D3D20">
        <w:rPr>
          <w:color w:val="000000"/>
          <w:shd w:val="clear" w:color="auto" w:fill="FFFFFF"/>
          <w:lang w:val="en-US"/>
        </w:rPr>
        <w:t xml:space="preserve">, </w:t>
      </w:r>
      <w:r w:rsidR="00491197" w:rsidRPr="001D3D20">
        <w:rPr>
          <w:color w:val="000000"/>
          <w:u w:val="single"/>
          <w:shd w:val="clear" w:color="auto" w:fill="FFFFFF"/>
          <w:lang w:val="en-US"/>
        </w:rPr>
        <w:t>D</w:t>
      </w:r>
      <w:r w:rsidR="00491197" w:rsidRPr="001D3D20">
        <w:rPr>
          <w:color w:val="000000"/>
          <w:shd w:val="clear" w:color="auto" w:fill="FFFFFF"/>
          <w:lang w:val="en-US"/>
        </w:rPr>
        <w:t xml:space="preserve">iabetes mellitus, previous </w:t>
      </w:r>
      <w:r w:rsidR="00491197" w:rsidRPr="001D3D20">
        <w:rPr>
          <w:color w:val="000000"/>
          <w:u w:val="single"/>
          <w:shd w:val="clear" w:color="auto" w:fill="FFFFFF"/>
          <w:lang w:val="en-US"/>
        </w:rPr>
        <w:t>S</w:t>
      </w:r>
      <w:r w:rsidR="00491197" w:rsidRPr="001D3D20">
        <w:rPr>
          <w:color w:val="000000"/>
          <w:shd w:val="clear" w:color="auto" w:fill="FFFFFF"/>
          <w:lang w:val="en-US"/>
        </w:rPr>
        <w:t>troke</w:t>
      </w:r>
      <w:r w:rsidR="00692B4B" w:rsidRPr="001D3D20">
        <w:rPr>
          <w:color w:val="000000"/>
          <w:shd w:val="clear" w:color="auto" w:fill="FFFFFF"/>
          <w:lang w:val="en-US"/>
        </w:rPr>
        <w:t>,</w:t>
      </w:r>
      <w:r w:rsidR="00491197" w:rsidRPr="001D3D20">
        <w:rPr>
          <w:color w:val="000000"/>
          <w:shd w:val="clear" w:color="auto" w:fill="FFFFFF"/>
          <w:lang w:val="en-US"/>
        </w:rPr>
        <w:t xml:space="preserve"> systemic emboli</w:t>
      </w:r>
      <w:r w:rsidR="004A3C0F" w:rsidRPr="001D3D20">
        <w:rPr>
          <w:color w:val="000000"/>
          <w:shd w:val="clear" w:color="auto" w:fill="FFFFFF"/>
          <w:lang w:val="en-US"/>
        </w:rPr>
        <w:t>sm</w:t>
      </w:r>
      <w:r w:rsidR="00692B4B" w:rsidRPr="001D3D20">
        <w:rPr>
          <w:color w:val="000000"/>
          <w:shd w:val="clear" w:color="auto" w:fill="FFFFFF"/>
          <w:lang w:val="en-US"/>
        </w:rPr>
        <w:t>, or transient ischemic attack</w:t>
      </w:r>
      <w:r w:rsidR="00000AC4" w:rsidRPr="001D3D20">
        <w:rPr>
          <w:color w:val="000000"/>
          <w:shd w:val="clear" w:color="auto" w:fill="FFFFFF"/>
          <w:lang w:val="en-US"/>
        </w:rPr>
        <w:t xml:space="preserve"> [doubled]</w:t>
      </w:r>
      <w:r w:rsidR="00491197" w:rsidRPr="001D3D20">
        <w:rPr>
          <w:color w:val="000000"/>
          <w:shd w:val="clear" w:color="auto" w:fill="FFFFFF"/>
          <w:lang w:val="en-US"/>
        </w:rPr>
        <w:t>,</w:t>
      </w:r>
      <w:r w:rsidR="004A3C0F" w:rsidRPr="001D3D20">
        <w:rPr>
          <w:color w:val="000000"/>
          <w:shd w:val="clear" w:color="auto" w:fill="FFFFFF"/>
          <w:lang w:val="en-US"/>
        </w:rPr>
        <w:t xml:space="preserve"> </w:t>
      </w:r>
      <w:r w:rsidR="004A3C0F" w:rsidRPr="001D3D20">
        <w:rPr>
          <w:color w:val="000000"/>
          <w:u w:val="single"/>
          <w:shd w:val="clear" w:color="auto" w:fill="FFFFFF"/>
          <w:lang w:val="en-US"/>
        </w:rPr>
        <w:t>V</w:t>
      </w:r>
      <w:r w:rsidR="004A3C0F" w:rsidRPr="001D3D20">
        <w:rPr>
          <w:color w:val="000000"/>
          <w:shd w:val="clear" w:color="auto" w:fill="FFFFFF"/>
          <w:lang w:val="en-US"/>
        </w:rPr>
        <w:t xml:space="preserve">ascular disease [previous </w:t>
      </w:r>
      <w:r w:rsidR="004A3C0F" w:rsidRPr="001D3D20">
        <w:rPr>
          <w:color w:val="000000"/>
          <w:shd w:val="clear" w:color="auto" w:fill="FFFFFF"/>
          <w:lang w:val="en-US"/>
        </w:rPr>
        <w:lastRenderedPageBreak/>
        <w:t xml:space="preserve">myocardial infarction, peripheral artery disease, or aortic plaque], </w:t>
      </w:r>
      <w:r w:rsidR="004A3C0F" w:rsidRPr="001D3D20">
        <w:rPr>
          <w:color w:val="000000"/>
          <w:u w:val="single"/>
          <w:shd w:val="clear" w:color="auto" w:fill="FFFFFF"/>
          <w:lang w:val="en-US"/>
        </w:rPr>
        <w:t>A</w:t>
      </w:r>
      <w:r w:rsidR="004A3C0F" w:rsidRPr="001D3D20">
        <w:rPr>
          <w:color w:val="000000"/>
          <w:shd w:val="clear" w:color="auto" w:fill="FFFFFF"/>
          <w:lang w:val="en-US"/>
        </w:rPr>
        <w:t xml:space="preserve">ge 65-74 years, and </w:t>
      </w:r>
      <w:r w:rsidR="004A3C0F" w:rsidRPr="001D3D20">
        <w:rPr>
          <w:color w:val="000000"/>
          <w:u w:val="single"/>
          <w:shd w:val="clear" w:color="auto" w:fill="FFFFFF"/>
          <w:lang w:val="en-US"/>
        </w:rPr>
        <w:t>S</w:t>
      </w:r>
      <w:r w:rsidR="004A3C0F" w:rsidRPr="001D3D20">
        <w:rPr>
          <w:color w:val="000000"/>
          <w:shd w:val="clear" w:color="auto" w:fill="FFFFFF"/>
          <w:lang w:val="en-US"/>
        </w:rPr>
        <w:t xml:space="preserve">ex </w:t>
      </w:r>
      <w:r w:rsidR="004A3C0F" w:rsidRPr="001D3D20">
        <w:rPr>
          <w:color w:val="000000"/>
          <w:u w:val="single"/>
          <w:shd w:val="clear" w:color="auto" w:fill="FFFFFF"/>
          <w:lang w:val="en-US"/>
        </w:rPr>
        <w:t>c</w:t>
      </w:r>
      <w:r w:rsidR="004A3C0F" w:rsidRPr="001D3D20">
        <w:rPr>
          <w:color w:val="000000"/>
          <w:shd w:val="clear" w:color="auto" w:fill="FFFFFF"/>
          <w:lang w:val="en-US"/>
        </w:rPr>
        <w:t>ategory [female].</w:t>
      </w:r>
      <w:r w:rsidR="00AD7866" w:rsidRPr="001D3D20">
        <w:rPr>
          <w:color w:val="000000"/>
          <w:shd w:val="clear" w:color="auto" w:fill="FFFFFF"/>
          <w:lang w:val="en-US"/>
        </w:rPr>
        <w:t xml:space="preserve"> </w:t>
      </w:r>
      <w:r w:rsidR="00692B4B" w:rsidRPr="001D3D20">
        <w:rPr>
          <w:color w:val="000000"/>
          <w:shd w:val="clear" w:color="auto" w:fill="FFFFFF"/>
          <w:lang w:val="en-US"/>
        </w:rPr>
        <w:t xml:space="preserve">Components were </w:t>
      </w:r>
      <w:r w:rsidRPr="001D3D20">
        <w:rPr>
          <w:color w:val="000000"/>
          <w:shd w:val="clear" w:color="auto" w:fill="FFFFFF"/>
          <w:lang w:val="en-US"/>
        </w:rPr>
        <w:t>defined at the time of atrial fibrillation diagnosis using a combination of I</w:t>
      </w:r>
      <w:r w:rsidR="005D4CFF" w:rsidRPr="001D3D20">
        <w:rPr>
          <w:color w:val="000000"/>
          <w:shd w:val="clear" w:color="auto" w:fill="FFFFFF"/>
          <w:lang w:val="en-US"/>
        </w:rPr>
        <w:t xml:space="preserve">nternational </w:t>
      </w:r>
      <w:r w:rsidRPr="001D3D20">
        <w:rPr>
          <w:color w:val="000000"/>
          <w:shd w:val="clear" w:color="auto" w:fill="FFFFFF"/>
          <w:lang w:val="en-US"/>
        </w:rPr>
        <w:t>C</w:t>
      </w:r>
      <w:r w:rsidR="005D4CFF" w:rsidRPr="001D3D20">
        <w:rPr>
          <w:color w:val="000000"/>
          <w:shd w:val="clear" w:color="auto" w:fill="FFFFFF"/>
          <w:lang w:val="en-US"/>
        </w:rPr>
        <w:t xml:space="preserve">lassification of </w:t>
      </w:r>
      <w:r w:rsidRPr="001D3D20">
        <w:rPr>
          <w:color w:val="000000"/>
          <w:shd w:val="clear" w:color="auto" w:fill="FFFFFF"/>
          <w:lang w:val="en-US"/>
        </w:rPr>
        <w:t>D</w:t>
      </w:r>
      <w:r w:rsidR="005D4CFF" w:rsidRPr="001D3D20">
        <w:rPr>
          <w:color w:val="000000"/>
          <w:shd w:val="clear" w:color="auto" w:fill="FFFFFF"/>
          <w:lang w:val="en-US"/>
        </w:rPr>
        <w:t>isease (ICD)</w:t>
      </w:r>
      <w:r w:rsidRPr="001D3D20">
        <w:rPr>
          <w:color w:val="000000"/>
          <w:shd w:val="clear" w:color="auto" w:fill="FFFFFF"/>
          <w:lang w:val="en-US"/>
        </w:rPr>
        <w:t xml:space="preserve"> and A</w:t>
      </w:r>
      <w:r w:rsidR="005D4CFF" w:rsidRPr="001D3D20">
        <w:rPr>
          <w:color w:val="000000"/>
          <w:shd w:val="clear" w:color="auto" w:fill="FFFFFF"/>
          <w:lang w:val="en-US"/>
        </w:rPr>
        <w:t xml:space="preserve">natomical </w:t>
      </w:r>
      <w:r w:rsidRPr="001D3D20">
        <w:rPr>
          <w:color w:val="000000"/>
          <w:shd w:val="clear" w:color="auto" w:fill="FFFFFF"/>
          <w:lang w:val="en-US"/>
        </w:rPr>
        <w:t>T</w:t>
      </w:r>
      <w:r w:rsidR="005D4CFF" w:rsidRPr="001D3D20">
        <w:rPr>
          <w:color w:val="000000"/>
          <w:shd w:val="clear" w:color="auto" w:fill="FFFFFF"/>
          <w:lang w:val="en-US"/>
        </w:rPr>
        <w:t xml:space="preserve">herapeutic </w:t>
      </w:r>
      <w:r w:rsidRPr="001D3D20">
        <w:rPr>
          <w:color w:val="000000"/>
          <w:shd w:val="clear" w:color="auto" w:fill="FFFFFF"/>
          <w:lang w:val="en-US"/>
        </w:rPr>
        <w:t>C</w:t>
      </w:r>
      <w:r w:rsidR="005D4CFF" w:rsidRPr="001D3D20">
        <w:rPr>
          <w:color w:val="000000"/>
          <w:shd w:val="clear" w:color="auto" w:fill="FFFFFF"/>
          <w:lang w:val="en-US"/>
        </w:rPr>
        <w:t>lassification (ATC)</w:t>
      </w:r>
      <w:r w:rsidRPr="001D3D20">
        <w:rPr>
          <w:color w:val="000000"/>
          <w:shd w:val="clear" w:color="auto" w:fill="FFFFFF"/>
          <w:lang w:val="en-US"/>
        </w:rPr>
        <w:t xml:space="preserve"> codes.</w:t>
      </w:r>
      <w:r w:rsidR="00FE761F" w:rsidRPr="001D3D20">
        <w:rPr>
          <w:color w:val="000000"/>
          <w:shd w:val="clear" w:color="auto" w:fill="FFFFFF"/>
          <w:lang w:val="en-US"/>
        </w:rPr>
        <w:t xml:space="preserve"> Oral anticoagulant treatment was assessed by claimed pre</w:t>
      </w:r>
      <w:r w:rsidR="009C7607" w:rsidRPr="001D3D20">
        <w:rPr>
          <w:color w:val="000000"/>
          <w:shd w:val="clear" w:color="auto" w:fill="FFFFFF"/>
          <w:lang w:val="en-US"/>
        </w:rPr>
        <w:t>s</w:t>
      </w:r>
      <w:r w:rsidR="00FE761F" w:rsidRPr="001D3D20">
        <w:rPr>
          <w:color w:val="000000"/>
          <w:shd w:val="clear" w:color="auto" w:fill="FFFFFF"/>
          <w:lang w:val="en-US"/>
        </w:rPr>
        <w:t>criptions from the National Prescription Registry.</w:t>
      </w:r>
      <w:r w:rsidR="00A97E70" w:rsidRPr="001D3D20">
        <w:rPr>
          <w:color w:val="000000"/>
          <w:shd w:val="clear" w:color="auto" w:fill="FFFFFF"/>
          <w:lang w:val="en-US"/>
        </w:rPr>
        <w:t xml:space="preserve"> </w:t>
      </w:r>
      <w:r w:rsidR="00DD2926" w:rsidRPr="001D3D20">
        <w:rPr>
          <w:color w:val="000000"/>
          <w:shd w:val="clear" w:color="auto" w:fill="FFFFFF"/>
          <w:lang w:val="en-US"/>
        </w:rPr>
        <w:t>An o</w:t>
      </w:r>
      <w:r w:rsidR="008011D2" w:rsidRPr="001D3D20">
        <w:rPr>
          <w:color w:val="000000"/>
          <w:shd w:val="clear" w:color="auto" w:fill="FFFFFF"/>
          <w:lang w:val="en-US"/>
        </w:rPr>
        <w:t>verview of</w:t>
      </w:r>
      <w:r w:rsidR="00DD2926" w:rsidRPr="001D3D20">
        <w:rPr>
          <w:color w:val="000000"/>
          <w:shd w:val="clear" w:color="auto" w:fill="FFFFFF"/>
          <w:lang w:val="en-US"/>
        </w:rPr>
        <w:t xml:space="preserve"> the relevant codes</w:t>
      </w:r>
      <w:r w:rsidR="005B7468" w:rsidRPr="001D3D20">
        <w:rPr>
          <w:color w:val="000000"/>
          <w:shd w:val="clear" w:color="auto" w:fill="FFFFFF"/>
          <w:lang w:val="en-US"/>
        </w:rPr>
        <w:t xml:space="preserve"> and</w:t>
      </w:r>
      <w:r w:rsidR="008011D2" w:rsidRPr="001D3D20">
        <w:rPr>
          <w:color w:val="000000"/>
          <w:shd w:val="clear" w:color="auto" w:fill="FFFFFF"/>
          <w:lang w:val="en-US"/>
        </w:rPr>
        <w:t xml:space="preserve"> variable definitions</w:t>
      </w:r>
      <w:r w:rsidR="00A97E70" w:rsidRPr="001D3D20">
        <w:rPr>
          <w:color w:val="000000"/>
          <w:shd w:val="clear" w:color="auto" w:fill="FFFFFF"/>
          <w:lang w:val="en-US"/>
        </w:rPr>
        <w:t xml:space="preserve"> </w:t>
      </w:r>
      <w:r w:rsidR="004B4167" w:rsidRPr="001D3D20">
        <w:rPr>
          <w:color w:val="000000"/>
          <w:shd w:val="clear" w:color="auto" w:fill="FFFFFF"/>
          <w:lang w:val="en-US"/>
        </w:rPr>
        <w:t>is</w:t>
      </w:r>
      <w:r w:rsidR="00A97E70" w:rsidRPr="001D3D20">
        <w:rPr>
          <w:color w:val="000000"/>
          <w:shd w:val="clear" w:color="auto" w:fill="FFFFFF"/>
          <w:lang w:val="en-US"/>
        </w:rPr>
        <w:t xml:space="preserve"> available in </w:t>
      </w:r>
      <w:r w:rsidR="006E4B30">
        <w:rPr>
          <w:b/>
          <w:color w:val="000000"/>
          <w:shd w:val="clear" w:color="auto" w:fill="FFFFFF"/>
          <w:lang w:val="en-US"/>
        </w:rPr>
        <w:t xml:space="preserve">Online </w:t>
      </w:r>
      <w:r w:rsidR="00A97E70" w:rsidRPr="001D3D20">
        <w:rPr>
          <w:b/>
          <w:color w:val="000000"/>
          <w:shd w:val="clear" w:color="auto" w:fill="FFFFFF"/>
          <w:lang w:val="en-US"/>
        </w:rPr>
        <w:t>Table 1</w:t>
      </w:r>
      <w:r w:rsidR="00A97E70" w:rsidRPr="001D3D20">
        <w:rPr>
          <w:color w:val="000000"/>
          <w:shd w:val="clear" w:color="auto" w:fill="FFFFFF"/>
          <w:lang w:val="en-US"/>
        </w:rPr>
        <w:t>.</w:t>
      </w:r>
    </w:p>
    <w:p w14:paraId="3AC6F9C9" w14:textId="77777777" w:rsidR="00F8413C" w:rsidRPr="001D3D20" w:rsidRDefault="00F8413C" w:rsidP="006842EF">
      <w:pPr>
        <w:spacing w:line="360" w:lineRule="auto"/>
        <w:rPr>
          <w:color w:val="000000"/>
          <w:shd w:val="clear" w:color="auto" w:fill="FFFFFF"/>
          <w:lang w:val="en-US"/>
        </w:rPr>
      </w:pPr>
    </w:p>
    <w:p w14:paraId="7E6973B3" w14:textId="77777777" w:rsidR="00D057FF" w:rsidRPr="001D3D20" w:rsidRDefault="00D057FF" w:rsidP="006842EF">
      <w:pPr>
        <w:spacing w:line="360" w:lineRule="auto"/>
        <w:rPr>
          <w:i/>
          <w:color w:val="000000"/>
          <w:shd w:val="clear" w:color="auto" w:fill="FFFFFF"/>
          <w:lang w:val="en-US"/>
        </w:rPr>
      </w:pPr>
      <w:r w:rsidRPr="001D3D20">
        <w:rPr>
          <w:i/>
          <w:color w:val="000000"/>
          <w:shd w:val="clear" w:color="auto" w:fill="FFFFFF"/>
          <w:lang w:val="en-US"/>
        </w:rPr>
        <w:t>Outcome</w:t>
      </w:r>
    </w:p>
    <w:p w14:paraId="6B9C733C" w14:textId="3A65D6DA" w:rsidR="00502F05" w:rsidRPr="001D3D20" w:rsidRDefault="00D057FF" w:rsidP="006842EF">
      <w:pPr>
        <w:spacing w:line="360" w:lineRule="auto"/>
        <w:rPr>
          <w:color w:val="000000"/>
          <w:shd w:val="clear" w:color="auto" w:fill="FFFFFF"/>
          <w:lang w:val="en-US"/>
        </w:rPr>
      </w:pPr>
      <w:r w:rsidRPr="001D3D20">
        <w:rPr>
          <w:color w:val="000000"/>
          <w:shd w:val="clear" w:color="auto" w:fill="FFFFFF"/>
          <w:lang w:val="en-US"/>
        </w:rPr>
        <w:t>The primary outcome was a</w:t>
      </w:r>
      <w:r w:rsidR="00EA5AFC" w:rsidRPr="001D3D20">
        <w:rPr>
          <w:color w:val="000000"/>
          <w:shd w:val="clear" w:color="auto" w:fill="FFFFFF"/>
          <w:lang w:val="en-US"/>
        </w:rPr>
        <w:t xml:space="preserve"> combined thromboembolic outcome including a</w:t>
      </w:r>
      <w:r w:rsidRPr="001D3D20">
        <w:rPr>
          <w:color w:val="000000"/>
          <w:shd w:val="clear" w:color="auto" w:fill="FFFFFF"/>
          <w:lang w:val="en-US"/>
        </w:rPr>
        <w:t xml:space="preserve"> diagnosis of ischemic or unspecified stroke</w:t>
      </w:r>
      <w:r w:rsidR="00F115F6" w:rsidRPr="001D3D20">
        <w:rPr>
          <w:color w:val="000000"/>
          <w:shd w:val="clear" w:color="auto" w:fill="FFFFFF"/>
          <w:lang w:val="en-US"/>
        </w:rPr>
        <w:t xml:space="preserve">, or </w:t>
      </w:r>
      <w:r w:rsidRPr="001D3D20">
        <w:rPr>
          <w:color w:val="000000"/>
          <w:shd w:val="clear" w:color="auto" w:fill="FFFFFF"/>
          <w:lang w:val="en-US"/>
        </w:rPr>
        <w:t>systemic embolism.</w:t>
      </w:r>
      <w:r w:rsidR="0091462C" w:rsidRPr="001D3D20">
        <w:rPr>
          <w:color w:val="000000"/>
          <w:shd w:val="clear" w:color="auto" w:fill="FFFFFF"/>
          <w:lang w:val="en-US"/>
        </w:rPr>
        <w:t xml:space="preserve"> The positive predictive value of an ischemic stroke diagnosis</w:t>
      </w:r>
      <w:r w:rsidR="00701E63" w:rsidRPr="001D3D20">
        <w:rPr>
          <w:color w:val="000000"/>
          <w:shd w:val="clear" w:color="auto" w:fill="FFFFFF"/>
          <w:lang w:val="en-US"/>
        </w:rPr>
        <w:t xml:space="preserve"> in the Danish National Patient Register</w:t>
      </w:r>
      <w:r w:rsidR="0091462C" w:rsidRPr="001D3D20">
        <w:rPr>
          <w:color w:val="000000"/>
          <w:shd w:val="clear" w:color="auto" w:fill="FFFFFF"/>
          <w:lang w:val="en-US"/>
        </w:rPr>
        <w:t xml:space="preserve"> is </w:t>
      </w:r>
      <w:r w:rsidR="00B12604" w:rsidRPr="001D3D20">
        <w:rPr>
          <w:color w:val="000000"/>
          <w:shd w:val="clear" w:color="auto" w:fill="FFFFFF"/>
          <w:lang w:val="en-US"/>
        </w:rPr>
        <w:t>&gt;85%</w:t>
      </w:r>
      <w:r w:rsidR="00C74A7C" w:rsidRPr="001D3D20">
        <w:rPr>
          <w:color w:val="000000"/>
          <w:shd w:val="clear" w:color="auto" w:fill="FFFFFF"/>
          <w:lang w:val="en-US"/>
        </w:rPr>
        <w:t>.</w:t>
      </w:r>
      <w:r w:rsidR="00701E63"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{"citationItems":[{"id":"ITEM-1","itemData":{"DOI":"10.1177/1403494817716582","ISSN":"1651-1905","PMID":"28701076","abstract":"AIMS To determine the positive predictive values for stroke discharge diagnoses, including subarachnoidal haemorrhage, intracerebral haemorrhage and cerebral infarction in the Danish National Patient Register. METHODS Participants in the Danish cohort study Diet, Cancer and Health with a stroke discharge diagnosis in the National Patient Register between 1993 and 2009 were identified and their medical records were retrieved for validation of the diagnoses. RESULTS A total of 3326 records of possible cases of stroke were reviewed. The overall positive predictive value for stroke was 69.3% (95% confidence interval (CI) 67.8-70.9%). The predictive values differed according to hospital characteristics, with the highest predictive value of 87.8% (95% CI 85.5-90.1%) found in departments of neurology and the lowest predictive value of 43.0% (95% CI 37.6-48.5%) found in outpatient clinics. CONCLUSIONS The overall stroke diagnosis in the Danish National Patient Register had a limited predictive value. We therefore recommend the critical use of non-validated register data for research on stroke. The possibility of optimising the predictive values based on more advanced algorithms should be considered.","author":[{"dropping-particle":"","family":"Lühdorf","given":"Pernille","non-dropping-particle":"","parse-names":false,"suffix":""},{"dropping-particle":"","family":"Overvad","given":"Kim","non-dropping-particle":"","parse-names":false,"suffix":""},{"dropping-particle":"","family":"Schmidt","given":"Erik B","non-dropping-particle":"","parse-names":false,"suffix":""},{"dropping-particle":"","family":"Johnsen","given":"Søren P","non-dropping-particle":"","parse-names":false,"suffix":""},{"dropping-particle":"","family":"Bach","given":"Flemming W","non-dropping-particle":"","parse-names":false,"suffix":""}],"container-title":"Scandinavian journal of public health","id":"ITEM-1","issue":"6","issued":{"date-parts":[["2017","8","1"]]},"page":"630-636","title":"Predictive value of stroke discharge diagnoses in the Danish National Patient Register.","type":"article-journal","volume":"45"},"uris":["http://www.mendeley.com/documents/?uuid=73e222b5-0058-3e3c-9fc4-7ff0989c00bb"]},{"id":"ITEM-2","itemData":{"DOI":"10.1159/000102143","ISBN":"1423-0208","ISSN":"02515350","PMID":"17478969","abstract":"BACKGROUND: Many registers containing routine medical information have been developed for research and surveillance purposes. In epidemiological research assessment of endpoints is often conducted via registers. In the present study we validated stroke and transient ischemic attack (TIA) diagnoses in the Danish National Register of Patients (DNRP). METHODS: Subjects from a Danish cohort study, the Copenhagen City Heart Study (n = 19,698), were crosslinked with the DNRP. The following International Classification of Disease 10th revision codes were used to identify possible strokes and TIAs: I60-I69 and G45. Two independent raters reviewed all cases. Positive predictive values of stroke, TIA and stroke subtypes were estimated by dividing the confirmed cases by the total number of cases located in the DNRP. Interrater reliability was tested using kappa statistics. RESULTS: Of 236 possible cerebrovascular events, 1 in 6 stroke diagnoses did not meet study criteria. The majority of events in the DNRP were registered as unspecified stroke (I64), n = 105 (44%), of which two thirds were diagnosed as ischemic stroke events by the raters. Intracerebral hemorrhage and ischemic stroke had a positive predictive value from 74 to 97%, respectively. CONCLUSION: Our results show that the DNRP tends to overestimate the number of cerebrovascular events, while ischemic stroke is underestimated.","author":[{"dropping-particle":"","family":"Krarup","given":"Lars Henrik","non-dropping-particle":"","parse-names":false,"suffix":""},{"dropping-particle":"","family":"Boysen","given":"Gudrun","non-dropping-particle":"","parse-names":false,"suffix":""},{"dropping-particle":"","family":"Janjua","given":"Huma","non-dropping-particle":"","parse-names":false,"suffix":""},{"dropping-particle":"","family":"Prescott","given":"Eva","non-dropping-particle":"","parse-names":false,"suffix":""},{"dropping-particle":"","family":"Truelsen","given":"Thomas","non-dropping-particle":"","parse-names":false,"suffix":""}],"container-title":"Neuroepidemiology","id":"ITEM-2","issue":"3","issued":{"date-parts":[["2007"]]},"page":"150-154","title":"Validity of stroke diagnoses in a national register of patients","type":"article-journal","volume":"28"},"uris":["http://www.mendeley.com/documents/?uuid=9704e970-47dc-4c95-8473-791e4daa79f3"]}],"mendeley":{"formattedCitation":"&lt;sup&gt;20,21&lt;/sup&gt;","plainTextFormattedCitation":"20,21","previouslyFormattedCitation":"&lt;sup&gt;20,21&lt;/sup&gt;"},"properties":{"noteIndex":0},"schema":"https://github.com/citation-style-language/schema/raw/master/csl-citation.json"}</w:instrText>
      </w:r>
      <w:r w:rsidR="00701E63"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20,21</w:t>
      </w:r>
      <w:r w:rsidR="00701E63" w:rsidRPr="001D3D20">
        <w:rPr>
          <w:color w:val="000000"/>
          <w:shd w:val="clear" w:color="auto" w:fill="FFFFFF"/>
          <w:lang w:val="en-US"/>
        </w:rPr>
        <w:fldChar w:fldCharType="end"/>
      </w:r>
      <w:r w:rsidR="00F73841" w:rsidRPr="001D3D20">
        <w:rPr>
          <w:color w:val="000000"/>
          <w:shd w:val="clear" w:color="auto" w:fill="FFFFFF"/>
          <w:lang w:val="en-US"/>
        </w:rPr>
        <w:t xml:space="preserve"> </w:t>
      </w:r>
      <w:r w:rsidR="00277CBD" w:rsidRPr="001D3D20">
        <w:rPr>
          <w:color w:val="000000"/>
          <w:shd w:val="clear" w:color="auto" w:fill="FFFFFF"/>
          <w:lang w:val="en-US"/>
        </w:rPr>
        <w:t xml:space="preserve">Unspecified stroke was included in the combined outcome definition because </w:t>
      </w:r>
      <w:r w:rsidR="000440EE" w:rsidRPr="001D3D20">
        <w:rPr>
          <w:color w:val="000000"/>
          <w:shd w:val="clear" w:color="auto" w:fill="FFFFFF"/>
          <w:lang w:val="en-US"/>
        </w:rPr>
        <w:t>the majority of</w:t>
      </w:r>
      <w:r w:rsidR="00F73841" w:rsidRPr="001D3D20">
        <w:rPr>
          <w:color w:val="000000"/>
          <w:shd w:val="clear" w:color="auto" w:fill="FFFFFF"/>
          <w:lang w:val="en-US"/>
        </w:rPr>
        <w:t xml:space="preserve"> strokes coded as unspecified stroke have been shown to be of ischemic origin.</w:t>
      </w:r>
      <w:r w:rsidR="00F73841"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{"citationItems":[{"id":"ITEM-1","itemData":{"DOI":"10.1159/000102143","ISBN":"1423-0208","ISSN":"02515350","PMID":"17478969","abstract":"BACKGROUND: Many registers containing routine medical information have been developed for research and surveillance purposes. In epidemiological research assessment of endpoints is often conducted via registers. In the present study we validated stroke and transient ischemic attack (TIA) diagnoses in the Danish National Register of Patients (DNRP). METHODS: Subjects from a Danish cohort study, the Copenhagen City Heart Study (n = 19,698), were crosslinked with the DNRP. The following International Classification of Disease 10th revision codes were used to identify possible strokes and TIAs: I60-I69 and G45. Two independent raters reviewed all cases. Positive predictive values of stroke, TIA and stroke subtypes were estimated by dividing the confirmed cases by the total number of cases located in the DNRP. Interrater reliability was tested using kappa statistics. RESULTS: Of 236 possible cerebrovascular events, 1 in 6 stroke diagnoses did not meet study criteria. The majority of events in the DNRP were registered as unspecified stroke (I64), n = 105 (44%), of which two thirds were diagnosed as ischemic stroke events by the raters. Intracerebral hemorrhage and ischemic stroke had a positive predictive value from 74 to 97%, respectively. CONCLUSION: Our results show that the DNRP tends to overestimate the number of cerebrovascular events, while ischemic stroke is underestimated.","author":[{"dropping-particle":"","family":"Krarup","given":"Lars Henrik","non-dropping-particle":"","parse-names":false,"suffix":""},{"dropping-particle":"","family":"Boysen","given":"Gudrun","non-dropping-particle":"","parse-names":false,"suffix":""},{"dropping-particle":"","family":"Janjua","given":"Huma","non-dropping-particle":"","parse-names":false,"suffix":""},{"dropping-particle":"","family":"Prescott","given":"Eva","non-dropping-particle":"","parse-names":false,"suffix":""},{"dropping-particle":"","family":"Truelsen","given":"Thomas","non-dropping-particle":"","parse-names":false,"suffix":""}],"container-title":"Neuroepidemiology","id":"ITEM-1","issue":"3","issued":{"date-parts":[["2007"]]},"page":"150-154","title":"Validity of stroke diagnoses in a national register of patients","type":"article-journal","volume":"28"},"uris":["http://www.mendeley.com/documents/?uuid=9704e970-47dc-4c95-8473-791e4daa79f3"]}],"mendeley":{"formattedCitation":"&lt;sup&gt;21&lt;/sup&gt;","plainTextFormattedCitation":"21","previouslyFormattedCitation":"&lt;sup&gt;21&lt;/sup&gt;"},"properties":{"noteIndex":0},"schema":"https://github.com/citation-style-language/schema/raw/master/csl-citation.json"}</w:instrText>
      </w:r>
      <w:r w:rsidR="00F73841"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21</w:t>
      </w:r>
      <w:r w:rsidR="00F73841" w:rsidRPr="001D3D20">
        <w:rPr>
          <w:color w:val="000000"/>
          <w:shd w:val="clear" w:color="auto" w:fill="FFFFFF"/>
          <w:lang w:val="en-US"/>
        </w:rPr>
        <w:fldChar w:fldCharType="end"/>
      </w:r>
      <w:r w:rsidR="00735541" w:rsidRPr="001D3D20">
        <w:rPr>
          <w:color w:val="000000"/>
          <w:shd w:val="clear" w:color="auto" w:fill="FFFFFF"/>
          <w:lang w:val="en-US"/>
        </w:rPr>
        <w:t xml:space="preserve"> </w:t>
      </w:r>
    </w:p>
    <w:p w14:paraId="60B47EEC" w14:textId="58E3FD23" w:rsidR="00FD51D5" w:rsidRPr="001D3D20" w:rsidRDefault="00735541" w:rsidP="006842EF">
      <w:pPr>
        <w:spacing w:line="360" w:lineRule="auto"/>
        <w:rPr>
          <w:color w:val="000000"/>
          <w:shd w:val="clear" w:color="auto" w:fill="FFFFFF"/>
          <w:lang w:val="en-US"/>
        </w:rPr>
      </w:pPr>
      <w:r w:rsidRPr="001D3D20">
        <w:rPr>
          <w:color w:val="000000"/>
          <w:shd w:val="clear" w:color="auto" w:fill="FFFFFF"/>
          <w:lang w:val="en-US"/>
        </w:rPr>
        <w:t>Another prespecified</w:t>
      </w:r>
      <w:r w:rsidR="00502F05" w:rsidRPr="001D3D20">
        <w:rPr>
          <w:color w:val="000000"/>
          <w:shd w:val="clear" w:color="auto" w:fill="FFFFFF"/>
          <w:lang w:val="en-US"/>
        </w:rPr>
        <w:t xml:space="preserve"> composite</w:t>
      </w:r>
      <w:r w:rsidRPr="001D3D20">
        <w:rPr>
          <w:color w:val="000000"/>
          <w:shd w:val="clear" w:color="auto" w:fill="FFFFFF"/>
          <w:lang w:val="en-US"/>
        </w:rPr>
        <w:t xml:space="preserve"> outcome was a</w:t>
      </w:r>
      <w:r w:rsidR="0054254F" w:rsidRPr="001D3D20">
        <w:rPr>
          <w:color w:val="000000"/>
          <w:shd w:val="clear" w:color="auto" w:fill="FFFFFF"/>
          <w:lang w:val="en-US"/>
        </w:rPr>
        <w:t xml:space="preserve"> </w:t>
      </w:r>
      <w:r w:rsidRPr="001D3D20">
        <w:rPr>
          <w:color w:val="000000"/>
          <w:shd w:val="clear" w:color="auto" w:fill="FFFFFF"/>
          <w:lang w:val="en-US"/>
        </w:rPr>
        <w:t>combi</w:t>
      </w:r>
      <w:r w:rsidR="004F6399" w:rsidRPr="001D3D20">
        <w:rPr>
          <w:color w:val="000000"/>
          <w:shd w:val="clear" w:color="auto" w:fill="FFFFFF"/>
          <w:lang w:val="en-US"/>
        </w:rPr>
        <w:t>nation</w:t>
      </w:r>
      <w:r w:rsidRPr="001D3D20">
        <w:rPr>
          <w:color w:val="000000"/>
          <w:shd w:val="clear" w:color="auto" w:fill="FFFFFF"/>
          <w:lang w:val="en-US"/>
        </w:rPr>
        <w:t xml:space="preserve"> of </w:t>
      </w:r>
      <w:r w:rsidR="004F6399" w:rsidRPr="001D3D20">
        <w:rPr>
          <w:color w:val="000000"/>
          <w:shd w:val="clear" w:color="auto" w:fill="FFFFFF"/>
          <w:lang w:val="en-US"/>
        </w:rPr>
        <w:t>‘</w:t>
      </w:r>
      <w:r w:rsidRPr="001D3D20">
        <w:rPr>
          <w:color w:val="000000"/>
          <w:shd w:val="clear" w:color="auto" w:fill="FFFFFF"/>
          <w:lang w:val="en-US"/>
        </w:rPr>
        <w:t xml:space="preserve">ischemic stroke, systemic embolism, or </w:t>
      </w:r>
      <w:r w:rsidR="002130AF" w:rsidRPr="001D3D20">
        <w:rPr>
          <w:color w:val="000000"/>
          <w:shd w:val="clear" w:color="auto" w:fill="FFFFFF"/>
          <w:lang w:val="en-US"/>
        </w:rPr>
        <w:t>VTE</w:t>
      </w:r>
      <w:r w:rsidR="004F6399" w:rsidRPr="001D3D20">
        <w:rPr>
          <w:color w:val="000000"/>
          <w:shd w:val="clear" w:color="auto" w:fill="FFFFFF"/>
          <w:lang w:val="en-US"/>
        </w:rPr>
        <w:t>’</w:t>
      </w:r>
      <w:r w:rsidRPr="001D3D20">
        <w:rPr>
          <w:color w:val="000000"/>
          <w:shd w:val="clear" w:color="auto" w:fill="FFFFFF"/>
          <w:lang w:val="en-US"/>
        </w:rPr>
        <w:t xml:space="preserve">, since oral anticoagulation also prevents </w:t>
      </w:r>
      <w:r w:rsidR="002130AF" w:rsidRPr="001D3D20">
        <w:rPr>
          <w:color w:val="000000"/>
          <w:shd w:val="clear" w:color="auto" w:fill="FFFFFF"/>
          <w:lang w:val="en-US"/>
        </w:rPr>
        <w:t>VTE</w:t>
      </w:r>
      <w:r w:rsidRPr="001D3D20">
        <w:rPr>
          <w:color w:val="000000"/>
          <w:shd w:val="clear" w:color="auto" w:fill="FFFFFF"/>
          <w:lang w:val="en-US"/>
        </w:rPr>
        <w:t xml:space="preserve">, and the risk of this outcome is likely to differ between patients with and without a history of </w:t>
      </w:r>
      <w:r w:rsidR="002130AF" w:rsidRPr="001D3D20">
        <w:rPr>
          <w:color w:val="000000"/>
          <w:shd w:val="clear" w:color="auto" w:fill="FFFFFF"/>
          <w:lang w:val="en-US"/>
        </w:rPr>
        <w:t>VTE</w:t>
      </w:r>
      <w:r w:rsidRPr="001D3D20">
        <w:rPr>
          <w:color w:val="000000"/>
          <w:shd w:val="clear" w:color="auto" w:fill="FFFFFF"/>
          <w:lang w:val="en-US"/>
        </w:rPr>
        <w:t>.</w:t>
      </w:r>
      <w:r w:rsidR="00FD51D5" w:rsidRPr="001D3D20">
        <w:rPr>
          <w:color w:val="000000"/>
          <w:shd w:val="clear" w:color="auto" w:fill="FFFFFF"/>
          <w:lang w:val="en-US"/>
        </w:rPr>
        <w:t xml:space="preserve"> A diagnosis of VTE during follow-up was defined as a primary in- or outpatient diagnosis given in combination with a relevant imaging procedure</w:t>
      </w:r>
      <w:r w:rsidR="00C52A9D" w:rsidRPr="001D3D20">
        <w:rPr>
          <w:color w:val="000000"/>
          <w:shd w:val="clear" w:color="auto" w:fill="FFFFFF"/>
          <w:lang w:val="en-US"/>
        </w:rPr>
        <w:t>.</w:t>
      </w:r>
      <w:r w:rsidR="00500AE8"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{"citationItems":[{"id":"ITEM-1","itemData":{"DOI":"10.1136/bmjopen-2016-012832","abstract":"Objective: The majority of cardiovascular diagnoses in the Danish National Patient Registry (DNPR) remain to be validated despite extensive use in epidemiological research. We therefore examined the positive predictive value (PPV) of cardiovascular diagnoses in the DNPR. Design: Population-based validation study. Setting: 1 university hospital and 2 regional hospitals in the Central Denmark Region, 2010–2012. Participants: For each cardiovascular diagnosis, up to 100 patients from participating hospitals were randomly sampled during the study period using the DNPR. Main outcome measure: Using medical record review as the reference standard, we examined the PPV for cardiovascular diagnoses in the DNPR, coded according to the International Classification of Diseases, 10th Revision. Results: A total of 2153 medical records (97% of the total sample) were available for review. The PPVs ranged from 64% to 100%, with a mean PPV of 88%. The PPVs were ≥90% for first-time myocardial infarction, stent thrombosis, stable angina pectoris, hypertrophic cardiomyopathy, arrhythmogenic right ventricular cardiomyopathy, takotsubo cardiomyopathy, arterial hypertension, atrial fibrillation or flutter, cardiac arrest, mitral valve regurgitation or stenosis, aortic valve regurgitation or stenosis, pericarditis, hypercholesterolaemia, aortic dissection, aortic aneurysm/dilation and arterial claudication. The PPVs were between 80% and 90% for recurrent myocardial infarction, first-time unstable angina pectoris, pulmonary hypertension, bradycardia, ventricular tachycardia/fibrillation, endocarditis, cardiac tumours, first-time venous thromboembolism and between 70% and 80% for first-time and recurrent admission due to heart failure, first-time dilated cardiomyopathy, restrictive cardiomyopathy and recurrent venous thromboembolism. The PPV for first-time myocarditis was 64%. The PPVs were consistent within age, sex, calendar year and hospital categories. Conclusions: The validity of cardiovascular diagnoses","author":[{"dropping-particle":"","family":"Sundbøll","given":"Jens","non-dropping-particle":"","parse-names":false,"suffix":""},{"dropping-particle":"","family":"Adelborg","given":"Kasper","non-dropping-particle":"","parse-names":false,"suffix":""},{"dropping-particle":"","family":"Munch","given":"Troels","non-dropping-particle":"","parse-names":false,"suffix":""},{"dropping-particle":"","family":"Frøslev","given":"Trine","non-dropping-particle":"","parse-names":false,"suffix":""},{"dropping-particle":"","family":"Toft Sørensen","given":"Henrik","non-dropping-particle":"","parse-names":false,"suffix":""},{"dropping-particle":"","family":"Erik Bøtker","given":"Hans","non-dropping-particle":"","parse-names":false,"suffix":""},{"dropping-particle":"","family":"Schmidt","given":"Morten","non-dropping-particle":"","parse-names":false,"suffix":""}],"container-title":"BMJ Open","id":"ITEM-1","issued":{"date-parts":[["2016"]]},"title":"Positive predictive value of cardiovascular diagnoses in the Danish National Patient Registry: a validation study","type":"article-journal","volume":"6"},"uris":["http://www.mendeley.com/documents/?uuid=1ff83ec1-5cf9-3c29-b15f-ffeca7ef7ebd"]}],"mendeley":{"formattedCitation":"&lt;sup&gt;18&lt;/sup&gt;","plainTextFormattedCitation":"18","previouslyFormattedCitation":"&lt;sup&gt;18&lt;/sup&gt;"},"properties":{"noteIndex":0},"schema":"https://github.com/citation-style-language/schema/raw/master/csl-citation.json"}</w:instrText>
      </w:r>
      <w:r w:rsidR="00500AE8"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18</w:t>
      </w:r>
      <w:r w:rsidR="00500AE8" w:rsidRPr="001D3D20">
        <w:rPr>
          <w:color w:val="000000"/>
          <w:shd w:val="clear" w:color="auto" w:fill="FFFFFF"/>
          <w:lang w:val="en-US"/>
        </w:rPr>
        <w:fldChar w:fldCharType="end"/>
      </w:r>
    </w:p>
    <w:p w14:paraId="5C616510" w14:textId="142ADBC9" w:rsidR="00013D0D" w:rsidRPr="001D3D20" w:rsidRDefault="00277CBD" w:rsidP="006842EF">
      <w:pPr>
        <w:spacing w:line="360" w:lineRule="auto"/>
        <w:rPr>
          <w:color w:val="000000"/>
          <w:shd w:val="clear" w:color="auto" w:fill="FFFFFF"/>
          <w:lang w:val="en-US"/>
        </w:rPr>
      </w:pPr>
      <w:r w:rsidRPr="001D3D20">
        <w:rPr>
          <w:color w:val="000000"/>
          <w:shd w:val="clear" w:color="auto" w:fill="FFFFFF"/>
          <w:lang w:val="en-US"/>
        </w:rPr>
        <w:t>Few patients in Denmark have an autopsy performed (4%) and the exact cause of death is therefore often unknown.</w:t>
      </w:r>
      <w:r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{"citationItems":[{"id":"ITEM-1","itemData":{"DOI":"10.1016/j.forsciint.2014.10.032","ISSN":"03790738","abstract":"The 1990s 12-16% total autopsy rate in Denmark has until now declined to 4%, while in Finland, it has remained between 25 and 30%. The decision to proceed with a forensic autopsy is based on national legislation, but it can be assumed that the financing of autopsies influences the decision process. Only little is known about the possible differences between health economics of Finnish and Danish cause of death investigation systems. The aims of this article were to analyse costs and consequences of Finnish and Danish cause of death investigations, and to develop an alternative autopsy practice in Denmark with another cost profile. Data on cause of death investigation systems and costs were derived from Departments of Forensic Medicine, Departments of Pathology, and the National Police. Finnish and Danish autopsy rates were calculated in unnatural (accident, suicide, homicide and undetermined intent) and natural (disease) deaths, and used to develop an alternative autopsy practice in Denmark. Consequences for society were analysed. The estimated unit cost (s) for one forensic autopsy is 3.2 times lower in Finland than in Denmark (s1400 versus s4420), but in Finland the salaries for forensic pathologists working at the National Institute for Health and Welfare are not included in the unit cost. The unit cost for one medical autopsy is also lower in Finland than in Denmark; s700 versus s1070. In our alternative practice in Denmark, the forensic autopsy rate was increased from 2.2% to 8.5%, and the medical autopsy rate from 2.4% to 5.8%. Costs per 10,000 deaths were estimated to be 50% (AE25%) higher than now; i.e. s3,678,724 (2,759,112-4,598,336), but would result in a lower unit cost for forensic autopsies s3,094 (2,320-3,868) and for medical autopsies s749 (562-936). This practice would produce a higher accuracy of national mortality statistics, which, consequently, would entail higher quality in public health, an accurate basis for decision-making in health politics, and better legislative safety in society. The implementation of this alternative practice in Denmark requires that legislation demands that forensic autopsy be performed if causality between unnatural death and cause of death cannot be clarified or if cause of death remains unknown. The Danish Health and Medicines Authority should provide guidelines that request a medical autopsy in natural deaths where more information about disease as a cause of death is needed. Our study results warrant …","author":[{"dropping-particle":"","family":"Ylijoki-Sørensen","given":"Seija","non-dropping-particle":"","parse-names":false,"suffix":""},{"dropping-particle":"","family":"Boldsen","given":"Jesper Lier","non-dropping-particle":"","parse-names":false,"suffix":""},{"dropping-particle":"","family":"Lalu","given":"Kaisa","non-dropping-particle":"","parse-names":false,"suffix":""},{"dropping-particle":"","family":"Sajantila","given":"Antti","non-dropping-particle":"","parse-names":false,"suffix":""},{"dropping-particle":"","family":"Baandrup","given":"Ulrik","non-dropping-particle":"","parse-names":false,"suffix":""},{"dropping-particle":"","family":"Boel","given":"Lene Warner Thorup","non-dropping-particle":"","parse-names":false,"suffix":""},{"dropping-particle":"","family":"Ehlers","given":"Lars Holger","non-dropping-particle":"","parse-names":false,"suffix":""},{"dropping-particle":"","family":"Bøggild","given":"Henrik","non-dropping-particle":"","parse-names":false,"suffix":""}],"container-title":"Forensic Science International","id":"ITEM-1","issued":{"date-parts":[["2014","12"]]},"page":"133-142","title":"Cost–consequence analysis of cause of death investigation in Finland and in Denmark","type":"article-journal","volume":"245"},"uris":["http://www.mendeley.com/documents/?uuid=d167bc0f-a0a6-3b37-b25b-71611793e490"]}],"mendeley":{"formattedCitation":"&lt;sup&gt;22&lt;/sup&gt;","plainTextFormattedCitation":"22","previouslyFormattedCitation":"&lt;sup&gt;22&lt;/sup&gt;"},"properties":{"noteIndex":0},"schema":"https://github.com/citation-style-language/schema/raw/master/csl-citation.json"}</w:instrText>
      </w:r>
      <w:r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22</w:t>
      </w:r>
      <w:r w:rsidRPr="001D3D20">
        <w:rPr>
          <w:color w:val="000000"/>
          <w:shd w:val="clear" w:color="auto" w:fill="FFFFFF"/>
          <w:lang w:val="en-US"/>
        </w:rPr>
        <w:fldChar w:fldCharType="end"/>
      </w:r>
      <w:r w:rsidRPr="001D3D20">
        <w:rPr>
          <w:color w:val="000000"/>
          <w:shd w:val="clear" w:color="auto" w:fill="FFFFFF"/>
          <w:lang w:val="en-US"/>
        </w:rPr>
        <w:t xml:space="preserve"> To encompass fatal cases of thromboembolism not coded in registries, </w:t>
      </w:r>
      <w:r w:rsidR="00AE771C" w:rsidRPr="001D3D20">
        <w:rPr>
          <w:color w:val="000000"/>
          <w:shd w:val="clear" w:color="auto" w:fill="FFFFFF"/>
          <w:lang w:val="en-US"/>
        </w:rPr>
        <w:t>death</w:t>
      </w:r>
      <w:r w:rsidRPr="001D3D20">
        <w:rPr>
          <w:color w:val="000000"/>
          <w:shd w:val="clear" w:color="auto" w:fill="FFFFFF"/>
          <w:lang w:val="en-US"/>
        </w:rPr>
        <w:t xml:space="preserve"> was included</w:t>
      </w:r>
      <w:r w:rsidR="00AE771C" w:rsidRPr="001D3D20">
        <w:rPr>
          <w:color w:val="000000"/>
          <w:shd w:val="clear" w:color="auto" w:fill="FFFFFF"/>
          <w:lang w:val="en-US"/>
        </w:rPr>
        <w:t xml:space="preserve"> in</w:t>
      </w:r>
      <w:r w:rsidR="00A83F9A" w:rsidRPr="001D3D20">
        <w:rPr>
          <w:color w:val="000000"/>
          <w:shd w:val="clear" w:color="auto" w:fill="FFFFFF"/>
          <w:lang w:val="en-US"/>
        </w:rPr>
        <w:t xml:space="preserve"> </w:t>
      </w:r>
      <w:r w:rsidR="00AE771C" w:rsidRPr="001D3D20">
        <w:rPr>
          <w:color w:val="000000"/>
          <w:shd w:val="clear" w:color="auto" w:fill="FFFFFF"/>
          <w:lang w:val="en-US"/>
        </w:rPr>
        <w:t xml:space="preserve">a composite </w:t>
      </w:r>
      <w:r w:rsidR="00A83F9A" w:rsidRPr="001D3D20">
        <w:rPr>
          <w:color w:val="000000"/>
          <w:shd w:val="clear" w:color="auto" w:fill="FFFFFF"/>
          <w:lang w:val="en-US"/>
        </w:rPr>
        <w:t>outcome definition</w:t>
      </w:r>
      <w:r w:rsidRPr="001D3D20">
        <w:rPr>
          <w:color w:val="000000"/>
          <w:shd w:val="clear" w:color="auto" w:fill="FFFFFF"/>
          <w:lang w:val="en-US"/>
        </w:rPr>
        <w:t xml:space="preserve"> in a secondary analysis</w:t>
      </w:r>
      <w:r w:rsidR="00436861" w:rsidRPr="001D3D20">
        <w:rPr>
          <w:color w:val="000000"/>
          <w:shd w:val="clear" w:color="auto" w:fill="FFFFFF"/>
          <w:lang w:val="en-US"/>
        </w:rPr>
        <w:t>.</w:t>
      </w:r>
      <w:r w:rsidR="00F73E5F" w:rsidRPr="001D3D20">
        <w:rPr>
          <w:color w:val="000000"/>
          <w:shd w:val="clear" w:color="auto" w:fill="FFFFFF"/>
          <w:lang w:val="en-US"/>
        </w:rPr>
        <w:t xml:space="preserve"> </w:t>
      </w:r>
    </w:p>
    <w:p w14:paraId="494F7E14" w14:textId="69D50E8B" w:rsidR="00981A45" w:rsidRPr="001D3D20" w:rsidRDefault="00981A45" w:rsidP="006842EF">
      <w:pPr>
        <w:spacing w:line="360" w:lineRule="auto"/>
        <w:rPr>
          <w:color w:val="000000"/>
          <w:shd w:val="clear" w:color="auto" w:fill="FFFFFF"/>
          <w:lang w:val="en-US"/>
        </w:rPr>
      </w:pPr>
    </w:p>
    <w:p w14:paraId="09A4B0B7" w14:textId="77777777" w:rsidR="00981A45" w:rsidRPr="001D3D20" w:rsidRDefault="00981A45" w:rsidP="006842EF">
      <w:pPr>
        <w:spacing w:line="360" w:lineRule="auto"/>
        <w:rPr>
          <w:i/>
          <w:color w:val="000000"/>
          <w:shd w:val="clear" w:color="auto" w:fill="FFFFFF"/>
          <w:lang w:val="en-US"/>
        </w:rPr>
      </w:pPr>
      <w:r w:rsidRPr="001D3D20">
        <w:rPr>
          <w:i/>
          <w:color w:val="000000"/>
          <w:shd w:val="clear" w:color="auto" w:fill="FFFFFF"/>
          <w:lang w:val="en-US"/>
        </w:rPr>
        <w:t>Statistics</w:t>
      </w:r>
    </w:p>
    <w:p w14:paraId="68549C60" w14:textId="4E443F4E" w:rsidR="003E7EED" w:rsidRPr="001D3D20" w:rsidRDefault="00FD7A46" w:rsidP="00D85AE2">
      <w:pPr>
        <w:pStyle w:val="Kommentartekst"/>
        <w:spacing w:line="360" w:lineRule="auto"/>
        <w:rPr>
          <w:color w:val="000000"/>
          <w:shd w:val="clear" w:color="auto" w:fill="FFFFFF"/>
          <w:lang w:val="en-US"/>
        </w:rPr>
      </w:pPr>
      <w:r w:rsidRPr="001D3D20">
        <w:rPr>
          <w:color w:val="000000"/>
          <w:sz w:val="24"/>
          <w:szCs w:val="24"/>
          <w:shd w:val="clear" w:color="auto" w:fill="FFFFFF"/>
          <w:lang w:val="en-US"/>
        </w:rPr>
        <w:t xml:space="preserve">Baseline characteristics </w:t>
      </w:r>
      <w:r w:rsidR="00E846A3" w:rsidRPr="001D3D20">
        <w:rPr>
          <w:color w:val="000000"/>
          <w:sz w:val="24"/>
          <w:szCs w:val="24"/>
          <w:shd w:val="clear" w:color="auto" w:fill="FFFFFF"/>
          <w:lang w:val="en-US"/>
        </w:rPr>
        <w:t>were calculated</w:t>
      </w:r>
      <w:r w:rsidR="00EB2AEA" w:rsidRPr="001D3D20">
        <w:rPr>
          <w:color w:val="000000"/>
          <w:sz w:val="24"/>
          <w:szCs w:val="24"/>
          <w:shd w:val="clear" w:color="auto" w:fill="FFFFFF"/>
          <w:lang w:val="en-US"/>
        </w:rPr>
        <w:t xml:space="preserve"> overall and</w:t>
      </w:r>
      <w:r w:rsidR="00684656" w:rsidRPr="001D3D20">
        <w:rPr>
          <w:color w:val="000000"/>
          <w:sz w:val="24"/>
          <w:szCs w:val="24"/>
          <w:shd w:val="clear" w:color="auto" w:fill="FFFFFF"/>
          <w:lang w:val="en-US"/>
        </w:rPr>
        <w:t xml:space="preserve"> </w:t>
      </w:r>
      <w:r w:rsidR="00EF7098" w:rsidRPr="001D3D20">
        <w:rPr>
          <w:color w:val="000000"/>
          <w:sz w:val="24"/>
          <w:szCs w:val="24"/>
          <w:shd w:val="clear" w:color="auto" w:fill="FFFFFF"/>
          <w:lang w:val="en-US"/>
        </w:rPr>
        <w:t xml:space="preserve">according to </w:t>
      </w:r>
      <w:r w:rsidR="004B128B" w:rsidRPr="001D3D20">
        <w:rPr>
          <w:color w:val="000000"/>
          <w:sz w:val="24"/>
          <w:szCs w:val="24"/>
          <w:shd w:val="clear" w:color="auto" w:fill="FFFFFF"/>
          <w:lang w:val="en-US"/>
        </w:rPr>
        <w:t xml:space="preserve">history of </w:t>
      </w:r>
      <w:r w:rsidR="002130AF" w:rsidRPr="001D3D20">
        <w:rPr>
          <w:color w:val="000000"/>
          <w:sz w:val="24"/>
          <w:szCs w:val="24"/>
          <w:shd w:val="clear" w:color="auto" w:fill="FFFFFF"/>
          <w:lang w:val="en-US"/>
        </w:rPr>
        <w:t>VTE</w:t>
      </w:r>
      <w:r w:rsidR="004B128B" w:rsidRPr="001D3D20">
        <w:rPr>
          <w:color w:val="000000"/>
          <w:sz w:val="24"/>
          <w:szCs w:val="24"/>
          <w:shd w:val="clear" w:color="auto" w:fill="FFFFFF"/>
          <w:lang w:val="en-US"/>
        </w:rPr>
        <w:t xml:space="preserve"> as number of patients and with proportions </w:t>
      </w:r>
      <w:r w:rsidRPr="001D3D20">
        <w:rPr>
          <w:color w:val="000000"/>
          <w:sz w:val="24"/>
          <w:szCs w:val="24"/>
          <w:shd w:val="clear" w:color="auto" w:fill="FFFFFF"/>
          <w:lang w:val="en-US"/>
        </w:rPr>
        <w:t>for categorical values and with median</w:t>
      </w:r>
      <w:r w:rsidR="00EF7098" w:rsidRPr="001D3D20">
        <w:rPr>
          <w:color w:val="000000"/>
          <w:sz w:val="24"/>
          <w:szCs w:val="24"/>
          <w:shd w:val="clear" w:color="auto" w:fill="FFFFFF"/>
          <w:lang w:val="en-US"/>
        </w:rPr>
        <w:t xml:space="preserve"> and</w:t>
      </w:r>
      <w:r w:rsidRPr="001D3D20">
        <w:rPr>
          <w:color w:val="000000"/>
          <w:sz w:val="24"/>
          <w:szCs w:val="24"/>
          <w:shd w:val="clear" w:color="auto" w:fill="FFFFFF"/>
          <w:lang w:val="en-US"/>
        </w:rPr>
        <w:t xml:space="preserve"> inter-quartile range, for continuous variables.</w:t>
      </w:r>
      <w:r w:rsidR="009938B2" w:rsidRPr="001D3D20">
        <w:rPr>
          <w:color w:val="000000"/>
          <w:sz w:val="24"/>
          <w:szCs w:val="24"/>
          <w:shd w:val="clear" w:color="auto" w:fill="FFFFFF"/>
          <w:lang w:val="en-US"/>
        </w:rPr>
        <w:t xml:space="preserve"> Cumulative incidences of outcome </w:t>
      </w:r>
      <w:r w:rsidR="00E846A3" w:rsidRPr="001D3D20">
        <w:rPr>
          <w:color w:val="000000"/>
          <w:sz w:val="24"/>
          <w:szCs w:val="24"/>
          <w:shd w:val="clear" w:color="auto" w:fill="FFFFFF"/>
          <w:lang w:val="en-US"/>
        </w:rPr>
        <w:t>were estimated</w:t>
      </w:r>
      <w:r w:rsidR="009938B2" w:rsidRPr="001D3D20">
        <w:rPr>
          <w:color w:val="000000"/>
          <w:sz w:val="24"/>
          <w:szCs w:val="24"/>
          <w:shd w:val="clear" w:color="auto" w:fill="FFFFFF"/>
          <w:lang w:val="en-US"/>
        </w:rPr>
        <w:t xml:space="preserve"> using the cumulative incidence function taking into account competing risk of death for the primary outcome</w:t>
      </w:r>
      <w:r w:rsidR="006B26A0" w:rsidRPr="001D3D20">
        <w:rPr>
          <w:color w:val="000000"/>
          <w:sz w:val="24"/>
          <w:szCs w:val="24"/>
          <w:shd w:val="clear" w:color="auto" w:fill="FFFFFF"/>
          <w:lang w:val="en-US"/>
        </w:rPr>
        <w:t>s</w:t>
      </w:r>
      <w:r w:rsidR="009938B2" w:rsidRPr="001D3D20">
        <w:rPr>
          <w:color w:val="000000"/>
          <w:sz w:val="24"/>
          <w:szCs w:val="24"/>
          <w:shd w:val="clear" w:color="auto" w:fill="FFFFFF"/>
          <w:lang w:val="en-US"/>
        </w:rPr>
        <w:t xml:space="preserve"> of </w:t>
      </w:r>
      <w:r w:rsidR="006B26A0" w:rsidRPr="001D3D20">
        <w:rPr>
          <w:color w:val="000000"/>
          <w:sz w:val="24"/>
          <w:szCs w:val="24"/>
          <w:shd w:val="clear" w:color="auto" w:fill="FFFFFF"/>
          <w:lang w:val="en-US"/>
        </w:rPr>
        <w:t>‘</w:t>
      </w:r>
      <w:r w:rsidR="009938B2" w:rsidRPr="001D3D20">
        <w:rPr>
          <w:color w:val="000000"/>
          <w:sz w:val="24"/>
          <w:szCs w:val="24"/>
          <w:shd w:val="clear" w:color="auto" w:fill="FFFFFF"/>
          <w:lang w:val="en-US"/>
        </w:rPr>
        <w:t>ischemic stroke or systemic embolism</w:t>
      </w:r>
      <w:r w:rsidR="006B26A0" w:rsidRPr="001D3D20">
        <w:rPr>
          <w:color w:val="000000"/>
          <w:sz w:val="24"/>
          <w:szCs w:val="24"/>
          <w:shd w:val="clear" w:color="auto" w:fill="FFFFFF"/>
          <w:lang w:val="en-US"/>
        </w:rPr>
        <w:t xml:space="preserve">’ and ‘ischemic stroke, systemic embolism, or </w:t>
      </w:r>
      <w:r w:rsidR="002130AF" w:rsidRPr="001D3D20">
        <w:rPr>
          <w:color w:val="000000"/>
          <w:sz w:val="24"/>
          <w:szCs w:val="24"/>
          <w:shd w:val="clear" w:color="auto" w:fill="FFFFFF"/>
          <w:lang w:val="en-US"/>
        </w:rPr>
        <w:t>VTE</w:t>
      </w:r>
      <w:r w:rsidR="006B26A0" w:rsidRPr="001D3D20">
        <w:rPr>
          <w:color w:val="000000"/>
          <w:sz w:val="24"/>
          <w:szCs w:val="24"/>
          <w:shd w:val="clear" w:color="auto" w:fill="FFFFFF"/>
          <w:lang w:val="en-US"/>
        </w:rPr>
        <w:t>’</w:t>
      </w:r>
      <w:r w:rsidR="005C5A70" w:rsidRPr="001D3D20">
        <w:rPr>
          <w:color w:val="000000"/>
          <w:sz w:val="24"/>
          <w:szCs w:val="24"/>
          <w:shd w:val="clear" w:color="auto" w:fill="FFFFFF"/>
          <w:lang w:val="en-US"/>
        </w:rPr>
        <w:t>,</w:t>
      </w:r>
      <w:r w:rsidR="009938B2" w:rsidRPr="001D3D20">
        <w:rPr>
          <w:color w:val="000000"/>
          <w:shd w:val="clear" w:color="auto" w:fill="FFFFFF"/>
          <w:lang w:val="en-US"/>
        </w:rPr>
        <w:fldChar w:fldCharType="begin" w:fldLock="1"/>
      </w:r>
      <w:r w:rsidR="00C94E4F">
        <w:rPr>
          <w:color w:val="000000"/>
          <w:sz w:val="24"/>
          <w:szCs w:val="24"/>
          <w:shd w:val="clear" w:color="auto" w:fill="FFFFFF"/>
          <w:lang w:val="en-US"/>
        </w:rPr>
        <w:instrText>ADDIN CSL_CITATION {"citationItems":[{"id":"ITEM-1","itemData":{"author":[{"dropping-particle":"","family":"Coviello","given":"V","non-dropping-particle":"","parse-names":false,"suffix":""},{"dropping-particle":"","family":"Boggess","given":"M","non-dropping-particle":"","parse-names":false,"suffix":""}],"container-title":"The Stata Journal","id":"ITEM-1","issued":{"date-parts":[["2004"]]},"page":"103-112","title":"Cumulative incidence estimation in the presence of competing risks","type":"article-journal","volume":"4"},"uris":["http://www.mendeley.com/documents/?uuid=076666fc-1d5b-3a80-835d-15135efc1b18"]}],"mendeley":{"formattedCitation":"&lt;sup&gt;23&lt;/sup&gt;","plainTextFormattedCitation":"23","previouslyFormattedCitation":"&lt;sup&gt;23&lt;/sup&gt;"},"properties":{"noteIndex":0},"schema":"https://github.com/citation-style-language/schema/raw/master/csl-citation.json"}</w:instrText>
      </w:r>
      <w:r w:rsidR="009938B2" w:rsidRPr="001D3D20">
        <w:rPr>
          <w:color w:val="000000"/>
          <w:shd w:val="clear" w:color="auto" w:fill="FFFFFF"/>
          <w:lang w:val="en-US"/>
        </w:rPr>
        <w:fldChar w:fldCharType="separate"/>
      </w:r>
      <w:r w:rsidR="00AD16F2" w:rsidRPr="001D3D20">
        <w:rPr>
          <w:noProof/>
          <w:color w:val="000000"/>
          <w:sz w:val="24"/>
          <w:szCs w:val="24"/>
          <w:shd w:val="clear" w:color="auto" w:fill="FFFFFF"/>
          <w:vertAlign w:val="superscript"/>
          <w:lang w:val="en-US"/>
        </w:rPr>
        <w:t>23</w:t>
      </w:r>
      <w:r w:rsidR="009938B2" w:rsidRPr="001D3D20">
        <w:rPr>
          <w:color w:val="000000"/>
          <w:shd w:val="clear" w:color="auto" w:fill="FFFFFF"/>
          <w:lang w:val="en-US"/>
        </w:rPr>
        <w:fldChar w:fldCharType="end"/>
      </w:r>
      <w:r w:rsidR="009938B2" w:rsidRPr="001D3D20">
        <w:rPr>
          <w:color w:val="000000"/>
          <w:sz w:val="24"/>
          <w:szCs w:val="24"/>
          <w:shd w:val="clear" w:color="auto" w:fill="FFFFFF"/>
          <w:lang w:val="en-US"/>
        </w:rPr>
        <w:t xml:space="preserve"> and by use of Kaplan Meier for the composite outcome including death.</w:t>
      </w:r>
      <w:r w:rsidR="00307058" w:rsidRPr="001D3D20">
        <w:rPr>
          <w:color w:val="000000"/>
          <w:sz w:val="24"/>
          <w:szCs w:val="24"/>
          <w:shd w:val="clear" w:color="auto" w:fill="FFFFFF"/>
          <w:lang w:val="en-US"/>
        </w:rPr>
        <w:t xml:space="preserve"> </w:t>
      </w:r>
      <w:r w:rsidR="00051767" w:rsidRPr="001D3D20">
        <w:rPr>
          <w:sz w:val="24"/>
          <w:szCs w:val="24"/>
          <w:lang w:val="en-US"/>
        </w:rPr>
        <w:t>Patients were followed from</w:t>
      </w:r>
      <w:r w:rsidR="00E846A3" w:rsidRPr="001D3D20">
        <w:rPr>
          <w:sz w:val="24"/>
          <w:szCs w:val="24"/>
          <w:lang w:val="en-US"/>
        </w:rPr>
        <w:t xml:space="preserve"> time of</w:t>
      </w:r>
      <w:r w:rsidR="00051767" w:rsidRPr="001D3D20">
        <w:rPr>
          <w:sz w:val="24"/>
          <w:szCs w:val="24"/>
          <w:lang w:val="en-US"/>
        </w:rPr>
        <w:t xml:space="preserve"> atrial fibrillation diagnosis until the outcome of interest, emigration, death, end of follow-up</w:t>
      </w:r>
      <w:r w:rsidR="00835932" w:rsidRPr="001D3D20">
        <w:rPr>
          <w:sz w:val="24"/>
          <w:szCs w:val="24"/>
          <w:lang w:val="en-US"/>
        </w:rPr>
        <w:t xml:space="preserve"> (maximum three years)</w:t>
      </w:r>
      <w:r w:rsidR="00051767" w:rsidRPr="001D3D20">
        <w:rPr>
          <w:sz w:val="24"/>
          <w:szCs w:val="24"/>
          <w:lang w:val="en-US"/>
        </w:rPr>
        <w:t xml:space="preserve"> or study end</w:t>
      </w:r>
      <w:r w:rsidR="005C5A70" w:rsidRPr="001D3D20">
        <w:rPr>
          <w:sz w:val="24"/>
          <w:szCs w:val="24"/>
          <w:lang w:val="en-US"/>
        </w:rPr>
        <w:t xml:space="preserve"> (</w:t>
      </w:r>
      <w:r w:rsidR="005C5A70" w:rsidRPr="001D3D20">
        <w:rPr>
          <w:color w:val="000000"/>
          <w:sz w:val="24"/>
          <w:szCs w:val="24"/>
          <w:shd w:val="clear" w:color="auto" w:fill="FFFFFF"/>
          <w:lang w:val="en-US"/>
        </w:rPr>
        <w:t>October 30, 2017</w:t>
      </w:r>
      <w:r w:rsidR="005C5A70" w:rsidRPr="001D3D20">
        <w:rPr>
          <w:sz w:val="24"/>
          <w:szCs w:val="24"/>
          <w:lang w:val="en-US"/>
        </w:rPr>
        <w:t>)</w:t>
      </w:r>
      <w:r w:rsidR="00051767" w:rsidRPr="001D3D20">
        <w:rPr>
          <w:sz w:val="24"/>
          <w:szCs w:val="24"/>
          <w:lang w:val="en-US"/>
        </w:rPr>
        <w:t>, which ever came first.</w:t>
      </w:r>
      <w:r w:rsidR="009A0B30" w:rsidRPr="001D3D20">
        <w:rPr>
          <w:sz w:val="24"/>
          <w:szCs w:val="24"/>
          <w:lang w:val="en-US"/>
        </w:rPr>
        <w:t xml:space="preserve"> Results after 1-year follow-up were likewise calculated and presented only in the supplementary material.</w:t>
      </w:r>
      <w:r w:rsidR="009E4861" w:rsidRPr="001D3D20">
        <w:rPr>
          <w:color w:val="000000"/>
          <w:sz w:val="24"/>
          <w:szCs w:val="24"/>
          <w:shd w:val="clear" w:color="auto" w:fill="FFFFFF"/>
          <w:lang w:val="en-US"/>
        </w:rPr>
        <w:t xml:space="preserve"> </w:t>
      </w:r>
      <w:r w:rsidR="006478B3" w:rsidRPr="001D3D20">
        <w:rPr>
          <w:color w:val="000000"/>
          <w:sz w:val="24"/>
          <w:szCs w:val="24"/>
          <w:shd w:val="clear" w:color="auto" w:fill="FFFFFF"/>
          <w:lang w:val="en-US"/>
        </w:rPr>
        <w:t xml:space="preserve">Incidence </w:t>
      </w:r>
      <w:r w:rsidR="006478B3" w:rsidRPr="001D3D20">
        <w:rPr>
          <w:color w:val="000000"/>
          <w:sz w:val="24"/>
          <w:szCs w:val="24"/>
          <w:shd w:val="clear" w:color="auto" w:fill="FFFFFF"/>
          <w:lang w:val="en-US"/>
        </w:rPr>
        <w:lastRenderedPageBreak/>
        <w:t xml:space="preserve">rates per 100-person years </w:t>
      </w:r>
      <w:r w:rsidR="0028186C" w:rsidRPr="001D3D20">
        <w:rPr>
          <w:color w:val="000000"/>
          <w:sz w:val="24"/>
          <w:szCs w:val="24"/>
          <w:shd w:val="clear" w:color="auto" w:fill="FFFFFF"/>
          <w:lang w:val="en-US"/>
        </w:rPr>
        <w:t>were calculated</w:t>
      </w:r>
      <w:r w:rsidR="00DD69B2" w:rsidRPr="001D3D20">
        <w:rPr>
          <w:color w:val="000000"/>
          <w:sz w:val="24"/>
          <w:szCs w:val="24"/>
          <w:shd w:val="clear" w:color="auto" w:fill="FFFFFF"/>
          <w:lang w:val="en-US"/>
        </w:rPr>
        <w:t xml:space="preserve"> </w:t>
      </w:r>
      <w:r w:rsidR="009A0B30" w:rsidRPr="001D3D20">
        <w:rPr>
          <w:color w:val="000000"/>
          <w:sz w:val="24"/>
          <w:szCs w:val="24"/>
          <w:shd w:val="clear" w:color="auto" w:fill="FFFFFF"/>
          <w:lang w:val="en-US"/>
        </w:rPr>
        <w:t xml:space="preserve">only </w:t>
      </w:r>
      <w:r w:rsidR="003817D4" w:rsidRPr="001D3D20">
        <w:rPr>
          <w:color w:val="000000"/>
          <w:sz w:val="24"/>
          <w:szCs w:val="24"/>
          <w:shd w:val="clear" w:color="auto" w:fill="FFFFFF"/>
          <w:lang w:val="en-US"/>
        </w:rPr>
        <w:t xml:space="preserve">for </w:t>
      </w:r>
      <w:r w:rsidR="009A0B30" w:rsidRPr="001D3D20">
        <w:rPr>
          <w:color w:val="000000"/>
          <w:sz w:val="24"/>
          <w:szCs w:val="24"/>
          <w:shd w:val="clear" w:color="auto" w:fill="FFFFFF"/>
          <w:lang w:val="en-US"/>
        </w:rPr>
        <w:t xml:space="preserve">subgroup of </w:t>
      </w:r>
      <w:r w:rsidR="003817D4" w:rsidRPr="001D3D20">
        <w:rPr>
          <w:color w:val="000000"/>
          <w:sz w:val="24"/>
          <w:szCs w:val="24"/>
          <w:shd w:val="clear" w:color="auto" w:fill="FFFFFF"/>
          <w:lang w:val="en-US"/>
        </w:rPr>
        <w:t>patients free from anticoagulation</w:t>
      </w:r>
      <w:r w:rsidR="006478B3" w:rsidRPr="001D3D20">
        <w:rPr>
          <w:color w:val="000000"/>
          <w:sz w:val="24"/>
          <w:szCs w:val="24"/>
          <w:shd w:val="clear" w:color="auto" w:fill="FFFFFF"/>
          <w:lang w:val="en-US"/>
        </w:rPr>
        <w:t xml:space="preserve"> </w:t>
      </w:r>
      <w:r w:rsidR="0032600A" w:rsidRPr="001D3D20">
        <w:rPr>
          <w:color w:val="000000"/>
          <w:sz w:val="24"/>
          <w:szCs w:val="24"/>
          <w:shd w:val="clear" w:color="auto" w:fill="FFFFFF"/>
          <w:lang w:val="en-US"/>
        </w:rPr>
        <w:t xml:space="preserve">at baseline </w:t>
      </w:r>
      <w:r w:rsidR="00AD5DD0" w:rsidRPr="001D3D20">
        <w:rPr>
          <w:color w:val="000000"/>
          <w:sz w:val="24"/>
          <w:szCs w:val="24"/>
          <w:shd w:val="clear" w:color="auto" w:fill="FFFFFF"/>
          <w:lang w:val="en-US"/>
        </w:rPr>
        <w:t xml:space="preserve">with </w:t>
      </w:r>
      <w:r w:rsidR="00ED550B" w:rsidRPr="001D3D20">
        <w:rPr>
          <w:color w:val="000000"/>
          <w:sz w:val="24"/>
          <w:szCs w:val="24"/>
          <w:shd w:val="clear" w:color="auto" w:fill="FFFFFF"/>
          <w:lang w:val="en-US"/>
        </w:rPr>
        <w:t xml:space="preserve">additional </w:t>
      </w:r>
      <w:r w:rsidR="00AD5DD0" w:rsidRPr="001D3D20">
        <w:rPr>
          <w:color w:val="000000"/>
          <w:sz w:val="24"/>
          <w:szCs w:val="24"/>
          <w:shd w:val="clear" w:color="auto" w:fill="FFFFFF"/>
          <w:lang w:val="en-US"/>
        </w:rPr>
        <w:t>censoring at the time of initiation of</w:t>
      </w:r>
      <w:r w:rsidR="002A6430" w:rsidRPr="001D3D20">
        <w:rPr>
          <w:color w:val="000000"/>
          <w:sz w:val="24"/>
          <w:szCs w:val="24"/>
          <w:shd w:val="clear" w:color="auto" w:fill="FFFFFF"/>
          <w:lang w:val="en-US"/>
        </w:rPr>
        <w:t xml:space="preserve"> </w:t>
      </w:r>
      <w:r w:rsidR="00AD5DD0" w:rsidRPr="001D3D20">
        <w:rPr>
          <w:color w:val="000000"/>
          <w:sz w:val="24"/>
          <w:szCs w:val="24"/>
          <w:shd w:val="clear" w:color="auto" w:fill="FFFFFF"/>
          <w:lang w:val="en-US"/>
        </w:rPr>
        <w:t>oral anticoagulat</w:t>
      </w:r>
      <w:r w:rsidR="002A6430" w:rsidRPr="001D3D20">
        <w:rPr>
          <w:color w:val="000000"/>
          <w:sz w:val="24"/>
          <w:szCs w:val="24"/>
          <w:shd w:val="clear" w:color="auto" w:fill="FFFFFF"/>
          <w:lang w:val="en-US"/>
        </w:rPr>
        <w:t>ion</w:t>
      </w:r>
      <w:r w:rsidR="009A0B30" w:rsidRPr="001D3D20">
        <w:rPr>
          <w:color w:val="000000"/>
          <w:sz w:val="24"/>
          <w:szCs w:val="24"/>
          <w:shd w:val="clear" w:color="auto" w:fill="FFFFFF"/>
          <w:lang w:val="en-US"/>
        </w:rPr>
        <w:t>, to allow for comparison with previous studies reporting on incidence rates for an untreated population</w:t>
      </w:r>
      <w:r w:rsidR="00AD5DD0" w:rsidRPr="001D3D20">
        <w:rPr>
          <w:color w:val="000000"/>
          <w:sz w:val="24"/>
          <w:szCs w:val="24"/>
          <w:shd w:val="clear" w:color="auto" w:fill="FFFFFF"/>
          <w:lang w:val="en-US"/>
        </w:rPr>
        <w:t>.</w:t>
      </w:r>
      <w:r w:rsidR="00804371" w:rsidRPr="001D3D20">
        <w:rPr>
          <w:color w:val="000000"/>
          <w:sz w:val="24"/>
          <w:szCs w:val="24"/>
          <w:shd w:val="clear" w:color="auto" w:fill="FFFFFF"/>
          <w:lang w:val="en-US"/>
        </w:rPr>
        <w:fldChar w:fldCharType="begin" w:fldLock="1"/>
      </w:r>
      <w:r w:rsidR="00C94E4F">
        <w:rPr>
          <w:color w:val="000000"/>
          <w:sz w:val="24"/>
          <w:szCs w:val="24"/>
          <w:shd w:val="clear" w:color="auto" w:fill="FFFFFF"/>
          <w:lang w:val="en-US"/>
        </w:rPr>
        <w:instrText>ADDIN CSL_CITATION {"citationItems":[{"id":"ITEM-1","itemData":{"DOI":"10.1038/srep27410","ISSN":"2045-2322","author":[{"dropping-particle":"","family":"Nielsen","given":"Peter Brønnum","non-dropping-particle":"","parse-names":false,"suffix":""},{"dropping-particle":"","family":"Larsen","given":"Torben Bjerregaard","non-dropping-particle":"","parse-names":false,"suffix":""},{"dropping-particle":"","family":"Skjøth","given":"Flemming","non-dropping-particle":"","parse-names":false,"suffix":""},{"dropping-particle":"","family":"Overvad","given":"Thure Filskov","non-dropping-particle":"","parse-names":false,"suffix":""},{"dropping-particle":"","family":"Lip","given":"Gregory Y.","non-dropping-particle":"","parse-names":false,"suffix":""}],"container-title":"Scientific Reports","id":"ITEM-1","issued":{"date-parts":[["2016","6","6"]]},"page":"27410","title":"Stroke and thromboembolic event rates in atrial fibrillation according to different guideline treatment thresholds: A nationwide cohort study","type":"article-journal","volume":"6"},"uris":["http://www.mendeley.com/documents/?uuid=294dc5fc-03dc-47cc-aeb3-e404b1cb6642"]}],"mendeley":{"formattedCitation":"&lt;sup&gt;24&lt;/sup&gt;","plainTextFormattedCitation":"24","previouslyFormattedCitation":"&lt;sup&gt;24&lt;/sup&gt;"},"properties":{"noteIndex":0},"schema":"https://github.com/citation-style-language/schema/raw/master/csl-citation.json"}</w:instrText>
      </w:r>
      <w:r w:rsidR="00804371" w:rsidRPr="001D3D20">
        <w:rPr>
          <w:color w:val="000000"/>
          <w:sz w:val="24"/>
          <w:szCs w:val="24"/>
          <w:shd w:val="clear" w:color="auto" w:fill="FFFFFF"/>
          <w:lang w:val="en-US"/>
        </w:rPr>
        <w:fldChar w:fldCharType="separate"/>
      </w:r>
      <w:r w:rsidR="00AD16F2" w:rsidRPr="001D3D20">
        <w:rPr>
          <w:noProof/>
          <w:color w:val="000000"/>
          <w:sz w:val="24"/>
          <w:szCs w:val="24"/>
          <w:shd w:val="clear" w:color="auto" w:fill="FFFFFF"/>
          <w:vertAlign w:val="superscript"/>
          <w:lang w:val="en-US"/>
        </w:rPr>
        <w:t>24</w:t>
      </w:r>
      <w:r w:rsidR="00804371" w:rsidRPr="001D3D20">
        <w:rPr>
          <w:color w:val="000000"/>
          <w:sz w:val="24"/>
          <w:szCs w:val="24"/>
          <w:shd w:val="clear" w:color="auto" w:fill="FFFFFF"/>
          <w:lang w:val="en-US"/>
        </w:rPr>
        <w:fldChar w:fldCharType="end"/>
      </w:r>
      <w:r w:rsidR="0032600A" w:rsidRPr="001D3D20">
        <w:rPr>
          <w:color w:val="000000"/>
          <w:sz w:val="24"/>
          <w:szCs w:val="24"/>
          <w:shd w:val="clear" w:color="auto" w:fill="FFFFFF"/>
          <w:lang w:val="en-US"/>
        </w:rPr>
        <w:t xml:space="preserve"> </w:t>
      </w:r>
      <w:r w:rsidR="00AD0200" w:rsidRPr="001D3D20">
        <w:rPr>
          <w:color w:val="000000"/>
          <w:sz w:val="24"/>
          <w:szCs w:val="24"/>
          <w:shd w:val="clear" w:color="auto" w:fill="FFFFFF"/>
          <w:lang w:val="en-US"/>
        </w:rPr>
        <w:t>We applied time-to-event analysis using</w:t>
      </w:r>
      <w:r w:rsidR="006478B3" w:rsidRPr="001D3D20">
        <w:rPr>
          <w:color w:val="000000"/>
          <w:sz w:val="24"/>
          <w:szCs w:val="24"/>
          <w:shd w:val="clear" w:color="auto" w:fill="FFFFFF"/>
          <w:lang w:val="en-US"/>
        </w:rPr>
        <w:t xml:space="preserve"> </w:t>
      </w:r>
      <w:r w:rsidR="00351867" w:rsidRPr="001D3D20">
        <w:rPr>
          <w:color w:val="000000"/>
          <w:sz w:val="24"/>
          <w:szCs w:val="24"/>
          <w:shd w:val="clear" w:color="auto" w:fill="FFFFFF"/>
          <w:lang w:val="en-US"/>
        </w:rPr>
        <w:t>C</w:t>
      </w:r>
      <w:r w:rsidR="006478B3" w:rsidRPr="001D3D20">
        <w:rPr>
          <w:color w:val="000000"/>
          <w:sz w:val="24"/>
          <w:szCs w:val="24"/>
          <w:shd w:val="clear" w:color="auto" w:fill="FFFFFF"/>
          <w:lang w:val="en-US"/>
        </w:rPr>
        <w:t xml:space="preserve">ox regression analysis </w:t>
      </w:r>
      <w:r w:rsidR="00AD0200" w:rsidRPr="001D3D20">
        <w:rPr>
          <w:color w:val="000000"/>
          <w:sz w:val="24"/>
          <w:szCs w:val="24"/>
          <w:shd w:val="clear" w:color="auto" w:fill="FFFFFF"/>
          <w:lang w:val="en-US"/>
        </w:rPr>
        <w:t>with</w:t>
      </w:r>
      <w:r w:rsidR="00A41FD4" w:rsidRPr="001D3D20">
        <w:rPr>
          <w:color w:val="000000"/>
          <w:sz w:val="24"/>
          <w:szCs w:val="24"/>
          <w:shd w:val="clear" w:color="auto" w:fill="FFFFFF"/>
          <w:lang w:val="en-US"/>
        </w:rPr>
        <w:t xml:space="preserve"> time since atrial fibrillation diagnosis </w:t>
      </w:r>
      <w:r w:rsidR="00035598" w:rsidRPr="001D3D20">
        <w:rPr>
          <w:color w:val="000000"/>
          <w:sz w:val="24"/>
          <w:szCs w:val="24"/>
          <w:shd w:val="clear" w:color="auto" w:fill="FFFFFF"/>
          <w:lang w:val="en-US"/>
        </w:rPr>
        <w:t xml:space="preserve">as the underlying time-axis </w:t>
      </w:r>
      <w:r w:rsidR="006478B3" w:rsidRPr="001D3D20">
        <w:rPr>
          <w:color w:val="000000"/>
          <w:sz w:val="24"/>
          <w:szCs w:val="24"/>
          <w:shd w:val="clear" w:color="auto" w:fill="FFFFFF"/>
          <w:lang w:val="en-US"/>
        </w:rPr>
        <w:t>to calculate hazard rate ratios (HRs) for outcomes.</w:t>
      </w:r>
      <w:r w:rsidR="00351867" w:rsidRPr="001D3D20">
        <w:rPr>
          <w:color w:val="000000"/>
          <w:sz w:val="24"/>
          <w:szCs w:val="24"/>
          <w:shd w:val="clear" w:color="auto" w:fill="FFFFFF"/>
          <w:lang w:val="en-US"/>
        </w:rPr>
        <w:t xml:space="preserve"> </w:t>
      </w:r>
      <w:r w:rsidR="00CE15BB" w:rsidRPr="001D3D20">
        <w:rPr>
          <w:color w:val="000000"/>
          <w:sz w:val="24"/>
          <w:szCs w:val="24"/>
          <w:shd w:val="clear" w:color="auto" w:fill="FFFFFF"/>
          <w:lang w:val="en-US"/>
        </w:rPr>
        <w:t>Hazard ratios</w:t>
      </w:r>
      <w:r w:rsidR="006478B3" w:rsidRPr="001D3D20">
        <w:rPr>
          <w:color w:val="000000"/>
          <w:sz w:val="24"/>
          <w:szCs w:val="24"/>
          <w:shd w:val="clear" w:color="auto" w:fill="FFFFFF"/>
          <w:lang w:val="en-US"/>
        </w:rPr>
        <w:t xml:space="preserve"> </w:t>
      </w:r>
      <w:r w:rsidR="00EE62FA" w:rsidRPr="001D3D20">
        <w:rPr>
          <w:color w:val="000000"/>
          <w:sz w:val="24"/>
          <w:szCs w:val="24"/>
          <w:shd w:val="clear" w:color="auto" w:fill="FFFFFF"/>
          <w:lang w:val="en-US"/>
        </w:rPr>
        <w:t>were calculated as</w:t>
      </w:r>
      <w:r w:rsidR="006478B3" w:rsidRPr="001D3D20">
        <w:rPr>
          <w:color w:val="000000"/>
          <w:sz w:val="24"/>
          <w:szCs w:val="24"/>
          <w:shd w:val="clear" w:color="auto" w:fill="FFFFFF"/>
          <w:lang w:val="en-US"/>
        </w:rPr>
        <w:t xml:space="preserve"> crude and after adjustment for</w:t>
      </w:r>
      <w:r w:rsidR="00B542AC" w:rsidRPr="001D3D20">
        <w:rPr>
          <w:color w:val="000000"/>
          <w:sz w:val="24"/>
          <w:szCs w:val="24"/>
          <w:shd w:val="clear" w:color="auto" w:fill="FFFFFF"/>
          <w:lang w:val="en-US"/>
        </w:rPr>
        <w:t xml:space="preserve"> CHA</w:t>
      </w:r>
      <w:r w:rsidR="00B542AC" w:rsidRPr="001D3D20">
        <w:rPr>
          <w:color w:val="000000"/>
          <w:sz w:val="24"/>
          <w:szCs w:val="24"/>
          <w:shd w:val="clear" w:color="auto" w:fill="FFFFFF"/>
          <w:vertAlign w:val="subscript"/>
          <w:lang w:val="en-US"/>
        </w:rPr>
        <w:t>2</w:t>
      </w:r>
      <w:r w:rsidR="00B542AC" w:rsidRPr="001D3D20">
        <w:rPr>
          <w:color w:val="000000"/>
          <w:sz w:val="24"/>
          <w:szCs w:val="24"/>
          <w:shd w:val="clear" w:color="auto" w:fill="FFFFFF"/>
          <w:lang w:val="en-US"/>
        </w:rPr>
        <w:t>DS</w:t>
      </w:r>
      <w:r w:rsidR="00B542AC" w:rsidRPr="001D3D20">
        <w:rPr>
          <w:color w:val="000000"/>
          <w:sz w:val="24"/>
          <w:szCs w:val="24"/>
          <w:shd w:val="clear" w:color="auto" w:fill="FFFFFF"/>
          <w:vertAlign w:val="subscript"/>
          <w:lang w:val="en-US"/>
        </w:rPr>
        <w:t>2</w:t>
      </w:r>
      <w:r w:rsidR="00B542AC" w:rsidRPr="001D3D20">
        <w:rPr>
          <w:color w:val="000000"/>
          <w:sz w:val="24"/>
          <w:szCs w:val="24"/>
          <w:shd w:val="clear" w:color="auto" w:fill="FFFFFF"/>
          <w:lang w:val="en-US"/>
        </w:rPr>
        <w:t>-VASc components</w:t>
      </w:r>
      <w:r w:rsidR="00936184" w:rsidRPr="001D3D20">
        <w:rPr>
          <w:color w:val="000000"/>
          <w:sz w:val="24"/>
          <w:szCs w:val="24"/>
          <w:shd w:val="clear" w:color="auto" w:fill="FFFFFF"/>
          <w:lang w:val="en-US"/>
        </w:rPr>
        <w:t xml:space="preserve"> with age modelled as a cubic spline</w:t>
      </w:r>
      <w:r w:rsidR="00B542AC" w:rsidRPr="001D3D20">
        <w:rPr>
          <w:color w:val="000000"/>
          <w:sz w:val="24"/>
          <w:szCs w:val="24"/>
          <w:shd w:val="clear" w:color="auto" w:fill="FFFFFF"/>
          <w:lang w:val="en-US"/>
        </w:rPr>
        <w:t xml:space="preserve"> </w:t>
      </w:r>
      <w:r w:rsidR="009F2070" w:rsidRPr="001D3D20">
        <w:rPr>
          <w:color w:val="000000"/>
          <w:sz w:val="24"/>
          <w:szCs w:val="24"/>
          <w:shd w:val="clear" w:color="auto" w:fill="FFFFFF"/>
          <w:lang w:val="en-US"/>
        </w:rPr>
        <w:t>and</w:t>
      </w:r>
      <w:r w:rsidR="00B542AC" w:rsidRPr="001D3D20">
        <w:rPr>
          <w:color w:val="000000"/>
          <w:sz w:val="24"/>
          <w:szCs w:val="24"/>
          <w:shd w:val="clear" w:color="auto" w:fill="FFFFFF"/>
          <w:lang w:val="en-US"/>
        </w:rPr>
        <w:t xml:space="preserve"> </w:t>
      </w:r>
      <w:r w:rsidR="00AF240E" w:rsidRPr="001D3D20">
        <w:rPr>
          <w:color w:val="000000"/>
          <w:sz w:val="24"/>
          <w:szCs w:val="24"/>
          <w:shd w:val="clear" w:color="auto" w:fill="FFFFFF"/>
          <w:lang w:val="en-US"/>
        </w:rPr>
        <w:t xml:space="preserve">with indicator for </w:t>
      </w:r>
      <w:r w:rsidR="00B542AC" w:rsidRPr="001D3D20">
        <w:rPr>
          <w:color w:val="000000"/>
          <w:sz w:val="24"/>
          <w:szCs w:val="24"/>
          <w:shd w:val="clear" w:color="auto" w:fill="FFFFFF"/>
          <w:lang w:val="en-US"/>
        </w:rPr>
        <w:t>anticoagulant treatme</w:t>
      </w:r>
      <w:r w:rsidR="00351867" w:rsidRPr="001D3D20">
        <w:rPr>
          <w:color w:val="000000"/>
          <w:sz w:val="24"/>
          <w:szCs w:val="24"/>
          <w:shd w:val="clear" w:color="auto" w:fill="FFFFFF"/>
          <w:lang w:val="en-US"/>
        </w:rPr>
        <w:t>nt</w:t>
      </w:r>
      <w:r w:rsidR="00AF240E" w:rsidRPr="001D3D20">
        <w:rPr>
          <w:color w:val="000000"/>
          <w:sz w:val="24"/>
          <w:szCs w:val="24"/>
          <w:shd w:val="clear" w:color="auto" w:fill="FFFFFF"/>
          <w:lang w:val="en-US"/>
        </w:rPr>
        <w:t xml:space="preserve"> included as a time-varying covariate</w:t>
      </w:r>
      <w:r w:rsidR="00351867" w:rsidRPr="001D3D20">
        <w:rPr>
          <w:color w:val="000000"/>
          <w:sz w:val="24"/>
          <w:szCs w:val="24"/>
          <w:shd w:val="clear" w:color="auto" w:fill="FFFFFF"/>
          <w:lang w:val="en-US"/>
        </w:rPr>
        <w:t>.</w:t>
      </w:r>
      <w:r w:rsidR="008C77B3" w:rsidRPr="001D3D20">
        <w:rPr>
          <w:color w:val="000000"/>
          <w:sz w:val="24"/>
          <w:szCs w:val="24"/>
          <w:shd w:val="clear" w:color="auto" w:fill="FFFFFF"/>
          <w:lang w:val="en-US"/>
        </w:rPr>
        <w:t xml:space="preserve"> </w:t>
      </w:r>
      <w:r w:rsidR="003F4190" w:rsidRPr="001D3D20">
        <w:rPr>
          <w:color w:val="000000"/>
          <w:sz w:val="24"/>
          <w:szCs w:val="24"/>
          <w:shd w:val="clear" w:color="auto" w:fill="FFFFFF"/>
          <w:lang w:val="en-US"/>
        </w:rPr>
        <w:t>Additionally, p</w:t>
      </w:r>
      <w:r w:rsidR="00351867" w:rsidRPr="001D3D20">
        <w:rPr>
          <w:color w:val="000000"/>
          <w:sz w:val="24"/>
          <w:szCs w:val="24"/>
          <w:shd w:val="clear" w:color="auto" w:fill="FFFFFF"/>
          <w:lang w:val="en-US"/>
        </w:rPr>
        <w:t xml:space="preserve">respecified subgroup analyses were performed </w:t>
      </w:r>
      <w:r w:rsidR="00456A0F" w:rsidRPr="001D3D20">
        <w:rPr>
          <w:color w:val="000000"/>
          <w:sz w:val="24"/>
          <w:szCs w:val="24"/>
          <w:shd w:val="clear" w:color="auto" w:fill="FFFFFF"/>
          <w:lang w:val="en-US"/>
        </w:rPr>
        <w:t>for ‘low-risk’ patients defined as a CHA</w:t>
      </w:r>
      <w:r w:rsidR="00456A0F" w:rsidRPr="001D3D20">
        <w:rPr>
          <w:color w:val="000000"/>
          <w:sz w:val="24"/>
          <w:szCs w:val="24"/>
          <w:shd w:val="clear" w:color="auto" w:fill="FFFFFF"/>
          <w:vertAlign w:val="subscript"/>
          <w:lang w:val="en-US"/>
        </w:rPr>
        <w:t>2</w:t>
      </w:r>
      <w:r w:rsidR="00456A0F" w:rsidRPr="001D3D20">
        <w:rPr>
          <w:color w:val="000000"/>
          <w:sz w:val="24"/>
          <w:szCs w:val="24"/>
          <w:shd w:val="clear" w:color="auto" w:fill="FFFFFF"/>
          <w:lang w:val="en-US"/>
        </w:rPr>
        <w:t>DS</w:t>
      </w:r>
      <w:r w:rsidR="00456A0F" w:rsidRPr="001D3D20">
        <w:rPr>
          <w:color w:val="000000"/>
          <w:sz w:val="24"/>
          <w:szCs w:val="24"/>
          <w:shd w:val="clear" w:color="auto" w:fill="FFFFFF"/>
          <w:vertAlign w:val="subscript"/>
          <w:lang w:val="en-US"/>
        </w:rPr>
        <w:t>2</w:t>
      </w:r>
      <w:r w:rsidR="00456A0F" w:rsidRPr="001D3D20">
        <w:rPr>
          <w:color w:val="000000"/>
          <w:sz w:val="24"/>
          <w:szCs w:val="24"/>
          <w:shd w:val="clear" w:color="auto" w:fill="FFFFFF"/>
          <w:lang w:val="en-US"/>
        </w:rPr>
        <w:t>-VASc score of 1 or 2 for women and 0 or 1 for men</w:t>
      </w:r>
      <w:r w:rsidR="007E3A6E" w:rsidRPr="001D3D20">
        <w:rPr>
          <w:color w:val="000000"/>
          <w:sz w:val="24"/>
          <w:szCs w:val="24"/>
          <w:shd w:val="clear" w:color="auto" w:fill="FFFFFF"/>
          <w:lang w:val="en-US"/>
        </w:rPr>
        <w:t>, as well as</w:t>
      </w:r>
      <w:r w:rsidR="00456A0F" w:rsidRPr="001D3D20">
        <w:rPr>
          <w:color w:val="000000"/>
          <w:sz w:val="24"/>
          <w:szCs w:val="24"/>
          <w:shd w:val="clear" w:color="auto" w:fill="FFFFFF"/>
          <w:lang w:val="en-US"/>
        </w:rPr>
        <w:t xml:space="preserve"> </w:t>
      </w:r>
      <w:r w:rsidR="004F6399" w:rsidRPr="001D3D20">
        <w:rPr>
          <w:color w:val="000000"/>
          <w:sz w:val="24"/>
          <w:szCs w:val="24"/>
          <w:shd w:val="clear" w:color="auto" w:fill="FFFFFF"/>
          <w:lang w:val="en-US"/>
        </w:rPr>
        <w:t>with the</w:t>
      </w:r>
      <w:r w:rsidR="00456A0F" w:rsidRPr="001D3D20">
        <w:rPr>
          <w:color w:val="000000"/>
          <w:sz w:val="24"/>
          <w:szCs w:val="24"/>
          <w:shd w:val="clear" w:color="auto" w:fill="FFFFFF"/>
          <w:lang w:val="en-US"/>
        </w:rPr>
        <w:t xml:space="preserve"> VTE cohort</w:t>
      </w:r>
      <w:r w:rsidR="004F6399" w:rsidRPr="001D3D20">
        <w:rPr>
          <w:color w:val="000000"/>
          <w:sz w:val="24"/>
          <w:szCs w:val="24"/>
          <w:shd w:val="clear" w:color="auto" w:fill="FFFFFF"/>
          <w:lang w:val="en-US"/>
        </w:rPr>
        <w:t xml:space="preserve"> divided</w:t>
      </w:r>
      <w:r w:rsidR="00456A0F" w:rsidRPr="001D3D20">
        <w:rPr>
          <w:color w:val="000000"/>
          <w:sz w:val="24"/>
          <w:szCs w:val="24"/>
          <w:shd w:val="clear" w:color="auto" w:fill="FFFFFF"/>
          <w:lang w:val="en-US"/>
        </w:rPr>
        <w:t xml:space="preserve"> by VTE subtype (deep vein thrombosis vs. pulmonary embolism and provoked vs. unprovoked)</w:t>
      </w:r>
      <w:r w:rsidR="007E3A6E" w:rsidRPr="001D3D20">
        <w:rPr>
          <w:color w:val="000000"/>
          <w:sz w:val="24"/>
          <w:szCs w:val="24"/>
          <w:shd w:val="clear" w:color="auto" w:fill="FFFFFF"/>
          <w:lang w:val="en-US"/>
        </w:rPr>
        <w:t>.</w:t>
      </w:r>
      <w:r w:rsidR="0035317B" w:rsidRPr="001D3D20">
        <w:rPr>
          <w:color w:val="000000"/>
          <w:sz w:val="24"/>
          <w:szCs w:val="24"/>
          <w:shd w:val="clear" w:color="auto" w:fill="FFFFFF"/>
          <w:lang w:val="en-US"/>
        </w:rPr>
        <w:t xml:space="preserve"> </w:t>
      </w:r>
      <w:r w:rsidR="00C900FB" w:rsidRPr="001D3D20">
        <w:rPr>
          <w:color w:val="000000"/>
          <w:sz w:val="24"/>
          <w:szCs w:val="24"/>
          <w:shd w:val="clear" w:color="auto" w:fill="FFFFFF"/>
          <w:lang w:val="en-US"/>
        </w:rPr>
        <w:t>A crude and adjusted Cox regression analysis was repeated for the subset of patients not using oral anticoagulation, with additional censoring at the time of initiation of oral anticoagulation.</w:t>
      </w:r>
      <w:r w:rsidR="00B73D96" w:rsidRPr="001D3D20">
        <w:rPr>
          <w:color w:val="000000"/>
          <w:sz w:val="24"/>
          <w:szCs w:val="24"/>
          <w:shd w:val="clear" w:color="auto" w:fill="FFFFFF"/>
          <w:lang w:val="en-US"/>
        </w:rPr>
        <w:t xml:space="preserve"> Some supplementary analyses were also performed. </w:t>
      </w:r>
      <w:r w:rsidR="00574CB5" w:rsidRPr="001D3D20">
        <w:rPr>
          <w:color w:val="000000"/>
          <w:sz w:val="24"/>
          <w:szCs w:val="24"/>
          <w:shd w:val="clear" w:color="auto" w:fill="FFFFFF"/>
          <w:lang w:val="en-US"/>
        </w:rPr>
        <w:t>1)</w:t>
      </w:r>
      <w:r w:rsidR="00C900FB" w:rsidRPr="001D3D20">
        <w:rPr>
          <w:color w:val="000000"/>
          <w:sz w:val="24"/>
          <w:szCs w:val="24"/>
          <w:shd w:val="clear" w:color="auto" w:fill="FFFFFF"/>
          <w:lang w:val="en-US"/>
        </w:rPr>
        <w:t xml:space="preserve"> Repeating the main analyses but restricting follow-up to a maximum of 1 year, and </w:t>
      </w:r>
      <w:r w:rsidR="00574CB5" w:rsidRPr="001D3D20">
        <w:rPr>
          <w:color w:val="000000"/>
          <w:sz w:val="24"/>
          <w:szCs w:val="24"/>
          <w:shd w:val="clear" w:color="auto" w:fill="FFFFFF"/>
          <w:lang w:val="en-US"/>
        </w:rPr>
        <w:t>2)</w:t>
      </w:r>
      <w:r w:rsidR="000A6991" w:rsidRPr="001D3D20">
        <w:rPr>
          <w:color w:val="000000"/>
          <w:sz w:val="24"/>
          <w:szCs w:val="24"/>
          <w:shd w:val="clear" w:color="auto" w:fill="FFFFFF"/>
          <w:lang w:val="en-US"/>
        </w:rPr>
        <w:t xml:space="preserve"> </w:t>
      </w:r>
      <w:r w:rsidR="001E03D0" w:rsidRPr="001D3D20">
        <w:rPr>
          <w:color w:val="000000"/>
          <w:sz w:val="24"/>
          <w:szCs w:val="24"/>
          <w:shd w:val="clear" w:color="auto" w:fill="FFFFFF"/>
          <w:lang w:val="en-US"/>
        </w:rPr>
        <w:t>a</w:t>
      </w:r>
      <w:r w:rsidR="000A6991" w:rsidRPr="001D3D20">
        <w:rPr>
          <w:color w:val="000000"/>
          <w:sz w:val="24"/>
          <w:szCs w:val="24"/>
          <w:shd w:val="clear" w:color="auto" w:fill="FFFFFF"/>
          <w:lang w:val="en-US"/>
        </w:rPr>
        <w:t xml:space="preserve"> Cox regression analyses also including death in a composite outcome definition.</w:t>
      </w:r>
    </w:p>
    <w:p w14:paraId="78E2CACA" w14:textId="6CB26797" w:rsidR="00A010CA" w:rsidRPr="001D3D20" w:rsidRDefault="00A010CA" w:rsidP="006842EF">
      <w:pPr>
        <w:spacing w:line="360" w:lineRule="auto"/>
        <w:rPr>
          <w:color w:val="000000"/>
          <w:shd w:val="clear" w:color="auto" w:fill="FFFFFF"/>
          <w:lang w:val="en-US"/>
        </w:rPr>
      </w:pPr>
    </w:p>
    <w:p w14:paraId="133D0398" w14:textId="77777777" w:rsidR="00307058" w:rsidRPr="001D3D20" w:rsidRDefault="00307058" w:rsidP="006842EF">
      <w:pPr>
        <w:spacing w:line="360" w:lineRule="auto"/>
        <w:rPr>
          <w:color w:val="000000"/>
          <w:shd w:val="clear" w:color="auto" w:fill="FFFFFF"/>
          <w:lang w:val="en-US"/>
        </w:rPr>
      </w:pPr>
    </w:p>
    <w:p w14:paraId="79E01E54" w14:textId="73390505" w:rsidR="005A3F72" w:rsidRPr="001D3D20" w:rsidRDefault="00A010CA" w:rsidP="006842EF">
      <w:pPr>
        <w:spacing w:line="360" w:lineRule="auto"/>
        <w:rPr>
          <w:b/>
          <w:color w:val="000000"/>
          <w:shd w:val="clear" w:color="auto" w:fill="FFFFFF"/>
          <w:lang w:val="en-US"/>
        </w:rPr>
      </w:pPr>
      <w:r w:rsidRPr="001D3D20">
        <w:rPr>
          <w:b/>
          <w:color w:val="000000"/>
          <w:shd w:val="clear" w:color="auto" w:fill="FFFFFF"/>
          <w:lang w:val="en-US"/>
        </w:rPr>
        <w:t>Results</w:t>
      </w:r>
    </w:p>
    <w:p w14:paraId="0715CE04" w14:textId="0F79F08B" w:rsidR="00543933" w:rsidRPr="001D3D20" w:rsidRDefault="00665B99" w:rsidP="006842EF">
      <w:pPr>
        <w:spacing w:line="360" w:lineRule="auto"/>
        <w:rPr>
          <w:color w:val="000000"/>
          <w:shd w:val="clear" w:color="auto" w:fill="FFFFFF"/>
          <w:lang w:val="en-US"/>
        </w:rPr>
      </w:pPr>
      <w:r w:rsidRPr="001D3D20">
        <w:rPr>
          <w:color w:val="000000"/>
          <w:shd w:val="clear" w:color="auto" w:fill="FFFFFF"/>
          <w:lang w:val="en-US"/>
        </w:rPr>
        <w:t xml:space="preserve">After exclusions, </w:t>
      </w:r>
      <w:r w:rsidR="001C148D" w:rsidRPr="001D3D20">
        <w:rPr>
          <w:color w:val="000000"/>
          <w:shd w:val="clear" w:color="auto" w:fill="FFFFFF"/>
          <w:lang w:val="en-US"/>
        </w:rPr>
        <w:t>246,313</w:t>
      </w:r>
      <w:r w:rsidR="00543933" w:rsidRPr="001D3D20">
        <w:rPr>
          <w:color w:val="000000"/>
          <w:shd w:val="clear" w:color="auto" w:fill="FFFFFF"/>
          <w:lang w:val="en-US"/>
        </w:rPr>
        <w:t xml:space="preserve"> patients with incident atrial fibrillation</w:t>
      </w:r>
      <w:r w:rsidR="008359DB" w:rsidRPr="001D3D20">
        <w:rPr>
          <w:color w:val="000000"/>
          <w:shd w:val="clear" w:color="auto" w:fill="FFFFFF"/>
          <w:lang w:val="en-US"/>
        </w:rPr>
        <w:t xml:space="preserve"> were included</w:t>
      </w:r>
      <w:r w:rsidR="00543933" w:rsidRPr="001D3D20">
        <w:rPr>
          <w:color w:val="000000"/>
          <w:shd w:val="clear" w:color="auto" w:fill="FFFFFF"/>
          <w:lang w:val="en-US"/>
        </w:rPr>
        <w:t xml:space="preserve">, of which </w:t>
      </w:r>
      <w:r w:rsidR="00750FE0" w:rsidRPr="001D3D20">
        <w:rPr>
          <w:color w:val="000000"/>
          <w:shd w:val="clear" w:color="auto" w:fill="FFFFFF"/>
          <w:lang w:val="en-US"/>
        </w:rPr>
        <w:t>2.6</w:t>
      </w:r>
      <w:r w:rsidR="00543933" w:rsidRPr="001D3D20">
        <w:rPr>
          <w:color w:val="000000"/>
          <w:shd w:val="clear" w:color="auto" w:fill="FFFFFF"/>
          <w:lang w:val="en-US"/>
        </w:rPr>
        <w:t>%</w:t>
      </w:r>
      <w:r w:rsidR="00750FE0" w:rsidRPr="001D3D20">
        <w:rPr>
          <w:color w:val="000000"/>
          <w:shd w:val="clear" w:color="auto" w:fill="FFFFFF"/>
          <w:lang w:val="en-US"/>
        </w:rPr>
        <w:t xml:space="preserve"> (6,516)</w:t>
      </w:r>
      <w:r w:rsidR="00543933" w:rsidRPr="001D3D20">
        <w:rPr>
          <w:color w:val="000000"/>
          <w:shd w:val="clear" w:color="auto" w:fill="FFFFFF"/>
          <w:lang w:val="en-US"/>
        </w:rPr>
        <w:t xml:space="preserve"> had a history of </w:t>
      </w:r>
      <w:r w:rsidR="002130AF" w:rsidRPr="001D3D20">
        <w:rPr>
          <w:color w:val="000000"/>
          <w:shd w:val="clear" w:color="auto" w:fill="FFFFFF"/>
          <w:lang w:val="en-US"/>
        </w:rPr>
        <w:t>VTE</w:t>
      </w:r>
      <w:r w:rsidR="00E37F4A" w:rsidRPr="001D3D20">
        <w:rPr>
          <w:color w:val="000000"/>
          <w:shd w:val="clear" w:color="auto" w:fill="FFFFFF"/>
          <w:lang w:val="en-US"/>
        </w:rPr>
        <w:t xml:space="preserve"> (see </w:t>
      </w:r>
      <w:r w:rsidR="00E37F4A" w:rsidRPr="001D3D20">
        <w:rPr>
          <w:b/>
          <w:bCs/>
          <w:color w:val="000000"/>
          <w:shd w:val="clear" w:color="auto" w:fill="FFFFFF"/>
          <w:lang w:val="en-US"/>
        </w:rPr>
        <w:t>Figure 1</w:t>
      </w:r>
      <w:r w:rsidR="00C6328F" w:rsidRPr="001D3D20">
        <w:rPr>
          <w:b/>
          <w:bCs/>
          <w:color w:val="000000"/>
          <w:shd w:val="clear" w:color="auto" w:fill="FFFFFF"/>
          <w:lang w:val="en-US"/>
        </w:rPr>
        <w:t xml:space="preserve"> for </w:t>
      </w:r>
      <w:r w:rsidR="00C6328F" w:rsidRPr="001D3D20">
        <w:rPr>
          <w:color w:val="000000"/>
          <w:shd w:val="clear" w:color="auto" w:fill="FFFFFF"/>
          <w:lang w:val="en-US"/>
        </w:rPr>
        <w:t>patient selection process details</w:t>
      </w:r>
      <w:r w:rsidR="00E37F4A" w:rsidRPr="001D3D20">
        <w:rPr>
          <w:color w:val="000000"/>
          <w:shd w:val="clear" w:color="auto" w:fill="FFFFFF"/>
          <w:lang w:val="en-US"/>
        </w:rPr>
        <w:t>)</w:t>
      </w:r>
      <w:r w:rsidR="00D60CC4" w:rsidRPr="001D3D20">
        <w:rPr>
          <w:color w:val="000000"/>
          <w:shd w:val="clear" w:color="auto" w:fill="FFFFFF"/>
          <w:lang w:val="en-US"/>
        </w:rPr>
        <w:t xml:space="preserve">. Compared </w:t>
      </w:r>
      <w:r w:rsidR="008359DB" w:rsidRPr="001D3D20">
        <w:rPr>
          <w:color w:val="000000"/>
          <w:shd w:val="clear" w:color="auto" w:fill="FFFFFF"/>
          <w:lang w:val="en-US"/>
        </w:rPr>
        <w:t xml:space="preserve">with </w:t>
      </w:r>
      <w:r w:rsidR="00D60CC4" w:rsidRPr="001D3D20">
        <w:rPr>
          <w:color w:val="000000"/>
          <w:shd w:val="clear" w:color="auto" w:fill="FFFFFF"/>
          <w:lang w:val="en-US"/>
        </w:rPr>
        <w:t xml:space="preserve">patients </w:t>
      </w:r>
      <w:r w:rsidR="008359DB" w:rsidRPr="001D3D20">
        <w:rPr>
          <w:color w:val="000000"/>
          <w:shd w:val="clear" w:color="auto" w:fill="FFFFFF"/>
          <w:lang w:val="en-US"/>
        </w:rPr>
        <w:t xml:space="preserve">without previous </w:t>
      </w:r>
      <w:r w:rsidR="002130AF" w:rsidRPr="001D3D20">
        <w:rPr>
          <w:color w:val="000000"/>
          <w:shd w:val="clear" w:color="auto" w:fill="FFFFFF"/>
          <w:lang w:val="en-US"/>
        </w:rPr>
        <w:t>VTE</w:t>
      </w:r>
      <w:r w:rsidR="00D60CC4" w:rsidRPr="001D3D20">
        <w:rPr>
          <w:color w:val="000000"/>
          <w:shd w:val="clear" w:color="auto" w:fill="FFFFFF"/>
          <w:lang w:val="en-US"/>
        </w:rPr>
        <w:t>, patients with</w:t>
      </w:r>
      <w:r w:rsidR="008359DB" w:rsidRPr="001D3D20">
        <w:rPr>
          <w:color w:val="000000"/>
          <w:shd w:val="clear" w:color="auto" w:fill="FFFFFF"/>
          <w:lang w:val="en-US"/>
        </w:rPr>
        <w:t xml:space="preserve"> previous</w:t>
      </w:r>
      <w:r w:rsidR="00D60CC4" w:rsidRPr="001D3D20">
        <w:rPr>
          <w:color w:val="000000"/>
          <w:shd w:val="clear" w:color="auto" w:fill="FFFFFF"/>
          <w:lang w:val="en-US"/>
        </w:rPr>
        <w:t xml:space="preserve"> </w:t>
      </w:r>
      <w:r w:rsidR="002130AF" w:rsidRPr="001D3D20">
        <w:rPr>
          <w:color w:val="000000"/>
          <w:shd w:val="clear" w:color="auto" w:fill="FFFFFF"/>
          <w:lang w:val="en-US"/>
        </w:rPr>
        <w:t>VTE</w:t>
      </w:r>
      <w:r w:rsidR="00D60CC4" w:rsidRPr="001D3D20">
        <w:rPr>
          <w:color w:val="000000"/>
          <w:shd w:val="clear" w:color="auto" w:fill="FFFFFF"/>
          <w:lang w:val="en-US"/>
        </w:rPr>
        <w:t xml:space="preserve"> were older (median age </w:t>
      </w:r>
      <w:r w:rsidR="00F4035D" w:rsidRPr="001D3D20">
        <w:rPr>
          <w:color w:val="000000"/>
          <w:shd w:val="clear" w:color="auto" w:fill="FFFFFF"/>
          <w:lang w:val="en-US"/>
        </w:rPr>
        <w:t>76.4</w:t>
      </w:r>
      <w:r w:rsidR="008C0F7D" w:rsidRPr="001D3D20">
        <w:rPr>
          <w:color w:val="000000"/>
          <w:shd w:val="clear" w:color="auto" w:fill="FFFFFF"/>
          <w:lang w:val="en-US"/>
        </w:rPr>
        <w:t xml:space="preserve"> vs. 73.9 </w:t>
      </w:r>
      <w:r w:rsidR="00D60CC4" w:rsidRPr="001D3D20">
        <w:rPr>
          <w:color w:val="000000"/>
          <w:shd w:val="clear" w:color="auto" w:fill="FFFFFF"/>
          <w:lang w:val="en-US"/>
        </w:rPr>
        <w:t>years) and had a higher prevalence of comorbidity</w:t>
      </w:r>
      <w:r w:rsidR="00924A88" w:rsidRPr="001D3D20">
        <w:rPr>
          <w:color w:val="000000"/>
          <w:shd w:val="clear" w:color="auto" w:fill="FFFFFF"/>
          <w:lang w:val="en-US"/>
        </w:rPr>
        <w:t>, in particular</w:t>
      </w:r>
      <w:r w:rsidR="00C7549C" w:rsidRPr="001D3D20">
        <w:rPr>
          <w:color w:val="000000"/>
          <w:shd w:val="clear" w:color="auto" w:fill="FFFFFF"/>
          <w:lang w:val="en-US"/>
        </w:rPr>
        <w:t xml:space="preserve"> congestive heart failure (</w:t>
      </w:r>
      <w:r w:rsidR="005E4DED" w:rsidRPr="001D3D20">
        <w:rPr>
          <w:color w:val="000000"/>
          <w:shd w:val="clear" w:color="auto" w:fill="FFFFFF"/>
          <w:lang w:val="en-US"/>
        </w:rPr>
        <w:t>32.7</w:t>
      </w:r>
      <w:r w:rsidR="00C7549C" w:rsidRPr="001D3D20">
        <w:rPr>
          <w:color w:val="000000"/>
          <w:shd w:val="clear" w:color="auto" w:fill="FFFFFF"/>
          <w:lang w:val="en-US"/>
        </w:rPr>
        <w:t xml:space="preserve"> vs </w:t>
      </w:r>
      <w:r w:rsidR="005E4DED" w:rsidRPr="001D3D20">
        <w:rPr>
          <w:color w:val="000000"/>
          <w:shd w:val="clear" w:color="auto" w:fill="FFFFFF"/>
          <w:lang w:val="en-US"/>
        </w:rPr>
        <w:t>26.6</w:t>
      </w:r>
      <w:r w:rsidR="00C7549C" w:rsidRPr="001D3D20">
        <w:rPr>
          <w:color w:val="000000"/>
          <w:shd w:val="clear" w:color="auto" w:fill="FFFFFF"/>
          <w:lang w:val="en-US"/>
        </w:rPr>
        <w:t>%), vascular disease (</w:t>
      </w:r>
      <w:r w:rsidR="005E4DED" w:rsidRPr="001D3D20">
        <w:rPr>
          <w:color w:val="000000"/>
          <w:shd w:val="clear" w:color="auto" w:fill="FFFFFF"/>
          <w:lang w:val="en-US"/>
        </w:rPr>
        <w:t>22.2</w:t>
      </w:r>
      <w:r w:rsidR="00C7549C" w:rsidRPr="001D3D20">
        <w:rPr>
          <w:color w:val="000000"/>
          <w:shd w:val="clear" w:color="auto" w:fill="FFFFFF"/>
          <w:lang w:val="en-US"/>
        </w:rPr>
        <w:t xml:space="preserve"> vs </w:t>
      </w:r>
      <w:r w:rsidR="005E4DED" w:rsidRPr="001D3D20">
        <w:rPr>
          <w:color w:val="000000"/>
          <w:shd w:val="clear" w:color="auto" w:fill="FFFFFF"/>
          <w:lang w:val="en-US"/>
        </w:rPr>
        <w:t>18.5</w:t>
      </w:r>
      <w:r w:rsidR="00C7549C" w:rsidRPr="001D3D20">
        <w:rPr>
          <w:color w:val="000000"/>
          <w:shd w:val="clear" w:color="auto" w:fill="FFFFFF"/>
          <w:lang w:val="en-US"/>
        </w:rPr>
        <w:t>%)</w:t>
      </w:r>
      <w:r w:rsidR="005E4DED" w:rsidRPr="001D3D20">
        <w:rPr>
          <w:color w:val="000000"/>
          <w:shd w:val="clear" w:color="auto" w:fill="FFFFFF"/>
          <w:lang w:val="en-US"/>
        </w:rPr>
        <w:t xml:space="preserve"> and previous ischemic stroke (19.0 vs. 16.8%)</w:t>
      </w:r>
      <w:r w:rsidR="008359DB" w:rsidRPr="001D3D20">
        <w:rPr>
          <w:color w:val="000000"/>
          <w:shd w:val="clear" w:color="auto" w:fill="FFFFFF"/>
          <w:lang w:val="en-US"/>
        </w:rPr>
        <w:t xml:space="preserve">. </w:t>
      </w:r>
      <w:r w:rsidR="004A1F52" w:rsidRPr="001D3D20">
        <w:rPr>
          <w:color w:val="000000"/>
          <w:shd w:val="clear" w:color="auto" w:fill="FFFFFF"/>
          <w:lang w:val="en-US"/>
        </w:rPr>
        <w:t>The</w:t>
      </w:r>
      <w:r w:rsidR="008359DB" w:rsidRPr="001D3D20">
        <w:rPr>
          <w:color w:val="000000"/>
          <w:shd w:val="clear" w:color="auto" w:fill="FFFFFF"/>
          <w:lang w:val="en-US"/>
        </w:rPr>
        <w:t xml:space="preserve"> higher comorbidity </w:t>
      </w:r>
      <w:r w:rsidR="004A1F52" w:rsidRPr="001D3D20">
        <w:rPr>
          <w:color w:val="000000"/>
          <w:shd w:val="clear" w:color="auto" w:fill="FFFFFF"/>
          <w:lang w:val="en-US"/>
        </w:rPr>
        <w:t xml:space="preserve">burden </w:t>
      </w:r>
      <w:r w:rsidR="008359DB" w:rsidRPr="001D3D20">
        <w:rPr>
          <w:color w:val="000000"/>
          <w:shd w:val="clear" w:color="auto" w:fill="FFFFFF"/>
          <w:lang w:val="en-US"/>
        </w:rPr>
        <w:t xml:space="preserve">among patients with previous VTE was </w:t>
      </w:r>
      <w:r w:rsidR="006027B6" w:rsidRPr="001D3D20">
        <w:rPr>
          <w:color w:val="000000"/>
          <w:shd w:val="clear" w:color="auto" w:fill="FFFFFF"/>
          <w:lang w:val="en-US"/>
        </w:rPr>
        <w:t xml:space="preserve">also reflected in </w:t>
      </w:r>
      <w:r w:rsidR="009245A5" w:rsidRPr="001D3D20">
        <w:rPr>
          <w:color w:val="000000"/>
          <w:shd w:val="clear" w:color="auto" w:fill="FFFFFF"/>
          <w:lang w:val="en-US"/>
        </w:rPr>
        <w:t>a</w:t>
      </w:r>
      <w:r w:rsidR="00A4357B" w:rsidRPr="001D3D20">
        <w:rPr>
          <w:color w:val="000000"/>
          <w:shd w:val="clear" w:color="auto" w:fill="FFFFFF"/>
          <w:lang w:val="en-US"/>
        </w:rPr>
        <w:t xml:space="preserve"> slightly</w:t>
      </w:r>
      <w:r w:rsidR="009245A5" w:rsidRPr="001D3D20">
        <w:rPr>
          <w:color w:val="000000"/>
          <w:shd w:val="clear" w:color="auto" w:fill="FFFFFF"/>
          <w:lang w:val="en-US"/>
        </w:rPr>
        <w:t xml:space="preserve"> higher mean CHA</w:t>
      </w:r>
      <w:r w:rsidR="009245A5" w:rsidRPr="001D3D20">
        <w:rPr>
          <w:color w:val="000000"/>
          <w:shd w:val="clear" w:color="auto" w:fill="FFFFFF"/>
          <w:vertAlign w:val="subscript"/>
          <w:lang w:val="en-US"/>
        </w:rPr>
        <w:t>2</w:t>
      </w:r>
      <w:r w:rsidR="009245A5" w:rsidRPr="001D3D20">
        <w:rPr>
          <w:color w:val="000000"/>
          <w:shd w:val="clear" w:color="auto" w:fill="FFFFFF"/>
          <w:lang w:val="en-US"/>
        </w:rPr>
        <w:t>DS</w:t>
      </w:r>
      <w:r w:rsidR="009245A5" w:rsidRPr="001D3D20">
        <w:rPr>
          <w:color w:val="000000"/>
          <w:shd w:val="clear" w:color="auto" w:fill="FFFFFF"/>
          <w:vertAlign w:val="subscript"/>
          <w:lang w:val="en-US"/>
        </w:rPr>
        <w:t>2</w:t>
      </w:r>
      <w:r w:rsidR="009245A5" w:rsidRPr="001D3D20">
        <w:rPr>
          <w:color w:val="000000"/>
          <w:shd w:val="clear" w:color="auto" w:fill="FFFFFF"/>
          <w:lang w:val="en-US"/>
        </w:rPr>
        <w:t>-VASc score (</w:t>
      </w:r>
      <w:r w:rsidR="00A4357B" w:rsidRPr="001D3D20">
        <w:rPr>
          <w:color w:val="000000"/>
          <w:shd w:val="clear" w:color="auto" w:fill="FFFFFF"/>
          <w:lang w:val="en-US"/>
        </w:rPr>
        <w:t>3.4 vs 3.1</w:t>
      </w:r>
      <w:r w:rsidR="009245A5" w:rsidRPr="001D3D20">
        <w:rPr>
          <w:color w:val="000000"/>
          <w:shd w:val="clear" w:color="auto" w:fill="FFFFFF"/>
          <w:lang w:val="en-US"/>
        </w:rPr>
        <w:t>)</w:t>
      </w:r>
      <w:r w:rsidR="00970026" w:rsidRPr="001D3D20">
        <w:rPr>
          <w:color w:val="000000"/>
          <w:shd w:val="clear" w:color="auto" w:fill="FFFFFF"/>
          <w:lang w:val="en-US"/>
        </w:rPr>
        <w:t xml:space="preserve">. </w:t>
      </w:r>
      <w:r w:rsidR="00E838F1" w:rsidRPr="001D3D20">
        <w:rPr>
          <w:color w:val="000000"/>
          <w:shd w:val="clear" w:color="auto" w:fill="FFFFFF"/>
          <w:lang w:val="en-US"/>
        </w:rPr>
        <w:t>A recent prescription</w:t>
      </w:r>
      <w:r w:rsidR="00970026" w:rsidRPr="001D3D20">
        <w:rPr>
          <w:color w:val="000000"/>
          <w:shd w:val="clear" w:color="auto" w:fill="FFFFFF"/>
          <w:lang w:val="en-US"/>
        </w:rPr>
        <w:t xml:space="preserve"> of oral anticoagulation</w:t>
      </w:r>
      <w:r w:rsidR="00E838F1" w:rsidRPr="001D3D20">
        <w:rPr>
          <w:color w:val="000000"/>
          <w:shd w:val="clear" w:color="auto" w:fill="FFFFFF"/>
          <w:lang w:val="en-US"/>
        </w:rPr>
        <w:t xml:space="preserve"> use</w:t>
      </w:r>
      <w:r w:rsidR="00970026" w:rsidRPr="001D3D20">
        <w:rPr>
          <w:color w:val="000000"/>
          <w:shd w:val="clear" w:color="auto" w:fill="FFFFFF"/>
          <w:lang w:val="en-US"/>
        </w:rPr>
        <w:t xml:space="preserve"> was mo</w:t>
      </w:r>
      <w:r w:rsidR="00E838F1" w:rsidRPr="001D3D20">
        <w:rPr>
          <w:color w:val="000000"/>
          <w:shd w:val="clear" w:color="auto" w:fill="FFFFFF"/>
          <w:lang w:val="en-US"/>
        </w:rPr>
        <w:t>st</w:t>
      </w:r>
      <w:r w:rsidR="00970026" w:rsidRPr="001D3D20">
        <w:rPr>
          <w:color w:val="000000"/>
          <w:shd w:val="clear" w:color="auto" w:fill="FFFFFF"/>
          <w:lang w:val="en-US"/>
        </w:rPr>
        <w:t xml:space="preserve"> frequent among </w:t>
      </w:r>
      <w:r w:rsidR="002130AF" w:rsidRPr="001D3D20">
        <w:rPr>
          <w:color w:val="000000"/>
          <w:shd w:val="clear" w:color="auto" w:fill="FFFFFF"/>
          <w:lang w:val="en-US"/>
        </w:rPr>
        <w:t>VTE</w:t>
      </w:r>
      <w:r w:rsidR="00D60CC4" w:rsidRPr="001D3D20">
        <w:rPr>
          <w:color w:val="000000"/>
          <w:shd w:val="clear" w:color="auto" w:fill="FFFFFF"/>
          <w:lang w:val="en-US"/>
        </w:rPr>
        <w:t xml:space="preserve"> patients (</w:t>
      </w:r>
      <w:r w:rsidR="00A65365" w:rsidRPr="001D3D20">
        <w:rPr>
          <w:color w:val="000000"/>
          <w:shd w:val="clear" w:color="auto" w:fill="FFFFFF"/>
          <w:lang w:val="en-US"/>
        </w:rPr>
        <w:t>43.3</w:t>
      </w:r>
      <w:r w:rsidR="00D60CC4" w:rsidRPr="001D3D20">
        <w:rPr>
          <w:color w:val="000000"/>
          <w:shd w:val="clear" w:color="auto" w:fill="FFFFFF"/>
          <w:lang w:val="en-US"/>
        </w:rPr>
        <w:t xml:space="preserve"> vs </w:t>
      </w:r>
      <w:r w:rsidR="00A65365" w:rsidRPr="001D3D20">
        <w:rPr>
          <w:color w:val="000000"/>
          <w:shd w:val="clear" w:color="auto" w:fill="FFFFFF"/>
          <w:lang w:val="en-US"/>
        </w:rPr>
        <w:t>19.3</w:t>
      </w:r>
      <w:r w:rsidR="00D60CC4" w:rsidRPr="001D3D20">
        <w:rPr>
          <w:color w:val="000000"/>
          <w:shd w:val="clear" w:color="auto" w:fill="FFFFFF"/>
          <w:lang w:val="en-US"/>
        </w:rPr>
        <w:t xml:space="preserve">%). </w:t>
      </w:r>
      <w:r w:rsidR="005E2184" w:rsidRPr="001D3D20">
        <w:rPr>
          <w:color w:val="000000"/>
          <w:shd w:val="clear" w:color="auto" w:fill="FFFFFF"/>
          <w:lang w:val="en-US"/>
        </w:rPr>
        <w:t>In the</w:t>
      </w:r>
      <w:r w:rsidR="00D60CC4" w:rsidRPr="001D3D20">
        <w:rPr>
          <w:color w:val="000000"/>
          <w:shd w:val="clear" w:color="auto" w:fill="FFFFFF"/>
          <w:lang w:val="en-US"/>
        </w:rPr>
        <w:t xml:space="preserve"> </w:t>
      </w:r>
      <w:r w:rsidR="002130AF" w:rsidRPr="001D3D20">
        <w:rPr>
          <w:color w:val="000000"/>
          <w:shd w:val="clear" w:color="auto" w:fill="FFFFFF"/>
          <w:lang w:val="en-US"/>
        </w:rPr>
        <w:t>VTE</w:t>
      </w:r>
      <w:r w:rsidR="005E2184" w:rsidRPr="001D3D20">
        <w:rPr>
          <w:color w:val="000000"/>
          <w:shd w:val="clear" w:color="auto" w:fill="FFFFFF"/>
          <w:lang w:val="en-US"/>
        </w:rPr>
        <w:t xml:space="preserve"> group</w:t>
      </w:r>
      <w:r w:rsidR="00D60CC4" w:rsidRPr="001D3D20">
        <w:rPr>
          <w:color w:val="000000"/>
          <w:shd w:val="clear" w:color="auto" w:fill="FFFFFF"/>
          <w:lang w:val="en-US"/>
        </w:rPr>
        <w:t xml:space="preserve">, </w:t>
      </w:r>
      <w:r w:rsidR="0043358E" w:rsidRPr="001D3D20">
        <w:rPr>
          <w:color w:val="000000"/>
          <w:shd w:val="clear" w:color="auto" w:fill="FFFFFF"/>
          <w:lang w:val="en-US"/>
        </w:rPr>
        <w:t>68.4</w:t>
      </w:r>
      <w:r w:rsidR="00D60CC4" w:rsidRPr="001D3D20">
        <w:rPr>
          <w:color w:val="000000"/>
          <w:shd w:val="clear" w:color="auto" w:fill="FFFFFF"/>
          <w:lang w:val="en-US"/>
        </w:rPr>
        <w:t xml:space="preserve">% had a history of deep vein thrombosis, </w:t>
      </w:r>
      <w:r w:rsidR="0043358E" w:rsidRPr="001D3D20">
        <w:rPr>
          <w:color w:val="000000"/>
          <w:shd w:val="clear" w:color="auto" w:fill="FFFFFF"/>
          <w:lang w:val="en-US"/>
        </w:rPr>
        <w:t>45.4</w:t>
      </w:r>
      <w:r w:rsidR="00D60CC4" w:rsidRPr="001D3D20">
        <w:rPr>
          <w:color w:val="000000"/>
          <w:shd w:val="clear" w:color="auto" w:fill="FFFFFF"/>
          <w:lang w:val="en-US"/>
        </w:rPr>
        <w:t xml:space="preserve">% a history of pulmonary embolism, and </w:t>
      </w:r>
      <w:r w:rsidR="0043358E" w:rsidRPr="001D3D20">
        <w:rPr>
          <w:color w:val="000000"/>
          <w:shd w:val="clear" w:color="auto" w:fill="FFFFFF"/>
          <w:lang w:val="en-US"/>
        </w:rPr>
        <w:t>13.8</w:t>
      </w:r>
      <w:r w:rsidR="00D60CC4" w:rsidRPr="001D3D20">
        <w:rPr>
          <w:color w:val="000000"/>
          <w:shd w:val="clear" w:color="auto" w:fill="FFFFFF"/>
          <w:lang w:val="en-US"/>
        </w:rPr>
        <w:t xml:space="preserve">% a history of both. </w:t>
      </w:r>
      <w:r w:rsidR="00723B4C" w:rsidRPr="001D3D20">
        <w:rPr>
          <w:color w:val="000000"/>
          <w:shd w:val="clear" w:color="auto" w:fill="FFFFFF"/>
          <w:lang w:val="en-US"/>
        </w:rPr>
        <w:t xml:space="preserve">Among those with a history of </w:t>
      </w:r>
      <w:r w:rsidR="002130AF" w:rsidRPr="001D3D20">
        <w:rPr>
          <w:color w:val="000000"/>
          <w:shd w:val="clear" w:color="auto" w:fill="FFFFFF"/>
          <w:lang w:val="en-US"/>
        </w:rPr>
        <w:t>VTE</w:t>
      </w:r>
      <w:r w:rsidR="00723B4C" w:rsidRPr="001D3D20">
        <w:rPr>
          <w:color w:val="000000"/>
          <w:shd w:val="clear" w:color="auto" w:fill="FFFFFF"/>
          <w:lang w:val="en-US"/>
        </w:rPr>
        <w:t xml:space="preserve">, 59.4% </w:t>
      </w:r>
      <w:r w:rsidR="00D60CC4" w:rsidRPr="001D3D20">
        <w:rPr>
          <w:color w:val="000000"/>
          <w:shd w:val="clear" w:color="auto" w:fill="FFFFFF"/>
          <w:lang w:val="en-US"/>
        </w:rPr>
        <w:t xml:space="preserve">were </w:t>
      </w:r>
      <w:r w:rsidR="008A7FDF" w:rsidRPr="001D3D20">
        <w:rPr>
          <w:color w:val="000000"/>
          <w:shd w:val="clear" w:color="auto" w:fill="FFFFFF"/>
          <w:lang w:val="en-US"/>
        </w:rPr>
        <w:t>categorized</w:t>
      </w:r>
      <w:r w:rsidR="00D60CC4" w:rsidRPr="001D3D20">
        <w:rPr>
          <w:color w:val="000000"/>
          <w:shd w:val="clear" w:color="auto" w:fill="FFFFFF"/>
          <w:lang w:val="en-US"/>
        </w:rPr>
        <w:t xml:space="preserve"> as provoke</w:t>
      </w:r>
      <w:r w:rsidR="00723B4C" w:rsidRPr="001D3D20">
        <w:rPr>
          <w:color w:val="000000"/>
          <w:shd w:val="clear" w:color="auto" w:fill="FFFFFF"/>
          <w:lang w:val="en-US"/>
        </w:rPr>
        <w:t>d</w:t>
      </w:r>
      <w:r w:rsidR="00D60CC4" w:rsidRPr="001D3D20">
        <w:rPr>
          <w:color w:val="000000"/>
          <w:shd w:val="clear" w:color="auto" w:fill="FFFFFF"/>
          <w:lang w:val="en-US"/>
        </w:rPr>
        <w:t xml:space="preserve"> and</w:t>
      </w:r>
      <w:r w:rsidR="00723B4C" w:rsidRPr="001D3D20">
        <w:rPr>
          <w:color w:val="000000"/>
          <w:shd w:val="clear" w:color="auto" w:fill="FFFFFF"/>
          <w:lang w:val="en-US"/>
        </w:rPr>
        <w:t xml:space="preserve"> 40.6% as</w:t>
      </w:r>
      <w:r w:rsidR="00D60CC4" w:rsidRPr="001D3D20">
        <w:rPr>
          <w:color w:val="000000"/>
          <w:shd w:val="clear" w:color="auto" w:fill="FFFFFF"/>
          <w:lang w:val="en-US"/>
        </w:rPr>
        <w:t xml:space="preserve"> unprovoked.</w:t>
      </w:r>
    </w:p>
    <w:p w14:paraId="007CB3B5" w14:textId="0B3315B4" w:rsidR="004A1E3E" w:rsidRPr="001D3D20" w:rsidRDefault="004A1E3E" w:rsidP="006842EF">
      <w:pPr>
        <w:spacing w:line="360" w:lineRule="auto"/>
        <w:rPr>
          <w:color w:val="000000"/>
          <w:shd w:val="clear" w:color="auto" w:fill="FFFFFF"/>
          <w:lang w:val="en-US"/>
        </w:rPr>
      </w:pPr>
    </w:p>
    <w:p w14:paraId="41D45C07" w14:textId="71F7646A" w:rsidR="00DA3572" w:rsidRPr="001D3D20" w:rsidRDefault="002A2432" w:rsidP="006842EF">
      <w:pPr>
        <w:spacing w:line="360" w:lineRule="auto"/>
        <w:rPr>
          <w:i/>
          <w:iCs/>
          <w:color w:val="000000"/>
          <w:shd w:val="clear" w:color="auto" w:fill="FFFFFF"/>
          <w:lang w:val="en-US"/>
        </w:rPr>
      </w:pPr>
      <w:r w:rsidRPr="001D3D20">
        <w:rPr>
          <w:i/>
          <w:iCs/>
          <w:color w:val="000000"/>
          <w:shd w:val="clear" w:color="auto" w:fill="FFFFFF"/>
          <w:lang w:val="en-US"/>
        </w:rPr>
        <w:t>Cumulative incidence and incidence rates</w:t>
      </w:r>
    </w:p>
    <w:p w14:paraId="1A3497C8" w14:textId="1ECD2FDC" w:rsidR="00A95122" w:rsidRPr="001D3D20" w:rsidRDefault="00546E6F" w:rsidP="006842EF">
      <w:pPr>
        <w:spacing w:line="360" w:lineRule="auto"/>
        <w:rPr>
          <w:color w:val="000000"/>
          <w:shd w:val="clear" w:color="auto" w:fill="FFFFFF"/>
          <w:lang w:val="en-US"/>
        </w:rPr>
      </w:pPr>
      <w:r w:rsidRPr="001D3D20">
        <w:rPr>
          <w:b/>
          <w:bCs/>
          <w:color w:val="000000"/>
          <w:shd w:val="clear" w:color="auto" w:fill="FFFFFF"/>
          <w:lang w:val="en-US"/>
        </w:rPr>
        <w:lastRenderedPageBreak/>
        <w:t>Figure 2</w:t>
      </w:r>
      <w:r w:rsidRPr="001D3D20">
        <w:rPr>
          <w:color w:val="000000"/>
          <w:shd w:val="clear" w:color="auto" w:fill="FFFFFF"/>
          <w:lang w:val="en-US"/>
        </w:rPr>
        <w:t xml:space="preserve"> shows c</w:t>
      </w:r>
      <w:r w:rsidR="00A302C1" w:rsidRPr="001D3D20">
        <w:rPr>
          <w:color w:val="000000"/>
          <w:shd w:val="clear" w:color="auto" w:fill="FFFFFF"/>
          <w:lang w:val="en-US"/>
        </w:rPr>
        <w:t>rude</w:t>
      </w:r>
      <w:r w:rsidR="004A1E3E" w:rsidRPr="001D3D20">
        <w:rPr>
          <w:color w:val="000000"/>
          <w:shd w:val="clear" w:color="auto" w:fill="FFFFFF"/>
          <w:lang w:val="en-US"/>
        </w:rPr>
        <w:t xml:space="preserve"> cumulative incidence </w:t>
      </w:r>
      <w:r w:rsidR="00A302C1" w:rsidRPr="001D3D20">
        <w:rPr>
          <w:color w:val="000000"/>
          <w:shd w:val="clear" w:color="auto" w:fill="FFFFFF"/>
          <w:lang w:val="en-US"/>
        </w:rPr>
        <w:t>curves</w:t>
      </w:r>
      <w:r w:rsidR="008D24FF" w:rsidRPr="001D3D20">
        <w:rPr>
          <w:color w:val="000000"/>
          <w:shd w:val="clear" w:color="auto" w:fill="FFFFFF"/>
          <w:lang w:val="en-US"/>
        </w:rPr>
        <w:t xml:space="preserve"> taking into account competing risk of death</w:t>
      </w:r>
      <w:r w:rsidRPr="001D3D20">
        <w:rPr>
          <w:color w:val="000000"/>
          <w:shd w:val="clear" w:color="auto" w:fill="FFFFFF"/>
          <w:lang w:val="en-US"/>
        </w:rPr>
        <w:t xml:space="preserve">. Risk </w:t>
      </w:r>
      <w:r w:rsidR="00422A94" w:rsidRPr="001D3D20">
        <w:rPr>
          <w:color w:val="000000"/>
          <w:shd w:val="clear" w:color="auto" w:fill="FFFFFF"/>
          <w:lang w:val="en-US"/>
        </w:rPr>
        <w:t>of ischemic stroke or systemic embolism</w:t>
      </w:r>
      <w:r w:rsidR="00A302C1" w:rsidRPr="001D3D20">
        <w:rPr>
          <w:color w:val="000000"/>
          <w:shd w:val="clear" w:color="auto" w:fill="FFFFFF"/>
          <w:lang w:val="en-US"/>
        </w:rPr>
        <w:t xml:space="preserve"> </w:t>
      </w:r>
      <w:r w:rsidRPr="001D3D20">
        <w:rPr>
          <w:color w:val="000000"/>
          <w:shd w:val="clear" w:color="auto" w:fill="FFFFFF"/>
          <w:lang w:val="en-US"/>
        </w:rPr>
        <w:t xml:space="preserve">were similar </w:t>
      </w:r>
      <w:r w:rsidR="00422A94" w:rsidRPr="001D3D20">
        <w:rPr>
          <w:color w:val="000000"/>
          <w:shd w:val="clear" w:color="auto" w:fill="FFFFFF"/>
          <w:lang w:val="en-US"/>
        </w:rPr>
        <w:t>irrespective of</w:t>
      </w:r>
      <w:r w:rsidR="00A302C1" w:rsidRPr="001D3D20">
        <w:rPr>
          <w:color w:val="000000"/>
          <w:shd w:val="clear" w:color="auto" w:fill="FFFFFF"/>
          <w:lang w:val="en-US"/>
        </w:rPr>
        <w:t xml:space="preserve"> </w:t>
      </w:r>
      <w:r w:rsidR="002130AF" w:rsidRPr="001D3D20">
        <w:rPr>
          <w:color w:val="000000"/>
          <w:shd w:val="clear" w:color="auto" w:fill="FFFFFF"/>
          <w:lang w:val="en-US"/>
        </w:rPr>
        <w:t>VTE</w:t>
      </w:r>
      <w:r w:rsidR="00E37F4A" w:rsidRPr="001D3D20">
        <w:rPr>
          <w:color w:val="000000"/>
          <w:shd w:val="clear" w:color="auto" w:fill="FFFFFF"/>
          <w:lang w:val="en-US"/>
        </w:rPr>
        <w:t xml:space="preserve"> </w:t>
      </w:r>
      <w:r w:rsidR="00422A94" w:rsidRPr="001D3D20">
        <w:rPr>
          <w:color w:val="000000"/>
          <w:shd w:val="clear" w:color="auto" w:fill="FFFFFF"/>
          <w:lang w:val="en-US"/>
        </w:rPr>
        <w:t xml:space="preserve">history </w:t>
      </w:r>
      <w:r w:rsidR="00A302C1" w:rsidRPr="001D3D20">
        <w:rPr>
          <w:color w:val="000000"/>
          <w:shd w:val="clear" w:color="auto" w:fill="FFFFFF"/>
          <w:lang w:val="en-US"/>
        </w:rPr>
        <w:t>(</w:t>
      </w:r>
      <w:r w:rsidR="00A302C1" w:rsidRPr="001D3D20">
        <w:rPr>
          <w:b/>
          <w:bCs/>
          <w:color w:val="000000"/>
          <w:shd w:val="clear" w:color="auto" w:fill="FFFFFF"/>
          <w:lang w:val="en-US"/>
        </w:rPr>
        <w:t>Figure 2</w:t>
      </w:r>
      <w:r w:rsidRPr="001D3D20">
        <w:rPr>
          <w:b/>
          <w:bCs/>
          <w:color w:val="000000"/>
          <w:shd w:val="clear" w:color="auto" w:fill="FFFFFF"/>
          <w:lang w:val="en-US"/>
        </w:rPr>
        <w:t>a</w:t>
      </w:r>
      <w:r w:rsidR="00A302C1" w:rsidRPr="001D3D20">
        <w:rPr>
          <w:color w:val="000000"/>
          <w:shd w:val="clear" w:color="auto" w:fill="FFFFFF"/>
          <w:lang w:val="en-US"/>
        </w:rPr>
        <w:t>)</w:t>
      </w:r>
      <w:r w:rsidR="00070676" w:rsidRPr="001D3D20">
        <w:rPr>
          <w:color w:val="000000"/>
          <w:shd w:val="clear" w:color="auto" w:fill="FFFFFF"/>
          <w:lang w:val="en-US"/>
        </w:rPr>
        <w:t>, with</w:t>
      </w:r>
      <w:r w:rsidR="00A302C1" w:rsidRPr="001D3D20">
        <w:rPr>
          <w:color w:val="000000"/>
          <w:shd w:val="clear" w:color="auto" w:fill="FFFFFF"/>
          <w:lang w:val="en-US"/>
        </w:rPr>
        <w:t xml:space="preserve"> </w:t>
      </w:r>
      <w:r w:rsidR="00070676" w:rsidRPr="001D3D20">
        <w:rPr>
          <w:color w:val="000000"/>
          <w:shd w:val="clear" w:color="auto" w:fill="FFFFFF"/>
          <w:lang w:val="en-US"/>
        </w:rPr>
        <w:t>a</w:t>
      </w:r>
      <w:r w:rsidR="00A302C1" w:rsidRPr="001D3D20">
        <w:rPr>
          <w:color w:val="000000"/>
          <w:shd w:val="clear" w:color="auto" w:fill="FFFFFF"/>
          <w:lang w:val="en-US"/>
        </w:rPr>
        <w:t xml:space="preserve"> </w:t>
      </w:r>
      <w:r w:rsidR="004A1E3E" w:rsidRPr="001D3D20">
        <w:rPr>
          <w:color w:val="000000"/>
          <w:shd w:val="clear" w:color="auto" w:fill="FFFFFF"/>
          <w:lang w:val="en-US"/>
        </w:rPr>
        <w:t>3</w:t>
      </w:r>
      <w:r w:rsidR="00070676" w:rsidRPr="001D3D20">
        <w:rPr>
          <w:color w:val="000000"/>
          <w:shd w:val="clear" w:color="auto" w:fill="FFFFFF"/>
          <w:lang w:val="en-US"/>
        </w:rPr>
        <w:t>-year risk</w:t>
      </w:r>
      <w:r w:rsidR="004A1E3E" w:rsidRPr="001D3D20">
        <w:rPr>
          <w:color w:val="000000"/>
          <w:shd w:val="clear" w:color="auto" w:fill="FFFFFF"/>
          <w:lang w:val="en-US"/>
        </w:rPr>
        <w:t xml:space="preserve"> </w:t>
      </w:r>
      <w:r w:rsidR="00840C48" w:rsidRPr="001D3D20">
        <w:rPr>
          <w:color w:val="000000"/>
          <w:shd w:val="clear" w:color="auto" w:fill="FFFFFF"/>
          <w:lang w:val="en-US"/>
        </w:rPr>
        <w:t>just below</w:t>
      </w:r>
      <w:r w:rsidR="004A1E3E" w:rsidRPr="001D3D20">
        <w:rPr>
          <w:color w:val="000000"/>
          <w:shd w:val="clear" w:color="auto" w:fill="FFFFFF"/>
          <w:lang w:val="en-US"/>
        </w:rPr>
        <w:t xml:space="preserve"> 8</w:t>
      </w:r>
      <w:r w:rsidR="00BB3CA1" w:rsidRPr="001D3D20">
        <w:rPr>
          <w:color w:val="000000"/>
          <w:shd w:val="clear" w:color="auto" w:fill="FFFFFF"/>
          <w:lang w:val="en-US"/>
        </w:rPr>
        <w:t>%</w:t>
      </w:r>
      <w:r w:rsidR="004A1E3E" w:rsidRPr="001D3D20">
        <w:rPr>
          <w:color w:val="000000"/>
          <w:shd w:val="clear" w:color="auto" w:fill="FFFFFF"/>
          <w:lang w:val="en-US"/>
        </w:rPr>
        <w:t>.</w:t>
      </w:r>
      <w:r w:rsidR="00E62EA3" w:rsidRPr="001D3D20">
        <w:rPr>
          <w:color w:val="000000"/>
          <w:shd w:val="clear" w:color="auto" w:fill="FFFFFF"/>
          <w:lang w:val="en-US"/>
        </w:rPr>
        <w:t xml:space="preserve"> </w:t>
      </w:r>
      <w:r w:rsidR="00075CDA" w:rsidRPr="001D3D20">
        <w:rPr>
          <w:color w:val="000000"/>
          <w:shd w:val="clear" w:color="auto" w:fill="FFFFFF"/>
          <w:lang w:val="en-US"/>
        </w:rPr>
        <w:t>When including</w:t>
      </w:r>
      <w:r w:rsidRPr="001D3D20">
        <w:rPr>
          <w:color w:val="000000"/>
          <w:shd w:val="clear" w:color="auto" w:fill="FFFFFF"/>
          <w:lang w:val="en-US"/>
        </w:rPr>
        <w:t xml:space="preserve"> VTE in a composite thromboembolic outcome definition, patients with a history of VTE </w:t>
      </w:r>
      <w:r w:rsidR="00AD7D48" w:rsidRPr="001D3D20">
        <w:rPr>
          <w:color w:val="000000"/>
          <w:shd w:val="clear" w:color="auto" w:fill="FFFFFF"/>
          <w:lang w:val="en-US"/>
        </w:rPr>
        <w:t>were at highest risk with a cumulative incidence of approximately 15%</w:t>
      </w:r>
      <w:r w:rsidR="00007F3F" w:rsidRPr="001D3D20">
        <w:rPr>
          <w:color w:val="000000"/>
          <w:shd w:val="clear" w:color="auto" w:fill="FFFFFF"/>
          <w:lang w:val="en-US"/>
        </w:rPr>
        <w:t xml:space="preserve"> (</w:t>
      </w:r>
      <w:r w:rsidR="00007F3F" w:rsidRPr="001D3D20">
        <w:rPr>
          <w:b/>
          <w:bCs/>
          <w:color w:val="000000"/>
          <w:shd w:val="clear" w:color="auto" w:fill="FFFFFF"/>
          <w:lang w:val="en-US"/>
        </w:rPr>
        <w:t>Figure 2b</w:t>
      </w:r>
      <w:r w:rsidR="00007F3F" w:rsidRPr="001D3D20">
        <w:rPr>
          <w:color w:val="000000"/>
          <w:shd w:val="clear" w:color="auto" w:fill="FFFFFF"/>
          <w:lang w:val="en-US"/>
        </w:rPr>
        <w:t>)</w:t>
      </w:r>
      <w:r w:rsidR="00AD7D48" w:rsidRPr="001D3D20">
        <w:rPr>
          <w:color w:val="000000"/>
          <w:shd w:val="clear" w:color="auto" w:fill="FFFFFF"/>
          <w:lang w:val="en-US"/>
        </w:rPr>
        <w:t>.</w:t>
      </w:r>
    </w:p>
    <w:p w14:paraId="36522AA0" w14:textId="2F6A9B47" w:rsidR="002357CA" w:rsidRPr="001D3D20" w:rsidRDefault="00A74B21" w:rsidP="006842EF">
      <w:pPr>
        <w:spacing w:line="360" w:lineRule="auto"/>
        <w:rPr>
          <w:color w:val="000000"/>
          <w:shd w:val="clear" w:color="auto" w:fill="FFFFFF"/>
          <w:lang w:val="en-US"/>
        </w:rPr>
      </w:pPr>
      <w:r w:rsidRPr="001D3D20">
        <w:rPr>
          <w:b/>
          <w:bCs/>
          <w:color w:val="000000"/>
          <w:shd w:val="clear" w:color="auto" w:fill="FFFFFF"/>
          <w:lang w:val="en-US"/>
        </w:rPr>
        <w:t>Tab</w:t>
      </w:r>
      <w:r w:rsidR="0076551C" w:rsidRPr="001D3D20">
        <w:rPr>
          <w:b/>
          <w:bCs/>
          <w:color w:val="000000"/>
          <w:shd w:val="clear" w:color="auto" w:fill="FFFFFF"/>
          <w:lang w:val="en-US"/>
        </w:rPr>
        <w:t>le</w:t>
      </w:r>
      <w:r w:rsidRPr="001D3D20">
        <w:rPr>
          <w:b/>
          <w:bCs/>
          <w:color w:val="000000"/>
          <w:shd w:val="clear" w:color="auto" w:fill="FFFFFF"/>
          <w:lang w:val="en-US"/>
        </w:rPr>
        <w:t xml:space="preserve"> 2</w:t>
      </w:r>
      <w:r w:rsidRPr="001D3D20">
        <w:rPr>
          <w:color w:val="000000"/>
          <w:shd w:val="clear" w:color="auto" w:fill="FFFFFF"/>
          <w:lang w:val="en-US"/>
        </w:rPr>
        <w:t xml:space="preserve"> presents i</w:t>
      </w:r>
      <w:r w:rsidR="008B1F53" w:rsidRPr="001D3D20">
        <w:rPr>
          <w:color w:val="000000"/>
          <w:shd w:val="clear" w:color="auto" w:fill="FFFFFF"/>
          <w:lang w:val="en-US"/>
        </w:rPr>
        <w:t xml:space="preserve">ncidence rates </w:t>
      </w:r>
      <w:r w:rsidR="00BC142C" w:rsidRPr="001D3D20">
        <w:rPr>
          <w:color w:val="000000"/>
          <w:shd w:val="clear" w:color="auto" w:fill="FFFFFF"/>
          <w:lang w:val="en-US"/>
        </w:rPr>
        <w:t xml:space="preserve">per 100-person </w:t>
      </w:r>
      <w:r w:rsidR="002E53E8" w:rsidRPr="001D3D20">
        <w:rPr>
          <w:color w:val="000000"/>
          <w:shd w:val="clear" w:color="auto" w:fill="FFFFFF"/>
          <w:lang w:val="en-US"/>
        </w:rPr>
        <w:t xml:space="preserve">after three years of follow-up </w:t>
      </w:r>
      <w:r w:rsidR="00906575" w:rsidRPr="001D3D20">
        <w:rPr>
          <w:color w:val="000000"/>
          <w:shd w:val="clear" w:color="auto" w:fill="FFFFFF"/>
          <w:lang w:val="en-US"/>
        </w:rPr>
        <w:t xml:space="preserve">for </w:t>
      </w:r>
      <w:r w:rsidR="002E53E8" w:rsidRPr="001D3D20">
        <w:rPr>
          <w:color w:val="000000"/>
          <w:shd w:val="clear" w:color="auto" w:fill="FFFFFF"/>
          <w:lang w:val="en-US"/>
        </w:rPr>
        <w:t>patients not using</w:t>
      </w:r>
      <w:r w:rsidR="00906575" w:rsidRPr="001D3D20">
        <w:rPr>
          <w:color w:val="000000"/>
          <w:shd w:val="clear" w:color="auto" w:fill="FFFFFF"/>
          <w:lang w:val="en-US"/>
        </w:rPr>
        <w:t xml:space="preserve"> anticoagulation</w:t>
      </w:r>
      <w:r w:rsidR="002E53E8" w:rsidRPr="001D3D20">
        <w:rPr>
          <w:color w:val="000000"/>
          <w:shd w:val="clear" w:color="auto" w:fill="FFFFFF"/>
          <w:lang w:val="en-US"/>
        </w:rPr>
        <w:t xml:space="preserve"> at baseline</w:t>
      </w:r>
      <w:r w:rsidR="00906A7F" w:rsidRPr="001D3D20">
        <w:rPr>
          <w:color w:val="000000"/>
          <w:shd w:val="clear" w:color="auto" w:fill="FFFFFF"/>
          <w:lang w:val="en-US"/>
        </w:rPr>
        <w:t>.</w:t>
      </w:r>
      <w:r w:rsidR="00237F2A" w:rsidRPr="001D3D20">
        <w:rPr>
          <w:color w:val="000000"/>
          <w:shd w:val="clear" w:color="auto" w:fill="FFFFFF"/>
          <w:lang w:val="en-US"/>
        </w:rPr>
        <w:t xml:space="preserve"> </w:t>
      </w:r>
      <w:r w:rsidR="00075CDA" w:rsidRPr="001D3D20">
        <w:rPr>
          <w:color w:val="000000"/>
          <w:shd w:val="clear" w:color="auto" w:fill="FFFFFF"/>
          <w:lang w:val="en-US"/>
        </w:rPr>
        <w:t>For the outcome of ischemic stroke or systemic embolism,</w:t>
      </w:r>
      <w:r w:rsidR="00237F2A" w:rsidRPr="001D3D20">
        <w:rPr>
          <w:color w:val="000000"/>
          <w:shd w:val="clear" w:color="auto" w:fill="FFFFFF"/>
          <w:lang w:val="en-US"/>
        </w:rPr>
        <w:t xml:space="preserve"> rates were </w:t>
      </w:r>
      <w:r w:rsidR="00075CDA" w:rsidRPr="001D3D20">
        <w:rPr>
          <w:color w:val="000000"/>
          <w:shd w:val="clear" w:color="auto" w:fill="FFFFFF"/>
          <w:lang w:val="en-US"/>
        </w:rPr>
        <w:t xml:space="preserve">overall </w:t>
      </w:r>
      <w:r w:rsidR="00237F2A" w:rsidRPr="001D3D20">
        <w:rPr>
          <w:color w:val="000000"/>
          <w:shd w:val="clear" w:color="auto" w:fill="FFFFFF"/>
          <w:lang w:val="en-US"/>
        </w:rPr>
        <w:t xml:space="preserve">higher in patients with </w:t>
      </w:r>
      <w:r w:rsidR="00075CDA" w:rsidRPr="001D3D20">
        <w:rPr>
          <w:color w:val="000000"/>
          <w:shd w:val="clear" w:color="auto" w:fill="FFFFFF"/>
          <w:lang w:val="en-US"/>
        </w:rPr>
        <w:t>previous</w:t>
      </w:r>
      <w:r w:rsidR="00237F2A" w:rsidRPr="001D3D20">
        <w:rPr>
          <w:color w:val="000000"/>
          <w:shd w:val="clear" w:color="auto" w:fill="FFFFFF"/>
          <w:lang w:val="en-US"/>
        </w:rPr>
        <w:t xml:space="preserve"> </w:t>
      </w:r>
      <w:r w:rsidR="002130AF" w:rsidRPr="001D3D20">
        <w:rPr>
          <w:color w:val="000000"/>
          <w:shd w:val="clear" w:color="auto" w:fill="FFFFFF"/>
          <w:lang w:val="en-US"/>
        </w:rPr>
        <w:t>VTE</w:t>
      </w:r>
      <w:r w:rsidR="00297328" w:rsidRPr="001D3D20">
        <w:rPr>
          <w:color w:val="000000"/>
          <w:shd w:val="clear" w:color="auto" w:fill="FFFFFF"/>
          <w:lang w:val="en-US"/>
        </w:rPr>
        <w:t xml:space="preserve"> </w:t>
      </w:r>
      <w:r w:rsidR="00075CDA" w:rsidRPr="001D3D20">
        <w:rPr>
          <w:color w:val="000000"/>
          <w:shd w:val="clear" w:color="auto" w:fill="FFFFFF"/>
          <w:lang w:val="en-US"/>
        </w:rPr>
        <w:t xml:space="preserve">compared with patients with no VTE </w:t>
      </w:r>
      <w:r w:rsidR="00297328" w:rsidRPr="001D3D20">
        <w:rPr>
          <w:color w:val="000000"/>
          <w:shd w:val="clear" w:color="auto" w:fill="FFFFFF"/>
          <w:lang w:val="en-US"/>
        </w:rPr>
        <w:t>(4.78 vs. 3.38)</w:t>
      </w:r>
      <w:r w:rsidR="00D251BE" w:rsidRPr="001D3D20">
        <w:rPr>
          <w:color w:val="000000"/>
          <w:shd w:val="clear" w:color="auto" w:fill="FFFFFF"/>
          <w:lang w:val="en-US"/>
        </w:rPr>
        <w:t>.</w:t>
      </w:r>
      <w:r w:rsidR="00277BBA" w:rsidRPr="001D3D20">
        <w:rPr>
          <w:color w:val="000000"/>
          <w:shd w:val="clear" w:color="auto" w:fill="FFFFFF"/>
          <w:lang w:val="en-US"/>
        </w:rPr>
        <w:t xml:space="preserve"> Rates were also numerically higher irrespective of </w:t>
      </w:r>
      <w:r w:rsidR="002130AF" w:rsidRPr="001D3D20">
        <w:rPr>
          <w:shd w:val="clear" w:color="auto" w:fill="FFFFFF"/>
          <w:lang w:val="en-US"/>
        </w:rPr>
        <w:t>VTE</w:t>
      </w:r>
      <w:r w:rsidR="00277BBA" w:rsidRPr="001D3D20">
        <w:rPr>
          <w:shd w:val="clear" w:color="auto" w:fill="FFFFFF"/>
          <w:lang w:val="en-US"/>
        </w:rPr>
        <w:t xml:space="preserve"> subtype compared with patients with no history of </w:t>
      </w:r>
      <w:r w:rsidR="002130AF" w:rsidRPr="001D3D20">
        <w:rPr>
          <w:shd w:val="clear" w:color="auto" w:fill="FFFFFF"/>
          <w:lang w:val="en-US"/>
        </w:rPr>
        <w:t>VTE</w:t>
      </w:r>
      <w:r w:rsidR="00542F61" w:rsidRPr="001D3D20">
        <w:rPr>
          <w:shd w:val="clear" w:color="auto" w:fill="FFFFFF"/>
          <w:lang w:val="en-US"/>
        </w:rPr>
        <w:t>, and</w:t>
      </w:r>
      <w:r w:rsidR="00A12459" w:rsidRPr="001D3D20">
        <w:rPr>
          <w:shd w:val="clear" w:color="auto" w:fill="FFFFFF"/>
          <w:lang w:val="en-US"/>
        </w:rPr>
        <w:t xml:space="preserve"> highest for the subgroup of patients with provoked VTE (5.95)</w:t>
      </w:r>
      <w:r w:rsidR="00542F61" w:rsidRPr="001D3D20">
        <w:rPr>
          <w:shd w:val="clear" w:color="auto" w:fill="FFFFFF"/>
          <w:lang w:val="en-US"/>
        </w:rPr>
        <w:t>. Among patients with low CHA</w:t>
      </w:r>
      <w:r w:rsidR="00542F61" w:rsidRPr="001D3D20">
        <w:rPr>
          <w:shd w:val="clear" w:color="auto" w:fill="FFFFFF"/>
          <w:vertAlign w:val="subscript"/>
          <w:lang w:val="en-US"/>
        </w:rPr>
        <w:t>2</w:t>
      </w:r>
      <w:r w:rsidR="00542F61" w:rsidRPr="001D3D20">
        <w:rPr>
          <w:shd w:val="clear" w:color="auto" w:fill="FFFFFF"/>
          <w:lang w:val="en-US"/>
        </w:rPr>
        <w:t>DS</w:t>
      </w:r>
      <w:r w:rsidR="00542F61" w:rsidRPr="001D3D20">
        <w:rPr>
          <w:shd w:val="clear" w:color="auto" w:fill="FFFFFF"/>
          <w:vertAlign w:val="subscript"/>
          <w:lang w:val="en-US"/>
        </w:rPr>
        <w:t>2</w:t>
      </w:r>
      <w:r w:rsidR="00542F61" w:rsidRPr="001D3D20">
        <w:rPr>
          <w:shd w:val="clear" w:color="auto" w:fill="FFFFFF"/>
          <w:lang w:val="en-US"/>
        </w:rPr>
        <w:t>-VASc scores rates were similar (0.78 vs. 0.80).</w:t>
      </w:r>
      <w:r w:rsidR="00DF05C8" w:rsidRPr="001D3D20">
        <w:rPr>
          <w:shd w:val="clear" w:color="auto" w:fill="FFFFFF"/>
          <w:lang w:val="en-US"/>
        </w:rPr>
        <w:t xml:space="preserve"> </w:t>
      </w:r>
      <w:r w:rsidR="002357CA" w:rsidRPr="001D3D20">
        <w:rPr>
          <w:color w:val="000000"/>
          <w:shd w:val="clear" w:color="auto" w:fill="FFFFFF"/>
          <w:lang w:val="en-US"/>
        </w:rPr>
        <w:t>When including VTE in the composite thromboembolic outcome definition, patients with a history of VTE exhibited markedly higher incidence rates than patients without history of VTE (9.01 vs. 3.89), and incidence rates were also higher irrespective of VTE subtype and among patients with low CHA</w:t>
      </w:r>
      <w:r w:rsidR="002357CA" w:rsidRPr="001D3D20">
        <w:rPr>
          <w:color w:val="000000"/>
          <w:shd w:val="clear" w:color="auto" w:fill="FFFFFF"/>
          <w:vertAlign w:val="subscript"/>
          <w:lang w:val="en-US"/>
        </w:rPr>
        <w:t>2</w:t>
      </w:r>
      <w:r w:rsidR="002357CA" w:rsidRPr="001D3D20">
        <w:rPr>
          <w:color w:val="000000"/>
          <w:shd w:val="clear" w:color="auto" w:fill="FFFFFF"/>
          <w:lang w:val="en-US"/>
        </w:rPr>
        <w:t>DS</w:t>
      </w:r>
      <w:r w:rsidR="002357CA" w:rsidRPr="001D3D20">
        <w:rPr>
          <w:color w:val="000000"/>
          <w:shd w:val="clear" w:color="auto" w:fill="FFFFFF"/>
          <w:vertAlign w:val="subscript"/>
          <w:lang w:val="en-US"/>
        </w:rPr>
        <w:t>2</w:t>
      </w:r>
      <w:r w:rsidR="002357CA" w:rsidRPr="001D3D20">
        <w:rPr>
          <w:color w:val="000000"/>
          <w:shd w:val="clear" w:color="auto" w:fill="FFFFFF"/>
          <w:lang w:val="en-US"/>
        </w:rPr>
        <w:t>-VASc scores</w:t>
      </w:r>
    </w:p>
    <w:p w14:paraId="4317DDF6" w14:textId="4453226E" w:rsidR="008F684A" w:rsidRPr="001D3D20" w:rsidRDefault="008F684A" w:rsidP="006842EF">
      <w:pPr>
        <w:spacing w:line="360" w:lineRule="auto"/>
        <w:rPr>
          <w:color w:val="000000"/>
          <w:shd w:val="clear" w:color="auto" w:fill="FFFFFF"/>
          <w:lang w:val="en-US"/>
        </w:rPr>
      </w:pPr>
    </w:p>
    <w:p w14:paraId="445CBA71" w14:textId="4722CBD3" w:rsidR="009E68C3" w:rsidRPr="001D3D20" w:rsidRDefault="009E68C3" w:rsidP="006842EF">
      <w:pPr>
        <w:spacing w:line="360" w:lineRule="auto"/>
        <w:rPr>
          <w:i/>
          <w:iCs/>
          <w:color w:val="000000"/>
          <w:shd w:val="clear" w:color="auto" w:fill="FFFFFF"/>
          <w:lang w:val="en-US"/>
        </w:rPr>
      </w:pPr>
      <w:r w:rsidRPr="001D3D20">
        <w:rPr>
          <w:i/>
          <w:iCs/>
          <w:color w:val="000000"/>
          <w:shd w:val="clear" w:color="auto" w:fill="FFFFFF"/>
          <w:lang w:val="en-US"/>
        </w:rPr>
        <w:t>Cox regression</w:t>
      </w:r>
    </w:p>
    <w:p w14:paraId="7906364B" w14:textId="77777777" w:rsidR="003214A5" w:rsidRPr="001D3D20" w:rsidRDefault="008F684A" w:rsidP="006842EF">
      <w:pPr>
        <w:spacing w:line="360" w:lineRule="auto"/>
        <w:rPr>
          <w:color w:val="000000"/>
          <w:shd w:val="clear" w:color="auto" w:fill="FFFFFF"/>
          <w:lang w:val="en-US"/>
        </w:rPr>
      </w:pPr>
      <w:r w:rsidRPr="001D3D20">
        <w:rPr>
          <w:color w:val="000000"/>
          <w:shd w:val="clear" w:color="auto" w:fill="FFFFFF"/>
          <w:lang w:val="en-US"/>
        </w:rPr>
        <w:t xml:space="preserve">Results from </w:t>
      </w:r>
      <w:r w:rsidR="000D3A2D" w:rsidRPr="001D3D20">
        <w:rPr>
          <w:color w:val="000000"/>
          <w:shd w:val="clear" w:color="auto" w:fill="FFFFFF"/>
          <w:lang w:val="en-US"/>
        </w:rPr>
        <w:t>the</w:t>
      </w:r>
      <w:r w:rsidRPr="001D3D20">
        <w:rPr>
          <w:color w:val="000000"/>
          <w:shd w:val="clear" w:color="auto" w:fill="FFFFFF"/>
          <w:lang w:val="en-US"/>
        </w:rPr>
        <w:t xml:space="preserve"> Cox regression analyses</w:t>
      </w:r>
      <w:r w:rsidR="001A6314" w:rsidRPr="001D3D20">
        <w:rPr>
          <w:color w:val="000000"/>
          <w:shd w:val="clear" w:color="auto" w:fill="FFFFFF"/>
          <w:lang w:val="en-US"/>
        </w:rPr>
        <w:t xml:space="preserve"> after three years of follow-up</w:t>
      </w:r>
      <w:r w:rsidR="000D3A2D" w:rsidRPr="001D3D20">
        <w:rPr>
          <w:color w:val="000000"/>
          <w:shd w:val="clear" w:color="auto" w:fill="FFFFFF"/>
          <w:lang w:val="en-US"/>
        </w:rPr>
        <w:t xml:space="preserve"> </w:t>
      </w:r>
      <w:r w:rsidRPr="001D3D20">
        <w:rPr>
          <w:color w:val="000000"/>
          <w:shd w:val="clear" w:color="auto" w:fill="FFFFFF"/>
          <w:lang w:val="en-US"/>
        </w:rPr>
        <w:t xml:space="preserve">are presented in </w:t>
      </w:r>
      <w:r w:rsidRPr="001D3D20">
        <w:rPr>
          <w:b/>
          <w:bCs/>
          <w:color w:val="000000"/>
          <w:shd w:val="clear" w:color="auto" w:fill="FFFFFF"/>
          <w:lang w:val="en-US"/>
        </w:rPr>
        <w:t>Table 3</w:t>
      </w:r>
      <w:r w:rsidR="005D65B4" w:rsidRPr="001D3D20">
        <w:rPr>
          <w:color w:val="000000"/>
          <w:shd w:val="clear" w:color="auto" w:fill="FFFFFF"/>
          <w:lang w:val="en-US"/>
        </w:rPr>
        <w:t>, both crude and after adjustment for oral anticoagulation and CHA</w:t>
      </w:r>
      <w:r w:rsidR="005D65B4" w:rsidRPr="001D3D20">
        <w:rPr>
          <w:color w:val="000000"/>
          <w:shd w:val="clear" w:color="auto" w:fill="FFFFFF"/>
          <w:vertAlign w:val="subscript"/>
          <w:lang w:val="en-US"/>
        </w:rPr>
        <w:t>2</w:t>
      </w:r>
      <w:r w:rsidR="005D65B4" w:rsidRPr="001D3D20">
        <w:rPr>
          <w:color w:val="000000"/>
          <w:shd w:val="clear" w:color="auto" w:fill="FFFFFF"/>
          <w:lang w:val="en-US"/>
        </w:rPr>
        <w:t>DS</w:t>
      </w:r>
      <w:r w:rsidR="005D65B4" w:rsidRPr="001D3D20">
        <w:rPr>
          <w:color w:val="000000"/>
          <w:shd w:val="clear" w:color="auto" w:fill="FFFFFF"/>
          <w:vertAlign w:val="subscript"/>
          <w:lang w:val="en-US"/>
        </w:rPr>
        <w:t>2</w:t>
      </w:r>
      <w:r w:rsidR="005D65B4" w:rsidRPr="001D3D20">
        <w:rPr>
          <w:color w:val="000000"/>
          <w:shd w:val="clear" w:color="auto" w:fill="FFFFFF"/>
          <w:lang w:val="en-US"/>
        </w:rPr>
        <w:t>-VASc components</w:t>
      </w:r>
      <w:r w:rsidRPr="001D3D20">
        <w:rPr>
          <w:color w:val="000000"/>
          <w:shd w:val="clear" w:color="auto" w:fill="FFFFFF"/>
          <w:lang w:val="en-US"/>
        </w:rPr>
        <w:t xml:space="preserve">. </w:t>
      </w:r>
    </w:p>
    <w:p w14:paraId="4639310B" w14:textId="1D27857A" w:rsidR="008F684A" w:rsidRPr="001D3D20" w:rsidRDefault="005D65B4" w:rsidP="006842EF">
      <w:pPr>
        <w:spacing w:line="360" w:lineRule="auto"/>
        <w:rPr>
          <w:color w:val="000000"/>
          <w:shd w:val="clear" w:color="auto" w:fill="FFFFFF"/>
          <w:lang w:val="en-US"/>
        </w:rPr>
      </w:pPr>
      <w:r w:rsidRPr="001D3D20">
        <w:rPr>
          <w:color w:val="000000"/>
          <w:shd w:val="clear" w:color="auto" w:fill="FFFFFF"/>
          <w:lang w:val="en-US"/>
        </w:rPr>
        <w:t>W</w:t>
      </w:r>
      <w:r w:rsidR="008F684A" w:rsidRPr="001D3D20">
        <w:rPr>
          <w:color w:val="000000"/>
          <w:shd w:val="clear" w:color="auto" w:fill="FFFFFF"/>
          <w:lang w:val="en-US"/>
        </w:rPr>
        <w:t xml:space="preserve">e observed comparable hazard rates of </w:t>
      </w:r>
      <w:r w:rsidRPr="001D3D20">
        <w:rPr>
          <w:color w:val="000000"/>
          <w:shd w:val="clear" w:color="auto" w:fill="FFFFFF"/>
          <w:lang w:val="en-US"/>
        </w:rPr>
        <w:t xml:space="preserve">‘ischemic </w:t>
      </w:r>
      <w:r w:rsidR="008F684A" w:rsidRPr="001D3D20">
        <w:rPr>
          <w:color w:val="000000"/>
          <w:shd w:val="clear" w:color="auto" w:fill="FFFFFF"/>
          <w:lang w:val="en-US"/>
        </w:rPr>
        <w:t>stroke</w:t>
      </w:r>
      <w:r w:rsidRPr="001D3D20">
        <w:rPr>
          <w:color w:val="000000"/>
          <w:shd w:val="clear" w:color="auto" w:fill="FFFFFF"/>
          <w:lang w:val="en-US"/>
        </w:rPr>
        <w:t xml:space="preserve"> or systemic embolism’</w:t>
      </w:r>
      <w:r w:rsidR="008F684A" w:rsidRPr="001D3D20">
        <w:rPr>
          <w:color w:val="000000"/>
          <w:shd w:val="clear" w:color="auto" w:fill="FFFFFF"/>
          <w:lang w:val="en-US"/>
        </w:rPr>
        <w:t xml:space="preserve"> in patients with and without </w:t>
      </w:r>
      <w:r w:rsidR="00C6373D" w:rsidRPr="001D3D20">
        <w:rPr>
          <w:color w:val="000000"/>
          <w:shd w:val="clear" w:color="auto" w:fill="FFFFFF"/>
          <w:lang w:val="en-US"/>
        </w:rPr>
        <w:t xml:space="preserve">previous </w:t>
      </w:r>
      <w:r w:rsidR="002130AF" w:rsidRPr="001D3D20">
        <w:rPr>
          <w:color w:val="000000"/>
          <w:shd w:val="clear" w:color="auto" w:fill="FFFFFF"/>
          <w:lang w:val="en-US"/>
        </w:rPr>
        <w:t>VTE</w:t>
      </w:r>
      <w:r w:rsidR="00F44A5E" w:rsidRPr="001D3D20">
        <w:rPr>
          <w:color w:val="000000"/>
          <w:shd w:val="clear" w:color="auto" w:fill="FFFFFF"/>
          <w:lang w:val="en-US"/>
        </w:rPr>
        <w:t>,</w:t>
      </w:r>
      <w:r w:rsidR="00E22533" w:rsidRPr="001D3D20">
        <w:rPr>
          <w:color w:val="000000"/>
          <w:shd w:val="clear" w:color="auto" w:fill="FFFFFF"/>
          <w:lang w:val="en-US"/>
        </w:rPr>
        <w:t xml:space="preserve"> </w:t>
      </w:r>
      <w:r w:rsidR="008F684A" w:rsidRPr="001D3D20">
        <w:rPr>
          <w:color w:val="000000"/>
          <w:shd w:val="clear" w:color="auto" w:fill="FFFFFF"/>
          <w:lang w:val="en-US"/>
        </w:rPr>
        <w:t xml:space="preserve">adjusted </w:t>
      </w:r>
      <w:r w:rsidR="004F194E" w:rsidRPr="001D3D20">
        <w:rPr>
          <w:color w:val="000000"/>
          <w:shd w:val="clear" w:color="auto" w:fill="FFFFFF"/>
          <w:lang w:val="en-US"/>
        </w:rPr>
        <w:t>HR 0.99 (0.90-1.09)</w:t>
      </w:r>
      <w:r w:rsidR="008F684A" w:rsidRPr="001D3D20">
        <w:rPr>
          <w:color w:val="000000"/>
          <w:shd w:val="clear" w:color="auto" w:fill="FFFFFF"/>
          <w:lang w:val="en-US"/>
        </w:rPr>
        <w:t xml:space="preserve">. </w:t>
      </w:r>
      <w:r w:rsidR="002357CA" w:rsidRPr="001D3D20">
        <w:rPr>
          <w:color w:val="000000"/>
          <w:shd w:val="clear" w:color="auto" w:fill="FFFFFF"/>
          <w:lang w:val="en-US"/>
        </w:rPr>
        <w:t>F</w:t>
      </w:r>
      <w:r w:rsidR="00E22533" w:rsidRPr="001D3D20">
        <w:rPr>
          <w:color w:val="000000"/>
          <w:shd w:val="clear" w:color="auto" w:fill="FFFFFF"/>
          <w:lang w:val="en-US"/>
        </w:rPr>
        <w:t>indings were generally similar</w:t>
      </w:r>
      <w:r w:rsidR="008F684A" w:rsidRPr="001D3D20">
        <w:rPr>
          <w:color w:val="000000"/>
          <w:shd w:val="clear" w:color="auto" w:fill="FFFFFF"/>
          <w:lang w:val="en-US"/>
        </w:rPr>
        <w:t xml:space="preserve"> in analyses stratified by </w:t>
      </w:r>
      <w:r w:rsidR="002130AF" w:rsidRPr="001D3D20">
        <w:rPr>
          <w:color w:val="000000"/>
          <w:shd w:val="clear" w:color="auto" w:fill="FFFFFF"/>
          <w:lang w:val="en-US"/>
        </w:rPr>
        <w:t>VTE</w:t>
      </w:r>
      <w:r w:rsidR="008F684A" w:rsidRPr="001D3D20">
        <w:rPr>
          <w:color w:val="000000"/>
          <w:shd w:val="clear" w:color="auto" w:fill="FFFFFF"/>
          <w:lang w:val="en-US"/>
        </w:rPr>
        <w:t xml:space="preserve"> subgroups</w:t>
      </w:r>
      <w:r w:rsidR="0082748A" w:rsidRPr="001D3D20">
        <w:rPr>
          <w:color w:val="000000"/>
          <w:shd w:val="clear" w:color="auto" w:fill="FFFFFF"/>
          <w:lang w:val="en-US"/>
        </w:rPr>
        <w:t>.</w:t>
      </w:r>
      <w:r w:rsidR="008F684A" w:rsidRPr="001D3D20">
        <w:rPr>
          <w:color w:val="000000"/>
          <w:shd w:val="clear" w:color="auto" w:fill="FFFFFF"/>
          <w:lang w:val="en-US"/>
        </w:rPr>
        <w:t xml:space="preserve"> </w:t>
      </w:r>
      <w:r w:rsidR="0082748A" w:rsidRPr="001D3D20">
        <w:rPr>
          <w:color w:val="000000"/>
          <w:shd w:val="clear" w:color="auto" w:fill="FFFFFF"/>
          <w:lang w:val="en-US"/>
        </w:rPr>
        <w:t>W</w:t>
      </w:r>
      <w:r w:rsidR="008F684A" w:rsidRPr="001D3D20">
        <w:rPr>
          <w:color w:val="000000"/>
          <w:shd w:val="clear" w:color="auto" w:fill="FFFFFF"/>
          <w:lang w:val="en-US"/>
        </w:rPr>
        <w:t>hen restricting to patients with low</w:t>
      </w:r>
      <w:r w:rsidR="00B55FE1" w:rsidRPr="001D3D20">
        <w:rPr>
          <w:color w:val="000000"/>
          <w:shd w:val="clear" w:color="auto" w:fill="FFFFFF"/>
          <w:lang w:val="en-US"/>
        </w:rPr>
        <w:t xml:space="preserve"> CHA</w:t>
      </w:r>
      <w:r w:rsidR="00B55FE1" w:rsidRPr="001D3D20">
        <w:rPr>
          <w:color w:val="000000"/>
          <w:shd w:val="clear" w:color="auto" w:fill="FFFFFF"/>
          <w:vertAlign w:val="subscript"/>
          <w:lang w:val="en-US"/>
        </w:rPr>
        <w:t>2</w:t>
      </w:r>
      <w:r w:rsidR="00B55FE1" w:rsidRPr="001D3D20">
        <w:rPr>
          <w:color w:val="000000"/>
          <w:shd w:val="clear" w:color="auto" w:fill="FFFFFF"/>
          <w:lang w:val="en-US"/>
        </w:rPr>
        <w:t>DS</w:t>
      </w:r>
      <w:r w:rsidR="00B55FE1" w:rsidRPr="001D3D20">
        <w:rPr>
          <w:color w:val="000000"/>
          <w:shd w:val="clear" w:color="auto" w:fill="FFFFFF"/>
          <w:vertAlign w:val="subscript"/>
          <w:lang w:val="en-US"/>
        </w:rPr>
        <w:t>2</w:t>
      </w:r>
      <w:r w:rsidR="00B55FE1" w:rsidRPr="001D3D20">
        <w:rPr>
          <w:color w:val="000000"/>
          <w:shd w:val="clear" w:color="auto" w:fill="FFFFFF"/>
          <w:lang w:val="en-US"/>
        </w:rPr>
        <w:t>-VASc</w:t>
      </w:r>
      <w:r w:rsidR="008F684A" w:rsidRPr="001D3D20">
        <w:rPr>
          <w:color w:val="000000"/>
          <w:shd w:val="clear" w:color="auto" w:fill="FFFFFF"/>
          <w:lang w:val="en-US"/>
        </w:rPr>
        <w:t xml:space="preserve"> s</w:t>
      </w:r>
      <w:r w:rsidR="0051190D" w:rsidRPr="001D3D20">
        <w:rPr>
          <w:color w:val="000000"/>
          <w:shd w:val="clear" w:color="auto" w:fill="FFFFFF"/>
          <w:lang w:val="en-US"/>
        </w:rPr>
        <w:t>cores</w:t>
      </w:r>
      <w:r w:rsidR="00746A42" w:rsidRPr="001D3D20">
        <w:rPr>
          <w:color w:val="000000"/>
          <w:shd w:val="clear" w:color="auto" w:fill="FFFFFF"/>
          <w:lang w:val="en-US"/>
        </w:rPr>
        <w:t xml:space="preserve">, history of VTE </w:t>
      </w:r>
      <w:r w:rsidR="0082748A" w:rsidRPr="001D3D20">
        <w:rPr>
          <w:color w:val="000000"/>
          <w:shd w:val="clear" w:color="auto" w:fill="FFFFFF"/>
          <w:lang w:val="en-US"/>
        </w:rPr>
        <w:t>was</w:t>
      </w:r>
      <w:r w:rsidR="00746A42" w:rsidRPr="001D3D20">
        <w:rPr>
          <w:color w:val="000000"/>
          <w:shd w:val="clear" w:color="auto" w:fill="FFFFFF"/>
          <w:lang w:val="en-US"/>
        </w:rPr>
        <w:t xml:space="preserve"> associated with a</w:t>
      </w:r>
      <w:r w:rsidR="003214A5" w:rsidRPr="001D3D20">
        <w:rPr>
          <w:color w:val="000000"/>
          <w:shd w:val="clear" w:color="auto" w:fill="FFFFFF"/>
          <w:lang w:val="en-US"/>
        </w:rPr>
        <w:t xml:space="preserve"> </w:t>
      </w:r>
      <w:r w:rsidR="00746A42" w:rsidRPr="001D3D20">
        <w:rPr>
          <w:color w:val="000000"/>
          <w:shd w:val="clear" w:color="auto" w:fill="FFFFFF"/>
          <w:lang w:val="en-US"/>
        </w:rPr>
        <w:t xml:space="preserve">higher rate of </w:t>
      </w:r>
      <w:r w:rsidR="00906206" w:rsidRPr="001D3D20">
        <w:rPr>
          <w:color w:val="000000"/>
          <w:shd w:val="clear" w:color="auto" w:fill="FFFFFF"/>
          <w:lang w:val="en-US"/>
        </w:rPr>
        <w:t>‘</w:t>
      </w:r>
      <w:r w:rsidR="00746A42" w:rsidRPr="001D3D20">
        <w:rPr>
          <w:color w:val="000000"/>
          <w:shd w:val="clear" w:color="auto" w:fill="FFFFFF"/>
          <w:lang w:val="en-US"/>
        </w:rPr>
        <w:t>ischemic stroke or systemic embolism</w:t>
      </w:r>
      <w:r w:rsidR="00906206" w:rsidRPr="001D3D20">
        <w:rPr>
          <w:color w:val="000000"/>
          <w:shd w:val="clear" w:color="auto" w:fill="FFFFFF"/>
          <w:lang w:val="en-US"/>
        </w:rPr>
        <w:t>’</w:t>
      </w:r>
      <w:r w:rsidR="0082748A" w:rsidRPr="001D3D20">
        <w:rPr>
          <w:color w:val="000000"/>
          <w:shd w:val="clear" w:color="auto" w:fill="FFFFFF"/>
          <w:lang w:val="en-US"/>
        </w:rPr>
        <w:t xml:space="preserve">, HR </w:t>
      </w:r>
      <w:r w:rsidR="0082748A" w:rsidRPr="001D3D20">
        <w:rPr>
          <w:lang w:val="en-US"/>
        </w:rPr>
        <w:t>1.33 (0.96-1.85)</w:t>
      </w:r>
      <w:r w:rsidR="00746A42" w:rsidRPr="001D3D20">
        <w:rPr>
          <w:color w:val="000000"/>
          <w:shd w:val="clear" w:color="auto" w:fill="FFFFFF"/>
          <w:lang w:val="en-US"/>
        </w:rPr>
        <w:t>.</w:t>
      </w:r>
    </w:p>
    <w:p w14:paraId="5CFD51A8" w14:textId="3C1E9A89" w:rsidR="0051190D" w:rsidRPr="001D3D20" w:rsidRDefault="0051190D" w:rsidP="006842EF">
      <w:pPr>
        <w:spacing w:line="360" w:lineRule="auto"/>
        <w:rPr>
          <w:color w:val="000000"/>
          <w:shd w:val="clear" w:color="auto" w:fill="FFFFFF"/>
          <w:lang w:val="en-US"/>
        </w:rPr>
      </w:pPr>
      <w:r w:rsidRPr="001D3D20">
        <w:rPr>
          <w:color w:val="000000"/>
          <w:shd w:val="clear" w:color="auto" w:fill="FFFFFF"/>
          <w:lang w:val="en-US"/>
        </w:rPr>
        <w:t xml:space="preserve">When assessing the outcome of </w:t>
      </w:r>
      <w:r w:rsidR="00906206" w:rsidRPr="001D3D20">
        <w:rPr>
          <w:color w:val="000000"/>
          <w:shd w:val="clear" w:color="auto" w:fill="FFFFFF"/>
          <w:lang w:val="en-US"/>
        </w:rPr>
        <w:t>‘</w:t>
      </w:r>
      <w:r w:rsidRPr="001D3D20">
        <w:rPr>
          <w:color w:val="000000"/>
          <w:shd w:val="clear" w:color="auto" w:fill="FFFFFF"/>
          <w:lang w:val="en-US"/>
        </w:rPr>
        <w:t>ischemic stroke, systemic embolism, or VTE</w:t>
      </w:r>
      <w:r w:rsidR="00906206" w:rsidRPr="001D3D20">
        <w:rPr>
          <w:color w:val="000000"/>
          <w:shd w:val="clear" w:color="auto" w:fill="FFFFFF"/>
          <w:lang w:val="en-US"/>
        </w:rPr>
        <w:t>’</w:t>
      </w:r>
      <w:r w:rsidRPr="001D3D20">
        <w:rPr>
          <w:color w:val="000000"/>
          <w:shd w:val="clear" w:color="auto" w:fill="FFFFFF"/>
          <w:lang w:val="en-US"/>
        </w:rPr>
        <w:t>,</w:t>
      </w:r>
      <w:r w:rsidR="00013346" w:rsidRPr="001D3D20">
        <w:rPr>
          <w:color w:val="000000"/>
          <w:shd w:val="clear" w:color="auto" w:fill="FFFFFF"/>
          <w:lang w:val="en-US"/>
        </w:rPr>
        <w:t xml:space="preserve"> we found </w:t>
      </w:r>
      <w:r w:rsidRPr="001D3D20">
        <w:rPr>
          <w:color w:val="000000"/>
          <w:shd w:val="clear" w:color="auto" w:fill="FFFFFF"/>
          <w:lang w:val="en-US"/>
        </w:rPr>
        <w:t>consistently higher hazard rates both among the entire population</w:t>
      </w:r>
      <w:r w:rsidR="00013346" w:rsidRPr="001D3D20">
        <w:rPr>
          <w:color w:val="000000"/>
          <w:shd w:val="clear" w:color="auto" w:fill="FFFFFF"/>
          <w:lang w:val="en-US"/>
        </w:rPr>
        <w:t xml:space="preserve">, </w:t>
      </w:r>
      <w:r w:rsidRPr="001D3D20">
        <w:rPr>
          <w:color w:val="000000"/>
          <w:shd w:val="clear" w:color="auto" w:fill="FFFFFF"/>
          <w:lang w:val="en-US"/>
        </w:rPr>
        <w:t>adjusted HR 1.76 (1.64-1.90)</w:t>
      </w:r>
      <w:r w:rsidR="00013346" w:rsidRPr="001D3D20">
        <w:rPr>
          <w:color w:val="000000"/>
          <w:shd w:val="clear" w:color="auto" w:fill="FFFFFF"/>
          <w:lang w:val="en-US"/>
        </w:rPr>
        <w:t>,</w:t>
      </w:r>
      <w:r w:rsidRPr="001D3D20">
        <w:rPr>
          <w:color w:val="000000"/>
          <w:shd w:val="clear" w:color="auto" w:fill="FFFFFF"/>
          <w:lang w:val="en-US"/>
        </w:rPr>
        <w:t xml:space="preserve"> and across all specified subgroups in patients with a history of VTE compared with patients with no history of VTE, see </w:t>
      </w:r>
      <w:r w:rsidRPr="001D3D20">
        <w:rPr>
          <w:b/>
          <w:bCs/>
          <w:color w:val="000000"/>
          <w:shd w:val="clear" w:color="auto" w:fill="FFFFFF"/>
          <w:lang w:val="en-US"/>
        </w:rPr>
        <w:t xml:space="preserve">Table </w:t>
      </w:r>
      <w:r w:rsidR="00906206" w:rsidRPr="001D3D20">
        <w:rPr>
          <w:b/>
          <w:bCs/>
          <w:color w:val="000000"/>
          <w:shd w:val="clear" w:color="auto" w:fill="FFFFFF"/>
          <w:lang w:val="en-US"/>
        </w:rPr>
        <w:t>3</w:t>
      </w:r>
      <w:r w:rsidRPr="001D3D20">
        <w:rPr>
          <w:color w:val="000000"/>
          <w:shd w:val="clear" w:color="auto" w:fill="FFFFFF"/>
          <w:lang w:val="en-US"/>
        </w:rPr>
        <w:t>.</w:t>
      </w:r>
    </w:p>
    <w:p w14:paraId="788423DC" w14:textId="77777777" w:rsidR="002357CA" w:rsidRPr="001D3D20" w:rsidRDefault="002357CA" w:rsidP="006842EF">
      <w:pPr>
        <w:spacing w:line="360" w:lineRule="auto"/>
        <w:rPr>
          <w:color w:val="000000"/>
          <w:shd w:val="clear" w:color="auto" w:fill="FFFFFF"/>
          <w:lang w:val="en-US"/>
        </w:rPr>
      </w:pPr>
    </w:p>
    <w:p w14:paraId="7D80C28E" w14:textId="77777777" w:rsidR="003214A5" w:rsidRPr="001D3D20" w:rsidRDefault="00906206" w:rsidP="006842EF">
      <w:pPr>
        <w:tabs>
          <w:tab w:val="left" w:pos="6853"/>
        </w:tabs>
        <w:spacing w:line="360" w:lineRule="auto"/>
        <w:rPr>
          <w:color w:val="000000"/>
          <w:shd w:val="clear" w:color="auto" w:fill="FFFFFF"/>
          <w:lang w:val="en-US"/>
        </w:rPr>
      </w:pPr>
      <w:r w:rsidRPr="001D3D20">
        <w:rPr>
          <w:b/>
          <w:bCs/>
          <w:color w:val="000000"/>
          <w:shd w:val="clear" w:color="auto" w:fill="FFFFFF"/>
          <w:lang w:val="en-US"/>
        </w:rPr>
        <w:t xml:space="preserve">Table 4 </w:t>
      </w:r>
      <w:r w:rsidRPr="001D3D20">
        <w:rPr>
          <w:color w:val="000000"/>
          <w:shd w:val="clear" w:color="auto" w:fill="FFFFFF"/>
          <w:lang w:val="en-US"/>
        </w:rPr>
        <w:t>contain the results from a Cox regression analysis</w:t>
      </w:r>
      <w:r w:rsidR="00F44A76" w:rsidRPr="001D3D20">
        <w:rPr>
          <w:color w:val="000000"/>
          <w:shd w:val="clear" w:color="auto" w:fill="FFFFFF"/>
          <w:lang w:val="en-US"/>
        </w:rPr>
        <w:t xml:space="preserve"> restrict</w:t>
      </w:r>
      <w:r w:rsidRPr="001D3D20">
        <w:rPr>
          <w:color w:val="000000"/>
          <w:shd w:val="clear" w:color="auto" w:fill="FFFFFF"/>
          <w:lang w:val="en-US"/>
        </w:rPr>
        <w:t>ed</w:t>
      </w:r>
      <w:r w:rsidR="00F44A76" w:rsidRPr="001D3D20">
        <w:rPr>
          <w:color w:val="000000"/>
          <w:shd w:val="clear" w:color="auto" w:fill="FFFFFF"/>
          <w:lang w:val="en-US"/>
        </w:rPr>
        <w:t xml:space="preserve"> </w:t>
      </w:r>
      <w:r w:rsidRPr="001D3D20">
        <w:rPr>
          <w:color w:val="000000"/>
          <w:shd w:val="clear" w:color="auto" w:fill="FFFFFF"/>
          <w:lang w:val="en-US"/>
        </w:rPr>
        <w:t>to the subset of the</w:t>
      </w:r>
      <w:r w:rsidR="00F44A76" w:rsidRPr="001D3D20">
        <w:rPr>
          <w:color w:val="000000"/>
          <w:shd w:val="clear" w:color="auto" w:fill="FFFFFF"/>
          <w:lang w:val="en-US"/>
        </w:rPr>
        <w:t xml:space="preserve"> study population </w:t>
      </w:r>
      <w:r w:rsidRPr="001D3D20">
        <w:rPr>
          <w:color w:val="000000"/>
          <w:shd w:val="clear" w:color="auto" w:fill="FFFFFF"/>
          <w:lang w:val="en-US"/>
        </w:rPr>
        <w:t>who were free from anticoagulation. Here,</w:t>
      </w:r>
      <w:r w:rsidR="008A0D19" w:rsidRPr="001D3D20">
        <w:rPr>
          <w:color w:val="000000"/>
          <w:shd w:val="clear" w:color="auto" w:fill="FFFFFF"/>
          <w:lang w:val="en-US"/>
        </w:rPr>
        <w:t xml:space="preserve"> a history of VTE was associated with a </w:t>
      </w:r>
      <w:r w:rsidR="008A0D19" w:rsidRPr="001D3D20">
        <w:rPr>
          <w:color w:val="000000"/>
          <w:shd w:val="clear" w:color="auto" w:fill="FFFFFF"/>
          <w:lang w:val="en-US"/>
        </w:rPr>
        <w:lastRenderedPageBreak/>
        <w:t xml:space="preserve">higher </w:t>
      </w:r>
      <w:r w:rsidR="00C6373D" w:rsidRPr="001D3D20">
        <w:rPr>
          <w:color w:val="000000"/>
          <w:shd w:val="clear" w:color="auto" w:fill="FFFFFF"/>
          <w:lang w:val="en-US"/>
        </w:rPr>
        <w:t xml:space="preserve">hazard ratio </w:t>
      </w:r>
      <w:r w:rsidR="008A0D19" w:rsidRPr="001D3D20">
        <w:rPr>
          <w:color w:val="000000"/>
          <w:shd w:val="clear" w:color="auto" w:fill="FFFFFF"/>
          <w:lang w:val="en-US"/>
        </w:rPr>
        <w:t>of</w:t>
      </w:r>
      <w:r w:rsidR="008C5227" w:rsidRPr="001D3D20">
        <w:rPr>
          <w:color w:val="000000"/>
          <w:shd w:val="clear" w:color="auto" w:fill="FFFFFF"/>
          <w:lang w:val="en-US"/>
        </w:rPr>
        <w:t xml:space="preserve"> ‘ischemic stroke or systemic embolism’ in the crude analysis</w:t>
      </w:r>
      <w:r w:rsidR="0008287F" w:rsidRPr="001D3D20">
        <w:rPr>
          <w:color w:val="000000"/>
          <w:shd w:val="clear" w:color="auto" w:fill="FFFFFF"/>
          <w:lang w:val="en-US"/>
        </w:rPr>
        <w:t xml:space="preserve"> </w:t>
      </w:r>
      <w:r w:rsidR="00C51A3D" w:rsidRPr="001D3D20">
        <w:rPr>
          <w:color w:val="000000"/>
          <w:shd w:val="clear" w:color="auto" w:fill="FFFFFF"/>
          <w:lang w:val="en-US"/>
        </w:rPr>
        <w:t>[</w:t>
      </w:r>
      <w:r w:rsidR="0008287F" w:rsidRPr="001D3D20">
        <w:rPr>
          <w:color w:val="000000"/>
          <w:shd w:val="clear" w:color="auto" w:fill="FFFFFF"/>
          <w:lang w:val="en-US"/>
        </w:rPr>
        <w:t>HR 1.30</w:t>
      </w:r>
      <w:r w:rsidR="00C51A3D" w:rsidRPr="001D3D20">
        <w:rPr>
          <w:color w:val="000000"/>
          <w:shd w:val="clear" w:color="auto" w:fill="FFFFFF"/>
          <w:lang w:val="en-US"/>
        </w:rPr>
        <w:t xml:space="preserve"> (1.08-1.58)], but not in the adjusted analysis [HR 1.03 (0.85-1.25)].</w:t>
      </w:r>
      <w:r w:rsidR="006E7016" w:rsidRPr="001D3D20">
        <w:rPr>
          <w:color w:val="000000"/>
          <w:shd w:val="clear" w:color="auto" w:fill="FFFFFF"/>
          <w:lang w:val="en-US"/>
        </w:rPr>
        <w:t xml:space="preserve"> </w:t>
      </w:r>
    </w:p>
    <w:p w14:paraId="2B3CF65F" w14:textId="5E6FAE5B" w:rsidR="007E582B" w:rsidRPr="001D3D20" w:rsidRDefault="00F44A76" w:rsidP="006842EF">
      <w:pPr>
        <w:tabs>
          <w:tab w:val="left" w:pos="6853"/>
        </w:tabs>
        <w:spacing w:line="360" w:lineRule="auto"/>
        <w:rPr>
          <w:color w:val="000000"/>
          <w:shd w:val="clear" w:color="auto" w:fill="FFFFFF"/>
          <w:lang w:val="en-US"/>
        </w:rPr>
      </w:pPr>
      <w:r w:rsidRPr="001D3D20">
        <w:rPr>
          <w:color w:val="000000"/>
          <w:shd w:val="clear" w:color="auto" w:fill="FFFFFF"/>
          <w:lang w:val="en-US"/>
        </w:rPr>
        <w:t>Otherwise, results</w:t>
      </w:r>
      <w:r w:rsidR="006E7016" w:rsidRPr="001D3D20">
        <w:rPr>
          <w:color w:val="000000"/>
          <w:shd w:val="clear" w:color="auto" w:fill="FFFFFF"/>
          <w:lang w:val="en-US"/>
        </w:rPr>
        <w:t xml:space="preserve"> were broadly similar </w:t>
      </w:r>
      <w:r w:rsidRPr="001D3D20">
        <w:rPr>
          <w:color w:val="000000"/>
          <w:shd w:val="clear" w:color="auto" w:fill="FFFFFF"/>
          <w:lang w:val="en-US"/>
        </w:rPr>
        <w:t>to the main analysis using the entire population with adjustment for differences in anticoagulant treatment</w:t>
      </w:r>
      <w:r w:rsidR="00F45B1E" w:rsidRPr="001D3D20">
        <w:rPr>
          <w:color w:val="000000"/>
          <w:shd w:val="clear" w:color="auto" w:fill="FFFFFF"/>
          <w:lang w:val="en-US"/>
        </w:rPr>
        <w:t xml:space="preserve">, </w:t>
      </w:r>
      <w:r w:rsidR="00377964" w:rsidRPr="001D3D20">
        <w:rPr>
          <w:color w:val="000000"/>
          <w:shd w:val="clear" w:color="auto" w:fill="FFFFFF"/>
          <w:lang w:val="en-US"/>
        </w:rPr>
        <w:t>except</w:t>
      </w:r>
      <w:r w:rsidR="00F45B1E" w:rsidRPr="001D3D20">
        <w:rPr>
          <w:color w:val="000000"/>
          <w:shd w:val="clear" w:color="auto" w:fill="FFFFFF"/>
          <w:lang w:val="en-US"/>
        </w:rPr>
        <w:t xml:space="preserve"> that</w:t>
      </w:r>
      <w:r w:rsidR="00377964" w:rsidRPr="001D3D20">
        <w:rPr>
          <w:color w:val="000000"/>
          <w:shd w:val="clear" w:color="auto" w:fill="FFFFFF"/>
          <w:lang w:val="en-US"/>
        </w:rPr>
        <w:t xml:space="preserve"> among patients</w:t>
      </w:r>
      <w:r w:rsidR="00F45B1E" w:rsidRPr="001D3D20">
        <w:rPr>
          <w:color w:val="000000"/>
          <w:shd w:val="clear" w:color="auto" w:fill="FFFFFF"/>
          <w:lang w:val="en-US"/>
        </w:rPr>
        <w:t xml:space="preserve"> with low CHA</w:t>
      </w:r>
      <w:r w:rsidR="00F45B1E" w:rsidRPr="001D3D20">
        <w:rPr>
          <w:color w:val="000000"/>
          <w:shd w:val="clear" w:color="auto" w:fill="FFFFFF"/>
          <w:vertAlign w:val="subscript"/>
          <w:lang w:val="en-US"/>
        </w:rPr>
        <w:t>2</w:t>
      </w:r>
      <w:r w:rsidR="00F45B1E" w:rsidRPr="001D3D20">
        <w:rPr>
          <w:color w:val="000000"/>
          <w:shd w:val="clear" w:color="auto" w:fill="FFFFFF"/>
          <w:lang w:val="en-US"/>
        </w:rPr>
        <w:t>DS</w:t>
      </w:r>
      <w:r w:rsidR="00F45B1E" w:rsidRPr="001D3D20">
        <w:rPr>
          <w:color w:val="000000"/>
          <w:shd w:val="clear" w:color="auto" w:fill="FFFFFF"/>
          <w:vertAlign w:val="subscript"/>
          <w:lang w:val="en-US"/>
        </w:rPr>
        <w:t>2</w:t>
      </w:r>
      <w:r w:rsidR="00F45B1E" w:rsidRPr="001D3D20">
        <w:rPr>
          <w:color w:val="000000"/>
          <w:shd w:val="clear" w:color="auto" w:fill="FFFFFF"/>
          <w:lang w:val="en-US"/>
        </w:rPr>
        <w:t>-VASc scores</w:t>
      </w:r>
      <w:r w:rsidR="00377964" w:rsidRPr="001D3D20">
        <w:rPr>
          <w:color w:val="000000"/>
          <w:shd w:val="clear" w:color="auto" w:fill="FFFFFF"/>
          <w:lang w:val="en-US"/>
        </w:rPr>
        <w:t>,</w:t>
      </w:r>
      <w:r w:rsidR="00F45B1E" w:rsidRPr="001D3D20">
        <w:rPr>
          <w:color w:val="000000"/>
          <w:shd w:val="clear" w:color="auto" w:fill="FFFFFF"/>
          <w:lang w:val="en-US"/>
        </w:rPr>
        <w:t xml:space="preserve"> </w:t>
      </w:r>
      <w:r w:rsidR="00377964" w:rsidRPr="001D3D20">
        <w:rPr>
          <w:color w:val="000000"/>
          <w:shd w:val="clear" w:color="auto" w:fill="FFFFFF"/>
          <w:lang w:val="en-US"/>
        </w:rPr>
        <w:t>history of VTE was not associated with higher rates of stroke or systemic embolism</w:t>
      </w:r>
      <w:r w:rsidR="00FE557B" w:rsidRPr="001D3D20">
        <w:rPr>
          <w:color w:val="000000"/>
          <w:shd w:val="clear" w:color="auto" w:fill="FFFFFF"/>
          <w:lang w:val="en-US"/>
        </w:rPr>
        <w:t xml:space="preserve"> neither in the crude or adjusted model</w:t>
      </w:r>
      <w:r w:rsidR="00377964" w:rsidRPr="001D3D20">
        <w:rPr>
          <w:lang w:val="en-US"/>
        </w:rPr>
        <w:t>.</w:t>
      </w:r>
      <w:r w:rsidR="00906206" w:rsidRPr="001D3D20">
        <w:rPr>
          <w:lang w:val="en-US"/>
        </w:rPr>
        <w:t xml:space="preserve"> For the composite outcome ‘ischemic stroke, systemic embolism, or VTE’, patients with previous VTE</w:t>
      </w:r>
      <w:r w:rsidR="00E3086F" w:rsidRPr="001D3D20">
        <w:rPr>
          <w:lang w:val="en-US"/>
        </w:rPr>
        <w:t xml:space="preserve"> had higher hazard rates both overall and across all subgroup</w:t>
      </w:r>
      <w:r w:rsidR="00675606" w:rsidRPr="001D3D20">
        <w:rPr>
          <w:lang w:val="en-US"/>
        </w:rPr>
        <w:t>s.</w:t>
      </w:r>
    </w:p>
    <w:p w14:paraId="09A5A761" w14:textId="3312F5CD" w:rsidR="00090842" w:rsidRPr="001D3D20" w:rsidRDefault="00090842" w:rsidP="006842EF">
      <w:pPr>
        <w:spacing w:line="360" w:lineRule="auto"/>
        <w:rPr>
          <w:color w:val="000000"/>
          <w:shd w:val="clear" w:color="auto" w:fill="FFFFFF"/>
          <w:lang w:val="en-US"/>
        </w:rPr>
      </w:pPr>
    </w:p>
    <w:p w14:paraId="68DB71CB" w14:textId="0011B3B2" w:rsidR="00FF6B80" w:rsidRPr="001D3D20" w:rsidRDefault="00FF6B80" w:rsidP="006842EF">
      <w:pPr>
        <w:spacing w:line="360" w:lineRule="auto"/>
        <w:rPr>
          <w:i/>
          <w:color w:val="000000"/>
          <w:shd w:val="clear" w:color="auto" w:fill="FFFFFF"/>
          <w:lang w:val="en-US"/>
        </w:rPr>
      </w:pPr>
      <w:r w:rsidRPr="001D3D20">
        <w:rPr>
          <w:i/>
          <w:color w:val="000000"/>
          <w:shd w:val="clear" w:color="auto" w:fill="FFFFFF"/>
          <w:lang w:val="en-US"/>
        </w:rPr>
        <w:t>Supplementary analyses</w:t>
      </w:r>
    </w:p>
    <w:p w14:paraId="4998E7CC" w14:textId="769D169C" w:rsidR="005A3F72" w:rsidRPr="001D3D20" w:rsidRDefault="009A4FFB" w:rsidP="006842EF">
      <w:pPr>
        <w:spacing w:line="360" w:lineRule="auto"/>
        <w:rPr>
          <w:color w:val="000000"/>
          <w:shd w:val="clear" w:color="auto" w:fill="FFFFFF"/>
          <w:lang w:val="en-US"/>
        </w:rPr>
      </w:pPr>
      <w:r w:rsidRPr="001D3D20">
        <w:rPr>
          <w:color w:val="000000"/>
          <w:shd w:val="clear" w:color="auto" w:fill="FFFFFF"/>
          <w:lang w:val="en-US"/>
        </w:rPr>
        <w:t xml:space="preserve">Results and conclusions were widely similar when restricting follow-up time to only one year, see </w:t>
      </w:r>
      <w:r w:rsidR="006E4B30">
        <w:rPr>
          <w:b/>
          <w:color w:val="000000"/>
          <w:shd w:val="clear" w:color="auto" w:fill="FFFFFF"/>
          <w:lang w:val="en-US"/>
        </w:rPr>
        <w:t xml:space="preserve">Online </w:t>
      </w:r>
      <w:r w:rsidRPr="001D3D20">
        <w:rPr>
          <w:b/>
          <w:color w:val="000000"/>
          <w:shd w:val="clear" w:color="auto" w:fill="FFFFFF"/>
          <w:lang w:val="en-US"/>
        </w:rPr>
        <w:t>Tables 2-4</w:t>
      </w:r>
      <w:r w:rsidRPr="001D3D20">
        <w:rPr>
          <w:color w:val="000000"/>
          <w:shd w:val="clear" w:color="auto" w:fill="FFFFFF"/>
          <w:lang w:val="en-US"/>
        </w:rPr>
        <w:t>.</w:t>
      </w:r>
      <w:r w:rsidR="00675606" w:rsidRPr="001D3D20">
        <w:rPr>
          <w:color w:val="000000"/>
          <w:shd w:val="clear" w:color="auto" w:fill="FFFFFF"/>
          <w:lang w:val="en-US"/>
        </w:rPr>
        <w:t xml:space="preserve"> </w:t>
      </w:r>
      <w:r w:rsidR="00C83BB6" w:rsidRPr="001D3D20">
        <w:rPr>
          <w:color w:val="000000"/>
          <w:shd w:val="clear" w:color="auto" w:fill="FFFFFF"/>
          <w:lang w:val="en-US"/>
        </w:rPr>
        <w:t>After three years</w:t>
      </w:r>
      <w:r w:rsidR="00675606" w:rsidRPr="001D3D20">
        <w:rPr>
          <w:color w:val="000000"/>
          <w:shd w:val="clear" w:color="auto" w:fill="FFFFFF"/>
          <w:lang w:val="en-US"/>
        </w:rPr>
        <w:t xml:space="preserve"> of</w:t>
      </w:r>
      <w:r w:rsidR="00C83BB6" w:rsidRPr="001D3D20">
        <w:rPr>
          <w:color w:val="000000"/>
          <w:shd w:val="clear" w:color="auto" w:fill="FFFFFF"/>
          <w:lang w:val="en-US"/>
        </w:rPr>
        <w:t xml:space="preserve"> follow-up patients with previous VTE had a higher cumulative incidence f</w:t>
      </w:r>
      <w:r w:rsidR="00090842" w:rsidRPr="001D3D20">
        <w:rPr>
          <w:color w:val="000000"/>
          <w:shd w:val="clear" w:color="auto" w:fill="FFFFFF"/>
          <w:lang w:val="en-US"/>
        </w:rPr>
        <w:t>or the composite outcome of ischemic stroke, systemic embolism,</w:t>
      </w:r>
      <w:r w:rsidR="00391901" w:rsidRPr="001D3D20">
        <w:rPr>
          <w:color w:val="000000"/>
          <w:shd w:val="clear" w:color="auto" w:fill="FFFFFF"/>
          <w:lang w:val="en-US"/>
        </w:rPr>
        <w:t xml:space="preserve"> VTE,</w:t>
      </w:r>
      <w:r w:rsidR="00090842" w:rsidRPr="001D3D20">
        <w:rPr>
          <w:color w:val="000000"/>
          <w:shd w:val="clear" w:color="auto" w:fill="FFFFFF"/>
          <w:lang w:val="en-US"/>
        </w:rPr>
        <w:t xml:space="preserve"> or death, (see </w:t>
      </w:r>
      <w:r w:rsidR="006E4B30">
        <w:rPr>
          <w:b/>
          <w:color w:val="000000"/>
          <w:shd w:val="clear" w:color="auto" w:fill="FFFFFF"/>
          <w:lang w:val="en-US"/>
        </w:rPr>
        <w:t xml:space="preserve">Online </w:t>
      </w:r>
      <w:r w:rsidR="00090842" w:rsidRPr="001D3D20">
        <w:rPr>
          <w:b/>
          <w:color w:val="000000"/>
          <w:shd w:val="clear" w:color="auto" w:fill="FFFFFF"/>
          <w:lang w:val="en-US"/>
        </w:rPr>
        <w:t>Figure 1</w:t>
      </w:r>
      <w:r w:rsidR="00090842" w:rsidRPr="001D3D20">
        <w:rPr>
          <w:color w:val="000000"/>
          <w:shd w:val="clear" w:color="auto" w:fill="FFFFFF"/>
          <w:lang w:val="en-US"/>
        </w:rPr>
        <w:t xml:space="preserve">). Results from a </w:t>
      </w:r>
      <w:r w:rsidR="00446114" w:rsidRPr="001D3D20">
        <w:rPr>
          <w:color w:val="000000"/>
          <w:shd w:val="clear" w:color="auto" w:fill="FFFFFF"/>
          <w:lang w:val="en-US"/>
        </w:rPr>
        <w:t>C</w:t>
      </w:r>
      <w:r w:rsidR="00090842" w:rsidRPr="001D3D20">
        <w:rPr>
          <w:color w:val="000000"/>
          <w:shd w:val="clear" w:color="auto" w:fill="FFFFFF"/>
          <w:lang w:val="en-US"/>
        </w:rPr>
        <w:t>ox regression analysis</w:t>
      </w:r>
      <w:r w:rsidR="00E40D71" w:rsidRPr="001D3D20">
        <w:rPr>
          <w:color w:val="000000"/>
          <w:shd w:val="clear" w:color="auto" w:fill="FFFFFF"/>
          <w:lang w:val="en-US"/>
        </w:rPr>
        <w:t xml:space="preserve"> </w:t>
      </w:r>
      <w:r w:rsidR="00090842" w:rsidRPr="001D3D20">
        <w:rPr>
          <w:color w:val="000000"/>
          <w:shd w:val="clear" w:color="auto" w:fill="FFFFFF"/>
          <w:lang w:val="en-US"/>
        </w:rPr>
        <w:t xml:space="preserve">are presented in </w:t>
      </w:r>
      <w:r w:rsidR="00EC7BE0">
        <w:rPr>
          <w:b/>
          <w:color w:val="000000"/>
          <w:shd w:val="clear" w:color="auto" w:fill="FFFFFF"/>
          <w:lang w:val="en-US"/>
        </w:rPr>
        <w:t xml:space="preserve">Online </w:t>
      </w:r>
      <w:r w:rsidR="00090842" w:rsidRPr="001D3D20">
        <w:rPr>
          <w:b/>
          <w:color w:val="000000"/>
          <w:shd w:val="clear" w:color="auto" w:fill="FFFFFF"/>
          <w:lang w:val="en-US"/>
        </w:rPr>
        <w:t xml:space="preserve">Table </w:t>
      </w:r>
      <w:r w:rsidR="00464C82" w:rsidRPr="001D3D20">
        <w:rPr>
          <w:b/>
          <w:color w:val="000000"/>
          <w:shd w:val="clear" w:color="auto" w:fill="FFFFFF"/>
          <w:lang w:val="en-US"/>
        </w:rPr>
        <w:t>5</w:t>
      </w:r>
      <w:r w:rsidR="00150CD6" w:rsidRPr="001D3D20">
        <w:rPr>
          <w:color w:val="000000"/>
          <w:shd w:val="clear" w:color="auto" w:fill="FFFFFF"/>
          <w:lang w:val="en-US"/>
        </w:rPr>
        <w:t xml:space="preserve">. Patients with a history of </w:t>
      </w:r>
      <w:r w:rsidR="002130AF" w:rsidRPr="001D3D20">
        <w:rPr>
          <w:color w:val="000000"/>
          <w:shd w:val="clear" w:color="auto" w:fill="FFFFFF"/>
          <w:lang w:val="en-US"/>
        </w:rPr>
        <w:t>VTE</w:t>
      </w:r>
      <w:r w:rsidR="00150CD6" w:rsidRPr="001D3D20">
        <w:rPr>
          <w:color w:val="000000"/>
          <w:shd w:val="clear" w:color="auto" w:fill="FFFFFF"/>
          <w:lang w:val="en-US"/>
        </w:rPr>
        <w:t xml:space="preserve"> exhibited higher rates of the composite outcome both overall and across all subgroup analyses</w:t>
      </w:r>
      <w:r w:rsidR="00391901" w:rsidRPr="001D3D20">
        <w:rPr>
          <w:color w:val="000000"/>
          <w:shd w:val="clear" w:color="auto" w:fill="FFFFFF"/>
          <w:lang w:val="en-US"/>
        </w:rPr>
        <w:t xml:space="preserve"> </w:t>
      </w:r>
      <w:r w:rsidR="00150CD6" w:rsidRPr="001D3D20">
        <w:rPr>
          <w:color w:val="000000"/>
          <w:shd w:val="clear" w:color="auto" w:fill="FFFFFF"/>
          <w:lang w:val="en-US"/>
        </w:rPr>
        <w:t xml:space="preserve">compared with patients without </w:t>
      </w:r>
      <w:r w:rsidR="00705B9D" w:rsidRPr="001D3D20">
        <w:rPr>
          <w:color w:val="000000"/>
          <w:shd w:val="clear" w:color="auto" w:fill="FFFFFF"/>
          <w:lang w:val="en-US"/>
        </w:rPr>
        <w:t xml:space="preserve">previous </w:t>
      </w:r>
      <w:r w:rsidR="002130AF" w:rsidRPr="001D3D20">
        <w:rPr>
          <w:color w:val="000000"/>
          <w:shd w:val="clear" w:color="auto" w:fill="FFFFFF"/>
          <w:lang w:val="en-US"/>
        </w:rPr>
        <w:t>VTE</w:t>
      </w:r>
      <w:r w:rsidR="00965A8F" w:rsidRPr="001D3D20">
        <w:rPr>
          <w:color w:val="000000"/>
          <w:shd w:val="clear" w:color="auto" w:fill="FFFFFF"/>
          <w:lang w:val="en-US"/>
        </w:rPr>
        <w:t>.</w:t>
      </w:r>
    </w:p>
    <w:p w14:paraId="64C6C942" w14:textId="77777777" w:rsidR="00A44AA9" w:rsidRPr="001D3D20" w:rsidRDefault="00A44AA9" w:rsidP="006842EF">
      <w:pPr>
        <w:spacing w:line="360" w:lineRule="auto"/>
        <w:rPr>
          <w:color w:val="000000"/>
          <w:shd w:val="clear" w:color="auto" w:fill="FFFFFF"/>
          <w:lang w:val="en-US"/>
        </w:rPr>
      </w:pPr>
    </w:p>
    <w:p w14:paraId="4A43C474" w14:textId="533D9BEE" w:rsidR="00B542AC" w:rsidRPr="001D3D20" w:rsidRDefault="003E7EED" w:rsidP="006842EF">
      <w:pPr>
        <w:spacing w:line="360" w:lineRule="auto"/>
        <w:rPr>
          <w:b/>
          <w:color w:val="000000"/>
          <w:shd w:val="clear" w:color="auto" w:fill="FFFFFF"/>
          <w:lang w:val="en-US"/>
        </w:rPr>
      </w:pPr>
      <w:r w:rsidRPr="001D3D20">
        <w:rPr>
          <w:b/>
          <w:color w:val="000000"/>
          <w:shd w:val="clear" w:color="auto" w:fill="FFFFFF"/>
          <w:lang w:val="en-US"/>
        </w:rPr>
        <w:t>Discussion</w:t>
      </w:r>
    </w:p>
    <w:p w14:paraId="7D93CF8D" w14:textId="77777777" w:rsidR="00A44AA9" w:rsidRPr="001D3D20" w:rsidRDefault="00A44AA9" w:rsidP="006842EF">
      <w:pPr>
        <w:spacing w:line="360" w:lineRule="auto"/>
        <w:rPr>
          <w:b/>
          <w:color w:val="000000"/>
          <w:shd w:val="clear" w:color="auto" w:fill="FFFFFF"/>
          <w:lang w:val="en-US"/>
        </w:rPr>
      </w:pPr>
    </w:p>
    <w:p w14:paraId="5BCE3271" w14:textId="335F5A3A" w:rsidR="007C76BD" w:rsidRPr="001D3D20" w:rsidRDefault="0064075F" w:rsidP="006842EF">
      <w:pPr>
        <w:spacing w:line="360" w:lineRule="auto"/>
        <w:rPr>
          <w:bCs/>
          <w:color w:val="000000"/>
          <w:shd w:val="clear" w:color="auto" w:fill="FFFFFF"/>
          <w:lang w:val="en-US"/>
        </w:rPr>
      </w:pPr>
      <w:r w:rsidRPr="001D3D20">
        <w:rPr>
          <w:bCs/>
          <w:color w:val="000000"/>
          <w:shd w:val="clear" w:color="auto" w:fill="FFFFFF"/>
          <w:lang w:val="en-US"/>
        </w:rPr>
        <w:t xml:space="preserve">In this nationwide cohort of patients with atrial fibrillation, </w:t>
      </w:r>
      <w:r w:rsidR="008A29E6" w:rsidRPr="001D3D20">
        <w:rPr>
          <w:bCs/>
          <w:color w:val="000000"/>
          <w:shd w:val="clear" w:color="auto" w:fill="FFFFFF"/>
          <w:lang w:val="en-US"/>
        </w:rPr>
        <w:t xml:space="preserve">we found </w:t>
      </w:r>
      <w:r w:rsidR="00280E53" w:rsidRPr="001D3D20">
        <w:rPr>
          <w:bCs/>
          <w:color w:val="000000"/>
          <w:shd w:val="clear" w:color="auto" w:fill="FFFFFF"/>
          <w:lang w:val="en-US"/>
        </w:rPr>
        <w:t>similar risk</w:t>
      </w:r>
      <w:r w:rsidR="00D04E69" w:rsidRPr="001D3D20">
        <w:rPr>
          <w:bCs/>
          <w:color w:val="000000"/>
          <w:shd w:val="clear" w:color="auto" w:fill="FFFFFF"/>
          <w:lang w:val="en-US"/>
        </w:rPr>
        <w:t xml:space="preserve"> of ischemic stroke or systemic embolism</w:t>
      </w:r>
      <w:r w:rsidR="005A4490" w:rsidRPr="001D3D20">
        <w:rPr>
          <w:bCs/>
          <w:color w:val="000000"/>
          <w:shd w:val="clear" w:color="auto" w:fill="FFFFFF"/>
          <w:lang w:val="en-US"/>
        </w:rPr>
        <w:t xml:space="preserve"> following a diagnosis of atrial fibrillation for patients with and without a history of VTE. </w:t>
      </w:r>
      <w:r w:rsidR="0003106F" w:rsidRPr="001D3D20">
        <w:rPr>
          <w:bCs/>
          <w:color w:val="000000"/>
          <w:shd w:val="clear" w:color="auto" w:fill="FFFFFF"/>
          <w:lang w:val="en-US"/>
        </w:rPr>
        <w:t>W</w:t>
      </w:r>
      <w:r w:rsidR="005A4490" w:rsidRPr="001D3D20">
        <w:rPr>
          <w:bCs/>
          <w:color w:val="000000"/>
          <w:shd w:val="clear" w:color="auto" w:fill="FFFFFF"/>
          <w:lang w:val="en-US"/>
        </w:rPr>
        <w:t>hen including</w:t>
      </w:r>
      <w:r w:rsidR="00660E21" w:rsidRPr="001D3D20">
        <w:rPr>
          <w:bCs/>
          <w:color w:val="000000"/>
          <w:shd w:val="clear" w:color="auto" w:fill="FFFFFF"/>
          <w:lang w:val="en-US"/>
        </w:rPr>
        <w:t xml:space="preserve"> VTE in the outcome definition, patients with a history of VTE </w:t>
      </w:r>
      <w:r w:rsidR="00A44AA9" w:rsidRPr="001D3D20">
        <w:rPr>
          <w:bCs/>
          <w:color w:val="000000"/>
          <w:shd w:val="clear" w:color="auto" w:fill="FFFFFF"/>
          <w:lang w:val="en-US"/>
        </w:rPr>
        <w:t xml:space="preserve">were a high-risk population </w:t>
      </w:r>
      <w:r w:rsidR="00A020E8" w:rsidRPr="001D3D20">
        <w:rPr>
          <w:bCs/>
          <w:color w:val="000000"/>
          <w:shd w:val="clear" w:color="auto" w:fill="FFFFFF"/>
          <w:lang w:val="en-US"/>
        </w:rPr>
        <w:t xml:space="preserve">for the composite outcome </w:t>
      </w:r>
      <w:r w:rsidR="00A44AA9" w:rsidRPr="001D3D20">
        <w:rPr>
          <w:bCs/>
          <w:color w:val="000000"/>
          <w:shd w:val="clear" w:color="auto" w:fill="FFFFFF"/>
          <w:lang w:val="en-US"/>
        </w:rPr>
        <w:t>compared with patients without previous VTE</w:t>
      </w:r>
      <w:r w:rsidR="00A71F2B" w:rsidRPr="001D3D20">
        <w:rPr>
          <w:bCs/>
          <w:color w:val="000000"/>
          <w:shd w:val="clear" w:color="auto" w:fill="FFFFFF"/>
          <w:lang w:val="en-US"/>
        </w:rPr>
        <w:t xml:space="preserve">, even after </w:t>
      </w:r>
      <w:r w:rsidR="002C1EA1" w:rsidRPr="001D3D20">
        <w:rPr>
          <w:bCs/>
          <w:color w:val="000000"/>
          <w:shd w:val="clear" w:color="auto" w:fill="FFFFFF"/>
          <w:lang w:val="en-US"/>
        </w:rPr>
        <w:t xml:space="preserve">taking </w:t>
      </w:r>
      <w:r w:rsidR="00A71F2B" w:rsidRPr="001D3D20">
        <w:rPr>
          <w:bCs/>
          <w:color w:val="000000"/>
          <w:shd w:val="clear" w:color="auto" w:fill="FFFFFF"/>
          <w:lang w:val="en-US"/>
        </w:rPr>
        <w:t xml:space="preserve">differences in </w:t>
      </w:r>
      <w:r w:rsidR="00A71F2B" w:rsidRPr="001D3D20">
        <w:rPr>
          <w:color w:val="000000"/>
          <w:shd w:val="clear" w:color="auto" w:fill="FFFFFF"/>
          <w:lang w:val="en-US"/>
        </w:rPr>
        <w:t>CHA</w:t>
      </w:r>
      <w:r w:rsidR="00A71F2B" w:rsidRPr="001D3D20">
        <w:rPr>
          <w:color w:val="000000"/>
          <w:shd w:val="clear" w:color="auto" w:fill="FFFFFF"/>
          <w:vertAlign w:val="subscript"/>
          <w:lang w:val="en-US"/>
        </w:rPr>
        <w:t>2</w:t>
      </w:r>
      <w:r w:rsidR="00A71F2B" w:rsidRPr="001D3D20">
        <w:rPr>
          <w:color w:val="000000"/>
          <w:shd w:val="clear" w:color="auto" w:fill="FFFFFF"/>
          <w:lang w:val="en-US"/>
        </w:rPr>
        <w:t>DS</w:t>
      </w:r>
      <w:r w:rsidR="00A71F2B" w:rsidRPr="001D3D20">
        <w:rPr>
          <w:color w:val="000000"/>
          <w:shd w:val="clear" w:color="auto" w:fill="FFFFFF"/>
          <w:vertAlign w:val="subscript"/>
          <w:lang w:val="en-US"/>
        </w:rPr>
        <w:t>2</w:t>
      </w:r>
      <w:r w:rsidR="00A71F2B" w:rsidRPr="001D3D20">
        <w:rPr>
          <w:color w:val="000000"/>
          <w:shd w:val="clear" w:color="auto" w:fill="FFFFFF"/>
          <w:lang w:val="en-US"/>
        </w:rPr>
        <w:t>-VASc levels and use of oral anticoagulation</w:t>
      </w:r>
      <w:r w:rsidR="001C4C0C" w:rsidRPr="001D3D20">
        <w:rPr>
          <w:bCs/>
          <w:color w:val="000000"/>
          <w:shd w:val="clear" w:color="auto" w:fill="FFFFFF"/>
          <w:lang w:val="en-US"/>
        </w:rPr>
        <w:t xml:space="preserve"> into account</w:t>
      </w:r>
      <w:r w:rsidR="00DF2CA2" w:rsidRPr="001D3D20">
        <w:rPr>
          <w:color w:val="000000"/>
          <w:shd w:val="clear" w:color="auto" w:fill="FFFFFF"/>
          <w:lang w:val="en-US"/>
        </w:rPr>
        <w:t>.</w:t>
      </w:r>
    </w:p>
    <w:p w14:paraId="1EAEE89B" w14:textId="371E4260" w:rsidR="00183976" w:rsidRPr="001D3D20" w:rsidRDefault="00183976" w:rsidP="006842EF">
      <w:pPr>
        <w:spacing w:line="360" w:lineRule="auto"/>
        <w:rPr>
          <w:color w:val="000000"/>
          <w:shd w:val="clear" w:color="auto" w:fill="FFFFFF"/>
          <w:lang w:val="en-US"/>
        </w:rPr>
      </w:pPr>
    </w:p>
    <w:p w14:paraId="1EE51BF8" w14:textId="7E517902" w:rsidR="00183976" w:rsidRPr="001D3D20" w:rsidRDefault="00183976" w:rsidP="006842EF">
      <w:pPr>
        <w:spacing w:line="360" w:lineRule="auto"/>
        <w:rPr>
          <w:color w:val="000000"/>
          <w:shd w:val="clear" w:color="auto" w:fill="FFFFFF"/>
          <w:lang w:val="en-US"/>
        </w:rPr>
      </w:pPr>
      <w:r w:rsidRPr="001D3D20">
        <w:rPr>
          <w:color w:val="000000"/>
          <w:shd w:val="clear" w:color="auto" w:fill="FFFFFF"/>
          <w:lang w:val="en-US"/>
        </w:rPr>
        <w:t>The CHA</w:t>
      </w:r>
      <w:r w:rsidRPr="001D3D20">
        <w:rPr>
          <w:color w:val="000000"/>
          <w:shd w:val="clear" w:color="auto" w:fill="FFFFFF"/>
          <w:vertAlign w:val="subscript"/>
          <w:lang w:val="en-US"/>
        </w:rPr>
        <w:t>2</w:t>
      </w:r>
      <w:r w:rsidRPr="001D3D20">
        <w:rPr>
          <w:color w:val="000000"/>
          <w:shd w:val="clear" w:color="auto" w:fill="FFFFFF"/>
          <w:lang w:val="en-US"/>
        </w:rPr>
        <w:t>DS</w:t>
      </w:r>
      <w:r w:rsidRPr="001D3D20">
        <w:rPr>
          <w:color w:val="000000"/>
          <w:shd w:val="clear" w:color="auto" w:fill="FFFFFF"/>
          <w:vertAlign w:val="subscript"/>
          <w:lang w:val="en-US"/>
        </w:rPr>
        <w:t>2</w:t>
      </w:r>
      <w:r w:rsidRPr="001D3D20">
        <w:rPr>
          <w:color w:val="000000"/>
          <w:shd w:val="clear" w:color="auto" w:fill="FFFFFF"/>
          <w:lang w:val="en-US"/>
        </w:rPr>
        <w:t xml:space="preserve">-VASc score is a globally adopted anticoagulation treatment decision tool, but has also been criticized for its simplistic and reductionist design, incorporating only some known </w:t>
      </w:r>
      <w:r w:rsidR="002E0706" w:rsidRPr="001D3D20">
        <w:rPr>
          <w:color w:val="000000"/>
          <w:shd w:val="clear" w:color="auto" w:fill="FFFFFF"/>
          <w:lang w:val="en-US"/>
        </w:rPr>
        <w:t xml:space="preserve">common or validated </w:t>
      </w:r>
      <w:r w:rsidRPr="001D3D20">
        <w:rPr>
          <w:color w:val="000000"/>
          <w:shd w:val="clear" w:color="auto" w:fill="FFFFFF"/>
          <w:lang w:val="en-US"/>
        </w:rPr>
        <w:t xml:space="preserve">thromboembolic risk factors </w:t>
      </w:r>
      <w:r w:rsidR="002E0706" w:rsidRPr="001D3D20">
        <w:rPr>
          <w:color w:val="000000"/>
          <w:shd w:val="clear" w:color="auto" w:fill="FFFFFF"/>
          <w:lang w:val="en-US"/>
        </w:rPr>
        <w:t xml:space="preserve">associated with atrial fibrillation, </w:t>
      </w:r>
      <w:r w:rsidRPr="001D3D20">
        <w:rPr>
          <w:color w:val="000000"/>
          <w:shd w:val="clear" w:color="auto" w:fill="FFFFFF"/>
          <w:lang w:val="en-US"/>
        </w:rPr>
        <w:t xml:space="preserve">and mainly in a </w:t>
      </w:r>
      <w:r w:rsidR="008A7FDF" w:rsidRPr="001D3D20">
        <w:rPr>
          <w:color w:val="000000"/>
          <w:shd w:val="clear" w:color="auto" w:fill="FFFFFF"/>
          <w:lang w:val="en-US"/>
        </w:rPr>
        <w:t>dichotomized</w:t>
      </w:r>
      <w:r w:rsidRPr="001D3D20">
        <w:rPr>
          <w:color w:val="000000"/>
          <w:shd w:val="clear" w:color="auto" w:fill="FFFFFF"/>
          <w:lang w:val="en-US"/>
        </w:rPr>
        <w:t xml:space="preserve"> fashion.</w:t>
      </w:r>
      <w:r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{"citationItems":[{"id":"ITEM-1","itemData":{"DOI":"10.1093/eurheartj/ehy731","ISSN":"0195-668X","author":[{"dropping-particle":"","family":"Killu","given":"Ammar M","non-dropping-particle":"","parse-names":false,"suffix":""},{"dropping-particle":"","family":"Granger","given":"Christopher B","non-dropping-particle":"","parse-names":false,"suffix":""},{"dropping-particle":"","family":"Gersh","given":"Bernard J","non-dropping-particle":"","parse-names":false,"suffix":""}],"container-title":"European Heart Journal","id":"ITEM-1","issue":"16","issued":{"date-parts":[["2019","4","21"]]},"page":"1294-1302","title":"Risk stratification for stroke in atrial fibrillation: a critique","type":"article-journal","volume":"40"},"uris":["http://www.mendeley.com/documents/?uuid=98e4653f-85f0-3c82-affe-6424257590a2"]}],"mendeley":{"formattedCitation":"&lt;sup&gt;25&lt;/sup&gt;","plainTextFormattedCitation":"25","previouslyFormattedCitation":"&lt;sup&gt;25&lt;/sup&gt;"},"properties":{"noteIndex":0},"schema":"https://github.com/citation-style-language/schema/raw/master/csl-citation.json"}</w:instrText>
      </w:r>
      <w:r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25</w:t>
      </w:r>
      <w:r w:rsidRPr="001D3D20">
        <w:rPr>
          <w:color w:val="000000"/>
          <w:shd w:val="clear" w:color="auto" w:fill="FFFFFF"/>
          <w:lang w:val="en-US"/>
        </w:rPr>
        <w:fldChar w:fldCharType="end"/>
      </w:r>
      <w:r w:rsidRPr="001D3D20">
        <w:rPr>
          <w:color w:val="000000"/>
          <w:shd w:val="clear" w:color="auto" w:fill="FFFFFF"/>
          <w:lang w:val="en-US"/>
        </w:rPr>
        <w:t xml:space="preserve"> Interestingly, the original CHA</w:t>
      </w:r>
      <w:r w:rsidRPr="001D3D20">
        <w:rPr>
          <w:color w:val="000000"/>
          <w:shd w:val="clear" w:color="auto" w:fill="FFFFFF"/>
          <w:vertAlign w:val="subscript"/>
          <w:lang w:val="en-US"/>
        </w:rPr>
        <w:t>2</w:t>
      </w:r>
      <w:r w:rsidRPr="001D3D20">
        <w:rPr>
          <w:color w:val="000000"/>
          <w:shd w:val="clear" w:color="auto" w:fill="FFFFFF"/>
          <w:lang w:val="en-US"/>
        </w:rPr>
        <w:t>DS</w:t>
      </w:r>
      <w:r w:rsidRPr="001D3D20">
        <w:rPr>
          <w:color w:val="000000"/>
          <w:shd w:val="clear" w:color="auto" w:fill="FFFFFF"/>
          <w:vertAlign w:val="subscript"/>
          <w:lang w:val="en-US"/>
        </w:rPr>
        <w:t>2</w:t>
      </w:r>
      <w:r w:rsidRPr="001D3D20">
        <w:rPr>
          <w:color w:val="000000"/>
          <w:shd w:val="clear" w:color="auto" w:fill="FFFFFF"/>
          <w:lang w:val="en-US"/>
        </w:rPr>
        <w:t xml:space="preserve">-VASc derivation study </w:t>
      </w:r>
      <w:r w:rsidR="004B7A76" w:rsidRPr="001D3D20">
        <w:rPr>
          <w:color w:val="000000"/>
          <w:shd w:val="clear" w:color="auto" w:fill="FFFFFF"/>
          <w:lang w:val="en-US"/>
        </w:rPr>
        <w:t>initially</w:t>
      </w:r>
      <w:r w:rsidRPr="001D3D20">
        <w:rPr>
          <w:color w:val="000000"/>
          <w:shd w:val="clear" w:color="auto" w:fill="FFFFFF"/>
          <w:lang w:val="en-US"/>
        </w:rPr>
        <w:t xml:space="preserve"> included VTE in the definition of vascular disease,</w:t>
      </w:r>
      <w:r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{"citationItems":[{"id":"ITEM-1","itemData":{"DOI":"10.1378/chest.09-1584","ISSN":"1931-3543","PMID":"19762550","abstract":"BACKGROUND: Contemporary clinical risk stratification schemata for predicting stroke and thromboembolism (TE) in patients with atrial fibrillation (AF) are largely derived from risk factors identified from trial cohorts. Thus, many potential risk factors have not been included. METHODS: We refined the 2006 Birmingham/National Institute for Health and Clinical Excellence (NICE) stroke risk stratification schema into a risk factor-based approach by reclassifying and/or incorporating additional new risk factors where relevant. This schema was then compared with existing stroke risk stratification schema in a real-world cohort of patients with AF (n = 1,084) from the Euro Heart Survey for AF. RESULTS: Risk categorization differed widely between the different schemes compared. Patients classified as high risk ranged from 10.2% with the Framingham schema to 75.7% with the Birmingham 2009 schema. The classic CHADS(2) (Congestive heart failure, Hypertension, Age &gt; 75, Diabetes, prior Stroke/transient ischemic attack) schema categorized the largest proportion (61.9%) into the intermediate-risk strata, whereas the Birmingham 2009 schema classified 15.1% into this category. The Birmingham 2009 schema classified only 9.2% as low risk, whereas the Framingham scheme categorized 48.3% as low risk. Calculated C-statistics suggested modest predictive value of all schema for TE. The Birmingham 2009 schema fared marginally better (C-statistic, 0.606) than CHADS(2). However, those classified as low risk by the Birmingham 2009 and NICE schema were truly low risk with no TE events recorded, whereas TE events occurred in 1.4% of low-risk CHADS(2) subjects. When expressed as a scoring system, the Birmingham 2009 schema (CHA(2)DS(2)-VASc acronym) showed an increase in TE rate with increasing scores (P value for trend = .003). CONCLUSIONS: Our novel, simple stroke risk stratification schema, based on a risk factor approach, provides some improvement in predictive value for TE over the CHADS(2) schema, with low event rates in low-risk subjects and the classification of only a small proportion of subjects into the intermediate-risk category. This schema could improve our approach to stroke risk stratification in patients with AF.","author":[{"dropping-particle":"","family":"Lip","given":"G Y","non-dropping-particle":"","parse-names":false,"suffix":""},{"dropping-particle":"","family":"Nieuwlaat","given":"Robby","non-dropping-particle":"","parse-names":false,"suffix":""},{"dropping-particle":"","family":"Pisters","given":"Ron","non-dropping-particle":"","parse-names":false,"suffix":""},{"dropping-particle":"","family":"Lane","given":"Deirdre A","non-dropping-particle":"","parse-names":false,"suffix":""},{"dropping-particle":"","family":"Crijns","given":"Harry J","non-dropping-particle":"","parse-names":false,"suffix":""}],"container-title":"Chest","id":"ITEM-1","issue":"2","issued":{"date-parts":[["2010"]]},"page":"263-272","title":"Refining clinical risk stratification for predicting stroke and thromboembolism in atrial fibrillation using a novel risk factor-based approach: the Euro Heart Survey on Atrial Fibrillation.","type":"article-journal","volume":"137"},"uris":["http://www.mendeley.com/documents/?uuid=c50aa977-0b96-40fa-9940-8e0e0b509558"]}],"mendeley":{"formattedCitation":"&lt;sup&gt;10&lt;/sup&gt;","plainTextFormattedCitation":"10","previouslyFormattedCitation":"&lt;sup&gt;10&lt;/sup&gt;"},"properties":{"noteIndex":0},"schema":"https://github.com/citation-style-language/schema/raw/master/csl-citation.json"}</w:instrText>
      </w:r>
      <w:r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10</w:t>
      </w:r>
      <w:r w:rsidRPr="001D3D20">
        <w:rPr>
          <w:color w:val="000000"/>
          <w:shd w:val="clear" w:color="auto" w:fill="FFFFFF"/>
          <w:lang w:val="en-US"/>
        </w:rPr>
        <w:fldChar w:fldCharType="end"/>
      </w:r>
      <w:r w:rsidRPr="001D3D20">
        <w:rPr>
          <w:color w:val="000000"/>
          <w:shd w:val="clear" w:color="auto" w:fill="FFFFFF"/>
          <w:lang w:val="en-US"/>
        </w:rPr>
        <w:t xml:space="preserve"> </w:t>
      </w:r>
      <w:r w:rsidR="002E0706" w:rsidRPr="001D3D20">
        <w:rPr>
          <w:color w:val="000000"/>
          <w:shd w:val="clear" w:color="auto" w:fill="FFFFFF"/>
          <w:lang w:val="en-US"/>
        </w:rPr>
        <w:t xml:space="preserve"> </w:t>
      </w:r>
      <w:r w:rsidRPr="001D3D20">
        <w:rPr>
          <w:color w:val="000000"/>
          <w:shd w:val="clear" w:color="auto" w:fill="FFFFFF"/>
          <w:lang w:val="en-US"/>
        </w:rPr>
        <w:t xml:space="preserve">but has since been left out and does not appear </w:t>
      </w:r>
      <w:r w:rsidRPr="001D3D20">
        <w:rPr>
          <w:color w:val="000000"/>
          <w:shd w:val="clear" w:color="auto" w:fill="FFFFFF"/>
          <w:lang w:val="en-US"/>
        </w:rPr>
        <w:lastRenderedPageBreak/>
        <w:t>in any of the major guidelines’ definitions of vascular disease as defined by CHA</w:t>
      </w:r>
      <w:r w:rsidRPr="001D3D20">
        <w:rPr>
          <w:color w:val="000000"/>
          <w:shd w:val="clear" w:color="auto" w:fill="FFFFFF"/>
          <w:vertAlign w:val="subscript"/>
          <w:lang w:val="en-US"/>
        </w:rPr>
        <w:t>2</w:t>
      </w:r>
      <w:r w:rsidRPr="001D3D20">
        <w:rPr>
          <w:color w:val="000000"/>
          <w:shd w:val="clear" w:color="auto" w:fill="FFFFFF"/>
          <w:lang w:val="en-US"/>
        </w:rPr>
        <w:t>DS</w:t>
      </w:r>
      <w:r w:rsidRPr="001D3D20">
        <w:rPr>
          <w:color w:val="000000"/>
          <w:shd w:val="clear" w:color="auto" w:fill="FFFFFF"/>
          <w:vertAlign w:val="subscript"/>
          <w:lang w:val="en-US"/>
        </w:rPr>
        <w:t>2</w:t>
      </w:r>
      <w:r w:rsidRPr="001D3D20">
        <w:rPr>
          <w:color w:val="000000"/>
          <w:shd w:val="clear" w:color="auto" w:fill="FFFFFF"/>
          <w:lang w:val="en-US"/>
        </w:rPr>
        <w:t>-VASc.</w:t>
      </w:r>
      <w:r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10.1093/eurheartj/ehw210","ISSN":"0195-668X","author":[{"dropping-particle":"","family":"Kirchhof","given":"Paulus","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non-dropping-particle":"Van","parse-names":false,"suffix":""},{"dropping-particle":"","family":"Vardas","given":"Panagiotis","non-dropping-particle":"","parse-names":false,"suffix":""},{"dropping-particle":"","family":"Agewall","given":"Stefan","non-dropping-particle":"","parse-names":false,"suffix":""},{"dropping-particle":"","family":"Camm","given":"John","non-dropping-particle":"","parse-names":false,"suffix":""},{"dropping-particle":"","family":"Baron Esquivias","given":"Gonzalo","non-dropping-particle":"","parse-names":false,"suffix":""},{"dropping-particle":"","family":"Budts","given":"Werner","non-dropping-particle":"","parse-names":false,"suffix":""},{"dropping-particle":"","family":"Carerj","given":"Scipione","non-dropping-particle":"","parse-names":false,"suffix":""},{"dropping-particle":"","family":"Casselman","given":"Filip","non-dropping-particle":"","parse-names":false,"suffix":""},{"dropping-particle":"","family":"Coca","given":"Antonio","non-dropping-particle":"","parse-names":false,"suffix":""},{"dropping-particle":"","family":"Caterina","given":"Raffaele","non-dropping-particle":"De","parse-names":false,"suffix":""},{"dropping-particle":"","family":"Deftereos","given":"Spiridon","non-dropping-particle":"","parse-names":false,"suffix":""},{"dropping-particle":"","family":"Dobrev","given":"Dobromir","non-dropping-particle":"","parse-names":false,"suffix":""},{"dropping-particle":"","family":"Ferro","given":"José M.","non-dropping-particle":"","parse-names":false,"suffix":""},{"dropping-particle":"","family":"Filippatos","given":"Gerasimos","non-dropping-particle":"","parse-names":false,"suffix":""},{"dropping-particle":"","family":"Fitzsimons","given":"Donna","non-dropping-particle":"","parse-names":false,"suffix":""},{"dropping-particle":"","family":"Gorenek","given":"Bulent","non-dropping-particle":"","parse-names":false,"suffix":""},{"dropping-particle":"","family":"Guenoun","given":"Maxine","non-dropping-particle":"","parse-names":false,"suffix":""},{"dropping-particle":"","family":"Hohnloser","given":"Stefan H.","non-dropping-particle":"","parse-names":false,"suffix":""},{"dropping-particle":"","family":"Kolh","given":"Philippe","non-dropping-particle":"","parse-names":false,"suffix":""},{"dropping-particle":"","family":"Lip","given":"Gregory Y. H.","non-dropping-particle":"","parse-names":false,"suffix":""},{"dropping-particle":"","family":"Manolis","given":"Athanasios","non-dropping-particle":"","parse-names":false,"suffix":""},{"dropping-particle":"","family":"McMurray","given":"John","non-dropping-particle":"","parse-names":false,"suffix":""},{"dropping-particle":"","family":"Ponikowski","given":"Piotr","non-dropping-particle":"","parse-names":false,"suffix":""},{"dropping-particle":"","family":"Rosenhek","given":"Raphael","non-dropping-particle":"","parse-names":false,"suffix":""},{"dropping-particle":"","family":"Ruschitzka","given":"Frank","non-dropping-particle":"","parse-names":false,"suffix":""},{"dropping-particle":"","family":"Savelieva","given":"Irina","non-dropping-particle":"","parse-names":false,"suffix":""},{"dropping-particle":"","family":"Sharma","given":"Sanjay","non-dropping-particle":"","parse-names":false,"suffix":""},{"dropping-particle":"","family":"Suwalski","given":"Piotr","non-dropping-particle":"","parse-names":false,"suffix":""},{"dropping-particle":"","family":"Tamargo","given":"Juan Luis","non-dropping-particle":"","parse-names":false,"suffix":""},{"dropping-particle":"","family":"Taylor","given":"Clare J.","non-dropping-particle":"","parse-names":false,"suffix":""},{"dropping-particle":"","family":"Gelder","given":"Isabelle C.","non-dropping-particle":"Van","parse-names":false,"suffix":""},{"dropping-particle":"","family":"Voors","given":"Adriaan A.","non-dropping-particle":"","parse-names":false,"suffix":""},{"dropping-particle":"","family":"Windecker","given":"Stephan","non-dropping-particle":"","parse-names":false,"suffix":""},{"dropping-particle":"","family":"Zamorano","given":"Jose Luis","non-dropping-particle":"","parse-names":false,"suffix":""},{"dropping-particle":"","family":"Zeppenfeld","given":"Katja","non-dropping-particle":"","parse-names":false,"suffix":""}],"container-title":"European Heart Journal","id":"ITEM-1","issue":"38","issued":{"date-parts":[["2016","10","7"]]},"page":"2893-2962","title":"2016 ESC Guidelines for the management of atrial fibrillation developed in collaboration with EACTS","type":"article-journal","volume":"37"},"uris":["http://www.mendeley.com/documents/?uuid=f28c0cfc-fd87-3db0-bad9-5e78386a0782"]},{"id":"ITEM-2","itemData":{"DOI":"10.1016/j.jacc.2019.01.011","ISSN":"07351097","author":[{"dropping-particle":"","family":"January","given":"Craig T.","non-dropping-particle":"","parse-names":false,"suffix":""},{"dropping-particle":"","family":"Wann","given":"L. Samuel","non-dropping-particle":"","parse-names":false,"suffix":""},{"dropping-particle":"","family":"Calkins","given":"Hugh","non-dropping-particle":"","parse-names":false,"suffix":""},{"dropping-particle":"","family":"Chen","given":"Lin Y.","non-dropping-particle":"","parse-names":false,"suffix":""},{"dropping-particle":"","family":"Cigarroa","given":"Joaquin E.","non-dropping-particle":"","parse-names":false,"suffix":""},{"dropping-particle":"","family":"Cleveland","given":"Joseph C.","non-dropping-particle":"","parse-names":false,"suffix":""},{"dropping-particle":"","family":"Ellinor","given":"Patrick T.","non-dropping-particle":"","parse-names":false,"suffix":""},{"dropping-particle":"","family":"Ezekowitz","given":"Michael D.","non-dropping-particle":"","parse-names":false,"suffix":""},{"dropping-particle":"","family":"Field","given":"Michael E.","non-dropping-particle":"","parse-names":false,"suffix":""},{"dropping-particle":"","family":"Furie","given":"Karen L.","non-dropping-particle":"","parse-names":false,"suffix":""},{"dropping-particle":"","family":"Heidenreich","given":"Paul A.","non-dropping-particle":"","parse-names":false,"suffix":""},{"dropping-particle":"","family":"Murray","given":"Katherine T.","non-dropping-particle":"","parse-names":false,"suffix":""},{"dropping-particle":"","family":"Shea","given":"Julie B.","non-dropping-particle":"","parse-names":false,"suffix":""},{"dropping-particle":"","family":"Tracy","given":"Cynthia M.","non-dropping-particle":"","parse-names":false,"suffix":""},{"dropping-particle":"","family":"Yancy","given":"Clyde W.","non-dropping-particle":"","parse-names":false,"suffix":""}],"container-title":"Journal of the American College of Cardiology","id":"ITEM-2","issue":"1","issued":{"date-parts":[["2019","7","28"]]},"page":"104-132","title":"2019 AHA/ACC/HRS focused update of the 2014 AHA/ACC/HRS guideline for the management of patients with atrial fibrillation","type":"article-journal","volume":"74"},"uris":["http://www.mendeley.com/documents/?uuid=9af540e1-3194-3c33-8911-da1f1bfb3a0f"]},{"id":"ITEM-3","itemData":{"DOI":"10.1016/J.CHEST.2018.07.040","ISSN":"0012-3692","abstract":"BACKGROUND The risk of stroke is heterogeneous across different groups of patients with atrial fibrillation (AF), being dependent on the presence of various stroke risk factors. We provide recommendations for antithrombotic treatment based on net clinical benefit for patients with AF at varying levels of stroke risk and in a number of common clinical scenarios. METHODS Systematic literature reviews were conducted to identify relevant articles published from the last formal search perfomed for the Antithrombotic and Thrombolytic Therapy: American College of Chest Physicians Evidence-Based Clinical Practice Guidelines (9th Edition). The overall quality of the evidence was assessed using the GRADE (Grading of Recommendations, Assessment, Development, and Evaluation) approach. Graded recommendations and ungraded consensus-based statements were drafted, voted on, and revised until consensus was reached. RESULTS For patients with AF without valvular heart disease, including those with paroxysmal AF, who are at low risk of stroke (eg, CHA2DS2-VASc [congestive heart failure, hypertension, age ≥ 75 (doubled), diabetes, stroke (doubled)-vascular disease, age 65-74 and sex category (female)] score of 0 in males or 1 in females), we suggest no antithrombotic therapy. The next step is to consider stroke prevention (ie, oral anticoagulation therapy) for patients with 1 or more non-sex CHA2DS2-VASc stroke risk factors. For patients with a single non-sex CHA2DS2-VASc stroke risk factor, we suggest oral anticoagulation rather than no therapy, aspirin, or combination therapy with aspirin and clopidogrel; and for those at high risk of stroke (eg, CHA2DS2-VASc ≥ 2 in males or ≥ 3 in females), we recommend oral anticoagulation rather than no therapy, aspirin, or combination therapy with aspirin and clopidogrel. Where we recommend or suggest in favor of oral anticoagulation, we suggest using a non-vitamin K antagonist oral anticoagulant drug rather than adjusted-dose vitamin K antagonist therapy. With the latter, it is important to aim for good quality anticoagulation control with a time in therapeutic range &gt; 70%. Attention to modifiable bleeding risk factors (eg, uncontrolled BP, labile international normalized ratios, concomitant use of aspirin or nonsteroidal antiinflammatory drugs in an anticoagulated patient, alcohol excess) should be made at each patient contact, and HAS-BLED (hypertension, abnormal renal/liver function [1 point each], stroke, bleeding history or pred…","author":[{"dropping-particle":"","family":"Lip","given":"Gregory Y.","non-dropping-particle":"","parse-names":false,"suffix":""},{"dropping-particle":"","family":"Banerjee","given":"Amitava","non-dropping-particle":"","parse-names":false,"suffix":""},{"dropping-particle":"","family":"Boriani","given":"Giuseppe","non-dropping-particle":"","parse-names":false,"suffix":""},{"dropping-particle":"","family":"Chiang","given":"Chern en","non-dropping-particle":"","parse-names":false,"suffix":""},{"dropping-particle":"","family":"Fargo","given":"Ramiz","non-dropping-particle":"","parse-names":false,"suffix":""},{"dropping-particle":"","family":"Freedman","given":"Ben","non-dropping-particle":"","parse-names":false,"suffix":""},{"dropping-particle":"","family":"Lane","given":"Deirdre A.","non-dropping-particle":"","parse-names":false,"suffix":""},{"dropping-particle":"","family":"Ruff","given":"Christian T.","non-dropping-particle":"","parse-names":false,"suffix":""},{"dropping-particle":"","family":"Turakhia","given":"Mintu","non-dropping-particle":"","parse-names":false,"suffix":""},{"dropping-particle":"","family":"Werring","given":"David","non-dropping-particle":"","parse-names":false,"suffix":""},{"dropping-particle":"","family":"Patel","given":"Sheena","non-dropping-particle":"","parse-names":false,"suffix":""},{"dropping-particle":"","family":"Moores","given":"Lisa","non-dropping-particle":"","parse-names":false,"suffix":""}],"container-title":"Chest","id":"ITEM-3","issue":"5","issued":{"date-parts":[["2018","11","1"]]},"page":"1121-1201","title":"Antithrombotic Therapy for Atrial Fibrillation: CHEST Guideline and Expert Panel Report","type":"article-journal","volume":"154"},"uris":["http://www.mendeley.com/documents/?uuid=4eb770e0-11f7-3a9e-ad3e-692bf331649b"]},{"id":"ITEM-4","itemData":{"DOI":"10.1160/TH16-11-0876","ISSN":"0340-6245","PMID":"28597905","abstract":"Concepts and our approaches to stroke prevention in atrial fibrillation (AF) have changed markedly over the last decade. There has been an evolution over the approach to stroke and bleeding risk assessment, as well as new treatment options. An increasing awareness of AF has led to calls to improve the detection of and population screening for AF. Stroke and bleeding risk assessment continues to evolve, and the ongoing debate on balance between simplicity and practicality, against precision medicine will continue. In this review article, we provide an overview of past, present and the (likely) future concepts and approaches to stroke prevention in AF. We propose three simple steps (the Birmingham ‘3-step’) that offers a practical management pathway to help streamline and simplify decision-making for stroke prevention in patients with AF.","author":[{"dropping-particle":"","family":"Lip","given":"Gregory Y.","non-dropping-particle":"","parse-names":false,"suffix":""},{"dropping-particle":"","family":"Freedman","given":"Ben","non-dropping-particle":"","parse-names":false,"suffix":""},{"dropping-particle":"","family":"Caterina","given":"Raffaele","non-dropping-particle":"De","parse-names":false,"suffix":""},{"dropping-particle":"","family":"Potpara","given":"Tatjana S.","non-dropping-particle":"","parse-names":false,"suffix":""}],"container-title":"Thrombosis and Haemostasis","id":"ITEM-4","issued":{"date-parts":[["2017"]]},"page":"1230-1239","title":"Stroke prevention in atrial fibrillation: Past, present and future","type":"article-journal","volume":"117"},"uris":["http://www.mendeley.com/documents/?uuid=26e6f2b3-beb9-3b9e-a096-4b7c26b9a932"]}],"mendeley":{"formattedCitation":"&lt;sup&gt;8,11,12,26&lt;/sup&gt;","plainTextFormattedCitation":"8,11,12,26","previouslyFormattedCitation":"&lt;sup&gt;8,11,12,26&lt;/sup&gt;"},"properties":{"noteIndex":0},"schema":"https://github.com/citation-style-language/schema/raw/master/csl-citation.json"}</w:instrText>
      </w:r>
      <w:r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8,11,12,26</w:t>
      </w:r>
      <w:r w:rsidRPr="001D3D20">
        <w:rPr>
          <w:color w:val="000000"/>
          <w:shd w:val="clear" w:color="auto" w:fill="FFFFFF"/>
          <w:lang w:val="en-US"/>
        </w:rPr>
        <w:fldChar w:fldCharType="end"/>
      </w:r>
      <w:r w:rsidRPr="001D3D20">
        <w:rPr>
          <w:color w:val="000000"/>
          <w:shd w:val="clear" w:color="auto" w:fill="FFFFFF"/>
          <w:lang w:val="en-US"/>
        </w:rPr>
        <w:t xml:space="preserve"> </w:t>
      </w:r>
    </w:p>
    <w:p w14:paraId="31C71077" w14:textId="3CCF64D8" w:rsidR="00374A5B" w:rsidRPr="001D3D20" w:rsidRDefault="00374A5B" w:rsidP="006842EF">
      <w:pPr>
        <w:spacing w:line="360" w:lineRule="auto"/>
        <w:rPr>
          <w:color w:val="000000"/>
          <w:shd w:val="clear" w:color="auto" w:fill="FFFFFF"/>
          <w:lang w:val="en-US"/>
        </w:rPr>
      </w:pPr>
    </w:p>
    <w:p w14:paraId="29B8D647" w14:textId="05FA4C21" w:rsidR="00374A5B" w:rsidRPr="001D3D20" w:rsidRDefault="00374A5B" w:rsidP="006842EF">
      <w:pPr>
        <w:spacing w:line="360" w:lineRule="auto"/>
        <w:rPr>
          <w:color w:val="000000"/>
          <w:shd w:val="clear" w:color="auto" w:fill="FFFFFF"/>
          <w:lang w:val="en-US"/>
        </w:rPr>
      </w:pPr>
      <w:r w:rsidRPr="001D3D20">
        <w:rPr>
          <w:color w:val="000000"/>
          <w:shd w:val="clear" w:color="auto" w:fill="FFFFFF"/>
          <w:lang w:val="en-US"/>
        </w:rPr>
        <w:t>Since oral anticoagulation is currently indicated for most patients with atrial fibrillation, large contemporary unselected and untreated cohorts of atrial fibrillation patients no longer exist. To assess whether patients with a history of VTE should be considered a high-risk category among patients with atrial fibrillation, we therefore conducted several different analyses</w:t>
      </w:r>
      <w:r w:rsidR="0095578E" w:rsidRPr="001D3D20">
        <w:rPr>
          <w:color w:val="000000"/>
          <w:shd w:val="clear" w:color="auto" w:fill="FFFFFF"/>
          <w:lang w:val="en-US"/>
        </w:rPr>
        <w:t>, both using the entire population with adjust for differences in anticoagulant treatment as well as the anticoagulation-free subpopulation</w:t>
      </w:r>
      <w:r w:rsidRPr="001D3D20">
        <w:rPr>
          <w:color w:val="000000"/>
          <w:shd w:val="clear" w:color="auto" w:fill="FFFFFF"/>
          <w:lang w:val="en-US"/>
        </w:rPr>
        <w:t xml:space="preserve">. First, we reported crude incidence rates for </w:t>
      </w:r>
      <w:r w:rsidR="0095578E" w:rsidRPr="001D3D20">
        <w:rPr>
          <w:color w:val="000000"/>
          <w:shd w:val="clear" w:color="auto" w:fill="FFFFFF"/>
          <w:lang w:val="en-US"/>
        </w:rPr>
        <w:t>the</w:t>
      </w:r>
      <w:r w:rsidRPr="001D3D20">
        <w:rPr>
          <w:color w:val="000000"/>
          <w:shd w:val="clear" w:color="auto" w:fill="FFFFFF"/>
          <w:lang w:val="en-US"/>
        </w:rPr>
        <w:t xml:space="preserve"> </w:t>
      </w:r>
      <w:r w:rsidR="0095578E" w:rsidRPr="001D3D20">
        <w:rPr>
          <w:color w:val="000000"/>
          <w:shd w:val="clear" w:color="auto" w:fill="FFFFFF"/>
          <w:lang w:val="en-US"/>
        </w:rPr>
        <w:t>sub-</w:t>
      </w:r>
      <w:r w:rsidRPr="001D3D20">
        <w:rPr>
          <w:color w:val="000000"/>
          <w:shd w:val="clear" w:color="auto" w:fill="FFFFFF"/>
          <w:lang w:val="en-US"/>
        </w:rPr>
        <w:t>population not treated with oral anticoagulation knowing that such patients are unlikely to be a random subset of the atrial fibrillation population. This analysis revealed higher rates of thromboembolism and VTE for patients with versus without a history of VTE. According to this analysis, a patient’s history of VTE seems an easily accessible marker of thromboembolic risk that should be considered when making clinical risk assessments. Importantly, we had no information on the reasons for withholding anticoagulation.</w:t>
      </w:r>
    </w:p>
    <w:p w14:paraId="64B93911" w14:textId="77777777" w:rsidR="002C71C5" w:rsidRPr="001D3D20" w:rsidRDefault="002C71C5" w:rsidP="006842EF">
      <w:pPr>
        <w:spacing w:line="360" w:lineRule="auto"/>
        <w:rPr>
          <w:color w:val="000000"/>
          <w:shd w:val="clear" w:color="auto" w:fill="FFFFFF"/>
          <w:lang w:val="en-US"/>
        </w:rPr>
      </w:pPr>
    </w:p>
    <w:p w14:paraId="43469127" w14:textId="0D200CFB" w:rsidR="00545BC5" w:rsidRPr="001D3D20" w:rsidRDefault="007B28C8" w:rsidP="006842EF">
      <w:pPr>
        <w:spacing w:line="360" w:lineRule="auto"/>
        <w:rPr>
          <w:color w:val="000000"/>
          <w:shd w:val="clear" w:color="auto" w:fill="FFFFFF"/>
          <w:lang w:val="en-US"/>
        </w:rPr>
      </w:pPr>
      <w:r w:rsidRPr="001D3D20">
        <w:rPr>
          <w:color w:val="000000"/>
          <w:shd w:val="clear" w:color="auto" w:fill="FFFFFF"/>
          <w:lang w:val="en-US"/>
        </w:rPr>
        <w:t xml:space="preserve">The pathophysiology of </w:t>
      </w:r>
      <w:r w:rsidR="00635A95" w:rsidRPr="001D3D20">
        <w:rPr>
          <w:color w:val="000000"/>
          <w:shd w:val="clear" w:color="auto" w:fill="FFFFFF"/>
          <w:lang w:val="en-US"/>
        </w:rPr>
        <w:t>VTE</w:t>
      </w:r>
      <w:r w:rsidRPr="001D3D20">
        <w:rPr>
          <w:color w:val="000000"/>
          <w:shd w:val="clear" w:color="auto" w:fill="FFFFFF"/>
          <w:lang w:val="en-US"/>
        </w:rPr>
        <w:t xml:space="preserve"> and atrial fibrillation-related embolism share the same theoretical basis, with erythrocyte-rich thrombi forming in low-pressure vasculature.</w:t>
      </w:r>
      <w:r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{"citationItems":[{"id":"ITEM-1","itemData":{"DOI":"10.1001/archinte.163.20.2534-a","ISSN":"0003-9926","author":[{"dropping-particle":"","family":"Tan","given":"Kiat T.","non-dropping-particle":"","parse-names":false,"suffix":""},{"dropping-particle":"","family":"Lip","given":"Gregory Y.","non-dropping-particle":"","parse-names":false,"suffix":""}],"container-title":"Archives of Internal Medicine","id":"ITEM-1","issue":"20","issued":{"date-parts":[["2003","11","10"]]},"page":"2534","title":"Red vs white thrombi: Treating the right clot is crucial","type":"article-journal","volume":"163"},"uris":["http://www.mendeley.com/documents/?uuid=7648cef1-33cf-3a20-b60b-c68225c9d704"]}],"mendeley":{"formattedCitation":"&lt;sup&gt;7&lt;/sup&gt;","plainTextFormattedCitation":"7","previouslyFormattedCitation":"&lt;sup&gt;7&lt;/sup&gt;"},"properties":{"noteIndex":0},"schema":"https://github.com/citation-style-language/schema/raw/master/csl-citation.json"}</w:instrText>
      </w:r>
      <w:r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7</w:t>
      </w:r>
      <w:r w:rsidRPr="001D3D20">
        <w:rPr>
          <w:color w:val="000000"/>
          <w:shd w:val="clear" w:color="auto" w:fill="FFFFFF"/>
          <w:lang w:val="en-US"/>
        </w:rPr>
        <w:fldChar w:fldCharType="end"/>
      </w:r>
      <w:r w:rsidRPr="001D3D20">
        <w:rPr>
          <w:color w:val="000000"/>
          <w:shd w:val="clear" w:color="auto" w:fill="FFFFFF"/>
          <w:lang w:val="en-US"/>
        </w:rPr>
        <w:t xml:space="preserve"> Although risk profiles for atherothrombotic and venous thrombi are different,</w:t>
      </w:r>
      <w:r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{"citationItems":[{"id":"ITEM-1","itemData":{"DOI":"10.1161/CIRCULATIONAHA.116.024507","ISBN":"0009-7322","ISSN":"15244539","PMID":"27831499","author":[{"dropping-particle":"","family":"Mahmoodi","given":"Bakhtawar K.","non-dropping-particle":"","parse-names":false,"suffix":""},{"dropping-particle":"","family":"Cushman","given":"Mary","non-dropping-particle":"","parse-names":false,"suffix":""},{"dropping-particle":"","family":"Næss","given":"Inger Anne","non-dropping-particle":"","parse-names":false,"suffix":""},{"dropping-particle":"","family":"Allison","given":"Matthew A.","non-dropping-particle":"","parse-names":false,"suffix":""},{"dropping-particle":"","family":"Bos","given":"Willem Jan","non-dropping-particle":"","parse-names":false,"suffix":""},{"dropping-particle":"","family":"Brækkan","given":"Sigrid K.","non-dropping-particle":"","parse-names":false,"suffix":""},{"dropping-particle":"","family":"Cannegieter","given":"Suzanne C.","non-dropping-particle":"","parse-names":false,"suffix":""},{"dropping-particle":"","family":"Gansevoort","given":"Ron T.","non-dropping-particle":"","parse-names":false,"suffix":""},{"dropping-particle":"","family":"Gona","given":"Philimon N.","non-dropping-particle":"","parse-names":false,"suffix":""},{"dropping-particle":"","family":"Hammerstrøm","given":"Jens","non-dropping-particle":"","parse-names":false,"suffix":""},{"dropping-particle":"","family":"Hansen","given":"John Bjarne","non-dropping-particle":"","parse-names":false,"suffix":""},{"dropping-particle":"","family":"Heckbert","given":"Susan","non-dropping-particle":"","parse-names":false,"suffix":""},{"dropping-particle":"","family":"Holst","given":"Anders G.","non-dropping-particle":"","parse-names":false,"suffix":""},{"dropping-particle":"","family":"Lakoski","given":"Susan G.","non-dropping-particle":"","parse-names":false,"suffix":""},{"dropping-particle":"","family":"Lutsey","given":"Pamela L.","non-dropping-particle":"","parse-names":false,"suffix":""},{"dropping-particle":"","family":"Manson","given":"Jo Ann E.","non-dropping-particle":"","parse-names":false,"suffix":""},{"dropping-particle":"","family":"Martin","given":"Lisa W.","non-dropping-particle":"","parse-names":false,"suffix":""},{"dropping-particle":"","family":"Matsushita","given":"Kunihiro","non-dropping-particle":"","parse-names":false,"suffix":""},{"dropping-particle":"","family":"Meijer","given":"Karina","non-dropping-particle":"","parse-names":false,"suffix":""},{"dropping-particle":"","family":"Overvad","given":"Kim","non-dropping-particle":"","parse-names":false,"suffix":""},{"dropping-particle":"","family":"Prescott","given":"Eva","non-dropping-particle":"","parse-names":false,"suffix":""},{"dropping-particle":"","family":"Puurunen","given":"Marja","non-dropping-particle":"","parse-names":false,"suffix":""},{"dropping-particle":"","family":"Rossouw","given":"Jacques E.","non-dropping-particle":"","parse-names":false,"suffix":""},{"dropping-particle":"","family":"Sang","given":"Yingying","non-dropping-particle":"","parse-names":false,"suffix":""},{"dropping-particle":"","family":"Severinsen","given":"Marianne T.","non-dropping-particle":"","parse-names":false,"suffix":""},{"dropping-particle":"","family":"Berg","given":"Jur","non-dropping-particle":"Ten","parse-names":false,"suffix":""},{"dropping-particle":"","family":"Folsom","given":"Aaron R.","non-dropping-particle":"","parse-names":false,"suffix":""},{"dropping-particle":"","family":"Zakai","given":"Neil A.","non-dropping-particle":"","parse-names":false,"suffix":""}],"container-title":"Circulation","id":"ITEM-1","issue":"1","issued":{"date-parts":[["2017"]]},"page":"7-16","title":"Association of traditional cardiovascular risk factors with venous thromboembolism","type":"article-journal","volume":"135"},"uris":["http://www.mendeley.com/documents/?uuid=9026fc06-740e-4235-ab02-ad6587ddea6f"]}],"mendeley":{"formattedCitation":"&lt;sup&gt;27&lt;/sup&gt;","plainTextFormattedCitation":"27","previouslyFormattedCitation":"&lt;sup&gt;27&lt;/sup&gt;"},"properties":{"noteIndex":0},"schema":"https://github.com/citation-style-language/schema/raw/master/csl-citation.json"}</w:instrText>
      </w:r>
      <w:r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27</w:t>
      </w:r>
      <w:r w:rsidRPr="001D3D20">
        <w:rPr>
          <w:color w:val="000000"/>
          <w:shd w:val="clear" w:color="auto" w:fill="FFFFFF"/>
          <w:lang w:val="en-US"/>
        </w:rPr>
        <w:fldChar w:fldCharType="end"/>
      </w:r>
      <w:r w:rsidRPr="001D3D20">
        <w:rPr>
          <w:color w:val="000000"/>
          <w:shd w:val="clear" w:color="auto" w:fill="FFFFFF"/>
          <w:lang w:val="en-US"/>
        </w:rPr>
        <w:t xml:space="preserve"> there is also a clear overlap in that patients with a history of VTE are at high risk of future atherothrombotic events. Nonetheless, we found conflicting </w:t>
      </w:r>
      <w:r w:rsidR="00545BC5" w:rsidRPr="001D3D20">
        <w:rPr>
          <w:color w:val="000000"/>
          <w:shd w:val="clear" w:color="auto" w:fill="FFFFFF"/>
          <w:lang w:val="en-US"/>
        </w:rPr>
        <w:t xml:space="preserve">prior </w:t>
      </w:r>
      <w:r w:rsidRPr="001D3D20">
        <w:rPr>
          <w:color w:val="000000"/>
          <w:shd w:val="clear" w:color="auto" w:fill="FFFFFF"/>
          <w:lang w:val="en-US"/>
        </w:rPr>
        <w:t xml:space="preserve">evidence regarding whether patients with a history of VTE were a </w:t>
      </w:r>
      <w:r w:rsidR="0095578E" w:rsidRPr="001D3D20">
        <w:rPr>
          <w:color w:val="000000"/>
          <w:shd w:val="clear" w:color="auto" w:fill="FFFFFF"/>
          <w:lang w:val="en-US"/>
        </w:rPr>
        <w:t>high-</w:t>
      </w:r>
      <w:r w:rsidRPr="001D3D20">
        <w:rPr>
          <w:color w:val="000000"/>
          <w:shd w:val="clear" w:color="auto" w:fill="FFFFFF"/>
          <w:lang w:val="en-US"/>
        </w:rPr>
        <w:t>risk category with respect to ischemic stroke or systemic embolism. In the anticoagulation-free subpopulation, patients with a history of VTE had higher rates of ischemic stroke or systemic embolism, but the association diminished after adjustment for CHA</w:t>
      </w:r>
      <w:r w:rsidRPr="001D3D20">
        <w:rPr>
          <w:color w:val="000000"/>
          <w:shd w:val="clear" w:color="auto" w:fill="FFFFFF"/>
          <w:vertAlign w:val="subscript"/>
          <w:lang w:val="en-US"/>
        </w:rPr>
        <w:t>2</w:t>
      </w:r>
      <w:r w:rsidRPr="001D3D20">
        <w:rPr>
          <w:color w:val="000000"/>
          <w:shd w:val="clear" w:color="auto" w:fill="FFFFFF"/>
          <w:lang w:val="en-US"/>
        </w:rPr>
        <w:t>DS</w:t>
      </w:r>
      <w:r w:rsidRPr="001D3D20">
        <w:rPr>
          <w:color w:val="000000"/>
          <w:shd w:val="clear" w:color="auto" w:fill="FFFFFF"/>
          <w:vertAlign w:val="subscript"/>
          <w:lang w:val="en-US"/>
        </w:rPr>
        <w:t>2</w:t>
      </w:r>
      <w:r w:rsidRPr="001D3D20">
        <w:rPr>
          <w:color w:val="000000"/>
          <w:shd w:val="clear" w:color="auto" w:fill="FFFFFF"/>
          <w:lang w:val="en-US"/>
        </w:rPr>
        <w:t>-VASc components</w:t>
      </w:r>
      <w:r w:rsidR="00635A95" w:rsidRPr="001D3D20">
        <w:rPr>
          <w:color w:val="000000"/>
          <w:shd w:val="clear" w:color="auto" w:fill="FFFFFF"/>
          <w:lang w:val="en-US"/>
        </w:rPr>
        <w:t>. However, i</w:t>
      </w:r>
      <w:r w:rsidRPr="001D3D20">
        <w:rPr>
          <w:color w:val="000000"/>
          <w:shd w:val="clear" w:color="auto" w:fill="FFFFFF"/>
          <w:lang w:val="en-US"/>
        </w:rPr>
        <w:t>n the analysis using the entire population with adjustment for anticoagulation use, we found no differences. This indicates that any excess risk of ischemic stroke or systemic embolism for patients with a history of VTE seem adequately captured using the existing risk component</w:t>
      </w:r>
      <w:r w:rsidR="00545BC5" w:rsidRPr="001D3D20">
        <w:rPr>
          <w:color w:val="000000"/>
          <w:shd w:val="clear" w:color="auto" w:fill="FFFFFF"/>
          <w:lang w:val="en-US"/>
        </w:rPr>
        <w:t xml:space="preserve">s </w:t>
      </w:r>
      <w:r w:rsidRPr="001D3D20">
        <w:rPr>
          <w:color w:val="000000"/>
          <w:shd w:val="clear" w:color="auto" w:fill="FFFFFF"/>
          <w:lang w:val="en-US"/>
        </w:rPr>
        <w:t>of CHA</w:t>
      </w:r>
      <w:r w:rsidRPr="001D3D20">
        <w:rPr>
          <w:color w:val="000000"/>
          <w:shd w:val="clear" w:color="auto" w:fill="FFFFFF"/>
          <w:vertAlign w:val="subscript"/>
          <w:lang w:val="en-US"/>
        </w:rPr>
        <w:t>2</w:t>
      </w:r>
      <w:r w:rsidRPr="001D3D20">
        <w:rPr>
          <w:color w:val="000000"/>
          <w:shd w:val="clear" w:color="auto" w:fill="FFFFFF"/>
          <w:lang w:val="en-US"/>
        </w:rPr>
        <w:t>DS</w:t>
      </w:r>
      <w:r w:rsidRPr="001D3D20">
        <w:rPr>
          <w:color w:val="000000"/>
          <w:shd w:val="clear" w:color="auto" w:fill="FFFFFF"/>
          <w:vertAlign w:val="subscript"/>
          <w:lang w:val="en-US"/>
        </w:rPr>
        <w:t>2</w:t>
      </w:r>
      <w:r w:rsidRPr="001D3D20">
        <w:rPr>
          <w:color w:val="000000"/>
          <w:shd w:val="clear" w:color="auto" w:fill="FFFFFF"/>
          <w:lang w:val="en-US"/>
        </w:rPr>
        <w:t>-VASc. However, a</w:t>
      </w:r>
      <w:r w:rsidR="00406FD8" w:rsidRPr="001D3D20">
        <w:rPr>
          <w:color w:val="000000"/>
          <w:shd w:val="clear" w:color="auto" w:fill="FFFFFF"/>
          <w:lang w:val="en-US"/>
        </w:rPr>
        <w:t>n inevitable added benefit is likely to be concomitant protection against VTE, which is also effectively treated and prevented with anticoagulation.</w:t>
      </w:r>
      <w:r w:rsidR="00406FD8"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{"citationItems":[{"id":"ITEM-1","itemData":{"DOI":"10.1182/bloodadvances.2018024893","ISSN":"2473-9529","abstract":"Background: Clinicians confront numerous practical issues in optimizing the use of anticoagulants to treat venous thromboembolism (VTE).","author":[{"dropping-particle":"","family":"Witt","given":"Daniel M","non-dropping-particle":"","parse-names":false,"suffix":""},{"dropping-particle":"","family":"Nieuwlaat","given":"Robby","non-dropping-particle":"","parse-names":false,"suffix":""},{"dropping-particle":"","family":"Clark","given":"Nathan P","non-dropping-particle":"","parse-names":false,"suffix":""},{"dropping-particle":"","family":"Ansell","given":"Jack","non-dropping-particle":"","parse-names":false,"suffix":""},{"dropping-particle":"","family":"Holbrook","given":"Anne","non-dropping-particle":"","parse-names":false,"suffix":""},{"dropping-particle":"","family":"Skov","given":"Jane","non-dropping-particle":"","parse-names":false,"suffix":""},{"dropping-particle":"","family":"Shehab","given":"Nadine","non-dropping-particle":"","parse-names":false,"suffix":""},{"dropping-particle":"","family":"Mock","given":"Juliet","non-dropping-particle":"","parse-names":false,"suffix":""},{"dropping-particle":"","family":"Myers","given":"Tarra","non-dropping-particle":"","parse-names":false,"suffix":""},{"dropping-particle":"","family":"Dentali","given":"Francesco","non-dropping-particle":"","parse-names":false,"suffix":""},{"dropping-particle":"","family":"Crowther","given":"Mark A","non-dropping-particle":"","parse-names":false,"suffix":""},{"dropping-particle":"","family":"Agarwal","given":"Arnav","non-dropping-particle":"","parse-names":false,"suffix":""},{"dropping-particle":"","family":"Bhatt","given":"Meha","non-dropping-particle":"","parse-names":false,"suffix":""},{"dropping-particle":"","family":"Khatib","given":"Rasha","non-dropping-particle":"","parse-names":false,"suffix":""},{"dropping-particle":"","family":"Riva","given":"John J","non-dropping-particle":"","parse-names":false,"suffix":""},{"dropping-particle":"","family":"Zhang","given":"Yuan","non-dropping-particle":"","parse-names":false,"suffix":""},{"dropping-particle":"","family":"Guyatt","given":"Gordon","non-dropping-particle":"","parse-names":false,"suffix":""}],"container-title":"Blood Advances","id":"ITEM-1","issue":"22","issued":{"date-parts":[["2018","11","27"]]},"page":"3257-3291","title":"American Society of Hematology 2018 guidelines for management of venous thromboembolism: optimal management of anticoagulation therapy","type":"article-journal","volume":"2"},"uris":["http://www.mendeley.com/documents/?uuid=26428ac5-da75-3d8b-9ffb-ec36be2a8b57"]},{"id":"ITEM-2","itemData":{"DOI":"10.1080/03007995.2018.1541445","ISSN":"0300-7995","abstract":"Objective: Oral anticoagulation (OAC) prescribed to AF patients for the prevention of cardioembolic complications likely has the added benefit of preventing venous thromboembolism (VTE). This study evaluated, among AF patients who are anticoagulated, whether type of OAC was associated with subsequent VTE risk. Methods: Non-valvular AF patients prescribed OACs between 2010 and September 2015 were identified via the MarketScan administrative claims databases. OACs included warfarin and direct OACs (DOACs: dabigatran, rivaroxaban, and apixaban). Incident VTE was defined by ICD-9-CM codes. Patients were matched on age, sex, CHA 2 DS 2-VASc, and high-dimensional propensity scores. The final analysis included 117,912 AF patients. Results: In total, 1357 VTE events accrued over a mean follow-up of 484 days. In multivariable-adjusted, propensity score-matched Cox models, relative to new users of warfarin, risk of incident VTE was lower among new users of dabigatran [hazard ratio (95% confidence interval) ¼ 0.55 (0.47-0.66)] and apixaban [0.51 (0.39-0.68)], but similar among new users of rivaroxaban [1.01 (0.87-1.19)]. In head-to-head DOAC comparisons, VTE risk was lower among users of dabigatran [0.48 (0.36-0.64)] and apixaban [0.61 (0.47-0.78)] vs rivaroxaban. Findings were mostly similar across patient subgroups. Conclusions: In this large practice-based population of AF patients prescribed OACs for primary prevention of stroke and systemic embolization, subsequent risk of VTE was lowest among those prescribed apixaban and dabigatran, while risk was similar with prescriptions for warfarin and rivaroxaban. Among AF patients prescribed OACs, lowering the risk of VTE may be an additional benefit of apixaban and dabi-gatran, beyond the reduced bleeding risk observed in randomized clinical trials. ARTICLE HISTORY","author":[{"dropping-particle":"","family":"Lutsey","given":"Pamela L","non-dropping-particle":"","parse-names":false,"suffix":""},{"dropping-particle":"","family":"Norby","given":"Faye L","non-dropping-particle":"","parse-names":false,"suffix":""},{"dropping-particle":"","family":"Zakai","given":"Neil A","non-dropping-particle":"","parse-names":false,"suffix":""},{"dropping-particle":"","family":"MacLehose","given":"Richard F.","non-dropping-particle":"","parse-names":false,"suffix":""},{"dropping-particle":"","family":"Chen","given":"Lin Y","non-dropping-particle":"","parse-names":false,"suffix":""},{"dropping-particle":"","family":"Shah","given":"Surbhi","non-dropping-particle":"","parse-names":false,"suffix":""},{"dropping-particle":"","family":"Datta","given":"Yvonne H","non-dropping-particle":"","parse-names":false,"suffix":""},{"dropping-particle":"","family":"Alonso","given":"Alvaro","non-dropping-particle":"","parse-names":false,"suffix":""}],"container-title":"Current Medical Research and Opinion","id":"ITEM-2","issue":"5","issued":{"date-parts":[["2019","5","4"]]},"page":"837-845","title":"Oral anticoagulation therapy and subsequent risk of venous thromboembolism in atrial fibrillation patients","type":"article-journal","volume":"35"},"uris":["http://www.mendeley.com/documents/?uuid=34148b16-500a-3274-a30e-fe2c048fee51"]}],"mendeley":{"formattedCitation":"&lt;sup&gt;28,29&lt;/sup&gt;","plainTextFormattedCitation":"28,29","previouslyFormattedCitation":"&lt;sup&gt;28,29&lt;/sup&gt;"},"properties":{"noteIndex":0},"schema":"https://github.com/citation-style-language/schema/raw/master/csl-citation.json"}</w:instrText>
      </w:r>
      <w:r w:rsidR="00406FD8"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28,29</w:t>
      </w:r>
      <w:r w:rsidR="00406FD8" w:rsidRPr="001D3D20">
        <w:rPr>
          <w:color w:val="000000"/>
          <w:shd w:val="clear" w:color="auto" w:fill="FFFFFF"/>
          <w:lang w:val="en-US"/>
        </w:rPr>
        <w:fldChar w:fldCharType="end"/>
      </w:r>
      <w:r w:rsidR="00171B26" w:rsidRPr="001D3D20">
        <w:rPr>
          <w:color w:val="000000"/>
          <w:shd w:val="clear" w:color="auto" w:fill="FFFFFF"/>
          <w:lang w:val="en-US"/>
        </w:rPr>
        <w:t xml:space="preserve"> </w:t>
      </w:r>
    </w:p>
    <w:p w14:paraId="315D5AEA" w14:textId="77777777" w:rsidR="00545BC5" w:rsidRPr="001D3D20" w:rsidRDefault="00545BC5" w:rsidP="006842EF">
      <w:pPr>
        <w:spacing w:line="360" w:lineRule="auto"/>
        <w:rPr>
          <w:color w:val="000000"/>
          <w:shd w:val="clear" w:color="auto" w:fill="FFFFFF"/>
          <w:lang w:val="en-US"/>
        </w:rPr>
      </w:pPr>
    </w:p>
    <w:p w14:paraId="41496519" w14:textId="203F5AC2" w:rsidR="00AF3FE0" w:rsidRPr="001D3D20" w:rsidRDefault="003055E1" w:rsidP="006842EF">
      <w:pPr>
        <w:spacing w:line="360" w:lineRule="auto"/>
        <w:rPr>
          <w:color w:val="000000"/>
          <w:shd w:val="clear" w:color="auto" w:fill="FFFFFF"/>
          <w:lang w:val="en-US"/>
        </w:rPr>
      </w:pPr>
      <w:r w:rsidRPr="001D3D20">
        <w:rPr>
          <w:color w:val="000000"/>
          <w:shd w:val="clear" w:color="auto" w:fill="FFFFFF"/>
          <w:lang w:val="en-US"/>
        </w:rPr>
        <w:t>A</w:t>
      </w:r>
      <w:r w:rsidR="00406FD8" w:rsidRPr="001D3D20">
        <w:rPr>
          <w:color w:val="000000"/>
          <w:shd w:val="clear" w:color="auto" w:fill="FFFFFF"/>
          <w:lang w:val="en-US"/>
        </w:rPr>
        <w:t xml:space="preserve">trial fibrillation itself may be a direct </w:t>
      </w:r>
      <w:r w:rsidRPr="001D3D20">
        <w:rPr>
          <w:color w:val="000000"/>
          <w:shd w:val="clear" w:color="auto" w:fill="FFFFFF"/>
          <w:lang w:val="en-US"/>
        </w:rPr>
        <w:t xml:space="preserve">but relatively obscured </w:t>
      </w:r>
      <w:r w:rsidR="00406FD8" w:rsidRPr="001D3D20">
        <w:rPr>
          <w:color w:val="000000"/>
          <w:shd w:val="clear" w:color="auto" w:fill="FFFFFF"/>
          <w:lang w:val="en-US"/>
        </w:rPr>
        <w:t>cause of pulmonary embolism</w:t>
      </w:r>
      <w:r w:rsidRPr="001D3D20">
        <w:rPr>
          <w:color w:val="000000"/>
          <w:shd w:val="clear" w:color="auto" w:fill="FFFFFF"/>
          <w:lang w:val="en-US"/>
        </w:rPr>
        <w:t>.</w:t>
      </w:r>
      <w:r w:rsidR="00212C0B" w:rsidRPr="001D3D20">
        <w:rPr>
          <w:color w:val="000000"/>
          <w:shd w:val="clear" w:color="auto" w:fill="FFFFFF"/>
          <w:lang w:val="en-US"/>
        </w:rPr>
        <w:t xml:space="preserve"> While many thrombi form in the left atrial appendage, the importance of the right atrial appendage </w:t>
      </w:r>
      <w:r w:rsidR="00212C0B" w:rsidRPr="001D3D20">
        <w:rPr>
          <w:color w:val="000000"/>
          <w:shd w:val="clear" w:color="auto" w:fill="FFFFFF"/>
          <w:lang w:val="en-US"/>
        </w:rPr>
        <w:lastRenderedPageBreak/>
        <w:t>may have been neglected.</w:t>
      </w:r>
      <w:r w:rsidR="00212C0B"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{"citationItems":[{"id":"ITEM-1","itemData":{"DOI":"10.1177/1076029608323088","ISSN":"1076-0296","PMID":"18840628","abstract":"Atrial fibrillation (AF) is the most common clinically encountered arrhythmia in adults. Because it is associated with an increased risk of atrial thrombus formation and embolism, medical and/or electrical cardioversion is the preferred treatment method in the majority of clinics. Thrombus formation in the setting of AF most commonly occurs in the left atrial appendage (LAA), left atrium (LA), right atrial appendage (RAA), and right atrium in decreasing frequency. In routine transesophageal echocardiographic evaluation for AF, examination is generally limited to LA and LAA. Although relatively rare when compared with the left side, RAA thrombus has also the potential of embolism and should be screened. A case of RAA thrombus in which the LA and LAA were spared is described. The authors aimed to underline the importance of this rare but potentially dangerous complication of AF.","author":[{"dropping-particle":"","family":"Ozer","given":"Orhan","non-dropping-particle":"","parse-names":false,"suffix":""},{"dropping-particle":"","family":"Sari","given":"Ibrahim","non-dropping-particle":"","parse-names":false,"suffix":""},{"dropping-particle":"","family":"Davutoglu","given":"Vedat","non-dropping-particle":"","parse-names":false,"suffix":""}],"container-title":"Clinical and Applied Thrombosis/Hemostasis","id":"ITEM-1","issue":"2","issued":{"date-parts":[["2010","4","7"]]},"page":"218-220","title":"Right atrial appendage: Forgotten part of the heart in atrial fibrillation","type":"article-journal","volume":"16"},"uris":["http://www.mendeley.com/documents/?uuid=77c05a92-3767-329e-a62e-dbc981a030c5"]},{"id":"ITEM-2","itemData":{"DOI":"10.1161/CIRCULATIONAHA.111.025627","ISSN":"0009-7322","abstract":"Background-Heart diseases increase the risk of arterial embolism; whether they increase the risk of pulmonary embolism without peripheral venous thrombosis is less certain. Methods and Results-We conducted a nationwide, population-based case-control study in Denmark using patients diagnosed with pulmonary embolism and/or deep venous thrombosis between 1980 and 2007. We computed odds ratios to estimate relative risks associating preceding heart disease with pulmonary embolism, pulmonary embolism and deep venous thrombosis, or deep venous thrombosis alone. In this study, 45 282 patients had pulmonary embolism alone, 4680 had pulmonary embolism and deep venous thrombosis, and 59 790 had deep venous thrombosis alone; 541 561 were population controls. Myocardial infarction and heart failure in the preceding 3 months conferred high risks of apparently isolated pulmonary embolism (odds ratio, 43.5 [95% confidence interval (CI), 39.6-47.8] and 32.4 [95% CI, 29.8-35.2], respectively), whereas the risks of combined pulmonary embolism and deep venous thrombosis (19.7 [95% CI, 16.0-24.2] and 22.1 [95% CI, 18.7-26.0], respectively) and deep venous thrombosis alone (9.6 [95% CI, 8.6-10.7] and 12.7 [95% CI, 11.6-13.9], respectively) were lower. Left-sided valvular disease was associated with an odds ratio of 13.5 (95% CI, 11.3-16.1), whereas the odds ratio was 74.6 (95% CI, 28.4-195.8) for right-sided valvular disease. Restricting the analysis to cases diagnosed after 2000 led to lower risk estimates but the same overall pattern. Conclusion-Heart diseases increase the near-term risk for pulmonary embolism not associated with diagnosed peripheral vein thrombosis. (Circulation. 2011;124:1435-1441.)","author":[{"dropping-particle":"","family":"Sorensen","given":"H. T.","non-dropping-particle":"","parse-names":false,"suffix":""},{"dropping-particle":"","family":"Horvath-Puho","given":"Erzsebet","non-dropping-particle":"","parse-names":false,"suffix":""},{"dropping-particle":"","family":"Lash","given":"Timothy L","non-dropping-particle":"","parse-names":false,"suffix":""},{"dropping-particle":"","family":"Christiansen","given":"Christian F","non-dropping-particle":"","parse-names":false,"suffix":""},{"dropping-particle":"","family":"Pesavento","given":"Raffaele","non-dropping-particle":"","parse-names":false,"suffix":""},{"dropping-particle":"","family":"Pedersen","given":"Lars","non-dropping-particle":"","parse-names":false,"suffix":""},{"dropping-particle":"","family":"Baron","given":"John A","non-dropping-particle":"","parse-names":false,"suffix":""},{"dropping-particle":"","family":"Prandoni","given":"Paolo","non-dropping-particle":"","parse-names":false,"suffix":""}],"container-title":"Circulation","id":"ITEM-2","issue":"13","issued":{"date-parts":[["2011","9","27"]]},"page":"1435-1441","title":"Heart disease may be a risk factor for pulmonary embolism without peripheral deep venous thrombosis","type":"article-journal","volume":"124"},"uris":["http://www.mendeley.com/documents/?uuid=ebdb4c0f-e545-34c2-88a1-2ce9b5e65244"]}],"mendeley":{"formattedCitation":"&lt;sup&gt;30,31&lt;/sup&gt;","plainTextFormattedCitation":"30,31","previouslyFormattedCitation":"&lt;sup&gt;30,31&lt;/sup&gt;"},"properties":{"noteIndex":0},"schema":"https://github.com/citation-style-language/schema/raw/master/csl-citation.json"}</w:instrText>
      </w:r>
      <w:r w:rsidR="00212C0B"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30,31</w:t>
      </w:r>
      <w:r w:rsidR="00212C0B" w:rsidRPr="001D3D20">
        <w:rPr>
          <w:color w:val="000000"/>
          <w:shd w:val="clear" w:color="auto" w:fill="FFFFFF"/>
          <w:lang w:val="en-US"/>
        </w:rPr>
        <w:fldChar w:fldCharType="end"/>
      </w:r>
      <w:r w:rsidRPr="001D3D20">
        <w:rPr>
          <w:color w:val="000000"/>
          <w:shd w:val="clear" w:color="auto" w:fill="FFFFFF"/>
          <w:lang w:val="en-US"/>
        </w:rPr>
        <w:t xml:space="preserve"> Indeed, </w:t>
      </w:r>
      <w:r w:rsidR="00406FD8" w:rsidRPr="001D3D20">
        <w:rPr>
          <w:color w:val="000000"/>
          <w:shd w:val="clear" w:color="auto" w:fill="FFFFFF"/>
          <w:lang w:val="en-US"/>
        </w:rPr>
        <w:t xml:space="preserve">atrial fibrillation is more prevalent among patients </w:t>
      </w:r>
      <w:r w:rsidR="000A4768" w:rsidRPr="001D3D20">
        <w:rPr>
          <w:color w:val="000000"/>
          <w:shd w:val="clear" w:color="auto" w:fill="FFFFFF"/>
          <w:lang w:val="en-US"/>
        </w:rPr>
        <w:t>presenting</w:t>
      </w:r>
      <w:r w:rsidR="00406FD8" w:rsidRPr="001D3D20">
        <w:rPr>
          <w:color w:val="000000"/>
          <w:shd w:val="clear" w:color="auto" w:fill="FFFFFF"/>
          <w:lang w:val="en-US"/>
        </w:rPr>
        <w:t xml:space="preserve"> with pulmonary embolism but without deep vein thrombosis than in those with both conditions</w:t>
      </w:r>
      <w:r w:rsidR="000A4768" w:rsidRPr="001D3D20">
        <w:rPr>
          <w:color w:val="000000"/>
          <w:shd w:val="clear" w:color="auto" w:fill="FFFFFF"/>
          <w:lang w:val="en-US"/>
        </w:rPr>
        <w:t>.</w:t>
      </w:r>
      <w:r w:rsidR="00406FD8"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{"citationItems":[{"id":"ITEM-1","itemData":{"DOI":"10.1007/s40520-018-1060-4","ISBN":"0123456789","ISSN":"1720-8319","abstract":"Background and aim Permanent Atrial Fibrillation (pAF) is associated with increased risk of embolic complications. The relationship between pAF and pulmonary embolism (PE) has not been extensively investigated in elderly patients. Here, we aim at verifying whether pAF is associated to an increased risk of PE in a cohort of elderly patients with and without Deep Vein Thrombosis (DVT). Methods 235 patients older than 65 years with PE with or without pAF were retrospectively enrolled and stratified by the absence or presence of DVT. The diagnosis of PE was performed by computed tomography angiography (CTA). Right echo-cardiographic parameters were monitored. The severity of PE was evaluated by CTA quantization (PE score = 1, involvement of main branches of pulmonary artery) and by dimer-D (&gt; 3000 µg/L). Results DVT was identified only in 51 cases of PE (21.7%). pAF prevalence was higher in PE without than in those with DVT (64.9% vs. 35.1%, p &lt; 0.01). PE severity was more evident in pAF patients without than in those with DVT. Multivariate analysis of the role of pAF on PE severity confirms these results (RR = 3.41 for PE score = 1, and 8.55 for dimer-D &gt; 3000 µg/L). Conclusions We conclude that in elderly patients with PE, the prevalence of pFA was doubled, in the absence of DVT, and it is associated with a more severe PE in the absence than in the presence of DVT. Thus, in the absence of DVT, pFA should be considered as cause of PE.","author":[{"dropping-particle":"","family":"Morella","given":"Pasquale","non-dropping-particle":"","parse-names":false,"suffix":""},{"dropping-particle":"","family":"Sacco","given":"Maurizio","non-dropping-particle":"","parse-names":false,"suffix":""},{"dropping-particle":"","family":"Carafa","given":"Mariano","non-dropping-particle":"","parse-names":false,"suffix":""},{"dropping-particle":"","family":"Ferro","given":"Gaetana","non-dropping-particle":"","parse-names":false,"suffix":""},{"dropping-particle":"","family":"Curcio","given":"Francesco","non-dropping-particle":"","parse-names":false,"suffix":""},{"dropping-particle":"","family":"Gargiulo","given":"Gaetano","non-dropping-particle":"","parse-names":false,"suffix":""},{"dropping-particle":"","family":"Testa","given":"Gianluca","non-dropping-particle":"","parse-names":false,"suffix":""},{"dropping-particle":"","family":"Liguori","given":"Ilaria","non-dropping-particle":"","parse-names":false,"suffix":""},{"dropping-particle":"","family":"Russo","given":"Gennaro","non-dropping-particle":"","parse-names":false,"suffix":""},{"dropping-particle":"","family":"Cacciatore","given":"Francesco","non-dropping-particle":"","parse-names":false,"suffix":""},{"dropping-particle":"","family":"Tocchetti","given":"Carlo Gabriele","non-dropping-particle":"","parse-names":false,"suffix":""},{"dropping-particle":"","family":"Bonaduce","given":"Domenico","non-dropping-particle":"","parse-names":false,"suffix":""},{"dropping-particle":"","family":"Abete","given":"Pasquale","non-dropping-particle":"","parse-names":false,"suffix":""}],"container-title":"Aging Clinical and Experimental Research","id":"ITEM-1","issue":"8","issued":{"date-parts":[["2019","8","29"]]},"page":"1121-1128","title":"Permanent atrial fibrillation and pulmonary embolism in elderly patients without deep vein thrombosis: is there a relationship?","type":"article-journal","volume":"31"},"uris":["http://www.mendeley.com/documents/?uuid=327c5e39-fdaa-37d9-919a-3d34153e48d8"]}],"mendeley":{"formattedCitation":"&lt;sup&gt;32&lt;/sup&gt;","plainTextFormattedCitation":"32","previouslyFormattedCitation":"&lt;sup&gt;32&lt;/sup&gt;"},"properties":{"noteIndex":0},"schema":"https://github.com/citation-style-language/schema/raw/master/csl-citation.json"}</w:instrText>
      </w:r>
      <w:r w:rsidR="00406FD8"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32</w:t>
      </w:r>
      <w:r w:rsidR="00406FD8" w:rsidRPr="001D3D20">
        <w:rPr>
          <w:color w:val="000000"/>
          <w:shd w:val="clear" w:color="auto" w:fill="FFFFFF"/>
          <w:lang w:val="en-US"/>
        </w:rPr>
        <w:fldChar w:fldCharType="end"/>
      </w:r>
      <w:r w:rsidR="00406FD8" w:rsidRPr="001D3D20">
        <w:rPr>
          <w:color w:val="000000"/>
          <w:shd w:val="clear" w:color="auto" w:fill="FFFFFF"/>
          <w:lang w:val="en-US"/>
        </w:rPr>
        <w:t xml:space="preserve"> </w:t>
      </w:r>
      <w:r w:rsidR="000A4768" w:rsidRPr="001D3D20">
        <w:rPr>
          <w:color w:val="000000"/>
          <w:shd w:val="clear" w:color="auto" w:fill="FFFFFF"/>
          <w:lang w:val="en-US"/>
        </w:rPr>
        <w:t xml:space="preserve">This supports </w:t>
      </w:r>
      <w:r w:rsidR="00406FD8" w:rsidRPr="001D3D20">
        <w:rPr>
          <w:color w:val="000000"/>
          <w:shd w:val="clear" w:color="auto" w:fill="FFFFFF"/>
          <w:lang w:val="en-US"/>
        </w:rPr>
        <w:t>the theory that atrial fibrillation can directly cause pulmonary embolism</w:t>
      </w:r>
      <w:r w:rsidR="000A4768" w:rsidRPr="001D3D20">
        <w:rPr>
          <w:color w:val="000000"/>
          <w:shd w:val="clear" w:color="auto" w:fill="FFFFFF"/>
          <w:lang w:val="en-US"/>
        </w:rPr>
        <w:t xml:space="preserve"> and that including VTE in clinical risk stratification for atrial fibrillation patients seems sensible</w:t>
      </w:r>
      <w:r w:rsidR="00406FD8" w:rsidRPr="001D3D20">
        <w:rPr>
          <w:color w:val="000000"/>
          <w:shd w:val="clear" w:color="auto" w:fill="FFFFFF"/>
          <w:lang w:val="en-US"/>
        </w:rPr>
        <w:t>.</w:t>
      </w:r>
      <w:r w:rsidR="00406FD8"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{"citationItems":[{"id":"ITEM-1","itemData":{"DOI":"10.1055/s-0036-1598005","ISSN":"10989064","abstract":"Pulmonary embolism (PE) is a common, potentially fatal thrombotic disease. Atrial fibrillation (AF), the most common arrhythmia, may also lead to thromboembolic complications. Although initially appearing as distinct entities, PE and AF may coexist. The direction and extent of this association has not been well characterized. We performed a search of PubMed, Scopus, and the Cochrane Database of Systematic Reviews for publications that reported coexisting AF in patients with PE, or vice versa, to provide a systematic overview of pathophysiological and epidemiological aspects of this association (last search: October 13, 2016). We screened 650 articles following the PubMed search, and 697 through Scopus. PE and AF share many common risk factors, including old age, obesity, heart failure, and inflammatory states. In addition, PE may lead to AF through right-sided pressure overload or inflammatory cytokines. AF, in turn, might lead to right atrial appendage clot formation and thereby PE. Epidemiological studies indicate that AF can be seen as a presenting sign, during the early phase, or later in the course of recovery from PE. Patients with AF are also at increased risk of developing PE, a risk that correlates with the CHA 2 DS 2 -VASc score. For the choice of antithrombotic therapy, PE-related factors (provoked or unproved, active cancer, and prior recurrence) and AF-related factors (CHA 2 DS 2 -VASc score), risk of bleeding, and patient preferences should be considered. In conclusion, PE and AF may coexist, with an understudied bidirectional association. Prognostication and choice of antithrombotic therapy in patients with both PE and AF might be different compared with those who present with only one of the two and warrants further investigation.","author":[{"dropping-particle":"","family":"Bikdeli","given":"B.","non-dropping-particle":"","parse-names":false,"suffix":""},{"dropping-particle":"","family":"Abou Ziki","given":"M.D.","non-dropping-particle":"","parse-names":false,"suffix":""},{"dropping-particle":"","family":"Lip","given":"G.Y.H.","non-dropping-particle":"","parse-names":false,"suffix":""}],"container-title":"Seminars in Thrombosis and Hemostasis","id":"ITEM-1","issue":"8","issued":{"date-parts":[["2017"]]},"page":"849-863","title":"Pulmonary embolism and atrial fibrillation: Two sides of the same coin? A systematic review","type":"article-journal","volume":"43"},"uris":["http://www.mendeley.com/documents/?uuid=8b0cce1b-bb42-492e-8f00-4ccd46370667"]},{"id":"ITEM-2","itemData":{"DOI":"10.1160/TH14-05-0405","ISSN":"0340-6245","abstract":"Whether atrial fibrillation (AF) is associated with an increased risk of venous thromboembolism (VTE) remains controversial. From Longitudinal Health Insurance Database 2000 (LHID2000), we identified 11,458 patients newly diagnosed with AF. The comparison group comprised 45,637 patients without AF. Both cohorts were followed up to measure the incidence of deep-vein thrombosis (DVT) and pulmonary embolism (PE). Univariable and multivariable competing-risks regression model and Kaplan-Meier analyses with the use of Aelon-Johansen estimator were used to measure the differences of cumulative incidences of DVT and PE, respectively. The overall incidence rates (per 1,000 person-years) of DVT and PE between the AF group and non-AF groups were 2.69 vs 1.12 (crude hazard ratio [HR] = 1.92; 95 % confidence interval [CI] = 1.54-2.39), 1.55 vs 0.46 (crude HR = 2.68; 95 % CI = 1.97-3.64), respectively. The baseline demographics indicated that the members of the AF group demonstrated a significantly older age and higher proportions of comorbidities than non-AF group. After adjusting for age, sex, and comorbidities, the risks of DVT and PE remained significantly elevated in the AF group compared with the non-AF group (adjusted HR = 1.74; 95 %CI = 1.36-2.24, adjusted HR = 2.18; 95 %CI = 1.51-3.15, respectively). The Kaplan-Meier curve with the use of Aelon-Johansen estimator indicated that the cumulative incidences of DVT and PE were both more significantly elevated in the AF group than in the non-AF group after a long-term follow-up period (p&lt;0.01). In conclusion, the presence of AF is associated with increased risk of VTE after a long-term follow-up period.","author":[{"dropping-particle":"","family":"Wang","given":"Chun Cheng","non-dropping-particle":"","parse-names":false,"suffix":""},{"dropping-particle":"","family":"Lin","given":"Cheng Li","non-dropping-particle":"","parse-names":false,"suffix":""},{"dropping-particle":"","family":"Wang","given":"Guei Jane","non-dropping-particle":"","parse-names":false,"suffix":""},{"dropping-particle":"","family":"Chang","given":"Chiz Tzung","non-dropping-particle":"","parse-names":false,"suffix":""},{"dropping-particle":"","family":"Sung","given":"Fung Chang","non-dropping-particle":"","parse-names":false,"suffix":""},{"dropping-particle":"","family":"Kao","given":"Chia Hung","non-dropping-particle":"","parse-names":false,"suffix":""}],"container-title":"Thrombosis and Haemostasis","id":"ITEM-2","issued":{"date-parts":[["2015","1","27"]]},"page":"185-192","title":"Atrial fibrillation associated with increased risk of venous thromboembolism: a population-based cohort study","type":"article-journal","volume":"113"},"uris":["http://www.mendeley.com/documents/?uuid=9b170a91-7051-3393-8a85-ea945e329874"]},{"id":"ITEM-3","itemData":{"DOI":"10.1111/jth.12762","ISSN":"15387933","abstract":"To cite this article: Enga KF, Rye-Holmboe I, Hald EM, Løchen ML, Mathiesen EB, Njølstad I, Wilsgaard T, Braekkan SK, Hansen JB. Atrial fibrillation and future risk of venous thromboembolism: the Tromsø study. J Thromb Haemost 2015; 13: 10-6. Summary. Aims: Whether atrial fibrillation is related to risk of venous thromboembolism (VTE) has not been extensively studied. Therefore, we investigated the association between atrial fibrillation and future risk of VTE in a population-based cohort. Methods: In total, 29 975 subjects were recruited from three surveys of the Tromsø study and followed from enrollment (","author":[{"dropping-particle":"","family":"Enga","given":"K. F.","non-dropping-particle":"","parse-names":false,"suffix":""},{"dropping-particle":"","family":"Rye-Holmboe","given":"I.","non-dropping-particle":"","parse-names":false,"suffix":""},{"dropping-particle":"","family":"Hald","given":"E. M.","non-dropping-particle":"","parse-names":false,"suffix":""},{"dropping-particle":"","family":"Løchen","given":"M.-L.","non-dropping-particle":"","parse-names":false,"suffix":""},{"dropping-particle":"","family":"Mathiesen","given":"E. B.","non-dropping-particle":"","parse-names":false,"suffix":""},{"dropping-particle":"","family":"Njølstad","given":"I.","non-dropping-particle":"","parse-names":false,"suffix":""},{"dropping-particle":"","family":"Wilsgaard","given":"T.","non-dropping-particle":"","parse-names":false,"suffix":""},{"dropping-particle":"","family":"Braekkan","given":"S. K.","non-dropping-particle":"","parse-names":false,"suffix":""},{"dropping-particle":"","family":"Hansen","given":"J.-B.","non-dropping-particle":"","parse-names":false,"suffix":""}],"container-title":"Journal of Thrombosis and Haemostasis","id":"ITEM-3","issue":"1","issued":{"date-parts":[["2015","1"]]},"page":"10-16","title":"Atrial fibrillation and future risk of venous thromboembolism:the Tromsø study","type":"article-journal","volume":"13"},"uris":["http://www.mendeley.com/documents/?uuid=c5ff59b8-7444-3458-9e95-2de246ce0f8a"]}],"mendeley":{"formattedCitation":"&lt;sup&gt;5,33,34&lt;/sup&gt;","plainTextFormattedCitation":"5,33,34","previouslyFormattedCitation":"&lt;sup&gt;5,33,34&lt;/sup&gt;"},"properties":{"noteIndex":0},"schema":"https://github.com/citation-style-language/schema/raw/master/csl-citation.json"}</w:instrText>
      </w:r>
      <w:r w:rsidR="00406FD8"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5,33,34</w:t>
      </w:r>
      <w:r w:rsidR="00406FD8" w:rsidRPr="001D3D20">
        <w:rPr>
          <w:color w:val="000000"/>
          <w:shd w:val="clear" w:color="auto" w:fill="FFFFFF"/>
          <w:lang w:val="en-US"/>
        </w:rPr>
        <w:fldChar w:fldCharType="end"/>
      </w:r>
      <w:r w:rsidR="00406FD8" w:rsidRPr="001D3D20">
        <w:rPr>
          <w:color w:val="000000"/>
          <w:shd w:val="clear" w:color="auto" w:fill="FFFFFF"/>
          <w:lang w:val="en-US"/>
        </w:rPr>
        <w:t xml:space="preserve"> Hence, </w:t>
      </w:r>
      <w:r w:rsidR="00415C0C" w:rsidRPr="001D3D20">
        <w:rPr>
          <w:color w:val="000000"/>
          <w:shd w:val="clear" w:color="auto" w:fill="FFFFFF"/>
          <w:lang w:val="en-US"/>
        </w:rPr>
        <w:t xml:space="preserve">when </w:t>
      </w:r>
      <w:r w:rsidR="00406FD8" w:rsidRPr="001D3D20">
        <w:rPr>
          <w:color w:val="000000"/>
          <w:shd w:val="clear" w:color="auto" w:fill="FFFFFF"/>
          <w:lang w:val="en-US"/>
        </w:rPr>
        <w:t xml:space="preserve">we included VTE in a composite thromboembolic outcome definition, patients with a history of VTE </w:t>
      </w:r>
      <w:r w:rsidR="004868A9" w:rsidRPr="001D3D20">
        <w:rPr>
          <w:color w:val="000000"/>
          <w:shd w:val="clear" w:color="auto" w:fill="FFFFFF"/>
          <w:lang w:val="en-US"/>
        </w:rPr>
        <w:t xml:space="preserve">appeared </w:t>
      </w:r>
      <w:r w:rsidR="008260F8" w:rsidRPr="001D3D20">
        <w:rPr>
          <w:color w:val="000000"/>
          <w:shd w:val="clear" w:color="auto" w:fill="FFFFFF"/>
          <w:lang w:val="en-US"/>
        </w:rPr>
        <w:t xml:space="preserve">as </w:t>
      </w:r>
      <w:r w:rsidR="00415C0C" w:rsidRPr="001D3D20">
        <w:rPr>
          <w:bCs/>
          <w:color w:val="000000"/>
          <w:shd w:val="clear" w:color="auto" w:fill="FFFFFF"/>
          <w:lang w:val="en-US"/>
        </w:rPr>
        <w:t>a high-risk population compared with patients without previous VTE</w:t>
      </w:r>
      <w:r w:rsidR="00406FD8" w:rsidRPr="001D3D20">
        <w:rPr>
          <w:color w:val="000000"/>
          <w:shd w:val="clear" w:color="auto" w:fill="FFFFFF"/>
          <w:lang w:val="en-US"/>
        </w:rPr>
        <w:t>.</w:t>
      </w:r>
      <w:r w:rsidR="00A61DF8" w:rsidRPr="001D3D20">
        <w:rPr>
          <w:color w:val="000000"/>
          <w:shd w:val="clear" w:color="auto" w:fill="FFFFFF"/>
          <w:lang w:val="en-US"/>
        </w:rPr>
        <w:t xml:space="preserve"> </w:t>
      </w:r>
    </w:p>
    <w:p w14:paraId="7B23DCD3" w14:textId="29DB8D7B" w:rsidR="0095578E" w:rsidRPr="001D3D20" w:rsidRDefault="0095578E" w:rsidP="006842EF">
      <w:pPr>
        <w:spacing w:line="360" w:lineRule="auto"/>
        <w:rPr>
          <w:color w:val="000000"/>
          <w:shd w:val="clear" w:color="auto" w:fill="FFFFFF"/>
          <w:lang w:val="en-US"/>
        </w:rPr>
      </w:pPr>
    </w:p>
    <w:p w14:paraId="66CF60DA" w14:textId="74E70E98" w:rsidR="0095578E" w:rsidRPr="001D3D20" w:rsidRDefault="0095578E" w:rsidP="006842EF">
      <w:pPr>
        <w:spacing w:line="360" w:lineRule="auto"/>
        <w:rPr>
          <w:color w:val="000000"/>
          <w:shd w:val="clear" w:color="auto" w:fill="FFFFFF"/>
          <w:lang w:val="en-US"/>
        </w:rPr>
      </w:pPr>
      <w:r w:rsidRPr="001D3D20">
        <w:rPr>
          <w:color w:val="000000"/>
          <w:shd w:val="clear" w:color="auto" w:fill="FFFFFF"/>
          <w:lang w:val="en-US"/>
        </w:rPr>
        <w:t>While the overall benefit of oral anticoagulation for stroke prevention in atrial fibrillation is well established,</w:t>
      </w:r>
      <w:r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{"citationItems":[{"id":"ITEM-1","itemData":{"DOI":"10.7326/0003-4819-146-12-200706190-00007","ISSN":"00034819","PMID":"10507957","abstract":"PURPOSE: To characterize the efficacy and safety of anticoagulants and antiplatelet agents for prevention of stroke in patients with atrial fibrillation. DATA SOURCES: Randomized trials identified by using the search strategy developed by the Cochrane Collaboration Stroke Review Group. STUDY SELECTION: All published randomized trials testing antithrombotic agents to prevent stroke in patients with atrial fibrillation. DATA EXTRACTION: Data on interventions, number of participants, duration of exposure and occurrence of all stroke (ischemic and hemorrhagic), major extracranial bleeding, and death were extracted independently by two investigators. DATA SYNTHESIS: Sixteen trials included a total of 9874 participants (mean follow-up, 1.7 years). Adjusted-dose warfarin (six trials, 2900 participants) reduced stroke by 62% (95% CI, 48% to 72%); absolute risk reductions were 2.7% per year for primary prevention and 8.4% per year for secondary prevention. Major extracranial bleeding was increased by warfarin therapy (absolute risk increase, 0.3% per year). Aspirin (six trials, 3119 participants) reduced stroke by 22% (CI, 2% to 38%); absolute risk reductions were 1.5% per year for primary prevention and 2.5% per year for secondary prevention. Adjusted-dose warfarin (five trials, 2837 participants) was more efficacious than aspirin (relative risk reduction, 36% CI, 14% to 52%). Other randomized comparisons yielded inconclusive results. CONCLUSIONS: Adjusted-dose warfarin and aspirin reduce stroke in patients with atrial fibrillation, and warfarin is substantially more efficacious than aspirin. The benefit of antithrombotic therapy was not offset by the occurrence of major hemorrhage among participants in randomized trials. Judicious use of antithrombotic therapy, tailored according to the inherent risk for stroke, importantly reduces stroke in patients with atrial fibrillation.","author":[{"dropping-particle":"","family":"Hart","given":"Robert G","non-dropping-particle":"","parse-names":false,"suffix":""},{"dropping-particle":"","family":"Pearce","given":"Lesly A","non-dropping-particle":"","parse-names":false,"suffix":""},{"dropping-particle":"","family":"Aguilar","given":"Maria I","non-dropping-particle":"","parse-names":false,"suffix":""}],"container-title":"Ann Intern Med","id":"ITEM-1","issued":{"date-parts":[["2007"]]},"page":"857-867","title":"Meta-analysis: Antithrombotic therapy to prevent stroke in patients who have nonvalvular atrial fibrillation","type":"article-journal","volume":"146"},"uris":["http://www.mendeley.com/documents/?uuid=61c23716-6930-4b1b-97ae-0b5baca06bec"]}],"mendeley":{"formattedCitation":"&lt;sup&gt;2&lt;/sup&gt;","plainTextFormattedCitation":"2","previouslyFormattedCitation":"&lt;sup&gt;2&lt;/sup&gt;"},"properties":{"noteIndex":0},"schema":"https://github.com/citation-style-language/schema/raw/master/csl-citation.json"}</w:instrText>
      </w:r>
      <w:r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2</w:t>
      </w:r>
      <w:r w:rsidRPr="001D3D20">
        <w:rPr>
          <w:color w:val="000000"/>
          <w:shd w:val="clear" w:color="auto" w:fill="FFFFFF"/>
          <w:lang w:val="en-US"/>
        </w:rPr>
        <w:fldChar w:fldCharType="end"/>
      </w:r>
      <w:r w:rsidRPr="001D3D20">
        <w:rPr>
          <w:color w:val="000000"/>
          <w:shd w:val="clear" w:color="auto" w:fill="FFFFFF"/>
          <w:lang w:val="en-US"/>
        </w:rPr>
        <w:t xml:space="preserve"> there are no </w:t>
      </w:r>
      <w:r w:rsidR="008A7FDF" w:rsidRPr="001D3D20">
        <w:rPr>
          <w:color w:val="000000"/>
          <w:shd w:val="clear" w:color="auto" w:fill="FFFFFF"/>
          <w:lang w:val="en-US"/>
        </w:rPr>
        <w:t>randomized</w:t>
      </w:r>
      <w:r w:rsidRPr="001D3D20">
        <w:rPr>
          <w:color w:val="000000"/>
          <w:shd w:val="clear" w:color="auto" w:fill="FFFFFF"/>
          <w:lang w:val="en-US"/>
        </w:rPr>
        <w:t xml:space="preserve"> trials investigating head-to-head comparison of different antithrombotic treatment strategies across CHA</w:t>
      </w:r>
      <w:r w:rsidRPr="001D3D20">
        <w:rPr>
          <w:color w:val="000000"/>
          <w:shd w:val="clear" w:color="auto" w:fill="FFFFFF"/>
          <w:vertAlign w:val="subscript"/>
          <w:lang w:val="en-US"/>
        </w:rPr>
        <w:t>2</w:t>
      </w:r>
      <w:r w:rsidRPr="001D3D20">
        <w:rPr>
          <w:color w:val="000000"/>
          <w:shd w:val="clear" w:color="auto" w:fill="FFFFFF"/>
          <w:lang w:val="en-US"/>
        </w:rPr>
        <w:t>DS</w:t>
      </w:r>
      <w:r w:rsidRPr="001D3D20">
        <w:rPr>
          <w:color w:val="000000"/>
          <w:shd w:val="clear" w:color="auto" w:fill="FFFFFF"/>
          <w:vertAlign w:val="subscript"/>
          <w:lang w:val="en-US"/>
        </w:rPr>
        <w:t>2</w:t>
      </w:r>
      <w:r w:rsidRPr="001D3D20">
        <w:rPr>
          <w:color w:val="000000"/>
          <w:shd w:val="clear" w:color="auto" w:fill="FFFFFF"/>
          <w:lang w:val="en-US"/>
        </w:rPr>
        <w:t xml:space="preserve">-VASc score levels. Decisions on whether or not to initiate oral anticoagulation in the setting of atrial fibrillation therefore relies essentially on the patient’s estimated risk of thromboembolism if left untreated. Above a certain risk threshold, the downsides of oral anticoagulation - essentially bleeding risk - are expected to be outweighed by the protective effect on thromboembolism. It has been estimated that if a population carries a risk of ischemic stroke above the equivalent of 0.9 events per 100-person years, </w:t>
      </w:r>
      <w:r w:rsidR="00AE24D8" w:rsidRPr="001D3D20">
        <w:rPr>
          <w:color w:val="000000"/>
          <w:shd w:val="clear" w:color="auto" w:fill="FFFFFF"/>
          <w:lang w:val="en-US"/>
        </w:rPr>
        <w:t xml:space="preserve">non-vitamin K antagonist oral anticoagulants </w:t>
      </w:r>
      <w:r w:rsidR="00AE24D8">
        <w:rPr>
          <w:color w:val="000000"/>
          <w:shd w:val="clear" w:color="auto" w:fill="FFFFFF"/>
          <w:lang w:val="en-US"/>
        </w:rPr>
        <w:t>(</w:t>
      </w:r>
      <w:r w:rsidRPr="001D3D20">
        <w:rPr>
          <w:color w:val="000000"/>
          <w:shd w:val="clear" w:color="auto" w:fill="FFFFFF"/>
          <w:lang w:val="en-US"/>
        </w:rPr>
        <w:t>NOACs</w:t>
      </w:r>
      <w:r w:rsidR="00AE24D8">
        <w:rPr>
          <w:color w:val="000000"/>
          <w:shd w:val="clear" w:color="auto" w:fill="FFFFFF"/>
          <w:lang w:val="en-US"/>
        </w:rPr>
        <w:t>)</w:t>
      </w:r>
      <w:r w:rsidRPr="001D3D20">
        <w:rPr>
          <w:color w:val="000000"/>
          <w:shd w:val="clear" w:color="auto" w:fill="FFFFFF"/>
          <w:lang w:val="en-US"/>
        </w:rPr>
        <w:t xml:space="preserve"> are likely to offer a net clinical benefit.</w:t>
      </w:r>
      <w:r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{"citationItems":[{"id":"ITEM-1","itemData":{"DOI":"10.1161/CIRCOUTCOMES.110.958108","ISSN":"1941-7705","PMID":"21139092","abstract":"The rate of ischemic stroke associated with traditional risk factors for patients with atrial fibrillation has declined over the past 2 decades. Furthermore, new and potentially safer anticoagulants are on the horizon. Thus, the balance between risk factors for stroke and benefit of anticoagulation may be shifting.","author":[{"dropping-particle":"","family":"Eckman","given":"Mark H","non-dropping-particle":"","parse-names":false,"suffix":""},{"dropping-particle":"","family":"Singer","given":"Daniel E","non-dropping-particle":"","parse-names":false,"suffix":""},{"dropping-particle":"","family":"Rosand","given":"Jonathan","non-dropping-particle":"","parse-names":false,"suffix":""},{"dropping-particle":"","family":"Greenberg","given":"Steven M","non-dropping-particle":"","parse-names":false,"suffix":""}],"container-title":"Circ Cardiovasc Qual Outcomes","id":"ITEM-1","issue":"1","issued":{"date-parts":[["2011","1","1"]]},"page":"14-21","title":"Moving the tipping point: the decision to anticoagulate patients with atrial fibrillation","type":"article-journal","volume":"4"},"uris":["http://www.mendeley.com/documents/?uuid=302dd51a-4174-4782-a3d7-62365d1b584c"]},{"id":"ITEM-2","itemData":{"DOI":"10.1093/ehjcvp/pvw022","ISSN":"2055-6837","author":[{"dropping-particle":"","family":"Overvad","given":"Thure Filskov","non-dropping-particle":"","parse-names":false,"suffix":""},{"dropping-particle":"","family":"Nielsen","given":"Peter Brønnum","non-dropping-particle":"","parse-names":false,"suffix":""},{"dropping-particle":"","family":"Lip","given":"Gregory Y. H.","non-dropping-particle":"","parse-names":false,"suffix":""}],"container-title":"European Heart Journal - Cardiovascular Pharmacotherapy","id":"ITEM-2","issue":"1","issued":{"date-parts":[["2017","1"]]},"page":"37-41","title":"Treatment thresholds for stroke prevention in atrial fibrillation: observations on the CHA2DS2-VASc score","type":"article-journal","volume":"3"},"uris":["http://www.mendeley.com/documents/?uuid=f0b3e57f-7922-4631-85f4-af1b760ca740"]}],"mendeley":{"formattedCitation":"&lt;sup&gt;35,36&lt;/sup&gt;","plainTextFormattedCitation":"35,36","previouslyFormattedCitation":"&lt;sup&gt;35,36&lt;/sup&gt;"},"properties":{"noteIndex":0},"schema":"https://github.com/citation-style-language/schema/raw/master/csl-citation.json"}</w:instrText>
      </w:r>
      <w:r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35,36</w:t>
      </w:r>
      <w:r w:rsidRPr="001D3D20">
        <w:rPr>
          <w:color w:val="000000"/>
          <w:shd w:val="clear" w:color="auto" w:fill="FFFFFF"/>
          <w:lang w:val="en-US"/>
        </w:rPr>
        <w:fldChar w:fldCharType="end"/>
      </w:r>
      <w:r w:rsidRPr="001D3D20">
        <w:rPr>
          <w:color w:val="000000"/>
          <w:shd w:val="clear" w:color="auto" w:fill="FFFFFF"/>
          <w:lang w:val="en-US"/>
        </w:rPr>
        <w:t xml:space="preserve"> In this study, untreated patients with low CHA</w:t>
      </w:r>
      <w:r w:rsidRPr="001D3D20">
        <w:rPr>
          <w:color w:val="000000"/>
          <w:shd w:val="clear" w:color="auto" w:fill="FFFFFF"/>
          <w:vertAlign w:val="subscript"/>
          <w:lang w:val="en-US"/>
        </w:rPr>
        <w:t>2</w:t>
      </w:r>
      <w:r w:rsidRPr="001D3D20">
        <w:rPr>
          <w:color w:val="000000"/>
          <w:shd w:val="clear" w:color="auto" w:fill="FFFFFF"/>
          <w:lang w:val="en-US"/>
        </w:rPr>
        <w:t>DS</w:t>
      </w:r>
      <w:r w:rsidRPr="001D3D20">
        <w:rPr>
          <w:color w:val="000000"/>
          <w:shd w:val="clear" w:color="auto" w:fill="FFFFFF"/>
          <w:vertAlign w:val="subscript"/>
          <w:lang w:val="en-US"/>
        </w:rPr>
        <w:t>2</w:t>
      </w:r>
      <w:r w:rsidRPr="001D3D20">
        <w:rPr>
          <w:color w:val="000000"/>
          <w:shd w:val="clear" w:color="auto" w:fill="FFFFFF"/>
          <w:lang w:val="en-US"/>
        </w:rPr>
        <w:t>-VASc scores of 0 and 1 for men and 1 and 2 for women exhibited incidence rates of ischemic stroke</w:t>
      </w:r>
      <w:r w:rsidR="00070408" w:rsidRPr="001D3D20">
        <w:rPr>
          <w:color w:val="000000"/>
          <w:shd w:val="clear" w:color="auto" w:fill="FFFFFF"/>
          <w:lang w:val="en-US"/>
        </w:rPr>
        <w:t xml:space="preserve"> or systemic embolism</w:t>
      </w:r>
      <w:r w:rsidRPr="001D3D20">
        <w:rPr>
          <w:color w:val="000000"/>
          <w:shd w:val="clear" w:color="auto" w:fill="FFFFFF"/>
          <w:lang w:val="en-US"/>
        </w:rPr>
        <w:t xml:space="preserve"> below this threshold (see Table 2). However, the suggested treatment threshold does not consider the inevitable concomitant benefit of VTE prevention, and even among these low risk patients,</w:t>
      </w:r>
      <w:r w:rsidR="00686546" w:rsidRPr="001D3D20">
        <w:rPr>
          <w:color w:val="000000"/>
          <w:shd w:val="clear" w:color="auto" w:fill="FFFFFF"/>
          <w:lang w:val="en-US"/>
        </w:rPr>
        <w:t xml:space="preserve"> </w:t>
      </w:r>
      <w:r w:rsidRPr="001D3D20">
        <w:rPr>
          <w:color w:val="000000"/>
          <w:shd w:val="clear" w:color="auto" w:fill="FFFFFF"/>
          <w:lang w:val="en-US"/>
        </w:rPr>
        <w:t>a history of VTE was a clear marker of subsequent ischemic stroke, systemic embolism, or VTE. Also, NOACs may also have an advantage over warfarin for preventing VTE, adding further support to contemporary guideline recommendations advocating NOACs over warfarin in atrial fibrillation.</w:t>
      </w:r>
      <w:r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{"citationItems":[{"id":"ITEM-1","itemData":{"DOI":"10.1080/03007995.2018.1541445","ISSN":"0300-7995","abstract":"Objective: Oral anticoagulation (OAC) prescribed to AF patients for the prevention of cardioembolic complications likely has the added benefit of preventing venous thromboembolism (VTE). This study evaluated, among AF patients who are anticoagulated, whether type of OAC was associated with subsequent VTE risk. Methods: Non-valvular AF patients prescribed OACs between 2010 and September 2015 were identified via the MarketScan administrative claims databases. OACs included warfarin and direct OACs (DOACs: dabigatran, rivaroxaban, and apixaban). Incident VTE was defined by ICD-9-CM codes. Patients were matched on age, sex, CHA 2 DS 2-VASc, and high-dimensional propensity scores. The final analysis included 117,912 AF patients. Results: In total, 1357 VTE events accrued over a mean follow-up of 484 days. In multivariable-adjusted, propensity score-matched Cox models, relative to new users of warfarin, risk of incident VTE was lower among new users of dabigatran [hazard ratio (95% confidence interval) ¼ 0.55 (0.47-0.66)] and apixaban [0.51 (0.39-0.68)], but similar among new users of rivaroxaban [1.01 (0.87-1.19)]. In head-to-head DOAC comparisons, VTE risk was lower among users of dabigatran [0.48 (0.36-0.64)] and apixaban [0.61 (0.47-0.78)] vs rivaroxaban. Findings were mostly similar across patient subgroups. Conclusions: In this large practice-based population of AF patients prescribed OACs for primary prevention of stroke and systemic embolization, subsequent risk of VTE was lowest among those prescribed apixaban and dabigatran, while risk was similar with prescriptions for warfarin and rivaroxaban. Among AF patients prescribed OACs, lowering the risk of VTE may be an additional benefit of apixaban and dabi-gatran, beyond the reduced bleeding risk observed in randomized clinical trials. ARTICLE HISTORY","author":[{"dropping-particle":"","family":"Lutsey","given":"Pamela L","non-dropping-particle":"","parse-names":false,"suffix":""},{"dropping-particle":"","family":"Norby","given":"Faye L","non-dropping-particle":"","parse-names":false,"suffix":""},{"dropping-particle":"","family":"Zakai","given":"Neil A","non-dropping-particle":"","parse-names":false,"suffix":""},{"dropping-particle":"","family":"MacLehose","given":"Richard F.","non-dropping-particle":"","parse-names":false,"suffix":""},{"dropping-particle":"","family":"Chen","given":"Lin Y","non-dropping-particle":"","parse-names":false,"suffix":""},{"dropping-particle":"","family":"Shah","given":"Surbhi","non-dropping-particle":"","parse-names":false,"suffix":""},{"dropping-particle":"","family":"Datta","given":"Yvonne H","non-dropping-particle":"","parse-names":false,"suffix":""},{"dropping-particle":"","family":"Alonso","given":"Alvaro","non-dropping-particle":"","parse-names":false,"suffix":""}],"container-title":"Current Medical Research and Opinion","id":"ITEM-1","issue":"5","issued":{"date-parts":[["2019","5","4"]]},"page":"837-845","title":"Oral anticoagulation therapy and subsequent risk of venous thromboembolism in atrial fibrillation patients","type":"article-journal","volume":"35"},"uris":["http://www.mendeley.com/documents/?uuid=34148b16-500a-3274-a30e-fe2c048fee51"]}],"mendeley":{"formattedCitation":"&lt;sup&gt;29&lt;/sup&gt;","plainTextFormattedCitation":"29","previouslyFormattedCitation":"&lt;sup&gt;29&lt;/sup&gt;"},"properties":{"noteIndex":0},"schema":"https://github.com/citation-style-language/schema/raw/master/csl-citation.json"}</w:instrText>
      </w:r>
      <w:r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29</w:t>
      </w:r>
      <w:r w:rsidRPr="001D3D20">
        <w:rPr>
          <w:color w:val="000000"/>
          <w:shd w:val="clear" w:color="auto" w:fill="FFFFFF"/>
          <w:lang w:val="en-US"/>
        </w:rPr>
        <w:fldChar w:fldCharType="end"/>
      </w:r>
    </w:p>
    <w:p w14:paraId="253B74D0" w14:textId="0C2661F2" w:rsidR="001E576C" w:rsidRPr="001D3D20" w:rsidRDefault="001E576C" w:rsidP="006842EF">
      <w:pPr>
        <w:spacing w:line="360" w:lineRule="auto"/>
        <w:rPr>
          <w:color w:val="000000"/>
          <w:shd w:val="clear" w:color="auto" w:fill="FFFFFF"/>
          <w:lang w:val="en-US"/>
        </w:rPr>
      </w:pPr>
    </w:p>
    <w:p w14:paraId="37883C69" w14:textId="6998BBA8" w:rsidR="00B5002A" w:rsidRPr="001D3D20" w:rsidRDefault="00B5002A" w:rsidP="006842EF">
      <w:pPr>
        <w:spacing w:line="360" w:lineRule="auto"/>
        <w:rPr>
          <w:i/>
          <w:iCs/>
          <w:color w:val="000000"/>
          <w:shd w:val="clear" w:color="auto" w:fill="FFFFFF"/>
          <w:lang w:val="en-US"/>
        </w:rPr>
      </w:pPr>
      <w:r w:rsidRPr="001D3D20">
        <w:rPr>
          <w:i/>
          <w:iCs/>
          <w:color w:val="000000"/>
          <w:shd w:val="clear" w:color="auto" w:fill="FFFFFF"/>
          <w:lang w:val="en-US"/>
        </w:rPr>
        <w:t>Limitations</w:t>
      </w:r>
    </w:p>
    <w:p w14:paraId="071C1E95" w14:textId="4C008E43" w:rsidR="001E576C" w:rsidRPr="001D3D20" w:rsidRDefault="001E576C" w:rsidP="001E576C">
      <w:pPr>
        <w:spacing w:line="360" w:lineRule="auto"/>
        <w:rPr>
          <w:color w:val="000000"/>
          <w:shd w:val="clear" w:color="auto" w:fill="FFFFFF"/>
          <w:lang w:val="en-US"/>
        </w:rPr>
      </w:pPr>
      <w:r w:rsidRPr="001D3D20">
        <w:rPr>
          <w:color w:val="000000"/>
          <w:shd w:val="clear" w:color="auto" w:fill="FFFFFF"/>
          <w:lang w:val="en-US"/>
        </w:rPr>
        <w:t>The use of nationwide administrative registries allowed for a large study cohort, thus minimizing the impact of random variation. A validation study found a positive predictive value of a diagnosis of atrial fibrillation to be high (&gt;90%) in these registries.</w:t>
      </w:r>
      <w:r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{"citationItems":[{"id":"ITEM-1","itemData":{"DOI":"10.3109/14017431.2012.673728","ISSN":"1651-2006","PMID":"22397620","abstract":"OBJECTIVES: To assess the validity of the diagnoses of atrial fibrillation (AF) and atrial flutter (AFL) for men and women recorded in the Danish National Patient Registry, and to assess the relative distribution of AF and AFL. DESIGN: Review of medical records for incident cases of AF and/or AFL in the Diet, Cancer, and Health cohort study. Participants were enrolled in 1993-97 with 13.6 years of follow-up until 30 December, 2009. RESULTS: The positive predictive value of the combined diagnosis of AF and/or AFL was 92.6% (95% CI 88.8%; 95.2%) with no significant difference between sexes (men 93.7% (133/142), women 90.8% (129/142)). The proportion of AFL either alone or in combination with AF was significantly higher in men than in women (13.5% (18/133) vs. 5.4% (7/129), p =0.03). The positive predictive value of the specified diagnosis of AFL was 57.5% for men (46/80) and 29.6% for women (8/27). CONCLUSIONS: This study shows that the validity of the diagnosis of AF and/or AFL is high and may be used for registry-based studies. A specified diagnosis of AFL was rarely used and was not reliable to distinguish between cases of AF and AFL.","author":[{"dropping-particle":"","family":"Rix","given":"Thomas Andersen","non-dropping-particle":"","parse-names":false,"suffix":""},{"dropping-particle":"","family":"Riahi","given":"Sam","non-dropping-particle":"","parse-names":false,"suffix":""},{"dropping-particle":"","family":"Overvad","given":"Kim","non-dropping-particle":"","parse-names":false,"suffix":""},{"dropping-particle":"","family":"Lundbye-Christensen","given":"Søren","non-dropping-particle":"","parse-names":false,"suffix":""},{"dropping-particle":"","family":"Schmidt","given":"Erik Berg","non-dropping-particle":"","parse-names":false,"suffix":""},{"dropping-particle":"","family":"Joensen","given":"Albert Marni","non-dropping-particle":"","parse-names":false,"suffix":""}],"container-title":"Scandinavian cardiovascular journal","id":"ITEM-1","issue":"3","issued":{"date-parts":[["2012"]]},"page":"149-153","title":"Validity of the diagnoses atrial fibrillation and atrial flutter in a Danish patient registry.","type":"article-journal","volume":"46"},"uris":["http://www.mendeley.com/documents/?uuid=0846c03d-892c-4f1b-82d6-67170568e03a"]}],"mendeley":{"formattedCitation":"&lt;sup&gt;37&lt;/sup&gt;","plainTextFormattedCitation":"37","previouslyFormattedCitation":"&lt;sup&gt;37&lt;/sup&gt;"},"properties":{"noteIndex":0},"schema":"https://github.com/citation-style-language/schema/raw/master/csl-citation.json"}</w:instrText>
      </w:r>
      <w:r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37</w:t>
      </w:r>
      <w:r w:rsidRPr="001D3D20">
        <w:rPr>
          <w:color w:val="000000"/>
          <w:shd w:val="clear" w:color="auto" w:fill="FFFFFF"/>
          <w:lang w:val="en-US"/>
        </w:rPr>
        <w:fldChar w:fldCharType="end"/>
      </w:r>
      <w:r w:rsidRPr="001D3D20">
        <w:rPr>
          <w:color w:val="000000"/>
          <w:shd w:val="clear" w:color="auto" w:fill="FFFFFF"/>
          <w:lang w:val="en-US"/>
        </w:rPr>
        <w:t xml:space="preserve"> The positive predictive value of incident VTE is 91% with the applied definition, but lower for patients with a history of VTE (82%), since any future VTE in this subgroup are recurrent events, for which the positive predictive value is lower (82%).</w:t>
      </w:r>
      <w:r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{"citationItems":[{"id":"ITEM-1","itemData":{"DOI":"10.1136/bmjopen-2016-012832","abstract":"Objective: The majority of cardiovascular diagnoses in the Danish National Patient Registry (DNPR) remain to be validated despite extensive use in epidemiological research. We therefore examined the positive predictive value (PPV) of cardiovascular diagnoses in the DNPR. Design: Population-based validation study. Setting: 1 university hospital and 2 regional hospitals in the Central Denmark Region, 2010–2012. Participants: For each cardiovascular diagnosis, up to 100 patients from participating hospitals were randomly sampled during the study period using the DNPR. Main outcome measure: Using medical record review as the reference standard, we examined the PPV for cardiovascular diagnoses in the DNPR, coded according to the International Classification of Diseases, 10th Revision. Results: A total of 2153 medical records (97% of the total sample) were available for review. The PPVs ranged from 64% to 100%, with a mean PPV of 88%. The PPVs were ≥90% for first-time myocardial infarction, stent thrombosis, stable angina pectoris, hypertrophic cardiomyopathy, arrhythmogenic right ventricular cardiomyopathy, takotsubo cardiomyopathy, arterial hypertension, atrial fibrillation or flutter, cardiac arrest, mitral valve regurgitation or stenosis, aortic valve regurgitation or stenosis, pericarditis, hypercholesterolaemia, aortic dissection, aortic aneurysm/dilation and arterial claudication. The PPVs were between 80% and 90% for recurrent myocardial infarction, first-time unstable angina pectoris, pulmonary hypertension, bradycardia, ventricular tachycardia/fibrillation, endocarditis, cardiac tumours, first-time venous thromboembolism and between 70% and 80% for first-time and recurrent admission due to heart failure, first-time dilated cardiomyopathy, restrictive cardiomyopathy and recurrent venous thromboembolism. The PPV for first-time myocarditis was 64%. The PPVs were consistent within age, sex, calendar year and hospital categories. Conclusions: The validity of cardiovascular diagnoses","author":[{"dropping-particle":"","family":"Sundbøll","given":"Jens","non-dropping-particle":"","parse-names":false,"suffix":""},{"dropping-particle":"","family":"Adelborg","given":"Kasper","non-dropping-particle":"","parse-names":false,"suffix":""},{"dropping-particle":"","family":"Munch","given":"Troels","non-dropping-particle":"","parse-names":false,"suffix":""},{"dropping-particle":"","family":"Frøslev","given":"Trine","non-dropping-particle":"","parse-names":false,"suffix":""},{"dropping-particle":"","family":"Toft Sørensen","given":"Henrik","non-dropping-particle":"","parse-names":false,"suffix":""},{"dropping-particle":"","family":"Erik Bøtker","given":"Hans","non-dropping-particle":"","parse-names":false,"suffix":""},{"dropping-particle":"","family":"Schmidt","given":"Morten","non-dropping-particle":"","parse-names":false,"suffix":""}],"container-title":"BMJ Open","id":"ITEM-1","issued":{"date-parts":[["2016"]]},"title":"Positive predictive value of cardiovascular diagnoses in the Danish National Patient Registry: a validation study","type":"article-journal","volume":"6"},"uris":["http://www.mendeley.com/documents/?uuid=1ff83ec1-5cf9-3c29-b15f-ffeca7ef7ebd"]}],"mendeley":{"formattedCitation":"&lt;sup&gt;18&lt;/sup&gt;","plainTextFormattedCitation":"18","previouslyFormattedCitation":"&lt;sup&gt;18&lt;/sup&gt;"},"properties":{"noteIndex":0},"schema":"https://github.com/citation-style-language/schema/raw/master/csl-citation.json"}</w:instrText>
      </w:r>
      <w:r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18</w:t>
      </w:r>
      <w:r w:rsidRPr="001D3D20">
        <w:rPr>
          <w:color w:val="000000"/>
          <w:shd w:val="clear" w:color="auto" w:fill="FFFFFF"/>
          <w:lang w:val="en-US"/>
        </w:rPr>
        <w:fldChar w:fldCharType="end"/>
      </w:r>
      <w:r w:rsidRPr="001D3D20">
        <w:rPr>
          <w:color w:val="000000"/>
          <w:shd w:val="clear" w:color="auto" w:fill="FFFFFF"/>
          <w:lang w:val="en-US"/>
        </w:rPr>
        <w:t xml:space="preserve"> Hence, this could lead to a small relative overestimation of rates of VTE in the population with previous VTE compared with those without VTE, but unlikely to be enough to </w:t>
      </w:r>
      <w:r w:rsidRPr="001D3D20">
        <w:rPr>
          <w:color w:val="000000"/>
          <w:shd w:val="clear" w:color="auto" w:fill="FFFFFF"/>
          <w:lang w:val="en-US"/>
        </w:rPr>
        <w:lastRenderedPageBreak/>
        <w:t>explain the observed, rather substantial, differences in rates of VTE following a diagnosis of atrial fibrillation. The diagnosis of ischemic stroke has been validated with a positive predictive value of &gt;80%, which is unlikely to be associated with history of VTE. Information bias is therefore not a likely sole explanation for the comparative study results.</w:t>
      </w:r>
    </w:p>
    <w:p w14:paraId="2DDCB518" w14:textId="5D929A86" w:rsidR="001E576C" w:rsidRPr="001D3D20" w:rsidRDefault="001E576C" w:rsidP="006842EF">
      <w:pPr>
        <w:spacing w:line="360" w:lineRule="auto"/>
        <w:rPr>
          <w:color w:val="000000"/>
          <w:shd w:val="clear" w:color="auto" w:fill="FFFFFF"/>
          <w:lang w:val="en-US"/>
        </w:rPr>
      </w:pPr>
      <w:r w:rsidRPr="001D3D20">
        <w:rPr>
          <w:color w:val="000000"/>
          <w:shd w:val="clear" w:color="auto" w:fill="FFFFFF"/>
          <w:lang w:val="en-US"/>
        </w:rPr>
        <w:t>Patients were followed in nationwide registries, which minimized the potential selection bias arising from loss to follow-up. Some deaths due to ischemic stroke or pulmonary embolism are not recorded as such in the administrative registries due to very low autopsy rates in Denmark.</w:t>
      </w:r>
      <w:r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{"citationItems":[{"id":"ITEM-1","itemData":{"DOI":"10.1016/j.forsciint.2014.10.032","ISSN":"03790738","abstract":"The 1990s 12-16% total autopsy rate in Denmark has until now declined to 4%, while in Finland, it has remained between 25 and 30%. The decision to proceed with a forensic autopsy is based on national legislation, but it can be assumed that the financing of autopsies influences the decision process. Only little is known about the possible differences between health economics of Finnish and Danish cause of death investigation systems. The aims of this article were to analyse costs and consequences of Finnish and Danish cause of death investigations, and to develop an alternative autopsy practice in Denmark with another cost profile. Data on cause of death investigation systems and costs were derived from Departments of Forensic Medicine, Departments of Pathology, and the National Police. Finnish and Danish autopsy rates were calculated in unnatural (accident, suicide, homicide and undetermined intent) and natural (disease) deaths, and used to develop an alternative autopsy practice in Denmark. Consequences for society were analysed. The estimated unit cost (s) for one forensic autopsy is 3.2 times lower in Finland than in Denmark (s1400 versus s4420), but in Finland the salaries for forensic pathologists working at the National Institute for Health and Welfare are not included in the unit cost. The unit cost for one medical autopsy is also lower in Finland than in Denmark; s700 versus s1070. In our alternative practice in Denmark, the forensic autopsy rate was increased from 2.2% to 8.5%, and the medical autopsy rate from 2.4% to 5.8%. Costs per 10,000 deaths were estimated to be 50% (AE25%) higher than now; i.e. s3,678,724 (2,759,112-4,598,336), but would result in a lower unit cost for forensic autopsies s3,094 (2,320-3,868) and for medical autopsies s749 (562-936). This practice would produce a higher accuracy of national mortality statistics, which, consequently, would entail higher quality in public health, an accurate basis for decision-making in health politics, and better legislative safety in society. The implementation of this alternative practice in Denmark requires that legislation demands that forensic autopsy be performed if causality between unnatural death and cause of death cannot be clarified or if cause of death remains unknown. The Danish Health and Medicines Authority should provide guidelines that request a medical autopsy in natural deaths where more information about disease as a cause of death is needed. Our study results warrant …","author":[{"dropping-particle":"","family":"Ylijoki-Sørensen","given":"Seija","non-dropping-particle":"","parse-names":false,"suffix":""},{"dropping-particle":"","family":"Boldsen","given":"Jesper Lier","non-dropping-particle":"","parse-names":false,"suffix":""},{"dropping-particle":"","family":"Lalu","given":"Kaisa","non-dropping-particle":"","parse-names":false,"suffix":""},{"dropping-particle":"","family":"Sajantila","given":"Antti","non-dropping-particle":"","parse-names":false,"suffix":""},{"dropping-particle":"","family":"Baandrup","given":"Ulrik","non-dropping-particle":"","parse-names":false,"suffix":""},{"dropping-particle":"","family":"Boel","given":"Lene Warner Thorup","non-dropping-particle":"","parse-names":false,"suffix":""},{"dropping-particle":"","family":"Ehlers","given":"Lars Holger","non-dropping-particle":"","parse-names":false,"suffix":""},{"dropping-particle":"","family":"Bøggild","given":"Henrik","non-dropping-particle":"","parse-names":false,"suffix":""}],"container-title":"Forensic Science International","id":"ITEM-1","issued":{"date-parts":[["2014","12"]]},"page":"133-142","title":"Cost–consequence analysis of cause of death investigation in Finland and in Denmark","type":"article-journal","volume":"245"},"uris":["http://www.mendeley.com/documents/?uuid=d167bc0f-a0a6-3b37-b25b-71611793e490"]}],"mendeley":{"formattedCitation":"&lt;sup&gt;22&lt;/sup&gt;","plainTextFormattedCitation":"22","previouslyFormattedCitation":"&lt;sup&gt;22&lt;/sup&gt;"},"properties":{"noteIndex":0},"schema":"https://github.com/citation-style-language/schema/raw/master/csl-citation.json"}</w:instrText>
      </w:r>
      <w:r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22</w:t>
      </w:r>
      <w:r w:rsidRPr="001D3D20">
        <w:rPr>
          <w:color w:val="000000"/>
          <w:shd w:val="clear" w:color="auto" w:fill="FFFFFF"/>
          <w:lang w:val="en-US"/>
        </w:rPr>
        <w:fldChar w:fldCharType="end"/>
      </w:r>
      <w:r w:rsidRPr="001D3D20">
        <w:rPr>
          <w:color w:val="000000"/>
          <w:shd w:val="clear" w:color="auto" w:fill="FFFFFF"/>
          <w:lang w:val="en-US"/>
        </w:rPr>
        <w:t xml:space="preserve"> Hence, we also included death in the outcome definition in a supplementary analysis. The uncertainty of causes of death in the registries precluded the conduction of an adequate competing risk analysis, since only deaths due to non-thromboembolic events are considered competing events in this setting.</w:t>
      </w:r>
      <w:r w:rsidRPr="001D3D20">
        <w:rPr>
          <w:color w:val="000000"/>
          <w:shd w:val="clear" w:color="auto" w:fill="FFFFFF"/>
          <w:lang w:val="en-US"/>
        </w:rPr>
        <w:fldChar w:fldCharType="begin" w:fldLock="1"/>
      </w:r>
      <w:r w:rsidR="00C94E4F">
        <w:rPr>
          <w:color w:val="000000"/>
          <w:shd w:val="clear" w:color="auto" w:fill="FFFFFF"/>
          <w:lang w:val="en-US"/>
        </w:rPr>
        <w:instrText>ADDIN CSL_CITATION {"citationItems":[{"id":"ITEM-1","itemData":{"DOI":"10.1161/CIRCULATIONAHA.115.017719","ISBN":"1524-4539 (Electronic) 0009-7322 (Linking)","ISSN":"15244539","PMID":"26858290","abstract":"Competing risks occur frequently in the analysis of survival data. A competing risk is an event whose occurrence precludes the occurrence of the primary event of interest. In a study examining time to death attributable to cardiovascular causes, death attributable to noncardiovascular causes is a competing risk. When estimating the crude incidence of outcomes, analysts should use the cumulative incidence function, rather than the complement of the Kaplan-Meier survival function. The use of the Kaplan-Meier survival function results in estimates of incidence that are biased upward, regardless of whether the competing events are independent of one another. When fitting regression models in the presence of competing risks, researchers can choose from 2 different families of models: modeling the effect of covariates on the cause-specific hazard of the outcome or modeling the effect of covariates on the cumulative incidence function. The former allows one to estimate the effect of the covariates on the rate of occurrence of the outcome in those subjects who are currently event free. The latter allows one to estimate the effect of covariates on the absolute risk of the outcome over time. The former family of models may be better suited for addressing etiologic questions, whereas the latter model may be better suited for estimating a patient's clinical prognosis. We illustrate the application of these methods by examining cause-specific mortality in patients hospitalized with heart failure. Statistical software code in both R and SAS is provided.","author":[{"dropping-particle":"","family":"Austin","given":"Peter C.","non-dropping-particle":"","parse-names":false,"suffix":""},{"dropping-particle":"","family":"Lee","given":"Douglas S.","non-dropping-particle":"","parse-names":false,"suffix":""},{"dropping-particle":"","family":"Fine","given":"Jason P.","non-dropping-particle":"","parse-names":false,"suffix":""}],"container-title":"Circulation","id":"ITEM-1","issue":"6","issued":{"date-parts":[["2016"]]},"page":"601-609","title":"Introduction to the analysis of survival data in the presence of competing risks","type":"article-journal","volume":"133"},"uris":["http://www.mendeley.com/documents/?uuid=7f0dbbf7-25ca-481b-8a0f-98625b2c3723"]},{"id":"ITEM-2","itemData":{"author":[{"dropping-particle":"","family":"Hernan","given":"Miguel A","non-dropping-particle":"","parse-names":false,"suffix":""},{"dropping-particle":"","family":"Robins","given":"James","non-dropping-particle":"","parse-names":false,"suffix":""}],"id":"ITEM-2","issued":{"date-parts":[["2018"]]},"publisher":"Boca Raton: Chapman &amp; Hall/CRC, forthcoming","title":"Causal Inference","type":"book"},"uris":["http://www.mendeley.com/documents/?uuid=26166abe-acb3-4078-8bb4-87568291783a"]},{"id":"ITEM-3","itemData":{"DOI":"10.1161/CIRCOUTCOMES.118.004580","ISSN":"1941-7705","PMID":"29997149","abstract":"BACKGROUND Ignoring competing risks in time-to-event analyses can lead to biased risk estimates, particularly for elderly patients with multimorbidity. We aimed to demonstrate the impact of considering competing risks when estimating the cumulative incidence and risk of stroke among elderly atrial fibrillation patients. METHODS AND RESULTS Using linked administrative databases, we identified patients with atrial fibrillation aged ≥66 years discharged from hospital in ON, Canada between January 1, 2007, and March 31, 2011. We estimated the cumulative incidence of stroke hospitalization using the complement of the Kaplan-Meier function and the cumulative incidence function. This was repeated after stratifying the cohort by presence of prespecified comorbidities: chronic kidney disease, chronic obstructive pulmonary disease, cancer, or dementia. The full cohort was used to regress components of the CHA2DS2VASc (congestive heart failure, hypertension, age, diabetes mellitus, stroke, vascular disease, sex) score on the hazard of stroke hospitalization using the Fine-Gray and Cox methods. These models were subsequently used to predict the 5-year risk of stroke hospitalization. Among 136 156 patients, the median CHA2DS2VASc score was 4 and 84 728 patients (62.2%) had ≥1 prespecified comorbidity. The 5-year cumulative incidence of stroke was 5.4% (95% confidence interval, 5.3%-5.5%), whereas that of death without stroke was 48.8% (95% confidence interval, 48.5%-49.1%). The incidence of both events was overestimated by the Kaplan-Meier method; stroke incidence was overestimated by a relative factor of 39%. The degree of overestimation was larger among patients with non-CHA2DS2VASc comorbidity because of higher incidence of death without stroke. The Fine-Gray model demonstrated better calibration than the Cox model, which consistently overpredicted stroke incidence. CONCLUSIONS The incidence of death without stroke was 9-fold higher than that of stroke, leading to biased estimates of stroke risk with traditional time-to-event methods. Statistical methods that appropriately account for competing risks should be used to mitigate this bias.","author":[{"dropping-particle":"","family":"Abdel-Qadir","given":"Husam","non-dropping-particle":"","parse-names":false,"suffix":""},{"dropping-particle":"","family":"Fang","given":"Jiming","non-dropping-particle":"","parse-names":false,"suffix":""},{"dropping-particle":"","family":"Lee","given":"Douglas S","non-dropping-particle":"","parse-names":false,"suffix":""},{"dropping-particle":"V","family":"Tu","given":"Jack","non-dropping-particle":"","parse-names":false,"suffix":""},{"dropping-particle":"","family":"Amir","given":"Eitan","non-dropping-particle":"","parse-names":false,"suffix":""},{"dropping-particle":"","family":"Austin","given":"Peter C","non-dropping-particle":"","parse-names":false,"suffix":""},{"dropping-particle":"","family":"Anderson","given":"Geoffrey M","non-dropping-particle":"","parse-names":false,"suffix":""}],"container-title":"Circulation. Cardiovascular quality and outcomes","id":"ITEM-3","issue":"7","issued":{"date-parts":[["2018","7","1"]]},"page":"e004580","title":"Importance of considering competing risks in time-to-event analyses: Application to stroke risk in a retrospective cohort study of elderly patients with atrial fibrillation.","type":"article-journal","volume":"11"},"uris":["http://www.mendeley.com/documents/?uuid=d012f650-9b07-3136-b14b-8a713aabe651"]}],"mendeley":{"formattedCitation":"&lt;sup&gt;38–40&lt;/sup&gt;","plainTextFormattedCitation":"38–40","previouslyFormattedCitation":"&lt;sup&gt;38–40&lt;/sup&gt;"},"properties":{"noteIndex":0},"schema":"https://github.com/citation-style-language/schema/raw/master/csl-citation.json"}</w:instrText>
      </w:r>
      <w:r w:rsidRPr="001D3D20">
        <w:rPr>
          <w:color w:val="000000"/>
          <w:shd w:val="clear" w:color="auto" w:fill="FFFFFF"/>
          <w:lang w:val="en-US"/>
        </w:rPr>
        <w:fldChar w:fldCharType="separate"/>
      </w:r>
      <w:r w:rsidR="00AD16F2" w:rsidRPr="001D3D20">
        <w:rPr>
          <w:noProof/>
          <w:color w:val="000000"/>
          <w:shd w:val="clear" w:color="auto" w:fill="FFFFFF"/>
          <w:vertAlign w:val="superscript"/>
          <w:lang w:val="en-US"/>
        </w:rPr>
        <w:t>38–40</w:t>
      </w:r>
      <w:r w:rsidRPr="001D3D20">
        <w:rPr>
          <w:color w:val="000000"/>
          <w:shd w:val="clear" w:color="auto" w:fill="FFFFFF"/>
          <w:lang w:val="en-US"/>
        </w:rPr>
        <w:fldChar w:fldCharType="end"/>
      </w:r>
      <w:r w:rsidRPr="001D3D20">
        <w:rPr>
          <w:color w:val="000000"/>
          <w:shd w:val="clear" w:color="auto" w:fill="FFFFFF"/>
          <w:lang w:val="en-US"/>
        </w:rPr>
        <w:t xml:space="preserve"> </w:t>
      </w:r>
    </w:p>
    <w:p w14:paraId="2F5FF092" w14:textId="0E9CE184" w:rsidR="00531698" w:rsidRPr="001D3D20" w:rsidRDefault="00531698" w:rsidP="006842EF">
      <w:pPr>
        <w:spacing w:line="360" w:lineRule="auto"/>
        <w:rPr>
          <w:bCs/>
          <w:i/>
          <w:iCs/>
          <w:color w:val="000000"/>
          <w:shd w:val="clear" w:color="auto" w:fill="FFFFFF"/>
          <w:lang w:val="en-US"/>
        </w:rPr>
      </w:pPr>
    </w:p>
    <w:p w14:paraId="33843B94" w14:textId="73B20EEB" w:rsidR="00531698" w:rsidRPr="001D3D20" w:rsidRDefault="00531698" w:rsidP="006842EF">
      <w:pPr>
        <w:spacing w:line="360" w:lineRule="auto"/>
        <w:rPr>
          <w:bCs/>
          <w:color w:val="000000"/>
          <w:shd w:val="clear" w:color="auto" w:fill="FFFFFF"/>
          <w:lang w:val="en-US"/>
        </w:rPr>
      </w:pPr>
      <w:r w:rsidRPr="001D3D20">
        <w:rPr>
          <w:bCs/>
          <w:i/>
          <w:iCs/>
          <w:color w:val="000000"/>
          <w:shd w:val="clear" w:color="auto" w:fill="FFFFFF"/>
          <w:lang w:val="en-US"/>
        </w:rPr>
        <w:t>Conclusion</w:t>
      </w:r>
    </w:p>
    <w:p w14:paraId="6F6A3430" w14:textId="77777777" w:rsidR="00CC0391" w:rsidRDefault="00686546" w:rsidP="006842EF">
      <w:pPr>
        <w:spacing w:line="360" w:lineRule="auto"/>
        <w:rPr>
          <w:bCs/>
          <w:color w:val="000000"/>
          <w:shd w:val="clear" w:color="auto" w:fill="FFFFFF"/>
          <w:lang w:val="en-US"/>
        </w:rPr>
        <w:sectPr w:rsidR="00CC0391" w:rsidSect="0079382F">
          <w:footerReference w:type="even" r:id="rId8"/>
          <w:footerReference w:type="default" r:id="rId9"/>
          <w:pgSz w:w="11900" w:h="16840"/>
          <w:pgMar w:top="1701" w:right="1134" w:bottom="1701" w:left="1134" w:header="708" w:footer="708" w:gutter="0"/>
          <w:cols w:space="708"/>
          <w:docGrid w:linePitch="360"/>
        </w:sectPr>
      </w:pPr>
      <w:r w:rsidRPr="001D3D20">
        <w:rPr>
          <w:color w:val="000000"/>
          <w:shd w:val="clear" w:color="auto" w:fill="FFFFFF"/>
          <w:lang w:val="en-US"/>
        </w:rPr>
        <w:t xml:space="preserve">Patients with </w:t>
      </w:r>
      <w:r w:rsidR="00C962F2" w:rsidRPr="001D3D20">
        <w:rPr>
          <w:color w:val="000000"/>
          <w:shd w:val="clear" w:color="auto" w:fill="FFFFFF"/>
          <w:lang w:val="en-US"/>
        </w:rPr>
        <w:t xml:space="preserve">incident atrial fibrillation and </w:t>
      </w:r>
      <w:r w:rsidRPr="001D3D20">
        <w:rPr>
          <w:color w:val="000000"/>
          <w:shd w:val="clear" w:color="auto" w:fill="FFFFFF"/>
          <w:lang w:val="en-US"/>
        </w:rPr>
        <w:t xml:space="preserve">previous VTE carried an overall similar risk of ‘ischemic stroke or systemic embolism’ compared with patients without previous VTE.  Nonetheless, </w:t>
      </w:r>
      <w:r w:rsidRPr="001D3D20">
        <w:rPr>
          <w:bCs/>
          <w:color w:val="000000"/>
          <w:shd w:val="clear" w:color="auto" w:fill="FFFFFF"/>
          <w:lang w:val="en-US"/>
        </w:rPr>
        <w:t>p</w:t>
      </w:r>
      <w:r w:rsidR="00531698" w:rsidRPr="001D3D20">
        <w:rPr>
          <w:bCs/>
          <w:color w:val="000000"/>
          <w:shd w:val="clear" w:color="auto" w:fill="FFFFFF"/>
          <w:lang w:val="en-US"/>
        </w:rPr>
        <w:t>atients with atrial fibrillation with a history of VTE are a high-risk population</w:t>
      </w:r>
      <w:r w:rsidR="00BE29F5" w:rsidRPr="001D3D20">
        <w:rPr>
          <w:bCs/>
          <w:color w:val="000000"/>
          <w:shd w:val="clear" w:color="auto" w:fill="FFFFFF"/>
          <w:lang w:val="en-US"/>
        </w:rPr>
        <w:t xml:space="preserve"> compared with patients without a history of VTE</w:t>
      </w:r>
      <w:r w:rsidR="00531698" w:rsidRPr="001D3D20">
        <w:rPr>
          <w:bCs/>
          <w:color w:val="000000"/>
          <w:shd w:val="clear" w:color="auto" w:fill="FFFFFF"/>
          <w:lang w:val="en-US"/>
        </w:rPr>
        <w:t>, mainly due to an excess risk of</w:t>
      </w:r>
      <w:r w:rsidR="00BE29F5" w:rsidRPr="001D3D20">
        <w:rPr>
          <w:bCs/>
          <w:color w:val="000000"/>
          <w:shd w:val="clear" w:color="auto" w:fill="FFFFFF"/>
          <w:lang w:val="en-US"/>
        </w:rPr>
        <w:t xml:space="preserve"> future VTE events.</w:t>
      </w:r>
      <w:r w:rsidR="00016CB2" w:rsidRPr="001D3D20">
        <w:rPr>
          <w:bCs/>
          <w:color w:val="000000"/>
          <w:shd w:val="clear" w:color="auto" w:fill="FFFFFF"/>
          <w:lang w:val="en-US"/>
        </w:rPr>
        <w:t xml:space="preserve"> History of VTE may be </w:t>
      </w:r>
      <w:r w:rsidR="00F55220" w:rsidRPr="001D3D20">
        <w:rPr>
          <w:bCs/>
          <w:color w:val="000000"/>
          <w:shd w:val="clear" w:color="auto" w:fill="FFFFFF"/>
          <w:lang w:val="en-US"/>
        </w:rPr>
        <w:t xml:space="preserve">a </w:t>
      </w:r>
      <w:r w:rsidR="00016CB2" w:rsidRPr="001D3D20">
        <w:rPr>
          <w:bCs/>
          <w:color w:val="000000"/>
          <w:shd w:val="clear" w:color="auto" w:fill="FFFFFF"/>
          <w:lang w:val="en-US"/>
        </w:rPr>
        <w:t>useful</w:t>
      </w:r>
      <w:r w:rsidR="00834FB1" w:rsidRPr="001D3D20">
        <w:rPr>
          <w:bCs/>
          <w:color w:val="000000"/>
          <w:shd w:val="clear" w:color="auto" w:fill="FFFFFF"/>
          <w:lang w:val="en-US"/>
        </w:rPr>
        <w:t xml:space="preserve"> parameter</w:t>
      </w:r>
      <w:r w:rsidR="00016CB2" w:rsidRPr="001D3D20">
        <w:rPr>
          <w:bCs/>
          <w:color w:val="000000"/>
          <w:shd w:val="clear" w:color="auto" w:fill="FFFFFF"/>
          <w:lang w:val="en-US"/>
        </w:rPr>
        <w:t xml:space="preserve"> for routine clinical thromboembolic risk stratification in patients with atrial fibrillation.</w:t>
      </w:r>
    </w:p>
    <w:p w14:paraId="577B8EE5" w14:textId="61A82541" w:rsidR="00204659" w:rsidRPr="001D3D20" w:rsidRDefault="00204659" w:rsidP="00CC0391">
      <w:pPr>
        <w:widowControl w:val="0"/>
        <w:autoSpaceDE w:val="0"/>
        <w:autoSpaceDN w:val="0"/>
        <w:adjustRightInd w:val="0"/>
        <w:spacing w:line="360" w:lineRule="auto"/>
        <w:rPr>
          <w:b/>
          <w:color w:val="000000"/>
          <w:shd w:val="clear" w:color="auto" w:fill="FFFFFF"/>
          <w:lang w:val="en-US"/>
        </w:rPr>
      </w:pPr>
      <w:r w:rsidRPr="001D3D20">
        <w:rPr>
          <w:b/>
          <w:color w:val="000000"/>
          <w:shd w:val="clear" w:color="auto" w:fill="FFFFFF"/>
          <w:lang w:val="en-US"/>
        </w:rPr>
        <w:lastRenderedPageBreak/>
        <w:t>References</w:t>
      </w:r>
    </w:p>
    <w:p w14:paraId="3A25C095" w14:textId="77777777" w:rsidR="00204659" w:rsidRPr="001D3D20" w:rsidRDefault="00204659" w:rsidP="006842EF">
      <w:pPr>
        <w:widowControl w:val="0"/>
        <w:autoSpaceDE w:val="0"/>
        <w:autoSpaceDN w:val="0"/>
        <w:adjustRightInd w:val="0"/>
        <w:spacing w:line="360" w:lineRule="auto"/>
        <w:ind w:left="640" w:hanging="640"/>
        <w:rPr>
          <w:color w:val="000000"/>
          <w:shd w:val="clear" w:color="auto" w:fill="FFFFFF"/>
          <w:lang w:val="en-US"/>
        </w:rPr>
      </w:pPr>
    </w:p>
    <w:p w14:paraId="62533EFB" w14:textId="651F96D4" w:rsidR="00C94E4F" w:rsidRPr="00C94E4F" w:rsidRDefault="00C32E07" w:rsidP="00C94E4F">
      <w:pPr>
        <w:widowControl w:val="0"/>
        <w:autoSpaceDE w:val="0"/>
        <w:autoSpaceDN w:val="0"/>
        <w:adjustRightInd w:val="0"/>
        <w:spacing w:line="360" w:lineRule="auto"/>
        <w:ind w:left="640" w:hanging="640"/>
        <w:rPr>
          <w:noProof/>
        </w:rPr>
      </w:pPr>
      <w:r w:rsidRPr="001D3D20">
        <w:rPr>
          <w:color w:val="000000"/>
          <w:shd w:val="clear" w:color="auto" w:fill="FFFFFF"/>
          <w:lang w:val="en-US"/>
        </w:rPr>
        <w:fldChar w:fldCharType="begin" w:fldLock="1"/>
      </w:r>
      <w:r w:rsidRPr="001D3D20">
        <w:rPr>
          <w:color w:val="000000"/>
          <w:shd w:val="clear" w:color="auto" w:fill="FFFFFF"/>
          <w:lang w:val="en-US"/>
        </w:rPr>
        <w:instrText xml:space="preserve">ADDIN Mendeley Bibliography CSL_BIBLIOGRAPHY </w:instrText>
      </w:r>
      <w:r w:rsidRPr="001D3D20">
        <w:rPr>
          <w:color w:val="000000"/>
          <w:shd w:val="clear" w:color="auto" w:fill="FFFFFF"/>
          <w:lang w:val="en-US"/>
        </w:rPr>
        <w:fldChar w:fldCharType="separate"/>
      </w:r>
      <w:r w:rsidR="00C94E4F" w:rsidRPr="00C94E4F">
        <w:rPr>
          <w:noProof/>
        </w:rPr>
        <w:t xml:space="preserve">1. </w:t>
      </w:r>
      <w:r w:rsidR="00C94E4F" w:rsidRPr="00C94E4F">
        <w:rPr>
          <w:noProof/>
        </w:rPr>
        <w:tab/>
        <w:t xml:space="preserve">Rahman F, Kwan GF, Benjamin EJ. Global epidemiology of atrial fibrillation. </w:t>
      </w:r>
      <w:r w:rsidR="00C94E4F" w:rsidRPr="00C94E4F">
        <w:rPr>
          <w:i/>
          <w:iCs/>
          <w:noProof/>
        </w:rPr>
        <w:t>Nat Rev Cardiol</w:t>
      </w:r>
      <w:r w:rsidR="00C94E4F" w:rsidRPr="00C94E4F">
        <w:rPr>
          <w:noProof/>
        </w:rPr>
        <w:t xml:space="preserve"> 2014;</w:t>
      </w:r>
      <w:r w:rsidR="00C94E4F" w:rsidRPr="00C94E4F">
        <w:rPr>
          <w:b/>
          <w:bCs/>
          <w:noProof/>
        </w:rPr>
        <w:t>11</w:t>
      </w:r>
      <w:r w:rsidR="00C94E4F" w:rsidRPr="00C94E4F">
        <w:rPr>
          <w:noProof/>
        </w:rPr>
        <w:t xml:space="preserve">:639–654. </w:t>
      </w:r>
    </w:p>
    <w:p w14:paraId="2EA40C02"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2. </w:t>
      </w:r>
      <w:r w:rsidRPr="00C94E4F">
        <w:rPr>
          <w:noProof/>
        </w:rPr>
        <w:tab/>
        <w:t xml:space="preserve">Hart RG, Pearce LA, Aguilar MI. Meta-analysis: Antithrombotic therapy to prevent stroke in patients who have nonvalvular atrial fibrillation. </w:t>
      </w:r>
      <w:r w:rsidRPr="00C94E4F">
        <w:rPr>
          <w:i/>
          <w:iCs/>
          <w:noProof/>
        </w:rPr>
        <w:t>Ann Intern Med</w:t>
      </w:r>
      <w:r w:rsidRPr="00C94E4F">
        <w:rPr>
          <w:noProof/>
        </w:rPr>
        <w:t xml:space="preserve"> 2007;</w:t>
      </w:r>
      <w:r w:rsidRPr="00C94E4F">
        <w:rPr>
          <w:b/>
          <w:bCs/>
          <w:noProof/>
        </w:rPr>
        <w:t>146</w:t>
      </w:r>
      <w:r w:rsidRPr="00C94E4F">
        <w:rPr>
          <w:noProof/>
        </w:rPr>
        <w:t xml:space="preserve">:857–867. </w:t>
      </w:r>
    </w:p>
    <w:p w14:paraId="666D86FC"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3. </w:t>
      </w:r>
      <w:r w:rsidRPr="00C94E4F">
        <w:rPr>
          <w:noProof/>
        </w:rPr>
        <w:tab/>
        <w:t xml:space="preserve">Goldhaber SZ, Bounameaux H. Pulmonary embolism and deep vein thrombosis. </w:t>
      </w:r>
      <w:r w:rsidRPr="00C94E4F">
        <w:rPr>
          <w:i/>
          <w:iCs/>
          <w:noProof/>
        </w:rPr>
        <w:t>Lancet</w:t>
      </w:r>
      <w:r w:rsidRPr="00C94E4F">
        <w:rPr>
          <w:noProof/>
        </w:rPr>
        <w:t xml:space="preserve"> 2012;</w:t>
      </w:r>
      <w:r w:rsidRPr="00C94E4F">
        <w:rPr>
          <w:b/>
          <w:bCs/>
          <w:noProof/>
        </w:rPr>
        <w:t>379</w:t>
      </w:r>
      <w:r w:rsidRPr="00C94E4F">
        <w:rPr>
          <w:noProof/>
        </w:rPr>
        <w:t xml:space="preserve">:1835–1881. </w:t>
      </w:r>
    </w:p>
    <w:p w14:paraId="12E05EB8"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4. </w:t>
      </w:r>
      <w:r w:rsidRPr="00C94E4F">
        <w:rPr>
          <w:noProof/>
        </w:rPr>
        <w:tab/>
        <w:t xml:space="preserve">Sundbøll J, Hováth-Puhó E, Adelborg K, Ording A, Schmidt M, Bøtker HE, Sørensen HT. Risk of arterial and venous thromboembolism in patients with atrial fibrillation or flutter: A nationwide population-based cohort study. </w:t>
      </w:r>
      <w:r w:rsidRPr="00C94E4F">
        <w:rPr>
          <w:i/>
          <w:iCs/>
          <w:noProof/>
        </w:rPr>
        <w:t>Int J Cardiol</w:t>
      </w:r>
      <w:r w:rsidRPr="00C94E4F">
        <w:rPr>
          <w:noProof/>
        </w:rPr>
        <w:t xml:space="preserve"> 2017;</w:t>
      </w:r>
      <w:r w:rsidRPr="00C94E4F">
        <w:rPr>
          <w:b/>
          <w:bCs/>
          <w:noProof/>
        </w:rPr>
        <w:t>241</w:t>
      </w:r>
      <w:r w:rsidRPr="00C94E4F">
        <w:rPr>
          <w:noProof/>
        </w:rPr>
        <w:t xml:space="preserve">:182–187. </w:t>
      </w:r>
    </w:p>
    <w:p w14:paraId="449E8545"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5. </w:t>
      </w:r>
      <w:r w:rsidRPr="00C94E4F">
        <w:rPr>
          <w:noProof/>
        </w:rPr>
        <w:tab/>
        <w:t xml:space="preserve">Bikdeli B, Abou Ziki MD, Lip GYH. Pulmonary embolism and atrial fibrillation: Two sides of the same coin? A systematic review. </w:t>
      </w:r>
      <w:r w:rsidRPr="00C94E4F">
        <w:rPr>
          <w:i/>
          <w:iCs/>
          <w:noProof/>
        </w:rPr>
        <w:t>Semin Thromb Hemost</w:t>
      </w:r>
      <w:r w:rsidRPr="00C94E4F">
        <w:rPr>
          <w:noProof/>
        </w:rPr>
        <w:t xml:space="preserve"> 2017;</w:t>
      </w:r>
      <w:r w:rsidRPr="00C94E4F">
        <w:rPr>
          <w:b/>
          <w:bCs/>
          <w:noProof/>
        </w:rPr>
        <w:t>43</w:t>
      </w:r>
      <w:r w:rsidRPr="00C94E4F">
        <w:rPr>
          <w:noProof/>
        </w:rPr>
        <w:t xml:space="preserve">:849–863. </w:t>
      </w:r>
    </w:p>
    <w:p w14:paraId="106B8C66"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6. </w:t>
      </w:r>
      <w:r w:rsidRPr="00C94E4F">
        <w:rPr>
          <w:noProof/>
        </w:rPr>
        <w:tab/>
        <w:t xml:space="preserve">Wysokinski WE, Owen WG, Fass DN, Patrzalek DD, Murphy L, Mcbane RD. Atrial fibrillation and thrombosis: immunohistochemical differences between in situ and embolized thrombi. </w:t>
      </w:r>
      <w:r w:rsidRPr="00C94E4F">
        <w:rPr>
          <w:i/>
          <w:iCs/>
          <w:noProof/>
        </w:rPr>
        <w:t>J Thromb Haemost</w:t>
      </w:r>
      <w:r w:rsidRPr="00C94E4F">
        <w:rPr>
          <w:noProof/>
        </w:rPr>
        <w:t xml:space="preserve"> 2004;</w:t>
      </w:r>
      <w:r w:rsidRPr="00C94E4F">
        <w:rPr>
          <w:b/>
          <w:bCs/>
          <w:noProof/>
        </w:rPr>
        <w:t>2</w:t>
      </w:r>
      <w:r w:rsidRPr="00C94E4F">
        <w:rPr>
          <w:noProof/>
        </w:rPr>
        <w:t xml:space="preserve">:1637–1644. </w:t>
      </w:r>
    </w:p>
    <w:p w14:paraId="08F5E0DA"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7. </w:t>
      </w:r>
      <w:r w:rsidRPr="00C94E4F">
        <w:rPr>
          <w:noProof/>
        </w:rPr>
        <w:tab/>
        <w:t xml:space="preserve">Tan KT, Lip GY. Red vs white thrombi: Treating the right clot is crucial. </w:t>
      </w:r>
      <w:r w:rsidRPr="00C94E4F">
        <w:rPr>
          <w:i/>
          <w:iCs/>
          <w:noProof/>
        </w:rPr>
        <w:t>Arch Intern Med</w:t>
      </w:r>
      <w:r w:rsidRPr="00C94E4F">
        <w:rPr>
          <w:noProof/>
        </w:rPr>
        <w:t xml:space="preserve"> 2003;</w:t>
      </w:r>
      <w:r w:rsidRPr="00C94E4F">
        <w:rPr>
          <w:b/>
          <w:bCs/>
          <w:noProof/>
        </w:rPr>
        <w:t>163</w:t>
      </w:r>
      <w:r w:rsidRPr="00C94E4F">
        <w:rPr>
          <w:noProof/>
        </w:rPr>
        <w:t xml:space="preserve">:2534. </w:t>
      </w:r>
    </w:p>
    <w:p w14:paraId="5BBFBCB9"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8. </w:t>
      </w:r>
      <w:r w:rsidRPr="00C94E4F">
        <w:rPr>
          <w:noProof/>
        </w:rPr>
        <w:tab/>
        <w:t xml:space="preserve">Lip GY, Banerjee A, Boriani G, Chiang C en, Fargo R, Freedman B, Lane DA, Ruff CT, Turakhia M, Werring D, Patel S, Moores L. Antithrombotic Therapy for Atrial Fibrillation: CHEST Guideline and Expert Panel Report. </w:t>
      </w:r>
      <w:r w:rsidRPr="00C94E4F">
        <w:rPr>
          <w:i/>
          <w:iCs/>
          <w:noProof/>
        </w:rPr>
        <w:t>Chest</w:t>
      </w:r>
      <w:r w:rsidRPr="00C94E4F">
        <w:rPr>
          <w:noProof/>
        </w:rPr>
        <w:t xml:space="preserve"> 2018;</w:t>
      </w:r>
      <w:r w:rsidRPr="00C94E4F">
        <w:rPr>
          <w:b/>
          <w:bCs/>
          <w:noProof/>
        </w:rPr>
        <w:t>154</w:t>
      </w:r>
      <w:r w:rsidRPr="00C94E4F">
        <w:rPr>
          <w:noProof/>
        </w:rPr>
        <w:t xml:space="preserve">:1121–1201. </w:t>
      </w:r>
    </w:p>
    <w:p w14:paraId="65B7E184"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9. </w:t>
      </w:r>
      <w:r w:rsidRPr="00C94E4F">
        <w:rPr>
          <w:noProof/>
        </w:rPr>
        <w:tab/>
        <w:t xml:space="preserve">Konstantinides S V, Meyer G, Becattini C, Bueno H, Geersing GJ, Harjola VP, Huisman M V, Humbert M, Jennings CS, Jiménez D, Kucher N, Lang IM, Lankeit M, Lorusso R, Mazzolai L, Meneveau N, Ní Áinle F, Prandoni P, Pruszczyk P, Righini M, Torbicki A, Belle E Van, Zamorano JL. 2019 ESC Guidelines for the diagnosis and management of acute pulmonary embolism developed in collaboration with the European Respiratory Society (ERS). </w:t>
      </w:r>
      <w:r w:rsidRPr="00C94E4F">
        <w:rPr>
          <w:i/>
          <w:iCs/>
          <w:noProof/>
        </w:rPr>
        <w:t>Eur Heart J</w:t>
      </w:r>
      <w:r w:rsidRPr="00C94E4F">
        <w:rPr>
          <w:noProof/>
        </w:rPr>
        <w:t xml:space="preserve"> 2019;Epub ahead of print. </w:t>
      </w:r>
    </w:p>
    <w:p w14:paraId="5A537CC3"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10. </w:t>
      </w:r>
      <w:r w:rsidRPr="00C94E4F">
        <w:rPr>
          <w:noProof/>
        </w:rPr>
        <w:tab/>
        <w:t xml:space="preserve">Lip GY, Nieuwlaat R, Pisters R, Lane DA, Crijns HJ. Refining clinical risk stratification for predicting stroke and thromboembolism in atrial fibrillation using a novel risk factor-based approach: the Euro Heart Survey on Atrial Fibrillation. </w:t>
      </w:r>
      <w:r w:rsidRPr="00C94E4F">
        <w:rPr>
          <w:i/>
          <w:iCs/>
          <w:noProof/>
        </w:rPr>
        <w:t>Chest</w:t>
      </w:r>
      <w:r w:rsidRPr="00C94E4F">
        <w:rPr>
          <w:noProof/>
        </w:rPr>
        <w:t xml:space="preserve"> 2010;</w:t>
      </w:r>
      <w:r w:rsidRPr="00C94E4F">
        <w:rPr>
          <w:b/>
          <w:bCs/>
          <w:noProof/>
        </w:rPr>
        <w:t>137</w:t>
      </w:r>
      <w:r w:rsidRPr="00C94E4F">
        <w:rPr>
          <w:noProof/>
        </w:rPr>
        <w:t xml:space="preserve">:263–272. </w:t>
      </w:r>
    </w:p>
    <w:p w14:paraId="4FE62FB0"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11. </w:t>
      </w:r>
      <w:r w:rsidRPr="00C94E4F">
        <w:rPr>
          <w:noProof/>
        </w:rPr>
        <w:tab/>
        <w:t xml:space="preserve">Kirchhof P, Benussi S, Kotecha D, Ahlsson A, Atar D, Casadei B, Castella M, Diener H-C, Heidbuchel H, Hendriks J, Hindricks G, Manolis AS, Oldgren J, Popescu BA, Schotten U, </w:t>
      </w:r>
      <w:r w:rsidRPr="00C94E4F">
        <w:rPr>
          <w:noProof/>
        </w:rPr>
        <w:lastRenderedPageBreak/>
        <w:t xml:space="preserve">Putte B Van, Vardas P, Agewall S, Camm J, Baron Esquivias G, Budts W, Carerj S, Casselman F, Coca A, Caterina R De, Deftereos S, Dobrev D, Ferro JM, Filippatos G, Fitzsimons D, et al. 2016 ESC Guidelines for the management of atrial fibrillation developed in collaboration with EACTS. </w:t>
      </w:r>
      <w:r w:rsidRPr="00C94E4F">
        <w:rPr>
          <w:i/>
          <w:iCs/>
          <w:noProof/>
        </w:rPr>
        <w:t>Eur Heart J</w:t>
      </w:r>
      <w:r w:rsidRPr="00C94E4F">
        <w:rPr>
          <w:noProof/>
        </w:rPr>
        <w:t xml:space="preserve"> 2016;</w:t>
      </w:r>
      <w:r w:rsidRPr="00C94E4F">
        <w:rPr>
          <w:b/>
          <w:bCs/>
          <w:noProof/>
        </w:rPr>
        <w:t>37</w:t>
      </w:r>
      <w:r w:rsidRPr="00C94E4F">
        <w:rPr>
          <w:noProof/>
        </w:rPr>
        <w:t xml:space="preserve">:2893–2962. </w:t>
      </w:r>
    </w:p>
    <w:p w14:paraId="4CC04D86"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12. </w:t>
      </w:r>
      <w:r w:rsidRPr="00C94E4F">
        <w:rPr>
          <w:noProof/>
        </w:rPr>
        <w:tab/>
        <w:t xml:space="preserve">January CT, Wann LS, Calkins H, Chen LY, Cigarroa JE, Cleveland JC, Ellinor PT, Ezekowitz MD, Field ME, Furie KL, Heidenreich PA, Murray KT, Shea JB, Tracy CM, Yancy CW. 2019 AHA/ACC/HRS focused update of the 2014 AHA/ACC/HRS guideline for the management of patients with atrial fibrillation. </w:t>
      </w:r>
      <w:r w:rsidRPr="00C94E4F">
        <w:rPr>
          <w:i/>
          <w:iCs/>
          <w:noProof/>
        </w:rPr>
        <w:t>J Am Coll Cardiol</w:t>
      </w:r>
      <w:r w:rsidRPr="00C94E4F">
        <w:rPr>
          <w:noProof/>
        </w:rPr>
        <w:t xml:space="preserve"> 2019;</w:t>
      </w:r>
      <w:r w:rsidRPr="00C94E4F">
        <w:rPr>
          <w:b/>
          <w:bCs/>
          <w:noProof/>
        </w:rPr>
        <w:t>74</w:t>
      </w:r>
      <w:r w:rsidRPr="00C94E4F">
        <w:rPr>
          <w:noProof/>
        </w:rPr>
        <w:t xml:space="preserve">:104–132. </w:t>
      </w:r>
    </w:p>
    <w:p w14:paraId="086AFEAD"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13. </w:t>
      </w:r>
      <w:r w:rsidRPr="00C94E4F">
        <w:rPr>
          <w:noProof/>
        </w:rPr>
        <w:tab/>
        <w:t xml:space="preserve">Rasmussen LH, Larsen TB, Due KM, Tjønneland A, Overvad K, Lip GYH. Impact of vascular disease in predicting stroke and death in patients with atrial fibrillation: the Danish Diet, Cancer and Health cohort study. </w:t>
      </w:r>
      <w:r w:rsidRPr="00C94E4F">
        <w:rPr>
          <w:i/>
          <w:iCs/>
          <w:noProof/>
        </w:rPr>
        <w:t>J Thromb Haemost</w:t>
      </w:r>
      <w:r w:rsidRPr="00C94E4F">
        <w:rPr>
          <w:noProof/>
        </w:rPr>
        <w:t xml:space="preserve"> 2011;</w:t>
      </w:r>
      <w:r w:rsidRPr="00C94E4F">
        <w:rPr>
          <w:b/>
          <w:bCs/>
          <w:noProof/>
        </w:rPr>
        <w:t>9</w:t>
      </w:r>
      <w:r w:rsidRPr="00C94E4F">
        <w:rPr>
          <w:noProof/>
        </w:rPr>
        <w:t xml:space="preserve">:1301–1307. </w:t>
      </w:r>
    </w:p>
    <w:p w14:paraId="0BB8E308"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14. </w:t>
      </w:r>
      <w:r w:rsidRPr="00C94E4F">
        <w:rPr>
          <w:noProof/>
        </w:rPr>
        <w:tab/>
        <w:t xml:space="preserve">Schmidt M, Pedersen L, Sørensen HT. The Danish Civil Registration System as a tool in epidemiology. </w:t>
      </w:r>
      <w:r w:rsidRPr="00C94E4F">
        <w:rPr>
          <w:i/>
          <w:iCs/>
          <w:noProof/>
        </w:rPr>
        <w:t>Eur J Epidemiol</w:t>
      </w:r>
      <w:r w:rsidRPr="00C94E4F">
        <w:rPr>
          <w:noProof/>
        </w:rPr>
        <w:t xml:space="preserve"> 2014;</w:t>
      </w:r>
      <w:r w:rsidRPr="00C94E4F">
        <w:rPr>
          <w:b/>
          <w:bCs/>
          <w:noProof/>
        </w:rPr>
        <w:t>29</w:t>
      </w:r>
      <w:r w:rsidRPr="00C94E4F">
        <w:rPr>
          <w:noProof/>
        </w:rPr>
        <w:t xml:space="preserve">:541–549. </w:t>
      </w:r>
    </w:p>
    <w:p w14:paraId="4EEA5584"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15. </w:t>
      </w:r>
      <w:r w:rsidRPr="00C94E4F">
        <w:rPr>
          <w:noProof/>
        </w:rPr>
        <w:tab/>
        <w:t xml:space="preserve">Pedersen CB. The Danish Civil Registration System. </w:t>
      </w:r>
      <w:r w:rsidRPr="00C94E4F">
        <w:rPr>
          <w:i/>
          <w:iCs/>
          <w:noProof/>
        </w:rPr>
        <w:t>Scand J Public Health</w:t>
      </w:r>
      <w:r w:rsidRPr="00C94E4F">
        <w:rPr>
          <w:noProof/>
        </w:rPr>
        <w:t xml:space="preserve"> 2011;</w:t>
      </w:r>
      <w:r w:rsidRPr="00C94E4F">
        <w:rPr>
          <w:b/>
          <w:bCs/>
          <w:noProof/>
        </w:rPr>
        <w:t>39</w:t>
      </w:r>
      <w:r w:rsidRPr="00C94E4F">
        <w:rPr>
          <w:noProof/>
        </w:rPr>
        <w:t xml:space="preserve">:22–25. </w:t>
      </w:r>
    </w:p>
    <w:p w14:paraId="0EDF77DB"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16. </w:t>
      </w:r>
      <w:r w:rsidRPr="00C94E4F">
        <w:rPr>
          <w:noProof/>
        </w:rPr>
        <w:tab/>
        <w:t xml:space="preserve">Lynge E, Sandegaard JL, Rebolj M. The Danish National Patient Register. </w:t>
      </w:r>
      <w:r w:rsidRPr="00C94E4F">
        <w:rPr>
          <w:i/>
          <w:iCs/>
          <w:noProof/>
        </w:rPr>
        <w:t>Scand J Public Health</w:t>
      </w:r>
      <w:r w:rsidRPr="00C94E4F">
        <w:rPr>
          <w:noProof/>
        </w:rPr>
        <w:t xml:space="preserve"> 2011;</w:t>
      </w:r>
      <w:r w:rsidRPr="00C94E4F">
        <w:rPr>
          <w:b/>
          <w:bCs/>
          <w:noProof/>
        </w:rPr>
        <w:t>39</w:t>
      </w:r>
      <w:r w:rsidRPr="00C94E4F">
        <w:rPr>
          <w:noProof/>
        </w:rPr>
        <w:t xml:space="preserve">:30–33. </w:t>
      </w:r>
    </w:p>
    <w:p w14:paraId="2E05CA4D"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17. </w:t>
      </w:r>
      <w:r w:rsidRPr="00C94E4F">
        <w:rPr>
          <w:noProof/>
        </w:rPr>
        <w:tab/>
        <w:t xml:space="preserve">Kildemoes HW, Sørensen HT, Hallas J. The Danish National Prescription Registry. </w:t>
      </w:r>
      <w:r w:rsidRPr="00C94E4F">
        <w:rPr>
          <w:i/>
          <w:iCs/>
          <w:noProof/>
        </w:rPr>
        <w:t>Scand J Public Health</w:t>
      </w:r>
      <w:r w:rsidRPr="00C94E4F">
        <w:rPr>
          <w:noProof/>
        </w:rPr>
        <w:t xml:space="preserve"> 2011;</w:t>
      </w:r>
      <w:r w:rsidRPr="00C94E4F">
        <w:rPr>
          <w:b/>
          <w:bCs/>
          <w:noProof/>
        </w:rPr>
        <w:t>39</w:t>
      </w:r>
      <w:r w:rsidRPr="00C94E4F">
        <w:rPr>
          <w:noProof/>
        </w:rPr>
        <w:t xml:space="preserve">:38–41. </w:t>
      </w:r>
    </w:p>
    <w:p w14:paraId="2F2EB93A"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18. </w:t>
      </w:r>
      <w:r w:rsidRPr="00C94E4F">
        <w:rPr>
          <w:noProof/>
        </w:rPr>
        <w:tab/>
        <w:t xml:space="preserve">Sundbøll J, Adelborg K, Munch T, Frøslev T, Toft Sørensen H, Erik Bøtker H, Schmidt M. Positive predictive value of cardiovascular diagnoses in the Danish National Patient Registry: a validation study. </w:t>
      </w:r>
      <w:r w:rsidRPr="00C94E4F">
        <w:rPr>
          <w:i/>
          <w:iCs/>
          <w:noProof/>
        </w:rPr>
        <w:t>BMJ Open</w:t>
      </w:r>
      <w:r w:rsidRPr="00C94E4F">
        <w:rPr>
          <w:noProof/>
        </w:rPr>
        <w:t xml:space="preserve"> 2016;</w:t>
      </w:r>
      <w:r w:rsidRPr="00C94E4F">
        <w:rPr>
          <w:b/>
          <w:bCs/>
          <w:noProof/>
        </w:rPr>
        <w:t>6</w:t>
      </w:r>
      <w:r w:rsidRPr="00C94E4F">
        <w:rPr>
          <w:noProof/>
        </w:rPr>
        <w:t xml:space="preserve">. </w:t>
      </w:r>
    </w:p>
    <w:p w14:paraId="2E84A3F6"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19. </w:t>
      </w:r>
      <w:r w:rsidRPr="00C94E4F">
        <w:rPr>
          <w:noProof/>
        </w:rPr>
        <w:tab/>
        <w:t xml:space="preserve">Albertsen IE, Nielsen PB, Søgaard M, Goldhaber SZ, Overvad TF, Rasmussen LH, Larsen TB. Risk of recurrent venous thromboembolism: a Danish nationwide cohort study. </w:t>
      </w:r>
      <w:r w:rsidRPr="00C94E4F">
        <w:rPr>
          <w:i/>
          <w:iCs/>
          <w:noProof/>
        </w:rPr>
        <w:t>Am J Med</w:t>
      </w:r>
      <w:r w:rsidRPr="00C94E4F">
        <w:rPr>
          <w:noProof/>
        </w:rPr>
        <w:t xml:space="preserve"> 2018;</w:t>
      </w:r>
      <w:r w:rsidRPr="00C94E4F">
        <w:rPr>
          <w:b/>
          <w:bCs/>
          <w:noProof/>
        </w:rPr>
        <w:t>131</w:t>
      </w:r>
      <w:r w:rsidRPr="00C94E4F">
        <w:rPr>
          <w:noProof/>
        </w:rPr>
        <w:t xml:space="preserve">:1067–1074. </w:t>
      </w:r>
    </w:p>
    <w:p w14:paraId="3192EF8E"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20. </w:t>
      </w:r>
      <w:r w:rsidRPr="00C94E4F">
        <w:rPr>
          <w:noProof/>
        </w:rPr>
        <w:tab/>
        <w:t xml:space="preserve">Lühdorf P, Overvad K, Schmidt EB, Johnsen SP, Bach FW. Predictive value of stroke discharge diagnoses in the Danish National Patient Register. </w:t>
      </w:r>
      <w:r w:rsidRPr="00C94E4F">
        <w:rPr>
          <w:i/>
          <w:iCs/>
          <w:noProof/>
        </w:rPr>
        <w:t>Scand J Public Health</w:t>
      </w:r>
      <w:r w:rsidRPr="00C94E4F">
        <w:rPr>
          <w:noProof/>
        </w:rPr>
        <w:t xml:space="preserve"> 2017;</w:t>
      </w:r>
      <w:r w:rsidRPr="00C94E4F">
        <w:rPr>
          <w:b/>
          <w:bCs/>
          <w:noProof/>
        </w:rPr>
        <w:t>45</w:t>
      </w:r>
      <w:r w:rsidRPr="00C94E4F">
        <w:rPr>
          <w:noProof/>
        </w:rPr>
        <w:t xml:space="preserve">:630–636. </w:t>
      </w:r>
    </w:p>
    <w:p w14:paraId="6CFCF698"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21. </w:t>
      </w:r>
      <w:r w:rsidRPr="00C94E4F">
        <w:rPr>
          <w:noProof/>
        </w:rPr>
        <w:tab/>
        <w:t xml:space="preserve">Krarup LH, Boysen G, Janjua H, Prescott E, Truelsen T. Validity of stroke diagnoses in a national register of patients. </w:t>
      </w:r>
      <w:r w:rsidRPr="00C94E4F">
        <w:rPr>
          <w:i/>
          <w:iCs/>
          <w:noProof/>
        </w:rPr>
        <w:t>Neuroepidemiology</w:t>
      </w:r>
      <w:r w:rsidRPr="00C94E4F">
        <w:rPr>
          <w:noProof/>
        </w:rPr>
        <w:t xml:space="preserve"> 2007;</w:t>
      </w:r>
      <w:r w:rsidRPr="00C94E4F">
        <w:rPr>
          <w:b/>
          <w:bCs/>
          <w:noProof/>
        </w:rPr>
        <w:t>28</w:t>
      </w:r>
      <w:r w:rsidRPr="00C94E4F">
        <w:rPr>
          <w:noProof/>
        </w:rPr>
        <w:t xml:space="preserve">:150–154. </w:t>
      </w:r>
    </w:p>
    <w:p w14:paraId="3F8D2785"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22. </w:t>
      </w:r>
      <w:r w:rsidRPr="00C94E4F">
        <w:rPr>
          <w:noProof/>
        </w:rPr>
        <w:tab/>
        <w:t xml:space="preserve">Ylijoki-Sørensen S, Boldsen JL, Lalu K, Sajantila A, Baandrup U, Boel LWT, Ehlers LH, Bøggild H. Cost–consequence analysis of cause of death investigation in Finland and in Denmark. </w:t>
      </w:r>
      <w:r w:rsidRPr="00C94E4F">
        <w:rPr>
          <w:i/>
          <w:iCs/>
          <w:noProof/>
        </w:rPr>
        <w:t>Forensic Sci Int</w:t>
      </w:r>
      <w:r w:rsidRPr="00C94E4F">
        <w:rPr>
          <w:noProof/>
        </w:rPr>
        <w:t xml:space="preserve"> 2014;</w:t>
      </w:r>
      <w:r w:rsidRPr="00C94E4F">
        <w:rPr>
          <w:b/>
          <w:bCs/>
          <w:noProof/>
        </w:rPr>
        <w:t>245</w:t>
      </w:r>
      <w:r w:rsidRPr="00C94E4F">
        <w:rPr>
          <w:noProof/>
        </w:rPr>
        <w:t xml:space="preserve">:133–142. </w:t>
      </w:r>
    </w:p>
    <w:p w14:paraId="2531EE5D"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lastRenderedPageBreak/>
        <w:t xml:space="preserve">23. </w:t>
      </w:r>
      <w:r w:rsidRPr="00C94E4F">
        <w:rPr>
          <w:noProof/>
        </w:rPr>
        <w:tab/>
        <w:t xml:space="preserve">Coviello V, Boggess M. Cumulative incidence estimation in the presence of competing risks. </w:t>
      </w:r>
      <w:r w:rsidRPr="00C94E4F">
        <w:rPr>
          <w:i/>
          <w:iCs/>
          <w:noProof/>
        </w:rPr>
        <w:t>Stata J</w:t>
      </w:r>
      <w:r w:rsidRPr="00C94E4F">
        <w:rPr>
          <w:noProof/>
        </w:rPr>
        <w:t xml:space="preserve"> 2004;</w:t>
      </w:r>
      <w:r w:rsidRPr="00C94E4F">
        <w:rPr>
          <w:b/>
          <w:bCs/>
          <w:noProof/>
        </w:rPr>
        <w:t>4</w:t>
      </w:r>
      <w:r w:rsidRPr="00C94E4F">
        <w:rPr>
          <w:noProof/>
        </w:rPr>
        <w:t xml:space="preserve">:103–112. </w:t>
      </w:r>
    </w:p>
    <w:p w14:paraId="07921F7C"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24. </w:t>
      </w:r>
      <w:r w:rsidRPr="00C94E4F">
        <w:rPr>
          <w:noProof/>
        </w:rPr>
        <w:tab/>
        <w:t xml:space="preserve">Nielsen PB, Larsen TB, Skjøth F, Overvad TF, Lip GY. Stroke and thromboembolic event rates in atrial fibrillation according to different guideline treatment thresholds: A nationwide cohort study. </w:t>
      </w:r>
      <w:r w:rsidRPr="00C94E4F">
        <w:rPr>
          <w:i/>
          <w:iCs/>
          <w:noProof/>
        </w:rPr>
        <w:t>Sci Rep</w:t>
      </w:r>
      <w:r w:rsidRPr="00C94E4F">
        <w:rPr>
          <w:noProof/>
        </w:rPr>
        <w:t xml:space="preserve"> 2016;</w:t>
      </w:r>
      <w:r w:rsidRPr="00C94E4F">
        <w:rPr>
          <w:b/>
          <w:bCs/>
          <w:noProof/>
        </w:rPr>
        <w:t>6</w:t>
      </w:r>
      <w:r w:rsidRPr="00C94E4F">
        <w:rPr>
          <w:noProof/>
        </w:rPr>
        <w:t xml:space="preserve">:27410. </w:t>
      </w:r>
    </w:p>
    <w:p w14:paraId="0BCE8648"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25. </w:t>
      </w:r>
      <w:r w:rsidRPr="00C94E4F">
        <w:rPr>
          <w:noProof/>
        </w:rPr>
        <w:tab/>
        <w:t xml:space="preserve">Killu AM, Granger CB, Gersh BJ. Risk stratification for stroke in atrial fibrillation: a critique. </w:t>
      </w:r>
      <w:r w:rsidRPr="00C94E4F">
        <w:rPr>
          <w:i/>
          <w:iCs/>
          <w:noProof/>
        </w:rPr>
        <w:t>Eur Heart J</w:t>
      </w:r>
      <w:r w:rsidRPr="00C94E4F">
        <w:rPr>
          <w:noProof/>
        </w:rPr>
        <w:t xml:space="preserve"> 2019;</w:t>
      </w:r>
      <w:r w:rsidRPr="00C94E4F">
        <w:rPr>
          <w:b/>
          <w:bCs/>
          <w:noProof/>
        </w:rPr>
        <w:t>40</w:t>
      </w:r>
      <w:r w:rsidRPr="00C94E4F">
        <w:rPr>
          <w:noProof/>
        </w:rPr>
        <w:t xml:space="preserve">:1294–1302. </w:t>
      </w:r>
    </w:p>
    <w:p w14:paraId="0D022E68"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26. </w:t>
      </w:r>
      <w:r w:rsidRPr="00C94E4F">
        <w:rPr>
          <w:noProof/>
        </w:rPr>
        <w:tab/>
        <w:t xml:space="preserve">Lip GY, Freedman B, Caterina R De, Potpara TS. Stroke prevention in atrial fibrillation: Past, present and future. </w:t>
      </w:r>
      <w:r w:rsidRPr="00C94E4F">
        <w:rPr>
          <w:i/>
          <w:iCs/>
          <w:noProof/>
        </w:rPr>
        <w:t>Thromb Haemost</w:t>
      </w:r>
      <w:r w:rsidRPr="00C94E4F">
        <w:rPr>
          <w:noProof/>
        </w:rPr>
        <w:t xml:space="preserve"> 2017;</w:t>
      </w:r>
      <w:r w:rsidRPr="00C94E4F">
        <w:rPr>
          <w:b/>
          <w:bCs/>
          <w:noProof/>
        </w:rPr>
        <w:t>117</w:t>
      </w:r>
      <w:r w:rsidRPr="00C94E4F">
        <w:rPr>
          <w:noProof/>
        </w:rPr>
        <w:t xml:space="preserve">:1230–1239. </w:t>
      </w:r>
    </w:p>
    <w:p w14:paraId="27BB12BD"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27. </w:t>
      </w:r>
      <w:r w:rsidRPr="00C94E4F">
        <w:rPr>
          <w:noProof/>
        </w:rPr>
        <w:tab/>
        <w:t xml:space="preserve">Mahmoodi BK, Cushman M, Næss IA, Allison MA, Bos WJ, Brækkan SK, Cannegieter SC, Gansevoort RT, Gona PN, Hammerstrøm J, Hansen JB, Heckbert S, Holst AG, Lakoski SG, Lutsey PL, Manson JAE, Martin LW, Matsushita K, Meijer K, Overvad K, Prescott E, Puurunen M, Rossouw JE, Sang Y, Severinsen MT, Berg J Ten, Folsom AR, Zakai NA. Association of traditional cardiovascular risk factors with venous thromboembolism. </w:t>
      </w:r>
      <w:r w:rsidRPr="00C94E4F">
        <w:rPr>
          <w:i/>
          <w:iCs/>
          <w:noProof/>
        </w:rPr>
        <w:t>Circulation</w:t>
      </w:r>
      <w:r w:rsidRPr="00C94E4F">
        <w:rPr>
          <w:noProof/>
        </w:rPr>
        <w:t xml:space="preserve"> 2017;</w:t>
      </w:r>
      <w:r w:rsidRPr="00C94E4F">
        <w:rPr>
          <w:b/>
          <w:bCs/>
          <w:noProof/>
        </w:rPr>
        <w:t>135</w:t>
      </w:r>
      <w:r w:rsidRPr="00C94E4F">
        <w:rPr>
          <w:noProof/>
        </w:rPr>
        <w:t xml:space="preserve">:7–16. </w:t>
      </w:r>
    </w:p>
    <w:p w14:paraId="4ECAB706"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28. </w:t>
      </w:r>
      <w:r w:rsidRPr="00C94E4F">
        <w:rPr>
          <w:noProof/>
        </w:rPr>
        <w:tab/>
        <w:t xml:space="preserve">Witt DM, Nieuwlaat R, Clark NP, Ansell J, Holbrook A, Skov J, Shehab N, Mock J, Myers T, Dentali F, Crowther MA, Agarwal A, Bhatt M, Khatib R, Riva JJ, Zhang Y, Guyatt G. American Society of Hematology 2018 guidelines for management of venous thromboembolism: optimal management of anticoagulation therapy. </w:t>
      </w:r>
      <w:r w:rsidRPr="00C94E4F">
        <w:rPr>
          <w:i/>
          <w:iCs/>
          <w:noProof/>
        </w:rPr>
        <w:t>Blood Adv</w:t>
      </w:r>
      <w:r w:rsidRPr="00C94E4F">
        <w:rPr>
          <w:noProof/>
        </w:rPr>
        <w:t xml:space="preserve"> 2018;</w:t>
      </w:r>
      <w:r w:rsidRPr="00C94E4F">
        <w:rPr>
          <w:b/>
          <w:bCs/>
          <w:noProof/>
        </w:rPr>
        <w:t>2</w:t>
      </w:r>
      <w:r w:rsidRPr="00C94E4F">
        <w:rPr>
          <w:noProof/>
        </w:rPr>
        <w:t xml:space="preserve">:3257–3291. </w:t>
      </w:r>
    </w:p>
    <w:p w14:paraId="51DC3D44"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29. </w:t>
      </w:r>
      <w:r w:rsidRPr="00C94E4F">
        <w:rPr>
          <w:noProof/>
        </w:rPr>
        <w:tab/>
        <w:t xml:space="preserve">Lutsey PL, Norby FL, Zakai NA, MacLehose RF, Chen LY, Shah S, Datta YH, Alonso A. Oral anticoagulation therapy and subsequent risk of venous thromboembolism in atrial fibrillation patients. </w:t>
      </w:r>
      <w:r w:rsidRPr="00C94E4F">
        <w:rPr>
          <w:i/>
          <w:iCs/>
          <w:noProof/>
        </w:rPr>
        <w:t>Curr Med Res Opin</w:t>
      </w:r>
      <w:r w:rsidRPr="00C94E4F">
        <w:rPr>
          <w:noProof/>
        </w:rPr>
        <w:t xml:space="preserve"> 2019;</w:t>
      </w:r>
      <w:r w:rsidRPr="00C94E4F">
        <w:rPr>
          <w:b/>
          <w:bCs/>
          <w:noProof/>
        </w:rPr>
        <w:t>35</w:t>
      </w:r>
      <w:r w:rsidRPr="00C94E4F">
        <w:rPr>
          <w:noProof/>
        </w:rPr>
        <w:t xml:space="preserve">:837–845. </w:t>
      </w:r>
    </w:p>
    <w:p w14:paraId="09273C9D"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30. </w:t>
      </w:r>
      <w:r w:rsidRPr="00C94E4F">
        <w:rPr>
          <w:noProof/>
        </w:rPr>
        <w:tab/>
        <w:t xml:space="preserve">Ozer O, Sari I, Davutoglu V. Right atrial appendage: Forgotten part of the heart in atrial fibrillation. </w:t>
      </w:r>
      <w:r w:rsidRPr="00C94E4F">
        <w:rPr>
          <w:i/>
          <w:iCs/>
          <w:noProof/>
        </w:rPr>
        <w:t>Clin Appl Thromb</w:t>
      </w:r>
      <w:r w:rsidRPr="00C94E4F">
        <w:rPr>
          <w:noProof/>
        </w:rPr>
        <w:t xml:space="preserve"> 2010;</w:t>
      </w:r>
      <w:r w:rsidRPr="00C94E4F">
        <w:rPr>
          <w:b/>
          <w:bCs/>
          <w:noProof/>
        </w:rPr>
        <w:t>16</w:t>
      </w:r>
      <w:r w:rsidRPr="00C94E4F">
        <w:rPr>
          <w:noProof/>
        </w:rPr>
        <w:t xml:space="preserve">:218–220. </w:t>
      </w:r>
    </w:p>
    <w:p w14:paraId="414CFD85"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31. </w:t>
      </w:r>
      <w:r w:rsidRPr="00C94E4F">
        <w:rPr>
          <w:noProof/>
        </w:rPr>
        <w:tab/>
        <w:t xml:space="preserve">Sorensen HT, Horvath-Puho E, Lash TL, Christiansen CF, Pesavento R, Pedersen L, Baron JA, Prandoni P. Heart disease may be a risk factor for pulmonary embolism without peripheral deep venous thrombosis. </w:t>
      </w:r>
      <w:r w:rsidRPr="00C94E4F">
        <w:rPr>
          <w:i/>
          <w:iCs/>
          <w:noProof/>
        </w:rPr>
        <w:t>Circulation</w:t>
      </w:r>
      <w:r w:rsidRPr="00C94E4F">
        <w:rPr>
          <w:noProof/>
        </w:rPr>
        <w:t xml:space="preserve"> 2011;</w:t>
      </w:r>
      <w:r w:rsidRPr="00C94E4F">
        <w:rPr>
          <w:b/>
          <w:bCs/>
          <w:noProof/>
        </w:rPr>
        <w:t>124</w:t>
      </w:r>
      <w:r w:rsidRPr="00C94E4F">
        <w:rPr>
          <w:noProof/>
        </w:rPr>
        <w:t xml:space="preserve">:1435–1441. </w:t>
      </w:r>
    </w:p>
    <w:p w14:paraId="41A6B0C8"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32. </w:t>
      </w:r>
      <w:r w:rsidRPr="00C94E4F">
        <w:rPr>
          <w:noProof/>
        </w:rPr>
        <w:tab/>
        <w:t xml:space="preserve">Morella P, Sacco M, Carafa M, Ferro G, Curcio F, Gargiulo G, Testa G, Liguori I, Russo G, Cacciatore F, Tocchetti CG, Bonaduce D, Abete P. Permanent atrial fibrillation and pulmonary embolism in elderly patients without deep vein thrombosis: is there a relationship? </w:t>
      </w:r>
      <w:r w:rsidRPr="00C94E4F">
        <w:rPr>
          <w:i/>
          <w:iCs/>
          <w:noProof/>
        </w:rPr>
        <w:t>Aging Clin Exp Res</w:t>
      </w:r>
      <w:r w:rsidRPr="00C94E4F">
        <w:rPr>
          <w:noProof/>
        </w:rPr>
        <w:t xml:space="preserve"> 2019;</w:t>
      </w:r>
      <w:r w:rsidRPr="00C94E4F">
        <w:rPr>
          <w:b/>
          <w:bCs/>
          <w:noProof/>
        </w:rPr>
        <w:t>31</w:t>
      </w:r>
      <w:r w:rsidRPr="00C94E4F">
        <w:rPr>
          <w:noProof/>
        </w:rPr>
        <w:t xml:space="preserve">:1121–1128. </w:t>
      </w:r>
    </w:p>
    <w:p w14:paraId="32D8BDDA"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lastRenderedPageBreak/>
        <w:t xml:space="preserve">33. </w:t>
      </w:r>
      <w:r w:rsidRPr="00C94E4F">
        <w:rPr>
          <w:noProof/>
        </w:rPr>
        <w:tab/>
        <w:t xml:space="preserve">Wang CC, Lin CL, Wang GJ, Chang CT, Sung FC, Kao CH. Atrial fibrillation associated with increased risk of venous thromboembolism: a population-based cohort study. </w:t>
      </w:r>
      <w:r w:rsidRPr="00C94E4F">
        <w:rPr>
          <w:i/>
          <w:iCs/>
          <w:noProof/>
        </w:rPr>
        <w:t>Thromb Haemost</w:t>
      </w:r>
      <w:r w:rsidRPr="00C94E4F">
        <w:rPr>
          <w:noProof/>
        </w:rPr>
        <w:t xml:space="preserve"> 2015;</w:t>
      </w:r>
      <w:r w:rsidRPr="00C94E4F">
        <w:rPr>
          <w:b/>
          <w:bCs/>
          <w:noProof/>
        </w:rPr>
        <w:t>113</w:t>
      </w:r>
      <w:r w:rsidRPr="00C94E4F">
        <w:rPr>
          <w:noProof/>
        </w:rPr>
        <w:t xml:space="preserve">:185–192. </w:t>
      </w:r>
    </w:p>
    <w:p w14:paraId="3FF81BD4"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34. </w:t>
      </w:r>
      <w:r w:rsidRPr="00C94E4F">
        <w:rPr>
          <w:noProof/>
        </w:rPr>
        <w:tab/>
        <w:t xml:space="preserve">Enga KF, Rye-Holmboe I, Hald EM, Løchen M-L, Mathiesen EB, Njølstad I, Wilsgaard T, Braekkan SK, Hansen J-B. Atrial fibrillation and future risk of venous thromboembolism:the Tromsø study. </w:t>
      </w:r>
      <w:r w:rsidRPr="00C94E4F">
        <w:rPr>
          <w:i/>
          <w:iCs/>
          <w:noProof/>
        </w:rPr>
        <w:t>J Thromb Haemost</w:t>
      </w:r>
      <w:r w:rsidRPr="00C94E4F">
        <w:rPr>
          <w:noProof/>
        </w:rPr>
        <w:t xml:space="preserve"> 2015;</w:t>
      </w:r>
      <w:r w:rsidRPr="00C94E4F">
        <w:rPr>
          <w:b/>
          <w:bCs/>
          <w:noProof/>
        </w:rPr>
        <w:t>13</w:t>
      </w:r>
      <w:r w:rsidRPr="00C94E4F">
        <w:rPr>
          <w:noProof/>
        </w:rPr>
        <w:t xml:space="preserve">:10–16. </w:t>
      </w:r>
    </w:p>
    <w:p w14:paraId="2C50605E"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35. </w:t>
      </w:r>
      <w:r w:rsidRPr="00C94E4F">
        <w:rPr>
          <w:noProof/>
        </w:rPr>
        <w:tab/>
        <w:t xml:space="preserve">Eckman MH, Singer DE, Rosand J, Greenberg SM. Moving the tipping point: the decision to anticoagulate patients with atrial fibrillation. </w:t>
      </w:r>
      <w:r w:rsidRPr="00C94E4F">
        <w:rPr>
          <w:i/>
          <w:iCs/>
          <w:noProof/>
        </w:rPr>
        <w:t>Circ Cardiovasc Qual Outcomes</w:t>
      </w:r>
      <w:r w:rsidRPr="00C94E4F">
        <w:rPr>
          <w:noProof/>
        </w:rPr>
        <w:t xml:space="preserve"> 2011;</w:t>
      </w:r>
      <w:r w:rsidRPr="00C94E4F">
        <w:rPr>
          <w:b/>
          <w:bCs/>
          <w:noProof/>
        </w:rPr>
        <w:t>4</w:t>
      </w:r>
      <w:r w:rsidRPr="00C94E4F">
        <w:rPr>
          <w:noProof/>
        </w:rPr>
        <w:t xml:space="preserve">:14–21. </w:t>
      </w:r>
    </w:p>
    <w:p w14:paraId="228DD383"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36. </w:t>
      </w:r>
      <w:r w:rsidRPr="00C94E4F">
        <w:rPr>
          <w:noProof/>
        </w:rPr>
        <w:tab/>
        <w:t>Overvad TF, Nielsen PB, Lip GYH. Treatment thresholds for stroke prevention in atrial fibrillation: observations on the CHA</w:t>
      </w:r>
      <w:r w:rsidRPr="00C94E4F">
        <w:rPr>
          <w:noProof/>
          <w:vertAlign w:val="subscript"/>
        </w:rPr>
        <w:t>2</w:t>
      </w:r>
      <w:r w:rsidRPr="00C94E4F">
        <w:rPr>
          <w:noProof/>
        </w:rPr>
        <w:t>DS</w:t>
      </w:r>
      <w:r w:rsidRPr="00C94E4F">
        <w:rPr>
          <w:noProof/>
          <w:vertAlign w:val="subscript"/>
        </w:rPr>
        <w:t>2</w:t>
      </w:r>
      <w:r w:rsidRPr="00C94E4F">
        <w:rPr>
          <w:noProof/>
        </w:rPr>
        <w:t xml:space="preserve">-VASc score. </w:t>
      </w:r>
      <w:r w:rsidRPr="00C94E4F">
        <w:rPr>
          <w:i/>
          <w:iCs/>
          <w:noProof/>
        </w:rPr>
        <w:t>Eur Heart J - Cardiovasc Pharmacother</w:t>
      </w:r>
      <w:r w:rsidRPr="00C94E4F">
        <w:rPr>
          <w:noProof/>
        </w:rPr>
        <w:t xml:space="preserve"> 2017;</w:t>
      </w:r>
      <w:r w:rsidRPr="00C94E4F">
        <w:rPr>
          <w:b/>
          <w:bCs/>
          <w:noProof/>
        </w:rPr>
        <w:t>3</w:t>
      </w:r>
      <w:r w:rsidRPr="00C94E4F">
        <w:rPr>
          <w:noProof/>
        </w:rPr>
        <w:t xml:space="preserve">:37–41. </w:t>
      </w:r>
    </w:p>
    <w:p w14:paraId="35F80881"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37. </w:t>
      </w:r>
      <w:r w:rsidRPr="00C94E4F">
        <w:rPr>
          <w:noProof/>
        </w:rPr>
        <w:tab/>
        <w:t xml:space="preserve">Rix TA, Riahi S, Overvad K, Lundbye-Christensen S, Schmidt EB, Joensen AM. Validity of the diagnoses atrial fibrillation and atrial flutter in a Danish patient registry. </w:t>
      </w:r>
      <w:r w:rsidRPr="00C94E4F">
        <w:rPr>
          <w:i/>
          <w:iCs/>
          <w:noProof/>
        </w:rPr>
        <w:t>Scand Cardiovasc J</w:t>
      </w:r>
      <w:r w:rsidRPr="00C94E4F">
        <w:rPr>
          <w:noProof/>
        </w:rPr>
        <w:t xml:space="preserve"> 2012;</w:t>
      </w:r>
      <w:r w:rsidRPr="00C94E4F">
        <w:rPr>
          <w:b/>
          <w:bCs/>
          <w:noProof/>
        </w:rPr>
        <w:t>46</w:t>
      </w:r>
      <w:r w:rsidRPr="00C94E4F">
        <w:rPr>
          <w:noProof/>
        </w:rPr>
        <w:t xml:space="preserve">:149–153. </w:t>
      </w:r>
    </w:p>
    <w:p w14:paraId="076B1462"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38. </w:t>
      </w:r>
      <w:r w:rsidRPr="00C94E4F">
        <w:rPr>
          <w:noProof/>
        </w:rPr>
        <w:tab/>
        <w:t xml:space="preserve">Austin PC, Lee DS, Fine JP. Introduction to the analysis of survival data in the presence of competing risks. </w:t>
      </w:r>
      <w:r w:rsidRPr="00C94E4F">
        <w:rPr>
          <w:i/>
          <w:iCs/>
          <w:noProof/>
        </w:rPr>
        <w:t>Circulation</w:t>
      </w:r>
      <w:r w:rsidRPr="00C94E4F">
        <w:rPr>
          <w:noProof/>
        </w:rPr>
        <w:t xml:space="preserve"> 2016;</w:t>
      </w:r>
      <w:r w:rsidRPr="00C94E4F">
        <w:rPr>
          <w:b/>
          <w:bCs/>
          <w:noProof/>
        </w:rPr>
        <w:t>133</w:t>
      </w:r>
      <w:r w:rsidRPr="00C94E4F">
        <w:rPr>
          <w:noProof/>
        </w:rPr>
        <w:t xml:space="preserve">:601–609. </w:t>
      </w:r>
    </w:p>
    <w:p w14:paraId="31F9AD13"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39. </w:t>
      </w:r>
      <w:r w:rsidRPr="00C94E4F">
        <w:rPr>
          <w:noProof/>
        </w:rPr>
        <w:tab/>
        <w:t xml:space="preserve">Hernan MA, Robins J. Causal Inference. Boca Raton: Chapman &amp; Hall/CRC, forthcoming; 2018. </w:t>
      </w:r>
    </w:p>
    <w:p w14:paraId="52717197" w14:textId="77777777" w:rsidR="00C94E4F" w:rsidRPr="00C94E4F" w:rsidRDefault="00C94E4F" w:rsidP="00C94E4F">
      <w:pPr>
        <w:widowControl w:val="0"/>
        <w:autoSpaceDE w:val="0"/>
        <w:autoSpaceDN w:val="0"/>
        <w:adjustRightInd w:val="0"/>
        <w:spacing w:line="360" w:lineRule="auto"/>
        <w:ind w:left="640" w:hanging="640"/>
        <w:rPr>
          <w:noProof/>
        </w:rPr>
      </w:pPr>
      <w:r w:rsidRPr="00C94E4F">
        <w:rPr>
          <w:noProof/>
        </w:rPr>
        <w:t xml:space="preserve">40. </w:t>
      </w:r>
      <w:r w:rsidRPr="00C94E4F">
        <w:rPr>
          <w:noProof/>
        </w:rPr>
        <w:tab/>
        <w:t xml:space="preserve">Abdel-Qadir H, Fang J, Lee DS, Tu J V, Amir E, Austin PC, Anderson GM. Importance of considering competing risks in time-to-event analyses: Application to stroke risk in a retrospective cohort study of elderly patients with atrial fibrillation. </w:t>
      </w:r>
      <w:r w:rsidRPr="00C94E4F">
        <w:rPr>
          <w:i/>
          <w:iCs/>
          <w:noProof/>
        </w:rPr>
        <w:t>Circ Cardiovasc Qual Outcomes</w:t>
      </w:r>
      <w:r w:rsidRPr="00C94E4F">
        <w:rPr>
          <w:noProof/>
        </w:rPr>
        <w:t xml:space="preserve"> 2018;</w:t>
      </w:r>
      <w:r w:rsidRPr="00C94E4F">
        <w:rPr>
          <w:b/>
          <w:bCs/>
          <w:noProof/>
        </w:rPr>
        <w:t>11</w:t>
      </w:r>
      <w:r w:rsidRPr="00C94E4F">
        <w:rPr>
          <w:noProof/>
        </w:rPr>
        <w:t xml:space="preserve">:e004580. </w:t>
      </w:r>
    </w:p>
    <w:p w14:paraId="338B1346" w14:textId="11EDC456" w:rsidR="00AD07F5" w:rsidRPr="001D3D20" w:rsidRDefault="00C32E07" w:rsidP="00C94E4F">
      <w:pPr>
        <w:widowControl w:val="0"/>
        <w:autoSpaceDE w:val="0"/>
        <w:autoSpaceDN w:val="0"/>
        <w:adjustRightInd w:val="0"/>
        <w:spacing w:line="360" w:lineRule="auto"/>
        <w:ind w:left="640" w:hanging="640"/>
        <w:rPr>
          <w:color w:val="000000"/>
          <w:shd w:val="clear" w:color="auto" w:fill="FFFFFF"/>
          <w:lang w:val="en-US"/>
        </w:rPr>
        <w:sectPr w:rsidR="00AD07F5" w:rsidRPr="001D3D20" w:rsidSect="0079382F">
          <w:pgSz w:w="11900" w:h="16840"/>
          <w:pgMar w:top="1701" w:right="1134" w:bottom="1701" w:left="1134" w:header="708" w:footer="708" w:gutter="0"/>
          <w:cols w:space="708"/>
          <w:docGrid w:linePitch="360"/>
        </w:sectPr>
      </w:pPr>
      <w:r w:rsidRPr="001D3D20">
        <w:rPr>
          <w:color w:val="000000"/>
          <w:shd w:val="clear" w:color="auto" w:fill="FFFFFF"/>
          <w:lang w:val="en-US"/>
        </w:rPr>
        <w:fldChar w:fldCharType="end"/>
      </w:r>
    </w:p>
    <w:p w14:paraId="7C08AF88" w14:textId="676D11FE" w:rsidR="005163C0" w:rsidRPr="001D3D20" w:rsidRDefault="00AD07F5" w:rsidP="00AD16F2">
      <w:pPr>
        <w:widowControl w:val="0"/>
        <w:autoSpaceDE w:val="0"/>
        <w:autoSpaceDN w:val="0"/>
        <w:adjustRightInd w:val="0"/>
        <w:spacing w:line="360" w:lineRule="auto"/>
        <w:ind w:left="640" w:hanging="640"/>
        <w:rPr>
          <w:b/>
          <w:bCs/>
          <w:color w:val="000000"/>
          <w:shd w:val="clear" w:color="auto" w:fill="FFFFFF"/>
          <w:lang w:val="en-US"/>
        </w:rPr>
      </w:pPr>
      <w:r w:rsidRPr="001D3D20">
        <w:rPr>
          <w:b/>
          <w:bCs/>
          <w:color w:val="000000"/>
          <w:shd w:val="clear" w:color="auto" w:fill="FFFFFF"/>
          <w:lang w:val="en-US"/>
        </w:rPr>
        <w:lastRenderedPageBreak/>
        <w:t>Figure legends</w:t>
      </w:r>
    </w:p>
    <w:p w14:paraId="5E583E13" w14:textId="7A5241F4" w:rsidR="00A42443" w:rsidRPr="001D3D20" w:rsidRDefault="00A42443" w:rsidP="00AD16F2">
      <w:pPr>
        <w:widowControl w:val="0"/>
        <w:autoSpaceDE w:val="0"/>
        <w:autoSpaceDN w:val="0"/>
        <w:adjustRightInd w:val="0"/>
        <w:spacing w:line="360" w:lineRule="auto"/>
        <w:ind w:left="640" w:hanging="640"/>
        <w:rPr>
          <w:b/>
          <w:bCs/>
          <w:color w:val="000000"/>
          <w:shd w:val="clear" w:color="auto" w:fill="FFFFFF"/>
          <w:lang w:val="en-US"/>
        </w:rPr>
      </w:pPr>
    </w:p>
    <w:p w14:paraId="40B932CA" w14:textId="4A52B620" w:rsidR="00A42443" w:rsidRPr="001D3D20" w:rsidRDefault="00A42443" w:rsidP="00AD16F2">
      <w:pPr>
        <w:widowControl w:val="0"/>
        <w:autoSpaceDE w:val="0"/>
        <w:autoSpaceDN w:val="0"/>
        <w:adjustRightInd w:val="0"/>
        <w:spacing w:line="360" w:lineRule="auto"/>
        <w:ind w:left="640" w:hanging="640"/>
        <w:rPr>
          <w:b/>
          <w:bCs/>
          <w:color w:val="000000"/>
          <w:shd w:val="clear" w:color="auto" w:fill="FFFFFF"/>
          <w:lang w:val="en-US"/>
        </w:rPr>
      </w:pPr>
      <w:r w:rsidRPr="001D3D20">
        <w:rPr>
          <w:b/>
          <w:bCs/>
          <w:color w:val="000000"/>
          <w:shd w:val="clear" w:color="auto" w:fill="FFFFFF"/>
          <w:lang w:val="en-US"/>
        </w:rPr>
        <w:t>Central illustration</w:t>
      </w:r>
    </w:p>
    <w:p w14:paraId="6221C63C" w14:textId="42D85BC7" w:rsidR="00A42443" w:rsidRPr="001D3D20" w:rsidRDefault="00A42443" w:rsidP="007125B3">
      <w:pPr>
        <w:widowControl w:val="0"/>
        <w:autoSpaceDE w:val="0"/>
        <w:autoSpaceDN w:val="0"/>
        <w:adjustRightInd w:val="0"/>
        <w:spacing w:line="360" w:lineRule="auto"/>
        <w:rPr>
          <w:color w:val="000000"/>
          <w:shd w:val="clear" w:color="auto" w:fill="FFFFFF"/>
          <w:lang w:val="en-US"/>
        </w:rPr>
      </w:pPr>
      <w:r w:rsidRPr="001D3D20">
        <w:rPr>
          <w:color w:val="000000"/>
          <w:shd w:val="clear" w:color="auto" w:fill="FFFFFF"/>
          <w:lang w:val="en-US"/>
        </w:rPr>
        <w:t>Patients with incident atrial fibrillation</w:t>
      </w:r>
      <w:r w:rsidR="007125B3" w:rsidRPr="001D3D20">
        <w:rPr>
          <w:color w:val="000000"/>
          <w:shd w:val="clear" w:color="auto" w:fill="FFFFFF"/>
          <w:lang w:val="en-US"/>
        </w:rPr>
        <w:t xml:space="preserve"> were divided according to history of venous thromboembolism. </w:t>
      </w:r>
      <w:r w:rsidR="004C6F01" w:rsidRPr="001D3D20">
        <w:rPr>
          <w:color w:val="000000"/>
          <w:shd w:val="clear" w:color="auto" w:fill="FFFFFF"/>
          <w:lang w:val="en-US"/>
        </w:rPr>
        <w:t>Patients with and without history of venous thromboembolism carried similar risk of ischemic stroke or systemic embolism. Nonetheless, the combined thromboembolic burden was greatest among patients with a history of venous thromboembolism due to an excess incidence of future venous thromboembolic events</w:t>
      </w:r>
      <w:r w:rsidR="009E0DC0" w:rsidRPr="001D3D20">
        <w:rPr>
          <w:color w:val="000000"/>
          <w:shd w:val="clear" w:color="auto" w:fill="FFFFFF"/>
          <w:lang w:val="en-US"/>
        </w:rPr>
        <w:t>.</w:t>
      </w:r>
    </w:p>
    <w:p w14:paraId="75E0DA0B" w14:textId="4E19D5E0" w:rsidR="00AD07F5" w:rsidRPr="001D3D20" w:rsidRDefault="00AD07F5" w:rsidP="00AD16F2">
      <w:pPr>
        <w:widowControl w:val="0"/>
        <w:autoSpaceDE w:val="0"/>
        <w:autoSpaceDN w:val="0"/>
        <w:adjustRightInd w:val="0"/>
        <w:spacing w:line="360" w:lineRule="auto"/>
        <w:ind w:left="640" w:hanging="640"/>
        <w:rPr>
          <w:b/>
          <w:bCs/>
          <w:color w:val="000000"/>
          <w:shd w:val="clear" w:color="auto" w:fill="FFFFFF"/>
          <w:lang w:val="en-US"/>
        </w:rPr>
      </w:pPr>
    </w:p>
    <w:p w14:paraId="502ED235" w14:textId="01859991" w:rsidR="00AD07F5" w:rsidRPr="001D3D20" w:rsidRDefault="00AD07F5" w:rsidP="00AD16F2">
      <w:pPr>
        <w:widowControl w:val="0"/>
        <w:autoSpaceDE w:val="0"/>
        <w:autoSpaceDN w:val="0"/>
        <w:adjustRightInd w:val="0"/>
        <w:spacing w:line="360" w:lineRule="auto"/>
        <w:ind w:left="640" w:hanging="640"/>
        <w:rPr>
          <w:b/>
          <w:bCs/>
          <w:color w:val="000000"/>
          <w:shd w:val="clear" w:color="auto" w:fill="FFFFFF"/>
          <w:lang w:val="en-US"/>
        </w:rPr>
      </w:pPr>
      <w:r w:rsidRPr="001D3D20">
        <w:rPr>
          <w:b/>
          <w:bCs/>
          <w:color w:val="000000"/>
          <w:shd w:val="clear" w:color="auto" w:fill="FFFFFF"/>
          <w:lang w:val="en-US"/>
        </w:rPr>
        <w:t>Figure 1</w:t>
      </w:r>
    </w:p>
    <w:p w14:paraId="7D6112E2" w14:textId="19C9A5B1" w:rsidR="00AD07F5" w:rsidRPr="001D3D20" w:rsidRDefault="00AD07F5" w:rsidP="00AD16F2">
      <w:pPr>
        <w:widowControl w:val="0"/>
        <w:autoSpaceDE w:val="0"/>
        <w:autoSpaceDN w:val="0"/>
        <w:adjustRightInd w:val="0"/>
        <w:spacing w:line="360" w:lineRule="auto"/>
        <w:ind w:left="640" w:hanging="640"/>
        <w:rPr>
          <w:lang w:val="en-US"/>
        </w:rPr>
      </w:pPr>
      <w:r w:rsidRPr="001D3D20">
        <w:rPr>
          <w:lang w:val="en-US"/>
        </w:rPr>
        <w:t>Flowchart depicting the patient population selection process</w:t>
      </w:r>
    </w:p>
    <w:p w14:paraId="67E63677" w14:textId="05C451CB" w:rsidR="00AD07F5" w:rsidRPr="001D3D20" w:rsidRDefault="00AD07F5" w:rsidP="00AD16F2">
      <w:pPr>
        <w:widowControl w:val="0"/>
        <w:autoSpaceDE w:val="0"/>
        <w:autoSpaceDN w:val="0"/>
        <w:adjustRightInd w:val="0"/>
        <w:spacing w:line="360" w:lineRule="auto"/>
        <w:ind w:left="640" w:hanging="640"/>
        <w:rPr>
          <w:lang w:val="en-US"/>
        </w:rPr>
      </w:pPr>
    </w:p>
    <w:p w14:paraId="57829510" w14:textId="50C92AA6" w:rsidR="00AD07F5" w:rsidRPr="001D3D20" w:rsidRDefault="00AD07F5" w:rsidP="00AD16F2">
      <w:pPr>
        <w:widowControl w:val="0"/>
        <w:autoSpaceDE w:val="0"/>
        <w:autoSpaceDN w:val="0"/>
        <w:adjustRightInd w:val="0"/>
        <w:spacing w:line="360" w:lineRule="auto"/>
        <w:ind w:left="640" w:hanging="640"/>
        <w:rPr>
          <w:b/>
          <w:bCs/>
          <w:lang w:val="en-US"/>
        </w:rPr>
      </w:pPr>
      <w:r w:rsidRPr="001D3D20">
        <w:rPr>
          <w:b/>
          <w:bCs/>
          <w:lang w:val="en-US"/>
        </w:rPr>
        <w:t>Figure 2</w:t>
      </w:r>
    </w:p>
    <w:p w14:paraId="50760DE7" w14:textId="544E2DA7" w:rsidR="00A42443" w:rsidRPr="001D3D20" w:rsidRDefault="00A42443" w:rsidP="00A42443">
      <w:pPr>
        <w:widowControl w:val="0"/>
        <w:autoSpaceDE w:val="0"/>
        <w:autoSpaceDN w:val="0"/>
        <w:adjustRightInd w:val="0"/>
        <w:spacing w:line="360" w:lineRule="auto"/>
        <w:rPr>
          <w:color w:val="000000"/>
          <w:shd w:val="clear" w:color="auto" w:fill="FFFFFF"/>
          <w:lang w:val="en-US"/>
        </w:rPr>
      </w:pPr>
      <w:r w:rsidRPr="001D3D20">
        <w:rPr>
          <w:color w:val="000000"/>
          <w:shd w:val="clear" w:color="auto" w:fill="FFFFFF"/>
          <w:lang w:val="en-US"/>
        </w:rPr>
        <w:t>Three-year cumulative incidence of a) ‘ischemic stroke or systemic embolism’ and b) ‘ischemic stroke, systemic embolism, or VTE’ in patients with incident atrial fibrillation according to history of VTE</w:t>
      </w:r>
    </w:p>
    <w:p w14:paraId="563A3037" w14:textId="115891F0" w:rsidR="00A42443" w:rsidRPr="001D3D20" w:rsidRDefault="00A42443" w:rsidP="00A42443">
      <w:pPr>
        <w:widowControl w:val="0"/>
        <w:autoSpaceDE w:val="0"/>
        <w:autoSpaceDN w:val="0"/>
        <w:adjustRightInd w:val="0"/>
        <w:spacing w:line="360" w:lineRule="auto"/>
        <w:rPr>
          <w:color w:val="000000"/>
          <w:shd w:val="clear" w:color="auto" w:fill="FFFFFF"/>
          <w:lang w:val="en-US"/>
        </w:rPr>
      </w:pPr>
    </w:p>
    <w:p w14:paraId="0DE36381" w14:textId="77777777" w:rsidR="00A42443" w:rsidRPr="001D3D20" w:rsidRDefault="00A42443" w:rsidP="00A42443">
      <w:pPr>
        <w:widowControl w:val="0"/>
        <w:autoSpaceDE w:val="0"/>
        <w:autoSpaceDN w:val="0"/>
        <w:adjustRightInd w:val="0"/>
        <w:spacing w:line="360" w:lineRule="auto"/>
        <w:rPr>
          <w:color w:val="000000"/>
          <w:shd w:val="clear" w:color="auto" w:fill="FFFFFF"/>
          <w:lang w:val="en-US"/>
        </w:rPr>
      </w:pPr>
    </w:p>
    <w:sectPr w:rsidR="00A42443" w:rsidRPr="001D3D20" w:rsidSect="0079382F">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B8598" w14:textId="77777777" w:rsidR="00920215" w:rsidRDefault="00920215" w:rsidP="00EE1E75">
      <w:r>
        <w:separator/>
      </w:r>
    </w:p>
  </w:endnote>
  <w:endnote w:type="continuationSeparator" w:id="0">
    <w:p w14:paraId="3D6414FD" w14:textId="77777777" w:rsidR="00920215" w:rsidRDefault="00920215" w:rsidP="00E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10022FF" w:usb1="C000E47F" w:usb2="00000029" w:usb3="00000000" w:csb0="000001D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640219860"/>
      <w:docPartObj>
        <w:docPartGallery w:val="Page Numbers (Bottom of Page)"/>
        <w:docPartUnique/>
      </w:docPartObj>
    </w:sdtPr>
    <w:sdtEndPr>
      <w:rPr>
        <w:rStyle w:val="Sidetal"/>
      </w:rPr>
    </w:sdtEndPr>
    <w:sdtContent>
      <w:p w14:paraId="409C5FD5" w14:textId="2C0AAED4" w:rsidR="00EE1E75" w:rsidRDefault="00EE1E75" w:rsidP="00D85AE2">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71AACD8C" w14:textId="77777777" w:rsidR="00EE1E75" w:rsidRDefault="00EE1E7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40240948"/>
      <w:docPartObj>
        <w:docPartGallery w:val="Page Numbers (Bottom of Page)"/>
        <w:docPartUnique/>
      </w:docPartObj>
    </w:sdtPr>
    <w:sdtEndPr>
      <w:rPr>
        <w:rStyle w:val="Sidetal"/>
      </w:rPr>
    </w:sdtEndPr>
    <w:sdtContent>
      <w:p w14:paraId="572301A2" w14:textId="7A19DB9B" w:rsidR="00EE1E75" w:rsidRDefault="00EE1E75" w:rsidP="00D85AE2">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sidR="0083602F">
          <w:rPr>
            <w:rStyle w:val="Sidetal"/>
            <w:noProof/>
          </w:rPr>
          <w:t>16</w:t>
        </w:r>
        <w:r>
          <w:rPr>
            <w:rStyle w:val="Sidetal"/>
          </w:rPr>
          <w:fldChar w:fldCharType="end"/>
        </w:r>
      </w:p>
    </w:sdtContent>
  </w:sdt>
  <w:p w14:paraId="1E3AF703" w14:textId="77777777" w:rsidR="00EE1E75" w:rsidRDefault="00EE1E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AEDB6" w14:textId="77777777" w:rsidR="00920215" w:rsidRDefault="00920215" w:rsidP="00EE1E75">
      <w:r>
        <w:separator/>
      </w:r>
    </w:p>
  </w:footnote>
  <w:footnote w:type="continuationSeparator" w:id="0">
    <w:p w14:paraId="0B91C3BA" w14:textId="77777777" w:rsidR="00920215" w:rsidRDefault="00920215" w:rsidP="00EE1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C4B43"/>
    <w:multiLevelType w:val="hybridMultilevel"/>
    <w:tmpl w:val="55D09DDC"/>
    <w:lvl w:ilvl="0" w:tplc="F7A29DC6">
      <w:start w:val="2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a-DK" w:vendorID="64" w:dllVersion="6" w:nlCheck="1" w:checkStyle="0"/>
  <w:activeWritingStyle w:appName="MSWord" w:lang="en-US"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en-GB" w:vendorID="64" w:dllVersion="4096" w:nlCheck="1" w:checkStyle="0"/>
  <w:activeWritingStyle w:appName="MSWord" w:lang="en-GB" w:vendorID="64" w:dllVersion="6"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FA"/>
    <w:rsid w:val="00000AC4"/>
    <w:rsid w:val="00003AFF"/>
    <w:rsid w:val="00007F3F"/>
    <w:rsid w:val="00013346"/>
    <w:rsid w:val="00013D0D"/>
    <w:rsid w:val="00015398"/>
    <w:rsid w:val="00016CB2"/>
    <w:rsid w:val="0001766A"/>
    <w:rsid w:val="0002464B"/>
    <w:rsid w:val="0003106F"/>
    <w:rsid w:val="00033850"/>
    <w:rsid w:val="00034AB9"/>
    <w:rsid w:val="00035598"/>
    <w:rsid w:val="000365A7"/>
    <w:rsid w:val="0003736A"/>
    <w:rsid w:val="00040B47"/>
    <w:rsid w:val="000440EE"/>
    <w:rsid w:val="0004427A"/>
    <w:rsid w:val="000464A9"/>
    <w:rsid w:val="00050EAE"/>
    <w:rsid w:val="00050F5F"/>
    <w:rsid w:val="000516A8"/>
    <w:rsid w:val="00051767"/>
    <w:rsid w:val="00053ACB"/>
    <w:rsid w:val="00055720"/>
    <w:rsid w:val="00055C66"/>
    <w:rsid w:val="00056692"/>
    <w:rsid w:val="000566FA"/>
    <w:rsid w:val="000578C3"/>
    <w:rsid w:val="000612D7"/>
    <w:rsid w:val="00070408"/>
    <w:rsid w:val="0007050C"/>
    <w:rsid w:val="00070676"/>
    <w:rsid w:val="000722FA"/>
    <w:rsid w:val="000728F4"/>
    <w:rsid w:val="00072FB8"/>
    <w:rsid w:val="000738B1"/>
    <w:rsid w:val="00074412"/>
    <w:rsid w:val="00075CDA"/>
    <w:rsid w:val="00077066"/>
    <w:rsid w:val="00077E49"/>
    <w:rsid w:val="0008083F"/>
    <w:rsid w:val="0008246E"/>
    <w:rsid w:val="0008287F"/>
    <w:rsid w:val="00083199"/>
    <w:rsid w:val="00083579"/>
    <w:rsid w:val="00084533"/>
    <w:rsid w:val="00090842"/>
    <w:rsid w:val="000936EF"/>
    <w:rsid w:val="0009566E"/>
    <w:rsid w:val="000A0A2F"/>
    <w:rsid w:val="000A0CD6"/>
    <w:rsid w:val="000A1FFF"/>
    <w:rsid w:val="000A2472"/>
    <w:rsid w:val="000A3BF5"/>
    <w:rsid w:val="000A43B6"/>
    <w:rsid w:val="000A4768"/>
    <w:rsid w:val="000A5680"/>
    <w:rsid w:val="000A6991"/>
    <w:rsid w:val="000A69DE"/>
    <w:rsid w:val="000A7BE3"/>
    <w:rsid w:val="000B24C9"/>
    <w:rsid w:val="000B58E3"/>
    <w:rsid w:val="000B6352"/>
    <w:rsid w:val="000C01B4"/>
    <w:rsid w:val="000C0965"/>
    <w:rsid w:val="000C3923"/>
    <w:rsid w:val="000D0AA1"/>
    <w:rsid w:val="000D28A0"/>
    <w:rsid w:val="000D299B"/>
    <w:rsid w:val="000D3A2D"/>
    <w:rsid w:val="000D5C18"/>
    <w:rsid w:val="000E21D3"/>
    <w:rsid w:val="000E4114"/>
    <w:rsid w:val="000E65EB"/>
    <w:rsid w:val="000F0D29"/>
    <w:rsid w:val="000F37ED"/>
    <w:rsid w:val="000F4621"/>
    <w:rsid w:val="001013B1"/>
    <w:rsid w:val="00103380"/>
    <w:rsid w:val="00110271"/>
    <w:rsid w:val="00113685"/>
    <w:rsid w:val="00120CC6"/>
    <w:rsid w:val="00122196"/>
    <w:rsid w:val="00122901"/>
    <w:rsid w:val="00125554"/>
    <w:rsid w:val="00125C79"/>
    <w:rsid w:val="00126F8D"/>
    <w:rsid w:val="00131AF1"/>
    <w:rsid w:val="00131C3D"/>
    <w:rsid w:val="001327AB"/>
    <w:rsid w:val="00134B25"/>
    <w:rsid w:val="0014297F"/>
    <w:rsid w:val="001429CF"/>
    <w:rsid w:val="001434D4"/>
    <w:rsid w:val="00143709"/>
    <w:rsid w:val="001437E4"/>
    <w:rsid w:val="00146086"/>
    <w:rsid w:val="00147D63"/>
    <w:rsid w:val="00150715"/>
    <w:rsid w:val="00150CD6"/>
    <w:rsid w:val="001514A1"/>
    <w:rsid w:val="00153A90"/>
    <w:rsid w:val="00157607"/>
    <w:rsid w:val="00161103"/>
    <w:rsid w:val="00161863"/>
    <w:rsid w:val="001624E9"/>
    <w:rsid w:val="00163E2E"/>
    <w:rsid w:val="00163E8F"/>
    <w:rsid w:val="00166A76"/>
    <w:rsid w:val="00167CD3"/>
    <w:rsid w:val="00170B2D"/>
    <w:rsid w:val="00171B26"/>
    <w:rsid w:val="00172893"/>
    <w:rsid w:val="00172F27"/>
    <w:rsid w:val="00174DE4"/>
    <w:rsid w:val="00175D8E"/>
    <w:rsid w:val="001779B5"/>
    <w:rsid w:val="00180BD0"/>
    <w:rsid w:val="00183976"/>
    <w:rsid w:val="001868A2"/>
    <w:rsid w:val="0018740E"/>
    <w:rsid w:val="00194427"/>
    <w:rsid w:val="00195E1C"/>
    <w:rsid w:val="001A434E"/>
    <w:rsid w:val="001A6314"/>
    <w:rsid w:val="001A6754"/>
    <w:rsid w:val="001A6D7F"/>
    <w:rsid w:val="001B2B1E"/>
    <w:rsid w:val="001B46C7"/>
    <w:rsid w:val="001B51DC"/>
    <w:rsid w:val="001C148D"/>
    <w:rsid w:val="001C2C53"/>
    <w:rsid w:val="001C4A9B"/>
    <w:rsid w:val="001C4C0C"/>
    <w:rsid w:val="001C5D27"/>
    <w:rsid w:val="001D001A"/>
    <w:rsid w:val="001D3D20"/>
    <w:rsid w:val="001D4A4D"/>
    <w:rsid w:val="001D7658"/>
    <w:rsid w:val="001E0000"/>
    <w:rsid w:val="001E03D0"/>
    <w:rsid w:val="001E505C"/>
    <w:rsid w:val="001E56E0"/>
    <w:rsid w:val="001E576C"/>
    <w:rsid w:val="001E582F"/>
    <w:rsid w:val="001E666E"/>
    <w:rsid w:val="001F22EF"/>
    <w:rsid w:val="001F769B"/>
    <w:rsid w:val="00201290"/>
    <w:rsid w:val="00202A03"/>
    <w:rsid w:val="00202D1B"/>
    <w:rsid w:val="00204659"/>
    <w:rsid w:val="00206835"/>
    <w:rsid w:val="002077BB"/>
    <w:rsid w:val="00211CFF"/>
    <w:rsid w:val="00212C0B"/>
    <w:rsid w:val="00212F7C"/>
    <w:rsid w:val="002130AF"/>
    <w:rsid w:val="00214CB8"/>
    <w:rsid w:val="00216991"/>
    <w:rsid w:val="00222381"/>
    <w:rsid w:val="002230D9"/>
    <w:rsid w:val="00224464"/>
    <w:rsid w:val="00226A2B"/>
    <w:rsid w:val="002302A9"/>
    <w:rsid w:val="00231A57"/>
    <w:rsid w:val="00234D8F"/>
    <w:rsid w:val="002357CA"/>
    <w:rsid w:val="00237BFA"/>
    <w:rsid w:val="00237F2A"/>
    <w:rsid w:val="0024102D"/>
    <w:rsid w:val="002420CD"/>
    <w:rsid w:val="002428FA"/>
    <w:rsid w:val="002438DD"/>
    <w:rsid w:val="0025206C"/>
    <w:rsid w:val="00254B26"/>
    <w:rsid w:val="002552EC"/>
    <w:rsid w:val="00256BDE"/>
    <w:rsid w:val="002570A6"/>
    <w:rsid w:val="002603FE"/>
    <w:rsid w:val="002620BC"/>
    <w:rsid w:val="00264E8A"/>
    <w:rsid w:val="002740F5"/>
    <w:rsid w:val="002753CF"/>
    <w:rsid w:val="002755F7"/>
    <w:rsid w:val="00277BBA"/>
    <w:rsid w:val="00277CBD"/>
    <w:rsid w:val="002800C1"/>
    <w:rsid w:val="00280E53"/>
    <w:rsid w:val="0028186C"/>
    <w:rsid w:val="00284975"/>
    <w:rsid w:val="002849AE"/>
    <w:rsid w:val="002855D4"/>
    <w:rsid w:val="00286388"/>
    <w:rsid w:val="00286995"/>
    <w:rsid w:val="00287F31"/>
    <w:rsid w:val="002912C6"/>
    <w:rsid w:val="00292310"/>
    <w:rsid w:val="002924E2"/>
    <w:rsid w:val="0029316E"/>
    <w:rsid w:val="00297328"/>
    <w:rsid w:val="002975FC"/>
    <w:rsid w:val="002A0623"/>
    <w:rsid w:val="002A06AF"/>
    <w:rsid w:val="002A06CD"/>
    <w:rsid w:val="002A1D66"/>
    <w:rsid w:val="002A2432"/>
    <w:rsid w:val="002A3911"/>
    <w:rsid w:val="002A5352"/>
    <w:rsid w:val="002A5DBF"/>
    <w:rsid w:val="002A6430"/>
    <w:rsid w:val="002B14AF"/>
    <w:rsid w:val="002B25EA"/>
    <w:rsid w:val="002B2BBF"/>
    <w:rsid w:val="002B4CC2"/>
    <w:rsid w:val="002B6825"/>
    <w:rsid w:val="002C1EA1"/>
    <w:rsid w:val="002C2B8E"/>
    <w:rsid w:val="002C2C4B"/>
    <w:rsid w:val="002C56F1"/>
    <w:rsid w:val="002C71C5"/>
    <w:rsid w:val="002D310A"/>
    <w:rsid w:val="002D6770"/>
    <w:rsid w:val="002D6CA4"/>
    <w:rsid w:val="002D7E76"/>
    <w:rsid w:val="002E0706"/>
    <w:rsid w:val="002E0ED3"/>
    <w:rsid w:val="002E111A"/>
    <w:rsid w:val="002E2572"/>
    <w:rsid w:val="002E4B64"/>
    <w:rsid w:val="002E53E8"/>
    <w:rsid w:val="002E7559"/>
    <w:rsid w:val="002F166F"/>
    <w:rsid w:val="002F29DF"/>
    <w:rsid w:val="002F3C9C"/>
    <w:rsid w:val="002F4610"/>
    <w:rsid w:val="002F4CC4"/>
    <w:rsid w:val="002F4F92"/>
    <w:rsid w:val="002F6B73"/>
    <w:rsid w:val="0030423C"/>
    <w:rsid w:val="003055E1"/>
    <w:rsid w:val="00307058"/>
    <w:rsid w:val="00311AB8"/>
    <w:rsid w:val="00311B03"/>
    <w:rsid w:val="00313E1B"/>
    <w:rsid w:val="00317955"/>
    <w:rsid w:val="003214A5"/>
    <w:rsid w:val="003230AC"/>
    <w:rsid w:val="0032600A"/>
    <w:rsid w:val="0032698B"/>
    <w:rsid w:val="00327B46"/>
    <w:rsid w:val="00327D55"/>
    <w:rsid w:val="003327C7"/>
    <w:rsid w:val="00334EF2"/>
    <w:rsid w:val="00340CD1"/>
    <w:rsid w:val="00346E2C"/>
    <w:rsid w:val="003512E3"/>
    <w:rsid w:val="00351867"/>
    <w:rsid w:val="0035317B"/>
    <w:rsid w:val="003559E8"/>
    <w:rsid w:val="003614B9"/>
    <w:rsid w:val="00363234"/>
    <w:rsid w:val="00363658"/>
    <w:rsid w:val="00363B0A"/>
    <w:rsid w:val="00363E69"/>
    <w:rsid w:val="003674B6"/>
    <w:rsid w:val="00372158"/>
    <w:rsid w:val="00374A5B"/>
    <w:rsid w:val="0037621F"/>
    <w:rsid w:val="00377964"/>
    <w:rsid w:val="00377B40"/>
    <w:rsid w:val="003817D4"/>
    <w:rsid w:val="00387AEF"/>
    <w:rsid w:val="00390564"/>
    <w:rsid w:val="00391901"/>
    <w:rsid w:val="003925B2"/>
    <w:rsid w:val="00393E7B"/>
    <w:rsid w:val="00394B25"/>
    <w:rsid w:val="003A1FFE"/>
    <w:rsid w:val="003A21CE"/>
    <w:rsid w:val="003A4207"/>
    <w:rsid w:val="003A5ADD"/>
    <w:rsid w:val="003A7E95"/>
    <w:rsid w:val="003B291A"/>
    <w:rsid w:val="003B2A4E"/>
    <w:rsid w:val="003B6EA3"/>
    <w:rsid w:val="003B7614"/>
    <w:rsid w:val="003C0CED"/>
    <w:rsid w:val="003C2957"/>
    <w:rsid w:val="003D1B3C"/>
    <w:rsid w:val="003D3601"/>
    <w:rsid w:val="003D36D5"/>
    <w:rsid w:val="003E118F"/>
    <w:rsid w:val="003E12F2"/>
    <w:rsid w:val="003E5C59"/>
    <w:rsid w:val="003E6581"/>
    <w:rsid w:val="003E6874"/>
    <w:rsid w:val="003E7EED"/>
    <w:rsid w:val="003F4190"/>
    <w:rsid w:val="003F547D"/>
    <w:rsid w:val="003F5CCF"/>
    <w:rsid w:val="00405214"/>
    <w:rsid w:val="00406FD8"/>
    <w:rsid w:val="004110B9"/>
    <w:rsid w:val="00411F79"/>
    <w:rsid w:val="00412335"/>
    <w:rsid w:val="004131F9"/>
    <w:rsid w:val="004132C7"/>
    <w:rsid w:val="00413F0F"/>
    <w:rsid w:val="00415272"/>
    <w:rsid w:val="00415B13"/>
    <w:rsid w:val="00415C0C"/>
    <w:rsid w:val="0041611E"/>
    <w:rsid w:val="00416B73"/>
    <w:rsid w:val="00417A1F"/>
    <w:rsid w:val="00420661"/>
    <w:rsid w:val="004209DD"/>
    <w:rsid w:val="004209F6"/>
    <w:rsid w:val="00420E0B"/>
    <w:rsid w:val="004229F6"/>
    <w:rsid w:val="00422A94"/>
    <w:rsid w:val="00423727"/>
    <w:rsid w:val="00424975"/>
    <w:rsid w:val="0043358E"/>
    <w:rsid w:val="00436861"/>
    <w:rsid w:val="00436AE5"/>
    <w:rsid w:val="00437BB5"/>
    <w:rsid w:val="0044091F"/>
    <w:rsid w:val="00441759"/>
    <w:rsid w:val="0044196E"/>
    <w:rsid w:val="00442B5F"/>
    <w:rsid w:val="004459C3"/>
    <w:rsid w:val="00445DBA"/>
    <w:rsid w:val="00446114"/>
    <w:rsid w:val="00452769"/>
    <w:rsid w:val="004553AE"/>
    <w:rsid w:val="00456A0F"/>
    <w:rsid w:val="0045706E"/>
    <w:rsid w:val="004577C0"/>
    <w:rsid w:val="00463F96"/>
    <w:rsid w:val="00464C82"/>
    <w:rsid w:val="00472573"/>
    <w:rsid w:val="00472677"/>
    <w:rsid w:val="00474C78"/>
    <w:rsid w:val="00474ECE"/>
    <w:rsid w:val="004774B4"/>
    <w:rsid w:val="00477A67"/>
    <w:rsid w:val="00482288"/>
    <w:rsid w:val="004830B6"/>
    <w:rsid w:val="004868A9"/>
    <w:rsid w:val="00491197"/>
    <w:rsid w:val="00492472"/>
    <w:rsid w:val="00492B77"/>
    <w:rsid w:val="00495B46"/>
    <w:rsid w:val="0049646D"/>
    <w:rsid w:val="004A1E3E"/>
    <w:rsid w:val="004A1F52"/>
    <w:rsid w:val="004A3C0F"/>
    <w:rsid w:val="004A646E"/>
    <w:rsid w:val="004A6BBE"/>
    <w:rsid w:val="004B06AD"/>
    <w:rsid w:val="004B095D"/>
    <w:rsid w:val="004B0AD6"/>
    <w:rsid w:val="004B0CD9"/>
    <w:rsid w:val="004B128B"/>
    <w:rsid w:val="004B1801"/>
    <w:rsid w:val="004B4167"/>
    <w:rsid w:val="004B43AF"/>
    <w:rsid w:val="004B627C"/>
    <w:rsid w:val="004B63C7"/>
    <w:rsid w:val="004B7A76"/>
    <w:rsid w:val="004C3C29"/>
    <w:rsid w:val="004C5E68"/>
    <w:rsid w:val="004C6CBE"/>
    <w:rsid w:val="004C6F01"/>
    <w:rsid w:val="004D0688"/>
    <w:rsid w:val="004D152F"/>
    <w:rsid w:val="004D166D"/>
    <w:rsid w:val="004D1DE0"/>
    <w:rsid w:val="004D1EA1"/>
    <w:rsid w:val="004D2C56"/>
    <w:rsid w:val="004D5A7D"/>
    <w:rsid w:val="004D5FC7"/>
    <w:rsid w:val="004D66D3"/>
    <w:rsid w:val="004E1FDC"/>
    <w:rsid w:val="004E4C03"/>
    <w:rsid w:val="004E7A4B"/>
    <w:rsid w:val="004E7F85"/>
    <w:rsid w:val="004F0A9B"/>
    <w:rsid w:val="004F194E"/>
    <w:rsid w:val="004F6399"/>
    <w:rsid w:val="004F6481"/>
    <w:rsid w:val="004F76D4"/>
    <w:rsid w:val="00500AE8"/>
    <w:rsid w:val="0050262B"/>
    <w:rsid w:val="005029B2"/>
    <w:rsid w:val="00502F05"/>
    <w:rsid w:val="00503D04"/>
    <w:rsid w:val="0051190D"/>
    <w:rsid w:val="00511E18"/>
    <w:rsid w:val="00511E6B"/>
    <w:rsid w:val="005163C0"/>
    <w:rsid w:val="005220F2"/>
    <w:rsid w:val="00523A94"/>
    <w:rsid w:val="00524EB8"/>
    <w:rsid w:val="0052676B"/>
    <w:rsid w:val="005279F0"/>
    <w:rsid w:val="00531698"/>
    <w:rsid w:val="00534827"/>
    <w:rsid w:val="005348C7"/>
    <w:rsid w:val="00534A4F"/>
    <w:rsid w:val="0053519C"/>
    <w:rsid w:val="005359FA"/>
    <w:rsid w:val="0053706E"/>
    <w:rsid w:val="005379CD"/>
    <w:rsid w:val="00540137"/>
    <w:rsid w:val="00541F7C"/>
    <w:rsid w:val="0054254F"/>
    <w:rsid w:val="00542F61"/>
    <w:rsid w:val="00543933"/>
    <w:rsid w:val="00544D92"/>
    <w:rsid w:val="00545968"/>
    <w:rsid w:val="00545BC5"/>
    <w:rsid w:val="00546E6F"/>
    <w:rsid w:val="005510E2"/>
    <w:rsid w:val="00553049"/>
    <w:rsid w:val="005577E9"/>
    <w:rsid w:val="00563E83"/>
    <w:rsid w:val="005647BB"/>
    <w:rsid w:val="00572465"/>
    <w:rsid w:val="005734F1"/>
    <w:rsid w:val="00574CB5"/>
    <w:rsid w:val="0057695B"/>
    <w:rsid w:val="005802AC"/>
    <w:rsid w:val="005814D9"/>
    <w:rsid w:val="005814F0"/>
    <w:rsid w:val="00581BCA"/>
    <w:rsid w:val="00582838"/>
    <w:rsid w:val="00584E48"/>
    <w:rsid w:val="0058603D"/>
    <w:rsid w:val="00591E98"/>
    <w:rsid w:val="0059309E"/>
    <w:rsid w:val="005935A1"/>
    <w:rsid w:val="005971D8"/>
    <w:rsid w:val="00597339"/>
    <w:rsid w:val="005A0616"/>
    <w:rsid w:val="005A115B"/>
    <w:rsid w:val="005A226D"/>
    <w:rsid w:val="005A2AF4"/>
    <w:rsid w:val="005A3F72"/>
    <w:rsid w:val="005A4490"/>
    <w:rsid w:val="005A4568"/>
    <w:rsid w:val="005A529A"/>
    <w:rsid w:val="005B18C5"/>
    <w:rsid w:val="005B3CE9"/>
    <w:rsid w:val="005B528A"/>
    <w:rsid w:val="005B5B42"/>
    <w:rsid w:val="005B62BA"/>
    <w:rsid w:val="005B6FD9"/>
    <w:rsid w:val="005B727C"/>
    <w:rsid w:val="005B7333"/>
    <w:rsid w:val="005B7468"/>
    <w:rsid w:val="005C06D2"/>
    <w:rsid w:val="005C1670"/>
    <w:rsid w:val="005C3BED"/>
    <w:rsid w:val="005C4297"/>
    <w:rsid w:val="005C4D1F"/>
    <w:rsid w:val="005C5A70"/>
    <w:rsid w:val="005C5D36"/>
    <w:rsid w:val="005C7C57"/>
    <w:rsid w:val="005D2CC8"/>
    <w:rsid w:val="005D4CFF"/>
    <w:rsid w:val="005D4F21"/>
    <w:rsid w:val="005D5869"/>
    <w:rsid w:val="005D65B4"/>
    <w:rsid w:val="005E0685"/>
    <w:rsid w:val="005E2184"/>
    <w:rsid w:val="005E313D"/>
    <w:rsid w:val="005E4DED"/>
    <w:rsid w:val="00600746"/>
    <w:rsid w:val="006027B6"/>
    <w:rsid w:val="006044FD"/>
    <w:rsid w:val="00610163"/>
    <w:rsid w:val="006206A1"/>
    <w:rsid w:val="00624B3D"/>
    <w:rsid w:val="00624C39"/>
    <w:rsid w:val="00625262"/>
    <w:rsid w:val="00626307"/>
    <w:rsid w:val="00630FE8"/>
    <w:rsid w:val="00631757"/>
    <w:rsid w:val="00635A95"/>
    <w:rsid w:val="00635E16"/>
    <w:rsid w:val="00636E5A"/>
    <w:rsid w:val="0064075F"/>
    <w:rsid w:val="00641590"/>
    <w:rsid w:val="00642B7D"/>
    <w:rsid w:val="006430D7"/>
    <w:rsid w:val="0064400B"/>
    <w:rsid w:val="00644224"/>
    <w:rsid w:val="0064426A"/>
    <w:rsid w:val="0064527D"/>
    <w:rsid w:val="0064734F"/>
    <w:rsid w:val="006478B3"/>
    <w:rsid w:val="00647F54"/>
    <w:rsid w:val="0065310E"/>
    <w:rsid w:val="006535EB"/>
    <w:rsid w:val="006561BA"/>
    <w:rsid w:val="00660590"/>
    <w:rsid w:val="00660E21"/>
    <w:rsid w:val="0066304D"/>
    <w:rsid w:val="00665A8B"/>
    <w:rsid w:val="00665B99"/>
    <w:rsid w:val="0066696D"/>
    <w:rsid w:val="00666F55"/>
    <w:rsid w:val="00667BD9"/>
    <w:rsid w:val="00675606"/>
    <w:rsid w:val="00675D14"/>
    <w:rsid w:val="00675F17"/>
    <w:rsid w:val="00676365"/>
    <w:rsid w:val="00676827"/>
    <w:rsid w:val="00680345"/>
    <w:rsid w:val="00680361"/>
    <w:rsid w:val="00680812"/>
    <w:rsid w:val="00682903"/>
    <w:rsid w:val="00683361"/>
    <w:rsid w:val="006842EF"/>
    <w:rsid w:val="0068451B"/>
    <w:rsid w:val="00684656"/>
    <w:rsid w:val="00684AE4"/>
    <w:rsid w:val="00685151"/>
    <w:rsid w:val="00686546"/>
    <w:rsid w:val="006928FF"/>
    <w:rsid w:val="00692B4B"/>
    <w:rsid w:val="0069307D"/>
    <w:rsid w:val="00694607"/>
    <w:rsid w:val="0069539E"/>
    <w:rsid w:val="0069616F"/>
    <w:rsid w:val="006A0153"/>
    <w:rsid w:val="006A3609"/>
    <w:rsid w:val="006A5B25"/>
    <w:rsid w:val="006A76A7"/>
    <w:rsid w:val="006B25B7"/>
    <w:rsid w:val="006B26A0"/>
    <w:rsid w:val="006B3ED3"/>
    <w:rsid w:val="006D0544"/>
    <w:rsid w:val="006D0D3F"/>
    <w:rsid w:val="006D333E"/>
    <w:rsid w:val="006D71DF"/>
    <w:rsid w:val="006D7347"/>
    <w:rsid w:val="006D73BE"/>
    <w:rsid w:val="006E1415"/>
    <w:rsid w:val="006E3740"/>
    <w:rsid w:val="006E4108"/>
    <w:rsid w:val="006E4B30"/>
    <w:rsid w:val="006E7016"/>
    <w:rsid w:val="006F035E"/>
    <w:rsid w:val="006F1FA9"/>
    <w:rsid w:val="006F29DE"/>
    <w:rsid w:val="006F3610"/>
    <w:rsid w:val="006F4A27"/>
    <w:rsid w:val="006F7967"/>
    <w:rsid w:val="00701E63"/>
    <w:rsid w:val="00703296"/>
    <w:rsid w:val="00705B9D"/>
    <w:rsid w:val="00707780"/>
    <w:rsid w:val="007077F2"/>
    <w:rsid w:val="00710DE5"/>
    <w:rsid w:val="007125B3"/>
    <w:rsid w:val="007159CD"/>
    <w:rsid w:val="00716070"/>
    <w:rsid w:val="00716AFC"/>
    <w:rsid w:val="007178FE"/>
    <w:rsid w:val="007179C6"/>
    <w:rsid w:val="0072294C"/>
    <w:rsid w:val="007236CF"/>
    <w:rsid w:val="00723B4C"/>
    <w:rsid w:val="007248EB"/>
    <w:rsid w:val="00732CDF"/>
    <w:rsid w:val="007348AE"/>
    <w:rsid w:val="00734AE4"/>
    <w:rsid w:val="00735541"/>
    <w:rsid w:val="0073591F"/>
    <w:rsid w:val="00737797"/>
    <w:rsid w:val="007416EF"/>
    <w:rsid w:val="00742CD1"/>
    <w:rsid w:val="007433C1"/>
    <w:rsid w:val="007455F7"/>
    <w:rsid w:val="00746A42"/>
    <w:rsid w:val="00747626"/>
    <w:rsid w:val="00747B46"/>
    <w:rsid w:val="007508EF"/>
    <w:rsid w:val="00750FE0"/>
    <w:rsid w:val="007524AD"/>
    <w:rsid w:val="007535AF"/>
    <w:rsid w:val="00755992"/>
    <w:rsid w:val="007622A8"/>
    <w:rsid w:val="007628EA"/>
    <w:rsid w:val="0076551C"/>
    <w:rsid w:val="0076563B"/>
    <w:rsid w:val="007671FE"/>
    <w:rsid w:val="007712E3"/>
    <w:rsid w:val="00773FAC"/>
    <w:rsid w:val="007901EF"/>
    <w:rsid w:val="007934E4"/>
    <w:rsid w:val="0079382F"/>
    <w:rsid w:val="00795D57"/>
    <w:rsid w:val="00796812"/>
    <w:rsid w:val="007A0CC3"/>
    <w:rsid w:val="007A16D2"/>
    <w:rsid w:val="007A3C04"/>
    <w:rsid w:val="007A4067"/>
    <w:rsid w:val="007B2146"/>
    <w:rsid w:val="007B28C8"/>
    <w:rsid w:val="007B4581"/>
    <w:rsid w:val="007B78A0"/>
    <w:rsid w:val="007C0894"/>
    <w:rsid w:val="007C0A2C"/>
    <w:rsid w:val="007C76BD"/>
    <w:rsid w:val="007C7ADD"/>
    <w:rsid w:val="007D1F4C"/>
    <w:rsid w:val="007D23B3"/>
    <w:rsid w:val="007E123D"/>
    <w:rsid w:val="007E3A6E"/>
    <w:rsid w:val="007E402B"/>
    <w:rsid w:val="007E4497"/>
    <w:rsid w:val="007E582B"/>
    <w:rsid w:val="007F5D1B"/>
    <w:rsid w:val="007F5D3C"/>
    <w:rsid w:val="007F7EF5"/>
    <w:rsid w:val="008008D9"/>
    <w:rsid w:val="008011D2"/>
    <w:rsid w:val="00803DF9"/>
    <w:rsid w:val="00804371"/>
    <w:rsid w:val="00813174"/>
    <w:rsid w:val="00815DB6"/>
    <w:rsid w:val="00821591"/>
    <w:rsid w:val="00821BEF"/>
    <w:rsid w:val="008229E0"/>
    <w:rsid w:val="008260F8"/>
    <w:rsid w:val="0082748A"/>
    <w:rsid w:val="0083018E"/>
    <w:rsid w:val="0083109F"/>
    <w:rsid w:val="00834FB1"/>
    <w:rsid w:val="0083528A"/>
    <w:rsid w:val="00835932"/>
    <w:rsid w:val="008359DB"/>
    <w:rsid w:val="0083602F"/>
    <w:rsid w:val="00837BF4"/>
    <w:rsid w:val="00837D55"/>
    <w:rsid w:val="00837F81"/>
    <w:rsid w:val="00840C48"/>
    <w:rsid w:val="00842FFB"/>
    <w:rsid w:val="008432AD"/>
    <w:rsid w:val="008477AF"/>
    <w:rsid w:val="00850869"/>
    <w:rsid w:val="00850FD1"/>
    <w:rsid w:val="008555D9"/>
    <w:rsid w:val="008579B5"/>
    <w:rsid w:val="00857CC3"/>
    <w:rsid w:val="0086748B"/>
    <w:rsid w:val="00867C5B"/>
    <w:rsid w:val="00873B69"/>
    <w:rsid w:val="008808BA"/>
    <w:rsid w:val="008821F9"/>
    <w:rsid w:val="00883087"/>
    <w:rsid w:val="008837F2"/>
    <w:rsid w:val="00886C06"/>
    <w:rsid w:val="00890276"/>
    <w:rsid w:val="00890658"/>
    <w:rsid w:val="008910D0"/>
    <w:rsid w:val="0089326D"/>
    <w:rsid w:val="00896D05"/>
    <w:rsid w:val="008A0D19"/>
    <w:rsid w:val="008A29E6"/>
    <w:rsid w:val="008A3E3C"/>
    <w:rsid w:val="008A5B58"/>
    <w:rsid w:val="008A6961"/>
    <w:rsid w:val="008A7FDF"/>
    <w:rsid w:val="008B0701"/>
    <w:rsid w:val="008B1193"/>
    <w:rsid w:val="008B1E41"/>
    <w:rsid w:val="008B1F53"/>
    <w:rsid w:val="008B25EA"/>
    <w:rsid w:val="008B2BB8"/>
    <w:rsid w:val="008B722D"/>
    <w:rsid w:val="008B74F0"/>
    <w:rsid w:val="008C0F7D"/>
    <w:rsid w:val="008C20E8"/>
    <w:rsid w:val="008C2D50"/>
    <w:rsid w:val="008C4CA7"/>
    <w:rsid w:val="008C5227"/>
    <w:rsid w:val="008C620D"/>
    <w:rsid w:val="008C6AD6"/>
    <w:rsid w:val="008C77B3"/>
    <w:rsid w:val="008D24FF"/>
    <w:rsid w:val="008D3ABD"/>
    <w:rsid w:val="008D6AB6"/>
    <w:rsid w:val="008E18D6"/>
    <w:rsid w:val="008E51A2"/>
    <w:rsid w:val="008F0DF3"/>
    <w:rsid w:val="008F133B"/>
    <w:rsid w:val="008F21BB"/>
    <w:rsid w:val="008F2203"/>
    <w:rsid w:val="008F29E9"/>
    <w:rsid w:val="008F63AA"/>
    <w:rsid w:val="008F63F6"/>
    <w:rsid w:val="008F64C4"/>
    <w:rsid w:val="008F684A"/>
    <w:rsid w:val="008F77AF"/>
    <w:rsid w:val="0090192C"/>
    <w:rsid w:val="00902804"/>
    <w:rsid w:val="00903E35"/>
    <w:rsid w:val="00906206"/>
    <w:rsid w:val="00906575"/>
    <w:rsid w:val="00906A7F"/>
    <w:rsid w:val="0091462C"/>
    <w:rsid w:val="00914FB9"/>
    <w:rsid w:val="00915D26"/>
    <w:rsid w:val="009177E7"/>
    <w:rsid w:val="00920215"/>
    <w:rsid w:val="009221CE"/>
    <w:rsid w:val="00922B18"/>
    <w:rsid w:val="00922C43"/>
    <w:rsid w:val="009245A5"/>
    <w:rsid w:val="00924A88"/>
    <w:rsid w:val="00926AF1"/>
    <w:rsid w:val="00931A6A"/>
    <w:rsid w:val="00931BFB"/>
    <w:rsid w:val="00931DC6"/>
    <w:rsid w:val="00935888"/>
    <w:rsid w:val="00936184"/>
    <w:rsid w:val="00936F91"/>
    <w:rsid w:val="009406DE"/>
    <w:rsid w:val="00942633"/>
    <w:rsid w:val="0094565B"/>
    <w:rsid w:val="00950FB5"/>
    <w:rsid w:val="0095578E"/>
    <w:rsid w:val="00960115"/>
    <w:rsid w:val="009606FA"/>
    <w:rsid w:val="009642B6"/>
    <w:rsid w:val="009658C5"/>
    <w:rsid w:val="00965A8F"/>
    <w:rsid w:val="0096680D"/>
    <w:rsid w:val="00967229"/>
    <w:rsid w:val="00970026"/>
    <w:rsid w:val="009715D5"/>
    <w:rsid w:val="00973834"/>
    <w:rsid w:val="00974D27"/>
    <w:rsid w:val="00980180"/>
    <w:rsid w:val="00981807"/>
    <w:rsid w:val="00981A45"/>
    <w:rsid w:val="009828BB"/>
    <w:rsid w:val="00983E2C"/>
    <w:rsid w:val="00986368"/>
    <w:rsid w:val="00987543"/>
    <w:rsid w:val="0099336D"/>
    <w:rsid w:val="009938B2"/>
    <w:rsid w:val="00994E1A"/>
    <w:rsid w:val="009959EB"/>
    <w:rsid w:val="00995DAC"/>
    <w:rsid w:val="009A0B30"/>
    <w:rsid w:val="009A11E3"/>
    <w:rsid w:val="009A1F71"/>
    <w:rsid w:val="009A4FFB"/>
    <w:rsid w:val="009A72DA"/>
    <w:rsid w:val="009A7DB7"/>
    <w:rsid w:val="009B09E0"/>
    <w:rsid w:val="009B1768"/>
    <w:rsid w:val="009B2490"/>
    <w:rsid w:val="009B2CEC"/>
    <w:rsid w:val="009B463E"/>
    <w:rsid w:val="009B4BD5"/>
    <w:rsid w:val="009B6D57"/>
    <w:rsid w:val="009C2C20"/>
    <w:rsid w:val="009C493F"/>
    <w:rsid w:val="009C4C88"/>
    <w:rsid w:val="009C677F"/>
    <w:rsid w:val="009C6AC2"/>
    <w:rsid w:val="009C7607"/>
    <w:rsid w:val="009D4956"/>
    <w:rsid w:val="009D49EC"/>
    <w:rsid w:val="009D6000"/>
    <w:rsid w:val="009E0DC0"/>
    <w:rsid w:val="009E16CB"/>
    <w:rsid w:val="009E24C4"/>
    <w:rsid w:val="009E2AFF"/>
    <w:rsid w:val="009E2E0E"/>
    <w:rsid w:val="009E4861"/>
    <w:rsid w:val="009E4F91"/>
    <w:rsid w:val="009E68C3"/>
    <w:rsid w:val="009E7BE9"/>
    <w:rsid w:val="009F2070"/>
    <w:rsid w:val="009F71DD"/>
    <w:rsid w:val="00A010CA"/>
    <w:rsid w:val="00A020E8"/>
    <w:rsid w:val="00A02B22"/>
    <w:rsid w:val="00A04F59"/>
    <w:rsid w:val="00A1147F"/>
    <w:rsid w:val="00A12459"/>
    <w:rsid w:val="00A124A4"/>
    <w:rsid w:val="00A1357B"/>
    <w:rsid w:val="00A14BF5"/>
    <w:rsid w:val="00A16044"/>
    <w:rsid w:val="00A1745B"/>
    <w:rsid w:val="00A21F80"/>
    <w:rsid w:val="00A23DB7"/>
    <w:rsid w:val="00A246D0"/>
    <w:rsid w:val="00A302C1"/>
    <w:rsid w:val="00A3066D"/>
    <w:rsid w:val="00A31847"/>
    <w:rsid w:val="00A32837"/>
    <w:rsid w:val="00A33A55"/>
    <w:rsid w:val="00A354DA"/>
    <w:rsid w:val="00A41FD4"/>
    <w:rsid w:val="00A42443"/>
    <w:rsid w:val="00A4357B"/>
    <w:rsid w:val="00A44AA9"/>
    <w:rsid w:val="00A45D8F"/>
    <w:rsid w:val="00A463A5"/>
    <w:rsid w:val="00A51190"/>
    <w:rsid w:val="00A56CAD"/>
    <w:rsid w:val="00A57CD4"/>
    <w:rsid w:val="00A60EB2"/>
    <w:rsid w:val="00A61DF8"/>
    <w:rsid w:val="00A62C34"/>
    <w:rsid w:val="00A646A4"/>
    <w:rsid w:val="00A65365"/>
    <w:rsid w:val="00A65C29"/>
    <w:rsid w:val="00A707D4"/>
    <w:rsid w:val="00A71F2B"/>
    <w:rsid w:val="00A72966"/>
    <w:rsid w:val="00A73357"/>
    <w:rsid w:val="00A73F8D"/>
    <w:rsid w:val="00A74999"/>
    <w:rsid w:val="00A74B21"/>
    <w:rsid w:val="00A74C26"/>
    <w:rsid w:val="00A83F9A"/>
    <w:rsid w:val="00A85BD9"/>
    <w:rsid w:val="00A87FC5"/>
    <w:rsid w:val="00A909CF"/>
    <w:rsid w:val="00A93AA7"/>
    <w:rsid w:val="00A93B63"/>
    <w:rsid w:val="00A948BE"/>
    <w:rsid w:val="00A95122"/>
    <w:rsid w:val="00A95DA1"/>
    <w:rsid w:val="00A97E70"/>
    <w:rsid w:val="00AA0BFC"/>
    <w:rsid w:val="00AA1840"/>
    <w:rsid w:val="00AA2337"/>
    <w:rsid w:val="00AA2FFE"/>
    <w:rsid w:val="00AA39EC"/>
    <w:rsid w:val="00AA4F84"/>
    <w:rsid w:val="00AA5DD8"/>
    <w:rsid w:val="00AB3D4A"/>
    <w:rsid w:val="00AB4746"/>
    <w:rsid w:val="00AB5006"/>
    <w:rsid w:val="00AB6AE1"/>
    <w:rsid w:val="00AC1D98"/>
    <w:rsid w:val="00AC232A"/>
    <w:rsid w:val="00AC29D5"/>
    <w:rsid w:val="00AC2F19"/>
    <w:rsid w:val="00AC343D"/>
    <w:rsid w:val="00AC7D7F"/>
    <w:rsid w:val="00AD0200"/>
    <w:rsid w:val="00AD07F5"/>
    <w:rsid w:val="00AD0C89"/>
    <w:rsid w:val="00AD16F2"/>
    <w:rsid w:val="00AD31F9"/>
    <w:rsid w:val="00AD57DF"/>
    <w:rsid w:val="00AD5DD0"/>
    <w:rsid w:val="00AD7866"/>
    <w:rsid w:val="00AD7D48"/>
    <w:rsid w:val="00AE1BC2"/>
    <w:rsid w:val="00AE24D8"/>
    <w:rsid w:val="00AE31C8"/>
    <w:rsid w:val="00AE3833"/>
    <w:rsid w:val="00AE532A"/>
    <w:rsid w:val="00AE7176"/>
    <w:rsid w:val="00AE771C"/>
    <w:rsid w:val="00AE78D4"/>
    <w:rsid w:val="00AF240E"/>
    <w:rsid w:val="00AF2D3D"/>
    <w:rsid w:val="00AF3FE0"/>
    <w:rsid w:val="00AF40E3"/>
    <w:rsid w:val="00AF71F6"/>
    <w:rsid w:val="00AF7A0B"/>
    <w:rsid w:val="00B0076F"/>
    <w:rsid w:val="00B00EC6"/>
    <w:rsid w:val="00B030E0"/>
    <w:rsid w:val="00B039B9"/>
    <w:rsid w:val="00B051DD"/>
    <w:rsid w:val="00B12563"/>
    <w:rsid w:val="00B12604"/>
    <w:rsid w:val="00B144BF"/>
    <w:rsid w:val="00B15754"/>
    <w:rsid w:val="00B20AE1"/>
    <w:rsid w:val="00B20EEE"/>
    <w:rsid w:val="00B21100"/>
    <w:rsid w:val="00B23AC3"/>
    <w:rsid w:val="00B25457"/>
    <w:rsid w:val="00B27F82"/>
    <w:rsid w:val="00B30201"/>
    <w:rsid w:val="00B30B0B"/>
    <w:rsid w:val="00B32E76"/>
    <w:rsid w:val="00B36A7D"/>
    <w:rsid w:val="00B44E0A"/>
    <w:rsid w:val="00B47C12"/>
    <w:rsid w:val="00B5002A"/>
    <w:rsid w:val="00B53255"/>
    <w:rsid w:val="00B542AC"/>
    <w:rsid w:val="00B553C3"/>
    <w:rsid w:val="00B559CB"/>
    <w:rsid w:val="00B55FE1"/>
    <w:rsid w:val="00B565A3"/>
    <w:rsid w:val="00B5677B"/>
    <w:rsid w:val="00B56CC3"/>
    <w:rsid w:val="00B620C0"/>
    <w:rsid w:val="00B64032"/>
    <w:rsid w:val="00B65532"/>
    <w:rsid w:val="00B65BAB"/>
    <w:rsid w:val="00B65DBC"/>
    <w:rsid w:val="00B66742"/>
    <w:rsid w:val="00B67323"/>
    <w:rsid w:val="00B711DD"/>
    <w:rsid w:val="00B71909"/>
    <w:rsid w:val="00B72BD8"/>
    <w:rsid w:val="00B73828"/>
    <w:rsid w:val="00B73D96"/>
    <w:rsid w:val="00B74957"/>
    <w:rsid w:val="00B750EB"/>
    <w:rsid w:val="00B767CD"/>
    <w:rsid w:val="00B81D48"/>
    <w:rsid w:val="00B83FFB"/>
    <w:rsid w:val="00B90D08"/>
    <w:rsid w:val="00B93D24"/>
    <w:rsid w:val="00B93FFA"/>
    <w:rsid w:val="00B94A33"/>
    <w:rsid w:val="00B962AD"/>
    <w:rsid w:val="00B96F35"/>
    <w:rsid w:val="00BA0684"/>
    <w:rsid w:val="00BA0806"/>
    <w:rsid w:val="00BA4CA0"/>
    <w:rsid w:val="00BA56DD"/>
    <w:rsid w:val="00BB1A80"/>
    <w:rsid w:val="00BB3CA1"/>
    <w:rsid w:val="00BB3DFB"/>
    <w:rsid w:val="00BB5439"/>
    <w:rsid w:val="00BC142C"/>
    <w:rsid w:val="00BC2D35"/>
    <w:rsid w:val="00BC2D42"/>
    <w:rsid w:val="00BC62AA"/>
    <w:rsid w:val="00BC6F58"/>
    <w:rsid w:val="00BD2A02"/>
    <w:rsid w:val="00BD4EC4"/>
    <w:rsid w:val="00BD59B8"/>
    <w:rsid w:val="00BD6297"/>
    <w:rsid w:val="00BD7F8F"/>
    <w:rsid w:val="00BE0BDD"/>
    <w:rsid w:val="00BE0D67"/>
    <w:rsid w:val="00BE25A3"/>
    <w:rsid w:val="00BE29F5"/>
    <w:rsid w:val="00BE2BAA"/>
    <w:rsid w:val="00BE3484"/>
    <w:rsid w:val="00BE4AE1"/>
    <w:rsid w:val="00BE71BF"/>
    <w:rsid w:val="00BF1537"/>
    <w:rsid w:val="00BF43AC"/>
    <w:rsid w:val="00BF618D"/>
    <w:rsid w:val="00BF7123"/>
    <w:rsid w:val="00C03FA9"/>
    <w:rsid w:val="00C07757"/>
    <w:rsid w:val="00C10CFB"/>
    <w:rsid w:val="00C11076"/>
    <w:rsid w:val="00C1237A"/>
    <w:rsid w:val="00C168A6"/>
    <w:rsid w:val="00C1736E"/>
    <w:rsid w:val="00C218AF"/>
    <w:rsid w:val="00C2440B"/>
    <w:rsid w:val="00C25653"/>
    <w:rsid w:val="00C32E07"/>
    <w:rsid w:val="00C3444B"/>
    <w:rsid w:val="00C34CCF"/>
    <w:rsid w:val="00C368C4"/>
    <w:rsid w:val="00C36F6D"/>
    <w:rsid w:val="00C37BCF"/>
    <w:rsid w:val="00C51654"/>
    <w:rsid w:val="00C51A3D"/>
    <w:rsid w:val="00C529EB"/>
    <w:rsid w:val="00C52A9D"/>
    <w:rsid w:val="00C53941"/>
    <w:rsid w:val="00C5510F"/>
    <w:rsid w:val="00C557E8"/>
    <w:rsid w:val="00C55CE1"/>
    <w:rsid w:val="00C56AF9"/>
    <w:rsid w:val="00C56C42"/>
    <w:rsid w:val="00C6328F"/>
    <w:rsid w:val="00C632F2"/>
    <w:rsid w:val="00C63646"/>
    <w:rsid w:val="00C6373D"/>
    <w:rsid w:val="00C6629E"/>
    <w:rsid w:val="00C70761"/>
    <w:rsid w:val="00C73102"/>
    <w:rsid w:val="00C73A4A"/>
    <w:rsid w:val="00C74A7C"/>
    <w:rsid w:val="00C74FDD"/>
    <w:rsid w:val="00C7549C"/>
    <w:rsid w:val="00C76D65"/>
    <w:rsid w:val="00C77433"/>
    <w:rsid w:val="00C77958"/>
    <w:rsid w:val="00C83BB6"/>
    <w:rsid w:val="00C87601"/>
    <w:rsid w:val="00C900FB"/>
    <w:rsid w:val="00C92F55"/>
    <w:rsid w:val="00C92F63"/>
    <w:rsid w:val="00C94E4F"/>
    <w:rsid w:val="00C962F2"/>
    <w:rsid w:val="00C96B23"/>
    <w:rsid w:val="00CA1BB5"/>
    <w:rsid w:val="00CA6B48"/>
    <w:rsid w:val="00CB4324"/>
    <w:rsid w:val="00CB7830"/>
    <w:rsid w:val="00CB7E55"/>
    <w:rsid w:val="00CB7EE9"/>
    <w:rsid w:val="00CB7F6C"/>
    <w:rsid w:val="00CC0391"/>
    <w:rsid w:val="00CC14D2"/>
    <w:rsid w:val="00CC2B5C"/>
    <w:rsid w:val="00CC37D8"/>
    <w:rsid w:val="00CC62A9"/>
    <w:rsid w:val="00CD1B47"/>
    <w:rsid w:val="00CD2ABB"/>
    <w:rsid w:val="00CD3747"/>
    <w:rsid w:val="00CE15BB"/>
    <w:rsid w:val="00CE2733"/>
    <w:rsid w:val="00CE566A"/>
    <w:rsid w:val="00CE60B3"/>
    <w:rsid w:val="00CF324A"/>
    <w:rsid w:val="00CF3B54"/>
    <w:rsid w:val="00D00680"/>
    <w:rsid w:val="00D02CA4"/>
    <w:rsid w:val="00D03C38"/>
    <w:rsid w:val="00D04140"/>
    <w:rsid w:val="00D0497A"/>
    <w:rsid w:val="00D04E69"/>
    <w:rsid w:val="00D04F2C"/>
    <w:rsid w:val="00D051D1"/>
    <w:rsid w:val="00D057FF"/>
    <w:rsid w:val="00D06263"/>
    <w:rsid w:val="00D06DD5"/>
    <w:rsid w:val="00D11B3F"/>
    <w:rsid w:val="00D11CE1"/>
    <w:rsid w:val="00D13331"/>
    <w:rsid w:val="00D1611C"/>
    <w:rsid w:val="00D170C6"/>
    <w:rsid w:val="00D202A5"/>
    <w:rsid w:val="00D2209C"/>
    <w:rsid w:val="00D232F2"/>
    <w:rsid w:val="00D251BE"/>
    <w:rsid w:val="00D25C4C"/>
    <w:rsid w:val="00D27E2C"/>
    <w:rsid w:val="00D3145B"/>
    <w:rsid w:val="00D33A96"/>
    <w:rsid w:val="00D33B5D"/>
    <w:rsid w:val="00D34610"/>
    <w:rsid w:val="00D34714"/>
    <w:rsid w:val="00D43DE8"/>
    <w:rsid w:val="00D4538F"/>
    <w:rsid w:val="00D5172E"/>
    <w:rsid w:val="00D5363F"/>
    <w:rsid w:val="00D53D6A"/>
    <w:rsid w:val="00D541DB"/>
    <w:rsid w:val="00D54D64"/>
    <w:rsid w:val="00D6086B"/>
    <w:rsid w:val="00D60CC4"/>
    <w:rsid w:val="00D64F13"/>
    <w:rsid w:val="00D65269"/>
    <w:rsid w:val="00D70437"/>
    <w:rsid w:val="00D7129D"/>
    <w:rsid w:val="00D753A2"/>
    <w:rsid w:val="00D777A4"/>
    <w:rsid w:val="00D8014F"/>
    <w:rsid w:val="00D802A3"/>
    <w:rsid w:val="00D80ECF"/>
    <w:rsid w:val="00D85AE2"/>
    <w:rsid w:val="00DA0472"/>
    <w:rsid w:val="00DA2518"/>
    <w:rsid w:val="00DA3572"/>
    <w:rsid w:val="00DA3F7D"/>
    <w:rsid w:val="00DA5E27"/>
    <w:rsid w:val="00DA6C96"/>
    <w:rsid w:val="00DA7E8C"/>
    <w:rsid w:val="00DB4510"/>
    <w:rsid w:val="00DB7BFF"/>
    <w:rsid w:val="00DC027B"/>
    <w:rsid w:val="00DC253C"/>
    <w:rsid w:val="00DC3C53"/>
    <w:rsid w:val="00DD2926"/>
    <w:rsid w:val="00DD630D"/>
    <w:rsid w:val="00DD69B2"/>
    <w:rsid w:val="00DE3988"/>
    <w:rsid w:val="00DE7E99"/>
    <w:rsid w:val="00DF05C8"/>
    <w:rsid w:val="00DF0FB1"/>
    <w:rsid w:val="00DF165F"/>
    <w:rsid w:val="00DF2CA2"/>
    <w:rsid w:val="00DF3CD4"/>
    <w:rsid w:val="00E007FE"/>
    <w:rsid w:val="00E00DAB"/>
    <w:rsid w:val="00E01F3D"/>
    <w:rsid w:val="00E032C2"/>
    <w:rsid w:val="00E101E2"/>
    <w:rsid w:val="00E10504"/>
    <w:rsid w:val="00E10ACB"/>
    <w:rsid w:val="00E1173F"/>
    <w:rsid w:val="00E134E8"/>
    <w:rsid w:val="00E1543E"/>
    <w:rsid w:val="00E159FD"/>
    <w:rsid w:val="00E1641C"/>
    <w:rsid w:val="00E1754A"/>
    <w:rsid w:val="00E20205"/>
    <w:rsid w:val="00E2162E"/>
    <w:rsid w:val="00E21A05"/>
    <w:rsid w:val="00E22533"/>
    <w:rsid w:val="00E23F48"/>
    <w:rsid w:val="00E24359"/>
    <w:rsid w:val="00E2478F"/>
    <w:rsid w:val="00E264B4"/>
    <w:rsid w:val="00E3018D"/>
    <w:rsid w:val="00E30561"/>
    <w:rsid w:val="00E3086F"/>
    <w:rsid w:val="00E33900"/>
    <w:rsid w:val="00E36F21"/>
    <w:rsid w:val="00E37F4A"/>
    <w:rsid w:val="00E40D71"/>
    <w:rsid w:val="00E42B54"/>
    <w:rsid w:val="00E435F8"/>
    <w:rsid w:val="00E4395E"/>
    <w:rsid w:val="00E44617"/>
    <w:rsid w:val="00E46BD6"/>
    <w:rsid w:val="00E519FC"/>
    <w:rsid w:val="00E51CE5"/>
    <w:rsid w:val="00E52442"/>
    <w:rsid w:val="00E538EB"/>
    <w:rsid w:val="00E54391"/>
    <w:rsid w:val="00E57317"/>
    <w:rsid w:val="00E62EA3"/>
    <w:rsid w:val="00E64411"/>
    <w:rsid w:val="00E644D5"/>
    <w:rsid w:val="00E715B9"/>
    <w:rsid w:val="00E80042"/>
    <w:rsid w:val="00E812E2"/>
    <w:rsid w:val="00E81818"/>
    <w:rsid w:val="00E81F49"/>
    <w:rsid w:val="00E838F1"/>
    <w:rsid w:val="00E846A3"/>
    <w:rsid w:val="00E87315"/>
    <w:rsid w:val="00E9079F"/>
    <w:rsid w:val="00E9229C"/>
    <w:rsid w:val="00E92991"/>
    <w:rsid w:val="00E92A20"/>
    <w:rsid w:val="00E92B37"/>
    <w:rsid w:val="00E96363"/>
    <w:rsid w:val="00E9671E"/>
    <w:rsid w:val="00EA25BB"/>
    <w:rsid w:val="00EA4684"/>
    <w:rsid w:val="00EA5AFC"/>
    <w:rsid w:val="00EB232B"/>
    <w:rsid w:val="00EB2AEA"/>
    <w:rsid w:val="00EB3031"/>
    <w:rsid w:val="00EB46A3"/>
    <w:rsid w:val="00EB46D0"/>
    <w:rsid w:val="00EB4D73"/>
    <w:rsid w:val="00EB6882"/>
    <w:rsid w:val="00EC3F5B"/>
    <w:rsid w:val="00EC567D"/>
    <w:rsid w:val="00EC6F50"/>
    <w:rsid w:val="00EC7467"/>
    <w:rsid w:val="00EC76FA"/>
    <w:rsid w:val="00EC7BE0"/>
    <w:rsid w:val="00ED4FA2"/>
    <w:rsid w:val="00ED550B"/>
    <w:rsid w:val="00ED62F0"/>
    <w:rsid w:val="00ED7102"/>
    <w:rsid w:val="00EE1E75"/>
    <w:rsid w:val="00EE43E9"/>
    <w:rsid w:val="00EE4BF3"/>
    <w:rsid w:val="00EE62FA"/>
    <w:rsid w:val="00EF292B"/>
    <w:rsid w:val="00EF4CBB"/>
    <w:rsid w:val="00EF591F"/>
    <w:rsid w:val="00EF5D29"/>
    <w:rsid w:val="00EF66DF"/>
    <w:rsid w:val="00EF6A3C"/>
    <w:rsid w:val="00EF7098"/>
    <w:rsid w:val="00F009C2"/>
    <w:rsid w:val="00F00C2A"/>
    <w:rsid w:val="00F040BC"/>
    <w:rsid w:val="00F0709A"/>
    <w:rsid w:val="00F108FE"/>
    <w:rsid w:val="00F115F6"/>
    <w:rsid w:val="00F1568B"/>
    <w:rsid w:val="00F16119"/>
    <w:rsid w:val="00F174FE"/>
    <w:rsid w:val="00F23079"/>
    <w:rsid w:val="00F23FD7"/>
    <w:rsid w:val="00F26665"/>
    <w:rsid w:val="00F31FD8"/>
    <w:rsid w:val="00F32015"/>
    <w:rsid w:val="00F33294"/>
    <w:rsid w:val="00F33654"/>
    <w:rsid w:val="00F33B12"/>
    <w:rsid w:val="00F34209"/>
    <w:rsid w:val="00F4035D"/>
    <w:rsid w:val="00F4342A"/>
    <w:rsid w:val="00F44A5E"/>
    <w:rsid w:val="00F44A76"/>
    <w:rsid w:val="00F45896"/>
    <w:rsid w:val="00F45B1E"/>
    <w:rsid w:val="00F50F21"/>
    <w:rsid w:val="00F55220"/>
    <w:rsid w:val="00F55393"/>
    <w:rsid w:val="00F71D2F"/>
    <w:rsid w:val="00F71DFE"/>
    <w:rsid w:val="00F73841"/>
    <w:rsid w:val="00F739A2"/>
    <w:rsid w:val="00F73D60"/>
    <w:rsid w:val="00F73E5F"/>
    <w:rsid w:val="00F746DC"/>
    <w:rsid w:val="00F76234"/>
    <w:rsid w:val="00F81572"/>
    <w:rsid w:val="00F82584"/>
    <w:rsid w:val="00F8413C"/>
    <w:rsid w:val="00F91454"/>
    <w:rsid w:val="00F923E7"/>
    <w:rsid w:val="00F95A52"/>
    <w:rsid w:val="00F969FF"/>
    <w:rsid w:val="00FA04E3"/>
    <w:rsid w:val="00FA0AFD"/>
    <w:rsid w:val="00FA236B"/>
    <w:rsid w:val="00FA3836"/>
    <w:rsid w:val="00FB07FF"/>
    <w:rsid w:val="00FB3DD8"/>
    <w:rsid w:val="00FC1275"/>
    <w:rsid w:val="00FC4534"/>
    <w:rsid w:val="00FC618D"/>
    <w:rsid w:val="00FC6882"/>
    <w:rsid w:val="00FD333A"/>
    <w:rsid w:val="00FD48EB"/>
    <w:rsid w:val="00FD51D5"/>
    <w:rsid w:val="00FD5E32"/>
    <w:rsid w:val="00FD5FFF"/>
    <w:rsid w:val="00FD72CB"/>
    <w:rsid w:val="00FD7A46"/>
    <w:rsid w:val="00FD7C31"/>
    <w:rsid w:val="00FD7D1E"/>
    <w:rsid w:val="00FE3301"/>
    <w:rsid w:val="00FE3FBC"/>
    <w:rsid w:val="00FE4B24"/>
    <w:rsid w:val="00FE557B"/>
    <w:rsid w:val="00FE6E7F"/>
    <w:rsid w:val="00FE761F"/>
    <w:rsid w:val="00FF1B20"/>
    <w:rsid w:val="00FF4973"/>
    <w:rsid w:val="00FF6818"/>
    <w:rsid w:val="00FF68F7"/>
    <w:rsid w:val="00FF6B80"/>
    <w:rsid w:val="00FF72B2"/>
    <w:rsid w:val="00FF735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34E71"/>
  <w15:docId w15:val="{65518D92-7236-984F-9B35-417509E1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165F"/>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74FD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4FDD"/>
    <w:rPr>
      <w:rFonts w:ascii="Segoe UI" w:eastAsia="Times New Roman" w:hAnsi="Segoe UI" w:cs="Segoe UI"/>
      <w:sz w:val="18"/>
      <w:szCs w:val="18"/>
      <w:lang w:eastAsia="da-DK"/>
    </w:rPr>
  </w:style>
  <w:style w:type="character" w:styleId="Kommentarhenvisning">
    <w:name w:val="annotation reference"/>
    <w:basedOn w:val="Standardskrifttypeiafsnit"/>
    <w:uiPriority w:val="99"/>
    <w:semiHidden/>
    <w:unhideWhenUsed/>
    <w:rsid w:val="00994E1A"/>
    <w:rPr>
      <w:sz w:val="16"/>
      <w:szCs w:val="16"/>
    </w:rPr>
  </w:style>
  <w:style w:type="paragraph" w:styleId="Kommentartekst">
    <w:name w:val="annotation text"/>
    <w:basedOn w:val="Normal"/>
    <w:link w:val="KommentartekstTegn"/>
    <w:uiPriority w:val="99"/>
    <w:unhideWhenUsed/>
    <w:rsid w:val="00994E1A"/>
    <w:rPr>
      <w:sz w:val="20"/>
      <w:szCs w:val="20"/>
    </w:rPr>
  </w:style>
  <w:style w:type="character" w:customStyle="1" w:styleId="KommentartekstTegn">
    <w:name w:val="Kommentartekst Tegn"/>
    <w:basedOn w:val="Standardskrifttypeiafsnit"/>
    <w:link w:val="Kommentartekst"/>
    <w:uiPriority w:val="99"/>
    <w:rsid w:val="00994E1A"/>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994E1A"/>
    <w:rPr>
      <w:b/>
      <w:bCs/>
    </w:rPr>
  </w:style>
  <w:style w:type="character" w:customStyle="1" w:styleId="KommentaremneTegn">
    <w:name w:val="Kommentaremne Tegn"/>
    <w:basedOn w:val="KommentartekstTegn"/>
    <w:link w:val="Kommentaremne"/>
    <w:uiPriority w:val="99"/>
    <w:semiHidden/>
    <w:rsid w:val="00994E1A"/>
    <w:rPr>
      <w:rFonts w:ascii="Times New Roman" w:eastAsia="Times New Roman" w:hAnsi="Times New Roman" w:cs="Times New Roman"/>
      <w:b/>
      <w:bCs/>
      <w:sz w:val="20"/>
      <w:szCs w:val="20"/>
      <w:lang w:eastAsia="da-DK"/>
    </w:rPr>
  </w:style>
  <w:style w:type="paragraph" w:styleId="Korrektur">
    <w:name w:val="Revision"/>
    <w:hidden/>
    <w:uiPriority w:val="99"/>
    <w:semiHidden/>
    <w:rsid w:val="00AB5006"/>
    <w:rPr>
      <w:rFonts w:ascii="Times New Roman" w:eastAsia="Times New Roman" w:hAnsi="Times New Roman" w:cs="Times New Roman"/>
      <w:lang w:eastAsia="da-DK"/>
    </w:rPr>
  </w:style>
  <w:style w:type="paragraph" w:styleId="NormalWeb">
    <w:name w:val="Normal (Web)"/>
    <w:basedOn w:val="Normal"/>
    <w:uiPriority w:val="99"/>
    <w:unhideWhenUsed/>
    <w:rsid w:val="005A3F72"/>
    <w:pPr>
      <w:spacing w:before="100" w:beforeAutospacing="1" w:after="100" w:afterAutospacing="1"/>
    </w:pPr>
    <w:rPr>
      <w:rFonts w:ascii="Times" w:eastAsiaTheme="minorEastAsia" w:hAnsi="Times"/>
      <w:sz w:val="20"/>
      <w:szCs w:val="20"/>
    </w:rPr>
  </w:style>
  <w:style w:type="table" w:styleId="Tabel-Gitter">
    <w:name w:val="Table Grid"/>
    <w:basedOn w:val="Tabel-Normal"/>
    <w:uiPriority w:val="59"/>
    <w:rsid w:val="005A3F72"/>
    <w:rPr>
      <w:rFonts w:ascii="Times New Roman" w:eastAsiaTheme="minorEastAsia" w:hAnsi="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qFormat/>
    <w:rsid w:val="005A3F72"/>
    <w:pPr>
      <w:spacing w:after="200" w:line="276" w:lineRule="auto"/>
      <w:ind w:left="720"/>
      <w:contextualSpacing/>
    </w:pPr>
    <w:rPr>
      <w:rFonts w:ascii="Calibri" w:hAnsi="Calibri"/>
      <w:sz w:val="22"/>
      <w:szCs w:val="22"/>
      <w:lang w:eastAsia="en-US"/>
    </w:rPr>
  </w:style>
  <w:style w:type="paragraph" w:styleId="Sidefod">
    <w:name w:val="footer"/>
    <w:basedOn w:val="Normal"/>
    <w:link w:val="SidefodTegn"/>
    <w:uiPriority w:val="99"/>
    <w:unhideWhenUsed/>
    <w:rsid w:val="00EE1E75"/>
    <w:pPr>
      <w:tabs>
        <w:tab w:val="center" w:pos="4680"/>
        <w:tab w:val="right" w:pos="9360"/>
      </w:tabs>
    </w:pPr>
  </w:style>
  <w:style w:type="character" w:customStyle="1" w:styleId="SidefodTegn">
    <w:name w:val="Sidefod Tegn"/>
    <w:basedOn w:val="Standardskrifttypeiafsnit"/>
    <w:link w:val="Sidefod"/>
    <w:uiPriority w:val="99"/>
    <w:rsid w:val="00EE1E75"/>
    <w:rPr>
      <w:rFonts w:ascii="Times New Roman" w:eastAsia="Times New Roman" w:hAnsi="Times New Roman" w:cs="Times New Roman"/>
      <w:lang w:eastAsia="da-DK"/>
    </w:rPr>
  </w:style>
  <w:style w:type="character" w:styleId="Sidetal">
    <w:name w:val="page number"/>
    <w:basedOn w:val="Standardskrifttypeiafsnit"/>
    <w:uiPriority w:val="99"/>
    <w:semiHidden/>
    <w:unhideWhenUsed/>
    <w:rsid w:val="00EE1E75"/>
  </w:style>
  <w:style w:type="paragraph" w:styleId="FormateretHTML">
    <w:name w:val="HTML Preformatted"/>
    <w:basedOn w:val="Normal"/>
    <w:link w:val="FormateretHTMLTegn"/>
    <w:uiPriority w:val="99"/>
    <w:semiHidden/>
    <w:unhideWhenUsed/>
    <w:rsid w:val="0068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FormateretHTMLTegn">
    <w:name w:val="Formateret HTML Tegn"/>
    <w:basedOn w:val="Standardskrifttypeiafsnit"/>
    <w:link w:val="FormateretHTML"/>
    <w:uiPriority w:val="99"/>
    <w:semiHidden/>
    <w:rsid w:val="00680345"/>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98">
      <w:bodyDiv w:val="1"/>
      <w:marLeft w:val="0"/>
      <w:marRight w:val="0"/>
      <w:marTop w:val="0"/>
      <w:marBottom w:val="0"/>
      <w:divBdr>
        <w:top w:val="none" w:sz="0" w:space="0" w:color="auto"/>
        <w:left w:val="none" w:sz="0" w:space="0" w:color="auto"/>
        <w:bottom w:val="none" w:sz="0" w:space="0" w:color="auto"/>
        <w:right w:val="none" w:sz="0" w:space="0" w:color="auto"/>
      </w:divBdr>
    </w:div>
    <w:div w:id="7293137">
      <w:bodyDiv w:val="1"/>
      <w:marLeft w:val="0"/>
      <w:marRight w:val="0"/>
      <w:marTop w:val="0"/>
      <w:marBottom w:val="0"/>
      <w:divBdr>
        <w:top w:val="none" w:sz="0" w:space="0" w:color="auto"/>
        <w:left w:val="none" w:sz="0" w:space="0" w:color="auto"/>
        <w:bottom w:val="none" w:sz="0" w:space="0" w:color="auto"/>
        <w:right w:val="none" w:sz="0" w:space="0" w:color="auto"/>
      </w:divBdr>
    </w:div>
    <w:div w:id="9911709">
      <w:bodyDiv w:val="1"/>
      <w:marLeft w:val="0"/>
      <w:marRight w:val="0"/>
      <w:marTop w:val="0"/>
      <w:marBottom w:val="0"/>
      <w:divBdr>
        <w:top w:val="none" w:sz="0" w:space="0" w:color="auto"/>
        <w:left w:val="none" w:sz="0" w:space="0" w:color="auto"/>
        <w:bottom w:val="none" w:sz="0" w:space="0" w:color="auto"/>
        <w:right w:val="none" w:sz="0" w:space="0" w:color="auto"/>
      </w:divBdr>
    </w:div>
    <w:div w:id="13197122">
      <w:bodyDiv w:val="1"/>
      <w:marLeft w:val="0"/>
      <w:marRight w:val="0"/>
      <w:marTop w:val="0"/>
      <w:marBottom w:val="0"/>
      <w:divBdr>
        <w:top w:val="none" w:sz="0" w:space="0" w:color="auto"/>
        <w:left w:val="none" w:sz="0" w:space="0" w:color="auto"/>
        <w:bottom w:val="none" w:sz="0" w:space="0" w:color="auto"/>
        <w:right w:val="none" w:sz="0" w:space="0" w:color="auto"/>
      </w:divBdr>
    </w:div>
    <w:div w:id="14549936">
      <w:bodyDiv w:val="1"/>
      <w:marLeft w:val="0"/>
      <w:marRight w:val="0"/>
      <w:marTop w:val="0"/>
      <w:marBottom w:val="0"/>
      <w:divBdr>
        <w:top w:val="none" w:sz="0" w:space="0" w:color="auto"/>
        <w:left w:val="none" w:sz="0" w:space="0" w:color="auto"/>
        <w:bottom w:val="none" w:sz="0" w:space="0" w:color="auto"/>
        <w:right w:val="none" w:sz="0" w:space="0" w:color="auto"/>
      </w:divBdr>
    </w:div>
    <w:div w:id="24641952">
      <w:bodyDiv w:val="1"/>
      <w:marLeft w:val="0"/>
      <w:marRight w:val="0"/>
      <w:marTop w:val="0"/>
      <w:marBottom w:val="0"/>
      <w:divBdr>
        <w:top w:val="none" w:sz="0" w:space="0" w:color="auto"/>
        <w:left w:val="none" w:sz="0" w:space="0" w:color="auto"/>
        <w:bottom w:val="none" w:sz="0" w:space="0" w:color="auto"/>
        <w:right w:val="none" w:sz="0" w:space="0" w:color="auto"/>
      </w:divBdr>
    </w:div>
    <w:div w:id="27877642">
      <w:bodyDiv w:val="1"/>
      <w:marLeft w:val="0"/>
      <w:marRight w:val="0"/>
      <w:marTop w:val="0"/>
      <w:marBottom w:val="0"/>
      <w:divBdr>
        <w:top w:val="none" w:sz="0" w:space="0" w:color="auto"/>
        <w:left w:val="none" w:sz="0" w:space="0" w:color="auto"/>
        <w:bottom w:val="none" w:sz="0" w:space="0" w:color="auto"/>
        <w:right w:val="none" w:sz="0" w:space="0" w:color="auto"/>
      </w:divBdr>
    </w:div>
    <w:div w:id="31343602">
      <w:bodyDiv w:val="1"/>
      <w:marLeft w:val="0"/>
      <w:marRight w:val="0"/>
      <w:marTop w:val="0"/>
      <w:marBottom w:val="0"/>
      <w:divBdr>
        <w:top w:val="none" w:sz="0" w:space="0" w:color="auto"/>
        <w:left w:val="none" w:sz="0" w:space="0" w:color="auto"/>
        <w:bottom w:val="none" w:sz="0" w:space="0" w:color="auto"/>
        <w:right w:val="none" w:sz="0" w:space="0" w:color="auto"/>
      </w:divBdr>
    </w:div>
    <w:div w:id="31662048">
      <w:bodyDiv w:val="1"/>
      <w:marLeft w:val="0"/>
      <w:marRight w:val="0"/>
      <w:marTop w:val="0"/>
      <w:marBottom w:val="0"/>
      <w:divBdr>
        <w:top w:val="none" w:sz="0" w:space="0" w:color="auto"/>
        <w:left w:val="none" w:sz="0" w:space="0" w:color="auto"/>
        <w:bottom w:val="none" w:sz="0" w:space="0" w:color="auto"/>
        <w:right w:val="none" w:sz="0" w:space="0" w:color="auto"/>
      </w:divBdr>
    </w:div>
    <w:div w:id="35668450">
      <w:bodyDiv w:val="1"/>
      <w:marLeft w:val="0"/>
      <w:marRight w:val="0"/>
      <w:marTop w:val="0"/>
      <w:marBottom w:val="0"/>
      <w:divBdr>
        <w:top w:val="none" w:sz="0" w:space="0" w:color="auto"/>
        <w:left w:val="none" w:sz="0" w:space="0" w:color="auto"/>
        <w:bottom w:val="none" w:sz="0" w:space="0" w:color="auto"/>
        <w:right w:val="none" w:sz="0" w:space="0" w:color="auto"/>
      </w:divBdr>
    </w:div>
    <w:div w:id="55670302">
      <w:bodyDiv w:val="1"/>
      <w:marLeft w:val="0"/>
      <w:marRight w:val="0"/>
      <w:marTop w:val="0"/>
      <w:marBottom w:val="0"/>
      <w:divBdr>
        <w:top w:val="none" w:sz="0" w:space="0" w:color="auto"/>
        <w:left w:val="none" w:sz="0" w:space="0" w:color="auto"/>
        <w:bottom w:val="none" w:sz="0" w:space="0" w:color="auto"/>
        <w:right w:val="none" w:sz="0" w:space="0" w:color="auto"/>
      </w:divBdr>
    </w:div>
    <w:div w:id="84310517">
      <w:bodyDiv w:val="1"/>
      <w:marLeft w:val="0"/>
      <w:marRight w:val="0"/>
      <w:marTop w:val="0"/>
      <w:marBottom w:val="0"/>
      <w:divBdr>
        <w:top w:val="none" w:sz="0" w:space="0" w:color="auto"/>
        <w:left w:val="none" w:sz="0" w:space="0" w:color="auto"/>
        <w:bottom w:val="none" w:sz="0" w:space="0" w:color="auto"/>
        <w:right w:val="none" w:sz="0" w:space="0" w:color="auto"/>
      </w:divBdr>
    </w:div>
    <w:div w:id="93328532">
      <w:bodyDiv w:val="1"/>
      <w:marLeft w:val="0"/>
      <w:marRight w:val="0"/>
      <w:marTop w:val="0"/>
      <w:marBottom w:val="0"/>
      <w:divBdr>
        <w:top w:val="none" w:sz="0" w:space="0" w:color="auto"/>
        <w:left w:val="none" w:sz="0" w:space="0" w:color="auto"/>
        <w:bottom w:val="none" w:sz="0" w:space="0" w:color="auto"/>
        <w:right w:val="none" w:sz="0" w:space="0" w:color="auto"/>
      </w:divBdr>
    </w:div>
    <w:div w:id="98837969">
      <w:bodyDiv w:val="1"/>
      <w:marLeft w:val="0"/>
      <w:marRight w:val="0"/>
      <w:marTop w:val="0"/>
      <w:marBottom w:val="0"/>
      <w:divBdr>
        <w:top w:val="none" w:sz="0" w:space="0" w:color="auto"/>
        <w:left w:val="none" w:sz="0" w:space="0" w:color="auto"/>
        <w:bottom w:val="none" w:sz="0" w:space="0" w:color="auto"/>
        <w:right w:val="none" w:sz="0" w:space="0" w:color="auto"/>
      </w:divBdr>
    </w:div>
    <w:div w:id="101147278">
      <w:bodyDiv w:val="1"/>
      <w:marLeft w:val="0"/>
      <w:marRight w:val="0"/>
      <w:marTop w:val="0"/>
      <w:marBottom w:val="0"/>
      <w:divBdr>
        <w:top w:val="none" w:sz="0" w:space="0" w:color="auto"/>
        <w:left w:val="none" w:sz="0" w:space="0" w:color="auto"/>
        <w:bottom w:val="none" w:sz="0" w:space="0" w:color="auto"/>
        <w:right w:val="none" w:sz="0" w:space="0" w:color="auto"/>
      </w:divBdr>
    </w:div>
    <w:div w:id="102653717">
      <w:bodyDiv w:val="1"/>
      <w:marLeft w:val="0"/>
      <w:marRight w:val="0"/>
      <w:marTop w:val="0"/>
      <w:marBottom w:val="0"/>
      <w:divBdr>
        <w:top w:val="none" w:sz="0" w:space="0" w:color="auto"/>
        <w:left w:val="none" w:sz="0" w:space="0" w:color="auto"/>
        <w:bottom w:val="none" w:sz="0" w:space="0" w:color="auto"/>
        <w:right w:val="none" w:sz="0" w:space="0" w:color="auto"/>
      </w:divBdr>
    </w:div>
    <w:div w:id="116527330">
      <w:bodyDiv w:val="1"/>
      <w:marLeft w:val="0"/>
      <w:marRight w:val="0"/>
      <w:marTop w:val="0"/>
      <w:marBottom w:val="0"/>
      <w:divBdr>
        <w:top w:val="none" w:sz="0" w:space="0" w:color="auto"/>
        <w:left w:val="none" w:sz="0" w:space="0" w:color="auto"/>
        <w:bottom w:val="none" w:sz="0" w:space="0" w:color="auto"/>
        <w:right w:val="none" w:sz="0" w:space="0" w:color="auto"/>
      </w:divBdr>
    </w:div>
    <w:div w:id="140509871">
      <w:bodyDiv w:val="1"/>
      <w:marLeft w:val="0"/>
      <w:marRight w:val="0"/>
      <w:marTop w:val="0"/>
      <w:marBottom w:val="0"/>
      <w:divBdr>
        <w:top w:val="none" w:sz="0" w:space="0" w:color="auto"/>
        <w:left w:val="none" w:sz="0" w:space="0" w:color="auto"/>
        <w:bottom w:val="none" w:sz="0" w:space="0" w:color="auto"/>
        <w:right w:val="none" w:sz="0" w:space="0" w:color="auto"/>
      </w:divBdr>
    </w:div>
    <w:div w:id="153689322">
      <w:bodyDiv w:val="1"/>
      <w:marLeft w:val="0"/>
      <w:marRight w:val="0"/>
      <w:marTop w:val="0"/>
      <w:marBottom w:val="0"/>
      <w:divBdr>
        <w:top w:val="none" w:sz="0" w:space="0" w:color="auto"/>
        <w:left w:val="none" w:sz="0" w:space="0" w:color="auto"/>
        <w:bottom w:val="none" w:sz="0" w:space="0" w:color="auto"/>
        <w:right w:val="none" w:sz="0" w:space="0" w:color="auto"/>
      </w:divBdr>
    </w:div>
    <w:div w:id="163712091">
      <w:bodyDiv w:val="1"/>
      <w:marLeft w:val="0"/>
      <w:marRight w:val="0"/>
      <w:marTop w:val="0"/>
      <w:marBottom w:val="0"/>
      <w:divBdr>
        <w:top w:val="none" w:sz="0" w:space="0" w:color="auto"/>
        <w:left w:val="none" w:sz="0" w:space="0" w:color="auto"/>
        <w:bottom w:val="none" w:sz="0" w:space="0" w:color="auto"/>
        <w:right w:val="none" w:sz="0" w:space="0" w:color="auto"/>
      </w:divBdr>
    </w:div>
    <w:div w:id="164706252">
      <w:bodyDiv w:val="1"/>
      <w:marLeft w:val="0"/>
      <w:marRight w:val="0"/>
      <w:marTop w:val="0"/>
      <w:marBottom w:val="0"/>
      <w:divBdr>
        <w:top w:val="none" w:sz="0" w:space="0" w:color="auto"/>
        <w:left w:val="none" w:sz="0" w:space="0" w:color="auto"/>
        <w:bottom w:val="none" w:sz="0" w:space="0" w:color="auto"/>
        <w:right w:val="none" w:sz="0" w:space="0" w:color="auto"/>
      </w:divBdr>
    </w:div>
    <w:div w:id="165170550">
      <w:bodyDiv w:val="1"/>
      <w:marLeft w:val="0"/>
      <w:marRight w:val="0"/>
      <w:marTop w:val="0"/>
      <w:marBottom w:val="0"/>
      <w:divBdr>
        <w:top w:val="none" w:sz="0" w:space="0" w:color="auto"/>
        <w:left w:val="none" w:sz="0" w:space="0" w:color="auto"/>
        <w:bottom w:val="none" w:sz="0" w:space="0" w:color="auto"/>
        <w:right w:val="none" w:sz="0" w:space="0" w:color="auto"/>
      </w:divBdr>
    </w:div>
    <w:div w:id="165367397">
      <w:bodyDiv w:val="1"/>
      <w:marLeft w:val="0"/>
      <w:marRight w:val="0"/>
      <w:marTop w:val="0"/>
      <w:marBottom w:val="0"/>
      <w:divBdr>
        <w:top w:val="none" w:sz="0" w:space="0" w:color="auto"/>
        <w:left w:val="none" w:sz="0" w:space="0" w:color="auto"/>
        <w:bottom w:val="none" w:sz="0" w:space="0" w:color="auto"/>
        <w:right w:val="none" w:sz="0" w:space="0" w:color="auto"/>
      </w:divBdr>
    </w:div>
    <w:div w:id="193158942">
      <w:bodyDiv w:val="1"/>
      <w:marLeft w:val="0"/>
      <w:marRight w:val="0"/>
      <w:marTop w:val="0"/>
      <w:marBottom w:val="0"/>
      <w:divBdr>
        <w:top w:val="none" w:sz="0" w:space="0" w:color="auto"/>
        <w:left w:val="none" w:sz="0" w:space="0" w:color="auto"/>
        <w:bottom w:val="none" w:sz="0" w:space="0" w:color="auto"/>
        <w:right w:val="none" w:sz="0" w:space="0" w:color="auto"/>
      </w:divBdr>
    </w:div>
    <w:div w:id="204804660">
      <w:bodyDiv w:val="1"/>
      <w:marLeft w:val="0"/>
      <w:marRight w:val="0"/>
      <w:marTop w:val="0"/>
      <w:marBottom w:val="0"/>
      <w:divBdr>
        <w:top w:val="none" w:sz="0" w:space="0" w:color="auto"/>
        <w:left w:val="none" w:sz="0" w:space="0" w:color="auto"/>
        <w:bottom w:val="none" w:sz="0" w:space="0" w:color="auto"/>
        <w:right w:val="none" w:sz="0" w:space="0" w:color="auto"/>
      </w:divBdr>
    </w:div>
    <w:div w:id="218637543">
      <w:bodyDiv w:val="1"/>
      <w:marLeft w:val="0"/>
      <w:marRight w:val="0"/>
      <w:marTop w:val="0"/>
      <w:marBottom w:val="0"/>
      <w:divBdr>
        <w:top w:val="none" w:sz="0" w:space="0" w:color="auto"/>
        <w:left w:val="none" w:sz="0" w:space="0" w:color="auto"/>
        <w:bottom w:val="none" w:sz="0" w:space="0" w:color="auto"/>
        <w:right w:val="none" w:sz="0" w:space="0" w:color="auto"/>
      </w:divBdr>
    </w:div>
    <w:div w:id="222181285">
      <w:bodyDiv w:val="1"/>
      <w:marLeft w:val="0"/>
      <w:marRight w:val="0"/>
      <w:marTop w:val="0"/>
      <w:marBottom w:val="0"/>
      <w:divBdr>
        <w:top w:val="none" w:sz="0" w:space="0" w:color="auto"/>
        <w:left w:val="none" w:sz="0" w:space="0" w:color="auto"/>
        <w:bottom w:val="none" w:sz="0" w:space="0" w:color="auto"/>
        <w:right w:val="none" w:sz="0" w:space="0" w:color="auto"/>
      </w:divBdr>
    </w:div>
    <w:div w:id="226113969">
      <w:bodyDiv w:val="1"/>
      <w:marLeft w:val="0"/>
      <w:marRight w:val="0"/>
      <w:marTop w:val="0"/>
      <w:marBottom w:val="0"/>
      <w:divBdr>
        <w:top w:val="none" w:sz="0" w:space="0" w:color="auto"/>
        <w:left w:val="none" w:sz="0" w:space="0" w:color="auto"/>
        <w:bottom w:val="none" w:sz="0" w:space="0" w:color="auto"/>
        <w:right w:val="none" w:sz="0" w:space="0" w:color="auto"/>
      </w:divBdr>
    </w:div>
    <w:div w:id="241451344">
      <w:bodyDiv w:val="1"/>
      <w:marLeft w:val="0"/>
      <w:marRight w:val="0"/>
      <w:marTop w:val="0"/>
      <w:marBottom w:val="0"/>
      <w:divBdr>
        <w:top w:val="none" w:sz="0" w:space="0" w:color="auto"/>
        <w:left w:val="none" w:sz="0" w:space="0" w:color="auto"/>
        <w:bottom w:val="none" w:sz="0" w:space="0" w:color="auto"/>
        <w:right w:val="none" w:sz="0" w:space="0" w:color="auto"/>
      </w:divBdr>
    </w:div>
    <w:div w:id="241834428">
      <w:bodyDiv w:val="1"/>
      <w:marLeft w:val="0"/>
      <w:marRight w:val="0"/>
      <w:marTop w:val="0"/>
      <w:marBottom w:val="0"/>
      <w:divBdr>
        <w:top w:val="none" w:sz="0" w:space="0" w:color="auto"/>
        <w:left w:val="none" w:sz="0" w:space="0" w:color="auto"/>
        <w:bottom w:val="none" w:sz="0" w:space="0" w:color="auto"/>
        <w:right w:val="none" w:sz="0" w:space="0" w:color="auto"/>
      </w:divBdr>
    </w:div>
    <w:div w:id="262885333">
      <w:bodyDiv w:val="1"/>
      <w:marLeft w:val="0"/>
      <w:marRight w:val="0"/>
      <w:marTop w:val="0"/>
      <w:marBottom w:val="0"/>
      <w:divBdr>
        <w:top w:val="none" w:sz="0" w:space="0" w:color="auto"/>
        <w:left w:val="none" w:sz="0" w:space="0" w:color="auto"/>
        <w:bottom w:val="none" w:sz="0" w:space="0" w:color="auto"/>
        <w:right w:val="none" w:sz="0" w:space="0" w:color="auto"/>
      </w:divBdr>
    </w:div>
    <w:div w:id="278337037">
      <w:bodyDiv w:val="1"/>
      <w:marLeft w:val="0"/>
      <w:marRight w:val="0"/>
      <w:marTop w:val="0"/>
      <w:marBottom w:val="0"/>
      <w:divBdr>
        <w:top w:val="none" w:sz="0" w:space="0" w:color="auto"/>
        <w:left w:val="none" w:sz="0" w:space="0" w:color="auto"/>
        <w:bottom w:val="none" w:sz="0" w:space="0" w:color="auto"/>
        <w:right w:val="none" w:sz="0" w:space="0" w:color="auto"/>
      </w:divBdr>
    </w:div>
    <w:div w:id="289670392">
      <w:bodyDiv w:val="1"/>
      <w:marLeft w:val="0"/>
      <w:marRight w:val="0"/>
      <w:marTop w:val="0"/>
      <w:marBottom w:val="0"/>
      <w:divBdr>
        <w:top w:val="none" w:sz="0" w:space="0" w:color="auto"/>
        <w:left w:val="none" w:sz="0" w:space="0" w:color="auto"/>
        <w:bottom w:val="none" w:sz="0" w:space="0" w:color="auto"/>
        <w:right w:val="none" w:sz="0" w:space="0" w:color="auto"/>
      </w:divBdr>
    </w:div>
    <w:div w:id="315496365">
      <w:bodyDiv w:val="1"/>
      <w:marLeft w:val="0"/>
      <w:marRight w:val="0"/>
      <w:marTop w:val="0"/>
      <w:marBottom w:val="0"/>
      <w:divBdr>
        <w:top w:val="none" w:sz="0" w:space="0" w:color="auto"/>
        <w:left w:val="none" w:sz="0" w:space="0" w:color="auto"/>
        <w:bottom w:val="none" w:sz="0" w:space="0" w:color="auto"/>
        <w:right w:val="none" w:sz="0" w:space="0" w:color="auto"/>
      </w:divBdr>
    </w:div>
    <w:div w:id="318964506">
      <w:bodyDiv w:val="1"/>
      <w:marLeft w:val="0"/>
      <w:marRight w:val="0"/>
      <w:marTop w:val="0"/>
      <w:marBottom w:val="0"/>
      <w:divBdr>
        <w:top w:val="none" w:sz="0" w:space="0" w:color="auto"/>
        <w:left w:val="none" w:sz="0" w:space="0" w:color="auto"/>
        <w:bottom w:val="none" w:sz="0" w:space="0" w:color="auto"/>
        <w:right w:val="none" w:sz="0" w:space="0" w:color="auto"/>
      </w:divBdr>
      <w:divsChild>
        <w:div w:id="443615227">
          <w:marLeft w:val="0"/>
          <w:marRight w:val="0"/>
          <w:marTop w:val="0"/>
          <w:marBottom w:val="0"/>
          <w:divBdr>
            <w:top w:val="none" w:sz="0" w:space="0" w:color="auto"/>
            <w:left w:val="none" w:sz="0" w:space="0" w:color="auto"/>
            <w:bottom w:val="none" w:sz="0" w:space="0" w:color="auto"/>
            <w:right w:val="none" w:sz="0" w:space="0" w:color="auto"/>
          </w:divBdr>
        </w:div>
        <w:div w:id="734401211">
          <w:marLeft w:val="0"/>
          <w:marRight w:val="0"/>
          <w:marTop w:val="0"/>
          <w:marBottom w:val="0"/>
          <w:divBdr>
            <w:top w:val="none" w:sz="0" w:space="0" w:color="auto"/>
            <w:left w:val="none" w:sz="0" w:space="0" w:color="auto"/>
            <w:bottom w:val="none" w:sz="0" w:space="0" w:color="auto"/>
            <w:right w:val="none" w:sz="0" w:space="0" w:color="auto"/>
          </w:divBdr>
        </w:div>
      </w:divsChild>
    </w:div>
    <w:div w:id="321547227">
      <w:bodyDiv w:val="1"/>
      <w:marLeft w:val="0"/>
      <w:marRight w:val="0"/>
      <w:marTop w:val="0"/>
      <w:marBottom w:val="0"/>
      <w:divBdr>
        <w:top w:val="none" w:sz="0" w:space="0" w:color="auto"/>
        <w:left w:val="none" w:sz="0" w:space="0" w:color="auto"/>
        <w:bottom w:val="none" w:sz="0" w:space="0" w:color="auto"/>
        <w:right w:val="none" w:sz="0" w:space="0" w:color="auto"/>
      </w:divBdr>
    </w:div>
    <w:div w:id="347104380">
      <w:bodyDiv w:val="1"/>
      <w:marLeft w:val="0"/>
      <w:marRight w:val="0"/>
      <w:marTop w:val="0"/>
      <w:marBottom w:val="0"/>
      <w:divBdr>
        <w:top w:val="none" w:sz="0" w:space="0" w:color="auto"/>
        <w:left w:val="none" w:sz="0" w:space="0" w:color="auto"/>
        <w:bottom w:val="none" w:sz="0" w:space="0" w:color="auto"/>
        <w:right w:val="none" w:sz="0" w:space="0" w:color="auto"/>
      </w:divBdr>
    </w:div>
    <w:div w:id="348524989">
      <w:bodyDiv w:val="1"/>
      <w:marLeft w:val="0"/>
      <w:marRight w:val="0"/>
      <w:marTop w:val="0"/>
      <w:marBottom w:val="0"/>
      <w:divBdr>
        <w:top w:val="none" w:sz="0" w:space="0" w:color="auto"/>
        <w:left w:val="none" w:sz="0" w:space="0" w:color="auto"/>
        <w:bottom w:val="none" w:sz="0" w:space="0" w:color="auto"/>
        <w:right w:val="none" w:sz="0" w:space="0" w:color="auto"/>
      </w:divBdr>
    </w:div>
    <w:div w:id="363944458">
      <w:bodyDiv w:val="1"/>
      <w:marLeft w:val="0"/>
      <w:marRight w:val="0"/>
      <w:marTop w:val="0"/>
      <w:marBottom w:val="0"/>
      <w:divBdr>
        <w:top w:val="none" w:sz="0" w:space="0" w:color="auto"/>
        <w:left w:val="none" w:sz="0" w:space="0" w:color="auto"/>
        <w:bottom w:val="none" w:sz="0" w:space="0" w:color="auto"/>
        <w:right w:val="none" w:sz="0" w:space="0" w:color="auto"/>
      </w:divBdr>
    </w:div>
    <w:div w:id="371613724">
      <w:bodyDiv w:val="1"/>
      <w:marLeft w:val="0"/>
      <w:marRight w:val="0"/>
      <w:marTop w:val="0"/>
      <w:marBottom w:val="0"/>
      <w:divBdr>
        <w:top w:val="none" w:sz="0" w:space="0" w:color="auto"/>
        <w:left w:val="none" w:sz="0" w:space="0" w:color="auto"/>
        <w:bottom w:val="none" w:sz="0" w:space="0" w:color="auto"/>
        <w:right w:val="none" w:sz="0" w:space="0" w:color="auto"/>
      </w:divBdr>
    </w:div>
    <w:div w:id="391080111">
      <w:bodyDiv w:val="1"/>
      <w:marLeft w:val="0"/>
      <w:marRight w:val="0"/>
      <w:marTop w:val="0"/>
      <w:marBottom w:val="0"/>
      <w:divBdr>
        <w:top w:val="none" w:sz="0" w:space="0" w:color="auto"/>
        <w:left w:val="none" w:sz="0" w:space="0" w:color="auto"/>
        <w:bottom w:val="none" w:sz="0" w:space="0" w:color="auto"/>
        <w:right w:val="none" w:sz="0" w:space="0" w:color="auto"/>
      </w:divBdr>
    </w:div>
    <w:div w:id="399905644">
      <w:bodyDiv w:val="1"/>
      <w:marLeft w:val="0"/>
      <w:marRight w:val="0"/>
      <w:marTop w:val="0"/>
      <w:marBottom w:val="0"/>
      <w:divBdr>
        <w:top w:val="none" w:sz="0" w:space="0" w:color="auto"/>
        <w:left w:val="none" w:sz="0" w:space="0" w:color="auto"/>
        <w:bottom w:val="none" w:sz="0" w:space="0" w:color="auto"/>
        <w:right w:val="none" w:sz="0" w:space="0" w:color="auto"/>
      </w:divBdr>
    </w:div>
    <w:div w:id="414479196">
      <w:bodyDiv w:val="1"/>
      <w:marLeft w:val="0"/>
      <w:marRight w:val="0"/>
      <w:marTop w:val="0"/>
      <w:marBottom w:val="0"/>
      <w:divBdr>
        <w:top w:val="none" w:sz="0" w:space="0" w:color="auto"/>
        <w:left w:val="none" w:sz="0" w:space="0" w:color="auto"/>
        <w:bottom w:val="none" w:sz="0" w:space="0" w:color="auto"/>
        <w:right w:val="none" w:sz="0" w:space="0" w:color="auto"/>
      </w:divBdr>
    </w:div>
    <w:div w:id="426733309">
      <w:bodyDiv w:val="1"/>
      <w:marLeft w:val="0"/>
      <w:marRight w:val="0"/>
      <w:marTop w:val="0"/>
      <w:marBottom w:val="0"/>
      <w:divBdr>
        <w:top w:val="none" w:sz="0" w:space="0" w:color="auto"/>
        <w:left w:val="none" w:sz="0" w:space="0" w:color="auto"/>
        <w:bottom w:val="none" w:sz="0" w:space="0" w:color="auto"/>
        <w:right w:val="none" w:sz="0" w:space="0" w:color="auto"/>
      </w:divBdr>
    </w:div>
    <w:div w:id="428740454">
      <w:bodyDiv w:val="1"/>
      <w:marLeft w:val="0"/>
      <w:marRight w:val="0"/>
      <w:marTop w:val="0"/>
      <w:marBottom w:val="0"/>
      <w:divBdr>
        <w:top w:val="none" w:sz="0" w:space="0" w:color="auto"/>
        <w:left w:val="none" w:sz="0" w:space="0" w:color="auto"/>
        <w:bottom w:val="none" w:sz="0" w:space="0" w:color="auto"/>
        <w:right w:val="none" w:sz="0" w:space="0" w:color="auto"/>
      </w:divBdr>
    </w:div>
    <w:div w:id="443690074">
      <w:bodyDiv w:val="1"/>
      <w:marLeft w:val="0"/>
      <w:marRight w:val="0"/>
      <w:marTop w:val="0"/>
      <w:marBottom w:val="0"/>
      <w:divBdr>
        <w:top w:val="none" w:sz="0" w:space="0" w:color="auto"/>
        <w:left w:val="none" w:sz="0" w:space="0" w:color="auto"/>
        <w:bottom w:val="none" w:sz="0" w:space="0" w:color="auto"/>
        <w:right w:val="none" w:sz="0" w:space="0" w:color="auto"/>
      </w:divBdr>
    </w:div>
    <w:div w:id="449203923">
      <w:bodyDiv w:val="1"/>
      <w:marLeft w:val="0"/>
      <w:marRight w:val="0"/>
      <w:marTop w:val="0"/>
      <w:marBottom w:val="0"/>
      <w:divBdr>
        <w:top w:val="none" w:sz="0" w:space="0" w:color="auto"/>
        <w:left w:val="none" w:sz="0" w:space="0" w:color="auto"/>
        <w:bottom w:val="none" w:sz="0" w:space="0" w:color="auto"/>
        <w:right w:val="none" w:sz="0" w:space="0" w:color="auto"/>
      </w:divBdr>
    </w:div>
    <w:div w:id="462845772">
      <w:bodyDiv w:val="1"/>
      <w:marLeft w:val="0"/>
      <w:marRight w:val="0"/>
      <w:marTop w:val="0"/>
      <w:marBottom w:val="0"/>
      <w:divBdr>
        <w:top w:val="none" w:sz="0" w:space="0" w:color="auto"/>
        <w:left w:val="none" w:sz="0" w:space="0" w:color="auto"/>
        <w:bottom w:val="none" w:sz="0" w:space="0" w:color="auto"/>
        <w:right w:val="none" w:sz="0" w:space="0" w:color="auto"/>
      </w:divBdr>
    </w:div>
    <w:div w:id="465511481">
      <w:bodyDiv w:val="1"/>
      <w:marLeft w:val="0"/>
      <w:marRight w:val="0"/>
      <w:marTop w:val="0"/>
      <w:marBottom w:val="0"/>
      <w:divBdr>
        <w:top w:val="none" w:sz="0" w:space="0" w:color="auto"/>
        <w:left w:val="none" w:sz="0" w:space="0" w:color="auto"/>
        <w:bottom w:val="none" w:sz="0" w:space="0" w:color="auto"/>
        <w:right w:val="none" w:sz="0" w:space="0" w:color="auto"/>
      </w:divBdr>
    </w:div>
    <w:div w:id="485511860">
      <w:bodyDiv w:val="1"/>
      <w:marLeft w:val="0"/>
      <w:marRight w:val="0"/>
      <w:marTop w:val="0"/>
      <w:marBottom w:val="0"/>
      <w:divBdr>
        <w:top w:val="none" w:sz="0" w:space="0" w:color="auto"/>
        <w:left w:val="none" w:sz="0" w:space="0" w:color="auto"/>
        <w:bottom w:val="none" w:sz="0" w:space="0" w:color="auto"/>
        <w:right w:val="none" w:sz="0" w:space="0" w:color="auto"/>
      </w:divBdr>
    </w:div>
    <w:div w:id="490872383">
      <w:bodyDiv w:val="1"/>
      <w:marLeft w:val="0"/>
      <w:marRight w:val="0"/>
      <w:marTop w:val="0"/>
      <w:marBottom w:val="0"/>
      <w:divBdr>
        <w:top w:val="none" w:sz="0" w:space="0" w:color="auto"/>
        <w:left w:val="none" w:sz="0" w:space="0" w:color="auto"/>
        <w:bottom w:val="none" w:sz="0" w:space="0" w:color="auto"/>
        <w:right w:val="none" w:sz="0" w:space="0" w:color="auto"/>
      </w:divBdr>
    </w:div>
    <w:div w:id="493692551">
      <w:bodyDiv w:val="1"/>
      <w:marLeft w:val="0"/>
      <w:marRight w:val="0"/>
      <w:marTop w:val="0"/>
      <w:marBottom w:val="0"/>
      <w:divBdr>
        <w:top w:val="none" w:sz="0" w:space="0" w:color="auto"/>
        <w:left w:val="none" w:sz="0" w:space="0" w:color="auto"/>
        <w:bottom w:val="none" w:sz="0" w:space="0" w:color="auto"/>
        <w:right w:val="none" w:sz="0" w:space="0" w:color="auto"/>
      </w:divBdr>
    </w:div>
    <w:div w:id="495264946">
      <w:bodyDiv w:val="1"/>
      <w:marLeft w:val="0"/>
      <w:marRight w:val="0"/>
      <w:marTop w:val="0"/>
      <w:marBottom w:val="0"/>
      <w:divBdr>
        <w:top w:val="none" w:sz="0" w:space="0" w:color="auto"/>
        <w:left w:val="none" w:sz="0" w:space="0" w:color="auto"/>
        <w:bottom w:val="none" w:sz="0" w:space="0" w:color="auto"/>
        <w:right w:val="none" w:sz="0" w:space="0" w:color="auto"/>
      </w:divBdr>
    </w:div>
    <w:div w:id="499737408">
      <w:bodyDiv w:val="1"/>
      <w:marLeft w:val="0"/>
      <w:marRight w:val="0"/>
      <w:marTop w:val="0"/>
      <w:marBottom w:val="0"/>
      <w:divBdr>
        <w:top w:val="none" w:sz="0" w:space="0" w:color="auto"/>
        <w:left w:val="none" w:sz="0" w:space="0" w:color="auto"/>
        <w:bottom w:val="none" w:sz="0" w:space="0" w:color="auto"/>
        <w:right w:val="none" w:sz="0" w:space="0" w:color="auto"/>
      </w:divBdr>
    </w:div>
    <w:div w:id="512035094">
      <w:bodyDiv w:val="1"/>
      <w:marLeft w:val="0"/>
      <w:marRight w:val="0"/>
      <w:marTop w:val="0"/>
      <w:marBottom w:val="0"/>
      <w:divBdr>
        <w:top w:val="none" w:sz="0" w:space="0" w:color="auto"/>
        <w:left w:val="none" w:sz="0" w:space="0" w:color="auto"/>
        <w:bottom w:val="none" w:sz="0" w:space="0" w:color="auto"/>
        <w:right w:val="none" w:sz="0" w:space="0" w:color="auto"/>
      </w:divBdr>
    </w:div>
    <w:div w:id="524563585">
      <w:bodyDiv w:val="1"/>
      <w:marLeft w:val="0"/>
      <w:marRight w:val="0"/>
      <w:marTop w:val="0"/>
      <w:marBottom w:val="0"/>
      <w:divBdr>
        <w:top w:val="none" w:sz="0" w:space="0" w:color="auto"/>
        <w:left w:val="none" w:sz="0" w:space="0" w:color="auto"/>
        <w:bottom w:val="none" w:sz="0" w:space="0" w:color="auto"/>
        <w:right w:val="none" w:sz="0" w:space="0" w:color="auto"/>
      </w:divBdr>
    </w:div>
    <w:div w:id="551233140">
      <w:bodyDiv w:val="1"/>
      <w:marLeft w:val="0"/>
      <w:marRight w:val="0"/>
      <w:marTop w:val="0"/>
      <w:marBottom w:val="0"/>
      <w:divBdr>
        <w:top w:val="none" w:sz="0" w:space="0" w:color="auto"/>
        <w:left w:val="none" w:sz="0" w:space="0" w:color="auto"/>
        <w:bottom w:val="none" w:sz="0" w:space="0" w:color="auto"/>
        <w:right w:val="none" w:sz="0" w:space="0" w:color="auto"/>
      </w:divBdr>
    </w:div>
    <w:div w:id="551813752">
      <w:bodyDiv w:val="1"/>
      <w:marLeft w:val="0"/>
      <w:marRight w:val="0"/>
      <w:marTop w:val="0"/>
      <w:marBottom w:val="0"/>
      <w:divBdr>
        <w:top w:val="none" w:sz="0" w:space="0" w:color="auto"/>
        <w:left w:val="none" w:sz="0" w:space="0" w:color="auto"/>
        <w:bottom w:val="none" w:sz="0" w:space="0" w:color="auto"/>
        <w:right w:val="none" w:sz="0" w:space="0" w:color="auto"/>
      </w:divBdr>
    </w:div>
    <w:div w:id="575045333">
      <w:bodyDiv w:val="1"/>
      <w:marLeft w:val="0"/>
      <w:marRight w:val="0"/>
      <w:marTop w:val="0"/>
      <w:marBottom w:val="0"/>
      <w:divBdr>
        <w:top w:val="none" w:sz="0" w:space="0" w:color="auto"/>
        <w:left w:val="none" w:sz="0" w:space="0" w:color="auto"/>
        <w:bottom w:val="none" w:sz="0" w:space="0" w:color="auto"/>
        <w:right w:val="none" w:sz="0" w:space="0" w:color="auto"/>
      </w:divBdr>
    </w:div>
    <w:div w:id="597180588">
      <w:bodyDiv w:val="1"/>
      <w:marLeft w:val="0"/>
      <w:marRight w:val="0"/>
      <w:marTop w:val="0"/>
      <w:marBottom w:val="0"/>
      <w:divBdr>
        <w:top w:val="none" w:sz="0" w:space="0" w:color="auto"/>
        <w:left w:val="none" w:sz="0" w:space="0" w:color="auto"/>
        <w:bottom w:val="none" w:sz="0" w:space="0" w:color="auto"/>
        <w:right w:val="none" w:sz="0" w:space="0" w:color="auto"/>
      </w:divBdr>
    </w:div>
    <w:div w:id="598100071">
      <w:bodyDiv w:val="1"/>
      <w:marLeft w:val="0"/>
      <w:marRight w:val="0"/>
      <w:marTop w:val="0"/>
      <w:marBottom w:val="0"/>
      <w:divBdr>
        <w:top w:val="none" w:sz="0" w:space="0" w:color="auto"/>
        <w:left w:val="none" w:sz="0" w:space="0" w:color="auto"/>
        <w:bottom w:val="none" w:sz="0" w:space="0" w:color="auto"/>
        <w:right w:val="none" w:sz="0" w:space="0" w:color="auto"/>
      </w:divBdr>
    </w:div>
    <w:div w:id="605312162">
      <w:bodyDiv w:val="1"/>
      <w:marLeft w:val="0"/>
      <w:marRight w:val="0"/>
      <w:marTop w:val="0"/>
      <w:marBottom w:val="0"/>
      <w:divBdr>
        <w:top w:val="none" w:sz="0" w:space="0" w:color="auto"/>
        <w:left w:val="none" w:sz="0" w:space="0" w:color="auto"/>
        <w:bottom w:val="none" w:sz="0" w:space="0" w:color="auto"/>
        <w:right w:val="none" w:sz="0" w:space="0" w:color="auto"/>
      </w:divBdr>
    </w:div>
    <w:div w:id="633293512">
      <w:bodyDiv w:val="1"/>
      <w:marLeft w:val="0"/>
      <w:marRight w:val="0"/>
      <w:marTop w:val="0"/>
      <w:marBottom w:val="0"/>
      <w:divBdr>
        <w:top w:val="none" w:sz="0" w:space="0" w:color="auto"/>
        <w:left w:val="none" w:sz="0" w:space="0" w:color="auto"/>
        <w:bottom w:val="none" w:sz="0" w:space="0" w:color="auto"/>
        <w:right w:val="none" w:sz="0" w:space="0" w:color="auto"/>
      </w:divBdr>
    </w:div>
    <w:div w:id="640039363">
      <w:bodyDiv w:val="1"/>
      <w:marLeft w:val="0"/>
      <w:marRight w:val="0"/>
      <w:marTop w:val="0"/>
      <w:marBottom w:val="0"/>
      <w:divBdr>
        <w:top w:val="none" w:sz="0" w:space="0" w:color="auto"/>
        <w:left w:val="none" w:sz="0" w:space="0" w:color="auto"/>
        <w:bottom w:val="none" w:sz="0" w:space="0" w:color="auto"/>
        <w:right w:val="none" w:sz="0" w:space="0" w:color="auto"/>
      </w:divBdr>
    </w:div>
    <w:div w:id="682439665">
      <w:bodyDiv w:val="1"/>
      <w:marLeft w:val="0"/>
      <w:marRight w:val="0"/>
      <w:marTop w:val="0"/>
      <w:marBottom w:val="0"/>
      <w:divBdr>
        <w:top w:val="none" w:sz="0" w:space="0" w:color="auto"/>
        <w:left w:val="none" w:sz="0" w:space="0" w:color="auto"/>
        <w:bottom w:val="none" w:sz="0" w:space="0" w:color="auto"/>
        <w:right w:val="none" w:sz="0" w:space="0" w:color="auto"/>
      </w:divBdr>
    </w:div>
    <w:div w:id="701589210">
      <w:bodyDiv w:val="1"/>
      <w:marLeft w:val="0"/>
      <w:marRight w:val="0"/>
      <w:marTop w:val="0"/>
      <w:marBottom w:val="0"/>
      <w:divBdr>
        <w:top w:val="none" w:sz="0" w:space="0" w:color="auto"/>
        <w:left w:val="none" w:sz="0" w:space="0" w:color="auto"/>
        <w:bottom w:val="none" w:sz="0" w:space="0" w:color="auto"/>
        <w:right w:val="none" w:sz="0" w:space="0" w:color="auto"/>
      </w:divBdr>
    </w:div>
    <w:div w:id="704983787">
      <w:bodyDiv w:val="1"/>
      <w:marLeft w:val="0"/>
      <w:marRight w:val="0"/>
      <w:marTop w:val="0"/>
      <w:marBottom w:val="0"/>
      <w:divBdr>
        <w:top w:val="none" w:sz="0" w:space="0" w:color="auto"/>
        <w:left w:val="none" w:sz="0" w:space="0" w:color="auto"/>
        <w:bottom w:val="none" w:sz="0" w:space="0" w:color="auto"/>
        <w:right w:val="none" w:sz="0" w:space="0" w:color="auto"/>
      </w:divBdr>
    </w:div>
    <w:div w:id="706562985">
      <w:bodyDiv w:val="1"/>
      <w:marLeft w:val="0"/>
      <w:marRight w:val="0"/>
      <w:marTop w:val="0"/>
      <w:marBottom w:val="0"/>
      <w:divBdr>
        <w:top w:val="none" w:sz="0" w:space="0" w:color="auto"/>
        <w:left w:val="none" w:sz="0" w:space="0" w:color="auto"/>
        <w:bottom w:val="none" w:sz="0" w:space="0" w:color="auto"/>
        <w:right w:val="none" w:sz="0" w:space="0" w:color="auto"/>
      </w:divBdr>
    </w:div>
    <w:div w:id="714277290">
      <w:bodyDiv w:val="1"/>
      <w:marLeft w:val="0"/>
      <w:marRight w:val="0"/>
      <w:marTop w:val="0"/>
      <w:marBottom w:val="0"/>
      <w:divBdr>
        <w:top w:val="none" w:sz="0" w:space="0" w:color="auto"/>
        <w:left w:val="none" w:sz="0" w:space="0" w:color="auto"/>
        <w:bottom w:val="none" w:sz="0" w:space="0" w:color="auto"/>
        <w:right w:val="none" w:sz="0" w:space="0" w:color="auto"/>
      </w:divBdr>
    </w:div>
    <w:div w:id="715280550">
      <w:bodyDiv w:val="1"/>
      <w:marLeft w:val="0"/>
      <w:marRight w:val="0"/>
      <w:marTop w:val="0"/>
      <w:marBottom w:val="0"/>
      <w:divBdr>
        <w:top w:val="none" w:sz="0" w:space="0" w:color="auto"/>
        <w:left w:val="none" w:sz="0" w:space="0" w:color="auto"/>
        <w:bottom w:val="none" w:sz="0" w:space="0" w:color="auto"/>
        <w:right w:val="none" w:sz="0" w:space="0" w:color="auto"/>
      </w:divBdr>
    </w:div>
    <w:div w:id="717781959">
      <w:bodyDiv w:val="1"/>
      <w:marLeft w:val="0"/>
      <w:marRight w:val="0"/>
      <w:marTop w:val="0"/>
      <w:marBottom w:val="0"/>
      <w:divBdr>
        <w:top w:val="none" w:sz="0" w:space="0" w:color="auto"/>
        <w:left w:val="none" w:sz="0" w:space="0" w:color="auto"/>
        <w:bottom w:val="none" w:sz="0" w:space="0" w:color="auto"/>
        <w:right w:val="none" w:sz="0" w:space="0" w:color="auto"/>
      </w:divBdr>
    </w:div>
    <w:div w:id="725563875">
      <w:bodyDiv w:val="1"/>
      <w:marLeft w:val="0"/>
      <w:marRight w:val="0"/>
      <w:marTop w:val="0"/>
      <w:marBottom w:val="0"/>
      <w:divBdr>
        <w:top w:val="none" w:sz="0" w:space="0" w:color="auto"/>
        <w:left w:val="none" w:sz="0" w:space="0" w:color="auto"/>
        <w:bottom w:val="none" w:sz="0" w:space="0" w:color="auto"/>
        <w:right w:val="none" w:sz="0" w:space="0" w:color="auto"/>
      </w:divBdr>
    </w:div>
    <w:div w:id="732386933">
      <w:bodyDiv w:val="1"/>
      <w:marLeft w:val="0"/>
      <w:marRight w:val="0"/>
      <w:marTop w:val="0"/>
      <w:marBottom w:val="0"/>
      <w:divBdr>
        <w:top w:val="none" w:sz="0" w:space="0" w:color="auto"/>
        <w:left w:val="none" w:sz="0" w:space="0" w:color="auto"/>
        <w:bottom w:val="none" w:sz="0" w:space="0" w:color="auto"/>
        <w:right w:val="none" w:sz="0" w:space="0" w:color="auto"/>
      </w:divBdr>
    </w:div>
    <w:div w:id="736441578">
      <w:bodyDiv w:val="1"/>
      <w:marLeft w:val="0"/>
      <w:marRight w:val="0"/>
      <w:marTop w:val="0"/>
      <w:marBottom w:val="0"/>
      <w:divBdr>
        <w:top w:val="none" w:sz="0" w:space="0" w:color="auto"/>
        <w:left w:val="none" w:sz="0" w:space="0" w:color="auto"/>
        <w:bottom w:val="none" w:sz="0" w:space="0" w:color="auto"/>
        <w:right w:val="none" w:sz="0" w:space="0" w:color="auto"/>
      </w:divBdr>
    </w:div>
    <w:div w:id="747314677">
      <w:bodyDiv w:val="1"/>
      <w:marLeft w:val="0"/>
      <w:marRight w:val="0"/>
      <w:marTop w:val="0"/>
      <w:marBottom w:val="0"/>
      <w:divBdr>
        <w:top w:val="none" w:sz="0" w:space="0" w:color="auto"/>
        <w:left w:val="none" w:sz="0" w:space="0" w:color="auto"/>
        <w:bottom w:val="none" w:sz="0" w:space="0" w:color="auto"/>
        <w:right w:val="none" w:sz="0" w:space="0" w:color="auto"/>
      </w:divBdr>
    </w:div>
    <w:div w:id="761921541">
      <w:bodyDiv w:val="1"/>
      <w:marLeft w:val="0"/>
      <w:marRight w:val="0"/>
      <w:marTop w:val="0"/>
      <w:marBottom w:val="0"/>
      <w:divBdr>
        <w:top w:val="none" w:sz="0" w:space="0" w:color="auto"/>
        <w:left w:val="none" w:sz="0" w:space="0" w:color="auto"/>
        <w:bottom w:val="none" w:sz="0" w:space="0" w:color="auto"/>
        <w:right w:val="none" w:sz="0" w:space="0" w:color="auto"/>
      </w:divBdr>
    </w:div>
    <w:div w:id="775321662">
      <w:bodyDiv w:val="1"/>
      <w:marLeft w:val="0"/>
      <w:marRight w:val="0"/>
      <w:marTop w:val="0"/>
      <w:marBottom w:val="0"/>
      <w:divBdr>
        <w:top w:val="none" w:sz="0" w:space="0" w:color="auto"/>
        <w:left w:val="none" w:sz="0" w:space="0" w:color="auto"/>
        <w:bottom w:val="none" w:sz="0" w:space="0" w:color="auto"/>
        <w:right w:val="none" w:sz="0" w:space="0" w:color="auto"/>
      </w:divBdr>
    </w:div>
    <w:div w:id="781997133">
      <w:bodyDiv w:val="1"/>
      <w:marLeft w:val="0"/>
      <w:marRight w:val="0"/>
      <w:marTop w:val="0"/>
      <w:marBottom w:val="0"/>
      <w:divBdr>
        <w:top w:val="none" w:sz="0" w:space="0" w:color="auto"/>
        <w:left w:val="none" w:sz="0" w:space="0" w:color="auto"/>
        <w:bottom w:val="none" w:sz="0" w:space="0" w:color="auto"/>
        <w:right w:val="none" w:sz="0" w:space="0" w:color="auto"/>
      </w:divBdr>
    </w:div>
    <w:div w:id="795370273">
      <w:bodyDiv w:val="1"/>
      <w:marLeft w:val="0"/>
      <w:marRight w:val="0"/>
      <w:marTop w:val="0"/>
      <w:marBottom w:val="0"/>
      <w:divBdr>
        <w:top w:val="none" w:sz="0" w:space="0" w:color="auto"/>
        <w:left w:val="none" w:sz="0" w:space="0" w:color="auto"/>
        <w:bottom w:val="none" w:sz="0" w:space="0" w:color="auto"/>
        <w:right w:val="none" w:sz="0" w:space="0" w:color="auto"/>
      </w:divBdr>
    </w:div>
    <w:div w:id="811681240">
      <w:bodyDiv w:val="1"/>
      <w:marLeft w:val="0"/>
      <w:marRight w:val="0"/>
      <w:marTop w:val="0"/>
      <w:marBottom w:val="0"/>
      <w:divBdr>
        <w:top w:val="none" w:sz="0" w:space="0" w:color="auto"/>
        <w:left w:val="none" w:sz="0" w:space="0" w:color="auto"/>
        <w:bottom w:val="none" w:sz="0" w:space="0" w:color="auto"/>
        <w:right w:val="none" w:sz="0" w:space="0" w:color="auto"/>
      </w:divBdr>
    </w:div>
    <w:div w:id="811824556">
      <w:bodyDiv w:val="1"/>
      <w:marLeft w:val="0"/>
      <w:marRight w:val="0"/>
      <w:marTop w:val="0"/>
      <w:marBottom w:val="0"/>
      <w:divBdr>
        <w:top w:val="none" w:sz="0" w:space="0" w:color="auto"/>
        <w:left w:val="none" w:sz="0" w:space="0" w:color="auto"/>
        <w:bottom w:val="none" w:sz="0" w:space="0" w:color="auto"/>
        <w:right w:val="none" w:sz="0" w:space="0" w:color="auto"/>
      </w:divBdr>
    </w:div>
    <w:div w:id="816998579">
      <w:bodyDiv w:val="1"/>
      <w:marLeft w:val="0"/>
      <w:marRight w:val="0"/>
      <w:marTop w:val="0"/>
      <w:marBottom w:val="0"/>
      <w:divBdr>
        <w:top w:val="none" w:sz="0" w:space="0" w:color="auto"/>
        <w:left w:val="none" w:sz="0" w:space="0" w:color="auto"/>
        <w:bottom w:val="none" w:sz="0" w:space="0" w:color="auto"/>
        <w:right w:val="none" w:sz="0" w:space="0" w:color="auto"/>
      </w:divBdr>
    </w:div>
    <w:div w:id="845435317">
      <w:bodyDiv w:val="1"/>
      <w:marLeft w:val="0"/>
      <w:marRight w:val="0"/>
      <w:marTop w:val="0"/>
      <w:marBottom w:val="0"/>
      <w:divBdr>
        <w:top w:val="none" w:sz="0" w:space="0" w:color="auto"/>
        <w:left w:val="none" w:sz="0" w:space="0" w:color="auto"/>
        <w:bottom w:val="none" w:sz="0" w:space="0" w:color="auto"/>
        <w:right w:val="none" w:sz="0" w:space="0" w:color="auto"/>
      </w:divBdr>
    </w:div>
    <w:div w:id="845751885">
      <w:bodyDiv w:val="1"/>
      <w:marLeft w:val="0"/>
      <w:marRight w:val="0"/>
      <w:marTop w:val="0"/>
      <w:marBottom w:val="0"/>
      <w:divBdr>
        <w:top w:val="none" w:sz="0" w:space="0" w:color="auto"/>
        <w:left w:val="none" w:sz="0" w:space="0" w:color="auto"/>
        <w:bottom w:val="none" w:sz="0" w:space="0" w:color="auto"/>
        <w:right w:val="none" w:sz="0" w:space="0" w:color="auto"/>
      </w:divBdr>
    </w:div>
    <w:div w:id="851186190">
      <w:bodyDiv w:val="1"/>
      <w:marLeft w:val="0"/>
      <w:marRight w:val="0"/>
      <w:marTop w:val="0"/>
      <w:marBottom w:val="0"/>
      <w:divBdr>
        <w:top w:val="none" w:sz="0" w:space="0" w:color="auto"/>
        <w:left w:val="none" w:sz="0" w:space="0" w:color="auto"/>
        <w:bottom w:val="none" w:sz="0" w:space="0" w:color="auto"/>
        <w:right w:val="none" w:sz="0" w:space="0" w:color="auto"/>
      </w:divBdr>
    </w:div>
    <w:div w:id="866986331">
      <w:bodyDiv w:val="1"/>
      <w:marLeft w:val="0"/>
      <w:marRight w:val="0"/>
      <w:marTop w:val="0"/>
      <w:marBottom w:val="0"/>
      <w:divBdr>
        <w:top w:val="none" w:sz="0" w:space="0" w:color="auto"/>
        <w:left w:val="none" w:sz="0" w:space="0" w:color="auto"/>
        <w:bottom w:val="none" w:sz="0" w:space="0" w:color="auto"/>
        <w:right w:val="none" w:sz="0" w:space="0" w:color="auto"/>
      </w:divBdr>
    </w:div>
    <w:div w:id="869605297">
      <w:bodyDiv w:val="1"/>
      <w:marLeft w:val="0"/>
      <w:marRight w:val="0"/>
      <w:marTop w:val="0"/>
      <w:marBottom w:val="0"/>
      <w:divBdr>
        <w:top w:val="none" w:sz="0" w:space="0" w:color="auto"/>
        <w:left w:val="none" w:sz="0" w:space="0" w:color="auto"/>
        <w:bottom w:val="none" w:sz="0" w:space="0" w:color="auto"/>
        <w:right w:val="none" w:sz="0" w:space="0" w:color="auto"/>
      </w:divBdr>
    </w:div>
    <w:div w:id="870798757">
      <w:bodyDiv w:val="1"/>
      <w:marLeft w:val="0"/>
      <w:marRight w:val="0"/>
      <w:marTop w:val="0"/>
      <w:marBottom w:val="0"/>
      <w:divBdr>
        <w:top w:val="none" w:sz="0" w:space="0" w:color="auto"/>
        <w:left w:val="none" w:sz="0" w:space="0" w:color="auto"/>
        <w:bottom w:val="none" w:sz="0" w:space="0" w:color="auto"/>
        <w:right w:val="none" w:sz="0" w:space="0" w:color="auto"/>
      </w:divBdr>
    </w:div>
    <w:div w:id="908346929">
      <w:bodyDiv w:val="1"/>
      <w:marLeft w:val="0"/>
      <w:marRight w:val="0"/>
      <w:marTop w:val="0"/>
      <w:marBottom w:val="0"/>
      <w:divBdr>
        <w:top w:val="none" w:sz="0" w:space="0" w:color="auto"/>
        <w:left w:val="none" w:sz="0" w:space="0" w:color="auto"/>
        <w:bottom w:val="none" w:sz="0" w:space="0" w:color="auto"/>
        <w:right w:val="none" w:sz="0" w:space="0" w:color="auto"/>
      </w:divBdr>
    </w:div>
    <w:div w:id="932934864">
      <w:bodyDiv w:val="1"/>
      <w:marLeft w:val="0"/>
      <w:marRight w:val="0"/>
      <w:marTop w:val="0"/>
      <w:marBottom w:val="0"/>
      <w:divBdr>
        <w:top w:val="none" w:sz="0" w:space="0" w:color="auto"/>
        <w:left w:val="none" w:sz="0" w:space="0" w:color="auto"/>
        <w:bottom w:val="none" w:sz="0" w:space="0" w:color="auto"/>
        <w:right w:val="none" w:sz="0" w:space="0" w:color="auto"/>
      </w:divBdr>
    </w:div>
    <w:div w:id="934090037">
      <w:bodyDiv w:val="1"/>
      <w:marLeft w:val="0"/>
      <w:marRight w:val="0"/>
      <w:marTop w:val="0"/>
      <w:marBottom w:val="0"/>
      <w:divBdr>
        <w:top w:val="none" w:sz="0" w:space="0" w:color="auto"/>
        <w:left w:val="none" w:sz="0" w:space="0" w:color="auto"/>
        <w:bottom w:val="none" w:sz="0" w:space="0" w:color="auto"/>
        <w:right w:val="none" w:sz="0" w:space="0" w:color="auto"/>
      </w:divBdr>
    </w:div>
    <w:div w:id="949122999">
      <w:bodyDiv w:val="1"/>
      <w:marLeft w:val="0"/>
      <w:marRight w:val="0"/>
      <w:marTop w:val="0"/>
      <w:marBottom w:val="0"/>
      <w:divBdr>
        <w:top w:val="none" w:sz="0" w:space="0" w:color="auto"/>
        <w:left w:val="none" w:sz="0" w:space="0" w:color="auto"/>
        <w:bottom w:val="none" w:sz="0" w:space="0" w:color="auto"/>
        <w:right w:val="none" w:sz="0" w:space="0" w:color="auto"/>
      </w:divBdr>
    </w:div>
    <w:div w:id="964502188">
      <w:bodyDiv w:val="1"/>
      <w:marLeft w:val="0"/>
      <w:marRight w:val="0"/>
      <w:marTop w:val="0"/>
      <w:marBottom w:val="0"/>
      <w:divBdr>
        <w:top w:val="none" w:sz="0" w:space="0" w:color="auto"/>
        <w:left w:val="none" w:sz="0" w:space="0" w:color="auto"/>
        <w:bottom w:val="none" w:sz="0" w:space="0" w:color="auto"/>
        <w:right w:val="none" w:sz="0" w:space="0" w:color="auto"/>
      </w:divBdr>
    </w:div>
    <w:div w:id="965894440">
      <w:bodyDiv w:val="1"/>
      <w:marLeft w:val="0"/>
      <w:marRight w:val="0"/>
      <w:marTop w:val="0"/>
      <w:marBottom w:val="0"/>
      <w:divBdr>
        <w:top w:val="none" w:sz="0" w:space="0" w:color="auto"/>
        <w:left w:val="none" w:sz="0" w:space="0" w:color="auto"/>
        <w:bottom w:val="none" w:sz="0" w:space="0" w:color="auto"/>
        <w:right w:val="none" w:sz="0" w:space="0" w:color="auto"/>
      </w:divBdr>
    </w:div>
    <w:div w:id="971517360">
      <w:bodyDiv w:val="1"/>
      <w:marLeft w:val="0"/>
      <w:marRight w:val="0"/>
      <w:marTop w:val="0"/>
      <w:marBottom w:val="0"/>
      <w:divBdr>
        <w:top w:val="none" w:sz="0" w:space="0" w:color="auto"/>
        <w:left w:val="none" w:sz="0" w:space="0" w:color="auto"/>
        <w:bottom w:val="none" w:sz="0" w:space="0" w:color="auto"/>
        <w:right w:val="none" w:sz="0" w:space="0" w:color="auto"/>
      </w:divBdr>
    </w:div>
    <w:div w:id="978461775">
      <w:bodyDiv w:val="1"/>
      <w:marLeft w:val="0"/>
      <w:marRight w:val="0"/>
      <w:marTop w:val="0"/>
      <w:marBottom w:val="0"/>
      <w:divBdr>
        <w:top w:val="none" w:sz="0" w:space="0" w:color="auto"/>
        <w:left w:val="none" w:sz="0" w:space="0" w:color="auto"/>
        <w:bottom w:val="none" w:sz="0" w:space="0" w:color="auto"/>
        <w:right w:val="none" w:sz="0" w:space="0" w:color="auto"/>
      </w:divBdr>
    </w:div>
    <w:div w:id="984436292">
      <w:bodyDiv w:val="1"/>
      <w:marLeft w:val="0"/>
      <w:marRight w:val="0"/>
      <w:marTop w:val="0"/>
      <w:marBottom w:val="0"/>
      <w:divBdr>
        <w:top w:val="none" w:sz="0" w:space="0" w:color="auto"/>
        <w:left w:val="none" w:sz="0" w:space="0" w:color="auto"/>
        <w:bottom w:val="none" w:sz="0" w:space="0" w:color="auto"/>
        <w:right w:val="none" w:sz="0" w:space="0" w:color="auto"/>
      </w:divBdr>
    </w:div>
    <w:div w:id="985470695">
      <w:bodyDiv w:val="1"/>
      <w:marLeft w:val="0"/>
      <w:marRight w:val="0"/>
      <w:marTop w:val="0"/>
      <w:marBottom w:val="0"/>
      <w:divBdr>
        <w:top w:val="none" w:sz="0" w:space="0" w:color="auto"/>
        <w:left w:val="none" w:sz="0" w:space="0" w:color="auto"/>
        <w:bottom w:val="none" w:sz="0" w:space="0" w:color="auto"/>
        <w:right w:val="none" w:sz="0" w:space="0" w:color="auto"/>
      </w:divBdr>
    </w:div>
    <w:div w:id="1008675763">
      <w:bodyDiv w:val="1"/>
      <w:marLeft w:val="0"/>
      <w:marRight w:val="0"/>
      <w:marTop w:val="0"/>
      <w:marBottom w:val="0"/>
      <w:divBdr>
        <w:top w:val="none" w:sz="0" w:space="0" w:color="auto"/>
        <w:left w:val="none" w:sz="0" w:space="0" w:color="auto"/>
        <w:bottom w:val="none" w:sz="0" w:space="0" w:color="auto"/>
        <w:right w:val="none" w:sz="0" w:space="0" w:color="auto"/>
      </w:divBdr>
    </w:div>
    <w:div w:id="1026979712">
      <w:bodyDiv w:val="1"/>
      <w:marLeft w:val="0"/>
      <w:marRight w:val="0"/>
      <w:marTop w:val="0"/>
      <w:marBottom w:val="0"/>
      <w:divBdr>
        <w:top w:val="none" w:sz="0" w:space="0" w:color="auto"/>
        <w:left w:val="none" w:sz="0" w:space="0" w:color="auto"/>
        <w:bottom w:val="none" w:sz="0" w:space="0" w:color="auto"/>
        <w:right w:val="none" w:sz="0" w:space="0" w:color="auto"/>
      </w:divBdr>
    </w:div>
    <w:div w:id="1029260521">
      <w:bodyDiv w:val="1"/>
      <w:marLeft w:val="0"/>
      <w:marRight w:val="0"/>
      <w:marTop w:val="0"/>
      <w:marBottom w:val="0"/>
      <w:divBdr>
        <w:top w:val="none" w:sz="0" w:space="0" w:color="auto"/>
        <w:left w:val="none" w:sz="0" w:space="0" w:color="auto"/>
        <w:bottom w:val="none" w:sz="0" w:space="0" w:color="auto"/>
        <w:right w:val="none" w:sz="0" w:space="0" w:color="auto"/>
      </w:divBdr>
    </w:div>
    <w:div w:id="1048528911">
      <w:bodyDiv w:val="1"/>
      <w:marLeft w:val="0"/>
      <w:marRight w:val="0"/>
      <w:marTop w:val="0"/>
      <w:marBottom w:val="0"/>
      <w:divBdr>
        <w:top w:val="none" w:sz="0" w:space="0" w:color="auto"/>
        <w:left w:val="none" w:sz="0" w:space="0" w:color="auto"/>
        <w:bottom w:val="none" w:sz="0" w:space="0" w:color="auto"/>
        <w:right w:val="none" w:sz="0" w:space="0" w:color="auto"/>
      </w:divBdr>
    </w:div>
    <w:div w:id="1049499426">
      <w:bodyDiv w:val="1"/>
      <w:marLeft w:val="0"/>
      <w:marRight w:val="0"/>
      <w:marTop w:val="0"/>
      <w:marBottom w:val="0"/>
      <w:divBdr>
        <w:top w:val="none" w:sz="0" w:space="0" w:color="auto"/>
        <w:left w:val="none" w:sz="0" w:space="0" w:color="auto"/>
        <w:bottom w:val="none" w:sz="0" w:space="0" w:color="auto"/>
        <w:right w:val="none" w:sz="0" w:space="0" w:color="auto"/>
      </w:divBdr>
    </w:div>
    <w:div w:id="1067071922">
      <w:bodyDiv w:val="1"/>
      <w:marLeft w:val="0"/>
      <w:marRight w:val="0"/>
      <w:marTop w:val="0"/>
      <w:marBottom w:val="0"/>
      <w:divBdr>
        <w:top w:val="none" w:sz="0" w:space="0" w:color="auto"/>
        <w:left w:val="none" w:sz="0" w:space="0" w:color="auto"/>
        <w:bottom w:val="none" w:sz="0" w:space="0" w:color="auto"/>
        <w:right w:val="none" w:sz="0" w:space="0" w:color="auto"/>
      </w:divBdr>
    </w:div>
    <w:div w:id="1067652959">
      <w:bodyDiv w:val="1"/>
      <w:marLeft w:val="0"/>
      <w:marRight w:val="0"/>
      <w:marTop w:val="0"/>
      <w:marBottom w:val="0"/>
      <w:divBdr>
        <w:top w:val="none" w:sz="0" w:space="0" w:color="auto"/>
        <w:left w:val="none" w:sz="0" w:space="0" w:color="auto"/>
        <w:bottom w:val="none" w:sz="0" w:space="0" w:color="auto"/>
        <w:right w:val="none" w:sz="0" w:space="0" w:color="auto"/>
      </w:divBdr>
    </w:div>
    <w:div w:id="1089351770">
      <w:bodyDiv w:val="1"/>
      <w:marLeft w:val="0"/>
      <w:marRight w:val="0"/>
      <w:marTop w:val="0"/>
      <w:marBottom w:val="0"/>
      <w:divBdr>
        <w:top w:val="none" w:sz="0" w:space="0" w:color="auto"/>
        <w:left w:val="none" w:sz="0" w:space="0" w:color="auto"/>
        <w:bottom w:val="none" w:sz="0" w:space="0" w:color="auto"/>
        <w:right w:val="none" w:sz="0" w:space="0" w:color="auto"/>
      </w:divBdr>
    </w:div>
    <w:div w:id="1098714068">
      <w:bodyDiv w:val="1"/>
      <w:marLeft w:val="0"/>
      <w:marRight w:val="0"/>
      <w:marTop w:val="0"/>
      <w:marBottom w:val="0"/>
      <w:divBdr>
        <w:top w:val="none" w:sz="0" w:space="0" w:color="auto"/>
        <w:left w:val="none" w:sz="0" w:space="0" w:color="auto"/>
        <w:bottom w:val="none" w:sz="0" w:space="0" w:color="auto"/>
        <w:right w:val="none" w:sz="0" w:space="0" w:color="auto"/>
      </w:divBdr>
    </w:div>
    <w:div w:id="1105421171">
      <w:bodyDiv w:val="1"/>
      <w:marLeft w:val="0"/>
      <w:marRight w:val="0"/>
      <w:marTop w:val="0"/>
      <w:marBottom w:val="0"/>
      <w:divBdr>
        <w:top w:val="none" w:sz="0" w:space="0" w:color="auto"/>
        <w:left w:val="none" w:sz="0" w:space="0" w:color="auto"/>
        <w:bottom w:val="none" w:sz="0" w:space="0" w:color="auto"/>
        <w:right w:val="none" w:sz="0" w:space="0" w:color="auto"/>
      </w:divBdr>
    </w:div>
    <w:div w:id="1109163088">
      <w:bodyDiv w:val="1"/>
      <w:marLeft w:val="0"/>
      <w:marRight w:val="0"/>
      <w:marTop w:val="0"/>
      <w:marBottom w:val="0"/>
      <w:divBdr>
        <w:top w:val="none" w:sz="0" w:space="0" w:color="auto"/>
        <w:left w:val="none" w:sz="0" w:space="0" w:color="auto"/>
        <w:bottom w:val="none" w:sz="0" w:space="0" w:color="auto"/>
        <w:right w:val="none" w:sz="0" w:space="0" w:color="auto"/>
      </w:divBdr>
    </w:div>
    <w:div w:id="1115910268">
      <w:bodyDiv w:val="1"/>
      <w:marLeft w:val="0"/>
      <w:marRight w:val="0"/>
      <w:marTop w:val="0"/>
      <w:marBottom w:val="0"/>
      <w:divBdr>
        <w:top w:val="none" w:sz="0" w:space="0" w:color="auto"/>
        <w:left w:val="none" w:sz="0" w:space="0" w:color="auto"/>
        <w:bottom w:val="none" w:sz="0" w:space="0" w:color="auto"/>
        <w:right w:val="none" w:sz="0" w:space="0" w:color="auto"/>
      </w:divBdr>
    </w:div>
    <w:div w:id="1140031205">
      <w:bodyDiv w:val="1"/>
      <w:marLeft w:val="0"/>
      <w:marRight w:val="0"/>
      <w:marTop w:val="0"/>
      <w:marBottom w:val="0"/>
      <w:divBdr>
        <w:top w:val="none" w:sz="0" w:space="0" w:color="auto"/>
        <w:left w:val="none" w:sz="0" w:space="0" w:color="auto"/>
        <w:bottom w:val="none" w:sz="0" w:space="0" w:color="auto"/>
        <w:right w:val="none" w:sz="0" w:space="0" w:color="auto"/>
      </w:divBdr>
    </w:div>
    <w:div w:id="1151483792">
      <w:bodyDiv w:val="1"/>
      <w:marLeft w:val="0"/>
      <w:marRight w:val="0"/>
      <w:marTop w:val="0"/>
      <w:marBottom w:val="0"/>
      <w:divBdr>
        <w:top w:val="none" w:sz="0" w:space="0" w:color="auto"/>
        <w:left w:val="none" w:sz="0" w:space="0" w:color="auto"/>
        <w:bottom w:val="none" w:sz="0" w:space="0" w:color="auto"/>
        <w:right w:val="none" w:sz="0" w:space="0" w:color="auto"/>
      </w:divBdr>
    </w:div>
    <w:div w:id="1153912793">
      <w:bodyDiv w:val="1"/>
      <w:marLeft w:val="0"/>
      <w:marRight w:val="0"/>
      <w:marTop w:val="0"/>
      <w:marBottom w:val="0"/>
      <w:divBdr>
        <w:top w:val="none" w:sz="0" w:space="0" w:color="auto"/>
        <w:left w:val="none" w:sz="0" w:space="0" w:color="auto"/>
        <w:bottom w:val="none" w:sz="0" w:space="0" w:color="auto"/>
        <w:right w:val="none" w:sz="0" w:space="0" w:color="auto"/>
      </w:divBdr>
    </w:div>
    <w:div w:id="1173764180">
      <w:bodyDiv w:val="1"/>
      <w:marLeft w:val="0"/>
      <w:marRight w:val="0"/>
      <w:marTop w:val="0"/>
      <w:marBottom w:val="0"/>
      <w:divBdr>
        <w:top w:val="none" w:sz="0" w:space="0" w:color="auto"/>
        <w:left w:val="none" w:sz="0" w:space="0" w:color="auto"/>
        <w:bottom w:val="none" w:sz="0" w:space="0" w:color="auto"/>
        <w:right w:val="none" w:sz="0" w:space="0" w:color="auto"/>
      </w:divBdr>
    </w:div>
    <w:div w:id="1181358712">
      <w:bodyDiv w:val="1"/>
      <w:marLeft w:val="0"/>
      <w:marRight w:val="0"/>
      <w:marTop w:val="0"/>
      <w:marBottom w:val="0"/>
      <w:divBdr>
        <w:top w:val="none" w:sz="0" w:space="0" w:color="auto"/>
        <w:left w:val="none" w:sz="0" w:space="0" w:color="auto"/>
        <w:bottom w:val="none" w:sz="0" w:space="0" w:color="auto"/>
        <w:right w:val="none" w:sz="0" w:space="0" w:color="auto"/>
      </w:divBdr>
    </w:div>
    <w:div w:id="1192187314">
      <w:bodyDiv w:val="1"/>
      <w:marLeft w:val="0"/>
      <w:marRight w:val="0"/>
      <w:marTop w:val="0"/>
      <w:marBottom w:val="0"/>
      <w:divBdr>
        <w:top w:val="none" w:sz="0" w:space="0" w:color="auto"/>
        <w:left w:val="none" w:sz="0" w:space="0" w:color="auto"/>
        <w:bottom w:val="none" w:sz="0" w:space="0" w:color="auto"/>
        <w:right w:val="none" w:sz="0" w:space="0" w:color="auto"/>
      </w:divBdr>
    </w:div>
    <w:div w:id="1193836302">
      <w:bodyDiv w:val="1"/>
      <w:marLeft w:val="0"/>
      <w:marRight w:val="0"/>
      <w:marTop w:val="0"/>
      <w:marBottom w:val="0"/>
      <w:divBdr>
        <w:top w:val="none" w:sz="0" w:space="0" w:color="auto"/>
        <w:left w:val="none" w:sz="0" w:space="0" w:color="auto"/>
        <w:bottom w:val="none" w:sz="0" w:space="0" w:color="auto"/>
        <w:right w:val="none" w:sz="0" w:space="0" w:color="auto"/>
      </w:divBdr>
    </w:div>
    <w:div w:id="1208303124">
      <w:bodyDiv w:val="1"/>
      <w:marLeft w:val="0"/>
      <w:marRight w:val="0"/>
      <w:marTop w:val="0"/>
      <w:marBottom w:val="0"/>
      <w:divBdr>
        <w:top w:val="none" w:sz="0" w:space="0" w:color="auto"/>
        <w:left w:val="none" w:sz="0" w:space="0" w:color="auto"/>
        <w:bottom w:val="none" w:sz="0" w:space="0" w:color="auto"/>
        <w:right w:val="none" w:sz="0" w:space="0" w:color="auto"/>
      </w:divBdr>
    </w:div>
    <w:div w:id="1214540482">
      <w:bodyDiv w:val="1"/>
      <w:marLeft w:val="0"/>
      <w:marRight w:val="0"/>
      <w:marTop w:val="0"/>
      <w:marBottom w:val="0"/>
      <w:divBdr>
        <w:top w:val="none" w:sz="0" w:space="0" w:color="auto"/>
        <w:left w:val="none" w:sz="0" w:space="0" w:color="auto"/>
        <w:bottom w:val="none" w:sz="0" w:space="0" w:color="auto"/>
        <w:right w:val="none" w:sz="0" w:space="0" w:color="auto"/>
      </w:divBdr>
    </w:div>
    <w:div w:id="1219319632">
      <w:bodyDiv w:val="1"/>
      <w:marLeft w:val="0"/>
      <w:marRight w:val="0"/>
      <w:marTop w:val="0"/>
      <w:marBottom w:val="0"/>
      <w:divBdr>
        <w:top w:val="none" w:sz="0" w:space="0" w:color="auto"/>
        <w:left w:val="none" w:sz="0" w:space="0" w:color="auto"/>
        <w:bottom w:val="none" w:sz="0" w:space="0" w:color="auto"/>
        <w:right w:val="none" w:sz="0" w:space="0" w:color="auto"/>
      </w:divBdr>
    </w:div>
    <w:div w:id="1232351455">
      <w:bodyDiv w:val="1"/>
      <w:marLeft w:val="0"/>
      <w:marRight w:val="0"/>
      <w:marTop w:val="0"/>
      <w:marBottom w:val="0"/>
      <w:divBdr>
        <w:top w:val="none" w:sz="0" w:space="0" w:color="auto"/>
        <w:left w:val="none" w:sz="0" w:space="0" w:color="auto"/>
        <w:bottom w:val="none" w:sz="0" w:space="0" w:color="auto"/>
        <w:right w:val="none" w:sz="0" w:space="0" w:color="auto"/>
      </w:divBdr>
    </w:div>
    <w:div w:id="1288731089">
      <w:bodyDiv w:val="1"/>
      <w:marLeft w:val="0"/>
      <w:marRight w:val="0"/>
      <w:marTop w:val="0"/>
      <w:marBottom w:val="0"/>
      <w:divBdr>
        <w:top w:val="none" w:sz="0" w:space="0" w:color="auto"/>
        <w:left w:val="none" w:sz="0" w:space="0" w:color="auto"/>
        <w:bottom w:val="none" w:sz="0" w:space="0" w:color="auto"/>
        <w:right w:val="none" w:sz="0" w:space="0" w:color="auto"/>
      </w:divBdr>
    </w:div>
    <w:div w:id="1302733975">
      <w:bodyDiv w:val="1"/>
      <w:marLeft w:val="0"/>
      <w:marRight w:val="0"/>
      <w:marTop w:val="0"/>
      <w:marBottom w:val="0"/>
      <w:divBdr>
        <w:top w:val="none" w:sz="0" w:space="0" w:color="auto"/>
        <w:left w:val="none" w:sz="0" w:space="0" w:color="auto"/>
        <w:bottom w:val="none" w:sz="0" w:space="0" w:color="auto"/>
        <w:right w:val="none" w:sz="0" w:space="0" w:color="auto"/>
      </w:divBdr>
    </w:div>
    <w:div w:id="1313635836">
      <w:bodyDiv w:val="1"/>
      <w:marLeft w:val="0"/>
      <w:marRight w:val="0"/>
      <w:marTop w:val="0"/>
      <w:marBottom w:val="0"/>
      <w:divBdr>
        <w:top w:val="none" w:sz="0" w:space="0" w:color="auto"/>
        <w:left w:val="none" w:sz="0" w:space="0" w:color="auto"/>
        <w:bottom w:val="none" w:sz="0" w:space="0" w:color="auto"/>
        <w:right w:val="none" w:sz="0" w:space="0" w:color="auto"/>
      </w:divBdr>
    </w:div>
    <w:div w:id="1316295805">
      <w:bodyDiv w:val="1"/>
      <w:marLeft w:val="0"/>
      <w:marRight w:val="0"/>
      <w:marTop w:val="0"/>
      <w:marBottom w:val="0"/>
      <w:divBdr>
        <w:top w:val="none" w:sz="0" w:space="0" w:color="auto"/>
        <w:left w:val="none" w:sz="0" w:space="0" w:color="auto"/>
        <w:bottom w:val="none" w:sz="0" w:space="0" w:color="auto"/>
        <w:right w:val="none" w:sz="0" w:space="0" w:color="auto"/>
      </w:divBdr>
    </w:div>
    <w:div w:id="1323239467">
      <w:bodyDiv w:val="1"/>
      <w:marLeft w:val="0"/>
      <w:marRight w:val="0"/>
      <w:marTop w:val="0"/>
      <w:marBottom w:val="0"/>
      <w:divBdr>
        <w:top w:val="none" w:sz="0" w:space="0" w:color="auto"/>
        <w:left w:val="none" w:sz="0" w:space="0" w:color="auto"/>
        <w:bottom w:val="none" w:sz="0" w:space="0" w:color="auto"/>
        <w:right w:val="none" w:sz="0" w:space="0" w:color="auto"/>
      </w:divBdr>
    </w:div>
    <w:div w:id="1326322095">
      <w:bodyDiv w:val="1"/>
      <w:marLeft w:val="0"/>
      <w:marRight w:val="0"/>
      <w:marTop w:val="0"/>
      <w:marBottom w:val="0"/>
      <w:divBdr>
        <w:top w:val="none" w:sz="0" w:space="0" w:color="auto"/>
        <w:left w:val="none" w:sz="0" w:space="0" w:color="auto"/>
        <w:bottom w:val="none" w:sz="0" w:space="0" w:color="auto"/>
        <w:right w:val="none" w:sz="0" w:space="0" w:color="auto"/>
      </w:divBdr>
    </w:div>
    <w:div w:id="1326588125">
      <w:bodyDiv w:val="1"/>
      <w:marLeft w:val="0"/>
      <w:marRight w:val="0"/>
      <w:marTop w:val="0"/>
      <w:marBottom w:val="0"/>
      <w:divBdr>
        <w:top w:val="none" w:sz="0" w:space="0" w:color="auto"/>
        <w:left w:val="none" w:sz="0" w:space="0" w:color="auto"/>
        <w:bottom w:val="none" w:sz="0" w:space="0" w:color="auto"/>
        <w:right w:val="none" w:sz="0" w:space="0" w:color="auto"/>
      </w:divBdr>
    </w:div>
    <w:div w:id="1333533681">
      <w:bodyDiv w:val="1"/>
      <w:marLeft w:val="0"/>
      <w:marRight w:val="0"/>
      <w:marTop w:val="0"/>
      <w:marBottom w:val="0"/>
      <w:divBdr>
        <w:top w:val="none" w:sz="0" w:space="0" w:color="auto"/>
        <w:left w:val="none" w:sz="0" w:space="0" w:color="auto"/>
        <w:bottom w:val="none" w:sz="0" w:space="0" w:color="auto"/>
        <w:right w:val="none" w:sz="0" w:space="0" w:color="auto"/>
      </w:divBdr>
    </w:div>
    <w:div w:id="1338076059">
      <w:bodyDiv w:val="1"/>
      <w:marLeft w:val="0"/>
      <w:marRight w:val="0"/>
      <w:marTop w:val="0"/>
      <w:marBottom w:val="0"/>
      <w:divBdr>
        <w:top w:val="none" w:sz="0" w:space="0" w:color="auto"/>
        <w:left w:val="none" w:sz="0" w:space="0" w:color="auto"/>
        <w:bottom w:val="none" w:sz="0" w:space="0" w:color="auto"/>
        <w:right w:val="none" w:sz="0" w:space="0" w:color="auto"/>
      </w:divBdr>
    </w:div>
    <w:div w:id="1346784688">
      <w:bodyDiv w:val="1"/>
      <w:marLeft w:val="0"/>
      <w:marRight w:val="0"/>
      <w:marTop w:val="0"/>
      <w:marBottom w:val="0"/>
      <w:divBdr>
        <w:top w:val="none" w:sz="0" w:space="0" w:color="auto"/>
        <w:left w:val="none" w:sz="0" w:space="0" w:color="auto"/>
        <w:bottom w:val="none" w:sz="0" w:space="0" w:color="auto"/>
        <w:right w:val="none" w:sz="0" w:space="0" w:color="auto"/>
      </w:divBdr>
    </w:div>
    <w:div w:id="1349522070">
      <w:bodyDiv w:val="1"/>
      <w:marLeft w:val="0"/>
      <w:marRight w:val="0"/>
      <w:marTop w:val="0"/>
      <w:marBottom w:val="0"/>
      <w:divBdr>
        <w:top w:val="none" w:sz="0" w:space="0" w:color="auto"/>
        <w:left w:val="none" w:sz="0" w:space="0" w:color="auto"/>
        <w:bottom w:val="none" w:sz="0" w:space="0" w:color="auto"/>
        <w:right w:val="none" w:sz="0" w:space="0" w:color="auto"/>
      </w:divBdr>
    </w:div>
    <w:div w:id="1363703222">
      <w:bodyDiv w:val="1"/>
      <w:marLeft w:val="0"/>
      <w:marRight w:val="0"/>
      <w:marTop w:val="0"/>
      <w:marBottom w:val="0"/>
      <w:divBdr>
        <w:top w:val="none" w:sz="0" w:space="0" w:color="auto"/>
        <w:left w:val="none" w:sz="0" w:space="0" w:color="auto"/>
        <w:bottom w:val="none" w:sz="0" w:space="0" w:color="auto"/>
        <w:right w:val="none" w:sz="0" w:space="0" w:color="auto"/>
      </w:divBdr>
    </w:div>
    <w:div w:id="1378815817">
      <w:bodyDiv w:val="1"/>
      <w:marLeft w:val="0"/>
      <w:marRight w:val="0"/>
      <w:marTop w:val="0"/>
      <w:marBottom w:val="0"/>
      <w:divBdr>
        <w:top w:val="none" w:sz="0" w:space="0" w:color="auto"/>
        <w:left w:val="none" w:sz="0" w:space="0" w:color="auto"/>
        <w:bottom w:val="none" w:sz="0" w:space="0" w:color="auto"/>
        <w:right w:val="none" w:sz="0" w:space="0" w:color="auto"/>
      </w:divBdr>
    </w:div>
    <w:div w:id="1402484152">
      <w:bodyDiv w:val="1"/>
      <w:marLeft w:val="0"/>
      <w:marRight w:val="0"/>
      <w:marTop w:val="0"/>
      <w:marBottom w:val="0"/>
      <w:divBdr>
        <w:top w:val="none" w:sz="0" w:space="0" w:color="auto"/>
        <w:left w:val="none" w:sz="0" w:space="0" w:color="auto"/>
        <w:bottom w:val="none" w:sz="0" w:space="0" w:color="auto"/>
        <w:right w:val="none" w:sz="0" w:space="0" w:color="auto"/>
      </w:divBdr>
    </w:div>
    <w:div w:id="1411079937">
      <w:bodyDiv w:val="1"/>
      <w:marLeft w:val="0"/>
      <w:marRight w:val="0"/>
      <w:marTop w:val="0"/>
      <w:marBottom w:val="0"/>
      <w:divBdr>
        <w:top w:val="none" w:sz="0" w:space="0" w:color="auto"/>
        <w:left w:val="none" w:sz="0" w:space="0" w:color="auto"/>
        <w:bottom w:val="none" w:sz="0" w:space="0" w:color="auto"/>
        <w:right w:val="none" w:sz="0" w:space="0" w:color="auto"/>
      </w:divBdr>
    </w:div>
    <w:div w:id="1458186290">
      <w:bodyDiv w:val="1"/>
      <w:marLeft w:val="0"/>
      <w:marRight w:val="0"/>
      <w:marTop w:val="0"/>
      <w:marBottom w:val="0"/>
      <w:divBdr>
        <w:top w:val="none" w:sz="0" w:space="0" w:color="auto"/>
        <w:left w:val="none" w:sz="0" w:space="0" w:color="auto"/>
        <w:bottom w:val="none" w:sz="0" w:space="0" w:color="auto"/>
        <w:right w:val="none" w:sz="0" w:space="0" w:color="auto"/>
      </w:divBdr>
    </w:div>
    <w:div w:id="1459950961">
      <w:bodyDiv w:val="1"/>
      <w:marLeft w:val="0"/>
      <w:marRight w:val="0"/>
      <w:marTop w:val="0"/>
      <w:marBottom w:val="0"/>
      <w:divBdr>
        <w:top w:val="none" w:sz="0" w:space="0" w:color="auto"/>
        <w:left w:val="none" w:sz="0" w:space="0" w:color="auto"/>
        <w:bottom w:val="none" w:sz="0" w:space="0" w:color="auto"/>
        <w:right w:val="none" w:sz="0" w:space="0" w:color="auto"/>
      </w:divBdr>
    </w:div>
    <w:div w:id="1467776044">
      <w:bodyDiv w:val="1"/>
      <w:marLeft w:val="0"/>
      <w:marRight w:val="0"/>
      <w:marTop w:val="0"/>
      <w:marBottom w:val="0"/>
      <w:divBdr>
        <w:top w:val="none" w:sz="0" w:space="0" w:color="auto"/>
        <w:left w:val="none" w:sz="0" w:space="0" w:color="auto"/>
        <w:bottom w:val="none" w:sz="0" w:space="0" w:color="auto"/>
        <w:right w:val="none" w:sz="0" w:space="0" w:color="auto"/>
      </w:divBdr>
    </w:div>
    <w:div w:id="1480002863">
      <w:bodyDiv w:val="1"/>
      <w:marLeft w:val="0"/>
      <w:marRight w:val="0"/>
      <w:marTop w:val="0"/>
      <w:marBottom w:val="0"/>
      <w:divBdr>
        <w:top w:val="none" w:sz="0" w:space="0" w:color="auto"/>
        <w:left w:val="none" w:sz="0" w:space="0" w:color="auto"/>
        <w:bottom w:val="none" w:sz="0" w:space="0" w:color="auto"/>
        <w:right w:val="none" w:sz="0" w:space="0" w:color="auto"/>
      </w:divBdr>
    </w:div>
    <w:div w:id="1481924176">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486969076">
      <w:bodyDiv w:val="1"/>
      <w:marLeft w:val="0"/>
      <w:marRight w:val="0"/>
      <w:marTop w:val="0"/>
      <w:marBottom w:val="0"/>
      <w:divBdr>
        <w:top w:val="none" w:sz="0" w:space="0" w:color="auto"/>
        <w:left w:val="none" w:sz="0" w:space="0" w:color="auto"/>
        <w:bottom w:val="none" w:sz="0" w:space="0" w:color="auto"/>
        <w:right w:val="none" w:sz="0" w:space="0" w:color="auto"/>
      </w:divBdr>
    </w:div>
    <w:div w:id="1504706956">
      <w:bodyDiv w:val="1"/>
      <w:marLeft w:val="0"/>
      <w:marRight w:val="0"/>
      <w:marTop w:val="0"/>
      <w:marBottom w:val="0"/>
      <w:divBdr>
        <w:top w:val="none" w:sz="0" w:space="0" w:color="auto"/>
        <w:left w:val="none" w:sz="0" w:space="0" w:color="auto"/>
        <w:bottom w:val="none" w:sz="0" w:space="0" w:color="auto"/>
        <w:right w:val="none" w:sz="0" w:space="0" w:color="auto"/>
      </w:divBdr>
    </w:div>
    <w:div w:id="1528180995">
      <w:bodyDiv w:val="1"/>
      <w:marLeft w:val="0"/>
      <w:marRight w:val="0"/>
      <w:marTop w:val="0"/>
      <w:marBottom w:val="0"/>
      <w:divBdr>
        <w:top w:val="none" w:sz="0" w:space="0" w:color="auto"/>
        <w:left w:val="none" w:sz="0" w:space="0" w:color="auto"/>
        <w:bottom w:val="none" w:sz="0" w:space="0" w:color="auto"/>
        <w:right w:val="none" w:sz="0" w:space="0" w:color="auto"/>
      </w:divBdr>
    </w:div>
    <w:div w:id="1539053302">
      <w:bodyDiv w:val="1"/>
      <w:marLeft w:val="0"/>
      <w:marRight w:val="0"/>
      <w:marTop w:val="0"/>
      <w:marBottom w:val="0"/>
      <w:divBdr>
        <w:top w:val="none" w:sz="0" w:space="0" w:color="auto"/>
        <w:left w:val="none" w:sz="0" w:space="0" w:color="auto"/>
        <w:bottom w:val="none" w:sz="0" w:space="0" w:color="auto"/>
        <w:right w:val="none" w:sz="0" w:space="0" w:color="auto"/>
      </w:divBdr>
    </w:div>
    <w:div w:id="1543592489">
      <w:bodyDiv w:val="1"/>
      <w:marLeft w:val="0"/>
      <w:marRight w:val="0"/>
      <w:marTop w:val="0"/>
      <w:marBottom w:val="0"/>
      <w:divBdr>
        <w:top w:val="none" w:sz="0" w:space="0" w:color="auto"/>
        <w:left w:val="none" w:sz="0" w:space="0" w:color="auto"/>
        <w:bottom w:val="none" w:sz="0" w:space="0" w:color="auto"/>
        <w:right w:val="none" w:sz="0" w:space="0" w:color="auto"/>
      </w:divBdr>
    </w:div>
    <w:div w:id="1543597679">
      <w:bodyDiv w:val="1"/>
      <w:marLeft w:val="0"/>
      <w:marRight w:val="0"/>
      <w:marTop w:val="0"/>
      <w:marBottom w:val="0"/>
      <w:divBdr>
        <w:top w:val="none" w:sz="0" w:space="0" w:color="auto"/>
        <w:left w:val="none" w:sz="0" w:space="0" w:color="auto"/>
        <w:bottom w:val="none" w:sz="0" w:space="0" w:color="auto"/>
        <w:right w:val="none" w:sz="0" w:space="0" w:color="auto"/>
      </w:divBdr>
    </w:div>
    <w:div w:id="1543977060">
      <w:bodyDiv w:val="1"/>
      <w:marLeft w:val="0"/>
      <w:marRight w:val="0"/>
      <w:marTop w:val="0"/>
      <w:marBottom w:val="0"/>
      <w:divBdr>
        <w:top w:val="none" w:sz="0" w:space="0" w:color="auto"/>
        <w:left w:val="none" w:sz="0" w:space="0" w:color="auto"/>
        <w:bottom w:val="none" w:sz="0" w:space="0" w:color="auto"/>
        <w:right w:val="none" w:sz="0" w:space="0" w:color="auto"/>
      </w:divBdr>
    </w:div>
    <w:div w:id="1547639120">
      <w:bodyDiv w:val="1"/>
      <w:marLeft w:val="0"/>
      <w:marRight w:val="0"/>
      <w:marTop w:val="0"/>
      <w:marBottom w:val="0"/>
      <w:divBdr>
        <w:top w:val="none" w:sz="0" w:space="0" w:color="auto"/>
        <w:left w:val="none" w:sz="0" w:space="0" w:color="auto"/>
        <w:bottom w:val="none" w:sz="0" w:space="0" w:color="auto"/>
        <w:right w:val="none" w:sz="0" w:space="0" w:color="auto"/>
      </w:divBdr>
    </w:div>
    <w:div w:id="1562205451">
      <w:bodyDiv w:val="1"/>
      <w:marLeft w:val="0"/>
      <w:marRight w:val="0"/>
      <w:marTop w:val="0"/>
      <w:marBottom w:val="0"/>
      <w:divBdr>
        <w:top w:val="none" w:sz="0" w:space="0" w:color="auto"/>
        <w:left w:val="none" w:sz="0" w:space="0" w:color="auto"/>
        <w:bottom w:val="none" w:sz="0" w:space="0" w:color="auto"/>
        <w:right w:val="none" w:sz="0" w:space="0" w:color="auto"/>
      </w:divBdr>
    </w:div>
    <w:div w:id="1566141756">
      <w:bodyDiv w:val="1"/>
      <w:marLeft w:val="0"/>
      <w:marRight w:val="0"/>
      <w:marTop w:val="0"/>
      <w:marBottom w:val="0"/>
      <w:divBdr>
        <w:top w:val="none" w:sz="0" w:space="0" w:color="auto"/>
        <w:left w:val="none" w:sz="0" w:space="0" w:color="auto"/>
        <w:bottom w:val="none" w:sz="0" w:space="0" w:color="auto"/>
        <w:right w:val="none" w:sz="0" w:space="0" w:color="auto"/>
      </w:divBdr>
    </w:div>
    <w:div w:id="1571770990">
      <w:bodyDiv w:val="1"/>
      <w:marLeft w:val="0"/>
      <w:marRight w:val="0"/>
      <w:marTop w:val="0"/>
      <w:marBottom w:val="0"/>
      <w:divBdr>
        <w:top w:val="none" w:sz="0" w:space="0" w:color="auto"/>
        <w:left w:val="none" w:sz="0" w:space="0" w:color="auto"/>
        <w:bottom w:val="none" w:sz="0" w:space="0" w:color="auto"/>
        <w:right w:val="none" w:sz="0" w:space="0" w:color="auto"/>
      </w:divBdr>
    </w:div>
    <w:div w:id="1575899166">
      <w:bodyDiv w:val="1"/>
      <w:marLeft w:val="0"/>
      <w:marRight w:val="0"/>
      <w:marTop w:val="0"/>
      <w:marBottom w:val="0"/>
      <w:divBdr>
        <w:top w:val="none" w:sz="0" w:space="0" w:color="auto"/>
        <w:left w:val="none" w:sz="0" w:space="0" w:color="auto"/>
        <w:bottom w:val="none" w:sz="0" w:space="0" w:color="auto"/>
        <w:right w:val="none" w:sz="0" w:space="0" w:color="auto"/>
      </w:divBdr>
    </w:div>
    <w:div w:id="1576551104">
      <w:bodyDiv w:val="1"/>
      <w:marLeft w:val="0"/>
      <w:marRight w:val="0"/>
      <w:marTop w:val="0"/>
      <w:marBottom w:val="0"/>
      <w:divBdr>
        <w:top w:val="none" w:sz="0" w:space="0" w:color="auto"/>
        <w:left w:val="none" w:sz="0" w:space="0" w:color="auto"/>
        <w:bottom w:val="none" w:sz="0" w:space="0" w:color="auto"/>
        <w:right w:val="none" w:sz="0" w:space="0" w:color="auto"/>
      </w:divBdr>
    </w:div>
    <w:div w:id="1589656384">
      <w:bodyDiv w:val="1"/>
      <w:marLeft w:val="0"/>
      <w:marRight w:val="0"/>
      <w:marTop w:val="0"/>
      <w:marBottom w:val="0"/>
      <w:divBdr>
        <w:top w:val="none" w:sz="0" w:space="0" w:color="auto"/>
        <w:left w:val="none" w:sz="0" w:space="0" w:color="auto"/>
        <w:bottom w:val="none" w:sz="0" w:space="0" w:color="auto"/>
        <w:right w:val="none" w:sz="0" w:space="0" w:color="auto"/>
      </w:divBdr>
    </w:div>
    <w:div w:id="1590507402">
      <w:bodyDiv w:val="1"/>
      <w:marLeft w:val="0"/>
      <w:marRight w:val="0"/>
      <w:marTop w:val="0"/>
      <w:marBottom w:val="0"/>
      <w:divBdr>
        <w:top w:val="none" w:sz="0" w:space="0" w:color="auto"/>
        <w:left w:val="none" w:sz="0" w:space="0" w:color="auto"/>
        <w:bottom w:val="none" w:sz="0" w:space="0" w:color="auto"/>
        <w:right w:val="none" w:sz="0" w:space="0" w:color="auto"/>
      </w:divBdr>
    </w:div>
    <w:div w:id="1602565573">
      <w:bodyDiv w:val="1"/>
      <w:marLeft w:val="0"/>
      <w:marRight w:val="0"/>
      <w:marTop w:val="0"/>
      <w:marBottom w:val="0"/>
      <w:divBdr>
        <w:top w:val="none" w:sz="0" w:space="0" w:color="auto"/>
        <w:left w:val="none" w:sz="0" w:space="0" w:color="auto"/>
        <w:bottom w:val="none" w:sz="0" w:space="0" w:color="auto"/>
        <w:right w:val="none" w:sz="0" w:space="0" w:color="auto"/>
      </w:divBdr>
    </w:div>
    <w:div w:id="1610549825">
      <w:bodyDiv w:val="1"/>
      <w:marLeft w:val="0"/>
      <w:marRight w:val="0"/>
      <w:marTop w:val="0"/>
      <w:marBottom w:val="0"/>
      <w:divBdr>
        <w:top w:val="none" w:sz="0" w:space="0" w:color="auto"/>
        <w:left w:val="none" w:sz="0" w:space="0" w:color="auto"/>
        <w:bottom w:val="none" w:sz="0" w:space="0" w:color="auto"/>
        <w:right w:val="none" w:sz="0" w:space="0" w:color="auto"/>
      </w:divBdr>
    </w:div>
    <w:div w:id="1617519112">
      <w:bodyDiv w:val="1"/>
      <w:marLeft w:val="0"/>
      <w:marRight w:val="0"/>
      <w:marTop w:val="0"/>
      <w:marBottom w:val="0"/>
      <w:divBdr>
        <w:top w:val="none" w:sz="0" w:space="0" w:color="auto"/>
        <w:left w:val="none" w:sz="0" w:space="0" w:color="auto"/>
        <w:bottom w:val="none" w:sz="0" w:space="0" w:color="auto"/>
        <w:right w:val="none" w:sz="0" w:space="0" w:color="auto"/>
      </w:divBdr>
    </w:div>
    <w:div w:id="1642149205">
      <w:bodyDiv w:val="1"/>
      <w:marLeft w:val="0"/>
      <w:marRight w:val="0"/>
      <w:marTop w:val="0"/>
      <w:marBottom w:val="0"/>
      <w:divBdr>
        <w:top w:val="none" w:sz="0" w:space="0" w:color="auto"/>
        <w:left w:val="none" w:sz="0" w:space="0" w:color="auto"/>
        <w:bottom w:val="none" w:sz="0" w:space="0" w:color="auto"/>
        <w:right w:val="none" w:sz="0" w:space="0" w:color="auto"/>
      </w:divBdr>
    </w:div>
    <w:div w:id="1642346877">
      <w:bodyDiv w:val="1"/>
      <w:marLeft w:val="0"/>
      <w:marRight w:val="0"/>
      <w:marTop w:val="0"/>
      <w:marBottom w:val="0"/>
      <w:divBdr>
        <w:top w:val="none" w:sz="0" w:space="0" w:color="auto"/>
        <w:left w:val="none" w:sz="0" w:space="0" w:color="auto"/>
        <w:bottom w:val="none" w:sz="0" w:space="0" w:color="auto"/>
        <w:right w:val="none" w:sz="0" w:space="0" w:color="auto"/>
      </w:divBdr>
    </w:div>
    <w:div w:id="1644306606">
      <w:bodyDiv w:val="1"/>
      <w:marLeft w:val="0"/>
      <w:marRight w:val="0"/>
      <w:marTop w:val="0"/>
      <w:marBottom w:val="0"/>
      <w:divBdr>
        <w:top w:val="none" w:sz="0" w:space="0" w:color="auto"/>
        <w:left w:val="none" w:sz="0" w:space="0" w:color="auto"/>
        <w:bottom w:val="none" w:sz="0" w:space="0" w:color="auto"/>
        <w:right w:val="none" w:sz="0" w:space="0" w:color="auto"/>
      </w:divBdr>
    </w:div>
    <w:div w:id="1645429532">
      <w:bodyDiv w:val="1"/>
      <w:marLeft w:val="0"/>
      <w:marRight w:val="0"/>
      <w:marTop w:val="0"/>
      <w:marBottom w:val="0"/>
      <w:divBdr>
        <w:top w:val="none" w:sz="0" w:space="0" w:color="auto"/>
        <w:left w:val="none" w:sz="0" w:space="0" w:color="auto"/>
        <w:bottom w:val="none" w:sz="0" w:space="0" w:color="auto"/>
        <w:right w:val="none" w:sz="0" w:space="0" w:color="auto"/>
      </w:divBdr>
    </w:div>
    <w:div w:id="1654797478">
      <w:bodyDiv w:val="1"/>
      <w:marLeft w:val="0"/>
      <w:marRight w:val="0"/>
      <w:marTop w:val="0"/>
      <w:marBottom w:val="0"/>
      <w:divBdr>
        <w:top w:val="none" w:sz="0" w:space="0" w:color="auto"/>
        <w:left w:val="none" w:sz="0" w:space="0" w:color="auto"/>
        <w:bottom w:val="none" w:sz="0" w:space="0" w:color="auto"/>
        <w:right w:val="none" w:sz="0" w:space="0" w:color="auto"/>
      </w:divBdr>
    </w:div>
    <w:div w:id="1656179879">
      <w:bodyDiv w:val="1"/>
      <w:marLeft w:val="0"/>
      <w:marRight w:val="0"/>
      <w:marTop w:val="0"/>
      <w:marBottom w:val="0"/>
      <w:divBdr>
        <w:top w:val="none" w:sz="0" w:space="0" w:color="auto"/>
        <w:left w:val="none" w:sz="0" w:space="0" w:color="auto"/>
        <w:bottom w:val="none" w:sz="0" w:space="0" w:color="auto"/>
        <w:right w:val="none" w:sz="0" w:space="0" w:color="auto"/>
      </w:divBdr>
    </w:div>
    <w:div w:id="1669166335">
      <w:bodyDiv w:val="1"/>
      <w:marLeft w:val="0"/>
      <w:marRight w:val="0"/>
      <w:marTop w:val="0"/>
      <w:marBottom w:val="0"/>
      <w:divBdr>
        <w:top w:val="none" w:sz="0" w:space="0" w:color="auto"/>
        <w:left w:val="none" w:sz="0" w:space="0" w:color="auto"/>
        <w:bottom w:val="none" w:sz="0" w:space="0" w:color="auto"/>
        <w:right w:val="none" w:sz="0" w:space="0" w:color="auto"/>
      </w:divBdr>
    </w:div>
    <w:div w:id="1715151937">
      <w:bodyDiv w:val="1"/>
      <w:marLeft w:val="0"/>
      <w:marRight w:val="0"/>
      <w:marTop w:val="0"/>
      <w:marBottom w:val="0"/>
      <w:divBdr>
        <w:top w:val="none" w:sz="0" w:space="0" w:color="auto"/>
        <w:left w:val="none" w:sz="0" w:space="0" w:color="auto"/>
        <w:bottom w:val="none" w:sz="0" w:space="0" w:color="auto"/>
        <w:right w:val="none" w:sz="0" w:space="0" w:color="auto"/>
      </w:divBdr>
    </w:div>
    <w:div w:id="1723559042">
      <w:bodyDiv w:val="1"/>
      <w:marLeft w:val="0"/>
      <w:marRight w:val="0"/>
      <w:marTop w:val="0"/>
      <w:marBottom w:val="0"/>
      <w:divBdr>
        <w:top w:val="none" w:sz="0" w:space="0" w:color="auto"/>
        <w:left w:val="none" w:sz="0" w:space="0" w:color="auto"/>
        <w:bottom w:val="none" w:sz="0" w:space="0" w:color="auto"/>
        <w:right w:val="none" w:sz="0" w:space="0" w:color="auto"/>
      </w:divBdr>
    </w:div>
    <w:div w:id="1753618826">
      <w:bodyDiv w:val="1"/>
      <w:marLeft w:val="0"/>
      <w:marRight w:val="0"/>
      <w:marTop w:val="0"/>
      <w:marBottom w:val="0"/>
      <w:divBdr>
        <w:top w:val="none" w:sz="0" w:space="0" w:color="auto"/>
        <w:left w:val="none" w:sz="0" w:space="0" w:color="auto"/>
        <w:bottom w:val="none" w:sz="0" w:space="0" w:color="auto"/>
        <w:right w:val="none" w:sz="0" w:space="0" w:color="auto"/>
      </w:divBdr>
    </w:div>
    <w:div w:id="1772310579">
      <w:bodyDiv w:val="1"/>
      <w:marLeft w:val="0"/>
      <w:marRight w:val="0"/>
      <w:marTop w:val="0"/>
      <w:marBottom w:val="0"/>
      <w:divBdr>
        <w:top w:val="none" w:sz="0" w:space="0" w:color="auto"/>
        <w:left w:val="none" w:sz="0" w:space="0" w:color="auto"/>
        <w:bottom w:val="none" w:sz="0" w:space="0" w:color="auto"/>
        <w:right w:val="none" w:sz="0" w:space="0" w:color="auto"/>
      </w:divBdr>
    </w:div>
    <w:div w:id="1778524984">
      <w:bodyDiv w:val="1"/>
      <w:marLeft w:val="0"/>
      <w:marRight w:val="0"/>
      <w:marTop w:val="0"/>
      <w:marBottom w:val="0"/>
      <w:divBdr>
        <w:top w:val="none" w:sz="0" w:space="0" w:color="auto"/>
        <w:left w:val="none" w:sz="0" w:space="0" w:color="auto"/>
        <w:bottom w:val="none" w:sz="0" w:space="0" w:color="auto"/>
        <w:right w:val="none" w:sz="0" w:space="0" w:color="auto"/>
      </w:divBdr>
    </w:div>
    <w:div w:id="1788885935">
      <w:bodyDiv w:val="1"/>
      <w:marLeft w:val="0"/>
      <w:marRight w:val="0"/>
      <w:marTop w:val="0"/>
      <w:marBottom w:val="0"/>
      <w:divBdr>
        <w:top w:val="none" w:sz="0" w:space="0" w:color="auto"/>
        <w:left w:val="none" w:sz="0" w:space="0" w:color="auto"/>
        <w:bottom w:val="none" w:sz="0" w:space="0" w:color="auto"/>
        <w:right w:val="none" w:sz="0" w:space="0" w:color="auto"/>
      </w:divBdr>
    </w:div>
    <w:div w:id="1817994718">
      <w:bodyDiv w:val="1"/>
      <w:marLeft w:val="0"/>
      <w:marRight w:val="0"/>
      <w:marTop w:val="0"/>
      <w:marBottom w:val="0"/>
      <w:divBdr>
        <w:top w:val="none" w:sz="0" w:space="0" w:color="auto"/>
        <w:left w:val="none" w:sz="0" w:space="0" w:color="auto"/>
        <w:bottom w:val="none" w:sz="0" w:space="0" w:color="auto"/>
        <w:right w:val="none" w:sz="0" w:space="0" w:color="auto"/>
      </w:divBdr>
    </w:div>
    <w:div w:id="1850370301">
      <w:bodyDiv w:val="1"/>
      <w:marLeft w:val="0"/>
      <w:marRight w:val="0"/>
      <w:marTop w:val="0"/>
      <w:marBottom w:val="0"/>
      <w:divBdr>
        <w:top w:val="none" w:sz="0" w:space="0" w:color="auto"/>
        <w:left w:val="none" w:sz="0" w:space="0" w:color="auto"/>
        <w:bottom w:val="none" w:sz="0" w:space="0" w:color="auto"/>
        <w:right w:val="none" w:sz="0" w:space="0" w:color="auto"/>
      </w:divBdr>
    </w:div>
    <w:div w:id="1859928453">
      <w:bodyDiv w:val="1"/>
      <w:marLeft w:val="0"/>
      <w:marRight w:val="0"/>
      <w:marTop w:val="0"/>
      <w:marBottom w:val="0"/>
      <w:divBdr>
        <w:top w:val="none" w:sz="0" w:space="0" w:color="auto"/>
        <w:left w:val="none" w:sz="0" w:space="0" w:color="auto"/>
        <w:bottom w:val="none" w:sz="0" w:space="0" w:color="auto"/>
        <w:right w:val="none" w:sz="0" w:space="0" w:color="auto"/>
      </w:divBdr>
    </w:div>
    <w:div w:id="1867255246">
      <w:bodyDiv w:val="1"/>
      <w:marLeft w:val="0"/>
      <w:marRight w:val="0"/>
      <w:marTop w:val="0"/>
      <w:marBottom w:val="0"/>
      <w:divBdr>
        <w:top w:val="none" w:sz="0" w:space="0" w:color="auto"/>
        <w:left w:val="none" w:sz="0" w:space="0" w:color="auto"/>
        <w:bottom w:val="none" w:sz="0" w:space="0" w:color="auto"/>
        <w:right w:val="none" w:sz="0" w:space="0" w:color="auto"/>
      </w:divBdr>
    </w:div>
    <w:div w:id="1885750351">
      <w:bodyDiv w:val="1"/>
      <w:marLeft w:val="0"/>
      <w:marRight w:val="0"/>
      <w:marTop w:val="0"/>
      <w:marBottom w:val="0"/>
      <w:divBdr>
        <w:top w:val="none" w:sz="0" w:space="0" w:color="auto"/>
        <w:left w:val="none" w:sz="0" w:space="0" w:color="auto"/>
        <w:bottom w:val="none" w:sz="0" w:space="0" w:color="auto"/>
        <w:right w:val="none" w:sz="0" w:space="0" w:color="auto"/>
      </w:divBdr>
    </w:div>
    <w:div w:id="1890072881">
      <w:bodyDiv w:val="1"/>
      <w:marLeft w:val="0"/>
      <w:marRight w:val="0"/>
      <w:marTop w:val="0"/>
      <w:marBottom w:val="0"/>
      <w:divBdr>
        <w:top w:val="none" w:sz="0" w:space="0" w:color="auto"/>
        <w:left w:val="none" w:sz="0" w:space="0" w:color="auto"/>
        <w:bottom w:val="none" w:sz="0" w:space="0" w:color="auto"/>
        <w:right w:val="none" w:sz="0" w:space="0" w:color="auto"/>
      </w:divBdr>
    </w:div>
    <w:div w:id="1897667626">
      <w:bodyDiv w:val="1"/>
      <w:marLeft w:val="0"/>
      <w:marRight w:val="0"/>
      <w:marTop w:val="0"/>
      <w:marBottom w:val="0"/>
      <w:divBdr>
        <w:top w:val="none" w:sz="0" w:space="0" w:color="auto"/>
        <w:left w:val="none" w:sz="0" w:space="0" w:color="auto"/>
        <w:bottom w:val="none" w:sz="0" w:space="0" w:color="auto"/>
        <w:right w:val="none" w:sz="0" w:space="0" w:color="auto"/>
      </w:divBdr>
    </w:div>
    <w:div w:id="1908342863">
      <w:bodyDiv w:val="1"/>
      <w:marLeft w:val="0"/>
      <w:marRight w:val="0"/>
      <w:marTop w:val="0"/>
      <w:marBottom w:val="0"/>
      <w:divBdr>
        <w:top w:val="none" w:sz="0" w:space="0" w:color="auto"/>
        <w:left w:val="none" w:sz="0" w:space="0" w:color="auto"/>
        <w:bottom w:val="none" w:sz="0" w:space="0" w:color="auto"/>
        <w:right w:val="none" w:sz="0" w:space="0" w:color="auto"/>
      </w:divBdr>
    </w:div>
    <w:div w:id="1927184016">
      <w:bodyDiv w:val="1"/>
      <w:marLeft w:val="0"/>
      <w:marRight w:val="0"/>
      <w:marTop w:val="0"/>
      <w:marBottom w:val="0"/>
      <w:divBdr>
        <w:top w:val="none" w:sz="0" w:space="0" w:color="auto"/>
        <w:left w:val="none" w:sz="0" w:space="0" w:color="auto"/>
        <w:bottom w:val="none" w:sz="0" w:space="0" w:color="auto"/>
        <w:right w:val="none" w:sz="0" w:space="0" w:color="auto"/>
      </w:divBdr>
    </w:div>
    <w:div w:id="1928924671">
      <w:bodyDiv w:val="1"/>
      <w:marLeft w:val="0"/>
      <w:marRight w:val="0"/>
      <w:marTop w:val="0"/>
      <w:marBottom w:val="0"/>
      <w:divBdr>
        <w:top w:val="none" w:sz="0" w:space="0" w:color="auto"/>
        <w:left w:val="none" w:sz="0" w:space="0" w:color="auto"/>
        <w:bottom w:val="none" w:sz="0" w:space="0" w:color="auto"/>
        <w:right w:val="none" w:sz="0" w:space="0" w:color="auto"/>
      </w:divBdr>
    </w:div>
    <w:div w:id="1957757272">
      <w:bodyDiv w:val="1"/>
      <w:marLeft w:val="0"/>
      <w:marRight w:val="0"/>
      <w:marTop w:val="0"/>
      <w:marBottom w:val="0"/>
      <w:divBdr>
        <w:top w:val="none" w:sz="0" w:space="0" w:color="auto"/>
        <w:left w:val="none" w:sz="0" w:space="0" w:color="auto"/>
        <w:bottom w:val="none" w:sz="0" w:space="0" w:color="auto"/>
        <w:right w:val="none" w:sz="0" w:space="0" w:color="auto"/>
      </w:divBdr>
    </w:div>
    <w:div w:id="1986658582">
      <w:bodyDiv w:val="1"/>
      <w:marLeft w:val="0"/>
      <w:marRight w:val="0"/>
      <w:marTop w:val="0"/>
      <w:marBottom w:val="0"/>
      <w:divBdr>
        <w:top w:val="none" w:sz="0" w:space="0" w:color="auto"/>
        <w:left w:val="none" w:sz="0" w:space="0" w:color="auto"/>
        <w:bottom w:val="none" w:sz="0" w:space="0" w:color="auto"/>
        <w:right w:val="none" w:sz="0" w:space="0" w:color="auto"/>
      </w:divBdr>
    </w:div>
    <w:div w:id="1998340478">
      <w:bodyDiv w:val="1"/>
      <w:marLeft w:val="0"/>
      <w:marRight w:val="0"/>
      <w:marTop w:val="0"/>
      <w:marBottom w:val="0"/>
      <w:divBdr>
        <w:top w:val="none" w:sz="0" w:space="0" w:color="auto"/>
        <w:left w:val="none" w:sz="0" w:space="0" w:color="auto"/>
        <w:bottom w:val="none" w:sz="0" w:space="0" w:color="auto"/>
        <w:right w:val="none" w:sz="0" w:space="0" w:color="auto"/>
      </w:divBdr>
    </w:div>
    <w:div w:id="2003462782">
      <w:bodyDiv w:val="1"/>
      <w:marLeft w:val="0"/>
      <w:marRight w:val="0"/>
      <w:marTop w:val="0"/>
      <w:marBottom w:val="0"/>
      <w:divBdr>
        <w:top w:val="none" w:sz="0" w:space="0" w:color="auto"/>
        <w:left w:val="none" w:sz="0" w:space="0" w:color="auto"/>
        <w:bottom w:val="none" w:sz="0" w:space="0" w:color="auto"/>
        <w:right w:val="none" w:sz="0" w:space="0" w:color="auto"/>
      </w:divBdr>
    </w:div>
    <w:div w:id="2007315774">
      <w:bodyDiv w:val="1"/>
      <w:marLeft w:val="0"/>
      <w:marRight w:val="0"/>
      <w:marTop w:val="0"/>
      <w:marBottom w:val="0"/>
      <w:divBdr>
        <w:top w:val="none" w:sz="0" w:space="0" w:color="auto"/>
        <w:left w:val="none" w:sz="0" w:space="0" w:color="auto"/>
        <w:bottom w:val="none" w:sz="0" w:space="0" w:color="auto"/>
        <w:right w:val="none" w:sz="0" w:space="0" w:color="auto"/>
      </w:divBdr>
    </w:div>
    <w:div w:id="2011633924">
      <w:bodyDiv w:val="1"/>
      <w:marLeft w:val="0"/>
      <w:marRight w:val="0"/>
      <w:marTop w:val="0"/>
      <w:marBottom w:val="0"/>
      <w:divBdr>
        <w:top w:val="none" w:sz="0" w:space="0" w:color="auto"/>
        <w:left w:val="none" w:sz="0" w:space="0" w:color="auto"/>
        <w:bottom w:val="none" w:sz="0" w:space="0" w:color="auto"/>
        <w:right w:val="none" w:sz="0" w:space="0" w:color="auto"/>
      </w:divBdr>
    </w:div>
    <w:div w:id="2013679496">
      <w:bodyDiv w:val="1"/>
      <w:marLeft w:val="0"/>
      <w:marRight w:val="0"/>
      <w:marTop w:val="0"/>
      <w:marBottom w:val="0"/>
      <w:divBdr>
        <w:top w:val="none" w:sz="0" w:space="0" w:color="auto"/>
        <w:left w:val="none" w:sz="0" w:space="0" w:color="auto"/>
        <w:bottom w:val="none" w:sz="0" w:space="0" w:color="auto"/>
        <w:right w:val="none" w:sz="0" w:space="0" w:color="auto"/>
      </w:divBdr>
    </w:div>
    <w:div w:id="2014339833">
      <w:bodyDiv w:val="1"/>
      <w:marLeft w:val="0"/>
      <w:marRight w:val="0"/>
      <w:marTop w:val="0"/>
      <w:marBottom w:val="0"/>
      <w:divBdr>
        <w:top w:val="none" w:sz="0" w:space="0" w:color="auto"/>
        <w:left w:val="none" w:sz="0" w:space="0" w:color="auto"/>
        <w:bottom w:val="none" w:sz="0" w:space="0" w:color="auto"/>
        <w:right w:val="none" w:sz="0" w:space="0" w:color="auto"/>
      </w:divBdr>
    </w:div>
    <w:div w:id="2024430292">
      <w:bodyDiv w:val="1"/>
      <w:marLeft w:val="0"/>
      <w:marRight w:val="0"/>
      <w:marTop w:val="0"/>
      <w:marBottom w:val="0"/>
      <w:divBdr>
        <w:top w:val="none" w:sz="0" w:space="0" w:color="auto"/>
        <w:left w:val="none" w:sz="0" w:space="0" w:color="auto"/>
        <w:bottom w:val="none" w:sz="0" w:space="0" w:color="auto"/>
        <w:right w:val="none" w:sz="0" w:space="0" w:color="auto"/>
      </w:divBdr>
    </w:div>
    <w:div w:id="2029745509">
      <w:bodyDiv w:val="1"/>
      <w:marLeft w:val="0"/>
      <w:marRight w:val="0"/>
      <w:marTop w:val="0"/>
      <w:marBottom w:val="0"/>
      <w:divBdr>
        <w:top w:val="none" w:sz="0" w:space="0" w:color="auto"/>
        <w:left w:val="none" w:sz="0" w:space="0" w:color="auto"/>
        <w:bottom w:val="none" w:sz="0" w:space="0" w:color="auto"/>
        <w:right w:val="none" w:sz="0" w:space="0" w:color="auto"/>
      </w:divBdr>
    </w:div>
    <w:div w:id="2041540925">
      <w:bodyDiv w:val="1"/>
      <w:marLeft w:val="0"/>
      <w:marRight w:val="0"/>
      <w:marTop w:val="0"/>
      <w:marBottom w:val="0"/>
      <w:divBdr>
        <w:top w:val="none" w:sz="0" w:space="0" w:color="auto"/>
        <w:left w:val="none" w:sz="0" w:space="0" w:color="auto"/>
        <w:bottom w:val="none" w:sz="0" w:space="0" w:color="auto"/>
        <w:right w:val="none" w:sz="0" w:space="0" w:color="auto"/>
      </w:divBdr>
    </w:div>
    <w:div w:id="2055538411">
      <w:bodyDiv w:val="1"/>
      <w:marLeft w:val="0"/>
      <w:marRight w:val="0"/>
      <w:marTop w:val="0"/>
      <w:marBottom w:val="0"/>
      <w:divBdr>
        <w:top w:val="none" w:sz="0" w:space="0" w:color="auto"/>
        <w:left w:val="none" w:sz="0" w:space="0" w:color="auto"/>
        <w:bottom w:val="none" w:sz="0" w:space="0" w:color="auto"/>
        <w:right w:val="none" w:sz="0" w:space="0" w:color="auto"/>
      </w:divBdr>
    </w:div>
    <w:div w:id="2081292395">
      <w:bodyDiv w:val="1"/>
      <w:marLeft w:val="0"/>
      <w:marRight w:val="0"/>
      <w:marTop w:val="0"/>
      <w:marBottom w:val="0"/>
      <w:divBdr>
        <w:top w:val="none" w:sz="0" w:space="0" w:color="auto"/>
        <w:left w:val="none" w:sz="0" w:space="0" w:color="auto"/>
        <w:bottom w:val="none" w:sz="0" w:space="0" w:color="auto"/>
        <w:right w:val="none" w:sz="0" w:space="0" w:color="auto"/>
      </w:divBdr>
    </w:div>
    <w:div w:id="2119177270">
      <w:bodyDiv w:val="1"/>
      <w:marLeft w:val="0"/>
      <w:marRight w:val="0"/>
      <w:marTop w:val="0"/>
      <w:marBottom w:val="0"/>
      <w:divBdr>
        <w:top w:val="none" w:sz="0" w:space="0" w:color="auto"/>
        <w:left w:val="none" w:sz="0" w:space="0" w:color="auto"/>
        <w:bottom w:val="none" w:sz="0" w:space="0" w:color="auto"/>
        <w:right w:val="none" w:sz="0" w:space="0" w:color="auto"/>
      </w:divBdr>
    </w:div>
    <w:div w:id="2121803623">
      <w:bodyDiv w:val="1"/>
      <w:marLeft w:val="0"/>
      <w:marRight w:val="0"/>
      <w:marTop w:val="0"/>
      <w:marBottom w:val="0"/>
      <w:divBdr>
        <w:top w:val="none" w:sz="0" w:space="0" w:color="auto"/>
        <w:left w:val="none" w:sz="0" w:space="0" w:color="auto"/>
        <w:bottom w:val="none" w:sz="0" w:space="0" w:color="auto"/>
        <w:right w:val="none" w:sz="0" w:space="0" w:color="auto"/>
      </w:divBdr>
    </w:div>
    <w:div w:id="21225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1E0C-D2A8-D34B-9155-C69AFEC3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26492</Words>
  <Characters>161605</Characters>
  <Application>Microsoft Office Word</Application>
  <DocSecurity>0</DocSecurity>
  <Lines>1346</Lines>
  <Paragraphs>375</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187722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Thure Filskov Overvad</dc:creator>
  <cp:keywords/>
  <dc:description/>
  <cp:lastModifiedBy>Thure Filskov Overvad</cp:lastModifiedBy>
  <cp:revision>48</cp:revision>
  <dcterms:created xsi:type="dcterms:W3CDTF">2019-10-07T06:58:00Z</dcterms:created>
  <dcterms:modified xsi:type="dcterms:W3CDTF">2019-10-07T09:33:00Z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http://www.zotero.org/styles/american-heart-association</vt:lpwstr>
  </property>
  <property fmtid="{D5CDD505-2E9C-101B-9397-08002B2CF9AE}" pid="3" name="Mendeley Recent Style Name 0_1">
    <vt:lpwstr>American Heart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http://www.zotero.org/styles/annals-of-internal-medicine</vt:lpwstr>
  </property>
  <property fmtid="{D5CDD505-2E9C-101B-9397-08002B2CF9AE}" pid="7" name="Mendeley Recent Style Name 2_1">
    <vt:lpwstr>Annals of Internal Medicine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http://www.zotero.org/styles/european-society-of-cardiology</vt:lpwstr>
  </property>
  <property fmtid="{D5CDD505-2E9C-101B-9397-08002B2CF9AE}" pid="13" name="Mendeley Recent Style Name 5_1">
    <vt:lpwstr>European Society of Cardiology</vt:lpwstr>
  </property>
  <property fmtid="{D5CDD505-2E9C-101B-9397-08002B2CF9AE}" pid="14" name="Mendeley Recent Style Id 6_1">
    <vt:lpwstr>http://www.zotero.org/styles/journal-of-the-american-college-of-cardiology</vt:lpwstr>
  </property>
  <property fmtid="{D5CDD505-2E9C-101B-9397-08002B2CF9AE}" pid="15" name="Mendeley Recent Style Name 6_1">
    <vt:lpwstr>Journal of the American College of Cardiology</vt:lpwstr>
  </property>
  <property fmtid="{D5CDD505-2E9C-101B-9397-08002B2CF9AE}" pid="16" name="Mendeley Recent Style Id 7_1">
    <vt:lpwstr>http://www.zotero.org/styles/scientific-reports</vt:lpwstr>
  </property>
  <property fmtid="{D5CDD505-2E9C-101B-9397-08002B2CF9AE}" pid="17" name="Mendeley Recent Style Name 7_1">
    <vt:lpwstr>Scientific Reports</vt:lpwstr>
  </property>
  <property fmtid="{D5CDD505-2E9C-101B-9397-08002B2CF9AE}" pid="18" name="Mendeley Recent Style Id 8_1">
    <vt:lpwstr>http://www.zotero.org/styles/stroke</vt:lpwstr>
  </property>
  <property fmtid="{D5CDD505-2E9C-101B-9397-08002B2CF9AE}" pid="19" name="Mendeley Recent Style Name 8_1">
    <vt:lpwstr>Stroke</vt:lpwstr>
  </property>
  <property fmtid="{D5CDD505-2E9C-101B-9397-08002B2CF9AE}" pid="20" name="Mendeley Recent Style Id 9_1">
    <vt:lpwstr>http://csl.mendeley.com/styles/19119811/vancouver-Line</vt:lpwstr>
  </property>
  <property fmtid="{D5CDD505-2E9C-101B-9397-08002B2CF9AE}" pid="21" name="Mendeley Recent Style Name 9_1">
    <vt:lpwstr>Vancouver - Line Melgaard</vt:lpwstr>
  </property>
  <property fmtid="{D5CDD505-2E9C-101B-9397-08002B2CF9AE}" pid="22" name="Mendeley Document_1">
    <vt:lpwstr>True</vt:lpwstr>
  </property>
  <property fmtid="{D5CDD505-2E9C-101B-9397-08002B2CF9AE}" pid="23" name="Mendeley Unique User Id_1">
    <vt:lpwstr>e70f80cb-1583-30d7-8855-cced2b97f710</vt:lpwstr>
  </property>
  <property fmtid="{D5CDD505-2E9C-101B-9397-08002B2CF9AE}" pid="24" name="Mendeley Citation Style_1">
    <vt:lpwstr>http://www.zotero.org/styles/european-society-of-cardiology</vt:lpwstr>
  </property>
  <property fmtid="{D5CDD505-2E9C-101B-9397-08002B2CF9AE}" pid="25" name="ContentRemapped">
    <vt:lpwstr>true</vt:lpwstr>
  </property>
  <property fmtid="{D5CDD505-2E9C-101B-9397-08002B2CF9AE}" pid="26" name="SD_DocumentLanguage">
    <vt:lpwstr>da-DK</vt:lpwstr>
  </property>
</Properties>
</file>