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D89A" w14:textId="77777777" w:rsidR="00AB59EE" w:rsidRDefault="00BD69A7" w:rsidP="00C22EAF">
      <w:pPr>
        <w:spacing w:line="480" w:lineRule="auto"/>
        <w:jc w:val="center"/>
        <w:rPr>
          <w:rFonts w:ascii="Garamond" w:hAnsi="Garamond"/>
          <w:b/>
          <w:sz w:val="32"/>
          <w:szCs w:val="32"/>
        </w:rPr>
      </w:pPr>
      <w:r w:rsidRPr="00AC50B0">
        <w:rPr>
          <w:rFonts w:ascii="Garamond" w:hAnsi="Garamond"/>
          <w:b/>
          <w:sz w:val="32"/>
          <w:szCs w:val="32"/>
        </w:rPr>
        <w:t xml:space="preserve">Margaret Thatcher and the </w:t>
      </w:r>
      <w:r w:rsidR="006C405E">
        <w:rPr>
          <w:rFonts w:ascii="Garamond" w:hAnsi="Garamond"/>
          <w:b/>
          <w:sz w:val="32"/>
          <w:szCs w:val="32"/>
        </w:rPr>
        <w:t>Rhetorical</w:t>
      </w:r>
      <w:r w:rsidRPr="00AC50B0">
        <w:rPr>
          <w:rFonts w:ascii="Garamond" w:hAnsi="Garamond"/>
          <w:b/>
          <w:sz w:val="32"/>
          <w:szCs w:val="32"/>
        </w:rPr>
        <w:t xml:space="preserve"> Road to Brexit</w:t>
      </w:r>
    </w:p>
    <w:p w14:paraId="647C4783" w14:textId="0AD2AF9E" w:rsidR="00C20095" w:rsidRPr="00AC50B0" w:rsidRDefault="00C20095" w:rsidP="00C22EAF">
      <w:pPr>
        <w:spacing w:line="480" w:lineRule="auto"/>
        <w:jc w:val="center"/>
        <w:rPr>
          <w:rFonts w:ascii="Garamond" w:hAnsi="Garamond"/>
          <w:b/>
          <w:sz w:val="32"/>
          <w:szCs w:val="32"/>
        </w:rPr>
      </w:pPr>
      <w:r>
        <w:rPr>
          <w:rFonts w:ascii="Garamond" w:hAnsi="Garamond"/>
          <w:b/>
          <w:sz w:val="32"/>
          <w:szCs w:val="32"/>
        </w:rPr>
        <w:t xml:space="preserve">Andrew S. </w:t>
      </w:r>
      <w:r w:rsidR="00E4323C">
        <w:rPr>
          <w:rFonts w:ascii="Garamond" w:hAnsi="Garamond"/>
          <w:b/>
          <w:sz w:val="32"/>
          <w:szCs w:val="32"/>
        </w:rPr>
        <w:t>Roe-</w:t>
      </w:r>
      <w:r>
        <w:rPr>
          <w:rFonts w:ascii="Garamond" w:hAnsi="Garamond"/>
          <w:b/>
          <w:sz w:val="32"/>
          <w:szCs w:val="32"/>
        </w:rPr>
        <w:t>Crines</w:t>
      </w:r>
    </w:p>
    <w:p w14:paraId="0ED055F1" w14:textId="77777777" w:rsidR="006A2C80" w:rsidRDefault="006A2C80" w:rsidP="00C22EAF">
      <w:pPr>
        <w:spacing w:line="480" w:lineRule="auto"/>
        <w:rPr>
          <w:rFonts w:ascii="Garamond" w:hAnsi="Garamond"/>
          <w:b/>
          <w:sz w:val="24"/>
          <w:szCs w:val="24"/>
        </w:rPr>
      </w:pPr>
    </w:p>
    <w:p w14:paraId="697DC0DC" w14:textId="77777777" w:rsidR="003B4870" w:rsidRDefault="003B4870" w:rsidP="00C22EAF">
      <w:pPr>
        <w:spacing w:line="480" w:lineRule="auto"/>
        <w:rPr>
          <w:rFonts w:ascii="Garamond" w:hAnsi="Garamond"/>
          <w:b/>
          <w:sz w:val="24"/>
          <w:szCs w:val="24"/>
        </w:rPr>
      </w:pPr>
      <w:r w:rsidRPr="00C22EAF">
        <w:rPr>
          <w:rFonts w:ascii="Garamond" w:hAnsi="Garamond"/>
          <w:b/>
          <w:sz w:val="24"/>
          <w:szCs w:val="24"/>
        </w:rPr>
        <w:t>Introduction</w:t>
      </w:r>
    </w:p>
    <w:p w14:paraId="185CAE9C" w14:textId="77777777" w:rsidR="008356E9" w:rsidRPr="00C22EAF" w:rsidRDefault="008356E9" w:rsidP="00C22EAF">
      <w:pPr>
        <w:spacing w:line="480" w:lineRule="auto"/>
        <w:rPr>
          <w:rFonts w:ascii="Garamond" w:hAnsi="Garamond"/>
          <w:b/>
          <w:sz w:val="24"/>
          <w:szCs w:val="24"/>
        </w:rPr>
      </w:pPr>
    </w:p>
    <w:p w14:paraId="36A365B9" w14:textId="77777777" w:rsidR="00E10DDF" w:rsidRDefault="00130183" w:rsidP="00C22EAF">
      <w:pPr>
        <w:spacing w:line="480" w:lineRule="auto"/>
        <w:rPr>
          <w:rFonts w:ascii="Garamond" w:hAnsi="Garamond"/>
          <w:sz w:val="24"/>
          <w:szCs w:val="24"/>
        </w:rPr>
      </w:pPr>
      <w:r w:rsidRPr="00C22EAF">
        <w:rPr>
          <w:rFonts w:ascii="Garamond" w:hAnsi="Garamond"/>
          <w:sz w:val="24"/>
          <w:szCs w:val="24"/>
        </w:rPr>
        <w:t xml:space="preserve">Following the United Kingdom’s </w:t>
      </w:r>
      <w:r w:rsidR="00E10DDF">
        <w:rPr>
          <w:rFonts w:ascii="Garamond" w:hAnsi="Garamond"/>
          <w:sz w:val="24"/>
          <w:szCs w:val="24"/>
        </w:rPr>
        <w:t xml:space="preserve">failure to </w:t>
      </w:r>
      <w:r w:rsidR="007D3609">
        <w:rPr>
          <w:rFonts w:ascii="Garamond" w:hAnsi="Garamond"/>
          <w:sz w:val="24"/>
          <w:szCs w:val="24"/>
        </w:rPr>
        <w:t>leave</w:t>
      </w:r>
      <w:r w:rsidRPr="00C22EAF">
        <w:rPr>
          <w:rFonts w:ascii="Garamond" w:hAnsi="Garamond"/>
          <w:sz w:val="24"/>
          <w:szCs w:val="24"/>
        </w:rPr>
        <w:t xml:space="preserve"> the European Union in March 2019, it would be worth </w:t>
      </w:r>
      <w:r w:rsidR="00F503BE">
        <w:rPr>
          <w:rFonts w:ascii="Garamond" w:hAnsi="Garamond"/>
          <w:sz w:val="24"/>
          <w:szCs w:val="24"/>
        </w:rPr>
        <w:t>reconsidering</w:t>
      </w:r>
      <w:r w:rsidRPr="00C22EAF">
        <w:rPr>
          <w:rFonts w:ascii="Garamond" w:hAnsi="Garamond"/>
          <w:sz w:val="24"/>
          <w:szCs w:val="24"/>
        </w:rPr>
        <w:t xml:space="preserve"> the extent to which Margaret Thatcher’s growing resistance to further integration with the European Economic Community (later the ‘European Union’) helped to inspire a</w:t>
      </w:r>
      <w:r w:rsidR="00E10DDF">
        <w:rPr>
          <w:rFonts w:ascii="Garamond" w:hAnsi="Garamond"/>
          <w:sz w:val="24"/>
          <w:szCs w:val="24"/>
        </w:rPr>
        <w:t xml:space="preserve"> rhetorical narrative towards </w:t>
      </w:r>
      <w:r w:rsidRPr="00C22EAF">
        <w:rPr>
          <w:rFonts w:ascii="Garamond" w:hAnsi="Garamond"/>
          <w:sz w:val="24"/>
          <w:szCs w:val="24"/>
        </w:rPr>
        <w:t xml:space="preserve">departure in the years following her Premiership. </w:t>
      </w:r>
      <w:r w:rsidR="007D3609">
        <w:rPr>
          <w:rFonts w:ascii="Garamond" w:hAnsi="Garamond"/>
          <w:sz w:val="24"/>
          <w:szCs w:val="24"/>
        </w:rPr>
        <w:t>It will show how t</w:t>
      </w:r>
      <w:r w:rsidR="00E10DDF">
        <w:rPr>
          <w:rFonts w:ascii="Garamond" w:hAnsi="Garamond"/>
          <w:sz w:val="24"/>
          <w:szCs w:val="24"/>
        </w:rPr>
        <w:t>his narrative culminate</w:t>
      </w:r>
      <w:r w:rsidR="007D3609">
        <w:rPr>
          <w:rFonts w:ascii="Garamond" w:hAnsi="Garamond"/>
          <w:sz w:val="24"/>
          <w:szCs w:val="24"/>
        </w:rPr>
        <w:t xml:space="preserve">d in the EU referendum in 2016 and </w:t>
      </w:r>
      <w:r w:rsidR="00E10DDF">
        <w:rPr>
          <w:rFonts w:ascii="Garamond" w:hAnsi="Garamond"/>
          <w:sz w:val="24"/>
          <w:szCs w:val="24"/>
        </w:rPr>
        <w:t>the moves towards ‘</w:t>
      </w:r>
      <w:r w:rsidR="007D3609">
        <w:rPr>
          <w:rFonts w:ascii="Garamond" w:hAnsi="Garamond"/>
          <w:sz w:val="24"/>
          <w:szCs w:val="24"/>
        </w:rPr>
        <w:t>Brexit’ in the following years.</w:t>
      </w:r>
    </w:p>
    <w:p w14:paraId="358235E3" w14:textId="77777777" w:rsidR="007D3609" w:rsidRDefault="007D3609" w:rsidP="00C22EAF">
      <w:pPr>
        <w:spacing w:line="480" w:lineRule="auto"/>
        <w:rPr>
          <w:rFonts w:ascii="Garamond" w:hAnsi="Garamond"/>
          <w:sz w:val="24"/>
          <w:szCs w:val="24"/>
        </w:rPr>
      </w:pPr>
    </w:p>
    <w:p w14:paraId="5F5A0A79" w14:textId="77777777" w:rsidR="00130183" w:rsidRPr="00C22EAF" w:rsidRDefault="00130183" w:rsidP="00C22EAF">
      <w:pPr>
        <w:spacing w:line="480" w:lineRule="auto"/>
        <w:rPr>
          <w:rFonts w:ascii="Garamond" w:hAnsi="Garamond"/>
          <w:sz w:val="24"/>
          <w:szCs w:val="24"/>
        </w:rPr>
      </w:pPr>
      <w:r w:rsidRPr="00C22EAF">
        <w:rPr>
          <w:rFonts w:ascii="Garamond" w:hAnsi="Garamond"/>
          <w:sz w:val="24"/>
          <w:szCs w:val="24"/>
        </w:rPr>
        <w:t xml:space="preserve">Needless to say other political actors played key roles across the political spectrum, yet for Thatcher it was the </w:t>
      </w:r>
      <w:r w:rsidR="00907AD3" w:rsidRPr="00C22EAF">
        <w:rPr>
          <w:rFonts w:ascii="Garamond" w:hAnsi="Garamond"/>
          <w:sz w:val="24"/>
          <w:szCs w:val="24"/>
        </w:rPr>
        <w:t xml:space="preserve">importance of </w:t>
      </w:r>
      <w:r w:rsidR="00511C2C">
        <w:rPr>
          <w:rFonts w:ascii="Garamond" w:hAnsi="Garamond"/>
          <w:sz w:val="24"/>
          <w:szCs w:val="24"/>
        </w:rPr>
        <w:t>core conservative</w:t>
      </w:r>
      <w:r w:rsidR="00511C2C">
        <w:rPr>
          <w:rStyle w:val="FootnoteReference"/>
          <w:rFonts w:ascii="Garamond" w:hAnsi="Garamond"/>
          <w:sz w:val="24"/>
          <w:szCs w:val="24"/>
        </w:rPr>
        <w:footnoteReference w:id="1"/>
      </w:r>
      <w:r w:rsidR="00511C2C">
        <w:rPr>
          <w:rFonts w:ascii="Garamond" w:hAnsi="Garamond"/>
          <w:sz w:val="24"/>
          <w:szCs w:val="24"/>
        </w:rPr>
        <w:t xml:space="preserve"> principles such as </w:t>
      </w:r>
      <w:r w:rsidR="00907AD3" w:rsidRPr="00C22EAF">
        <w:rPr>
          <w:rFonts w:ascii="Garamond" w:hAnsi="Garamond"/>
          <w:sz w:val="24"/>
          <w:szCs w:val="24"/>
        </w:rPr>
        <w:t xml:space="preserve">national sovereignty, </w:t>
      </w:r>
      <w:r w:rsidRPr="00C22EAF">
        <w:rPr>
          <w:rFonts w:ascii="Garamond" w:hAnsi="Garamond"/>
          <w:sz w:val="24"/>
          <w:szCs w:val="24"/>
        </w:rPr>
        <w:t xml:space="preserve">its </w:t>
      </w:r>
      <w:r w:rsidR="00907AD3" w:rsidRPr="00C22EAF">
        <w:rPr>
          <w:rFonts w:ascii="Garamond" w:hAnsi="Garamond"/>
          <w:sz w:val="24"/>
          <w:szCs w:val="24"/>
        </w:rPr>
        <w:t xml:space="preserve">relationship with Westminster, </w:t>
      </w:r>
      <w:r w:rsidRPr="00C22EAF">
        <w:rPr>
          <w:rFonts w:ascii="Garamond" w:hAnsi="Garamond"/>
          <w:sz w:val="24"/>
          <w:szCs w:val="24"/>
        </w:rPr>
        <w:t xml:space="preserve">preserving a specific conception of </w:t>
      </w:r>
      <w:r w:rsidR="00907AD3" w:rsidRPr="00C22EAF">
        <w:rPr>
          <w:rFonts w:ascii="Garamond" w:hAnsi="Garamond"/>
          <w:sz w:val="24"/>
          <w:szCs w:val="24"/>
        </w:rPr>
        <w:t>British identity, and a liberal attitude towards economic strategy</w:t>
      </w:r>
      <w:r w:rsidRPr="00C22EAF">
        <w:rPr>
          <w:rFonts w:ascii="Garamond" w:hAnsi="Garamond"/>
          <w:sz w:val="24"/>
          <w:szCs w:val="24"/>
        </w:rPr>
        <w:t xml:space="preserve"> which inspired her to adopt more Eurosceptic attitudes in the latter years of her Premiership and beyond. Indeed, in </w:t>
      </w:r>
      <w:r w:rsidR="00F80403">
        <w:rPr>
          <w:rFonts w:ascii="Garamond" w:hAnsi="Garamond"/>
          <w:sz w:val="24"/>
          <w:szCs w:val="24"/>
        </w:rPr>
        <w:t xml:space="preserve">conversation </w:t>
      </w:r>
      <w:r w:rsidRPr="00C22EAF">
        <w:rPr>
          <w:rFonts w:ascii="Garamond" w:hAnsi="Garamond"/>
          <w:sz w:val="24"/>
          <w:szCs w:val="24"/>
        </w:rPr>
        <w:t xml:space="preserve">with the author in January 2019, Sir John Redwood reflected that… </w:t>
      </w:r>
    </w:p>
    <w:p w14:paraId="1C50A8F6" w14:textId="77777777" w:rsidR="00545AED" w:rsidRPr="00C22EAF" w:rsidRDefault="00130183" w:rsidP="00C22EAF">
      <w:pPr>
        <w:spacing w:line="480" w:lineRule="auto"/>
        <w:ind w:left="567" w:right="567"/>
        <w:rPr>
          <w:rFonts w:ascii="Garamond" w:hAnsi="Garamond"/>
          <w:sz w:val="24"/>
          <w:szCs w:val="24"/>
        </w:rPr>
      </w:pPr>
      <w:r w:rsidRPr="00C22EAF">
        <w:rPr>
          <w:rFonts w:ascii="Garamond" w:hAnsi="Garamond"/>
          <w:sz w:val="24"/>
          <w:szCs w:val="24"/>
        </w:rPr>
        <w:lastRenderedPageBreak/>
        <w:t>…after office she moved further in the Eurosceptic direction, listening to people like Sir William Cash and myself warning her of the dangers of more power passing. The lady who had famously campaigned to stay in the EEC in 1975 in a jumper with the flags of the members on it became an important elder stateswoman in the Eurosceptic movement to stop Maastricht and Lisbon. She wanted to keep the UK out of the growing movement to full scale economic, monetary and political union and realised in her later years we needed to leave as it was far distant from the Common Market she had enthusiastically supported (Redwood, 2019).</w:t>
      </w:r>
    </w:p>
    <w:p w14:paraId="5D6EB983" w14:textId="77777777" w:rsidR="007D3609" w:rsidRDefault="007D3609" w:rsidP="00C22EAF">
      <w:pPr>
        <w:spacing w:line="480" w:lineRule="auto"/>
        <w:rPr>
          <w:rFonts w:ascii="Garamond" w:hAnsi="Garamond"/>
          <w:sz w:val="24"/>
          <w:szCs w:val="24"/>
        </w:rPr>
      </w:pPr>
    </w:p>
    <w:p w14:paraId="7BCFAFC0" w14:textId="77777777" w:rsidR="00260BA7" w:rsidRPr="00C22EAF" w:rsidRDefault="00130183" w:rsidP="00C22EAF">
      <w:pPr>
        <w:spacing w:line="480" w:lineRule="auto"/>
        <w:rPr>
          <w:rFonts w:ascii="Garamond" w:hAnsi="Garamond"/>
          <w:sz w:val="24"/>
          <w:szCs w:val="24"/>
        </w:rPr>
      </w:pPr>
      <w:r w:rsidRPr="00C22EAF">
        <w:rPr>
          <w:rFonts w:ascii="Garamond" w:hAnsi="Garamond"/>
          <w:sz w:val="24"/>
          <w:szCs w:val="24"/>
        </w:rPr>
        <w:t>To demonstrate Thatcher’s shift in rhetorical emphasis, this chapter positions her arguments within the broader traditions of conservative scepticism towards UK membership of</w:t>
      </w:r>
      <w:r w:rsidR="00A32F57" w:rsidRPr="00C22EAF">
        <w:rPr>
          <w:rFonts w:ascii="Garamond" w:hAnsi="Garamond"/>
          <w:sz w:val="24"/>
          <w:szCs w:val="24"/>
        </w:rPr>
        <w:t xml:space="preserve"> the European projects. </w:t>
      </w:r>
      <w:r w:rsidR="00686B5A" w:rsidRPr="00C22EAF">
        <w:rPr>
          <w:rFonts w:ascii="Garamond" w:hAnsi="Garamond"/>
          <w:sz w:val="24"/>
          <w:szCs w:val="24"/>
        </w:rPr>
        <w:t xml:space="preserve">To do this </w:t>
      </w:r>
      <w:r w:rsidR="00A32F57" w:rsidRPr="00C22EAF">
        <w:rPr>
          <w:rFonts w:ascii="Garamond" w:hAnsi="Garamond"/>
          <w:sz w:val="24"/>
          <w:szCs w:val="24"/>
        </w:rPr>
        <w:t xml:space="preserve">the </w:t>
      </w:r>
      <w:r w:rsidR="00686B5A" w:rsidRPr="00C22EAF">
        <w:rPr>
          <w:rFonts w:ascii="Garamond" w:hAnsi="Garamond"/>
          <w:sz w:val="24"/>
          <w:szCs w:val="24"/>
        </w:rPr>
        <w:t xml:space="preserve">chapter will first present a broad overview of the historical development of Conservative Euroscepticism, whilst positioning Thatcher within it. </w:t>
      </w:r>
      <w:r w:rsidR="00D0677B">
        <w:rPr>
          <w:rFonts w:ascii="Garamond" w:hAnsi="Garamond"/>
          <w:sz w:val="24"/>
          <w:szCs w:val="24"/>
        </w:rPr>
        <w:t xml:space="preserve">To do so it will emphasise </w:t>
      </w:r>
      <w:r w:rsidR="00C72CD1">
        <w:rPr>
          <w:rFonts w:ascii="Garamond" w:hAnsi="Garamond"/>
          <w:sz w:val="24"/>
          <w:szCs w:val="24"/>
        </w:rPr>
        <w:t xml:space="preserve">key </w:t>
      </w:r>
      <w:r w:rsidR="00D0677B">
        <w:rPr>
          <w:rFonts w:ascii="Garamond" w:hAnsi="Garamond"/>
          <w:sz w:val="24"/>
          <w:szCs w:val="24"/>
        </w:rPr>
        <w:t xml:space="preserve">points advanced by </w:t>
      </w:r>
      <w:r w:rsidR="00F0451E">
        <w:rPr>
          <w:rFonts w:ascii="Garamond" w:hAnsi="Garamond"/>
          <w:sz w:val="24"/>
          <w:szCs w:val="24"/>
        </w:rPr>
        <w:t xml:space="preserve">Hayton (2012) and </w:t>
      </w:r>
      <w:r w:rsidR="00D0677B">
        <w:rPr>
          <w:rFonts w:ascii="Garamond" w:hAnsi="Garamond"/>
          <w:sz w:val="24"/>
          <w:szCs w:val="24"/>
        </w:rPr>
        <w:t xml:space="preserve">Gamble (1994) that ‘Thatcherism was an attempt to restore the conditions of Conservative hegemony’ by emphasising ‘market liberalism as a dominant public philosophy’ (Hayton, 2012: 9; Gamble, 1994: 4). </w:t>
      </w:r>
      <w:r w:rsidR="00C572FA" w:rsidRPr="00C22EAF">
        <w:rPr>
          <w:rFonts w:ascii="Garamond" w:hAnsi="Garamond"/>
          <w:sz w:val="24"/>
          <w:szCs w:val="24"/>
        </w:rPr>
        <w:t xml:space="preserve">Then, drawing loosely from rhetorical methodological </w:t>
      </w:r>
      <w:r w:rsidR="00B372B5" w:rsidRPr="00C22EAF">
        <w:rPr>
          <w:rFonts w:ascii="Garamond" w:hAnsi="Garamond"/>
          <w:sz w:val="24"/>
          <w:szCs w:val="24"/>
        </w:rPr>
        <w:t>concepts,</w:t>
      </w:r>
      <w:r w:rsidR="00C572FA" w:rsidRPr="00C22EAF">
        <w:rPr>
          <w:rStyle w:val="FootnoteReference"/>
          <w:rFonts w:ascii="Garamond" w:hAnsi="Garamond"/>
          <w:sz w:val="24"/>
          <w:szCs w:val="24"/>
        </w:rPr>
        <w:footnoteReference w:id="2"/>
      </w:r>
      <w:r w:rsidR="00C572FA" w:rsidRPr="00C22EAF">
        <w:rPr>
          <w:rFonts w:ascii="Garamond" w:hAnsi="Garamond"/>
          <w:sz w:val="24"/>
          <w:szCs w:val="24"/>
        </w:rPr>
        <w:t xml:space="preserve"> this chapter</w:t>
      </w:r>
      <w:r w:rsidR="00686B5A" w:rsidRPr="00C22EAF">
        <w:rPr>
          <w:rFonts w:ascii="Garamond" w:hAnsi="Garamond"/>
          <w:sz w:val="24"/>
          <w:szCs w:val="24"/>
        </w:rPr>
        <w:t xml:space="preserve"> briefly consider the importance of Thatcher’s Bruges speech as a defining moment of Euroscepticism within the Conservative Party</w:t>
      </w:r>
      <w:r w:rsidR="00C572FA" w:rsidRPr="00C22EAF">
        <w:rPr>
          <w:rFonts w:ascii="Garamond" w:hAnsi="Garamond"/>
          <w:sz w:val="24"/>
          <w:szCs w:val="24"/>
        </w:rPr>
        <w:t>, from which</w:t>
      </w:r>
      <w:r w:rsidR="00686B5A" w:rsidRPr="00C22EAF">
        <w:rPr>
          <w:rFonts w:ascii="Garamond" w:hAnsi="Garamond"/>
          <w:sz w:val="24"/>
          <w:szCs w:val="24"/>
        </w:rPr>
        <w:t xml:space="preserve"> many of the arguments used in Thatcher’s subsequent interventions </w:t>
      </w:r>
      <w:r w:rsidR="00C572FA" w:rsidRPr="00C22EAF">
        <w:rPr>
          <w:rFonts w:ascii="Garamond" w:hAnsi="Garamond"/>
          <w:sz w:val="24"/>
          <w:szCs w:val="24"/>
        </w:rPr>
        <w:t xml:space="preserve">flowed </w:t>
      </w:r>
      <w:r w:rsidR="00686B5A" w:rsidRPr="00C22EAF">
        <w:rPr>
          <w:rFonts w:ascii="Garamond" w:hAnsi="Garamond"/>
          <w:sz w:val="24"/>
          <w:szCs w:val="24"/>
        </w:rPr>
        <w:t xml:space="preserve">during the premierships of John Major, Tony Blair, and Gordon Brown. </w:t>
      </w:r>
      <w:r w:rsidR="00F60CD2" w:rsidRPr="00C22EAF">
        <w:rPr>
          <w:rFonts w:ascii="Garamond" w:hAnsi="Garamond"/>
          <w:sz w:val="24"/>
          <w:szCs w:val="24"/>
        </w:rPr>
        <w:t xml:space="preserve">Over the course of her time in the House </w:t>
      </w:r>
      <w:r w:rsidR="00F60CD2" w:rsidRPr="00C22EAF">
        <w:rPr>
          <w:rFonts w:ascii="Garamond" w:hAnsi="Garamond"/>
          <w:sz w:val="24"/>
          <w:szCs w:val="24"/>
        </w:rPr>
        <w:lastRenderedPageBreak/>
        <w:t xml:space="preserve">of Lords it will be possible to see a strengthening of her Eurosceptic arguments, which galvanised her ideological follows, thereby posing an intellectual and political challenge to </w:t>
      </w:r>
      <w:r w:rsidR="00D67463" w:rsidRPr="00C22EAF">
        <w:rPr>
          <w:rFonts w:ascii="Garamond" w:hAnsi="Garamond"/>
          <w:sz w:val="24"/>
          <w:szCs w:val="24"/>
        </w:rPr>
        <w:t xml:space="preserve">those resisting calls for a referendum on UK membership of the European Union. Ultimately, </w:t>
      </w:r>
      <w:r w:rsidR="00117FAF" w:rsidRPr="00C22EAF">
        <w:rPr>
          <w:rFonts w:ascii="Garamond" w:hAnsi="Garamond"/>
          <w:sz w:val="24"/>
          <w:szCs w:val="24"/>
        </w:rPr>
        <w:t xml:space="preserve">those calls became </w:t>
      </w:r>
      <w:r w:rsidR="00425637" w:rsidRPr="00C22EAF">
        <w:rPr>
          <w:rFonts w:ascii="Garamond" w:hAnsi="Garamond"/>
          <w:sz w:val="24"/>
          <w:szCs w:val="24"/>
        </w:rPr>
        <w:t>irresistible</w:t>
      </w:r>
      <w:r w:rsidR="00117FAF" w:rsidRPr="00C22EAF">
        <w:rPr>
          <w:rFonts w:ascii="Garamond" w:hAnsi="Garamond"/>
          <w:sz w:val="24"/>
          <w:szCs w:val="24"/>
        </w:rPr>
        <w:t xml:space="preserve"> (and politically impossible to ignore), thereby culminating in the vote for the UK to leave the EU in 2016</w:t>
      </w:r>
      <w:r w:rsidR="00260BA7" w:rsidRPr="00C22EAF">
        <w:rPr>
          <w:rFonts w:ascii="Garamond" w:hAnsi="Garamond"/>
          <w:sz w:val="24"/>
          <w:szCs w:val="24"/>
        </w:rPr>
        <w:t>.</w:t>
      </w:r>
    </w:p>
    <w:p w14:paraId="69965ECB" w14:textId="77777777" w:rsidR="00AC50B0" w:rsidRDefault="00AC50B0" w:rsidP="00C22EAF">
      <w:pPr>
        <w:spacing w:line="480" w:lineRule="auto"/>
        <w:rPr>
          <w:rFonts w:ascii="Garamond" w:hAnsi="Garamond"/>
          <w:b/>
          <w:sz w:val="24"/>
          <w:szCs w:val="24"/>
        </w:rPr>
      </w:pPr>
    </w:p>
    <w:p w14:paraId="48BF904D" w14:textId="77777777" w:rsidR="003B4870" w:rsidRPr="00C22EAF" w:rsidRDefault="003B4870" w:rsidP="00C22EAF">
      <w:pPr>
        <w:spacing w:line="480" w:lineRule="auto"/>
        <w:rPr>
          <w:rFonts w:ascii="Garamond" w:hAnsi="Garamond"/>
          <w:b/>
          <w:sz w:val="24"/>
          <w:szCs w:val="24"/>
        </w:rPr>
      </w:pPr>
      <w:r w:rsidRPr="00C22EAF">
        <w:rPr>
          <w:rFonts w:ascii="Garamond" w:hAnsi="Garamond"/>
          <w:b/>
          <w:sz w:val="24"/>
          <w:szCs w:val="24"/>
        </w:rPr>
        <w:t>Thatcher and the Historical Development of Conservative Euroscepticism</w:t>
      </w:r>
    </w:p>
    <w:p w14:paraId="780FABCB" w14:textId="77777777" w:rsidR="00AC50B0" w:rsidRDefault="00AC50B0" w:rsidP="00C22EAF">
      <w:pPr>
        <w:spacing w:line="480" w:lineRule="auto"/>
        <w:rPr>
          <w:rFonts w:ascii="Garamond" w:hAnsi="Garamond"/>
          <w:sz w:val="24"/>
          <w:szCs w:val="24"/>
        </w:rPr>
      </w:pPr>
    </w:p>
    <w:p w14:paraId="0C3E7213" w14:textId="77777777" w:rsidR="00DC3AF7" w:rsidRDefault="00C556C9" w:rsidP="00C22EAF">
      <w:pPr>
        <w:spacing w:line="480" w:lineRule="auto"/>
        <w:rPr>
          <w:rFonts w:ascii="Garamond" w:hAnsi="Garamond"/>
          <w:sz w:val="24"/>
          <w:szCs w:val="24"/>
        </w:rPr>
      </w:pPr>
      <w:r w:rsidRPr="00C22EAF">
        <w:rPr>
          <w:rFonts w:ascii="Garamond" w:hAnsi="Garamond"/>
          <w:sz w:val="24"/>
          <w:szCs w:val="24"/>
        </w:rPr>
        <w:t>Within the Conservative Party there have been three distinct elements of ‘anti-Europeanism’ since the 1950s (</w:t>
      </w:r>
      <w:r w:rsidR="0004399A" w:rsidRPr="00C22EAF">
        <w:rPr>
          <w:rFonts w:ascii="Garamond" w:hAnsi="Garamond"/>
          <w:sz w:val="24"/>
          <w:szCs w:val="24"/>
        </w:rPr>
        <w:t>Moon, 1985: 20</w:t>
      </w:r>
      <w:r w:rsidRPr="00C22EAF">
        <w:rPr>
          <w:rFonts w:ascii="Garamond" w:hAnsi="Garamond"/>
          <w:sz w:val="24"/>
          <w:szCs w:val="24"/>
        </w:rPr>
        <w:t xml:space="preserve">). These elements remained </w:t>
      </w:r>
      <w:r w:rsidR="00DC3AF7" w:rsidRPr="00C22EAF">
        <w:rPr>
          <w:rFonts w:ascii="Garamond" w:hAnsi="Garamond"/>
          <w:sz w:val="24"/>
          <w:szCs w:val="24"/>
        </w:rPr>
        <w:t>a</w:t>
      </w:r>
      <w:r w:rsidRPr="00C22EAF">
        <w:rPr>
          <w:rFonts w:ascii="Garamond" w:hAnsi="Garamond"/>
          <w:sz w:val="24"/>
          <w:szCs w:val="24"/>
        </w:rPr>
        <w:t xml:space="preserve"> </w:t>
      </w:r>
      <w:r w:rsidR="00DC3AF7" w:rsidRPr="00C22EAF">
        <w:rPr>
          <w:rFonts w:ascii="Garamond" w:hAnsi="Garamond"/>
          <w:sz w:val="24"/>
          <w:szCs w:val="24"/>
        </w:rPr>
        <w:t>numerical</w:t>
      </w:r>
      <w:r w:rsidRPr="00C22EAF">
        <w:rPr>
          <w:rFonts w:ascii="Garamond" w:hAnsi="Garamond"/>
          <w:sz w:val="24"/>
          <w:szCs w:val="24"/>
        </w:rPr>
        <w:t xml:space="preserve"> minority of the </w:t>
      </w:r>
      <w:r w:rsidR="00DC3AF7" w:rsidRPr="00C22EAF">
        <w:rPr>
          <w:rFonts w:ascii="Garamond" w:hAnsi="Garamond"/>
          <w:sz w:val="24"/>
          <w:szCs w:val="24"/>
        </w:rPr>
        <w:t xml:space="preserve">Parliamentary </w:t>
      </w:r>
      <w:r w:rsidRPr="00C22EAF">
        <w:rPr>
          <w:rFonts w:ascii="Garamond" w:hAnsi="Garamond"/>
          <w:sz w:val="24"/>
          <w:szCs w:val="24"/>
        </w:rPr>
        <w:t xml:space="preserve">Party, given the </w:t>
      </w:r>
      <w:r w:rsidR="00DC3AF7" w:rsidRPr="00C22EAF">
        <w:rPr>
          <w:rFonts w:ascii="Garamond" w:hAnsi="Garamond"/>
          <w:sz w:val="24"/>
          <w:szCs w:val="24"/>
        </w:rPr>
        <w:t>creation</w:t>
      </w:r>
      <w:r w:rsidRPr="00C22EAF">
        <w:rPr>
          <w:rFonts w:ascii="Garamond" w:hAnsi="Garamond"/>
          <w:sz w:val="24"/>
          <w:szCs w:val="24"/>
        </w:rPr>
        <w:t xml:space="preserve"> of a European common market </w:t>
      </w:r>
      <w:r w:rsidR="00DC3AF7" w:rsidRPr="00C22EAF">
        <w:rPr>
          <w:rFonts w:ascii="Garamond" w:hAnsi="Garamond"/>
          <w:sz w:val="24"/>
          <w:szCs w:val="24"/>
        </w:rPr>
        <w:t>as an opportunity for greater economic prosperity. This appealed</w:t>
      </w:r>
      <w:r w:rsidRPr="00C22EAF">
        <w:rPr>
          <w:rFonts w:ascii="Garamond" w:hAnsi="Garamond"/>
          <w:sz w:val="24"/>
          <w:szCs w:val="24"/>
        </w:rPr>
        <w:t xml:space="preserve"> to the more pragmatic strands of conservative thinking</w:t>
      </w:r>
      <w:r w:rsidR="00DC3AF7" w:rsidRPr="00C22EAF">
        <w:rPr>
          <w:rFonts w:ascii="Garamond" w:hAnsi="Garamond"/>
          <w:sz w:val="24"/>
          <w:szCs w:val="24"/>
        </w:rPr>
        <w:t>, particularly within the broader context of a changing society linked to a more technologically minded populace.</w:t>
      </w:r>
    </w:p>
    <w:p w14:paraId="52AB08F6" w14:textId="77777777" w:rsidR="007D3609" w:rsidRPr="00C22EAF" w:rsidRDefault="007D3609" w:rsidP="00C22EAF">
      <w:pPr>
        <w:spacing w:line="480" w:lineRule="auto"/>
        <w:rPr>
          <w:rFonts w:ascii="Garamond" w:hAnsi="Garamond"/>
          <w:sz w:val="24"/>
          <w:szCs w:val="24"/>
        </w:rPr>
      </w:pPr>
    </w:p>
    <w:p w14:paraId="068398D7" w14:textId="77777777" w:rsidR="00C556C9" w:rsidRDefault="006D1E89" w:rsidP="00C22EAF">
      <w:pPr>
        <w:spacing w:line="480" w:lineRule="auto"/>
        <w:rPr>
          <w:rFonts w:ascii="Garamond" w:hAnsi="Garamond"/>
          <w:sz w:val="24"/>
          <w:szCs w:val="24"/>
        </w:rPr>
      </w:pPr>
      <w:r w:rsidRPr="00C22EAF">
        <w:rPr>
          <w:rFonts w:ascii="Garamond" w:hAnsi="Garamond"/>
          <w:sz w:val="24"/>
          <w:szCs w:val="24"/>
        </w:rPr>
        <w:t>However, d</w:t>
      </w:r>
      <w:r w:rsidR="00C556C9" w:rsidRPr="00C22EAF">
        <w:rPr>
          <w:rFonts w:ascii="Garamond" w:hAnsi="Garamond"/>
          <w:sz w:val="24"/>
          <w:szCs w:val="24"/>
        </w:rPr>
        <w:t xml:space="preserve">espite initially being a minority view, </w:t>
      </w:r>
      <w:r w:rsidRPr="00C22EAF">
        <w:rPr>
          <w:rFonts w:ascii="Garamond" w:hAnsi="Garamond"/>
          <w:sz w:val="24"/>
          <w:szCs w:val="24"/>
        </w:rPr>
        <w:t>the Eurosceptic element</w:t>
      </w:r>
      <w:r w:rsidR="00C556C9" w:rsidRPr="00C22EAF">
        <w:rPr>
          <w:rFonts w:ascii="Garamond" w:hAnsi="Garamond"/>
          <w:sz w:val="24"/>
          <w:szCs w:val="24"/>
        </w:rPr>
        <w:t xml:space="preserve"> represented a </w:t>
      </w:r>
      <w:r w:rsidRPr="00C22EAF">
        <w:rPr>
          <w:rFonts w:ascii="Garamond" w:hAnsi="Garamond"/>
          <w:sz w:val="24"/>
          <w:szCs w:val="24"/>
        </w:rPr>
        <w:t>gradual</w:t>
      </w:r>
      <w:r w:rsidR="00C556C9" w:rsidRPr="00C22EAF">
        <w:rPr>
          <w:rFonts w:ascii="Garamond" w:hAnsi="Garamond"/>
          <w:sz w:val="24"/>
          <w:szCs w:val="24"/>
        </w:rPr>
        <w:t xml:space="preserve"> shift of opinion </w:t>
      </w:r>
      <w:r w:rsidRPr="00C22EAF">
        <w:rPr>
          <w:rFonts w:ascii="Garamond" w:hAnsi="Garamond"/>
          <w:sz w:val="24"/>
          <w:szCs w:val="24"/>
        </w:rPr>
        <w:t xml:space="preserve">and attitude </w:t>
      </w:r>
      <w:r w:rsidR="00C556C9" w:rsidRPr="00C22EAF">
        <w:rPr>
          <w:rFonts w:ascii="Garamond" w:hAnsi="Garamond"/>
          <w:sz w:val="24"/>
          <w:szCs w:val="24"/>
        </w:rPr>
        <w:t>between the 1950s and 1980s</w:t>
      </w:r>
      <w:r w:rsidRPr="00C22EAF">
        <w:rPr>
          <w:rFonts w:ascii="Garamond" w:hAnsi="Garamond"/>
          <w:sz w:val="24"/>
          <w:szCs w:val="24"/>
        </w:rPr>
        <w:t xml:space="preserve">. Initially positive, this shift became more sceptical as the character of the European project began change. </w:t>
      </w:r>
      <w:r w:rsidR="00C556C9" w:rsidRPr="00C22EAF">
        <w:rPr>
          <w:rFonts w:ascii="Garamond" w:hAnsi="Garamond"/>
          <w:sz w:val="24"/>
          <w:szCs w:val="24"/>
        </w:rPr>
        <w:t>In terms of their broad categorisation, Moon (1985</w:t>
      </w:r>
      <w:r w:rsidR="0004399A" w:rsidRPr="00C22EAF">
        <w:rPr>
          <w:rFonts w:ascii="Garamond" w:hAnsi="Garamond"/>
          <w:sz w:val="24"/>
          <w:szCs w:val="24"/>
        </w:rPr>
        <w:t>: 20</w:t>
      </w:r>
      <w:r w:rsidR="00C556C9" w:rsidRPr="00C22EAF">
        <w:rPr>
          <w:rFonts w:ascii="Garamond" w:hAnsi="Garamond"/>
          <w:sz w:val="24"/>
          <w:szCs w:val="24"/>
        </w:rPr>
        <w:t xml:space="preserve">) described </w:t>
      </w:r>
      <w:r w:rsidRPr="00C22EAF">
        <w:rPr>
          <w:rFonts w:ascii="Garamond" w:hAnsi="Garamond"/>
          <w:sz w:val="24"/>
          <w:szCs w:val="24"/>
        </w:rPr>
        <w:t>Eurosceptics</w:t>
      </w:r>
      <w:r w:rsidR="00C556C9" w:rsidRPr="00C22EAF">
        <w:rPr>
          <w:rFonts w:ascii="Garamond" w:hAnsi="Garamond"/>
          <w:sz w:val="24"/>
          <w:szCs w:val="24"/>
        </w:rPr>
        <w:t xml:space="preserve"> as simply ‘anti-Europeans’ in the 1950s; </w:t>
      </w:r>
      <w:r w:rsidR="00797E7A" w:rsidRPr="00C22EAF">
        <w:rPr>
          <w:rFonts w:ascii="Garamond" w:hAnsi="Garamond"/>
          <w:sz w:val="24"/>
          <w:szCs w:val="24"/>
        </w:rPr>
        <w:t xml:space="preserve">‘anti-Common Marketeers’ over the course of the 1960s and into the 1970s; and </w:t>
      </w:r>
      <w:r w:rsidRPr="00C22EAF">
        <w:rPr>
          <w:rFonts w:ascii="Garamond" w:hAnsi="Garamond"/>
          <w:sz w:val="24"/>
          <w:szCs w:val="24"/>
        </w:rPr>
        <w:t xml:space="preserve">fully </w:t>
      </w:r>
      <w:r w:rsidR="00797E7A" w:rsidRPr="00C22EAF">
        <w:rPr>
          <w:rFonts w:ascii="Garamond" w:hAnsi="Garamond"/>
          <w:sz w:val="24"/>
          <w:szCs w:val="24"/>
        </w:rPr>
        <w:t>‘Eurosceptics’ in the 1980s and, subsequently, throughout the 1990s and into the 21</w:t>
      </w:r>
      <w:r w:rsidR="00797E7A" w:rsidRPr="00C22EAF">
        <w:rPr>
          <w:rFonts w:ascii="Garamond" w:hAnsi="Garamond"/>
          <w:sz w:val="24"/>
          <w:szCs w:val="24"/>
          <w:vertAlign w:val="superscript"/>
        </w:rPr>
        <w:t>st</w:t>
      </w:r>
      <w:r w:rsidR="00797E7A" w:rsidRPr="00C22EAF">
        <w:rPr>
          <w:rFonts w:ascii="Garamond" w:hAnsi="Garamond"/>
          <w:sz w:val="24"/>
          <w:szCs w:val="24"/>
        </w:rPr>
        <w:t xml:space="preserve"> Century. More recently, Heppell </w:t>
      </w:r>
      <w:r w:rsidR="00797E7A" w:rsidRPr="00C22EAF">
        <w:rPr>
          <w:rFonts w:ascii="Garamond" w:hAnsi="Garamond"/>
          <w:i/>
          <w:sz w:val="24"/>
          <w:szCs w:val="24"/>
        </w:rPr>
        <w:t>et al</w:t>
      </w:r>
      <w:r w:rsidR="003C7B1F" w:rsidRPr="00C22EAF">
        <w:rPr>
          <w:rFonts w:ascii="Garamond" w:hAnsi="Garamond"/>
          <w:sz w:val="24"/>
          <w:szCs w:val="24"/>
        </w:rPr>
        <w:t xml:space="preserve"> (2017)</w:t>
      </w:r>
      <w:r w:rsidR="00797E7A" w:rsidRPr="00C22EAF">
        <w:rPr>
          <w:rFonts w:ascii="Garamond" w:hAnsi="Garamond"/>
          <w:sz w:val="24"/>
          <w:szCs w:val="24"/>
        </w:rPr>
        <w:t xml:space="preserve"> advanced a fourth category, that of ‘</w:t>
      </w:r>
      <w:proofErr w:type="spellStart"/>
      <w:r w:rsidR="00797E7A" w:rsidRPr="00C22EAF">
        <w:rPr>
          <w:rFonts w:ascii="Garamond" w:hAnsi="Garamond"/>
          <w:sz w:val="24"/>
          <w:szCs w:val="24"/>
        </w:rPr>
        <w:t>Eurorejectionists</w:t>
      </w:r>
      <w:proofErr w:type="spellEnd"/>
      <w:r w:rsidR="00797E7A" w:rsidRPr="00C22EAF">
        <w:rPr>
          <w:rFonts w:ascii="Garamond" w:hAnsi="Garamond"/>
          <w:sz w:val="24"/>
          <w:szCs w:val="24"/>
        </w:rPr>
        <w:t xml:space="preserve">’ following the passing of the Lisbon Treaty without a </w:t>
      </w:r>
      <w:r w:rsidR="00797E7A" w:rsidRPr="00C22EAF">
        <w:rPr>
          <w:rFonts w:ascii="Garamond" w:hAnsi="Garamond"/>
          <w:sz w:val="24"/>
          <w:szCs w:val="24"/>
        </w:rPr>
        <w:lastRenderedPageBreak/>
        <w:t xml:space="preserve">referendum and the rise of UKIP in British politics. </w:t>
      </w:r>
      <w:r w:rsidRPr="00C22EAF">
        <w:rPr>
          <w:rFonts w:ascii="Garamond" w:hAnsi="Garamond"/>
          <w:sz w:val="24"/>
          <w:szCs w:val="24"/>
        </w:rPr>
        <w:t>This category reflected the complete rejection of the European project because of the substantial challenge posed to the key tenets of British political sovereignty. It is also worth noting that</w:t>
      </w:r>
      <w:r w:rsidR="00797E7A" w:rsidRPr="00C22EAF">
        <w:rPr>
          <w:rFonts w:ascii="Garamond" w:hAnsi="Garamond"/>
          <w:sz w:val="24"/>
          <w:szCs w:val="24"/>
        </w:rPr>
        <w:t xml:space="preserve"> r</w:t>
      </w:r>
      <w:r w:rsidR="00C556C9" w:rsidRPr="00C22EAF">
        <w:rPr>
          <w:rFonts w:ascii="Garamond" w:hAnsi="Garamond"/>
          <w:sz w:val="24"/>
          <w:szCs w:val="24"/>
        </w:rPr>
        <w:t xml:space="preserve">unning alongside </w:t>
      </w:r>
      <w:r w:rsidR="00797E7A" w:rsidRPr="00C22EAF">
        <w:rPr>
          <w:rFonts w:ascii="Garamond" w:hAnsi="Garamond"/>
          <w:sz w:val="24"/>
          <w:szCs w:val="24"/>
        </w:rPr>
        <w:t>these elements was the</w:t>
      </w:r>
      <w:r w:rsidR="00C556C9" w:rsidRPr="00C22EAF">
        <w:rPr>
          <w:rFonts w:ascii="Garamond" w:hAnsi="Garamond"/>
          <w:sz w:val="24"/>
          <w:szCs w:val="24"/>
        </w:rPr>
        <w:t xml:space="preserve"> emergence </w:t>
      </w:r>
      <w:r w:rsidR="00797E7A" w:rsidRPr="00C22EAF">
        <w:rPr>
          <w:rFonts w:ascii="Garamond" w:hAnsi="Garamond"/>
          <w:sz w:val="24"/>
          <w:szCs w:val="24"/>
        </w:rPr>
        <w:t>of a shift in the</w:t>
      </w:r>
      <w:r w:rsidR="00C556C9" w:rsidRPr="00C22EAF">
        <w:rPr>
          <w:rFonts w:ascii="Garamond" w:hAnsi="Garamond"/>
          <w:sz w:val="24"/>
          <w:szCs w:val="24"/>
        </w:rPr>
        <w:t xml:space="preserve"> character of the </w:t>
      </w:r>
      <w:r w:rsidRPr="00C22EAF">
        <w:rPr>
          <w:rFonts w:ascii="Garamond" w:hAnsi="Garamond"/>
          <w:sz w:val="24"/>
          <w:szCs w:val="24"/>
        </w:rPr>
        <w:t xml:space="preserve">three </w:t>
      </w:r>
      <w:r w:rsidR="00C556C9" w:rsidRPr="00C22EAF">
        <w:rPr>
          <w:rFonts w:ascii="Garamond" w:hAnsi="Garamond"/>
          <w:sz w:val="24"/>
          <w:szCs w:val="24"/>
        </w:rPr>
        <w:t>European project(s)</w:t>
      </w:r>
      <w:r w:rsidRPr="00C22EAF">
        <w:rPr>
          <w:rStyle w:val="FootnoteReference"/>
          <w:rFonts w:ascii="Garamond" w:hAnsi="Garamond"/>
          <w:sz w:val="24"/>
          <w:szCs w:val="24"/>
        </w:rPr>
        <w:footnoteReference w:id="3"/>
      </w:r>
      <w:r w:rsidR="00C556C9" w:rsidRPr="00C22EAF">
        <w:rPr>
          <w:rFonts w:ascii="Garamond" w:hAnsi="Garamond"/>
          <w:sz w:val="24"/>
          <w:szCs w:val="24"/>
        </w:rPr>
        <w:t xml:space="preserve"> </w:t>
      </w:r>
      <w:r w:rsidR="005A1A0E" w:rsidRPr="00C22EAF">
        <w:rPr>
          <w:rFonts w:ascii="Garamond" w:hAnsi="Garamond"/>
          <w:sz w:val="24"/>
          <w:szCs w:val="24"/>
        </w:rPr>
        <w:t xml:space="preserve">and </w:t>
      </w:r>
      <w:r w:rsidR="00C556C9" w:rsidRPr="00C22EAF">
        <w:rPr>
          <w:rFonts w:ascii="Garamond" w:hAnsi="Garamond"/>
          <w:sz w:val="24"/>
          <w:szCs w:val="24"/>
        </w:rPr>
        <w:t xml:space="preserve">the </w:t>
      </w:r>
      <w:r w:rsidR="002245C0" w:rsidRPr="00C22EAF">
        <w:rPr>
          <w:rFonts w:ascii="Garamond" w:hAnsi="Garamond"/>
          <w:sz w:val="24"/>
          <w:szCs w:val="24"/>
        </w:rPr>
        <w:t xml:space="preserve">growing </w:t>
      </w:r>
      <w:r w:rsidR="00C556C9" w:rsidRPr="00C22EAF">
        <w:rPr>
          <w:rFonts w:ascii="Garamond" w:hAnsi="Garamond"/>
          <w:sz w:val="24"/>
          <w:szCs w:val="24"/>
        </w:rPr>
        <w:t xml:space="preserve">size of the </w:t>
      </w:r>
      <w:r w:rsidR="002245C0" w:rsidRPr="00C22EAF">
        <w:rPr>
          <w:rFonts w:ascii="Garamond" w:hAnsi="Garamond"/>
          <w:sz w:val="24"/>
          <w:szCs w:val="24"/>
        </w:rPr>
        <w:t xml:space="preserve">European </w:t>
      </w:r>
      <w:r w:rsidR="00C556C9" w:rsidRPr="00C22EAF">
        <w:rPr>
          <w:rFonts w:ascii="Garamond" w:hAnsi="Garamond"/>
          <w:sz w:val="24"/>
          <w:szCs w:val="24"/>
        </w:rPr>
        <w:t>Community (Union)</w:t>
      </w:r>
      <w:r w:rsidR="005A1A0E" w:rsidRPr="00C22EAF">
        <w:rPr>
          <w:rFonts w:ascii="Garamond" w:hAnsi="Garamond"/>
          <w:sz w:val="24"/>
          <w:szCs w:val="24"/>
        </w:rPr>
        <w:t>.</w:t>
      </w:r>
      <w:r w:rsidRPr="00C22EAF">
        <w:rPr>
          <w:rStyle w:val="FootnoteReference"/>
          <w:rFonts w:ascii="Garamond" w:hAnsi="Garamond"/>
          <w:sz w:val="24"/>
          <w:szCs w:val="24"/>
        </w:rPr>
        <w:footnoteReference w:id="4"/>
      </w:r>
      <w:r w:rsidR="00C556C9" w:rsidRPr="00C22EAF">
        <w:rPr>
          <w:rFonts w:ascii="Garamond" w:hAnsi="Garamond"/>
          <w:sz w:val="24"/>
          <w:szCs w:val="24"/>
        </w:rPr>
        <w:t xml:space="preserve"> </w:t>
      </w:r>
      <w:r w:rsidR="00797E7A" w:rsidRPr="00C22EAF">
        <w:rPr>
          <w:rFonts w:ascii="Garamond" w:hAnsi="Garamond"/>
          <w:sz w:val="24"/>
          <w:szCs w:val="24"/>
        </w:rPr>
        <w:t xml:space="preserve">Put simply, the early </w:t>
      </w:r>
      <w:r w:rsidR="00637988" w:rsidRPr="00C22EAF">
        <w:rPr>
          <w:rFonts w:ascii="Garamond" w:hAnsi="Garamond"/>
          <w:sz w:val="24"/>
          <w:szCs w:val="24"/>
        </w:rPr>
        <w:t xml:space="preserve">yet simple </w:t>
      </w:r>
      <w:r w:rsidR="00797E7A" w:rsidRPr="00C22EAF">
        <w:rPr>
          <w:rFonts w:ascii="Garamond" w:hAnsi="Garamond"/>
          <w:sz w:val="24"/>
          <w:szCs w:val="24"/>
        </w:rPr>
        <w:t xml:space="preserve">ambitions of </w:t>
      </w:r>
      <w:r w:rsidR="00637988" w:rsidRPr="00C22EAF">
        <w:rPr>
          <w:rFonts w:ascii="Garamond" w:hAnsi="Garamond"/>
          <w:sz w:val="24"/>
          <w:szCs w:val="24"/>
        </w:rPr>
        <w:t xml:space="preserve">greater </w:t>
      </w:r>
      <w:r w:rsidR="00797E7A" w:rsidRPr="00C22EAF">
        <w:rPr>
          <w:rFonts w:ascii="Garamond" w:hAnsi="Garamond"/>
          <w:sz w:val="24"/>
          <w:szCs w:val="24"/>
        </w:rPr>
        <w:t>economic</w:t>
      </w:r>
      <w:r w:rsidR="00637988" w:rsidRPr="00C22EAF">
        <w:rPr>
          <w:rFonts w:ascii="Garamond" w:hAnsi="Garamond"/>
          <w:sz w:val="24"/>
          <w:szCs w:val="24"/>
        </w:rPr>
        <w:t xml:space="preserve"> </w:t>
      </w:r>
      <w:r w:rsidR="005A1A0E" w:rsidRPr="00C22EAF">
        <w:rPr>
          <w:rFonts w:ascii="Garamond" w:hAnsi="Garamond"/>
          <w:sz w:val="24"/>
          <w:szCs w:val="24"/>
        </w:rPr>
        <w:t>cooperation had given</w:t>
      </w:r>
      <w:r w:rsidR="00637988" w:rsidRPr="00C22EAF">
        <w:rPr>
          <w:rFonts w:ascii="Garamond" w:hAnsi="Garamond"/>
          <w:sz w:val="24"/>
          <w:szCs w:val="24"/>
        </w:rPr>
        <w:t xml:space="preserve"> way to integration in a range of other areas such as political, social, and mor</w:t>
      </w:r>
      <w:r w:rsidR="00A21867" w:rsidRPr="00C22EAF">
        <w:rPr>
          <w:rFonts w:ascii="Garamond" w:hAnsi="Garamond"/>
          <w:sz w:val="24"/>
          <w:szCs w:val="24"/>
        </w:rPr>
        <w:t>e recently in areas of defence.</w:t>
      </w:r>
    </w:p>
    <w:p w14:paraId="018B30EC" w14:textId="77777777" w:rsidR="007D3609" w:rsidRPr="00C22EAF" w:rsidRDefault="007D3609" w:rsidP="00C22EAF">
      <w:pPr>
        <w:spacing w:line="480" w:lineRule="auto"/>
        <w:rPr>
          <w:rFonts w:ascii="Garamond" w:hAnsi="Garamond"/>
          <w:sz w:val="24"/>
          <w:szCs w:val="24"/>
        </w:rPr>
      </w:pPr>
    </w:p>
    <w:p w14:paraId="53E085C8" w14:textId="77777777" w:rsidR="00D43E6E" w:rsidRDefault="00F307F4" w:rsidP="00C22EAF">
      <w:pPr>
        <w:spacing w:line="480" w:lineRule="auto"/>
        <w:rPr>
          <w:rFonts w:ascii="Garamond" w:hAnsi="Garamond"/>
          <w:sz w:val="24"/>
          <w:szCs w:val="24"/>
        </w:rPr>
      </w:pPr>
      <w:r w:rsidRPr="00C22EAF">
        <w:rPr>
          <w:rFonts w:ascii="Garamond" w:hAnsi="Garamond"/>
          <w:sz w:val="24"/>
          <w:szCs w:val="24"/>
        </w:rPr>
        <w:t xml:space="preserve">The long tradition of </w:t>
      </w:r>
      <w:r w:rsidR="008D048E" w:rsidRPr="00C22EAF">
        <w:rPr>
          <w:rFonts w:ascii="Garamond" w:hAnsi="Garamond"/>
          <w:sz w:val="24"/>
          <w:szCs w:val="24"/>
        </w:rPr>
        <w:t xml:space="preserve">growing </w:t>
      </w:r>
      <w:r w:rsidRPr="00C22EAF">
        <w:rPr>
          <w:rFonts w:ascii="Garamond" w:hAnsi="Garamond"/>
          <w:sz w:val="24"/>
          <w:szCs w:val="24"/>
        </w:rPr>
        <w:t xml:space="preserve">anti-Europeanism </w:t>
      </w:r>
      <w:r w:rsidR="00562906">
        <w:rPr>
          <w:rFonts w:ascii="Garamond" w:hAnsi="Garamond"/>
          <w:sz w:val="24"/>
          <w:szCs w:val="24"/>
        </w:rPr>
        <w:t>before</w:t>
      </w:r>
      <w:r w:rsidRPr="00C22EAF">
        <w:rPr>
          <w:rFonts w:ascii="Garamond" w:hAnsi="Garamond"/>
          <w:sz w:val="24"/>
          <w:szCs w:val="24"/>
        </w:rPr>
        <w:t xml:space="preserve"> Thatcher’s leadership provide</w:t>
      </w:r>
      <w:r w:rsidR="00562906">
        <w:rPr>
          <w:rFonts w:ascii="Garamond" w:hAnsi="Garamond"/>
          <w:sz w:val="24"/>
          <w:szCs w:val="24"/>
        </w:rPr>
        <w:t>s</w:t>
      </w:r>
      <w:r w:rsidRPr="00C22EAF">
        <w:rPr>
          <w:rFonts w:ascii="Garamond" w:hAnsi="Garamond"/>
          <w:sz w:val="24"/>
          <w:szCs w:val="24"/>
        </w:rPr>
        <w:t xml:space="preserve"> something of a political and </w:t>
      </w:r>
      <w:r w:rsidR="00D43E6E" w:rsidRPr="00C22EAF">
        <w:rPr>
          <w:rFonts w:ascii="Garamond" w:hAnsi="Garamond"/>
          <w:sz w:val="24"/>
          <w:szCs w:val="24"/>
        </w:rPr>
        <w:t>historical</w:t>
      </w:r>
      <w:r w:rsidRPr="00C22EAF">
        <w:rPr>
          <w:rFonts w:ascii="Garamond" w:hAnsi="Garamond"/>
          <w:sz w:val="24"/>
          <w:szCs w:val="24"/>
        </w:rPr>
        <w:t xml:space="preserve"> tradition. For example, Anthony Eden noted in 1952 that ‘we know in our bones we cannot’ commit to Europe because ‘Britain’s story and her interests lie far beyond the continent of Europe’ (</w:t>
      </w:r>
      <w:r w:rsidR="009D587D" w:rsidRPr="00C22EAF">
        <w:rPr>
          <w:rFonts w:ascii="Garamond" w:hAnsi="Garamond"/>
          <w:sz w:val="24"/>
          <w:szCs w:val="24"/>
        </w:rPr>
        <w:t>Eden, 1960</w:t>
      </w:r>
      <w:r w:rsidR="00706FF7" w:rsidRPr="00C22EAF">
        <w:rPr>
          <w:rFonts w:ascii="Garamond" w:hAnsi="Garamond"/>
          <w:sz w:val="24"/>
          <w:szCs w:val="24"/>
        </w:rPr>
        <w:t>: 36</w:t>
      </w:r>
      <w:r w:rsidRPr="00C22EAF">
        <w:rPr>
          <w:rFonts w:ascii="Garamond" w:hAnsi="Garamond"/>
          <w:sz w:val="24"/>
          <w:szCs w:val="24"/>
        </w:rPr>
        <w:t xml:space="preserve">). This reflects </w:t>
      </w:r>
      <w:r w:rsidR="003414F8" w:rsidRPr="00C22EAF">
        <w:rPr>
          <w:rFonts w:ascii="Garamond" w:hAnsi="Garamond"/>
          <w:sz w:val="24"/>
          <w:szCs w:val="24"/>
        </w:rPr>
        <w:t xml:space="preserve">a more global-facing character within </w:t>
      </w:r>
      <w:r w:rsidR="00562906">
        <w:rPr>
          <w:rFonts w:ascii="Garamond" w:hAnsi="Garamond"/>
          <w:sz w:val="24"/>
          <w:szCs w:val="24"/>
        </w:rPr>
        <w:t xml:space="preserve">the </w:t>
      </w:r>
      <w:r w:rsidR="003414F8" w:rsidRPr="00C22EAF">
        <w:rPr>
          <w:rFonts w:ascii="Garamond" w:hAnsi="Garamond"/>
          <w:sz w:val="24"/>
          <w:szCs w:val="24"/>
        </w:rPr>
        <w:t xml:space="preserve">British </w:t>
      </w:r>
      <w:r w:rsidR="00562906">
        <w:rPr>
          <w:rFonts w:ascii="Garamond" w:hAnsi="Garamond"/>
          <w:sz w:val="24"/>
          <w:szCs w:val="24"/>
        </w:rPr>
        <w:t>character</w:t>
      </w:r>
      <w:r w:rsidR="003414F8" w:rsidRPr="00C22EAF">
        <w:rPr>
          <w:rFonts w:ascii="Garamond" w:hAnsi="Garamond"/>
          <w:sz w:val="24"/>
          <w:szCs w:val="24"/>
        </w:rPr>
        <w:t xml:space="preserve"> that would be constrained by overly linking its economy to a </w:t>
      </w:r>
      <w:r w:rsidR="00D43E6E" w:rsidRPr="00C22EAF">
        <w:rPr>
          <w:rFonts w:ascii="Garamond" w:hAnsi="Garamond"/>
          <w:sz w:val="24"/>
          <w:szCs w:val="24"/>
        </w:rPr>
        <w:t xml:space="preserve">relatively </w:t>
      </w:r>
      <w:r w:rsidR="003414F8" w:rsidRPr="00C22EAF">
        <w:rPr>
          <w:rFonts w:ascii="Garamond" w:hAnsi="Garamond"/>
          <w:sz w:val="24"/>
          <w:szCs w:val="24"/>
        </w:rPr>
        <w:t>small number of European countries</w:t>
      </w:r>
      <w:r w:rsidR="00D43E6E" w:rsidRPr="00C22EAF">
        <w:rPr>
          <w:rFonts w:ascii="Garamond" w:hAnsi="Garamond"/>
          <w:sz w:val="24"/>
          <w:szCs w:val="24"/>
        </w:rPr>
        <w:t xml:space="preserve"> with diverse economic needs</w:t>
      </w:r>
      <w:r w:rsidR="003414F8" w:rsidRPr="00C22EAF">
        <w:rPr>
          <w:rFonts w:ascii="Garamond" w:hAnsi="Garamond"/>
          <w:sz w:val="24"/>
          <w:szCs w:val="24"/>
        </w:rPr>
        <w:t xml:space="preserve">. </w:t>
      </w:r>
    </w:p>
    <w:p w14:paraId="67791E66" w14:textId="77777777" w:rsidR="007D3609" w:rsidRPr="00C22EAF" w:rsidRDefault="007D3609" w:rsidP="00C22EAF">
      <w:pPr>
        <w:spacing w:line="480" w:lineRule="auto"/>
        <w:rPr>
          <w:rFonts w:ascii="Garamond" w:hAnsi="Garamond"/>
          <w:sz w:val="24"/>
          <w:szCs w:val="24"/>
        </w:rPr>
      </w:pPr>
    </w:p>
    <w:p w14:paraId="2C902511" w14:textId="77777777" w:rsidR="007D3609" w:rsidRDefault="00D43E6E" w:rsidP="00C22EAF">
      <w:pPr>
        <w:spacing w:line="480" w:lineRule="auto"/>
        <w:rPr>
          <w:rFonts w:ascii="Garamond" w:hAnsi="Garamond"/>
          <w:sz w:val="24"/>
          <w:szCs w:val="24"/>
        </w:rPr>
      </w:pPr>
      <w:r w:rsidRPr="00C22EAF">
        <w:rPr>
          <w:rFonts w:ascii="Garamond" w:hAnsi="Garamond"/>
          <w:sz w:val="24"/>
          <w:szCs w:val="24"/>
        </w:rPr>
        <w:t>Moreover</w:t>
      </w:r>
      <w:r w:rsidR="00990DA0" w:rsidRPr="00C22EAF">
        <w:rPr>
          <w:rFonts w:ascii="Garamond" w:hAnsi="Garamond"/>
          <w:sz w:val="24"/>
          <w:szCs w:val="24"/>
        </w:rPr>
        <w:t>, in 1951 the Conservative Party had committed in their manifesto to</w:t>
      </w:r>
      <w:r w:rsidRPr="00C22EAF">
        <w:rPr>
          <w:rFonts w:ascii="Garamond" w:hAnsi="Garamond"/>
          <w:sz w:val="24"/>
          <w:szCs w:val="24"/>
        </w:rPr>
        <w:t xml:space="preserve"> maintaining strong ties with Britain’s imperial holdings and the growing Commonwealth of nations. Indeed, it argued that the Conservatives will protect</w:t>
      </w:r>
      <w:r w:rsidR="00990DA0" w:rsidRPr="00C22EAF">
        <w:rPr>
          <w:rFonts w:ascii="Garamond" w:hAnsi="Garamond"/>
          <w:sz w:val="24"/>
          <w:szCs w:val="24"/>
        </w:rPr>
        <w:t xml:space="preserve"> ‘the safety, progress and cohesion of the British Empire and Commonwealth of Nations’ given ‘in our home market the Empire </w:t>
      </w:r>
      <w:r w:rsidR="00990DA0" w:rsidRPr="00C22EAF">
        <w:rPr>
          <w:rFonts w:ascii="Garamond" w:hAnsi="Garamond"/>
          <w:sz w:val="24"/>
          <w:szCs w:val="24"/>
        </w:rPr>
        <w:lastRenderedPageBreak/>
        <w:t>producer will have place second only to the home producer’ (</w:t>
      </w:r>
      <w:r w:rsidR="009D587D" w:rsidRPr="00C22EAF">
        <w:rPr>
          <w:rFonts w:ascii="Garamond" w:hAnsi="Garamond"/>
          <w:sz w:val="24"/>
          <w:szCs w:val="24"/>
        </w:rPr>
        <w:t>Craig, 1975</w:t>
      </w:r>
      <w:r w:rsidR="00706FF7" w:rsidRPr="00C22EAF">
        <w:rPr>
          <w:rFonts w:ascii="Garamond" w:hAnsi="Garamond"/>
          <w:sz w:val="24"/>
          <w:szCs w:val="24"/>
        </w:rPr>
        <w:t>: 168-9</w:t>
      </w:r>
      <w:r w:rsidR="00990DA0" w:rsidRPr="00C22EAF">
        <w:rPr>
          <w:rFonts w:ascii="Garamond" w:hAnsi="Garamond"/>
          <w:sz w:val="24"/>
          <w:szCs w:val="24"/>
        </w:rPr>
        <w:t xml:space="preserve">). </w:t>
      </w:r>
      <w:r w:rsidR="00E6445F" w:rsidRPr="00C22EAF">
        <w:rPr>
          <w:rFonts w:ascii="Garamond" w:hAnsi="Garamond"/>
          <w:sz w:val="24"/>
          <w:szCs w:val="24"/>
        </w:rPr>
        <w:t xml:space="preserve">In terms of British foreign and economic policy, the Conservatives were clear in their commitment to Britain beyond Europe. </w:t>
      </w:r>
    </w:p>
    <w:p w14:paraId="30EADA3D" w14:textId="77777777" w:rsidR="00886E4C" w:rsidRPr="00C22EAF" w:rsidRDefault="00886E4C" w:rsidP="00C22EAF">
      <w:pPr>
        <w:spacing w:line="480" w:lineRule="auto"/>
        <w:rPr>
          <w:rFonts w:ascii="Garamond" w:hAnsi="Garamond"/>
          <w:sz w:val="24"/>
          <w:szCs w:val="24"/>
        </w:rPr>
      </w:pPr>
    </w:p>
    <w:p w14:paraId="3CC32091" w14:textId="77777777" w:rsidR="00A21867" w:rsidRDefault="00052B15" w:rsidP="00C22EAF">
      <w:pPr>
        <w:spacing w:line="480" w:lineRule="auto"/>
        <w:rPr>
          <w:rFonts w:ascii="Garamond" w:hAnsi="Garamond"/>
          <w:sz w:val="24"/>
          <w:szCs w:val="24"/>
        </w:rPr>
      </w:pPr>
      <w:r w:rsidRPr="00C22EAF">
        <w:rPr>
          <w:rFonts w:ascii="Garamond" w:hAnsi="Garamond"/>
          <w:sz w:val="24"/>
          <w:szCs w:val="24"/>
        </w:rPr>
        <w:t xml:space="preserve">Despite </w:t>
      </w:r>
      <w:r w:rsidR="0034395E" w:rsidRPr="00C22EAF">
        <w:rPr>
          <w:rFonts w:ascii="Garamond" w:hAnsi="Garamond"/>
          <w:sz w:val="24"/>
          <w:szCs w:val="24"/>
        </w:rPr>
        <w:t>the importance of global trade and</w:t>
      </w:r>
      <w:r w:rsidR="007039E4" w:rsidRPr="00C22EAF">
        <w:rPr>
          <w:rFonts w:ascii="Garamond" w:hAnsi="Garamond"/>
          <w:sz w:val="24"/>
          <w:szCs w:val="24"/>
        </w:rPr>
        <w:t xml:space="preserve"> a</w:t>
      </w:r>
      <w:r w:rsidR="0034395E" w:rsidRPr="00C22EAF">
        <w:rPr>
          <w:rFonts w:ascii="Garamond" w:hAnsi="Garamond"/>
          <w:sz w:val="24"/>
          <w:szCs w:val="24"/>
        </w:rPr>
        <w:t xml:space="preserve"> close relationship with the Commonwealth</w:t>
      </w:r>
      <w:r w:rsidRPr="00C22EAF">
        <w:rPr>
          <w:rFonts w:ascii="Garamond" w:hAnsi="Garamond"/>
          <w:sz w:val="24"/>
          <w:szCs w:val="24"/>
        </w:rPr>
        <w:t xml:space="preserve">, </w:t>
      </w:r>
      <w:r w:rsidR="0034395E" w:rsidRPr="00C22EAF">
        <w:rPr>
          <w:rFonts w:ascii="Garamond" w:hAnsi="Garamond"/>
          <w:sz w:val="24"/>
          <w:szCs w:val="24"/>
        </w:rPr>
        <w:t xml:space="preserve">the greatest concern of the anti-European tendency concerned sovereignty. </w:t>
      </w:r>
      <w:r w:rsidR="0079628C" w:rsidRPr="00C22EAF">
        <w:rPr>
          <w:rFonts w:ascii="Garamond" w:hAnsi="Garamond"/>
          <w:sz w:val="24"/>
          <w:szCs w:val="24"/>
        </w:rPr>
        <w:t xml:space="preserve">This was because they believed it extended sovereignty beyond the limits of Parliamentary authority by providing a voice in Europe. </w:t>
      </w:r>
      <w:r w:rsidR="00D525FD" w:rsidRPr="00C22EAF">
        <w:rPr>
          <w:rFonts w:ascii="Garamond" w:hAnsi="Garamond"/>
          <w:sz w:val="24"/>
          <w:szCs w:val="24"/>
        </w:rPr>
        <w:t xml:space="preserve">For </w:t>
      </w:r>
      <w:proofErr w:type="spellStart"/>
      <w:r w:rsidR="00D525FD" w:rsidRPr="00C22EAF">
        <w:rPr>
          <w:rFonts w:ascii="Garamond" w:hAnsi="Garamond"/>
          <w:sz w:val="24"/>
          <w:szCs w:val="24"/>
        </w:rPr>
        <w:t>antiEuropeans</w:t>
      </w:r>
      <w:proofErr w:type="spellEnd"/>
      <w:r w:rsidR="00D525FD" w:rsidRPr="00C22EAF">
        <w:rPr>
          <w:rFonts w:ascii="Garamond" w:hAnsi="Garamond"/>
          <w:sz w:val="24"/>
          <w:szCs w:val="24"/>
        </w:rPr>
        <w:t xml:space="preserve">, this represents a fundamental flaw in the process of pooling sovereignty given it loses Sovereign </w:t>
      </w:r>
      <w:r w:rsidR="00D525FD" w:rsidRPr="00C22EAF">
        <w:rPr>
          <w:rFonts w:ascii="Garamond" w:hAnsi="Garamond"/>
          <w:i/>
          <w:sz w:val="24"/>
          <w:szCs w:val="24"/>
        </w:rPr>
        <w:t>power</w:t>
      </w:r>
      <w:r w:rsidR="00D525FD" w:rsidRPr="00C22EAF">
        <w:rPr>
          <w:rFonts w:ascii="Garamond" w:hAnsi="Garamond"/>
          <w:sz w:val="24"/>
          <w:szCs w:val="24"/>
        </w:rPr>
        <w:t xml:space="preserve">. </w:t>
      </w:r>
      <w:r w:rsidR="00FE7AAF" w:rsidRPr="00C22EAF">
        <w:rPr>
          <w:rFonts w:ascii="Garamond" w:hAnsi="Garamond"/>
          <w:sz w:val="24"/>
          <w:szCs w:val="24"/>
        </w:rPr>
        <w:t>Th</w:t>
      </w:r>
      <w:r w:rsidR="00562906">
        <w:rPr>
          <w:rFonts w:ascii="Garamond" w:hAnsi="Garamond"/>
          <w:sz w:val="24"/>
          <w:szCs w:val="24"/>
        </w:rPr>
        <w:t>e economic rewards are, for those who defend sovereignty</w:t>
      </w:r>
      <w:r w:rsidR="00FE7AAF" w:rsidRPr="00C22EAF">
        <w:rPr>
          <w:rFonts w:ascii="Garamond" w:hAnsi="Garamond"/>
          <w:sz w:val="24"/>
          <w:szCs w:val="24"/>
        </w:rPr>
        <w:t xml:space="preserve">, inadequate. </w:t>
      </w:r>
      <w:r w:rsidR="00D525FD" w:rsidRPr="00C22EAF">
        <w:rPr>
          <w:rFonts w:ascii="Garamond" w:hAnsi="Garamond"/>
          <w:sz w:val="24"/>
          <w:szCs w:val="24"/>
        </w:rPr>
        <w:t xml:space="preserve">Most importantly, </w:t>
      </w:r>
      <w:r w:rsidR="00FE7AAF" w:rsidRPr="00C22EAF">
        <w:rPr>
          <w:rFonts w:ascii="Garamond" w:hAnsi="Garamond"/>
          <w:sz w:val="24"/>
          <w:szCs w:val="24"/>
        </w:rPr>
        <w:t>the loss of sovereignty also</w:t>
      </w:r>
      <w:r w:rsidR="00D525FD" w:rsidRPr="00C22EAF">
        <w:rPr>
          <w:rFonts w:ascii="Garamond" w:hAnsi="Garamond"/>
          <w:sz w:val="24"/>
          <w:szCs w:val="24"/>
        </w:rPr>
        <w:t xml:space="preserve"> limit</w:t>
      </w:r>
      <w:r w:rsidR="00FE7AAF" w:rsidRPr="00C22EAF">
        <w:rPr>
          <w:rFonts w:ascii="Garamond" w:hAnsi="Garamond"/>
          <w:sz w:val="24"/>
          <w:szCs w:val="24"/>
        </w:rPr>
        <w:t>s</w:t>
      </w:r>
      <w:r w:rsidR="00D525FD" w:rsidRPr="00C22EAF">
        <w:rPr>
          <w:rFonts w:ascii="Garamond" w:hAnsi="Garamond"/>
          <w:sz w:val="24"/>
          <w:szCs w:val="24"/>
        </w:rPr>
        <w:t xml:space="preserve"> the authority of Westminster within its </w:t>
      </w:r>
      <w:r w:rsidR="00FE7AAF" w:rsidRPr="00C22EAF">
        <w:rPr>
          <w:rFonts w:ascii="Garamond" w:hAnsi="Garamond"/>
          <w:sz w:val="24"/>
          <w:szCs w:val="24"/>
        </w:rPr>
        <w:t xml:space="preserve">own </w:t>
      </w:r>
      <w:r w:rsidR="00D525FD" w:rsidRPr="00C22EAF">
        <w:rPr>
          <w:rFonts w:ascii="Garamond" w:hAnsi="Garamond"/>
          <w:sz w:val="24"/>
          <w:szCs w:val="24"/>
        </w:rPr>
        <w:t>domestic territory</w:t>
      </w:r>
      <w:r w:rsidR="00FE7AAF" w:rsidRPr="00C22EAF">
        <w:rPr>
          <w:rFonts w:ascii="Garamond" w:hAnsi="Garamond"/>
          <w:sz w:val="24"/>
          <w:szCs w:val="24"/>
        </w:rPr>
        <w:t>. This is</w:t>
      </w:r>
      <w:r w:rsidR="00D525FD" w:rsidRPr="00C22EAF">
        <w:rPr>
          <w:rFonts w:ascii="Garamond" w:hAnsi="Garamond"/>
          <w:sz w:val="24"/>
          <w:szCs w:val="24"/>
        </w:rPr>
        <w:t xml:space="preserve"> because the power to make decisions over how it is governed would rest with an external body</w:t>
      </w:r>
      <w:r w:rsidR="006E1605" w:rsidRPr="00C22EAF">
        <w:rPr>
          <w:rFonts w:ascii="Garamond" w:hAnsi="Garamond"/>
          <w:sz w:val="24"/>
          <w:szCs w:val="24"/>
        </w:rPr>
        <w:t>, rather than with Parliamentary representatives</w:t>
      </w:r>
      <w:r w:rsidR="001E25A5" w:rsidRPr="00C22EAF">
        <w:rPr>
          <w:rFonts w:ascii="Garamond" w:hAnsi="Garamond"/>
          <w:sz w:val="24"/>
          <w:szCs w:val="24"/>
        </w:rPr>
        <w:t xml:space="preserve"> selected by the voters to govern</w:t>
      </w:r>
      <w:r w:rsidR="00D525FD" w:rsidRPr="00C22EAF">
        <w:rPr>
          <w:rFonts w:ascii="Garamond" w:hAnsi="Garamond"/>
          <w:sz w:val="24"/>
          <w:szCs w:val="24"/>
        </w:rPr>
        <w:t xml:space="preserve">. </w:t>
      </w:r>
      <w:r w:rsidR="00EF4F20" w:rsidRPr="00C22EAF">
        <w:rPr>
          <w:rFonts w:ascii="Garamond" w:hAnsi="Garamond"/>
          <w:sz w:val="24"/>
          <w:szCs w:val="24"/>
        </w:rPr>
        <w:t>The</w:t>
      </w:r>
      <w:r w:rsidR="00534FB0" w:rsidRPr="00C22EAF">
        <w:rPr>
          <w:rFonts w:ascii="Garamond" w:hAnsi="Garamond"/>
          <w:sz w:val="24"/>
          <w:szCs w:val="24"/>
        </w:rPr>
        <w:t xml:space="preserve"> longer-term</w:t>
      </w:r>
      <w:r w:rsidR="00EF4F20" w:rsidRPr="00C22EAF">
        <w:rPr>
          <w:rFonts w:ascii="Garamond" w:hAnsi="Garamond"/>
          <w:sz w:val="24"/>
          <w:szCs w:val="24"/>
        </w:rPr>
        <w:t xml:space="preserve"> impact of this would be the dilution of British nationhood and the </w:t>
      </w:r>
      <w:r w:rsidR="00DC0C64" w:rsidRPr="00C22EAF">
        <w:rPr>
          <w:rFonts w:ascii="Garamond" w:hAnsi="Garamond"/>
          <w:sz w:val="24"/>
          <w:szCs w:val="24"/>
        </w:rPr>
        <w:t xml:space="preserve">risk posed to national </w:t>
      </w:r>
      <w:r w:rsidR="00534FB0" w:rsidRPr="00C22EAF">
        <w:rPr>
          <w:rFonts w:ascii="Garamond" w:hAnsi="Garamond"/>
          <w:sz w:val="24"/>
          <w:szCs w:val="24"/>
        </w:rPr>
        <w:t xml:space="preserve">(English, Scottish, Welsh, Northern Irish) </w:t>
      </w:r>
      <w:r w:rsidR="00DC0C64" w:rsidRPr="00C22EAF">
        <w:rPr>
          <w:rFonts w:ascii="Garamond" w:hAnsi="Garamond"/>
          <w:sz w:val="24"/>
          <w:szCs w:val="24"/>
        </w:rPr>
        <w:t xml:space="preserve">and regional identities. </w:t>
      </w:r>
      <w:r w:rsidR="00720DFC" w:rsidRPr="00C22EAF">
        <w:rPr>
          <w:rFonts w:ascii="Garamond" w:hAnsi="Garamond"/>
          <w:sz w:val="24"/>
          <w:szCs w:val="24"/>
        </w:rPr>
        <w:t xml:space="preserve">Given these issues, the strands of Euroscepticism reject the process of integration </w:t>
      </w:r>
      <w:r w:rsidR="006B3048" w:rsidRPr="00C22EAF">
        <w:rPr>
          <w:rFonts w:ascii="Garamond" w:hAnsi="Garamond"/>
          <w:sz w:val="24"/>
          <w:szCs w:val="24"/>
        </w:rPr>
        <w:t>because</w:t>
      </w:r>
      <w:r w:rsidR="00720DFC" w:rsidRPr="00C22EAF">
        <w:rPr>
          <w:rFonts w:ascii="Garamond" w:hAnsi="Garamond"/>
          <w:sz w:val="24"/>
          <w:szCs w:val="24"/>
        </w:rPr>
        <w:t xml:space="preserve"> </w:t>
      </w:r>
      <w:r w:rsidR="006B3048" w:rsidRPr="00C22EAF">
        <w:rPr>
          <w:rFonts w:ascii="Garamond" w:hAnsi="Garamond"/>
          <w:sz w:val="24"/>
          <w:szCs w:val="24"/>
        </w:rPr>
        <w:t xml:space="preserve">of </w:t>
      </w:r>
      <w:r w:rsidR="00720DFC" w:rsidRPr="00C22EAF">
        <w:rPr>
          <w:rFonts w:ascii="Garamond" w:hAnsi="Garamond"/>
          <w:sz w:val="24"/>
          <w:szCs w:val="24"/>
        </w:rPr>
        <w:t xml:space="preserve">the substantive risks they pose </w:t>
      </w:r>
      <w:r w:rsidR="00261742" w:rsidRPr="00C22EAF">
        <w:rPr>
          <w:rFonts w:ascii="Garamond" w:hAnsi="Garamond"/>
          <w:sz w:val="24"/>
          <w:szCs w:val="24"/>
        </w:rPr>
        <w:t xml:space="preserve">not just to domestic policy and the authority of Westminster, but also by the transfer of Sovereign power </w:t>
      </w:r>
      <w:r w:rsidR="00B800AB" w:rsidRPr="00C22EAF">
        <w:rPr>
          <w:rFonts w:ascii="Garamond" w:hAnsi="Garamond"/>
          <w:sz w:val="24"/>
          <w:szCs w:val="24"/>
        </w:rPr>
        <w:t xml:space="preserve">and the ability to maintain </w:t>
      </w:r>
      <w:r w:rsidR="003E7B42" w:rsidRPr="00C22EAF">
        <w:rPr>
          <w:rFonts w:ascii="Garamond" w:hAnsi="Garamond"/>
          <w:sz w:val="24"/>
          <w:szCs w:val="24"/>
        </w:rPr>
        <w:t xml:space="preserve">autonomous rule. </w:t>
      </w:r>
    </w:p>
    <w:p w14:paraId="24C51C51" w14:textId="77777777" w:rsidR="007D3609" w:rsidRPr="00C22EAF" w:rsidRDefault="007D3609" w:rsidP="00C22EAF">
      <w:pPr>
        <w:spacing w:line="480" w:lineRule="auto"/>
        <w:rPr>
          <w:rFonts w:ascii="Garamond" w:hAnsi="Garamond"/>
          <w:sz w:val="24"/>
          <w:szCs w:val="24"/>
        </w:rPr>
      </w:pPr>
    </w:p>
    <w:p w14:paraId="38DC0766" w14:textId="77777777" w:rsidR="00ED651C" w:rsidRDefault="0065095D" w:rsidP="00C22EAF">
      <w:pPr>
        <w:spacing w:line="480" w:lineRule="auto"/>
        <w:rPr>
          <w:rFonts w:ascii="Garamond" w:hAnsi="Garamond"/>
          <w:sz w:val="24"/>
          <w:szCs w:val="24"/>
        </w:rPr>
      </w:pPr>
      <w:r w:rsidRPr="00C22EAF">
        <w:rPr>
          <w:rFonts w:ascii="Garamond" w:hAnsi="Garamond"/>
          <w:sz w:val="24"/>
          <w:szCs w:val="24"/>
        </w:rPr>
        <w:t xml:space="preserve">It is important to note, however that Thatcher did not become a </w:t>
      </w:r>
      <w:proofErr w:type="spellStart"/>
      <w:r w:rsidRPr="00C22EAF">
        <w:rPr>
          <w:rFonts w:ascii="Garamond" w:hAnsi="Garamond"/>
          <w:sz w:val="24"/>
          <w:szCs w:val="24"/>
        </w:rPr>
        <w:t>Euro</w:t>
      </w:r>
      <w:r w:rsidRPr="00C22EAF">
        <w:rPr>
          <w:rFonts w:ascii="Garamond" w:hAnsi="Garamond"/>
          <w:i/>
          <w:sz w:val="24"/>
          <w:szCs w:val="24"/>
        </w:rPr>
        <w:t>rejectionist</w:t>
      </w:r>
      <w:proofErr w:type="spellEnd"/>
      <w:r w:rsidRPr="00C22EAF">
        <w:rPr>
          <w:rFonts w:ascii="Garamond" w:hAnsi="Garamond"/>
          <w:i/>
          <w:sz w:val="24"/>
          <w:szCs w:val="24"/>
        </w:rPr>
        <w:t xml:space="preserve"> </w:t>
      </w:r>
      <w:r w:rsidRPr="00C22EAF">
        <w:rPr>
          <w:rFonts w:ascii="Garamond" w:hAnsi="Garamond"/>
          <w:sz w:val="24"/>
          <w:szCs w:val="24"/>
        </w:rPr>
        <w:t>whilst Prime Minister. However, the shift in tone can</w:t>
      </w:r>
      <w:r w:rsidR="00B842BF" w:rsidRPr="00C22EAF">
        <w:rPr>
          <w:rFonts w:ascii="Garamond" w:hAnsi="Garamond"/>
          <w:sz w:val="24"/>
          <w:szCs w:val="24"/>
        </w:rPr>
        <w:t xml:space="preserve"> be identified by the </w:t>
      </w:r>
      <w:r w:rsidR="00ED651C" w:rsidRPr="00C22EAF">
        <w:rPr>
          <w:rFonts w:ascii="Garamond" w:hAnsi="Garamond"/>
          <w:sz w:val="24"/>
          <w:szCs w:val="24"/>
        </w:rPr>
        <w:t>language used</w:t>
      </w:r>
      <w:r w:rsidR="00B842BF" w:rsidRPr="00C22EAF">
        <w:rPr>
          <w:rFonts w:ascii="Garamond" w:hAnsi="Garamond"/>
          <w:sz w:val="24"/>
          <w:szCs w:val="24"/>
        </w:rPr>
        <w:t xml:space="preserve"> </w:t>
      </w:r>
      <w:r w:rsidR="00ED651C" w:rsidRPr="00C22EAF">
        <w:rPr>
          <w:rFonts w:ascii="Garamond" w:hAnsi="Garamond"/>
          <w:sz w:val="24"/>
          <w:szCs w:val="24"/>
        </w:rPr>
        <w:t xml:space="preserve">to describe Britain’s relationship with the Common Market </w:t>
      </w:r>
      <w:r w:rsidR="00B842BF" w:rsidRPr="00C22EAF">
        <w:rPr>
          <w:rFonts w:ascii="Garamond" w:hAnsi="Garamond"/>
          <w:sz w:val="24"/>
          <w:szCs w:val="24"/>
        </w:rPr>
        <w:t>within the Conservative Party manifesto between 1964-1983 and the period thereafter.</w:t>
      </w:r>
      <w:r w:rsidRPr="00C22EAF">
        <w:rPr>
          <w:rFonts w:ascii="Garamond" w:hAnsi="Garamond"/>
          <w:sz w:val="24"/>
          <w:szCs w:val="24"/>
        </w:rPr>
        <w:t xml:space="preserve"> </w:t>
      </w:r>
      <w:r w:rsidR="00B842BF" w:rsidRPr="00C22EAF">
        <w:rPr>
          <w:rFonts w:ascii="Garamond" w:hAnsi="Garamond"/>
          <w:sz w:val="24"/>
          <w:szCs w:val="24"/>
        </w:rPr>
        <w:t xml:space="preserve">Over the course of Heath and </w:t>
      </w:r>
      <w:r w:rsidR="00B842BF" w:rsidRPr="00C22EAF">
        <w:rPr>
          <w:rFonts w:ascii="Garamond" w:hAnsi="Garamond"/>
          <w:sz w:val="24"/>
          <w:szCs w:val="24"/>
        </w:rPr>
        <w:lastRenderedPageBreak/>
        <w:t>Thatcher’s early leadership, the manifesto was broadly positive towards the Common Market, whilst after 1983 it became more sceptical about the UKs continued participation within an inc</w:t>
      </w:r>
      <w:r w:rsidR="002734CF" w:rsidRPr="00C22EAF">
        <w:rPr>
          <w:rFonts w:ascii="Garamond" w:hAnsi="Garamond"/>
          <w:sz w:val="24"/>
          <w:szCs w:val="24"/>
        </w:rPr>
        <w:t>reasingly integrationist group (</w:t>
      </w:r>
      <w:r w:rsidR="00706FF7" w:rsidRPr="00C22EAF">
        <w:rPr>
          <w:rFonts w:ascii="Garamond" w:hAnsi="Garamond"/>
          <w:sz w:val="24"/>
          <w:szCs w:val="24"/>
        </w:rPr>
        <w:t>Stevens, 2012</w:t>
      </w:r>
      <w:r w:rsidR="002734CF" w:rsidRPr="00C22EAF">
        <w:rPr>
          <w:rFonts w:ascii="Garamond" w:hAnsi="Garamond"/>
          <w:sz w:val="24"/>
          <w:szCs w:val="24"/>
        </w:rPr>
        <w:t xml:space="preserve">). </w:t>
      </w:r>
    </w:p>
    <w:p w14:paraId="6C14A1D4" w14:textId="77777777" w:rsidR="007D3609" w:rsidRPr="00C22EAF" w:rsidRDefault="007D3609" w:rsidP="00C22EAF">
      <w:pPr>
        <w:spacing w:line="480" w:lineRule="auto"/>
        <w:rPr>
          <w:rFonts w:ascii="Garamond" w:hAnsi="Garamond"/>
          <w:sz w:val="24"/>
          <w:szCs w:val="24"/>
        </w:rPr>
      </w:pPr>
    </w:p>
    <w:p w14:paraId="6E9130AF" w14:textId="77777777" w:rsidR="00CE1797" w:rsidRDefault="00636500" w:rsidP="00C22EAF">
      <w:pPr>
        <w:spacing w:line="480" w:lineRule="auto"/>
        <w:rPr>
          <w:rFonts w:ascii="Garamond" w:hAnsi="Garamond"/>
          <w:sz w:val="24"/>
          <w:szCs w:val="24"/>
        </w:rPr>
      </w:pPr>
      <w:r w:rsidRPr="00C22EAF">
        <w:rPr>
          <w:rFonts w:ascii="Garamond" w:hAnsi="Garamond"/>
          <w:sz w:val="24"/>
          <w:szCs w:val="24"/>
        </w:rPr>
        <w:t xml:space="preserve">A key event during the development of Thatcher’s Euroscepticism (and her eventual delivery of her highly critical speech at Bruges) was the negotiation and passage of the Single European Act (SEA). Superficially, </w:t>
      </w:r>
      <w:r w:rsidR="007F29D2" w:rsidRPr="00C22EAF">
        <w:rPr>
          <w:rFonts w:ascii="Garamond" w:hAnsi="Garamond"/>
          <w:sz w:val="24"/>
          <w:szCs w:val="24"/>
        </w:rPr>
        <w:t xml:space="preserve">Thatcher’s support for the passage of the </w:t>
      </w:r>
      <w:r w:rsidRPr="00C22EAF">
        <w:rPr>
          <w:rFonts w:ascii="Garamond" w:hAnsi="Garamond"/>
          <w:sz w:val="24"/>
          <w:szCs w:val="24"/>
        </w:rPr>
        <w:t>SEA</w:t>
      </w:r>
      <w:r w:rsidR="007F29D2" w:rsidRPr="00C22EAF">
        <w:rPr>
          <w:rFonts w:ascii="Garamond" w:hAnsi="Garamond"/>
          <w:sz w:val="24"/>
          <w:szCs w:val="24"/>
        </w:rPr>
        <w:t xml:space="preserve"> appeared to demonstrate support for an integrationist process. </w:t>
      </w:r>
      <w:r w:rsidR="00886E4C">
        <w:rPr>
          <w:rFonts w:ascii="Garamond" w:hAnsi="Garamond"/>
          <w:sz w:val="24"/>
          <w:szCs w:val="24"/>
        </w:rPr>
        <w:t>T</w:t>
      </w:r>
      <w:r w:rsidR="007F29D2" w:rsidRPr="00C22EAF">
        <w:rPr>
          <w:rFonts w:ascii="Garamond" w:hAnsi="Garamond"/>
          <w:sz w:val="24"/>
          <w:szCs w:val="24"/>
        </w:rPr>
        <w:t xml:space="preserve">his needs to be contextualised </w:t>
      </w:r>
      <w:r w:rsidRPr="00C22EAF">
        <w:rPr>
          <w:rFonts w:ascii="Garamond" w:hAnsi="Garamond"/>
          <w:sz w:val="24"/>
          <w:szCs w:val="24"/>
        </w:rPr>
        <w:t xml:space="preserve">by the different priorities of the President of the European Commission, Jacques </w:t>
      </w:r>
      <w:proofErr w:type="spellStart"/>
      <w:r w:rsidRPr="00C22EAF">
        <w:rPr>
          <w:rFonts w:ascii="Garamond" w:hAnsi="Garamond"/>
          <w:sz w:val="24"/>
          <w:szCs w:val="24"/>
        </w:rPr>
        <w:t>Delors</w:t>
      </w:r>
      <w:proofErr w:type="spellEnd"/>
      <w:r w:rsidRPr="00C22EAF">
        <w:rPr>
          <w:rFonts w:ascii="Garamond" w:hAnsi="Garamond"/>
          <w:sz w:val="24"/>
          <w:szCs w:val="24"/>
        </w:rPr>
        <w:t xml:space="preserve"> and Thatcher. For Thatcher, the SEA represented an opportunity to push Europe towards a more </w:t>
      </w:r>
      <w:r w:rsidR="00E3415C" w:rsidRPr="00C22EAF">
        <w:rPr>
          <w:rFonts w:ascii="Garamond" w:hAnsi="Garamond"/>
          <w:sz w:val="24"/>
          <w:szCs w:val="24"/>
        </w:rPr>
        <w:t>economically liberal approach</w:t>
      </w:r>
      <w:r w:rsidRPr="00C22EAF">
        <w:rPr>
          <w:rFonts w:ascii="Garamond" w:hAnsi="Garamond"/>
          <w:sz w:val="24"/>
          <w:szCs w:val="24"/>
        </w:rPr>
        <w:t xml:space="preserve"> that would </w:t>
      </w:r>
      <w:r w:rsidR="00146003" w:rsidRPr="00C22EAF">
        <w:rPr>
          <w:rFonts w:ascii="Garamond" w:hAnsi="Garamond"/>
          <w:sz w:val="24"/>
          <w:szCs w:val="24"/>
        </w:rPr>
        <w:t>benefit the UK economy</w:t>
      </w:r>
      <w:r w:rsidR="007B7F96" w:rsidRPr="00C22EAF">
        <w:rPr>
          <w:rFonts w:ascii="Garamond" w:hAnsi="Garamond"/>
          <w:sz w:val="24"/>
          <w:szCs w:val="24"/>
        </w:rPr>
        <w:t xml:space="preserve">. </w:t>
      </w:r>
      <w:r w:rsidRPr="00C22EAF">
        <w:rPr>
          <w:rFonts w:ascii="Garamond" w:hAnsi="Garamond"/>
          <w:sz w:val="24"/>
          <w:szCs w:val="24"/>
        </w:rPr>
        <w:t>She saw this as a</w:t>
      </w:r>
      <w:r w:rsidR="007B7F96" w:rsidRPr="00C22EAF">
        <w:rPr>
          <w:rFonts w:ascii="Garamond" w:hAnsi="Garamond"/>
          <w:sz w:val="24"/>
          <w:szCs w:val="24"/>
        </w:rPr>
        <w:t xml:space="preserve"> ‘convergence of economic policy across Europe with that of the British Conservative Party’ </w:t>
      </w:r>
      <w:r w:rsidRPr="00C22EAF">
        <w:rPr>
          <w:rFonts w:ascii="Garamond" w:hAnsi="Garamond"/>
          <w:sz w:val="24"/>
          <w:szCs w:val="24"/>
        </w:rPr>
        <w:t xml:space="preserve">which </w:t>
      </w:r>
      <w:r w:rsidR="007B7F96" w:rsidRPr="00C22EAF">
        <w:rPr>
          <w:rFonts w:ascii="Garamond" w:hAnsi="Garamond"/>
          <w:sz w:val="24"/>
          <w:szCs w:val="24"/>
        </w:rPr>
        <w:t>would transform Europe into a free market ‘global hegemonic project’ (</w:t>
      </w:r>
      <w:r w:rsidR="00706FF7" w:rsidRPr="00C22EAF">
        <w:rPr>
          <w:rFonts w:ascii="Garamond" w:hAnsi="Garamond"/>
          <w:sz w:val="24"/>
          <w:szCs w:val="24"/>
        </w:rPr>
        <w:t>Gifford: 2008: 89-94</w:t>
      </w:r>
      <w:r w:rsidR="007B7F96" w:rsidRPr="00C22EAF">
        <w:rPr>
          <w:rFonts w:ascii="Garamond" w:hAnsi="Garamond"/>
          <w:sz w:val="24"/>
          <w:szCs w:val="24"/>
        </w:rPr>
        <w:t xml:space="preserve">). </w:t>
      </w:r>
      <w:r w:rsidR="00AF264E" w:rsidRPr="00C22EAF">
        <w:rPr>
          <w:rFonts w:ascii="Garamond" w:hAnsi="Garamond"/>
          <w:sz w:val="24"/>
          <w:szCs w:val="24"/>
        </w:rPr>
        <w:t>H</w:t>
      </w:r>
      <w:r w:rsidR="00146003" w:rsidRPr="00C22EAF">
        <w:rPr>
          <w:rFonts w:ascii="Garamond" w:hAnsi="Garamond"/>
          <w:sz w:val="24"/>
          <w:szCs w:val="24"/>
        </w:rPr>
        <w:t xml:space="preserve">owever it was only after the passage of the </w:t>
      </w:r>
      <w:r w:rsidRPr="00C22EAF">
        <w:rPr>
          <w:rFonts w:ascii="Garamond" w:hAnsi="Garamond"/>
          <w:sz w:val="24"/>
          <w:szCs w:val="24"/>
        </w:rPr>
        <w:t>SEA</w:t>
      </w:r>
      <w:r w:rsidR="00146003" w:rsidRPr="00C22EAF">
        <w:rPr>
          <w:rFonts w:ascii="Garamond" w:hAnsi="Garamond"/>
          <w:sz w:val="24"/>
          <w:szCs w:val="24"/>
        </w:rPr>
        <w:t xml:space="preserve"> through Parliament when the extent of </w:t>
      </w:r>
      <w:proofErr w:type="spellStart"/>
      <w:r w:rsidR="00E3415C" w:rsidRPr="00C22EAF">
        <w:rPr>
          <w:rFonts w:ascii="Garamond" w:hAnsi="Garamond"/>
          <w:sz w:val="24"/>
          <w:szCs w:val="24"/>
        </w:rPr>
        <w:t>Delors</w:t>
      </w:r>
      <w:proofErr w:type="spellEnd"/>
      <w:r w:rsidR="00E3415C" w:rsidRPr="00C22EAF">
        <w:rPr>
          <w:rFonts w:ascii="Garamond" w:hAnsi="Garamond"/>
          <w:sz w:val="24"/>
          <w:szCs w:val="24"/>
        </w:rPr>
        <w:t xml:space="preserve">’ preference for </w:t>
      </w:r>
      <w:r w:rsidR="00146003" w:rsidRPr="00C22EAF">
        <w:rPr>
          <w:rFonts w:ascii="Garamond" w:hAnsi="Garamond"/>
          <w:sz w:val="24"/>
          <w:szCs w:val="24"/>
        </w:rPr>
        <w:t xml:space="preserve">further </w:t>
      </w:r>
      <w:r w:rsidR="00146003" w:rsidRPr="00C22EAF">
        <w:rPr>
          <w:rFonts w:ascii="Garamond" w:hAnsi="Garamond"/>
          <w:i/>
          <w:sz w:val="24"/>
          <w:szCs w:val="24"/>
        </w:rPr>
        <w:t>in</w:t>
      </w:r>
      <w:r w:rsidR="00020CA3" w:rsidRPr="00C22EAF">
        <w:rPr>
          <w:rFonts w:ascii="Garamond" w:hAnsi="Garamond"/>
          <w:i/>
          <w:sz w:val="24"/>
          <w:szCs w:val="24"/>
        </w:rPr>
        <w:t>tegration</w:t>
      </w:r>
      <w:r w:rsidR="00020CA3" w:rsidRPr="00C22EAF">
        <w:rPr>
          <w:rFonts w:ascii="Garamond" w:hAnsi="Garamond"/>
          <w:sz w:val="24"/>
          <w:szCs w:val="24"/>
        </w:rPr>
        <w:t xml:space="preserve"> became clear.</w:t>
      </w:r>
    </w:p>
    <w:p w14:paraId="53058E5A" w14:textId="77777777" w:rsidR="007D3609" w:rsidRPr="00C22EAF" w:rsidRDefault="007D3609" w:rsidP="00C22EAF">
      <w:pPr>
        <w:spacing w:line="480" w:lineRule="auto"/>
        <w:rPr>
          <w:rFonts w:ascii="Garamond" w:hAnsi="Garamond"/>
          <w:sz w:val="24"/>
          <w:szCs w:val="24"/>
        </w:rPr>
      </w:pPr>
    </w:p>
    <w:p w14:paraId="1732F860" w14:textId="77777777" w:rsidR="004A24D3" w:rsidRPr="00C22EAF" w:rsidRDefault="00AF264E" w:rsidP="00C22EAF">
      <w:pPr>
        <w:spacing w:line="480" w:lineRule="auto"/>
        <w:rPr>
          <w:rFonts w:ascii="Garamond" w:hAnsi="Garamond"/>
          <w:sz w:val="24"/>
          <w:szCs w:val="24"/>
        </w:rPr>
      </w:pPr>
      <w:r w:rsidRPr="00C22EAF">
        <w:rPr>
          <w:rFonts w:ascii="Garamond" w:hAnsi="Garamond"/>
          <w:sz w:val="24"/>
          <w:szCs w:val="24"/>
        </w:rPr>
        <w:t xml:space="preserve">The elements of economic liberalisation within the Act were seen by </w:t>
      </w:r>
      <w:proofErr w:type="spellStart"/>
      <w:r w:rsidR="00347D3A" w:rsidRPr="00C22EAF">
        <w:rPr>
          <w:rFonts w:ascii="Garamond" w:hAnsi="Garamond"/>
          <w:sz w:val="24"/>
          <w:szCs w:val="24"/>
        </w:rPr>
        <w:t>Delors</w:t>
      </w:r>
      <w:proofErr w:type="spellEnd"/>
      <w:r w:rsidR="00347D3A" w:rsidRPr="00C22EAF">
        <w:rPr>
          <w:rFonts w:ascii="Garamond" w:hAnsi="Garamond"/>
          <w:sz w:val="24"/>
          <w:szCs w:val="24"/>
        </w:rPr>
        <w:t xml:space="preserve"> and other </w:t>
      </w:r>
      <w:r w:rsidRPr="00C22EAF">
        <w:rPr>
          <w:rFonts w:ascii="Garamond" w:hAnsi="Garamond"/>
          <w:sz w:val="24"/>
          <w:szCs w:val="24"/>
        </w:rPr>
        <w:t>European federalists to be a ‘means to an end’ who used the Act to ensure ‘the British guard was lowered’ (</w:t>
      </w:r>
      <w:r w:rsidR="009D5275" w:rsidRPr="00C22EAF">
        <w:rPr>
          <w:rFonts w:ascii="Garamond" w:hAnsi="Garamond"/>
          <w:sz w:val="24"/>
          <w:szCs w:val="24"/>
        </w:rPr>
        <w:t>Gifford: 2008: 89)</w:t>
      </w:r>
      <w:r w:rsidRPr="00C22EAF">
        <w:rPr>
          <w:rFonts w:ascii="Garamond" w:hAnsi="Garamond"/>
          <w:sz w:val="24"/>
          <w:szCs w:val="24"/>
        </w:rPr>
        <w:t xml:space="preserve">. </w:t>
      </w:r>
      <w:r w:rsidR="004A3541" w:rsidRPr="00C22EAF">
        <w:rPr>
          <w:rFonts w:ascii="Garamond" w:hAnsi="Garamond"/>
          <w:sz w:val="24"/>
          <w:szCs w:val="24"/>
        </w:rPr>
        <w:t xml:space="preserve">Indeed, </w:t>
      </w:r>
      <w:proofErr w:type="spellStart"/>
      <w:r w:rsidR="004A3541" w:rsidRPr="00C22EAF">
        <w:rPr>
          <w:rFonts w:ascii="Garamond" w:hAnsi="Garamond"/>
          <w:sz w:val="24"/>
          <w:szCs w:val="24"/>
        </w:rPr>
        <w:t>Delors</w:t>
      </w:r>
      <w:proofErr w:type="spellEnd"/>
      <w:r w:rsidR="004A3541" w:rsidRPr="00C22EAF">
        <w:rPr>
          <w:rFonts w:ascii="Garamond" w:hAnsi="Garamond"/>
          <w:sz w:val="24"/>
          <w:szCs w:val="24"/>
        </w:rPr>
        <w:t xml:space="preserve"> ensured that because Thatcher ‘believed her free market agenda had been victorious’, she had ‘underestimated the expansionist elements’ of the Act (</w:t>
      </w:r>
      <w:r w:rsidR="001E4260" w:rsidRPr="00C22EAF">
        <w:rPr>
          <w:rFonts w:ascii="Garamond" w:hAnsi="Garamond"/>
          <w:i/>
          <w:sz w:val="24"/>
          <w:szCs w:val="24"/>
        </w:rPr>
        <w:t>ibid.</w:t>
      </w:r>
      <w:r w:rsidR="004A3541" w:rsidRPr="00C22EAF">
        <w:rPr>
          <w:rFonts w:ascii="Garamond" w:hAnsi="Garamond"/>
          <w:sz w:val="24"/>
          <w:szCs w:val="24"/>
        </w:rPr>
        <w:t xml:space="preserve">). </w:t>
      </w:r>
      <w:r w:rsidR="00CE5BBA" w:rsidRPr="00C22EAF">
        <w:rPr>
          <w:rFonts w:ascii="Garamond" w:hAnsi="Garamond"/>
          <w:sz w:val="24"/>
          <w:szCs w:val="24"/>
        </w:rPr>
        <w:t xml:space="preserve">For </w:t>
      </w:r>
      <w:proofErr w:type="spellStart"/>
      <w:r w:rsidR="00CE5BBA" w:rsidRPr="00C22EAF">
        <w:rPr>
          <w:rFonts w:ascii="Garamond" w:hAnsi="Garamond"/>
          <w:sz w:val="24"/>
          <w:szCs w:val="24"/>
        </w:rPr>
        <w:t>Delors</w:t>
      </w:r>
      <w:proofErr w:type="spellEnd"/>
      <w:r w:rsidR="00CE5BBA" w:rsidRPr="00C22EAF">
        <w:rPr>
          <w:rFonts w:ascii="Garamond" w:hAnsi="Garamond"/>
          <w:sz w:val="24"/>
          <w:szCs w:val="24"/>
        </w:rPr>
        <w:t xml:space="preserve">, the Act represented an opportunity to shift emphasis </w:t>
      </w:r>
      <w:r w:rsidR="00CE5BBA" w:rsidRPr="00C22EAF">
        <w:rPr>
          <w:rFonts w:ascii="Garamond" w:hAnsi="Garamond"/>
          <w:i/>
          <w:sz w:val="24"/>
          <w:szCs w:val="24"/>
        </w:rPr>
        <w:t>away</w:t>
      </w:r>
      <w:r w:rsidR="00CE5BBA" w:rsidRPr="00C22EAF">
        <w:rPr>
          <w:rFonts w:ascii="Garamond" w:hAnsi="Garamond"/>
          <w:sz w:val="24"/>
          <w:szCs w:val="24"/>
        </w:rPr>
        <w:t xml:space="preserve"> from </w:t>
      </w:r>
      <w:r w:rsidR="00347D3A" w:rsidRPr="00C22EAF">
        <w:rPr>
          <w:rFonts w:ascii="Garamond" w:hAnsi="Garamond"/>
          <w:sz w:val="24"/>
          <w:szCs w:val="24"/>
        </w:rPr>
        <w:t xml:space="preserve">liberal </w:t>
      </w:r>
      <w:r w:rsidR="00CE5BBA" w:rsidRPr="00C22EAF">
        <w:rPr>
          <w:rFonts w:ascii="Garamond" w:hAnsi="Garamond"/>
          <w:sz w:val="24"/>
          <w:szCs w:val="24"/>
        </w:rPr>
        <w:t xml:space="preserve">economic prosperity and towards the social </w:t>
      </w:r>
      <w:r w:rsidR="00347D3A" w:rsidRPr="00C22EAF">
        <w:rPr>
          <w:rFonts w:ascii="Garamond" w:hAnsi="Garamond"/>
          <w:sz w:val="24"/>
          <w:szCs w:val="24"/>
        </w:rPr>
        <w:t xml:space="preserve">integrationist </w:t>
      </w:r>
      <w:r w:rsidR="00CE5BBA" w:rsidRPr="00C22EAF">
        <w:rPr>
          <w:rFonts w:ascii="Garamond" w:hAnsi="Garamond"/>
          <w:sz w:val="24"/>
          <w:szCs w:val="24"/>
        </w:rPr>
        <w:lastRenderedPageBreak/>
        <w:t>dimension of the European project (</w:t>
      </w:r>
      <w:r w:rsidR="001E4260" w:rsidRPr="00C22EAF">
        <w:rPr>
          <w:rFonts w:ascii="Garamond" w:hAnsi="Garamond"/>
          <w:sz w:val="24"/>
          <w:szCs w:val="24"/>
        </w:rPr>
        <w:t>Geddes, 2005: 123</w:t>
      </w:r>
      <w:r w:rsidR="00CE5BBA" w:rsidRPr="00C22EAF">
        <w:rPr>
          <w:rFonts w:ascii="Garamond" w:hAnsi="Garamond"/>
          <w:sz w:val="24"/>
          <w:szCs w:val="24"/>
        </w:rPr>
        <w:t xml:space="preserve">). </w:t>
      </w:r>
      <w:r w:rsidR="00AC7171" w:rsidRPr="00C22EAF">
        <w:rPr>
          <w:rFonts w:ascii="Garamond" w:hAnsi="Garamond"/>
          <w:sz w:val="24"/>
          <w:szCs w:val="24"/>
        </w:rPr>
        <w:t xml:space="preserve">In January 2019, </w:t>
      </w:r>
      <w:r w:rsidR="004A24D3" w:rsidRPr="00C22EAF">
        <w:rPr>
          <w:rFonts w:ascii="Garamond" w:hAnsi="Garamond"/>
          <w:sz w:val="24"/>
          <w:szCs w:val="24"/>
        </w:rPr>
        <w:t xml:space="preserve">Sir John Redwood reflected </w:t>
      </w:r>
      <w:r w:rsidR="00031DDE">
        <w:rPr>
          <w:rFonts w:ascii="Garamond" w:hAnsi="Garamond"/>
          <w:sz w:val="24"/>
          <w:szCs w:val="24"/>
        </w:rPr>
        <w:t>on this</w:t>
      </w:r>
      <w:r w:rsidR="00F80403">
        <w:rPr>
          <w:rFonts w:ascii="Garamond" w:hAnsi="Garamond"/>
          <w:sz w:val="24"/>
          <w:szCs w:val="24"/>
        </w:rPr>
        <w:t xml:space="preserve"> s</w:t>
      </w:r>
      <w:r w:rsidR="004A24D3" w:rsidRPr="00C22EAF">
        <w:rPr>
          <w:rFonts w:ascii="Garamond" w:hAnsi="Garamond"/>
          <w:sz w:val="24"/>
          <w:szCs w:val="24"/>
        </w:rPr>
        <w:t>aying</w:t>
      </w:r>
    </w:p>
    <w:p w14:paraId="196F4103" w14:textId="77777777" w:rsidR="004A24D3" w:rsidRPr="00C22EAF" w:rsidRDefault="004A24D3" w:rsidP="00C22EAF">
      <w:pPr>
        <w:spacing w:line="480" w:lineRule="auto"/>
        <w:ind w:left="567" w:right="567"/>
        <w:rPr>
          <w:rFonts w:ascii="Garamond" w:hAnsi="Garamond"/>
          <w:sz w:val="24"/>
          <w:szCs w:val="24"/>
        </w:rPr>
      </w:pPr>
      <w:r w:rsidRPr="00C22EAF">
        <w:rPr>
          <w:rFonts w:ascii="Garamond" w:hAnsi="Garamond"/>
          <w:sz w:val="24"/>
          <w:szCs w:val="24"/>
        </w:rPr>
        <w:t xml:space="preserve">I first broached the problem of accruing power in the EEC when as Margaret Thatcher’s Chief Policy Advisor the drafts of the Single European Act came before the government. I recommended strongly that we did not sign away the veto over a wide range of issues. I pointed out how the development of a common market was being used as cover for a large legislative programme to strengthen Europe’s powers. Margaret was persuaded by the Foreign Office nonetheless to sign it. It was some time later that she came to understand how the power grab by the EEC was no necessary part of promoting a freer trading bloc. The push for monetary union alerted her to the imperial aims of the EU and led to the Bruges speech (Redwood, 2019). </w:t>
      </w:r>
    </w:p>
    <w:p w14:paraId="5C1DC42A" w14:textId="77777777" w:rsidR="00D465B0" w:rsidRDefault="00CE5BBA" w:rsidP="00C22EAF">
      <w:pPr>
        <w:spacing w:line="480" w:lineRule="auto"/>
        <w:rPr>
          <w:rFonts w:ascii="Garamond" w:hAnsi="Garamond"/>
          <w:sz w:val="24"/>
          <w:szCs w:val="24"/>
        </w:rPr>
      </w:pPr>
      <w:r w:rsidRPr="00C22EAF">
        <w:rPr>
          <w:rFonts w:ascii="Garamond" w:hAnsi="Garamond"/>
          <w:sz w:val="24"/>
          <w:szCs w:val="24"/>
        </w:rPr>
        <w:t>For Thatcher, ‘the greater my frustration and the deeper my anger became’ (</w:t>
      </w:r>
      <w:r w:rsidR="001E4260" w:rsidRPr="00C22EAF">
        <w:rPr>
          <w:rFonts w:ascii="Garamond" w:hAnsi="Garamond"/>
          <w:sz w:val="24"/>
          <w:szCs w:val="24"/>
        </w:rPr>
        <w:t>Thatcher, 1993: 743</w:t>
      </w:r>
      <w:r w:rsidRPr="00C22EAF">
        <w:rPr>
          <w:rFonts w:ascii="Garamond" w:hAnsi="Garamond"/>
          <w:sz w:val="24"/>
          <w:szCs w:val="24"/>
        </w:rPr>
        <w:t>) when the true extent of the integrationist agenda became clear</w:t>
      </w:r>
      <w:r w:rsidR="00347D3A" w:rsidRPr="00C22EAF">
        <w:rPr>
          <w:rFonts w:ascii="Garamond" w:hAnsi="Garamond"/>
          <w:sz w:val="24"/>
          <w:szCs w:val="24"/>
        </w:rPr>
        <w:t xml:space="preserve">. </w:t>
      </w:r>
      <w:r w:rsidR="00735E30" w:rsidRPr="00C22EAF">
        <w:rPr>
          <w:rFonts w:ascii="Garamond" w:hAnsi="Garamond"/>
          <w:sz w:val="24"/>
          <w:szCs w:val="24"/>
        </w:rPr>
        <w:t xml:space="preserve">It is also worth remembering that whilst Thatcher had secured victories for the expansion of free market economics across Europe, the implementation of the free market principles were largely ignored by individual European countries. This further inflamed Thatcher’s attitude towards the European project. </w:t>
      </w:r>
    </w:p>
    <w:p w14:paraId="7CFB624F" w14:textId="77777777" w:rsidR="007D3609" w:rsidRPr="00C22EAF" w:rsidRDefault="007D3609" w:rsidP="00C22EAF">
      <w:pPr>
        <w:spacing w:line="480" w:lineRule="auto"/>
        <w:rPr>
          <w:rFonts w:ascii="Garamond" w:hAnsi="Garamond"/>
          <w:sz w:val="24"/>
          <w:szCs w:val="24"/>
        </w:rPr>
      </w:pPr>
    </w:p>
    <w:p w14:paraId="52F775D9" w14:textId="77777777" w:rsidR="00910A1B" w:rsidRDefault="00FD470D" w:rsidP="00C22EAF">
      <w:pPr>
        <w:spacing w:line="480" w:lineRule="auto"/>
        <w:rPr>
          <w:rFonts w:ascii="Garamond" w:hAnsi="Garamond"/>
          <w:sz w:val="24"/>
          <w:szCs w:val="24"/>
        </w:rPr>
      </w:pPr>
      <w:r w:rsidRPr="00C22EAF">
        <w:rPr>
          <w:rFonts w:ascii="Garamond" w:hAnsi="Garamond"/>
          <w:sz w:val="24"/>
          <w:szCs w:val="24"/>
        </w:rPr>
        <w:t>It was within this context when Thatcher’s anger was translated into the development of</w:t>
      </w:r>
      <w:r w:rsidR="004F5EF9" w:rsidRPr="00C22EAF">
        <w:rPr>
          <w:rFonts w:ascii="Garamond" w:hAnsi="Garamond"/>
          <w:sz w:val="24"/>
          <w:szCs w:val="24"/>
        </w:rPr>
        <w:t xml:space="preserve"> her speech to the</w:t>
      </w:r>
      <w:r w:rsidR="00735E30" w:rsidRPr="00C22EAF">
        <w:rPr>
          <w:rFonts w:ascii="Garamond" w:hAnsi="Garamond"/>
          <w:sz w:val="24"/>
          <w:szCs w:val="24"/>
        </w:rPr>
        <w:t xml:space="preserve"> College of Europe in </w:t>
      </w:r>
      <w:r w:rsidR="00315536" w:rsidRPr="00C22EAF">
        <w:rPr>
          <w:rFonts w:ascii="Garamond" w:hAnsi="Garamond"/>
          <w:sz w:val="24"/>
          <w:szCs w:val="24"/>
        </w:rPr>
        <w:t xml:space="preserve">Bruges. </w:t>
      </w:r>
      <w:r w:rsidRPr="00C22EAF">
        <w:rPr>
          <w:rFonts w:ascii="Garamond" w:hAnsi="Garamond"/>
          <w:sz w:val="24"/>
          <w:szCs w:val="24"/>
        </w:rPr>
        <w:t xml:space="preserve">It was the speech which transformed the nature of Euroscepticism within the Conservative Party which began the long push for the UK to withdraw </w:t>
      </w:r>
      <w:r w:rsidR="00735E30" w:rsidRPr="00C22EAF">
        <w:rPr>
          <w:rFonts w:ascii="Garamond" w:hAnsi="Garamond"/>
          <w:sz w:val="24"/>
          <w:szCs w:val="24"/>
        </w:rPr>
        <w:t xml:space="preserve">entirely </w:t>
      </w:r>
      <w:r w:rsidRPr="00C22EAF">
        <w:rPr>
          <w:rFonts w:ascii="Garamond" w:hAnsi="Garamond"/>
          <w:sz w:val="24"/>
          <w:szCs w:val="24"/>
        </w:rPr>
        <w:t xml:space="preserve">from the European project. </w:t>
      </w:r>
      <w:r w:rsidR="00735E30" w:rsidRPr="00C22EAF">
        <w:rPr>
          <w:rFonts w:ascii="Garamond" w:hAnsi="Garamond"/>
          <w:sz w:val="24"/>
          <w:szCs w:val="24"/>
        </w:rPr>
        <w:t>I</w:t>
      </w:r>
      <w:r w:rsidR="00D6200D" w:rsidRPr="00C22EAF">
        <w:rPr>
          <w:rFonts w:ascii="Garamond" w:hAnsi="Garamond"/>
          <w:sz w:val="24"/>
          <w:szCs w:val="24"/>
        </w:rPr>
        <w:t xml:space="preserve">t is </w:t>
      </w:r>
      <w:r w:rsidR="00735E30" w:rsidRPr="00C22EAF">
        <w:rPr>
          <w:rFonts w:ascii="Garamond" w:hAnsi="Garamond"/>
          <w:sz w:val="24"/>
          <w:szCs w:val="24"/>
        </w:rPr>
        <w:t xml:space="preserve">also </w:t>
      </w:r>
      <w:r w:rsidR="00D6200D" w:rsidRPr="00C22EAF">
        <w:rPr>
          <w:rFonts w:ascii="Garamond" w:hAnsi="Garamond"/>
          <w:sz w:val="24"/>
          <w:szCs w:val="24"/>
        </w:rPr>
        <w:t xml:space="preserve">worth remembering the shift </w:t>
      </w:r>
      <w:r w:rsidR="00D6200D" w:rsidRPr="00C22EAF">
        <w:rPr>
          <w:rFonts w:ascii="Garamond" w:hAnsi="Garamond"/>
          <w:sz w:val="24"/>
          <w:szCs w:val="24"/>
        </w:rPr>
        <w:lastRenderedPageBreak/>
        <w:t xml:space="preserve">of attitudes of Eurosceptic conservatives towards </w:t>
      </w:r>
      <w:r w:rsidR="0067396F" w:rsidRPr="00C22EAF">
        <w:rPr>
          <w:rFonts w:ascii="Garamond" w:hAnsi="Garamond"/>
          <w:sz w:val="24"/>
          <w:szCs w:val="24"/>
        </w:rPr>
        <w:t xml:space="preserve">those who remained supportive of the UK within the European project. </w:t>
      </w:r>
      <w:r w:rsidR="00457B6F" w:rsidRPr="00C22EAF">
        <w:rPr>
          <w:rFonts w:ascii="Garamond" w:hAnsi="Garamond"/>
          <w:sz w:val="24"/>
          <w:szCs w:val="24"/>
        </w:rPr>
        <w:t xml:space="preserve">Put simply, </w:t>
      </w:r>
      <w:proofErr w:type="spellStart"/>
      <w:r w:rsidR="00457B6F" w:rsidRPr="00C22EAF">
        <w:rPr>
          <w:rFonts w:ascii="Garamond" w:hAnsi="Garamond"/>
          <w:sz w:val="24"/>
          <w:szCs w:val="24"/>
        </w:rPr>
        <w:t>Delors</w:t>
      </w:r>
      <w:proofErr w:type="spellEnd"/>
      <w:r w:rsidR="00457B6F" w:rsidRPr="00C22EAF">
        <w:rPr>
          <w:rFonts w:ascii="Garamond" w:hAnsi="Garamond"/>
          <w:sz w:val="24"/>
          <w:szCs w:val="24"/>
        </w:rPr>
        <w:t xml:space="preserve"> was seen to have successfully transformed the character of Europe away from the ideals that made it appealing to </w:t>
      </w:r>
      <w:r w:rsidR="003475CD" w:rsidRPr="00C22EAF">
        <w:rPr>
          <w:rFonts w:ascii="Garamond" w:hAnsi="Garamond"/>
          <w:sz w:val="24"/>
          <w:szCs w:val="24"/>
        </w:rPr>
        <w:t xml:space="preserve">economically </w:t>
      </w:r>
      <w:r w:rsidR="0048731A" w:rsidRPr="00C22EAF">
        <w:rPr>
          <w:rFonts w:ascii="Garamond" w:hAnsi="Garamond"/>
          <w:sz w:val="24"/>
          <w:szCs w:val="24"/>
        </w:rPr>
        <w:t>liberal</w:t>
      </w:r>
      <w:r w:rsidR="005732BD" w:rsidRPr="00C22EAF">
        <w:rPr>
          <w:rFonts w:ascii="Garamond" w:hAnsi="Garamond"/>
          <w:sz w:val="24"/>
          <w:szCs w:val="24"/>
        </w:rPr>
        <w:t>-</w:t>
      </w:r>
      <w:r w:rsidR="003475CD" w:rsidRPr="00C22EAF">
        <w:rPr>
          <w:rFonts w:ascii="Garamond" w:hAnsi="Garamond"/>
          <w:sz w:val="24"/>
          <w:szCs w:val="24"/>
        </w:rPr>
        <w:t xml:space="preserve">minded </w:t>
      </w:r>
      <w:r w:rsidR="00457B6F" w:rsidRPr="00C22EAF">
        <w:rPr>
          <w:rFonts w:ascii="Garamond" w:hAnsi="Garamond"/>
          <w:sz w:val="24"/>
          <w:szCs w:val="24"/>
        </w:rPr>
        <w:t xml:space="preserve">Conservatives. </w:t>
      </w:r>
      <w:r w:rsidR="009B305B" w:rsidRPr="00C22EAF">
        <w:rPr>
          <w:rFonts w:ascii="Garamond" w:hAnsi="Garamond"/>
          <w:sz w:val="24"/>
          <w:szCs w:val="24"/>
        </w:rPr>
        <w:t xml:space="preserve">The transformation </w:t>
      </w:r>
      <w:r w:rsidR="00F21C0E" w:rsidRPr="00C22EAF">
        <w:rPr>
          <w:rFonts w:ascii="Garamond" w:hAnsi="Garamond"/>
          <w:sz w:val="24"/>
          <w:szCs w:val="24"/>
        </w:rPr>
        <w:t xml:space="preserve">produced a community that had more in common with those who advocated social democratic interventionist policies in the micromanagement of </w:t>
      </w:r>
      <w:r w:rsidR="00187FBF" w:rsidRPr="00C22EAF">
        <w:rPr>
          <w:rFonts w:ascii="Garamond" w:hAnsi="Garamond"/>
          <w:sz w:val="24"/>
          <w:szCs w:val="24"/>
        </w:rPr>
        <w:t xml:space="preserve">individual economies. </w:t>
      </w:r>
      <w:r w:rsidR="009D1C10" w:rsidRPr="00C22EAF">
        <w:rPr>
          <w:rFonts w:ascii="Garamond" w:hAnsi="Garamond"/>
          <w:sz w:val="24"/>
          <w:szCs w:val="24"/>
        </w:rPr>
        <w:t xml:space="preserve">Consequently, those Conservatives who remained supportive of the project were seen to be ‘complicit’ with the ideological agenda pushed by </w:t>
      </w:r>
      <w:proofErr w:type="spellStart"/>
      <w:r w:rsidR="009D1C10" w:rsidRPr="00C22EAF">
        <w:rPr>
          <w:rFonts w:ascii="Garamond" w:hAnsi="Garamond"/>
          <w:sz w:val="24"/>
          <w:szCs w:val="24"/>
        </w:rPr>
        <w:t>Delors</w:t>
      </w:r>
      <w:proofErr w:type="spellEnd"/>
      <w:r w:rsidR="009D1C10" w:rsidRPr="00C22EAF">
        <w:rPr>
          <w:rFonts w:ascii="Garamond" w:hAnsi="Garamond"/>
          <w:sz w:val="24"/>
          <w:szCs w:val="24"/>
        </w:rPr>
        <w:t xml:space="preserve"> (</w:t>
      </w:r>
      <w:r w:rsidR="001E4260" w:rsidRPr="00C22EAF">
        <w:rPr>
          <w:rFonts w:ascii="Garamond" w:hAnsi="Garamond"/>
          <w:sz w:val="24"/>
          <w:szCs w:val="24"/>
        </w:rPr>
        <w:t>Geddes, 2005: 125; Gifford, 2008: 96</w:t>
      </w:r>
      <w:r w:rsidR="009D1C10" w:rsidRPr="00C22EAF">
        <w:rPr>
          <w:rFonts w:ascii="Garamond" w:hAnsi="Garamond"/>
          <w:sz w:val="24"/>
          <w:szCs w:val="24"/>
        </w:rPr>
        <w:t xml:space="preserve">). </w:t>
      </w:r>
      <w:r w:rsidR="002104DA" w:rsidRPr="00C22EAF">
        <w:rPr>
          <w:rFonts w:ascii="Garamond" w:hAnsi="Garamond"/>
          <w:sz w:val="24"/>
          <w:szCs w:val="24"/>
        </w:rPr>
        <w:t>Such a shift became a key splinter within conservative thinking on Europe</w:t>
      </w:r>
      <w:r w:rsidR="00E5175C" w:rsidRPr="00C22EAF">
        <w:rPr>
          <w:rFonts w:ascii="Garamond" w:hAnsi="Garamond"/>
          <w:sz w:val="24"/>
          <w:szCs w:val="24"/>
        </w:rPr>
        <w:t xml:space="preserve">, which Thatcher sought to highlight during her Bruges speech. </w:t>
      </w:r>
      <w:r w:rsidR="008B158D" w:rsidRPr="00C22EAF">
        <w:rPr>
          <w:rFonts w:ascii="Garamond" w:hAnsi="Garamond"/>
          <w:sz w:val="24"/>
          <w:szCs w:val="24"/>
        </w:rPr>
        <w:t>Indeed, it would be a speech that demonstrated her full ‘awakening to the European threat’ (</w:t>
      </w:r>
      <w:r w:rsidR="003B2F34" w:rsidRPr="00C22EAF">
        <w:rPr>
          <w:rFonts w:ascii="Garamond" w:hAnsi="Garamond"/>
          <w:sz w:val="24"/>
          <w:szCs w:val="24"/>
        </w:rPr>
        <w:t>Crowson, 2007: 53</w:t>
      </w:r>
      <w:r w:rsidR="008B158D" w:rsidRPr="00C22EAF">
        <w:rPr>
          <w:rFonts w:ascii="Garamond" w:hAnsi="Garamond"/>
          <w:sz w:val="24"/>
          <w:szCs w:val="24"/>
        </w:rPr>
        <w:t>) and the subsequent shift towards mainstreaming Euroscepticism within the Parliamentary Conservative Party (</w:t>
      </w:r>
      <w:r w:rsidR="003B2F34" w:rsidRPr="00C22EAF">
        <w:rPr>
          <w:rFonts w:ascii="Garamond" w:hAnsi="Garamond"/>
          <w:sz w:val="24"/>
          <w:szCs w:val="24"/>
        </w:rPr>
        <w:t xml:space="preserve">Crines </w:t>
      </w:r>
      <w:r w:rsidR="003B2F34" w:rsidRPr="00C22EAF">
        <w:rPr>
          <w:rFonts w:ascii="Garamond" w:hAnsi="Garamond"/>
          <w:i/>
          <w:sz w:val="24"/>
          <w:szCs w:val="24"/>
        </w:rPr>
        <w:t>et al</w:t>
      </w:r>
      <w:r w:rsidR="003B2F34" w:rsidRPr="00C22EAF">
        <w:rPr>
          <w:rFonts w:ascii="Garamond" w:hAnsi="Garamond"/>
          <w:sz w:val="24"/>
          <w:szCs w:val="24"/>
        </w:rPr>
        <w:t>, 2016: 100-4</w:t>
      </w:r>
      <w:r w:rsidR="008B158D" w:rsidRPr="00C22EAF">
        <w:rPr>
          <w:rFonts w:ascii="Garamond" w:hAnsi="Garamond"/>
          <w:sz w:val="24"/>
          <w:szCs w:val="24"/>
        </w:rPr>
        <w:t>).</w:t>
      </w:r>
    </w:p>
    <w:p w14:paraId="7A70D720" w14:textId="77777777" w:rsidR="007D3609" w:rsidRPr="00C22EAF" w:rsidRDefault="007D3609" w:rsidP="00C22EAF">
      <w:pPr>
        <w:spacing w:line="480" w:lineRule="auto"/>
        <w:rPr>
          <w:rFonts w:ascii="Garamond" w:hAnsi="Garamond"/>
          <w:sz w:val="24"/>
          <w:szCs w:val="24"/>
        </w:rPr>
      </w:pPr>
    </w:p>
    <w:p w14:paraId="55F9E9E6" w14:textId="77777777" w:rsidR="00B800AB" w:rsidRPr="00C22EAF" w:rsidRDefault="00B800AB" w:rsidP="00C22EAF">
      <w:pPr>
        <w:spacing w:line="480" w:lineRule="auto"/>
        <w:rPr>
          <w:rFonts w:ascii="Garamond" w:hAnsi="Garamond"/>
          <w:sz w:val="24"/>
          <w:szCs w:val="24"/>
        </w:rPr>
      </w:pPr>
    </w:p>
    <w:p w14:paraId="6F8EFF62" w14:textId="77777777" w:rsidR="0074742C" w:rsidRPr="00C22EAF" w:rsidRDefault="00A43774" w:rsidP="00C22EAF">
      <w:pPr>
        <w:spacing w:line="480" w:lineRule="auto"/>
        <w:rPr>
          <w:rFonts w:ascii="Garamond" w:hAnsi="Garamond"/>
          <w:b/>
          <w:sz w:val="24"/>
          <w:szCs w:val="24"/>
        </w:rPr>
      </w:pPr>
      <w:r w:rsidRPr="00C22EAF">
        <w:rPr>
          <w:rFonts w:ascii="Garamond" w:hAnsi="Garamond"/>
          <w:b/>
          <w:sz w:val="24"/>
          <w:szCs w:val="24"/>
        </w:rPr>
        <w:t>Transforming Euroscepticism</w:t>
      </w:r>
    </w:p>
    <w:p w14:paraId="5BE842D8" w14:textId="77777777" w:rsidR="009F6569" w:rsidRPr="00C22EAF" w:rsidRDefault="009F6569" w:rsidP="00C22EAF">
      <w:pPr>
        <w:spacing w:line="480" w:lineRule="auto"/>
        <w:rPr>
          <w:rFonts w:ascii="Garamond" w:hAnsi="Garamond"/>
          <w:b/>
          <w:sz w:val="24"/>
          <w:szCs w:val="24"/>
        </w:rPr>
      </w:pPr>
    </w:p>
    <w:p w14:paraId="78593633" w14:textId="77777777" w:rsidR="001A086E" w:rsidRDefault="00766BDD" w:rsidP="00C22EAF">
      <w:pPr>
        <w:spacing w:line="480" w:lineRule="auto"/>
        <w:rPr>
          <w:rFonts w:ascii="Garamond" w:hAnsi="Garamond" w:cs="Arial"/>
          <w:sz w:val="24"/>
          <w:szCs w:val="24"/>
        </w:rPr>
      </w:pPr>
      <w:r>
        <w:rPr>
          <w:rFonts w:ascii="Garamond" w:hAnsi="Garamond"/>
          <w:sz w:val="24"/>
          <w:szCs w:val="24"/>
        </w:rPr>
        <w:t>Thatcher’s</w:t>
      </w:r>
      <w:r w:rsidR="00B67551" w:rsidRPr="00C22EAF">
        <w:rPr>
          <w:rFonts w:ascii="Garamond" w:hAnsi="Garamond"/>
          <w:sz w:val="24"/>
          <w:szCs w:val="24"/>
        </w:rPr>
        <w:t xml:space="preserve"> speech at the College of Europe </w:t>
      </w:r>
      <w:r>
        <w:rPr>
          <w:rFonts w:ascii="Garamond" w:hAnsi="Garamond"/>
          <w:sz w:val="24"/>
          <w:szCs w:val="24"/>
        </w:rPr>
        <w:t xml:space="preserve">can be regarded </w:t>
      </w:r>
      <w:r w:rsidR="00B67551" w:rsidRPr="00C22EAF">
        <w:rPr>
          <w:rFonts w:ascii="Garamond" w:hAnsi="Garamond"/>
          <w:sz w:val="24"/>
          <w:szCs w:val="24"/>
        </w:rPr>
        <w:t xml:space="preserve">as a defining moment in the development of Euroscepticism within British political discourse. </w:t>
      </w:r>
      <w:r w:rsidR="00766768" w:rsidRPr="00C22EAF">
        <w:rPr>
          <w:rFonts w:ascii="Garamond" w:hAnsi="Garamond" w:cs="Arial"/>
          <w:sz w:val="24"/>
          <w:szCs w:val="24"/>
        </w:rPr>
        <w:t xml:space="preserve">Rhetorically, this was an </w:t>
      </w:r>
      <w:r w:rsidR="00766768" w:rsidRPr="00C22EAF">
        <w:rPr>
          <w:rFonts w:ascii="Garamond" w:hAnsi="Garamond" w:cs="Arial"/>
          <w:i/>
          <w:sz w:val="24"/>
          <w:szCs w:val="24"/>
        </w:rPr>
        <w:t>epideictic</w:t>
      </w:r>
      <w:r w:rsidR="00766768" w:rsidRPr="00C22EAF">
        <w:rPr>
          <w:rFonts w:ascii="Garamond" w:hAnsi="Garamond" w:cs="Arial"/>
          <w:sz w:val="24"/>
          <w:szCs w:val="24"/>
        </w:rPr>
        <w:t xml:space="preserve"> speech which drew upon her performative skills as an emotive </w:t>
      </w:r>
      <w:r w:rsidR="000D156D" w:rsidRPr="00C22EAF">
        <w:rPr>
          <w:rFonts w:ascii="Garamond" w:hAnsi="Garamond" w:cs="Arial"/>
          <w:sz w:val="24"/>
          <w:szCs w:val="24"/>
        </w:rPr>
        <w:t>(</w:t>
      </w:r>
      <w:r w:rsidR="000D156D" w:rsidRPr="00C22EAF">
        <w:rPr>
          <w:rFonts w:ascii="Garamond" w:hAnsi="Garamond" w:cs="Arial"/>
          <w:i/>
          <w:sz w:val="24"/>
          <w:szCs w:val="24"/>
        </w:rPr>
        <w:t>pathos-led</w:t>
      </w:r>
      <w:r w:rsidR="000D156D" w:rsidRPr="00C22EAF">
        <w:rPr>
          <w:rFonts w:ascii="Garamond" w:hAnsi="Garamond" w:cs="Arial"/>
          <w:sz w:val="24"/>
          <w:szCs w:val="24"/>
        </w:rPr>
        <w:t>)</w:t>
      </w:r>
      <w:r w:rsidR="000D156D" w:rsidRPr="00C22EAF">
        <w:rPr>
          <w:rFonts w:ascii="Garamond" w:hAnsi="Garamond" w:cs="Arial"/>
          <w:i/>
          <w:sz w:val="24"/>
          <w:szCs w:val="24"/>
        </w:rPr>
        <w:t xml:space="preserve"> </w:t>
      </w:r>
      <w:r w:rsidR="00766768" w:rsidRPr="00C22EAF">
        <w:rPr>
          <w:rFonts w:ascii="Garamond" w:hAnsi="Garamond" w:cs="Arial"/>
          <w:sz w:val="24"/>
          <w:szCs w:val="24"/>
        </w:rPr>
        <w:t>orator</w:t>
      </w:r>
      <w:r w:rsidR="000B385C" w:rsidRPr="00C22EAF">
        <w:rPr>
          <w:rFonts w:ascii="Garamond" w:hAnsi="Garamond" w:cs="Arial"/>
          <w:sz w:val="24"/>
          <w:szCs w:val="24"/>
        </w:rPr>
        <w:t xml:space="preserve"> (</w:t>
      </w:r>
      <w:r w:rsidR="00710124" w:rsidRPr="00C22EAF">
        <w:rPr>
          <w:rFonts w:ascii="Garamond" w:hAnsi="Garamond" w:cs="Arial"/>
          <w:sz w:val="24"/>
          <w:szCs w:val="24"/>
        </w:rPr>
        <w:t>Crines</w:t>
      </w:r>
      <w:r w:rsidR="00710124" w:rsidRPr="00C22EAF">
        <w:rPr>
          <w:rFonts w:ascii="Garamond" w:hAnsi="Garamond" w:cs="Arial"/>
          <w:i/>
          <w:sz w:val="24"/>
          <w:szCs w:val="24"/>
        </w:rPr>
        <w:t xml:space="preserve"> et al</w:t>
      </w:r>
      <w:r w:rsidR="00710124" w:rsidRPr="00C22EAF">
        <w:rPr>
          <w:rFonts w:ascii="Garamond" w:hAnsi="Garamond" w:cs="Arial"/>
          <w:sz w:val="24"/>
          <w:szCs w:val="24"/>
        </w:rPr>
        <w:t>, 2016: 159-60</w:t>
      </w:r>
      <w:r w:rsidR="000B385C" w:rsidRPr="00C22EAF">
        <w:rPr>
          <w:rFonts w:ascii="Garamond" w:hAnsi="Garamond" w:cs="Arial"/>
          <w:sz w:val="24"/>
          <w:szCs w:val="24"/>
        </w:rPr>
        <w:t>)</w:t>
      </w:r>
      <w:r w:rsidR="00766768" w:rsidRPr="00C22EAF">
        <w:rPr>
          <w:rFonts w:ascii="Garamond" w:hAnsi="Garamond" w:cs="Arial"/>
          <w:sz w:val="24"/>
          <w:szCs w:val="24"/>
        </w:rPr>
        <w:t xml:space="preserve">. </w:t>
      </w:r>
      <w:r w:rsidR="000E2DC6" w:rsidRPr="00C22EAF">
        <w:rPr>
          <w:rFonts w:ascii="Garamond" w:hAnsi="Garamond" w:cs="Arial"/>
          <w:sz w:val="24"/>
          <w:szCs w:val="24"/>
        </w:rPr>
        <w:t>This rhetorical approach can be defined as a ‘tendency towards apportioning blame or praise’ through ‘construction of binary opposites’ in which ‘her view was right and her opponents wrong’ (</w:t>
      </w:r>
      <w:r w:rsidR="00710124" w:rsidRPr="00C22EAF">
        <w:rPr>
          <w:rFonts w:ascii="Garamond" w:hAnsi="Garamond" w:cs="Arial"/>
          <w:i/>
          <w:sz w:val="24"/>
          <w:szCs w:val="24"/>
        </w:rPr>
        <w:t>ibid.</w:t>
      </w:r>
      <w:r w:rsidR="000E2DC6" w:rsidRPr="00C22EAF">
        <w:rPr>
          <w:rFonts w:ascii="Garamond" w:hAnsi="Garamond" w:cs="Arial"/>
          <w:sz w:val="24"/>
          <w:szCs w:val="24"/>
        </w:rPr>
        <w:t>).</w:t>
      </w:r>
      <w:r w:rsidR="000F3D5E" w:rsidRPr="00C22EAF">
        <w:rPr>
          <w:rFonts w:ascii="Garamond" w:hAnsi="Garamond" w:cs="Arial"/>
          <w:sz w:val="24"/>
          <w:szCs w:val="24"/>
        </w:rPr>
        <w:t xml:space="preserve"> From these rhetorical positions, Thatcher </w:t>
      </w:r>
      <w:r w:rsidR="000F3D5E" w:rsidRPr="00C22EAF">
        <w:rPr>
          <w:rFonts w:ascii="Garamond" w:hAnsi="Garamond" w:cs="Arial"/>
          <w:sz w:val="24"/>
          <w:szCs w:val="24"/>
        </w:rPr>
        <w:lastRenderedPageBreak/>
        <w:t xml:space="preserve">delivered her speech from a position of strength. This was partly granted by her position as Prime Minister, but also an impressive record of ideological domestic victories in a range of fields. For example, the re-shaping of the British economy (particularly industrial relations); foreign policy (victory in the Falklands conflict); and her </w:t>
      </w:r>
      <w:r w:rsidR="00E93866" w:rsidRPr="00C22EAF">
        <w:rPr>
          <w:rFonts w:ascii="Garamond" w:hAnsi="Garamond" w:cs="Arial"/>
          <w:sz w:val="24"/>
          <w:szCs w:val="24"/>
        </w:rPr>
        <w:t xml:space="preserve">record of </w:t>
      </w:r>
      <w:r w:rsidR="000F3D5E" w:rsidRPr="00C22EAF">
        <w:rPr>
          <w:rFonts w:ascii="Garamond" w:hAnsi="Garamond" w:cs="Arial"/>
          <w:sz w:val="24"/>
          <w:szCs w:val="24"/>
        </w:rPr>
        <w:t>electoral victories in 1979, 1983, and 1988 (</w:t>
      </w:r>
      <w:r w:rsidR="001A086E" w:rsidRPr="00C22EAF">
        <w:rPr>
          <w:rFonts w:ascii="Garamond" w:hAnsi="Garamond" w:cs="Arial"/>
          <w:sz w:val="24"/>
          <w:szCs w:val="24"/>
        </w:rPr>
        <w:t xml:space="preserve">and </w:t>
      </w:r>
      <w:r w:rsidR="000F3D5E" w:rsidRPr="00C22EAF">
        <w:rPr>
          <w:rFonts w:ascii="Garamond" w:hAnsi="Garamond" w:cs="Arial"/>
          <w:sz w:val="24"/>
          <w:szCs w:val="24"/>
        </w:rPr>
        <w:t>having secured a refreshed majority of 101 in 1987)</w:t>
      </w:r>
      <w:r w:rsidR="00E93866" w:rsidRPr="00C22EAF">
        <w:rPr>
          <w:rFonts w:ascii="Garamond" w:hAnsi="Garamond" w:cs="Arial"/>
          <w:sz w:val="24"/>
          <w:szCs w:val="24"/>
        </w:rPr>
        <w:t xml:space="preserve"> (</w:t>
      </w:r>
      <w:r w:rsidR="00965E93" w:rsidRPr="00C22EAF">
        <w:rPr>
          <w:rFonts w:ascii="Garamond" w:hAnsi="Garamond" w:cs="Arial"/>
          <w:sz w:val="24"/>
          <w:szCs w:val="24"/>
        </w:rPr>
        <w:t>Butler &amp; Kavanagh, 1992</w:t>
      </w:r>
      <w:r w:rsidR="00E93866" w:rsidRPr="00C22EAF">
        <w:rPr>
          <w:rFonts w:ascii="Garamond" w:hAnsi="Garamond" w:cs="Arial"/>
          <w:sz w:val="24"/>
          <w:szCs w:val="24"/>
        </w:rPr>
        <w:t>)</w:t>
      </w:r>
      <w:r w:rsidR="000F3D5E" w:rsidRPr="00C22EAF">
        <w:rPr>
          <w:rFonts w:ascii="Garamond" w:hAnsi="Garamond" w:cs="Arial"/>
          <w:sz w:val="24"/>
          <w:szCs w:val="24"/>
        </w:rPr>
        <w:t xml:space="preserve">. </w:t>
      </w:r>
    </w:p>
    <w:p w14:paraId="11814BA6" w14:textId="77777777" w:rsidR="007D3609" w:rsidRPr="00C22EAF" w:rsidRDefault="007D3609" w:rsidP="00C22EAF">
      <w:pPr>
        <w:spacing w:line="480" w:lineRule="auto"/>
        <w:rPr>
          <w:rFonts w:ascii="Garamond" w:hAnsi="Garamond" w:cs="Arial"/>
          <w:sz w:val="24"/>
          <w:szCs w:val="24"/>
        </w:rPr>
      </w:pPr>
    </w:p>
    <w:p w14:paraId="283FE25E" w14:textId="77777777" w:rsidR="00F277D7" w:rsidRDefault="001A086E" w:rsidP="00C22EAF">
      <w:pPr>
        <w:spacing w:line="480" w:lineRule="auto"/>
        <w:rPr>
          <w:rFonts w:ascii="Garamond" w:hAnsi="Garamond" w:cs="Arial"/>
          <w:sz w:val="24"/>
          <w:szCs w:val="24"/>
        </w:rPr>
      </w:pPr>
      <w:r w:rsidRPr="00C22EAF">
        <w:rPr>
          <w:rFonts w:ascii="Garamond" w:hAnsi="Garamond" w:cs="Arial"/>
          <w:sz w:val="24"/>
          <w:szCs w:val="24"/>
        </w:rPr>
        <w:t>A central core of her message to the College was that</w:t>
      </w:r>
      <w:r w:rsidR="004962E7" w:rsidRPr="00C22EAF">
        <w:rPr>
          <w:rFonts w:ascii="Garamond" w:hAnsi="Garamond" w:cs="Arial"/>
          <w:sz w:val="24"/>
          <w:szCs w:val="24"/>
        </w:rPr>
        <w:t xml:space="preserve"> ‘things </w:t>
      </w:r>
      <w:r w:rsidR="004962E7" w:rsidRPr="00C22EAF">
        <w:rPr>
          <w:rFonts w:ascii="Garamond" w:hAnsi="Garamond" w:cs="Arial"/>
          <w:i/>
          <w:iCs/>
          <w:sz w:val="24"/>
          <w:szCs w:val="24"/>
        </w:rPr>
        <w:t>are</w:t>
      </w:r>
      <w:r w:rsidR="004962E7" w:rsidRPr="00C22EAF">
        <w:rPr>
          <w:rFonts w:ascii="Garamond" w:hAnsi="Garamond" w:cs="Arial"/>
          <w:sz w:val="24"/>
          <w:szCs w:val="24"/>
        </w:rPr>
        <w:t xml:space="preserve"> going our way: the democratic model of a free enterprise society </w:t>
      </w:r>
      <w:r w:rsidR="004962E7" w:rsidRPr="00C22EAF">
        <w:rPr>
          <w:rFonts w:ascii="Garamond" w:hAnsi="Garamond" w:cs="Arial"/>
          <w:i/>
          <w:iCs/>
          <w:sz w:val="24"/>
          <w:szCs w:val="24"/>
        </w:rPr>
        <w:t>has</w:t>
      </w:r>
      <w:r w:rsidR="004962E7" w:rsidRPr="00C22EAF">
        <w:rPr>
          <w:rFonts w:ascii="Garamond" w:hAnsi="Garamond" w:cs="Arial"/>
          <w:sz w:val="24"/>
          <w:szCs w:val="24"/>
        </w:rPr>
        <w:t xml:space="preserve"> proved itself superior; freedom </w:t>
      </w:r>
      <w:r w:rsidR="004962E7" w:rsidRPr="00C22EAF">
        <w:rPr>
          <w:rFonts w:ascii="Garamond" w:hAnsi="Garamond" w:cs="Arial"/>
          <w:i/>
          <w:sz w:val="24"/>
          <w:szCs w:val="24"/>
        </w:rPr>
        <w:t>is</w:t>
      </w:r>
      <w:r w:rsidR="004962E7" w:rsidRPr="00C22EAF">
        <w:rPr>
          <w:rFonts w:ascii="Garamond" w:hAnsi="Garamond" w:cs="Arial"/>
          <w:sz w:val="24"/>
          <w:szCs w:val="24"/>
        </w:rPr>
        <w:t xml:space="preserve"> on the offensive, a peaceful offensive the world over, for the first time in my life-time’ (</w:t>
      </w:r>
      <w:r w:rsidR="003C7B1F" w:rsidRPr="00C22EAF">
        <w:rPr>
          <w:rFonts w:ascii="Garamond" w:hAnsi="Garamond" w:cs="Arial"/>
          <w:sz w:val="24"/>
          <w:szCs w:val="24"/>
        </w:rPr>
        <w:t>Thatcher, 1988</w:t>
      </w:r>
      <w:r w:rsidR="005838A2">
        <w:rPr>
          <w:rFonts w:ascii="Garamond" w:hAnsi="Garamond" w:cs="Arial"/>
          <w:sz w:val="24"/>
          <w:szCs w:val="24"/>
        </w:rPr>
        <w:t>a</w:t>
      </w:r>
      <w:r w:rsidR="004962E7" w:rsidRPr="00C22EAF">
        <w:rPr>
          <w:rFonts w:ascii="Garamond" w:hAnsi="Garamond" w:cs="Arial"/>
          <w:sz w:val="24"/>
          <w:szCs w:val="24"/>
        </w:rPr>
        <w:t>)</w:t>
      </w:r>
      <w:r w:rsidRPr="00C22EAF">
        <w:rPr>
          <w:rFonts w:ascii="Garamond" w:hAnsi="Garamond" w:cs="Arial"/>
          <w:sz w:val="24"/>
          <w:szCs w:val="24"/>
        </w:rPr>
        <w:t xml:space="preserve">. For Thatcher, </w:t>
      </w:r>
      <w:r w:rsidR="004962E7" w:rsidRPr="00C22EAF">
        <w:rPr>
          <w:rFonts w:ascii="Garamond" w:hAnsi="Garamond" w:cs="Arial"/>
          <w:sz w:val="24"/>
          <w:szCs w:val="24"/>
        </w:rPr>
        <w:t>it was a model that Europe should seek to adopt.</w:t>
      </w:r>
      <w:r w:rsidR="00FB7423" w:rsidRPr="00C22EAF">
        <w:rPr>
          <w:rFonts w:ascii="Garamond" w:hAnsi="Garamond" w:cs="Arial"/>
          <w:sz w:val="24"/>
          <w:szCs w:val="24"/>
        </w:rPr>
        <w:t xml:space="preserve"> </w:t>
      </w:r>
      <w:r w:rsidRPr="00C22EAF">
        <w:rPr>
          <w:rFonts w:ascii="Garamond" w:hAnsi="Garamond" w:cs="Arial"/>
          <w:sz w:val="24"/>
          <w:szCs w:val="24"/>
        </w:rPr>
        <w:t>To solicit a degree of support for her message s</w:t>
      </w:r>
      <w:r w:rsidR="00FB7423" w:rsidRPr="00C22EAF">
        <w:rPr>
          <w:rFonts w:ascii="Garamond" w:hAnsi="Garamond" w:cs="Arial"/>
          <w:sz w:val="24"/>
          <w:szCs w:val="24"/>
        </w:rPr>
        <w:t xml:space="preserve">he </w:t>
      </w:r>
      <w:r w:rsidRPr="00C22EAF">
        <w:rPr>
          <w:rFonts w:ascii="Garamond" w:hAnsi="Garamond" w:cs="Arial"/>
          <w:sz w:val="24"/>
          <w:szCs w:val="24"/>
        </w:rPr>
        <w:t>initially</w:t>
      </w:r>
      <w:r w:rsidR="00FB7423" w:rsidRPr="00C22EAF">
        <w:rPr>
          <w:rFonts w:ascii="Garamond" w:hAnsi="Garamond" w:cs="Arial"/>
          <w:sz w:val="24"/>
          <w:szCs w:val="24"/>
        </w:rPr>
        <w:t xml:space="preserve"> used humour to remind her audience that ‘if you believe some of the things said and written about my views on Europe, it must seem rather like inviting Genghis Khan to speak on the virtues of peaceful coexistence’ (</w:t>
      </w:r>
      <w:r w:rsidR="00965E93" w:rsidRPr="00C22EAF">
        <w:rPr>
          <w:rFonts w:ascii="Garamond" w:hAnsi="Garamond" w:cs="Arial"/>
          <w:i/>
          <w:sz w:val="24"/>
          <w:szCs w:val="24"/>
        </w:rPr>
        <w:t>ibid.</w:t>
      </w:r>
      <w:r w:rsidR="00FB7423" w:rsidRPr="00C22EAF">
        <w:rPr>
          <w:rFonts w:ascii="Garamond" w:hAnsi="Garamond" w:cs="Arial"/>
          <w:sz w:val="24"/>
          <w:szCs w:val="24"/>
        </w:rPr>
        <w:t xml:space="preserve">). This </w:t>
      </w:r>
      <w:r w:rsidR="00F277D7" w:rsidRPr="00C22EAF">
        <w:rPr>
          <w:rFonts w:ascii="Garamond" w:hAnsi="Garamond" w:cs="Arial"/>
          <w:sz w:val="24"/>
          <w:szCs w:val="24"/>
        </w:rPr>
        <w:t xml:space="preserve">simultaneously </w:t>
      </w:r>
      <w:r w:rsidR="00FB7423" w:rsidRPr="00C22EAF">
        <w:rPr>
          <w:rFonts w:ascii="Garamond" w:hAnsi="Garamond" w:cs="Arial"/>
          <w:sz w:val="24"/>
          <w:szCs w:val="24"/>
        </w:rPr>
        <w:t xml:space="preserve">strengthens her rhetorical </w:t>
      </w:r>
      <w:r w:rsidR="00FB7423" w:rsidRPr="00C22EAF">
        <w:rPr>
          <w:rFonts w:ascii="Garamond" w:hAnsi="Garamond" w:cs="Arial"/>
          <w:i/>
          <w:sz w:val="24"/>
          <w:szCs w:val="24"/>
        </w:rPr>
        <w:t xml:space="preserve">ethos </w:t>
      </w:r>
      <w:r w:rsidR="00FB7423" w:rsidRPr="00C22EAF">
        <w:rPr>
          <w:rFonts w:ascii="Garamond" w:hAnsi="Garamond" w:cs="Arial"/>
          <w:sz w:val="24"/>
          <w:szCs w:val="24"/>
        </w:rPr>
        <w:t xml:space="preserve">as a </w:t>
      </w:r>
      <w:r w:rsidR="00F277D7" w:rsidRPr="00C22EAF">
        <w:rPr>
          <w:rFonts w:ascii="Garamond" w:hAnsi="Garamond" w:cs="Arial"/>
          <w:sz w:val="24"/>
          <w:szCs w:val="24"/>
        </w:rPr>
        <w:t xml:space="preserve">strong </w:t>
      </w:r>
      <w:r w:rsidR="00FB7423" w:rsidRPr="00C22EAF">
        <w:rPr>
          <w:rFonts w:ascii="Garamond" w:hAnsi="Garamond" w:cs="Arial"/>
          <w:sz w:val="24"/>
          <w:szCs w:val="24"/>
        </w:rPr>
        <w:t xml:space="preserve">figure </w:t>
      </w:r>
      <w:r w:rsidR="00F277D7" w:rsidRPr="00C22EAF">
        <w:rPr>
          <w:rFonts w:ascii="Garamond" w:hAnsi="Garamond" w:cs="Arial"/>
          <w:sz w:val="24"/>
          <w:szCs w:val="24"/>
        </w:rPr>
        <w:t xml:space="preserve">(the linkage to Genghis Khan being key) </w:t>
      </w:r>
      <w:r w:rsidR="00FB7423" w:rsidRPr="00C22EAF">
        <w:rPr>
          <w:rFonts w:ascii="Garamond" w:hAnsi="Garamond" w:cs="Arial"/>
          <w:sz w:val="24"/>
          <w:szCs w:val="24"/>
        </w:rPr>
        <w:t xml:space="preserve">who must be listened to given her character. </w:t>
      </w:r>
    </w:p>
    <w:p w14:paraId="35DBF96E" w14:textId="77777777" w:rsidR="007D3609" w:rsidRPr="00C22EAF" w:rsidRDefault="007D3609" w:rsidP="00C22EAF">
      <w:pPr>
        <w:spacing w:line="480" w:lineRule="auto"/>
        <w:rPr>
          <w:rFonts w:ascii="Garamond" w:hAnsi="Garamond" w:cs="Arial"/>
          <w:sz w:val="24"/>
          <w:szCs w:val="24"/>
        </w:rPr>
      </w:pPr>
    </w:p>
    <w:p w14:paraId="52FCBD2A" w14:textId="77777777" w:rsidR="00A17B69" w:rsidRDefault="00F277D7" w:rsidP="00C22EAF">
      <w:pPr>
        <w:spacing w:line="480" w:lineRule="auto"/>
        <w:rPr>
          <w:rFonts w:ascii="Garamond" w:hAnsi="Garamond" w:cs="Arial"/>
          <w:sz w:val="24"/>
          <w:szCs w:val="24"/>
        </w:rPr>
      </w:pPr>
      <w:r w:rsidRPr="00C22EAF">
        <w:rPr>
          <w:rFonts w:ascii="Garamond" w:hAnsi="Garamond" w:cs="Arial"/>
          <w:sz w:val="24"/>
          <w:szCs w:val="24"/>
        </w:rPr>
        <w:t xml:space="preserve">A further element of her message was that </w:t>
      </w:r>
      <w:r w:rsidR="00FB7423" w:rsidRPr="00C22EAF">
        <w:rPr>
          <w:rFonts w:ascii="Garamond" w:hAnsi="Garamond" w:cs="Arial"/>
          <w:sz w:val="24"/>
          <w:szCs w:val="24"/>
        </w:rPr>
        <w:t>the ‘British are as much heirs to the legacy of European culture as any other nation’ (</w:t>
      </w:r>
      <w:r w:rsidR="00965E93" w:rsidRPr="00C22EAF">
        <w:rPr>
          <w:rFonts w:ascii="Garamond" w:hAnsi="Garamond" w:cs="Arial"/>
          <w:i/>
          <w:sz w:val="24"/>
          <w:szCs w:val="24"/>
        </w:rPr>
        <w:t>ibid.</w:t>
      </w:r>
      <w:r w:rsidR="00FB7423" w:rsidRPr="00C22EAF">
        <w:rPr>
          <w:rFonts w:ascii="Garamond" w:hAnsi="Garamond" w:cs="Arial"/>
          <w:sz w:val="24"/>
          <w:szCs w:val="24"/>
        </w:rPr>
        <w:t>)</w:t>
      </w:r>
      <w:r w:rsidRPr="00C22EAF">
        <w:rPr>
          <w:rFonts w:ascii="Garamond" w:hAnsi="Garamond" w:cs="Arial"/>
          <w:sz w:val="24"/>
          <w:szCs w:val="24"/>
        </w:rPr>
        <w:t xml:space="preserve">. This aimed to conceptually divorce Europe from the European Community </w:t>
      </w:r>
      <w:r w:rsidR="00FB7423" w:rsidRPr="00C22EAF">
        <w:rPr>
          <w:rFonts w:ascii="Garamond" w:hAnsi="Garamond" w:cs="Arial"/>
          <w:sz w:val="24"/>
          <w:szCs w:val="24"/>
        </w:rPr>
        <w:t>thereby enabling her to argue the integrationists mischaracterise the political project with</w:t>
      </w:r>
      <w:r w:rsidRPr="00C22EAF">
        <w:rPr>
          <w:rFonts w:ascii="Garamond" w:hAnsi="Garamond" w:cs="Arial"/>
          <w:sz w:val="24"/>
          <w:szCs w:val="24"/>
        </w:rPr>
        <w:t xml:space="preserve"> a mono-</w:t>
      </w:r>
      <w:r w:rsidR="00FB7423" w:rsidRPr="00C22EAF">
        <w:rPr>
          <w:rFonts w:ascii="Garamond" w:hAnsi="Garamond" w:cs="Arial"/>
          <w:sz w:val="24"/>
          <w:szCs w:val="24"/>
        </w:rPr>
        <w:t xml:space="preserve">European identity. </w:t>
      </w:r>
      <w:r w:rsidR="008E5B68" w:rsidRPr="00C22EAF">
        <w:rPr>
          <w:rFonts w:ascii="Garamond" w:hAnsi="Garamond" w:cs="Arial"/>
          <w:sz w:val="24"/>
          <w:szCs w:val="24"/>
        </w:rPr>
        <w:t xml:space="preserve">Indeed, she highlighted this by arguing that ‘Europe is </w:t>
      </w:r>
      <w:r w:rsidR="008E5B68" w:rsidRPr="00C22EAF">
        <w:rPr>
          <w:rFonts w:ascii="Garamond" w:hAnsi="Garamond" w:cs="Arial"/>
          <w:i/>
          <w:sz w:val="24"/>
          <w:szCs w:val="24"/>
        </w:rPr>
        <w:t>not</w:t>
      </w:r>
      <w:r w:rsidR="008E5B68" w:rsidRPr="00C22EAF">
        <w:rPr>
          <w:rFonts w:ascii="Garamond" w:hAnsi="Garamond" w:cs="Arial"/>
          <w:sz w:val="24"/>
          <w:szCs w:val="24"/>
        </w:rPr>
        <w:t xml:space="preserve"> the creation of the Treaty of Rome. Nor is the European idea the property of any group or institution’ and that ‘the European </w:t>
      </w:r>
      <w:r w:rsidR="008E5B68" w:rsidRPr="00C22EAF">
        <w:rPr>
          <w:rFonts w:ascii="Garamond" w:hAnsi="Garamond" w:cs="Arial"/>
          <w:sz w:val="24"/>
          <w:szCs w:val="24"/>
        </w:rPr>
        <w:lastRenderedPageBreak/>
        <w:t xml:space="preserve">Community is </w:t>
      </w:r>
      <w:r w:rsidR="008E5B68" w:rsidRPr="00C22EAF">
        <w:rPr>
          <w:rFonts w:ascii="Garamond" w:hAnsi="Garamond" w:cs="Arial"/>
          <w:i/>
          <w:iCs/>
          <w:sz w:val="24"/>
          <w:szCs w:val="24"/>
        </w:rPr>
        <w:t>one</w:t>
      </w:r>
      <w:r w:rsidR="008E5B68" w:rsidRPr="00C22EAF">
        <w:rPr>
          <w:rFonts w:ascii="Garamond" w:hAnsi="Garamond" w:cs="Arial"/>
          <w:sz w:val="24"/>
          <w:szCs w:val="24"/>
        </w:rPr>
        <w:t xml:space="preserve"> manifestation of that European identity, </w:t>
      </w:r>
      <w:r w:rsidR="008E5B68" w:rsidRPr="00C22EAF">
        <w:rPr>
          <w:rFonts w:ascii="Garamond" w:hAnsi="Garamond" w:cs="Arial"/>
          <w:i/>
          <w:sz w:val="24"/>
          <w:szCs w:val="24"/>
        </w:rPr>
        <w:t>but it is not the only one</w:t>
      </w:r>
      <w:r w:rsidR="008E5B68" w:rsidRPr="00C22EAF">
        <w:rPr>
          <w:rFonts w:ascii="Garamond" w:hAnsi="Garamond" w:cs="Arial"/>
          <w:sz w:val="24"/>
          <w:szCs w:val="24"/>
        </w:rPr>
        <w:t>’ (</w:t>
      </w:r>
      <w:r w:rsidR="00965E93" w:rsidRPr="00C22EAF">
        <w:rPr>
          <w:rFonts w:ascii="Garamond" w:hAnsi="Garamond" w:cs="Arial"/>
          <w:i/>
          <w:sz w:val="24"/>
          <w:szCs w:val="24"/>
        </w:rPr>
        <w:t>ibid.</w:t>
      </w:r>
      <w:r w:rsidR="008E5B68" w:rsidRPr="00C22EAF">
        <w:rPr>
          <w:rFonts w:ascii="Garamond" w:hAnsi="Garamond" w:cs="Arial"/>
          <w:sz w:val="24"/>
          <w:szCs w:val="24"/>
        </w:rPr>
        <w:t>).</w:t>
      </w:r>
      <w:r w:rsidR="001E0BF5" w:rsidRPr="00C22EAF">
        <w:rPr>
          <w:rFonts w:ascii="Garamond" w:hAnsi="Garamond" w:cs="Arial"/>
          <w:sz w:val="24"/>
          <w:szCs w:val="24"/>
        </w:rPr>
        <w:t xml:space="preserve"> She also warned that Europe ‘never will prosper as a narrow-minded, inward-looking club’ and the Community should not be constructed as an ‘institutional device to be constantly modified according to the dictates of some abstract intellectual concept’ (</w:t>
      </w:r>
      <w:r w:rsidR="00965E93" w:rsidRPr="00C22EAF">
        <w:rPr>
          <w:rFonts w:ascii="Garamond" w:hAnsi="Garamond" w:cs="Arial"/>
          <w:i/>
          <w:sz w:val="24"/>
          <w:szCs w:val="24"/>
        </w:rPr>
        <w:t>ibid.</w:t>
      </w:r>
      <w:r w:rsidR="001E0BF5" w:rsidRPr="00C22EAF">
        <w:rPr>
          <w:rFonts w:ascii="Garamond" w:hAnsi="Garamond" w:cs="Arial"/>
          <w:sz w:val="24"/>
          <w:szCs w:val="24"/>
        </w:rPr>
        <w:t>). Moreover, she also attacked the federalist concept by arguing that countries being ‘closely together does not require power to be centralised in Brussels or decisions to be taken by an appointed bureaucracy’ (</w:t>
      </w:r>
      <w:r w:rsidR="00965E93" w:rsidRPr="00C22EAF">
        <w:rPr>
          <w:rFonts w:ascii="Garamond" w:hAnsi="Garamond" w:cs="Arial"/>
          <w:i/>
          <w:sz w:val="24"/>
          <w:szCs w:val="24"/>
        </w:rPr>
        <w:t>ibid.</w:t>
      </w:r>
      <w:r w:rsidR="001E0BF5" w:rsidRPr="00C22EAF">
        <w:rPr>
          <w:rFonts w:ascii="Garamond" w:hAnsi="Garamond" w:cs="Arial"/>
          <w:sz w:val="24"/>
          <w:szCs w:val="24"/>
        </w:rPr>
        <w:t>). Finally, she also reminded her audience that the best way forward was ‘willing and active co-operation between independent sovereign states’ given it would be ‘the best way to build a successful European Community’ (</w:t>
      </w:r>
      <w:r w:rsidR="00965E93" w:rsidRPr="00C22EAF">
        <w:rPr>
          <w:rFonts w:ascii="Garamond" w:hAnsi="Garamond" w:cs="Arial"/>
          <w:i/>
          <w:sz w:val="24"/>
          <w:szCs w:val="24"/>
        </w:rPr>
        <w:t>ibid.</w:t>
      </w:r>
      <w:r w:rsidR="001E0BF5" w:rsidRPr="00C22EAF">
        <w:rPr>
          <w:rFonts w:ascii="Garamond" w:hAnsi="Garamond" w:cs="Arial"/>
          <w:sz w:val="24"/>
          <w:szCs w:val="24"/>
        </w:rPr>
        <w:t>).</w:t>
      </w:r>
      <w:r w:rsidR="004627FF" w:rsidRPr="00C22EAF">
        <w:rPr>
          <w:rFonts w:ascii="Garamond" w:hAnsi="Garamond" w:cs="Arial"/>
          <w:sz w:val="24"/>
          <w:szCs w:val="24"/>
        </w:rPr>
        <w:t xml:space="preserve"> </w:t>
      </w:r>
    </w:p>
    <w:p w14:paraId="44F1C3AF" w14:textId="77777777" w:rsidR="007D3609" w:rsidRPr="00C22EAF" w:rsidRDefault="007D3609" w:rsidP="00C22EAF">
      <w:pPr>
        <w:spacing w:line="480" w:lineRule="auto"/>
        <w:rPr>
          <w:rFonts w:ascii="Garamond" w:hAnsi="Garamond" w:cs="Arial"/>
          <w:sz w:val="24"/>
          <w:szCs w:val="24"/>
        </w:rPr>
      </w:pPr>
    </w:p>
    <w:p w14:paraId="09ECD8BC" w14:textId="77777777" w:rsidR="00400B8B" w:rsidRDefault="004627FF" w:rsidP="00C22EAF">
      <w:pPr>
        <w:spacing w:line="480" w:lineRule="auto"/>
        <w:rPr>
          <w:rFonts w:ascii="Garamond" w:hAnsi="Garamond" w:cs="Arial"/>
          <w:sz w:val="24"/>
          <w:szCs w:val="24"/>
        </w:rPr>
      </w:pPr>
      <w:r w:rsidRPr="00C22EAF">
        <w:rPr>
          <w:rFonts w:ascii="Garamond" w:hAnsi="Garamond" w:cs="Arial"/>
          <w:sz w:val="24"/>
          <w:szCs w:val="24"/>
        </w:rPr>
        <w:t xml:space="preserve">Her message attacked the European concept as outlined twice by </w:t>
      </w:r>
      <w:proofErr w:type="spellStart"/>
      <w:r w:rsidRPr="00C22EAF">
        <w:rPr>
          <w:rFonts w:ascii="Garamond" w:hAnsi="Garamond" w:cs="Arial"/>
          <w:sz w:val="24"/>
          <w:szCs w:val="24"/>
        </w:rPr>
        <w:t>Delors</w:t>
      </w:r>
      <w:proofErr w:type="spellEnd"/>
      <w:r w:rsidRPr="00C22EAF">
        <w:rPr>
          <w:rFonts w:ascii="Garamond" w:hAnsi="Garamond" w:cs="Arial"/>
          <w:sz w:val="24"/>
          <w:szCs w:val="24"/>
        </w:rPr>
        <w:t xml:space="preserve"> over the course of the summer. Her contrasting vision was for ‘Europe [to] be a family of nations, understanding each other better, appreciating each other more, doing more together but relishing our national identity no less than our common European endeavour’</w:t>
      </w:r>
      <w:r w:rsidR="005838A2">
        <w:rPr>
          <w:rFonts w:ascii="Garamond" w:hAnsi="Garamond" w:cs="Arial"/>
          <w:sz w:val="24"/>
          <w:szCs w:val="24"/>
        </w:rPr>
        <w:t xml:space="preserve"> (</w:t>
      </w:r>
      <w:r w:rsidR="005838A2">
        <w:rPr>
          <w:rFonts w:ascii="Garamond" w:hAnsi="Garamond" w:cs="Arial"/>
          <w:i/>
          <w:sz w:val="24"/>
          <w:szCs w:val="24"/>
        </w:rPr>
        <w:t>ibid.)</w:t>
      </w:r>
      <w:r w:rsidRPr="00C22EAF">
        <w:rPr>
          <w:rFonts w:ascii="Garamond" w:hAnsi="Garamond" w:cs="Arial"/>
          <w:sz w:val="24"/>
          <w:szCs w:val="24"/>
        </w:rPr>
        <w:t>. This was because ‘Europe will be stronger precisely because it has France as France, Spain as Spain, and Britain as Britain, each with its own customs, traditions and identity’ and ‘it would be folly to try to fit them into some sort of identikit European personality’ (</w:t>
      </w:r>
      <w:r w:rsidR="00965E93" w:rsidRPr="00C22EAF">
        <w:rPr>
          <w:rFonts w:ascii="Garamond" w:hAnsi="Garamond" w:cs="Arial"/>
          <w:i/>
          <w:sz w:val="24"/>
          <w:szCs w:val="24"/>
        </w:rPr>
        <w:t>ibid.</w:t>
      </w:r>
      <w:r w:rsidRPr="00C22EAF">
        <w:rPr>
          <w:rFonts w:ascii="Garamond" w:hAnsi="Garamond" w:cs="Arial"/>
          <w:sz w:val="24"/>
          <w:szCs w:val="24"/>
        </w:rPr>
        <w:t>).</w:t>
      </w:r>
    </w:p>
    <w:p w14:paraId="5E4354B3" w14:textId="77777777" w:rsidR="007D3609" w:rsidRPr="00C22EAF" w:rsidRDefault="007D3609" w:rsidP="00C22EAF">
      <w:pPr>
        <w:spacing w:line="480" w:lineRule="auto"/>
        <w:rPr>
          <w:rFonts w:ascii="Garamond" w:hAnsi="Garamond" w:cs="Arial"/>
          <w:sz w:val="24"/>
          <w:szCs w:val="24"/>
        </w:rPr>
      </w:pPr>
    </w:p>
    <w:p w14:paraId="58153DE7" w14:textId="77777777" w:rsidR="00264242" w:rsidRPr="00C22EAF" w:rsidRDefault="00AF2B81" w:rsidP="00886E4C">
      <w:pPr>
        <w:spacing w:line="480" w:lineRule="auto"/>
        <w:rPr>
          <w:rFonts w:ascii="Garamond" w:hAnsi="Garamond" w:cs="Arial"/>
          <w:color w:val="222222"/>
          <w:sz w:val="24"/>
          <w:szCs w:val="24"/>
        </w:rPr>
      </w:pPr>
      <w:r w:rsidRPr="00C22EAF">
        <w:rPr>
          <w:rFonts w:ascii="Garamond" w:hAnsi="Garamond" w:cs="Arial"/>
          <w:sz w:val="24"/>
          <w:szCs w:val="24"/>
        </w:rPr>
        <w:t>In contrast</w:t>
      </w:r>
      <w:r w:rsidR="00A17B69" w:rsidRPr="00C22EAF">
        <w:rPr>
          <w:rFonts w:ascii="Garamond" w:hAnsi="Garamond" w:cs="Arial"/>
          <w:sz w:val="24"/>
          <w:szCs w:val="24"/>
        </w:rPr>
        <w:t xml:space="preserve"> to </w:t>
      </w:r>
      <w:proofErr w:type="spellStart"/>
      <w:r w:rsidR="00A17B69" w:rsidRPr="00C22EAF">
        <w:rPr>
          <w:rFonts w:ascii="Garamond" w:hAnsi="Garamond" w:cs="Arial"/>
          <w:sz w:val="24"/>
          <w:szCs w:val="24"/>
        </w:rPr>
        <w:t>Delors</w:t>
      </w:r>
      <w:proofErr w:type="spellEnd"/>
      <w:r w:rsidR="00A17B69" w:rsidRPr="00C22EAF">
        <w:rPr>
          <w:rFonts w:ascii="Garamond" w:hAnsi="Garamond" w:cs="Arial"/>
          <w:sz w:val="24"/>
          <w:szCs w:val="24"/>
        </w:rPr>
        <w:t xml:space="preserve"> vision</w:t>
      </w:r>
      <w:r w:rsidRPr="00C22EAF">
        <w:rPr>
          <w:rFonts w:ascii="Garamond" w:hAnsi="Garamond" w:cs="Arial"/>
          <w:sz w:val="24"/>
          <w:szCs w:val="24"/>
        </w:rPr>
        <w:t xml:space="preserve">, she sought to present an alternative vision for the European Community that rejected </w:t>
      </w:r>
      <w:r w:rsidR="00A17B69" w:rsidRPr="00C22EAF">
        <w:rPr>
          <w:rFonts w:ascii="Garamond" w:hAnsi="Garamond" w:cs="Arial"/>
          <w:sz w:val="24"/>
          <w:szCs w:val="24"/>
        </w:rPr>
        <w:t>federalism and emphasised economic liberalism and national sovereignty</w:t>
      </w:r>
      <w:r w:rsidRPr="00C22EAF">
        <w:rPr>
          <w:rFonts w:ascii="Garamond" w:hAnsi="Garamond" w:cs="Arial"/>
          <w:sz w:val="24"/>
          <w:szCs w:val="24"/>
        </w:rPr>
        <w:t xml:space="preserve">. </w:t>
      </w:r>
      <w:r w:rsidR="004F40AF">
        <w:rPr>
          <w:rFonts w:ascii="Garamond" w:hAnsi="Garamond" w:cs="Arial"/>
          <w:sz w:val="24"/>
          <w:szCs w:val="24"/>
        </w:rPr>
        <w:t>Indeed, s</w:t>
      </w:r>
      <w:r w:rsidRPr="00C22EAF">
        <w:rPr>
          <w:rFonts w:ascii="Garamond" w:hAnsi="Garamond" w:cs="Arial"/>
          <w:sz w:val="24"/>
          <w:szCs w:val="24"/>
        </w:rPr>
        <w:t xml:space="preserve">he believed that European cooperation would best be achieved by reframing the debates around liberty, liberal economics, and personal responsibility. </w:t>
      </w:r>
      <w:r w:rsidR="00A17B69" w:rsidRPr="00C22EAF">
        <w:rPr>
          <w:rFonts w:ascii="Garamond" w:hAnsi="Garamond" w:cs="Arial"/>
          <w:sz w:val="24"/>
          <w:szCs w:val="24"/>
        </w:rPr>
        <w:t>To do this s</w:t>
      </w:r>
      <w:r w:rsidRPr="00C22EAF">
        <w:rPr>
          <w:rFonts w:ascii="Garamond" w:hAnsi="Garamond" w:cs="Arial"/>
          <w:sz w:val="24"/>
          <w:szCs w:val="24"/>
        </w:rPr>
        <w:t xml:space="preserve">he argued that ‘if Europe is to flourish and create the jobs of the future, enterprise is </w:t>
      </w:r>
      <w:r w:rsidRPr="00C22EAF">
        <w:rPr>
          <w:rFonts w:ascii="Garamond" w:hAnsi="Garamond" w:cs="Arial"/>
          <w:sz w:val="24"/>
          <w:szCs w:val="24"/>
        </w:rPr>
        <w:lastRenderedPageBreak/>
        <w:t xml:space="preserve">the key… The basic framework is there: the Treaty of Rome itself was intended as a Charter for Economic Liberty. But that it is not how it has always been read, still less applied. The lesson of the economic history of Europe in the 70s and 80s is that central planning and detailed control </w:t>
      </w:r>
      <w:r w:rsidRPr="00C22EAF">
        <w:rPr>
          <w:rFonts w:ascii="Garamond" w:hAnsi="Garamond" w:cs="Arial"/>
          <w:iCs/>
          <w:sz w:val="24"/>
          <w:szCs w:val="24"/>
        </w:rPr>
        <w:t>do not</w:t>
      </w:r>
      <w:r w:rsidRPr="00C22EAF">
        <w:rPr>
          <w:rFonts w:ascii="Garamond" w:hAnsi="Garamond" w:cs="Arial"/>
          <w:sz w:val="24"/>
          <w:szCs w:val="24"/>
        </w:rPr>
        <w:t xml:space="preserve"> work and that personal endeavour and initiative </w:t>
      </w:r>
      <w:r w:rsidRPr="00C22EAF">
        <w:rPr>
          <w:rFonts w:ascii="Garamond" w:hAnsi="Garamond" w:cs="Arial"/>
          <w:iCs/>
          <w:sz w:val="24"/>
          <w:szCs w:val="24"/>
        </w:rPr>
        <w:t>do’ (</w:t>
      </w:r>
      <w:r w:rsidR="00965E93" w:rsidRPr="00C22EAF">
        <w:rPr>
          <w:rFonts w:ascii="Garamond" w:hAnsi="Garamond" w:cs="Arial"/>
          <w:i/>
          <w:sz w:val="24"/>
          <w:szCs w:val="24"/>
        </w:rPr>
        <w:t>ibid.</w:t>
      </w:r>
      <w:r w:rsidRPr="00C22EAF">
        <w:rPr>
          <w:rFonts w:ascii="Garamond" w:hAnsi="Garamond" w:cs="Arial"/>
          <w:iCs/>
          <w:sz w:val="24"/>
          <w:szCs w:val="24"/>
        </w:rPr>
        <w:t xml:space="preserve">). </w:t>
      </w:r>
      <w:r w:rsidR="00A827FF" w:rsidRPr="00C22EAF">
        <w:rPr>
          <w:rFonts w:ascii="Garamond" w:hAnsi="Garamond" w:cs="Arial"/>
          <w:iCs/>
          <w:sz w:val="24"/>
          <w:szCs w:val="24"/>
        </w:rPr>
        <w:t xml:space="preserve">This message reflected the economic changes that were taking place in the UK which had reshaped </w:t>
      </w:r>
      <w:r w:rsidR="001C54E8" w:rsidRPr="00C22EAF">
        <w:rPr>
          <w:rFonts w:ascii="Garamond" w:hAnsi="Garamond" w:cs="Arial"/>
          <w:iCs/>
          <w:sz w:val="24"/>
          <w:szCs w:val="24"/>
        </w:rPr>
        <w:t xml:space="preserve">assumptions about </w:t>
      </w:r>
      <w:r w:rsidR="00A827FF" w:rsidRPr="00C22EAF">
        <w:rPr>
          <w:rFonts w:ascii="Garamond" w:hAnsi="Garamond" w:cs="Arial"/>
          <w:iCs/>
          <w:sz w:val="24"/>
          <w:szCs w:val="24"/>
        </w:rPr>
        <w:t>the British economy. She also reminded her audience that a ‘</w:t>
      </w:r>
      <w:r w:rsidR="00A827FF" w:rsidRPr="00C22EAF">
        <w:rPr>
          <w:rFonts w:ascii="Garamond" w:hAnsi="Garamond" w:cs="Arial"/>
          <w:sz w:val="24"/>
          <w:szCs w:val="24"/>
        </w:rPr>
        <w:t>state-controlled economy is a recipe for low growth’ and that the role of government was to ‘</w:t>
      </w:r>
      <w:r w:rsidR="00A827FF" w:rsidRPr="00C22EAF">
        <w:rPr>
          <w:rFonts w:ascii="Garamond" w:hAnsi="Garamond" w:cs="Arial"/>
          <w:iCs/>
          <w:sz w:val="24"/>
          <w:szCs w:val="24"/>
        </w:rPr>
        <w:t>widen</w:t>
      </w:r>
      <w:r w:rsidR="00A827FF" w:rsidRPr="00C22EAF">
        <w:rPr>
          <w:rFonts w:ascii="Garamond" w:hAnsi="Garamond" w:cs="Arial"/>
          <w:sz w:val="24"/>
          <w:szCs w:val="24"/>
        </w:rPr>
        <w:t xml:space="preserve"> choice’</w:t>
      </w:r>
      <w:r w:rsidR="00880D93" w:rsidRPr="00C22EAF">
        <w:rPr>
          <w:rFonts w:ascii="Garamond" w:hAnsi="Garamond" w:cs="Arial"/>
          <w:sz w:val="24"/>
          <w:szCs w:val="24"/>
        </w:rPr>
        <w:t xml:space="preserve">, </w:t>
      </w:r>
      <w:r w:rsidR="00A827FF" w:rsidRPr="00C22EAF">
        <w:rPr>
          <w:rFonts w:ascii="Garamond" w:hAnsi="Garamond" w:cs="Arial"/>
          <w:sz w:val="24"/>
          <w:szCs w:val="24"/>
        </w:rPr>
        <w:t>‘</w:t>
      </w:r>
      <w:r w:rsidR="00A827FF" w:rsidRPr="00C22EAF">
        <w:rPr>
          <w:rFonts w:ascii="Garamond" w:hAnsi="Garamond" w:cs="Arial"/>
          <w:iCs/>
          <w:sz w:val="24"/>
          <w:szCs w:val="24"/>
        </w:rPr>
        <w:t>reduce</w:t>
      </w:r>
      <w:r w:rsidR="00A827FF" w:rsidRPr="00C22EAF">
        <w:rPr>
          <w:rFonts w:ascii="Garamond" w:hAnsi="Garamond" w:cs="Arial"/>
          <w:sz w:val="24"/>
          <w:szCs w:val="24"/>
        </w:rPr>
        <w:t xml:space="preserve"> government intervention’</w:t>
      </w:r>
      <w:r w:rsidR="00880D93" w:rsidRPr="00C22EAF">
        <w:rPr>
          <w:rFonts w:ascii="Garamond" w:hAnsi="Garamond" w:cs="Arial"/>
          <w:sz w:val="24"/>
          <w:szCs w:val="24"/>
        </w:rPr>
        <w:t>, and pursue trade policies ‘the European consumer wants’ given ‘they will widen his choice and lower his costs’ (</w:t>
      </w:r>
      <w:r w:rsidR="00965E93" w:rsidRPr="00C22EAF">
        <w:rPr>
          <w:rFonts w:ascii="Garamond" w:hAnsi="Garamond" w:cs="Arial"/>
          <w:i/>
          <w:sz w:val="24"/>
          <w:szCs w:val="24"/>
        </w:rPr>
        <w:t>ibid.</w:t>
      </w:r>
      <w:r w:rsidR="00880D93" w:rsidRPr="00C22EAF">
        <w:rPr>
          <w:rFonts w:ascii="Garamond" w:hAnsi="Garamond" w:cs="Arial"/>
          <w:sz w:val="24"/>
          <w:szCs w:val="24"/>
        </w:rPr>
        <w:t>). Consequently, Thatcher’s alternative vision for the Community was to focus on such ‘basic practical steps’ (</w:t>
      </w:r>
      <w:r w:rsidR="00965E93" w:rsidRPr="00C22EAF">
        <w:rPr>
          <w:rFonts w:ascii="Garamond" w:hAnsi="Garamond" w:cs="Arial"/>
          <w:i/>
          <w:sz w:val="24"/>
          <w:szCs w:val="24"/>
        </w:rPr>
        <w:t>ibid.</w:t>
      </w:r>
      <w:r w:rsidR="00880D93" w:rsidRPr="00C22EAF">
        <w:rPr>
          <w:rFonts w:ascii="Garamond" w:hAnsi="Garamond" w:cs="Arial"/>
          <w:sz w:val="24"/>
          <w:szCs w:val="24"/>
        </w:rPr>
        <w:t>) and ‘to deregulate and to remove the constraints on trade’ (</w:t>
      </w:r>
      <w:r w:rsidR="00965E93" w:rsidRPr="00C22EAF">
        <w:rPr>
          <w:rFonts w:ascii="Garamond" w:hAnsi="Garamond" w:cs="Arial"/>
          <w:i/>
          <w:sz w:val="24"/>
          <w:szCs w:val="24"/>
        </w:rPr>
        <w:t>ibid.</w:t>
      </w:r>
      <w:r w:rsidR="00880D93" w:rsidRPr="00C22EAF">
        <w:rPr>
          <w:rFonts w:ascii="Garamond" w:hAnsi="Garamond" w:cs="Arial"/>
          <w:sz w:val="24"/>
          <w:szCs w:val="24"/>
        </w:rPr>
        <w:t>).</w:t>
      </w:r>
      <w:r w:rsidR="002B698D" w:rsidRPr="00C22EAF">
        <w:rPr>
          <w:rFonts w:ascii="Garamond" w:hAnsi="Garamond" w:cs="Arial"/>
          <w:sz w:val="24"/>
          <w:szCs w:val="24"/>
        </w:rPr>
        <w:t xml:space="preserve"> </w:t>
      </w:r>
      <w:r w:rsidR="00403CEF" w:rsidRPr="00C22EAF">
        <w:rPr>
          <w:rFonts w:ascii="Garamond" w:hAnsi="Garamond" w:cs="Arial"/>
          <w:sz w:val="24"/>
          <w:szCs w:val="24"/>
        </w:rPr>
        <w:t>It is also worth remembering her most famously quoted line</w:t>
      </w:r>
      <w:r w:rsidR="001C54E8" w:rsidRPr="00C22EAF">
        <w:rPr>
          <w:rFonts w:ascii="Garamond" w:hAnsi="Garamond" w:cs="Arial"/>
          <w:sz w:val="24"/>
          <w:szCs w:val="24"/>
        </w:rPr>
        <w:t xml:space="preserve"> –</w:t>
      </w:r>
      <w:r w:rsidR="00403CEF" w:rsidRPr="00C22EAF">
        <w:rPr>
          <w:rFonts w:ascii="Garamond" w:hAnsi="Garamond" w:cs="Arial"/>
          <w:sz w:val="24"/>
          <w:szCs w:val="24"/>
        </w:rPr>
        <w:t xml:space="preserve"> ‘</w:t>
      </w:r>
      <w:r w:rsidR="00403CEF" w:rsidRPr="00C22EAF">
        <w:rPr>
          <w:rFonts w:ascii="Garamond" w:hAnsi="Garamond" w:cs="Arial"/>
          <w:color w:val="222222"/>
          <w:sz w:val="24"/>
          <w:szCs w:val="24"/>
        </w:rPr>
        <w:t>we have not successfully rolled back the frontiers of the state in Britain, only to see them re-imposed at a European level, with a European super-state exercising a new dominance from Brussels’</w:t>
      </w:r>
      <w:r w:rsidR="001C54E8" w:rsidRPr="00C22EAF">
        <w:rPr>
          <w:rFonts w:ascii="Garamond" w:hAnsi="Garamond" w:cs="Arial"/>
          <w:color w:val="222222"/>
          <w:sz w:val="24"/>
          <w:szCs w:val="24"/>
        </w:rPr>
        <w:t xml:space="preserve"> – </w:t>
      </w:r>
      <w:r w:rsidR="00403CEF" w:rsidRPr="00C22EAF">
        <w:rPr>
          <w:rFonts w:ascii="Garamond" w:hAnsi="Garamond" w:cs="Arial"/>
          <w:color w:val="222222"/>
          <w:sz w:val="24"/>
          <w:szCs w:val="24"/>
        </w:rPr>
        <w:t>represented a central core to her economic arguments. Indeed, she also argued that ‘</w:t>
      </w:r>
      <w:r w:rsidR="00403CEF" w:rsidRPr="00C22EAF">
        <w:rPr>
          <w:rFonts w:ascii="Garamond" w:hAnsi="Garamond" w:cs="Arial"/>
          <w:sz w:val="24"/>
          <w:szCs w:val="24"/>
        </w:rPr>
        <w:t>it is ironic that just when those countries such as the Soviet Union, which have tried to run everything from the centre, are learning that success depends on dispersing power and decisions away from the centre, there are some in the Community who seem to want to move in the opposite direction’ (</w:t>
      </w:r>
      <w:r w:rsidR="00965E93" w:rsidRPr="00C22EAF">
        <w:rPr>
          <w:rFonts w:ascii="Garamond" w:hAnsi="Garamond" w:cs="Arial"/>
          <w:i/>
          <w:sz w:val="24"/>
          <w:szCs w:val="24"/>
        </w:rPr>
        <w:t>ibid.</w:t>
      </w:r>
      <w:r w:rsidR="00A57AAA" w:rsidRPr="00C22EAF">
        <w:rPr>
          <w:rFonts w:ascii="Garamond" w:hAnsi="Garamond" w:cs="Arial"/>
          <w:sz w:val="24"/>
          <w:szCs w:val="24"/>
        </w:rPr>
        <w:t xml:space="preserve">). </w:t>
      </w:r>
      <w:r w:rsidR="00CD53B3" w:rsidRPr="00C22EAF">
        <w:rPr>
          <w:rFonts w:ascii="Garamond" w:hAnsi="Garamond"/>
          <w:sz w:val="24"/>
          <w:szCs w:val="24"/>
        </w:rPr>
        <w:t xml:space="preserve">The </w:t>
      </w:r>
      <w:r w:rsidR="00A57AAA" w:rsidRPr="00C22EAF">
        <w:rPr>
          <w:rFonts w:ascii="Garamond" w:hAnsi="Garamond"/>
          <w:sz w:val="24"/>
          <w:szCs w:val="24"/>
        </w:rPr>
        <w:t xml:space="preserve">impact of the </w:t>
      </w:r>
      <w:r w:rsidR="00CD53B3" w:rsidRPr="00C22EAF">
        <w:rPr>
          <w:rFonts w:ascii="Garamond" w:hAnsi="Garamond"/>
          <w:sz w:val="24"/>
          <w:szCs w:val="24"/>
        </w:rPr>
        <w:t xml:space="preserve">speech laid the foundations for the </w:t>
      </w:r>
      <w:r w:rsidR="00B0140E" w:rsidRPr="00C22EAF">
        <w:rPr>
          <w:rFonts w:ascii="Garamond" w:hAnsi="Garamond"/>
          <w:sz w:val="24"/>
          <w:szCs w:val="24"/>
        </w:rPr>
        <w:t xml:space="preserve">Eurosceptic </w:t>
      </w:r>
      <w:r w:rsidR="00CD53B3" w:rsidRPr="00C22EAF">
        <w:rPr>
          <w:rFonts w:ascii="Garamond" w:hAnsi="Garamond"/>
          <w:sz w:val="24"/>
          <w:szCs w:val="24"/>
        </w:rPr>
        <w:t xml:space="preserve">arguments she would </w:t>
      </w:r>
      <w:r w:rsidR="00B0140E" w:rsidRPr="00C22EAF">
        <w:rPr>
          <w:rFonts w:ascii="Garamond" w:hAnsi="Garamond"/>
          <w:sz w:val="24"/>
          <w:szCs w:val="24"/>
        </w:rPr>
        <w:t xml:space="preserve">later </w:t>
      </w:r>
      <w:r w:rsidR="00CD53B3" w:rsidRPr="00C22EAF">
        <w:rPr>
          <w:rFonts w:ascii="Garamond" w:hAnsi="Garamond"/>
          <w:sz w:val="24"/>
          <w:szCs w:val="24"/>
        </w:rPr>
        <w:t xml:space="preserve">use whilst no longer Prime Minister. These arguments </w:t>
      </w:r>
      <w:r w:rsidR="00A57AAA" w:rsidRPr="00C22EAF">
        <w:rPr>
          <w:rFonts w:ascii="Garamond" w:hAnsi="Garamond"/>
          <w:sz w:val="24"/>
          <w:szCs w:val="24"/>
        </w:rPr>
        <w:t>matured</w:t>
      </w:r>
      <w:r w:rsidR="00CD53B3" w:rsidRPr="00C22EAF">
        <w:rPr>
          <w:rFonts w:ascii="Garamond" w:hAnsi="Garamond"/>
          <w:sz w:val="24"/>
          <w:szCs w:val="24"/>
        </w:rPr>
        <w:t xml:space="preserve"> within the various Eurosceptic </w:t>
      </w:r>
      <w:r w:rsidR="00A57AAA" w:rsidRPr="00C22EAF">
        <w:rPr>
          <w:rFonts w:ascii="Garamond" w:hAnsi="Garamond"/>
          <w:sz w:val="24"/>
          <w:szCs w:val="24"/>
        </w:rPr>
        <w:t>groups</w:t>
      </w:r>
      <w:r w:rsidR="00CD53B3" w:rsidRPr="00C22EAF">
        <w:rPr>
          <w:rFonts w:ascii="Garamond" w:hAnsi="Garamond"/>
          <w:sz w:val="24"/>
          <w:szCs w:val="24"/>
        </w:rPr>
        <w:t xml:space="preserve"> within British</w:t>
      </w:r>
      <w:r w:rsidR="00A57AAA" w:rsidRPr="00C22EAF">
        <w:rPr>
          <w:rFonts w:ascii="Garamond" w:hAnsi="Garamond"/>
          <w:sz w:val="24"/>
          <w:szCs w:val="24"/>
        </w:rPr>
        <w:t xml:space="preserve"> politics between 1988 and 2019. </w:t>
      </w:r>
    </w:p>
    <w:p w14:paraId="41F4AFD1" w14:textId="77777777" w:rsidR="0083683D" w:rsidRPr="00C22EAF" w:rsidRDefault="0083683D" w:rsidP="00C22EAF">
      <w:pPr>
        <w:spacing w:line="480" w:lineRule="auto"/>
        <w:rPr>
          <w:rFonts w:ascii="Garamond" w:hAnsi="Garamond"/>
          <w:sz w:val="24"/>
          <w:szCs w:val="24"/>
        </w:rPr>
      </w:pPr>
    </w:p>
    <w:p w14:paraId="6309CA27" w14:textId="77777777" w:rsidR="00FF4853" w:rsidRPr="00C22EAF" w:rsidRDefault="00FF4853" w:rsidP="00C22EAF">
      <w:pPr>
        <w:spacing w:line="480" w:lineRule="auto"/>
        <w:rPr>
          <w:rFonts w:ascii="Garamond" w:hAnsi="Garamond"/>
          <w:b/>
          <w:sz w:val="24"/>
          <w:szCs w:val="24"/>
        </w:rPr>
      </w:pPr>
      <w:r w:rsidRPr="00C22EAF">
        <w:rPr>
          <w:rFonts w:ascii="Garamond" w:hAnsi="Garamond"/>
          <w:b/>
          <w:iCs/>
          <w:sz w:val="24"/>
          <w:szCs w:val="24"/>
        </w:rPr>
        <w:t>Thatcher’s post-Premiership Eurosceptic Rhetoric</w:t>
      </w:r>
    </w:p>
    <w:p w14:paraId="099D2339" w14:textId="77777777" w:rsidR="002422B4" w:rsidRPr="00C22EAF" w:rsidRDefault="002422B4" w:rsidP="00C22EAF">
      <w:pPr>
        <w:spacing w:line="480" w:lineRule="auto"/>
        <w:rPr>
          <w:rFonts w:ascii="Garamond" w:hAnsi="Garamond"/>
          <w:sz w:val="24"/>
          <w:szCs w:val="24"/>
        </w:rPr>
      </w:pPr>
    </w:p>
    <w:p w14:paraId="6C5CE825" w14:textId="77777777" w:rsidR="00B847DA" w:rsidRDefault="002A73C0" w:rsidP="00C22EAF">
      <w:pPr>
        <w:spacing w:line="480" w:lineRule="auto"/>
        <w:rPr>
          <w:rFonts w:ascii="Garamond" w:hAnsi="Garamond"/>
          <w:sz w:val="24"/>
          <w:szCs w:val="24"/>
        </w:rPr>
      </w:pPr>
      <w:r w:rsidRPr="00C22EAF">
        <w:rPr>
          <w:rFonts w:ascii="Garamond" w:hAnsi="Garamond"/>
          <w:sz w:val="24"/>
          <w:szCs w:val="24"/>
        </w:rPr>
        <w:t xml:space="preserve">Outside of the House of Commons, Thatcher was afforded </w:t>
      </w:r>
      <w:r w:rsidR="00B847DA" w:rsidRPr="00C22EAF">
        <w:rPr>
          <w:rFonts w:ascii="Garamond" w:hAnsi="Garamond"/>
          <w:sz w:val="24"/>
          <w:szCs w:val="24"/>
        </w:rPr>
        <w:t>opportunities</w:t>
      </w:r>
      <w:r w:rsidRPr="00C22EAF">
        <w:rPr>
          <w:rFonts w:ascii="Garamond" w:hAnsi="Garamond"/>
          <w:sz w:val="24"/>
          <w:szCs w:val="24"/>
        </w:rPr>
        <w:t xml:space="preserve"> to use her position as a former Prime Minister to push forward arguments over </w:t>
      </w:r>
      <w:r w:rsidR="00B847DA" w:rsidRPr="00C22EAF">
        <w:rPr>
          <w:rFonts w:ascii="Garamond" w:hAnsi="Garamond"/>
          <w:sz w:val="24"/>
          <w:szCs w:val="24"/>
        </w:rPr>
        <w:t>UK membership of the European Union</w:t>
      </w:r>
      <w:r w:rsidRPr="00C22EAF">
        <w:rPr>
          <w:rFonts w:ascii="Garamond" w:hAnsi="Garamond"/>
          <w:sz w:val="24"/>
          <w:szCs w:val="24"/>
        </w:rPr>
        <w:t xml:space="preserve"> on a range of other platforms. She was no longer constrained by the protocols</w:t>
      </w:r>
      <w:r w:rsidR="00B847DA" w:rsidRPr="00C22EAF">
        <w:rPr>
          <w:rFonts w:ascii="Garamond" w:hAnsi="Garamond"/>
          <w:sz w:val="24"/>
          <w:szCs w:val="24"/>
        </w:rPr>
        <w:t xml:space="preserve">, </w:t>
      </w:r>
      <w:r w:rsidRPr="00C22EAF">
        <w:rPr>
          <w:rFonts w:ascii="Garamond" w:hAnsi="Garamond"/>
          <w:sz w:val="24"/>
          <w:szCs w:val="24"/>
        </w:rPr>
        <w:t>duties</w:t>
      </w:r>
      <w:r w:rsidR="00B847DA" w:rsidRPr="00C22EAF">
        <w:rPr>
          <w:rFonts w:ascii="Garamond" w:hAnsi="Garamond"/>
          <w:sz w:val="24"/>
          <w:szCs w:val="24"/>
        </w:rPr>
        <w:t>, or concerns</w:t>
      </w:r>
      <w:r w:rsidRPr="00C22EAF">
        <w:rPr>
          <w:rFonts w:ascii="Garamond" w:hAnsi="Garamond"/>
          <w:sz w:val="24"/>
          <w:szCs w:val="24"/>
        </w:rPr>
        <w:t xml:space="preserve"> of the </w:t>
      </w:r>
      <w:r w:rsidR="00B847DA" w:rsidRPr="00C22EAF">
        <w:rPr>
          <w:rFonts w:ascii="Garamond" w:hAnsi="Garamond"/>
          <w:sz w:val="24"/>
          <w:szCs w:val="24"/>
        </w:rPr>
        <w:t xml:space="preserve">office of </w:t>
      </w:r>
      <w:r w:rsidRPr="00C22EAF">
        <w:rPr>
          <w:rFonts w:ascii="Garamond" w:hAnsi="Garamond"/>
          <w:sz w:val="24"/>
          <w:szCs w:val="24"/>
        </w:rPr>
        <w:t>Prime Minister</w:t>
      </w:r>
      <w:r w:rsidR="00B847DA" w:rsidRPr="00C22EAF">
        <w:rPr>
          <w:rFonts w:ascii="Garamond" w:hAnsi="Garamond"/>
          <w:sz w:val="24"/>
          <w:szCs w:val="24"/>
        </w:rPr>
        <w:t>. Nor was she as concerned with the need to maintain unity within the Conservative Party, given she was no longer leader. Therefore she was able to make</w:t>
      </w:r>
      <w:r w:rsidRPr="00C22EAF">
        <w:rPr>
          <w:rFonts w:ascii="Garamond" w:hAnsi="Garamond"/>
          <w:sz w:val="24"/>
          <w:szCs w:val="24"/>
        </w:rPr>
        <w:t xml:space="preserve"> arguments </w:t>
      </w:r>
      <w:r w:rsidR="00B847DA" w:rsidRPr="00C22EAF">
        <w:rPr>
          <w:rFonts w:ascii="Garamond" w:hAnsi="Garamond"/>
          <w:sz w:val="24"/>
          <w:szCs w:val="24"/>
        </w:rPr>
        <w:t xml:space="preserve">in a more forceful manner which </w:t>
      </w:r>
      <w:r w:rsidRPr="00C22EAF">
        <w:rPr>
          <w:rFonts w:ascii="Garamond" w:hAnsi="Garamond"/>
          <w:sz w:val="24"/>
          <w:szCs w:val="24"/>
        </w:rPr>
        <w:t xml:space="preserve">hitherto may have been </w:t>
      </w:r>
      <w:r w:rsidR="00B847DA" w:rsidRPr="00C22EAF">
        <w:rPr>
          <w:rFonts w:ascii="Garamond" w:hAnsi="Garamond"/>
          <w:sz w:val="24"/>
          <w:szCs w:val="24"/>
        </w:rPr>
        <w:t>unadvisable</w:t>
      </w:r>
      <w:r w:rsidRPr="00C22EAF">
        <w:rPr>
          <w:rFonts w:ascii="Garamond" w:hAnsi="Garamond"/>
          <w:sz w:val="24"/>
          <w:szCs w:val="24"/>
        </w:rPr>
        <w:t xml:space="preserve"> for electoral and/or </w:t>
      </w:r>
      <w:r w:rsidR="00B847DA" w:rsidRPr="00C22EAF">
        <w:rPr>
          <w:rFonts w:ascii="Garamond" w:hAnsi="Garamond"/>
          <w:sz w:val="24"/>
          <w:szCs w:val="24"/>
        </w:rPr>
        <w:t>concerns over party unity.</w:t>
      </w:r>
      <w:r w:rsidRPr="00C22EAF">
        <w:rPr>
          <w:rFonts w:ascii="Garamond" w:hAnsi="Garamond"/>
          <w:sz w:val="24"/>
          <w:szCs w:val="24"/>
        </w:rPr>
        <w:t xml:space="preserve"> </w:t>
      </w:r>
    </w:p>
    <w:p w14:paraId="4342B440" w14:textId="77777777" w:rsidR="007D3609" w:rsidRPr="00C22EAF" w:rsidRDefault="007D3609" w:rsidP="00C22EAF">
      <w:pPr>
        <w:spacing w:line="480" w:lineRule="auto"/>
        <w:rPr>
          <w:rFonts w:ascii="Garamond" w:hAnsi="Garamond"/>
          <w:sz w:val="24"/>
          <w:szCs w:val="24"/>
        </w:rPr>
      </w:pPr>
    </w:p>
    <w:p w14:paraId="7109C8CC" w14:textId="77777777" w:rsidR="00FF4853" w:rsidRDefault="00B847DA" w:rsidP="00C22EAF">
      <w:pPr>
        <w:spacing w:line="480" w:lineRule="auto"/>
        <w:rPr>
          <w:rFonts w:ascii="Garamond" w:hAnsi="Garamond"/>
          <w:sz w:val="24"/>
          <w:szCs w:val="24"/>
        </w:rPr>
      </w:pPr>
      <w:r w:rsidRPr="00C22EAF">
        <w:rPr>
          <w:rFonts w:ascii="Garamond" w:hAnsi="Garamond"/>
          <w:sz w:val="24"/>
          <w:szCs w:val="24"/>
        </w:rPr>
        <w:t xml:space="preserve">Needless to say she </w:t>
      </w:r>
      <w:r w:rsidR="00FF4853" w:rsidRPr="00C22EAF">
        <w:rPr>
          <w:rFonts w:ascii="Garamond" w:hAnsi="Garamond"/>
          <w:sz w:val="24"/>
          <w:szCs w:val="24"/>
        </w:rPr>
        <w:t xml:space="preserve">remained a very significant voice within the Conservative Party and enjoyed the support of MPs who felt her departure was a consequence of the growing discontent in the Party towards Europe. </w:t>
      </w:r>
      <w:r w:rsidRPr="00C22EAF">
        <w:rPr>
          <w:rFonts w:ascii="Garamond" w:hAnsi="Garamond"/>
          <w:sz w:val="24"/>
          <w:szCs w:val="24"/>
        </w:rPr>
        <w:t>The manner of her departure had left a bitter taste in the mouths of her supporters. Moreover, e</w:t>
      </w:r>
      <w:r w:rsidR="001A6768" w:rsidRPr="00C22EAF">
        <w:rPr>
          <w:rFonts w:ascii="Garamond" w:hAnsi="Garamond"/>
          <w:sz w:val="24"/>
          <w:szCs w:val="24"/>
        </w:rPr>
        <w:t>vents</w:t>
      </w:r>
      <w:r w:rsidR="00FF4853" w:rsidRPr="00C22EAF">
        <w:rPr>
          <w:rFonts w:ascii="Garamond" w:hAnsi="Garamond"/>
          <w:sz w:val="24"/>
          <w:szCs w:val="24"/>
        </w:rPr>
        <w:t xml:space="preserve"> such as the </w:t>
      </w:r>
      <w:r w:rsidR="001A6768" w:rsidRPr="00C22EAF">
        <w:rPr>
          <w:rFonts w:ascii="Garamond" w:hAnsi="Garamond"/>
          <w:sz w:val="24"/>
          <w:szCs w:val="24"/>
        </w:rPr>
        <w:t xml:space="preserve">Exchange Rate Mechanism (ERM) </w:t>
      </w:r>
      <w:r w:rsidR="00FF4853" w:rsidRPr="00C22EAF">
        <w:rPr>
          <w:rFonts w:ascii="Garamond" w:hAnsi="Garamond"/>
          <w:sz w:val="24"/>
          <w:szCs w:val="24"/>
        </w:rPr>
        <w:t xml:space="preserve">crisis appeared to validate her view that economic integration was likely to be more disruptive than </w:t>
      </w:r>
      <w:r w:rsidR="001A6768" w:rsidRPr="00C22EAF">
        <w:rPr>
          <w:rFonts w:ascii="Garamond" w:hAnsi="Garamond"/>
          <w:sz w:val="24"/>
          <w:szCs w:val="24"/>
        </w:rPr>
        <w:t xml:space="preserve">more sympathetic </w:t>
      </w:r>
      <w:r w:rsidRPr="00C22EAF">
        <w:rPr>
          <w:rFonts w:ascii="Garamond" w:hAnsi="Garamond"/>
          <w:sz w:val="24"/>
          <w:szCs w:val="24"/>
        </w:rPr>
        <w:t xml:space="preserve">pro-EU </w:t>
      </w:r>
      <w:r w:rsidR="001A6768" w:rsidRPr="00C22EAF">
        <w:rPr>
          <w:rFonts w:ascii="Garamond" w:hAnsi="Garamond"/>
          <w:sz w:val="24"/>
          <w:szCs w:val="24"/>
        </w:rPr>
        <w:t>voices had suggested</w:t>
      </w:r>
      <w:r w:rsidR="00FF4853" w:rsidRPr="00C22EAF">
        <w:rPr>
          <w:rFonts w:ascii="Garamond" w:hAnsi="Garamond"/>
          <w:sz w:val="24"/>
          <w:szCs w:val="24"/>
        </w:rPr>
        <w:t>.</w:t>
      </w:r>
      <w:r w:rsidRPr="00C22EAF">
        <w:rPr>
          <w:rFonts w:ascii="Garamond" w:hAnsi="Garamond"/>
          <w:sz w:val="24"/>
          <w:szCs w:val="24"/>
        </w:rPr>
        <w:t xml:space="preserve"> As a broader observation, s</w:t>
      </w:r>
      <w:r w:rsidR="00FF4853" w:rsidRPr="00C22EAF">
        <w:rPr>
          <w:rFonts w:ascii="Garamond" w:hAnsi="Garamond"/>
          <w:sz w:val="24"/>
          <w:szCs w:val="24"/>
        </w:rPr>
        <w:t>he continued to inspire Eurosceptic</w:t>
      </w:r>
      <w:r w:rsidRPr="00C22EAF">
        <w:rPr>
          <w:rFonts w:ascii="Garamond" w:hAnsi="Garamond"/>
          <w:sz w:val="24"/>
          <w:szCs w:val="24"/>
        </w:rPr>
        <w:t xml:space="preserve"> sentiment </w:t>
      </w:r>
      <w:r w:rsidR="00FF4853" w:rsidRPr="00C22EAF">
        <w:rPr>
          <w:rFonts w:ascii="Garamond" w:hAnsi="Garamond"/>
          <w:sz w:val="24"/>
          <w:szCs w:val="24"/>
        </w:rPr>
        <w:t xml:space="preserve">in the House of Commons </w:t>
      </w:r>
      <w:r w:rsidRPr="00C22EAF">
        <w:rPr>
          <w:rFonts w:ascii="Garamond" w:hAnsi="Garamond"/>
          <w:sz w:val="24"/>
          <w:szCs w:val="24"/>
        </w:rPr>
        <w:t xml:space="preserve">and beyond </w:t>
      </w:r>
      <w:r w:rsidR="00FF4853" w:rsidRPr="00C22EAF">
        <w:rPr>
          <w:rFonts w:ascii="Garamond" w:hAnsi="Garamond"/>
          <w:sz w:val="24"/>
          <w:szCs w:val="24"/>
        </w:rPr>
        <w:t xml:space="preserve">from </w:t>
      </w:r>
      <w:r w:rsidRPr="00C22EAF">
        <w:rPr>
          <w:rFonts w:ascii="Garamond" w:hAnsi="Garamond"/>
          <w:sz w:val="24"/>
          <w:szCs w:val="24"/>
        </w:rPr>
        <w:t xml:space="preserve">her position within </w:t>
      </w:r>
      <w:r w:rsidR="00FF4853" w:rsidRPr="00C22EAF">
        <w:rPr>
          <w:rFonts w:ascii="Garamond" w:hAnsi="Garamond"/>
          <w:sz w:val="24"/>
          <w:szCs w:val="24"/>
        </w:rPr>
        <w:t xml:space="preserve">the </w:t>
      </w:r>
      <w:r w:rsidRPr="00C22EAF">
        <w:rPr>
          <w:rFonts w:ascii="Garamond" w:hAnsi="Garamond"/>
          <w:sz w:val="24"/>
          <w:szCs w:val="24"/>
        </w:rPr>
        <w:t xml:space="preserve">House of </w:t>
      </w:r>
      <w:r w:rsidR="00FF4853" w:rsidRPr="00C22EAF">
        <w:rPr>
          <w:rFonts w:ascii="Garamond" w:hAnsi="Garamond"/>
          <w:sz w:val="24"/>
          <w:szCs w:val="24"/>
        </w:rPr>
        <w:t xml:space="preserve">Lords, particularly in the face of the </w:t>
      </w:r>
      <w:r w:rsidRPr="00C22EAF">
        <w:rPr>
          <w:rFonts w:ascii="Garamond" w:hAnsi="Garamond"/>
          <w:sz w:val="24"/>
          <w:szCs w:val="24"/>
        </w:rPr>
        <w:t>pro-EU Conservative leadership led by John Major</w:t>
      </w:r>
      <w:r w:rsidR="00FF4853" w:rsidRPr="00C22EAF">
        <w:rPr>
          <w:rFonts w:ascii="Garamond" w:hAnsi="Garamond"/>
          <w:sz w:val="24"/>
          <w:szCs w:val="24"/>
        </w:rPr>
        <w:t xml:space="preserve"> and </w:t>
      </w:r>
      <w:r w:rsidRPr="00C22EAF">
        <w:rPr>
          <w:rFonts w:ascii="Garamond" w:hAnsi="Garamond"/>
          <w:sz w:val="24"/>
          <w:szCs w:val="24"/>
        </w:rPr>
        <w:t>his</w:t>
      </w:r>
      <w:r w:rsidR="00FF4853" w:rsidRPr="00C22EAF">
        <w:rPr>
          <w:rFonts w:ascii="Garamond" w:hAnsi="Garamond"/>
          <w:sz w:val="24"/>
          <w:szCs w:val="24"/>
        </w:rPr>
        <w:t xml:space="preserve"> difficulties over </w:t>
      </w:r>
      <w:r w:rsidRPr="00C22EAF">
        <w:rPr>
          <w:rFonts w:ascii="Garamond" w:hAnsi="Garamond"/>
          <w:sz w:val="24"/>
          <w:szCs w:val="24"/>
        </w:rPr>
        <w:t xml:space="preserve">the passage of the </w:t>
      </w:r>
      <w:r w:rsidR="00FF4853" w:rsidRPr="00C22EAF">
        <w:rPr>
          <w:rFonts w:ascii="Garamond" w:hAnsi="Garamond"/>
          <w:sz w:val="24"/>
          <w:szCs w:val="24"/>
        </w:rPr>
        <w:t>Maastricht</w:t>
      </w:r>
      <w:r w:rsidRPr="00C22EAF">
        <w:rPr>
          <w:rFonts w:ascii="Garamond" w:hAnsi="Garamond"/>
          <w:sz w:val="24"/>
          <w:szCs w:val="24"/>
        </w:rPr>
        <w:t xml:space="preserve"> Treaty;</w:t>
      </w:r>
      <w:r w:rsidR="00FF4853" w:rsidRPr="00C22EAF">
        <w:rPr>
          <w:rFonts w:ascii="Garamond" w:hAnsi="Garamond"/>
          <w:sz w:val="24"/>
          <w:szCs w:val="24"/>
        </w:rPr>
        <w:t xml:space="preserve"> the formation of the Referendum Party</w:t>
      </w:r>
      <w:r w:rsidRPr="00C22EAF">
        <w:rPr>
          <w:rFonts w:ascii="Garamond" w:hAnsi="Garamond"/>
          <w:sz w:val="24"/>
          <w:szCs w:val="24"/>
        </w:rPr>
        <w:t xml:space="preserve"> and the sense of validation it gave those who believed the European project was overreaching its original objectives</w:t>
      </w:r>
      <w:r w:rsidR="00FF4853" w:rsidRPr="00C22EAF">
        <w:rPr>
          <w:rFonts w:ascii="Garamond" w:hAnsi="Garamond"/>
          <w:sz w:val="24"/>
          <w:szCs w:val="24"/>
        </w:rPr>
        <w:t xml:space="preserve">, and </w:t>
      </w:r>
      <w:r w:rsidRPr="00C22EAF">
        <w:rPr>
          <w:rFonts w:ascii="Garamond" w:hAnsi="Garamond"/>
          <w:sz w:val="24"/>
          <w:szCs w:val="24"/>
        </w:rPr>
        <w:t xml:space="preserve">also </w:t>
      </w:r>
      <w:r w:rsidR="00FF4853" w:rsidRPr="00C22EAF">
        <w:rPr>
          <w:rFonts w:ascii="Garamond" w:hAnsi="Garamond"/>
          <w:sz w:val="24"/>
          <w:szCs w:val="24"/>
        </w:rPr>
        <w:t>the broader issues Major faced over party management and maintaining an effective statecraft model</w:t>
      </w:r>
      <w:r w:rsidRPr="00C22EAF">
        <w:rPr>
          <w:rFonts w:ascii="Garamond" w:hAnsi="Garamond"/>
          <w:sz w:val="24"/>
          <w:szCs w:val="24"/>
        </w:rPr>
        <w:t xml:space="preserve"> which culminated in the 1995 leadership challenge and the subsequent consequence of leading a divided party until the 1997 general election and beyond</w:t>
      </w:r>
      <w:r w:rsidR="00FF4853" w:rsidRPr="00C22EAF">
        <w:rPr>
          <w:rFonts w:ascii="Garamond" w:hAnsi="Garamond"/>
          <w:sz w:val="24"/>
          <w:szCs w:val="24"/>
        </w:rPr>
        <w:t xml:space="preserve">. </w:t>
      </w:r>
    </w:p>
    <w:p w14:paraId="1F693A3D" w14:textId="77777777" w:rsidR="007D3609" w:rsidRPr="00C22EAF" w:rsidRDefault="007D3609" w:rsidP="00C22EAF">
      <w:pPr>
        <w:spacing w:line="480" w:lineRule="auto"/>
        <w:rPr>
          <w:rFonts w:ascii="Garamond" w:hAnsi="Garamond"/>
          <w:sz w:val="24"/>
          <w:szCs w:val="24"/>
        </w:rPr>
      </w:pPr>
    </w:p>
    <w:p w14:paraId="22EC0104" w14:textId="77777777" w:rsidR="009B4F54" w:rsidRDefault="00A949A5" w:rsidP="00C22EAF">
      <w:pPr>
        <w:spacing w:line="480" w:lineRule="auto"/>
        <w:rPr>
          <w:rFonts w:ascii="Garamond" w:hAnsi="Garamond"/>
          <w:sz w:val="24"/>
          <w:szCs w:val="24"/>
        </w:rPr>
      </w:pPr>
      <w:r w:rsidRPr="00C22EAF">
        <w:rPr>
          <w:rFonts w:ascii="Garamond" w:hAnsi="Garamond"/>
          <w:sz w:val="24"/>
          <w:szCs w:val="24"/>
        </w:rPr>
        <w:t xml:space="preserve">As a member of the Lords, </w:t>
      </w:r>
      <w:r w:rsidR="00FF4853" w:rsidRPr="00C22EAF">
        <w:rPr>
          <w:rFonts w:ascii="Garamond" w:hAnsi="Garamond"/>
          <w:sz w:val="24"/>
          <w:szCs w:val="24"/>
        </w:rPr>
        <w:t xml:space="preserve">Thatcher </w:t>
      </w:r>
      <w:r w:rsidR="00B847DA" w:rsidRPr="00C22EAF">
        <w:rPr>
          <w:rFonts w:ascii="Garamond" w:hAnsi="Garamond"/>
          <w:sz w:val="24"/>
          <w:szCs w:val="24"/>
        </w:rPr>
        <w:t>used the authority of her</w:t>
      </w:r>
      <w:r w:rsidRPr="00C22EAF">
        <w:rPr>
          <w:rFonts w:ascii="Garamond" w:hAnsi="Garamond"/>
          <w:sz w:val="24"/>
          <w:szCs w:val="24"/>
        </w:rPr>
        <w:t xml:space="preserve"> position </w:t>
      </w:r>
      <w:r w:rsidR="00B847DA" w:rsidRPr="00C22EAF">
        <w:rPr>
          <w:rFonts w:ascii="Garamond" w:hAnsi="Garamond"/>
          <w:sz w:val="24"/>
          <w:szCs w:val="24"/>
        </w:rPr>
        <w:t xml:space="preserve">and of being a former Prime Minister </w:t>
      </w:r>
      <w:r w:rsidRPr="00C22EAF">
        <w:rPr>
          <w:rFonts w:ascii="Garamond" w:hAnsi="Garamond"/>
          <w:sz w:val="24"/>
          <w:szCs w:val="24"/>
        </w:rPr>
        <w:t xml:space="preserve">to deliver </w:t>
      </w:r>
      <w:r w:rsidR="00FF4853" w:rsidRPr="00C22EAF">
        <w:rPr>
          <w:rFonts w:ascii="Garamond" w:hAnsi="Garamond"/>
          <w:sz w:val="24"/>
          <w:szCs w:val="24"/>
        </w:rPr>
        <w:t xml:space="preserve">a number of speeches, interviews, and articles that expressed her </w:t>
      </w:r>
      <w:r w:rsidRPr="00C22EAF">
        <w:rPr>
          <w:rFonts w:ascii="Garamond" w:hAnsi="Garamond"/>
          <w:sz w:val="24"/>
          <w:szCs w:val="24"/>
        </w:rPr>
        <w:t xml:space="preserve">growing discontent </w:t>
      </w:r>
      <w:r w:rsidR="00FF4853" w:rsidRPr="00C22EAF">
        <w:rPr>
          <w:rFonts w:ascii="Garamond" w:hAnsi="Garamond"/>
          <w:sz w:val="24"/>
          <w:szCs w:val="24"/>
        </w:rPr>
        <w:t>towards Europe</w:t>
      </w:r>
      <w:r w:rsidRPr="00C22EAF">
        <w:rPr>
          <w:rFonts w:ascii="Garamond" w:hAnsi="Garamond"/>
          <w:sz w:val="24"/>
          <w:szCs w:val="24"/>
        </w:rPr>
        <w:t>an integration</w:t>
      </w:r>
      <w:r w:rsidR="00B847DA" w:rsidRPr="00C22EAF">
        <w:rPr>
          <w:rFonts w:ascii="Garamond" w:hAnsi="Garamond"/>
          <w:sz w:val="24"/>
          <w:szCs w:val="24"/>
        </w:rPr>
        <w:t>.</w:t>
      </w:r>
      <w:r w:rsidR="00FF4853" w:rsidRPr="00C22EAF">
        <w:rPr>
          <w:rFonts w:ascii="Garamond" w:hAnsi="Garamond"/>
          <w:sz w:val="24"/>
          <w:szCs w:val="24"/>
        </w:rPr>
        <w:t xml:space="preserve"> In such speeches, she continued the theme of growing discontent towards Europe</w:t>
      </w:r>
      <w:r w:rsidR="00B847DA" w:rsidRPr="00C22EAF">
        <w:rPr>
          <w:rFonts w:ascii="Garamond" w:hAnsi="Garamond"/>
          <w:sz w:val="24"/>
          <w:szCs w:val="24"/>
        </w:rPr>
        <w:t xml:space="preserve"> that she emphasises in her Bruges speech</w:t>
      </w:r>
      <w:r w:rsidR="00FF4853" w:rsidRPr="00C22EAF">
        <w:rPr>
          <w:rFonts w:ascii="Garamond" w:hAnsi="Garamond"/>
          <w:sz w:val="24"/>
          <w:szCs w:val="24"/>
        </w:rPr>
        <w:t xml:space="preserve">. </w:t>
      </w:r>
      <w:r w:rsidR="00B847DA" w:rsidRPr="00C22EAF">
        <w:rPr>
          <w:rFonts w:ascii="Garamond" w:hAnsi="Garamond"/>
          <w:sz w:val="24"/>
          <w:szCs w:val="24"/>
        </w:rPr>
        <w:t>For example, in 1992 she delivered a speech where</w:t>
      </w:r>
      <w:r w:rsidRPr="00C22EAF">
        <w:rPr>
          <w:rFonts w:ascii="Garamond" w:hAnsi="Garamond"/>
          <w:sz w:val="24"/>
          <w:szCs w:val="24"/>
        </w:rPr>
        <w:t xml:space="preserve"> she opposed further integration with Europe</w:t>
      </w:r>
      <w:r w:rsidR="00B847DA" w:rsidRPr="00C22EAF">
        <w:rPr>
          <w:rFonts w:ascii="Garamond" w:hAnsi="Garamond"/>
          <w:sz w:val="24"/>
          <w:szCs w:val="24"/>
        </w:rPr>
        <w:t xml:space="preserve"> by arguing</w:t>
      </w:r>
      <w:r w:rsidRPr="00C22EAF">
        <w:rPr>
          <w:rFonts w:ascii="Garamond" w:hAnsi="Garamond"/>
          <w:sz w:val="24"/>
          <w:szCs w:val="24"/>
        </w:rPr>
        <w:t xml:space="preserve"> </w:t>
      </w:r>
      <w:r w:rsidR="00FF4853" w:rsidRPr="00C22EAF">
        <w:rPr>
          <w:rFonts w:ascii="Garamond" w:hAnsi="Garamond"/>
          <w:sz w:val="24"/>
          <w:szCs w:val="24"/>
        </w:rPr>
        <w:t>‘</w:t>
      </w:r>
      <w:r w:rsidRPr="00C22EAF">
        <w:rPr>
          <w:rFonts w:ascii="Garamond" w:hAnsi="Garamond"/>
          <w:sz w:val="24"/>
          <w:szCs w:val="24"/>
        </w:rPr>
        <w:t>w</w:t>
      </w:r>
      <w:r w:rsidR="00FF4853" w:rsidRPr="00C22EAF">
        <w:rPr>
          <w:rFonts w:ascii="Garamond" w:hAnsi="Garamond"/>
          <w:sz w:val="24"/>
          <w:szCs w:val="24"/>
        </w:rPr>
        <w:t>e will have more harmonious relationships between the states of Europe if they continue to have room to make their own decisions and to follow their own interests</w:t>
      </w:r>
      <w:r w:rsidR="00EA4BBC" w:rsidRPr="00C22EAF">
        <w:rPr>
          <w:rFonts w:ascii="Garamond" w:hAnsi="Garamond"/>
          <w:sz w:val="24"/>
          <w:szCs w:val="24"/>
        </w:rPr>
        <w:t>’ (</w:t>
      </w:r>
      <w:r w:rsidR="003C7B1F" w:rsidRPr="00C22EAF">
        <w:rPr>
          <w:rFonts w:ascii="Garamond" w:hAnsi="Garamond"/>
          <w:sz w:val="24"/>
          <w:szCs w:val="24"/>
        </w:rPr>
        <w:t>Thatcher, 1992a</w:t>
      </w:r>
      <w:r w:rsidR="00EA4BBC" w:rsidRPr="00C22EAF">
        <w:rPr>
          <w:rFonts w:ascii="Garamond" w:hAnsi="Garamond"/>
          <w:sz w:val="24"/>
          <w:szCs w:val="24"/>
        </w:rPr>
        <w:t>)</w:t>
      </w:r>
      <w:r w:rsidR="00FF4853" w:rsidRPr="00C22EAF">
        <w:rPr>
          <w:rFonts w:ascii="Garamond" w:hAnsi="Garamond"/>
          <w:sz w:val="24"/>
          <w:szCs w:val="24"/>
        </w:rPr>
        <w:t xml:space="preserve">. At a time when the Cold War had recently ended, and Germany had re-united, here Thatcher is arguing that greater autonomy is vital to ensure that the post-Soviet Union world avoids the trap of too much integration with large international bodies. Indeed, that space is vital if relations between individual states are to be peaceful, thereby curtailing the risk of resentment that closer union may bring. </w:t>
      </w:r>
    </w:p>
    <w:p w14:paraId="52EFBB89" w14:textId="77777777" w:rsidR="007D3609" w:rsidRPr="00C22EAF" w:rsidRDefault="007D3609" w:rsidP="00C22EAF">
      <w:pPr>
        <w:spacing w:line="480" w:lineRule="auto"/>
        <w:rPr>
          <w:rFonts w:ascii="Garamond" w:hAnsi="Garamond"/>
          <w:sz w:val="24"/>
          <w:szCs w:val="24"/>
        </w:rPr>
      </w:pPr>
    </w:p>
    <w:p w14:paraId="51FA62BE" w14:textId="77777777" w:rsidR="00FF4853" w:rsidRDefault="009B4F54" w:rsidP="00C22EAF">
      <w:pPr>
        <w:spacing w:line="480" w:lineRule="auto"/>
        <w:rPr>
          <w:rFonts w:ascii="Garamond" w:hAnsi="Garamond"/>
          <w:sz w:val="24"/>
          <w:szCs w:val="24"/>
        </w:rPr>
      </w:pPr>
      <w:r w:rsidRPr="00C22EAF">
        <w:rPr>
          <w:rFonts w:ascii="Garamond" w:hAnsi="Garamond"/>
          <w:sz w:val="24"/>
          <w:szCs w:val="24"/>
        </w:rPr>
        <w:t>Moreover, s</w:t>
      </w:r>
      <w:r w:rsidR="00FF4853" w:rsidRPr="00C22EAF">
        <w:rPr>
          <w:rFonts w:ascii="Garamond" w:hAnsi="Garamond"/>
          <w:sz w:val="24"/>
          <w:szCs w:val="24"/>
        </w:rPr>
        <w:t xml:space="preserve">he was also by no means squeamish about conflating the problem with other ideologies that have led to </w:t>
      </w:r>
      <w:r w:rsidR="000724EE" w:rsidRPr="00C22EAF">
        <w:rPr>
          <w:rFonts w:ascii="Garamond" w:hAnsi="Garamond"/>
          <w:sz w:val="24"/>
          <w:szCs w:val="24"/>
        </w:rPr>
        <w:t>military conflict</w:t>
      </w:r>
      <w:r w:rsidR="00FF4853" w:rsidRPr="00C22EAF">
        <w:rPr>
          <w:rFonts w:ascii="Garamond" w:hAnsi="Garamond"/>
          <w:sz w:val="24"/>
          <w:szCs w:val="24"/>
        </w:rPr>
        <w:t>. For example, she later argued in Korea that ‘large numbers of less desirable ‘isms’ have come and gone — Fascism and Communism among them: they will not be missed. And if Socialism and European Federalism joined them soon I would be even more pleased’</w:t>
      </w:r>
      <w:r w:rsidR="000724EE" w:rsidRPr="00C22EAF">
        <w:rPr>
          <w:rFonts w:ascii="Garamond" w:hAnsi="Garamond"/>
          <w:sz w:val="24"/>
          <w:szCs w:val="24"/>
        </w:rPr>
        <w:t xml:space="preserve"> (</w:t>
      </w:r>
      <w:r w:rsidR="00D91AFC" w:rsidRPr="00C22EAF">
        <w:rPr>
          <w:rFonts w:ascii="Garamond" w:hAnsi="Garamond"/>
          <w:sz w:val="24"/>
          <w:szCs w:val="24"/>
        </w:rPr>
        <w:t>Thatcher, 1992b</w:t>
      </w:r>
      <w:r w:rsidR="000724EE" w:rsidRPr="00C22EAF">
        <w:rPr>
          <w:rFonts w:ascii="Garamond" w:hAnsi="Garamond"/>
          <w:sz w:val="24"/>
          <w:szCs w:val="24"/>
        </w:rPr>
        <w:t>)</w:t>
      </w:r>
      <w:r w:rsidR="00FF4853" w:rsidRPr="00C22EAF">
        <w:rPr>
          <w:rFonts w:ascii="Garamond" w:hAnsi="Garamond"/>
          <w:sz w:val="24"/>
          <w:szCs w:val="24"/>
        </w:rPr>
        <w:t xml:space="preserve">. </w:t>
      </w:r>
      <w:r w:rsidR="000724EE" w:rsidRPr="00C22EAF">
        <w:rPr>
          <w:rFonts w:ascii="Garamond" w:hAnsi="Garamond"/>
          <w:sz w:val="24"/>
          <w:szCs w:val="24"/>
        </w:rPr>
        <w:t xml:space="preserve">Here Thatcher is using </w:t>
      </w:r>
      <w:r w:rsidR="000724EE" w:rsidRPr="00C22EAF">
        <w:rPr>
          <w:rFonts w:ascii="Garamond" w:hAnsi="Garamond"/>
          <w:i/>
          <w:sz w:val="24"/>
          <w:szCs w:val="24"/>
        </w:rPr>
        <w:t>pathos-</w:t>
      </w:r>
      <w:r w:rsidR="000724EE" w:rsidRPr="00C22EAF">
        <w:rPr>
          <w:rFonts w:ascii="Garamond" w:hAnsi="Garamond"/>
          <w:sz w:val="24"/>
          <w:szCs w:val="24"/>
        </w:rPr>
        <w:t xml:space="preserve">led </w:t>
      </w:r>
      <w:r w:rsidR="004C6919" w:rsidRPr="00C22EAF">
        <w:rPr>
          <w:rFonts w:ascii="Garamond" w:hAnsi="Garamond"/>
          <w:sz w:val="24"/>
          <w:szCs w:val="24"/>
        </w:rPr>
        <w:t xml:space="preserve">(emotive) </w:t>
      </w:r>
      <w:r w:rsidR="000724EE" w:rsidRPr="00C22EAF">
        <w:rPr>
          <w:rFonts w:ascii="Garamond" w:hAnsi="Garamond"/>
          <w:sz w:val="24"/>
          <w:szCs w:val="24"/>
        </w:rPr>
        <w:t>arguments to conflate</w:t>
      </w:r>
      <w:r w:rsidR="00FF4853" w:rsidRPr="00C22EAF">
        <w:rPr>
          <w:rFonts w:ascii="Garamond" w:hAnsi="Garamond"/>
          <w:sz w:val="24"/>
          <w:szCs w:val="24"/>
        </w:rPr>
        <w:t xml:space="preserve"> the European project with </w:t>
      </w:r>
      <w:r w:rsidRPr="00C22EAF">
        <w:rPr>
          <w:rFonts w:ascii="Garamond" w:hAnsi="Garamond"/>
          <w:sz w:val="24"/>
          <w:szCs w:val="24"/>
        </w:rPr>
        <w:t>dangerous utopian</w:t>
      </w:r>
      <w:r w:rsidR="00FF4853" w:rsidRPr="00C22EAF">
        <w:rPr>
          <w:rFonts w:ascii="Garamond" w:hAnsi="Garamond"/>
          <w:sz w:val="24"/>
          <w:szCs w:val="24"/>
        </w:rPr>
        <w:t xml:space="preserve"> ideologies that have led to the deaths of millions. </w:t>
      </w:r>
      <w:r w:rsidRPr="00C22EAF">
        <w:rPr>
          <w:rFonts w:ascii="Garamond" w:hAnsi="Garamond"/>
          <w:sz w:val="24"/>
          <w:szCs w:val="24"/>
        </w:rPr>
        <w:t>This demonstrates</w:t>
      </w:r>
      <w:r w:rsidR="00FF4853" w:rsidRPr="00C22EAF">
        <w:rPr>
          <w:rFonts w:ascii="Garamond" w:hAnsi="Garamond"/>
          <w:sz w:val="24"/>
          <w:szCs w:val="24"/>
        </w:rPr>
        <w:t xml:space="preserve"> Thatcher</w:t>
      </w:r>
      <w:r w:rsidRPr="00C22EAF">
        <w:rPr>
          <w:rFonts w:ascii="Garamond" w:hAnsi="Garamond"/>
          <w:sz w:val="24"/>
          <w:szCs w:val="24"/>
        </w:rPr>
        <w:t xml:space="preserve">’s belief </w:t>
      </w:r>
      <w:r w:rsidR="00FF4853" w:rsidRPr="00C22EAF">
        <w:rPr>
          <w:rFonts w:ascii="Garamond" w:hAnsi="Garamond"/>
          <w:sz w:val="24"/>
          <w:szCs w:val="24"/>
        </w:rPr>
        <w:t>the risk of largescale integration of nations and the impact on democratic accountability</w:t>
      </w:r>
      <w:r w:rsidRPr="00C22EAF">
        <w:rPr>
          <w:rFonts w:ascii="Garamond" w:hAnsi="Garamond"/>
          <w:sz w:val="24"/>
          <w:szCs w:val="24"/>
        </w:rPr>
        <w:t xml:space="preserve"> was highly undesirable in the maintenance of global stability</w:t>
      </w:r>
      <w:r w:rsidR="00FF4853" w:rsidRPr="00C22EAF">
        <w:rPr>
          <w:rFonts w:ascii="Garamond" w:hAnsi="Garamond"/>
          <w:sz w:val="24"/>
          <w:szCs w:val="24"/>
        </w:rPr>
        <w:t xml:space="preserve">. </w:t>
      </w:r>
      <w:r w:rsidR="004D5191" w:rsidRPr="00C22EAF">
        <w:rPr>
          <w:rFonts w:ascii="Garamond" w:hAnsi="Garamond"/>
          <w:sz w:val="24"/>
          <w:szCs w:val="24"/>
        </w:rPr>
        <w:t>Put simply, t</w:t>
      </w:r>
      <w:r w:rsidR="00FF4853" w:rsidRPr="00C22EAF">
        <w:rPr>
          <w:rFonts w:ascii="Garamond" w:hAnsi="Garamond"/>
          <w:sz w:val="24"/>
          <w:szCs w:val="24"/>
        </w:rPr>
        <w:t xml:space="preserve">he further institutions are from those who are being governed, the less likely it is to remain democratic. Thus for </w:t>
      </w:r>
      <w:r w:rsidR="00FF4853" w:rsidRPr="00C22EAF">
        <w:rPr>
          <w:rFonts w:ascii="Garamond" w:hAnsi="Garamond"/>
          <w:sz w:val="24"/>
          <w:szCs w:val="24"/>
        </w:rPr>
        <w:lastRenderedPageBreak/>
        <w:t xml:space="preserve">Thatcher comparing European Federalism with fascism and communism was a warning that so called ‘ever closer union’ was a risky trajectory that may produce </w:t>
      </w:r>
      <w:r w:rsidR="004D5191" w:rsidRPr="00C22EAF">
        <w:rPr>
          <w:rFonts w:ascii="Garamond" w:hAnsi="Garamond"/>
          <w:sz w:val="24"/>
          <w:szCs w:val="24"/>
        </w:rPr>
        <w:t>an undesirable democratic deficit</w:t>
      </w:r>
      <w:r w:rsidR="00FF4853" w:rsidRPr="00C22EAF">
        <w:rPr>
          <w:rFonts w:ascii="Garamond" w:hAnsi="Garamond"/>
          <w:sz w:val="24"/>
          <w:szCs w:val="24"/>
        </w:rPr>
        <w:t xml:space="preserve">. </w:t>
      </w:r>
    </w:p>
    <w:p w14:paraId="0DAAE30D" w14:textId="77777777" w:rsidR="007D3609" w:rsidRPr="00C22EAF" w:rsidRDefault="007D3609" w:rsidP="00C22EAF">
      <w:pPr>
        <w:spacing w:line="480" w:lineRule="auto"/>
        <w:rPr>
          <w:rFonts w:ascii="Garamond" w:hAnsi="Garamond"/>
          <w:sz w:val="24"/>
          <w:szCs w:val="24"/>
        </w:rPr>
      </w:pPr>
    </w:p>
    <w:p w14:paraId="6FD51CE5" w14:textId="77777777" w:rsidR="004C6919" w:rsidRDefault="004C6919" w:rsidP="00C22EAF">
      <w:pPr>
        <w:spacing w:line="480" w:lineRule="auto"/>
        <w:rPr>
          <w:rFonts w:ascii="Garamond" w:hAnsi="Garamond"/>
          <w:sz w:val="24"/>
          <w:szCs w:val="24"/>
        </w:rPr>
      </w:pPr>
      <w:r w:rsidRPr="00C22EAF">
        <w:rPr>
          <w:rFonts w:ascii="Garamond" w:hAnsi="Garamond"/>
          <w:sz w:val="24"/>
          <w:szCs w:val="24"/>
        </w:rPr>
        <w:t xml:space="preserve">Rhetorically, </w:t>
      </w:r>
      <w:r w:rsidR="00FF4853" w:rsidRPr="00C22EAF">
        <w:rPr>
          <w:rFonts w:ascii="Garamond" w:hAnsi="Garamond"/>
          <w:sz w:val="24"/>
          <w:szCs w:val="24"/>
        </w:rPr>
        <w:t xml:space="preserve">Thatcher </w:t>
      </w:r>
      <w:r w:rsidRPr="00C22EAF">
        <w:rPr>
          <w:rFonts w:ascii="Garamond" w:hAnsi="Garamond"/>
          <w:sz w:val="24"/>
          <w:szCs w:val="24"/>
        </w:rPr>
        <w:t>also drew upon</w:t>
      </w:r>
      <w:r w:rsidR="00FF4853" w:rsidRPr="00C22EAF">
        <w:rPr>
          <w:rFonts w:ascii="Garamond" w:hAnsi="Garamond"/>
          <w:sz w:val="24"/>
          <w:szCs w:val="24"/>
        </w:rPr>
        <w:t xml:space="preserve"> </w:t>
      </w:r>
      <w:r w:rsidR="00FF4853" w:rsidRPr="00C22EAF">
        <w:rPr>
          <w:rFonts w:ascii="Garamond" w:hAnsi="Garamond"/>
          <w:i/>
          <w:sz w:val="24"/>
          <w:szCs w:val="24"/>
        </w:rPr>
        <w:t>logos</w:t>
      </w:r>
      <w:r w:rsidR="00FF4853" w:rsidRPr="00C22EAF">
        <w:rPr>
          <w:rFonts w:ascii="Garamond" w:hAnsi="Garamond"/>
          <w:sz w:val="24"/>
          <w:szCs w:val="24"/>
        </w:rPr>
        <w:t xml:space="preserve"> </w:t>
      </w:r>
      <w:r w:rsidRPr="00C22EAF">
        <w:rPr>
          <w:rFonts w:ascii="Garamond" w:hAnsi="Garamond"/>
          <w:sz w:val="24"/>
          <w:szCs w:val="24"/>
        </w:rPr>
        <w:t xml:space="preserve">(empirical evidence) </w:t>
      </w:r>
      <w:r w:rsidR="00FF4853" w:rsidRPr="00C22EAF">
        <w:rPr>
          <w:rFonts w:ascii="Garamond" w:hAnsi="Garamond"/>
          <w:sz w:val="24"/>
          <w:szCs w:val="24"/>
        </w:rPr>
        <w:t xml:space="preserve">to demonstrate the economic benefits of a looser connection with Europe. Indeed, </w:t>
      </w:r>
      <w:r w:rsidRPr="00C22EAF">
        <w:rPr>
          <w:rFonts w:ascii="Garamond" w:hAnsi="Garamond"/>
          <w:sz w:val="24"/>
          <w:szCs w:val="24"/>
        </w:rPr>
        <w:t xml:space="preserve">during a speech entitled </w:t>
      </w:r>
      <w:r w:rsidRPr="00C22EAF">
        <w:rPr>
          <w:rFonts w:ascii="Garamond" w:hAnsi="Garamond"/>
          <w:i/>
          <w:sz w:val="24"/>
          <w:szCs w:val="24"/>
        </w:rPr>
        <w:t>The Principles of Thatcherism,</w:t>
      </w:r>
      <w:r w:rsidRPr="00C22EAF">
        <w:rPr>
          <w:rFonts w:ascii="Garamond" w:hAnsi="Garamond"/>
          <w:sz w:val="24"/>
          <w:szCs w:val="24"/>
        </w:rPr>
        <w:t xml:space="preserve"> </w:t>
      </w:r>
      <w:r w:rsidR="00FF4853" w:rsidRPr="00C22EAF">
        <w:rPr>
          <w:rFonts w:ascii="Garamond" w:hAnsi="Garamond"/>
          <w:sz w:val="24"/>
          <w:szCs w:val="24"/>
        </w:rPr>
        <w:t>she argued ‘</w:t>
      </w:r>
      <w:r w:rsidRPr="00C22EAF">
        <w:rPr>
          <w:rFonts w:ascii="Garamond" w:hAnsi="Garamond"/>
          <w:sz w:val="24"/>
          <w:szCs w:val="24"/>
        </w:rPr>
        <w:t>w</w:t>
      </w:r>
      <w:r w:rsidR="00FF4853" w:rsidRPr="00C22EAF">
        <w:rPr>
          <w:rFonts w:ascii="Garamond" w:hAnsi="Garamond"/>
          <w:sz w:val="24"/>
          <w:szCs w:val="24"/>
        </w:rPr>
        <w:t>hereas Britain lagged behind other European Community countries in the 1960s and 1970s, in the 1980s our economy grew faster than all of them’ and that ‘</w:t>
      </w:r>
      <w:r w:rsidRPr="00C22EAF">
        <w:rPr>
          <w:rFonts w:ascii="Garamond" w:hAnsi="Garamond"/>
          <w:sz w:val="24"/>
          <w:szCs w:val="24"/>
        </w:rPr>
        <w:t>t</w:t>
      </w:r>
      <w:r w:rsidR="00FF4853" w:rsidRPr="00C22EAF">
        <w:rPr>
          <w:rFonts w:ascii="Garamond" w:hAnsi="Garamond"/>
          <w:sz w:val="24"/>
          <w:szCs w:val="24"/>
        </w:rPr>
        <w:t xml:space="preserve">hree and a quarter million jobs were created between March 1983 and March 1991 — a bigger increase than in any other European Community country. And living standards grew to record levels: not just for the rich or even the not so rich but for those on average earnings and </w:t>
      </w:r>
      <w:r w:rsidRPr="00C22EAF">
        <w:rPr>
          <w:rFonts w:ascii="Garamond" w:hAnsi="Garamond"/>
          <w:sz w:val="24"/>
          <w:szCs w:val="24"/>
        </w:rPr>
        <w:t>indeed on half average earnings</w:t>
      </w:r>
      <w:r w:rsidR="00FF4853" w:rsidRPr="00C22EAF">
        <w:rPr>
          <w:rFonts w:ascii="Garamond" w:hAnsi="Garamond"/>
          <w:sz w:val="24"/>
          <w:szCs w:val="24"/>
        </w:rPr>
        <w:t>’</w:t>
      </w:r>
      <w:r w:rsidRPr="00C22EAF">
        <w:rPr>
          <w:rFonts w:ascii="Garamond" w:hAnsi="Garamond"/>
          <w:sz w:val="24"/>
          <w:szCs w:val="24"/>
        </w:rPr>
        <w:t xml:space="preserve"> (</w:t>
      </w:r>
      <w:r w:rsidR="00D91AFC" w:rsidRPr="00C22EAF">
        <w:rPr>
          <w:rFonts w:ascii="Garamond" w:hAnsi="Garamond"/>
          <w:sz w:val="24"/>
          <w:szCs w:val="24"/>
        </w:rPr>
        <w:t>Thatcher, 1992b</w:t>
      </w:r>
      <w:r w:rsidRPr="00C22EAF">
        <w:rPr>
          <w:rFonts w:ascii="Garamond" w:hAnsi="Garamond"/>
          <w:sz w:val="24"/>
          <w:szCs w:val="24"/>
        </w:rPr>
        <w:t>).</w:t>
      </w:r>
      <w:r w:rsidR="00FF4853" w:rsidRPr="00C22EAF">
        <w:rPr>
          <w:rFonts w:ascii="Garamond" w:hAnsi="Garamond"/>
          <w:sz w:val="24"/>
          <w:szCs w:val="24"/>
        </w:rPr>
        <w:t xml:space="preserve"> </w:t>
      </w:r>
      <w:r w:rsidRPr="00C22EAF">
        <w:rPr>
          <w:rFonts w:ascii="Garamond" w:hAnsi="Garamond"/>
          <w:sz w:val="24"/>
          <w:szCs w:val="24"/>
        </w:rPr>
        <w:t xml:space="preserve">This argument strives to texture her ideological principles with an evidence-based foundation to legitimise its conclusion – </w:t>
      </w:r>
      <w:proofErr w:type="spellStart"/>
      <w:r w:rsidRPr="00C22EAF">
        <w:rPr>
          <w:rFonts w:ascii="Garamond" w:hAnsi="Garamond"/>
          <w:sz w:val="24"/>
          <w:szCs w:val="24"/>
        </w:rPr>
        <w:t>ie</w:t>
      </w:r>
      <w:proofErr w:type="spellEnd"/>
      <w:r w:rsidRPr="00C22EAF">
        <w:rPr>
          <w:rFonts w:ascii="Garamond" w:hAnsi="Garamond"/>
          <w:sz w:val="24"/>
          <w:szCs w:val="24"/>
        </w:rPr>
        <w:t>, that the European Union was holding back economic prosperity.</w:t>
      </w:r>
    </w:p>
    <w:p w14:paraId="5DC27FB7" w14:textId="77777777" w:rsidR="007D3609" w:rsidRPr="00C22EAF" w:rsidRDefault="007D3609" w:rsidP="00C22EAF">
      <w:pPr>
        <w:spacing w:line="480" w:lineRule="auto"/>
        <w:rPr>
          <w:rFonts w:ascii="Garamond" w:hAnsi="Garamond"/>
          <w:sz w:val="24"/>
          <w:szCs w:val="24"/>
        </w:rPr>
      </w:pPr>
    </w:p>
    <w:p w14:paraId="09AA7982" w14:textId="77777777" w:rsidR="00FF4853" w:rsidRDefault="004C6919" w:rsidP="00C22EAF">
      <w:pPr>
        <w:spacing w:line="480" w:lineRule="auto"/>
        <w:rPr>
          <w:rFonts w:ascii="Garamond" w:hAnsi="Garamond"/>
          <w:sz w:val="24"/>
          <w:szCs w:val="24"/>
        </w:rPr>
      </w:pPr>
      <w:r w:rsidRPr="00C22EAF">
        <w:rPr>
          <w:rFonts w:ascii="Garamond" w:hAnsi="Garamond"/>
          <w:sz w:val="24"/>
          <w:szCs w:val="24"/>
        </w:rPr>
        <w:t>She continued by making the argument</w:t>
      </w:r>
      <w:r w:rsidR="00FF4853" w:rsidRPr="00C22EAF">
        <w:rPr>
          <w:rFonts w:ascii="Garamond" w:hAnsi="Garamond"/>
          <w:sz w:val="24"/>
          <w:szCs w:val="24"/>
        </w:rPr>
        <w:t xml:space="preserve"> that ‘in spite of having to face down a year-long coal strike in 1984 the total</w:t>
      </w:r>
      <w:r w:rsidRPr="00C22EAF">
        <w:rPr>
          <w:rFonts w:ascii="Garamond" w:hAnsi="Garamond"/>
          <w:sz w:val="24"/>
          <w:szCs w:val="24"/>
        </w:rPr>
        <w:t xml:space="preserve"> number of strikes fell sharply</w:t>
      </w:r>
      <w:r w:rsidR="00FF4853" w:rsidRPr="00C22EAF">
        <w:rPr>
          <w:rFonts w:ascii="Garamond" w:hAnsi="Garamond"/>
          <w:sz w:val="24"/>
          <w:szCs w:val="24"/>
        </w:rPr>
        <w:t>’</w:t>
      </w:r>
      <w:r w:rsidRPr="00C22EAF">
        <w:rPr>
          <w:rFonts w:ascii="Garamond" w:hAnsi="Garamond"/>
          <w:sz w:val="24"/>
          <w:szCs w:val="24"/>
        </w:rPr>
        <w:t xml:space="preserve"> (</w:t>
      </w:r>
      <w:r w:rsidR="00D91AFC"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xml:space="preserve"> These </w:t>
      </w:r>
      <w:r w:rsidR="00FF4853" w:rsidRPr="00C22EAF">
        <w:rPr>
          <w:rFonts w:ascii="Garamond" w:hAnsi="Garamond"/>
          <w:i/>
          <w:sz w:val="24"/>
          <w:szCs w:val="24"/>
        </w:rPr>
        <w:t>logos</w:t>
      </w:r>
      <w:r w:rsidR="00FF4853" w:rsidRPr="00C22EAF">
        <w:rPr>
          <w:rFonts w:ascii="Garamond" w:hAnsi="Garamond"/>
          <w:sz w:val="24"/>
          <w:szCs w:val="24"/>
        </w:rPr>
        <w:t xml:space="preserve">-based arguments aim to highlight the successes of economic </w:t>
      </w:r>
      <w:r w:rsidRPr="00C22EAF">
        <w:rPr>
          <w:rFonts w:ascii="Garamond" w:hAnsi="Garamond"/>
          <w:sz w:val="24"/>
          <w:szCs w:val="24"/>
        </w:rPr>
        <w:t>liberalisation</w:t>
      </w:r>
      <w:r w:rsidR="00FF4853" w:rsidRPr="00C22EAF">
        <w:rPr>
          <w:rFonts w:ascii="Garamond" w:hAnsi="Garamond"/>
          <w:sz w:val="24"/>
          <w:szCs w:val="24"/>
        </w:rPr>
        <w:t xml:space="preserve"> in </w:t>
      </w:r>
      <w:r w:rsidRPr="00C22EAF">
        <w:rPr>
          <w:rFonts w:ascii="Garamond" w:hAnsi="Garamond"/>
          <w:sz w:val="24"/>
          <w:szCs w:val="24"/>
        </w:rPr>
        <w:t>contrast to growing</w:t>
      </w:r>
      <w:r w:rsidR="00FF4853" w:rsidRPr="00C22EAF">
        <w:rPr>
          <w:rFonts w:ascii="Garamond" w:hAnsi="Garamond"/>
          <w:sz w:val="24"/>
          <w:szCs w:val="24"/>
        </w:rPr>
        <w:t xml:space="preserve"> European </w:t>
      </w:r>
      <w:r w:rsidRPr="00C22EAF">
        <w:rPr>
          <w:rFonts w:ascii="Garamond" w:hAnsi="Garamond"/>
          <w:sz w:val="24"/>
          <w:szCs w:val="24"/>
        </w:rPr>
        <w:t>collectivisation</w:t>
      </w:r>
      <w:r w:rsidR="00FF4853" w:rsidRPr="00C22EAF">
        <w:rPr>
          <w:rFonts w:ascii="Garamond" w:hAnsi="Garamond"/>
          <w:sz w:val="24"/>
          <w:szCs w:val="24"/>
        </w:rPr>
        <w:t xml:space="preserve">. This is designed to not just critique collectivist economic ideals, but to argue despite highly visible displays of protest the longer-term trajectory of the British economy was a story of improvement. </w:t>
      </w:r>
      <w:r w:rsidRPr="00C22EAF">
        <w:rPr>
          <w:rFonts w:ascii="Garamond" w:hAnsi="Garamond"/>
          <w:sz w:val="24"/>
          <w:szCs w:val="24"/>
        </w:rPr>
        <w:t>Indeed, she went to argue</w:t>
      </w:r>
      <w:r w:rsidR="00FF4853" w:rsidRPr="00C22EAF">
        <w:rPr>
          <w:rFonts w:ascii="Garamond" w:hAnsi="Garamond"/>
          <w:sz w:val="24"/>
          <w:szCs w:val="24"/>
        </w:rPr>
        <w:t xml:space="preserve"> ‘</w:t>
      </w:r>
      <w:r w:rsidRPr="00C22EAF">
        <w:rPr>
          <w:rFonts w:ascii="Garamond" w:hAnsi="Garamond"/>
          <w:sz w:val="24"/>
          <w:szCs w:val="24"/>
        </w:rPr>
        <w:t>a</w:t>
      </w:r>
      <w:r w:rsidR="00FF4853" w:rsidRPr="00C22EAF">
        <w:rPr>
          <w:rFonts w:ascii="Garamond" w:hAnsi="Garamond"/>
          <w:sz w:val="24"/>
          <w:szCs w:val="24"/>
        </w:rPr>
        <w:t xml:space="preserve"> further reason for our failure to keep control of inflation was that we shadowed the Deutschemark, </w:t>
      </w:r>
      <w:r w:rsidR="00FF4853" w:rsidRPr="00C22EAF">
        <w:rPr>
          <w:rFonts w:ascii="Garamond" w:hAnsi="Garamond"/>
          <w:sz w:val="24"/>
          <w:szCs w:val="24"/>
        </w:rPr>
        <w:lastRenderedPageBreak/>
        <w:t>pursuing exchange rate stability at the</w:t>
      </w:r>
      <w:r w:rsidRPr="00C22EAF">
        <w:rPr>
          <w:rFonts w:ascii="Garamond" w:hAnsi="Garamond"/>
          <w:sz w:val="24"/>
          <w:szCs w:val="24"/>
        </w:rPr>
        <w:t xml:space="preserve"> expense of monetary discipline</w:t>
      </w:r>
      <w:r w:rsidR="00FF4853" w:rsidRPr="00C22EAF">
        <w:rPr>
          <w:rFonts w:ascii="Garamond" w:hAnsi="Garamond"/>
          <w:sz w:val="24"/>
          <w:szCs w:val="24"/>
        </w:rPr>
        <w:t>’</w:t>
      </w:r>
      <w:r w:rsidRPr="00C22EAF">
        <w:rPr>
          <w:rFonts w:ascii="Garamond" w:hAnsi="Garamond"/>
          <w:sz w:val="24"/>
          <w:szCs w:val="24"/>
        </w:rPr>
        <w:t xml:space="preserve"> (</w:t>
      </w:r>
      <w:r w:rsidR="00D91AFC"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xml:space="preserve"> </w:t>
      </w:r>
      <w:r w:rsidRPr="00C22EAF">
        <w:rPr>
          <w:rFonts w:ascii="Garamond" w:hAnsi="Garamond"/>
          <w:sz w:val="24"/>
          <w:szCs w:val="24"/>
        </w:rPr>
        <w:t>Here</w:t>
      </w:r>
      <w:r w:rsidR="00FF4853" w:rsidRPr="00C22EAF">
        <w:rPr>
          <w:rFonts w:ascii="Garamond" w:hAnsi="Garamond"/>
          <w:sz w:val="24"/>
          <w:szCs w:val="24"/>
        </w:rPr>
        <w:t xml:space="preserve"> Thatcher is striving to convince her audience that economic problems following the 1987 crash was the result of European policy making, rather than the decisions of Treasury</w:t>
      </w:r>
      <w:r w:rsidRPr="00C22EAF">
        <w:rPr>
          <w:rFonts w:ascii="Garamond" w:hAnsi="Garamond"/>
          <w:sz w:val="24"/>
          <w:szCs w:val="24"/>
        </w:rPr>
        <w:t xml:space="preserve">, and that economic improvements were possible when sterling was disconnected from the shadowing of European currencies. </w:t>
      </w:r>
      <w:r w:rsidR="001C69B9" w:rsidRPr="00C22EAF">
        <w:rPr>
          <w:rFonts w:ascii="Garamond" w:hAnsi="Garamond"/>
          <w:sz w:val="24"/>
          <w:szCs w:val="24"/>
        </w:rPr>
        <w:t xml:space="preserve">Given the debates Major was having with his Cabinet and Parliamentary Party at the time </w:t>
      </w:r>
      <w:r w:rsidR="00145496" w:rsidRPr="00C22EAF">
        <w:rPr>
          <w:rFonts w:ascii="Garamond" w:hAnsi="Garamond"/>
          <w:sz w:val="24"/>
          <w:szCs w:val="24"/>
        </w:rPr>
        <w:t xml:space="preserve">the speech was delivered, her intervention was designed to provide succour to those pursuing Eurosceptic positions against the then Prime </w:t>
      </w:r>
      <w:r w:rsidR="00913665" w:rsidRPr="00C22EAF">
        <w:rPr>
          <w:rFonts w:ascii="Garamond" w:hAnsi="Garamond"/>
          <w:sz w:val="24"/>
          <w:szCs w:val="24"/>
        </w:rPr>
        <w:t>Minister</w:t>
      </w:r>
      <w:r w:rsidR="00145496" w:rsidRPr="00C22EAF">
        <w:rPr>
          <w:rFonts w:ascii="Garamond" w:hAnsi="Garamond"/>
          <w:sz w:val="24"/>
          <w:szCs w:val="24"/>
        </w:rPr>
        <w:t>.</w:t>
      </w:r>
    </w:p>
    <w:p w14:paraId="6C042486" w14:textId="77777777" w:rsidR="007D3609" w:rsidRPr="00C22EAF" w:rsidRDefault="007D3609" w:rsidP="00C22EAF">
      <w:pPr>
        <w:spacing w:line="480" w:lineRule="auto"/>
        <w:rPr>
          <w:rFonts w:ascii="Garamond" w:hAnsi="Garamond"/>
          <w:sz w:val="24"/>
          <w:szCs w:val="24"/>
        </w:rPr>
      </w:pPr>
    </w:p>
    <w:p w14:paraId="75FA20A3" w14:textId="77777777" w:rsidR="00FF4853" w:rsidRDefault="00DE734A" w:rsidP="00C22EAF">
      <w:pPr>
        <w:spacing w:line="480" w:lineRule="auto"/>
        <w:rPr>
          <w:rFonts w:ascii="Garamond" w:hAnsi="Garamond"/>
          <w:sz w:val="24"/>
          <w:szCs w:val="24"/>
        </w:rPr>
      </w:pPr>
      <w:r w:rsidRPr="00C22EAF">
        <w:rPr>
          <w:rFonts w:ascii="Garamond" w:hAnsi="Garamond"/>
          <w:sz w:val="24"/>
          <w:szCs w:val="24"/>
        </w:rPr>
        <w:t>During her Bruges speech, Thatcher made clear her positions over national identity and civic pride. This was a theme she returned to after her time as Prime Minister. This was because, for</w:t>
      </w:r>
      <w:r w:rsidR="00FF4853" w:rsidRPr="00C22EAF">
        <w:rPr>
          <w:rFonts w:ascii="Garamond" w:hAnsi="Garamond"/>
          <w:sz w:val="24"/>
          <w:szCs w:val="24"/>
        </w:rPr>
        <w:t xml:space="preserve"> Thatcher, national pride was very close to her heart. Indeed, she described this as ‘the pride we all feel in our own nations’</w:t>
      </w:r>
      <w:r w:rsidRPr="00C22EAF">
        <w:rPr>
          <w:rFonts w:ascii="Garamond" w:hAnsi="Garamond"/>
          <w:sz w:val="24"/>
          <w:szCs w:val="24"/>
        </w:rPr>
        <w:t xml:space="preserve"> (</w:t>
      </w:r>
      <w:r w:rsidR="00D91AFC"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xml:space="preserve">. </w:t>
      </w:r>
      <w:r w:rsidRPr="00C22EAF">
        <w:rPr>
          <w:rFonts w:ascii="Garamond" w:hAnsi="Garamond"/>
          <w:sz w:val="24"/>
          <w:szCs w:val="24"/>
        </w:rPr>
        <w:t xml:space="preserve">As noted during her Bruges speech, </w:t>
      </w:r>
      <w:r w:rsidR="00FF4853" w:rsidRPr="00C22EAF">
        <w:rPr>
          <w:rFonts w:ascii="Garamond" w:hAnsi="Garamond"/>
          <w:sz w:val="24"/>
          <w:szCs w:val="24"/>
        </w:rPr>
        <w:t>European nations each have a deep sense of pride in their identity which, for Thatcher, was threatened by</w:t>
      </w:r>
      <w:r w:rsidRPr="00C22EAF">
        <w:rPr>
          <w:rFonts w:ascii="Garamond" w:hAnsi="Garamond"/>
          <w:sz w:val="24"/>
          <w:szCs w:val="24"/>
        </w:rPr>
        <w:t xml:space="preserve"> the EU and closer integration. When outlining her ideological position, she</w:t>
      </w:r>
      <w:r w:rsidR="00FF4853" w:rsidRPr="00C22EAF">
        <w:rPr>
          <w:rFonts w:ascii="Garamond" w:hAnsi="Garamond"/>
          <w:sz w:val="24"/>
          <w:szCs w:val="24"/>
        </w:rPr>
        <w:t xml:space="preserve"> argued ‘an attempt to create a European super-state out of the present nation states of the European Community would fuel nationalism and risk conflict’</w:t>
      </w:r>
      <w:r w:rsidRPr="00C22EAF">
        <w:rPr>
          <w:rFonts w:ascii="Garamond" w:hAnsi="Garamond"/>
          <w:sz w:val="24"/>
          <w:szCs w:val="24"/>
        </w:rPr>
        <w:t xml:space="preserve"> (</w:t>
      </w:r>
      <w:r w:rsidR="00D91AFC"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This was a warning that one of the core principles of the European project risked creating the very backlashes that it aim</w:t>
      </w:r>
      <w:r w:rsidRPr="00C22EAF">
        <w:rPr>
          <w:rFonts w:ascii="Garamond" w:hAnsi="Garamond"/>
          <w:sz w:val="24"/>
          <w:szCs w:val="24"/>
        </w:rPr>
        <w:t>ed</w:t>
      </w:r>
      <w:r w:rsidR="00FF4853" w:rsidRPr="00C22EAF">
        <w:rPr>
          <w:rFonts w:ascii="Garamond" w:hAnsi="Garamond"/>
          <w:sz w:val="24"/>
          <w:szCs w:val="24"/>
        </w:rPr>
        <w:t xml:space="preserve"> to prevent. </w:t>
      </w:r>
      <w:r w:rsidRPr="00C22EAF">
        <w:rPr>
          <w:rFonts w:ascii="Garamond" w:hAnsi="Garamond"/>
          <w:sz w:val="24"/>
          <w:szCs w:val="24"/>
        </w:rPr>
        <w:t>Rhetorically, t</w:t>
      </w:r>
      <w:r w:rsidR="00FF4853" w:rsidRPr="00C22EAF">
        <w:rPr>
          <w:rFonts w:ascii="Garamond" w:hAnsi="Garamond"/>
          <w:sz w:val="24"/>
          <w:szCs w:val="24"/>
        </w:rPr>
        <w:t xml:space="preserve">his was a </w:t>
      </w:r>
      <w:r w:rsidR="00FF4853" w:rsidRPr="00C22EAF">
        <w:rPr>
          <w:rFonts w:ascii="Garamond" w:hAnsi="Garamond"/>
          <w:i/>
          <w:sz w:val="24"/>
          <w:szCs w:val="24"/>
        </w:rPr>
        <w:t>pathos</w:t>
      </w:r>
      <w:r w:rsidR="00FF4853" w:rsidRPr="00C22EAF">
        <w:rPr>
          <w:rFonts w:ascii="Garamond" w:hAnsi="Garamond"/>
          <w:sz w:val="24"/>
          <w:szCs w:val="24"/>
        </w:rPr>
        <w:t>-driven argument that was designed to instil a sense of urgency in her message. Indeed, she continued by arguing that ‘</w:t>
      </w:r>
      <w:r w:rsidRPr="00C22EAF">
        <w:rPr>
          <w:rFonts w:ascii="Garamond" w:hAnsi="Garamond"/>
          <w:sz w:val="24"/>
          <w:szCs w:val="24"/>
        </w:rPr>
        <w:t>t</w:t>
      </w:r>
      <w:r w:rsidR="00FF4853" w:rsidRPr="00C22EAF">
        <w:rPr>
          <w:rFonts w:ascii="Garamond" w:hAnsi="Garamond"/>
          <w:sz w:val="24"/>
          <w:szCs w:val="24"/>
        </w:rPr>
        <w:t xml:space="preserve">rue internationalism consists of co-operation between nations: the false internationalism, of which we see too many signs today [in Europe], attempts to multiply international bureaucracies while </w:t>
      </w:r>
      <w:r w:rsidRPr="00C22EAF">
        <w:rPr>
          <w:rFonts w:ascii="Garamond" w:hAnsi="Garamond"/>
          <w:sz w:val="24"/>
          <w:szCs w:val="24"/>
        </w:rPr>
        <w:t>paralysing international action</w:t>
      </w:r>
      <w:r w:rsidR="00FF4853" w:rsidRPr="00C22EAF">
        <w:rPr>
          <w:rFonts w:ascii="Garamond" w:hAnsi="Garamond"/>
          <w:sz w:val="24"/>
          <w:szCs w:val="24"/>
        </w:rPr>
        <w:t>’</w:t>
      </w:r>
      <w:r w:rsidRPr="00C22EAF">
        <w:rPr>
          <w:rFonts w:ascii="Garamond" w:hAnsi="Garamond"/>
          <w:sz w:val="24"/>
          <w:szCs w:val="24"/>
        </w:rPr>
        <w:t xml:space="preserve"> (</w:t>
      </w:r>
      <w:r w:rsidR="00D91AFC"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xml:space="preserve"> This was an attempt to reframe the ideas of international co-operation around </w:t>
      </w:r>
      <w:r w:rsidRPr="00C22EAF">
        <w:rPr>
          <w:rFonts w:ascii="Garamond" w:hAnsi="Garamond"/>
          <w:sz w:val="24"/>
          <w:szCs w:val="24"/>
        </w:rPr>
        <w:t xml:space="preserve">the importance of enduring </w:t>
      </w:r>
      <w:r w:rsidR="00FF4853" w:rsidRPr="00C22EAF">
        <w:rPr>
          <w:rFonts w:ascii="Garamond" w:hAnsi="Garamond"/>
          <w:sz w:val="24"/>
          <w:szCs w:val="24"/>
        </w:rPr>
        <w:t xml:space="preserve">sovereign states. </w:t>
      </w:r>
      <w:r w:rsidRPr="00C22EAF">
        <w:rPr>
          <w:rFonts w:ascii="Garamond" w:hAnsi="Garamond"/>
          <w:sz w:val="24"/>
          <w:szCs w:val="24"/>
        </w:rPr>
        <w:lastRenderedPageBreak/>
        <w:t>Within this context, f</w:t>
      </w:r>
      <w:r w:rsidR="00FF4853" w:rsidRPr="00C22EAF">
        <w:rPr>
          <w:rFonts w:ascii="Garamond" w:hAnsi="Garamond"/>
          <w:sz w:val="24"/>
          <w:szCs w:val="24"/>
        </w:rPr>
        <w:t xml:space="preserve">or Thatcher the European Union was becoming </w:t>
      </w:r>
      <w:r w:rsidRPr="00C22EAF">
        <w:rPr>
          <w:rFonts w:ascii="Garamond" w:hAnsi="Garamond"/>
          <w:sz w:val="24"/>
          <w:szCs w:val="24"/>
        </w:rPr>
        <w:t>excessively</w:t>
      </w:r>
      <w:r w:rsidR="00FF4853" w:rsidRPr="00C22EAF">
        <w:rPr>
          <w:rFonts w:ascii="Garamond" w:hAnsi="Garamond"/>
          <w:sz w:val="24"/>
          <w:szCs w:val="24"/>
        </w:rPr>
        <w:t xml:space="preserve"> bureaucratic, undemocratic, and a risk to </w:t>
      </w:r>
      <w:r w:rsidRPr="00C22EAF">
        <w:rPr>
          <w:rFonts w:ascii="Garamond" w:hAnsi="Garamond"/>
          <w:sz w:val="24"/>
          <w:szCs w:val="24"/>
        </w:rPr>
        <w:t xml:space="preserve">European </w:t>
      </w:r>
      <w:r w:rsidR="00FF4853" w:rsidRPr="00C22EAF">
        <w:rPr>
          <w:rFonts w:ascii="Garamond" w:hAnsi="Garamond"/>
          <w:sz w:val="24"/>
          <w:szCs w:val="24"/>
        </w:rPr>
        <w:t>peace</w:t>
      </w:r>
      <w:r w:rsidRPr="00C22EAF">
        <w:rPr>
          <w:rFonts w:ascii="Garamond" w:hAnsi="Garamond"/>
          <w:sz w:val="24"/>
          <w:szCs w:val="24"/>
        </w:rPr>
        <w:t>ful cooperation</w:t>
      </w:r>
      <w:r w:rsidR="00FF4853" w:rsidRPr="00C22EAF">
        <w:rPr>
          <w:rFonts w:ascii="Garamond" w:hAnsi="Garamond"/>
          <w:sz w:val="24"/>
          <w:szCs w:val="24"/>
        </w:rPr>
        <w:t xml:space="preserve">. This was because </w:t>
      </w:r>
      <w:r w:rsidRPr="00C22EAF">
        <w:rPr>
          <w:rFonts w:ascii="Garamond" w:hAnsi="Garamond"/>
          <w:sz w:val="24"/>
          <w:szCs w:val="24"/>
        </w:rPr>
        <w:t xml:space="preserve">she believed (and inspired others to believe) that </w:t>
      </w:r>
      <w:r w:rsidR="00FF4853" w:rsidRPr="00C22EAF">
        <w:rPr>
          <w:rFonts w:ascii="Garamond" w:hAnsi="Garamond"/>
          <w:sz w:val="24"/>
          <w:szCs w:val="24"/>
        </w:rPr>
        <w:t xml:space="preserve">the project had gone well beyond the original remit of economic cooperation </w:t>
      </w:r>
      <w:r w:rsidRPr="00C22EAF">
        <w:rPr>
          <w:rFonts w:ascii="Garamond" w:hAnsi="Garamond"/>
          <w:sz w:val="24"/>
          <w:szCs w:val="24"/>
        </w:rPr>
        <w:t xml:space="preserve">(certainly following the passing of the Single European Act, and then the Maastricht Treaty) </w:t>
      </w:r>
      <w:r w:rsidR="00FF4853" w:rsidRPr="00C22EAF">
        <w:rPr>
          <w:rFonts w:ascii="Garamond" w:hAnsi="Garamond"/>
          <w:sz w:val="24"/>
          <w:szCs w:val="24"/>
        </w:rPr>
        <w:t>and more towards political and cultural harmonisation between several incompatible states that lacked a shared history.</w:t>
      </w:r>
      <w:r w:rsidR="00C06347" w:rsidRPr="00C22EAF">
        <w:rPr>
          <w:rStyle w:val="FootnoteReference"/>
          <w:rFonts w:ascii="Garamond" w:hAnsi="Garamond"/>
          <w:sz w:val="24"/>
          <w:szCs w:val="24"/>
        </w:rPr>
        <w:footnoteReference w:id="5"/>
      </w:r>
      <w:r w:rsidR="00FF4853" w:rsidRPr="00C22EAF">
        <w:rPr>
          <w:rFonts w:ascii="Garamond" w:hAnsi="Garamond"/>
          <w:sz w:val="24"/>
          <w:szCs w:val="24"/>
        </w:rPr>
        <w:t xml:space="preserve"> </w:t>
      </w:r>
    </w:p>
    <w:p w14:paraId="17C30614" w14:textId="77777777" w:rsidR="007D3609" w:rsidRPr="00C22EAF" w:rsidRDefault="007D3609" w:rsidP="00C22EAF">
      <w:pPr>
        <w:spacing w:line="480" w:lineRule="auto"/>
        <w:rPr>
          <w:rFonts w:ascii="Garamond" w:hAnsi="Garamond"/>
          <w:sz w:val="24"/>
          <w:szCs w:val="24"/>
        </w:rPr>
      </w:pPr>
    </w:p>
    <w:p w14:paraId="2FCCE04B" w14:textId="77777777" w:rsidR="002660FA" w:rsidRDefault="00FF4853" w:rsidP="00C22EAF">
      <w:pPr>
        <w:spacing w:line="480" w:lineRule="auto"/>
        <w:rPr>
          <w:rFonts w:ascii="Garamond" w:hAnsi="Garamond"/>
          <w:sz w:val="24"/>
          <w:szCs w:val="24"/>
        </w:rPr>
      </w:pPr>
      <w:r w:rsidRPr="00C22EAF">
        <w:rPr>
          <w:rFonts w:ascii="Garamond" w:hAnsi="Garamond"/>
          <w:sz w:val="24"/>
          <w:szCs w:val="24"/>
        </w:rPr>
        <w:t xml:space="preserve">In terms of the internal ideological debates, under the Major leadership there had been a sense that ‘Thatcherism’ as a brand had become electorally problematic. </w:t>
      </w:r>
      <w:r w:rsidR="00E560CA" w:rsidRPr="00C22EAF">
        <w:rPr>
          <w:rFonts w:ascii="Garamond" w:hAnsi="Garamond"/>
          <w:sz w:val="24"/>
          <w:szCs w:val="24"/>
        </w:rPr>
        <w:t xml:space="preserve">The abandonment of the Poll Tax, closer (but not close) industrial relations, </w:t>
      </w:r>
      <w:r w:rsidR="001B4196" w:rsidRPr="00C22EAF">
        <w:rPr>
          <w:rFonts w:ascii="Garamond" w:hAnsi="Garamond"/>
          <w:sz w:val="24"/>
          <w:szCs w:val="24"/>
        </w:rPr>
        <w:t xml:space="preserve">and a more </w:t>
      </w:r>
      <w:r w:rsidR="00E560CA" w:rsidRPr="00C22EAF">
        <w:rPr>
          <w:rFonts w:ascii="Garamond" w:hAnsi="Garamond"/>
          <w:sz w:val="24"/>
          <w:szCs w:val="24"/>
        </w:rPr>
        <w:t xml:space="preserve">collective style of government gave the impression of a break from Thatcher’s style of leadership. Moreover, it appeared to signal </w:t>
      </w:r>
      <w:r w:rsidRPr="00C22EAF">
        <w:rPr>
          <w:rFonts w:ascii="Garamond" w:hAnsi="Garamond"/>
          <w:sz w:val="24"/>
          <w:szCs w:val="24"/>
        </w:rPr>
        <w:t xml:space="preserve">a return to </w:t>
      </w:r>
      <w:r w:rsidR="00E560CA" w:rsidRPr="00C22EAF">
        <w:rPr>
          <w:rFonts w:ascii="Garamond" w:hAnsi="Garamond"/>
          <w:sz w:val="24"/>
          <w:szCs w:val="24"/>
        </w:rPr>
        <w:t xml:space="preserve">more of a </w:t>
      </w:r>
      <w:r w:rsidRPr="00C22EAF">
        <w:rPr>
          <w:rFonts w:ascii="Garamond" w:hAnsi="Garamond"/>
          <w:i/>
          <w:sz w:val="24"/>
          <w:szCs w:val="24"/>
        </w:rPr>
        <w:t>One Nation</w:t>
      </w:r>
      <w:r w:rsidRPr="00C22EAF">
        <w:rPr>
          <w:rFonts w:ascii="Garamond" w:hAnsi="Garamond"/>
          <w:sz w:val="24"/>
          <w:szCs w:val="24"/>
        </w:rPr>
        <w:t xml:space="preserve"> </w:t>
      </w:r>
      <w:r w:rsidR="00E560CA" w:rsidRPr="00C22EAF">
        <w:rPr>
          <w:rFonts w:ascii="Garamond" w:hAnsi="Garamond"/>
          <w:sz w:val="24"/>
          <w:szCs w:val="24"/>
        </w:rPr>
        <w:t xml:space="preserve">style of </w:t>
      </w:r>
      <w:r w:rsidRPr="00C22EAF">
        <w:rPr>
          <w:rFonts w:ascii="Garamond" w:hAnsi="Garamond"/>
          <w:sz w:val="24"/>
          <w:szCs w:val="24"/>
        </w:rPr>
        <w:t xml:space="preserve">Conservatism and that Thatcherism </w:t>
      </w:r>
      <w:r w:rsidR="00E560CA" w:rsidRPr="00C22EAF">
        <w:rPr>
          <w:rFonts w:ascii="Garamond" w:hAnsi="Garamond"/>
          <w:sz w:val="24"/>
          <w:szCs w:val="24"/>
        </w:rPr>
        <w:t>as a governing style (if not economic approach) was consigned to history</w:t>
      </w:r>
      <w:r w:rsidRPr="00C22EAF">
        <w:rPr>
          <w:rFonts w:ascii="Garamond" w:hAnsi="Garamond"/>
          <w:sz w:val="24"/>
          <w:szCs w:val="24"/>
        </w:rPr>
        <w:t xml:space="preserve">. In terms of Europe, this </w:t>
      </w:r>
      <w:r w:rsidR="001B4196" w:rsidRPr="00C22EAF">
        <w:rPr>
          <w:rFonts w:ascii="Garamond" w:hAnsi="Garamond"/>
          <w:sz w:val="24"/>
          <w:szCs w:val="24"/>
        </w:rPr>
        <w:t xml:space="preserve">change of approach </w:t>
      </w:r>
      <w:r w:rsidRPr="00C22EAF">
        <w:rPr>
          <w:rFonts w:ascii="Garamond" w:hAnsi="Garamond"/>
          <w:sz w:val="24"/>
          <w:szCs w:val="24"/>
        </w:rPr>
        <w:t xml:space="preserve">would be expressed by fostering closer relations with </w:t>
      </w:r>
      <w:r w:rsidR="008F706E" w:rsidRPr="00C22EAF">
        <w:rPr>
          <w:rFonts w:ascii="Garamond" w:hAnsi="Garamond"/>
          <w:sz w:val="24"/>
          <w:szCs w:val="24"/>
        </w:rPr>
        <w:t>EU in the post-Maastricht period</w:t>
      </w:r>
      <w:r w:rsidRPr="00C22EAF">
        <w:rPr>
          <w:rFonts w:ascii="Garamond" w:hAnsi="Garamond"/>
          <w:sz w:val="24"/>
          <w:szCs w:val="24"/>
        </w:rPr>
        <w:t>, and that whilst eschewing social policy,</w:t>
      </w:r>
      <w:r w:rsidR="008F706E" w:rsidRPr="00C22EAF">
        <w:rPr>
          <w:rStyle w:val="FootnoteReference"/>
          <w:rFonts w:ascii="Garamond" w:hAnsi="Garamond"/>
          <w:sz w:val="24"/>
          <w:szCs w:val="24"/>
        </w:rPr>
        <w:footnoteReference w:id="6"/>
      </w:r>
      <w:r w:rsidRPr="00C22EAF">
        <w:rPr>
          <w:rFonts w:ascii="Garamond" w:hAnsi="Garamond"/>
          <w:sz w:val="24"/>
          <w:szCs w:val="24"/>
        </w:rPr>
        <w:t xml:space="preserve"> that closer connection would allow the UK to influence the </w:t>
      </w:r>
      <w:r w:rsidR="002660FA" w:rsidRPr="00C22EAF">
        <w:rPr>
          <w:rFonts w:ascii="Garamond" w:hAnsi="Garamond"/>
          <w:sz w:val="24"/>
          <w:szCs w:val="24"/>
        </w:rPr>
        <w:t xml:space="preserve">continued development of the </w:t>
      </w:r>
      <w:r w:rsidRPr="00C22EAF">
        <w:rPr>
          <w:rFonts w:ascii="Garamond" w:hAnsi="Garamond"/>
          <w:sz w:val="24"/>
          <w:szCs w:val="24"/>
        </w:rPr>
        <w:t xml:space="preserve">EU. However, for Thatcher, this was </w:t>
      </w:r>
      <w:r w:rsidR="002660FA" w:rsidRPr="00C22EAF">
        <w:rPr>
          <w:rFonts w:ascii="Garamond" w:hAnsi="Garamond"/>
          <w:sz w:val="24"/>
          <w:szCs w:val="24"/>
        </w:rPr>
        <w:t xml:space="preserve">an </w:t>
      </w:r>
      <w:r w:rsidRPr="00C22EAF">
        <w:rPr>
          <w:rFonts w:ascii="Garamond" w:hAnsi="Garamond"/>
          <w:sz w:val="24"/>
          <w:szCs w:val="24"/>
        </w:rPr>
        <w:t>intellectually disingenuous</w:t>
      </w:r>
      <w:r w:rsidR="002660FA" w:rsidRPr="00C22EAF">
        <w:rPr>
          <w:rFonts w:ascii="Garamond" w:hAnsi="Garamond"/>
          <w:sz w:val="24"/>
          <w:szCs w:val="24"/>
        </w:rPr>
        <w:t xml:space="preserve"> strategy</w:t>
      </w:r>
      <w:r w:rsidRPr="00C22EAF">
        <w:rPr>
          <w:rFonts w:ascii="Garamond" w:hAnsi="Garamond"/>
          <w:sz w:val="24"/>
          <w:szCs w:val="24"/>
        </w:rPr>
        <w:t xml:space="preserve">. </w:t>
      </w:r>
      <w:r w:rsidR="002660FA" w:rsidRPr="00C22EAF">
        <w:rPr>
          <w:rFonts w:ascii="Garamond" w:hAnsi="Garamond"/>
          <w:sz w:val="24"/>
          <w:szCs w:val="24"/>
        </w:rPr>
        <w:t xml:space="preserve">During </w:t>
      </w:r>
      <w:r w:rsidR="00D91AFC" w:rsidRPr="00C22EAF">
        <w:rPr>
          <w:rFonts w:ascii="Garamond" w:hAnsi="Garamond"/>
          <w:sz w:val="24"/>
          <w:szCs w:val="24"/>
        </w:rPr>
        <w:t>her</w:t>
      </w:r>
      <w:r w:rsidR="002660FA" w:rsidRPr="00C22EAF">
        <w:rPr>
          <w:rFonts w:ascii="Garamond" w:hAnsi="Garamond"/>
          <w:sz w:val="24"/>
          <w:szCs w:val="24"/>
        </w:rPr>
        <w:t xml:space="preserve"> </w:t>
      </w:r>
      <w:r w:rsidR="002660FA" w:rsidRPr="00C22EAF">
        <w:rPr>
          <w:rFonts w:ascii="Garamond" w:hAnsi="Garamond"/>
          <w:i/>
          <w:sz w:val="24"/>
          <w:szCs w:val="24"/>
        </w:rPr>
        <w:t xml:space="preserve">Keith Joseph Memorial Lecture </w:t>
      </w:r>
      <w:r w:rsidR="00D91AFC" w:rsidRPr="00C22EAF">
        <w:rPr>
          <w:rFonts w:ascii="Garamond" w:hAnsi="Garamond"/>
          <w:sz w:val="24"/>
          <w:szCs w:val="24"/>
        </w:rPr>
        <w:t xml:space="preserve">entitled ‘Liberty and Limited Government’ </w:t>
      </w:r>
      <w:r w:rsidR="002660FA" w:rsidRPr="00C22EAF">
        <w:rPr>
          <w:rFonts w:ascii="Garamond" w:hAnsi="Garamond"/>
          <w:sz w:val="24"/>
          <w:szCs w:val="24"/>
        </w:rPr>
        <w:t>in 1996, she</w:t>
      </w:r>
      <w:r w:rsidRPr="00C22EAF">
        <w:rPr>
          <w:rFonts w:ascii="Garamond" w:hAnsi="Garamond"/>
          <w:sz w:val="24"/>
          <w:szCs w:val="24"/>
        </w:rPr>
        <w:t xml:space="preserve"> argued that ‘</w:t>
      </w:r>
      <w:r w:rsidR="002660FA" w:rsidRPr="00C22EAF">
        <w:rPr>
          <w:rFonts w:ascii="Garamond" w:hAnsi="Garamond"/>
          <w:sz w:val="24"/>
          <w:szCs w:val="24"/>
        </w:rPr>
        <w:t>a</w:t>
      </w:r>
      <w:r w:rsidRPr="00C22EAF">
        <w:rPr>
          <w:rFonts w:ascii="Garamond" w:hAnsi="Garamond"/>
          <w:sz w:val="24"/>
          <w:szCs w:val="24"/>
        </w:rPr>
        <w:t>s far as I can tell by their views on European federalism, such people’s creed would be better described as ‘</w:t>
      </w:r>
      <w:r w:rsidRPr="00C22EAF">
        <w:rPr>
          <w:rFonts w:ascii="Garamond" w:hAnsi="Garamond"/>
          <w:i/>
          <w:iCs/>
          <w:sz w:val="24"/>
          <w:szCs w:val="24"/>
        </w:rPr>
        <w:t>No Nation</w:t>
      </w:r>
      <w:r w:rsidRPr="00C22EAF">
        <w:rPr>
          <w:rFonts w:ascii="Garamond" w:hAnsi="Garamond"/>
          <w:sz w:val="24"/>
          <w:szCs w:val="24"/>
        </w:rPr>
        <w:t xml:space="preserve"> Conservatism’</w:t>
      </w:r>
      <w:r w:rsidR="002660FA" w:rsidRPr="00C22EAF">
        <w:rPr>
          <w:rFonts w:ascii="Garamond" w:hAnsi="Garamond"/>
          <w:sz w:val="24"/>
          <w:szCs w:val="24"/>
        </w:rPr>
        <w:t xml:space="preserve"> (</w:t>
      </w:r>
      <w:r w:rsidR="00D91AFC" w:rsidRPr="00C22EAF">
        <w:rPr>
          <w:rFonts w:ascii="Garamond" w:hAnsi="Garamond"/>
          <w:sz w:val="24"/>
          <w:szCs w:val="24"/>
        </w:rPr>
        <w:t>Thatcher, 1996</w:t>
      </w:r>
      <w:r w:rsidR="002660FA" w:rsidRPr="00C22EAF">
        <w:rPr>
          <w:rFonts w:ascii="Garamond" w:hAnsi="Garamond"/>
          <w:sz w:val="24"/>
          <w:szCs w:val="24"/>
        </w:rPr>
        <w:t>)</w:t>
      </w:r>
      <w:r w:rsidRPr="00C22EAF">
        <w:rPr>
          <w:rFonts w:ascii="Garamond" w:hAnsi="Garamond"/>
          <w:sz w:val="24"/>
          <w:szCs w:val="24"/>
        </w:rPr>
        <w:t xml:space="preserve">. ‘No Nation Conservatism’ </w:t>
      </w:r>
      <w:r w:rsidR="002660FA" w:rsidRPr="00C22EAF">
        <w:rPr>
          <w:rFonts w:ascii="Garamond" w:hAnsi="Garamond"/>
          <w:sz w:val="24"/>
          <w:szCs w:val="24"/>
        </w:rPr>
        <w:t>is the absence of</w:t>
      </w:r>
      <w:r w:rsidRPr="00C22EAF">
        <w:rPr>
          <w:rFonts w:ascii="Garamond" w:hAnsi="Garamond"/>
          <w:sz w:val="24"/>
          <w:szCs w:val="24"/>
        </w:rPr>
        <w:t xml:space="preserve"> sovereignty needed to be an independent state. </w:t>
      </w:r>
    </w:p>
    <w:p w14:paraId="61C56B78" w14:textId="77777777" w:rsidR="007D3609" w:rsidRPr="00C22EAF" w:rsidRDefault="007D3609" w:rsidP="00C22EAF">
      <w:pPr>
        <w:spacing w:line="480" w:lineRule="auto"/>
        <w:rPr>
          <w:rFonts w:ascii="Garamond" w:hAnsi="Garamond"/>
          <w:sz w:val="24"/>
          <w:szCs w:val="24"/>
        </w:rPr>
      </w:pPr>
    </w:p>
    <w:p w14:paraId="6DB8CCB5" w14:textId="77777777" w:rsidR="00FF4853" w:rsidRDefault="00FF4853" w:rsidP="00C22EAF">
      <w:pPr>
        <w:spacing w:line="480" w:lineRule="auto"/>
        <w:rPr>
          <w:rFonts w:ascii="Garamond" w:hAnsi="Garamond"/>
          <w:sz w:val="24"/>
          <w:szCs w:val="24"/>
        </w:rPr>
      </w:pPr>
      <w:r w:rsidRPr="00C22EAF">
        <w:rPr>
          <w:rFonts w:ascii="Garamond" w:hAnsi="Garamond"/>
          <w:sz w:val="24"/>
          <w:szCs w:val="24"/>
        </w:rPr>
        <w:lastRenderedPageBreak/>
        <w:t>She also argued that any government ‘embracing European federalism — through the European social chapter and, above all, the European single currency — could deal a terminal blow to the traditions of British parliamentary democracy’</w:t>
      </w:r>
      <w:r w:rsidR="00162C4D" w:rsidRPr="00C22EAF">
        <w:rPr>
          <w:rFonts w:ascii="Garamond" w:hAnsi="Garamond"/>
          <w:sz w:val="24"/>
          <w:szCs w:val="24"/>
        </w:rPr>
        <w:t xml:space="preserve"> (</w:t>
      </w:r>
      <w:r w:rsidR="00D91AFC" w:rsidRPr="00C22EAF">
        <w:rPr>
          <w:rFonts w:ascii="Garamond" w:hAnsi="Garamond"/>
          <w:i/>
          <w:sz w:val="24"/>
          <w:szCs w:val="24"/>
        </w:rPr>
        <w:t>ibid.</w:t>
      </w:r>
      <w:r w:rsidR="00162C4D" w:rsidRPr="00C22EAF">
        <w:rPr>
          <w:rFonts w:ascii="Garamond" w:hAnsi="Garamond"/>
          <w:sz w:val="24"/>
          <w:szCs w:val="24"/>
        </w:rPr>
        <w:t>)</w:t>
      </w:r>
      <w:r w:rsidRPr="00C22EAF">
        <w:rPr>
          <w:rFonts w:ascii="Garamond" w:hAnsi="Garamond"/>
          <w:sz w:val="24"/>
          <w:szCs w:val="24"/>
        </w:rPr>
        <w:t xml:space="preserve">. These arguments </w:t>
      </w:r>
      <w:r w:rsidR="00162C4D" w:rsidRPr="00C22EAF">
        <w:rPr>
          <w:rFonts w:ascii="Garamond" w:hAnsi="Garamond"/>
          <w:sz w:val="24"/>
          <w:szCs w:val="24"/>
        </w:rPr>
        <w:t>represent the core</w:t>
      </w:r>
      <w:r w:rsidRPr="00C22EAF">
        <w:rPr>
          <w:rFonts w:ascii="Garamond" w:hAnsi="Garamond"/>
          <w:sz w:val="24"/>
          <w:szCs w:val="24"/>
        </w:rPr>
        <w:t xml:space="preserve"> of what Thatcher believed the UK should be. Indeed, the European project </w:t>
      </w:r>
      <w:r w:rsidR="00162C4D" w:rsidRPr="00C22EAF">
        <w:rPr>
          <w:rFonts w:ascii="Garamond" w:hAnsi="Garamond"/>
          <w:sz w:val="24"/>
          <w:szCs w:val="24"/>
        </w:rPr>
        <w:t>signified a slow yet clear tendency towards the embrace of</w:t>
      </w:r>
      <w:r w:rsidRPr="00C22EAF">
        <w:rPr>
          <w:rFonts w:ascii="Garamond" w:hAnsi="Garamond"/>
          <w:sz w:val="24"/>
          <w:szCs w:val="24"/>
        </w:rPr>
        <w:t xml:space="preserve"> more government</w:t>
      </w:r>
      <w:r w:rsidR="00162C4D" w:rsidRPr="00C22EAF">
        <w:rPr>
          <w:rFonts w:ascii="Garamond" w:hAnsi="Garamond"/>
          <w:sz w:val="24"/>
          <w:szCs w:val="24"/>
        </w:rPr>
        <w:t xml:space="preserve"> by design</w:t>
      </w:r>
      <w:r w:rsidRPr="00C22EAF">
        <w:rPr>
          <w:rFonts w:ascii="Garamond" w:hAnsi="Garamond"/>
          <w:sz w:val="24"/>
          <w:szCs w:val="24"/>
        </w:rPr>
        <w:t xml:space="preserve">, whilst ‘the limitation of government is </w:t>
      </w:r>
      <w:r w:rsidRPr="00C22EAF">
        <w:rPr>
          <w:rFonts w:ascii="Garamond" w:hAnsi="Garamond"/>
          <w:i/>
          <w:iCs/>
          <w:sz w:val="24"/>
          <w:szCs w:val="24"/>
        </w:rPr>
        <w:t>still</w:t>
      </w:r>
      <w:r w:rsidRPr="00C22EAF">
        <w:rPr>
          <w:rFonts w:ascii="Garamond" w:hAnsi="Garamond"/>
          <w:sz w:val="24"/>
          <w:szCs w:val="24"/>
        </w:rPr>
        <w:t xml:space="preserve"> the great issue of British politics’ because of the European Union</w:t>
      </w:r>
      <w:r w:rsidR="00D91AFC" w:rsidRPr="00C22EAF">
        <w:rPr>
          <w:rFonts w:ascii="Garamond" w:hAnsi="Garamond"/>
          <w:sz w:val="24"/>
          <w:szCs w:val="24"/>
        </w:rPr>
        <w:t>’</w:t>
      </w:r>
      <w:r w:rsidR="00162C4D" w:rsidRPr="00C22EAF">
        <w:rPr>
          <w:rFonts w:ascii="Garamond" w:hAnsi="Garamond"/>
          <w:sz w:val="24"/>
          <w:szCs w:val="24"/>
        </w:rPr>
        <w:t xml:space="preserve"> (</w:t>
      </w:r>
      <w:r w:rsidR="00D91AFC" w:rsidRPr="00C22EAF">
        <w:rPr>
          <w:rFonts w:ascii="Garamond" w:hAnsi="Garamond"/>
          <w:i/>
          <w:sz w:val="24"/>
          <w:szCs w:val="24"/>
        </w:rPr>
        <w:t>ibid.</w:t>
      </w:r>
      <w:r w:rsidR="00162C4D" w:rsidRPr="00C22EAF">
        <w:rPr>
          <w:rFonts w:ascii="Garamond" w:hAnsi="Garamond"/>
          <w:sz w:val="24"/>
          <w:szCs w:val="24"/>
        </w:rPr>
        <w:t>)</w:t>
      </w:r>
      <w:r w:rsidRPr="00C22EAF">
        <w:rPr>
          <w:rFonts w:ascii="Garamond" w:hAnsi="Garamond"/>
          <w:sz w:val="24"/>
          <w:szCs w:val="24"/>
        </w:rPr>
        <w:t xml:space="preserve">. </w:t>
      </w:r>
      <w:r w:rsidR="00F57477" w:rsidRPr="00C22EAF">
        <w:rPr>
          <w:rFonts w:ascii="Garamond" w:hAnsi="Garamond"/>
          <w:sz w:val="24"/>
          <w:szCs w:val="24"/>
        </w:rPr>
        <w:t xml:space="preserve">This was a point she sought to strongly emphasise, arguing </w:t>
      </w:r>
      <w:r w:rsidRPr="00C22EAF">
        <w:rPr>
          <w:rFonts w:ascii="Garamond" w:hAnsi="Garamond"/>
          <w:sz w:val="24"/>
          <w:szCs w:val="24"/>
        </w:rPr>
        <w:t>‘the main challenge to limited government comes not from within these shores at all, but rather beyond them — from the European Union’</w:t>
      </w:r>
      <w:r w:rsidR="00F57477" w:rsidRPr="00C22EAF">
        <w:rPr>
          <w:rFonts w:ascii="Garamond" w:hAnsi="Garamond"/>
          <w:sz w:val="24"/>
          <w:szCs w:val="24"/>
        </w:rPr>
        <w:t xml:space="preserve"> (</w:t>
      </w:r>
      <w:r w:rsidR="00D91AFC" w:rsidRPr="00C22EAF">
        <w:rPr>
          <w:rFonts w:ascii="Garamond" w:hAnsi="Garamond"/>
          <w:i/>
          <w:sz w:val="24"/>
          <w:szCs w:val="24"/>
        </w:rPr>
        <w:t>ibid.</w:t>
      </w:r>
      <w:r w:rsidR="00F57477" w:rsidRPr="00C22EAF">
        <w:rPr>
          <w:rFonts w:ascii="Garamond" w:hAnsi="Garamond"/>
          <w:sz w:val="24"/>
          <w:szCs w:val="24"/>
        </w:rPr>
        <w:t>)</w:t>
      </w:r>
      <w:r w:rsidRPr="00C22EAF">
        <w:rPr>
          <w:rFonts w:ascii="Garamond" w:hAnsi="Garamond"/>
          <w:sz w:val="24"/>
          <w:szCs w:val="24"/>
        </w:rPr>
        <w:t xml:space="preserve">. For Thatcher, the EU was no longer about trade, rather it was </w:t>
      </w:r>
      <w:r w:rsidRPr="00C22EAF">
        <w:rPr>
          <w:rFonts w:ascii="Garamond" w:hAnsi="Garamond"/>
          <w:i/>
          <w:sz w:val="24"/>
          <w:szCs w:val="24"/>
        </w:rPr>
        <w:t>itself</w:t>
      </w:r>
      <w:r w:rsidRPr="00C22EAF">
        <w:rPr>
          <w:rFonts w:ascii="Garamond" w:hAnsi="Garamond"/>
          <w:sz w:val="24"/>
          <w:szCs w:val="24"/>
        </w:rPr>
        <w:t xml:space="preserve"> a form of ‘nation-building’ which would have its own legal system, defence, and currency. She attacked these moves by arguing that ‘the European Court… is increasingly undermining our judicial system and the sovereignty of our Parliament’</w:t>
      </w:r>
      <w:r w:rsidR="00F57477" w:rsidRPr="00C22EAF">
        <w:rPr>
          <w:rFonts w:ascii="Garamond" w:hAnsi="Garamond"/>
          <w:sz w:val="24"/>
          <w:szCs w:val="24"/>
        </w:rPr>
        <w:t xml:space="preserve">, </w:t>
      </w:r>
      <w:r w:rsidRPr="00C22EAF">
        <w:rPr>
          <w:rFonts w:ascii="Garamond" w:hAnsi="Garamond"/>
          <w:sz w:val="24"/>
          <w:szCs w:val="24"/>
        </w:rPr>
        <w:t>that ‘</w:t>
      </w:r>
      <w:r w:rsidR="00F57477" w:rsidRPr="00C22EAF">
        <w:rPr>
          <w:rFonts w:ascii="Garamond" w:hAnsi="Garamond"/>
          <w:sz w:val="24"/>
          <w:szCs w:val="24"/>
        </w:rPr>
        <w:t>p</w:t>
      </w:r>
      <w:r w:rsidRPr="00C22EAF">
        <w:rPr>
          <w:rFonts w:ascii="Garamond" w:hAnsi="Garamond"/>
          <w:sz w:val="24"/>
          <w:szCs w:val="24"/>
        </w:rPr>
        <w:t>roposals are being made for common European defence’, and that ‘most important, of course, is the proposed single European currency which, as John Redwood has argued, would be a major step on the way to a single European nation’</w:t>
      </w:r>
      <w:r w:rsidR="00F57477" w:rsidRPr="00C22EAF">
        <w:rPr>
          <w:rFonts w:ascii="Garamond" w:hAnsi="Garamond"/>
          <w:sz w:val="24"/>
          <w:szCs w:val="24"/>
        </w:rPr>
        <w:t xml:space="preserve"> (</w:t>
      </w:r>
      <w:r w:rsidR="00D91AFC" w:rsidRPr="00C22EAF">
        <w:rPr>
          <w:rFonts w:ascii="Garamond" w:hAnsi="Garamond"/>
          <w:i/>
          <w:sz w:val="24"/>
          <w:szCs w:val="24"/>
        </w:rPr>
        <w:t>ibid.</w:t>
      </w:r>
      <w:r w:rsidR="00F57477" w:rsidRPr="00C22EAF">
        <w:rPr>
          <w:rFonts w:ascii="Garamond" w:hAnsi="Garamond"/>
          <w:sz w:val="24"/>
          <w:szCs w:val="24"/>
        </w:rPr>
        <w:t>)</w:t>
      </w:r>
      <w:r w:rsidRPr="00C22EAF">
        <w:rPr>
          <w:rFonts w:ascii="Garamond" w:hAnsi="Garamond"/>
          <w:sz w:val="24"/>
          <w:szCs w:val="24"/>
        </w:rPr>
        <w:t xml:space="preserve">. </w:t>
      </w:r>
      <w:r w:rsidR="00F57477" w:rsidRPr="00C22EAF">
        <w:rPr>
          <w:rFonts w:ascii="Garamond" w:hAnsi="Garamond"/>
          <w:sz w:val="24"/>
          <w:szCs w:val="24"/>
        </w:rPr>
        <w:t>For Thatcher, what was once a ‘common market’ had now adopted the</w:t>
      </w:r>
      <w:r w:rsidRPr="00C22EAF">
        <w:rPr>
          <w:rFonts w:ascii="Garamond" w:hAnsi="Garamond"/>
          <w:sz w:val="24"/>
          <w:szCs w:val="24"/>
        </w:rPr>
        <w:t xml:space="preserve"> </w:t>
      </w:r>
      <w:r w:rsidR="00F57477" w:rsidRPr="00C22EAF">
        <w:rPr>
          <w:rFonts w:ascii="Garamond" w:hAnsi="Garamond"/>
          <w:sz w:val="24"/>
          <w:szCs w:val="24"/>
        </w:rPr>
        <w:t xml:space="preserve">appearance of </w:t>
      </w:r>
      <w:r w:rsidRPr="00C22EAF">
        <w:rPr>
          <w:rFonts w:ascii="Garamond" w:hAnsi="Garamond"/>
          <w:sz w:val="24"/>
          <w:szCs w:val="24"/>
        </w:rPr>
        <w:t xml:space="preserve">a new </w:t>
      </w:r>
      <w:r w:rsidR="00F57477" w:rsidRPr="00C22EAF">
        <w:rPr>
          <w:rFonts w:ascii="Garamond" w:hAnsi="Garamond"/>
          <w:sz w:val="24"/>
          <w:szCs w:val="24"/>
        </w:rPr>
        <w:t xml:space="preserve">federalised </w:t>
      </w:r>
      <w:r w:rsidRPr="00C22EAF">
        <w:rPr>
          <w:rFonts w:ascii="Garamond" w:hAnsi="Garamond"/>
          <w:sz w:val="24"/>
          <w:szCs w:val="24"/>
        </w:rPr>
        <w:t>nation that the UK had not agreed to be part of. It is also interesting to note that in her argument, she sent an implicit message to Major that ‘the Prime Minister will have the support of all of us who wish to see these dangerous and damaging proposals resisted, and the present trends reversed, as he argues Britain’s case at the forthcoming intergovernmental council. And we look forward to a successful outcome’</w:t>
      </w:r>
      <w:r w:rsidR="00F57477" w:rsidRPr="00C22EAF">
        <w:rPr>
          <w:rFonts w:ascii="Garamond" w:hAnsi="Garamond"/>
          <w:sz w:val="24"/>
          <w:szCs w:val="24"/>
        </w:rPr>
        <w:t xml:space="preserve"> (</w:t>
      </w:r>
      <w:r w:rsidR="00D91AFC" w:rsidRPr="00C22EAF">
        <w:rPr>
          <w:rFonts w:ascii="Garamond" w:hAnsi="Garamond"/>
          <w:i/>
          <w:sz w:val="24"/>
          <w:szCs w:val="24"/>
        </w:rPr>
        <w:t>ibid.</w:t>
      </w:r>
      <w:r w:rsidR="00F57477" w:rsidRPr="00C22EAF">
        <w:rPr>
          <w:rFonts w:ascii="Garamond" w:hAnsi="Garamond"/>
          <w:sz w:val="24"/>
          <w:szCs w:val="24"/>
        </w:rPr>
        <w:t>).</w:t>
      </w:r>
      <w:r w:rsidRPr="00C22EAF">
        <w:rPr>
          <w:rFonts w:ascii="Garamond" w:hAnsi="Garamond"/>
          <w:sz w:val="24"/>
          <w:szCs w:val="24"/>
        </w:rPr>
        <w:t xml:space="preserve"> This </w:t>
      </w:r>
      <w:r w:rsidR="00F57477" w:rsidRPr="00C22EAF">
        <w:rPr>
          <w:rFonts w:ascii="Garamond" w:hAnsi="Garamond"/>
          <w:sz w:val="24"/>
          <w:szCs w:val="24"/>
        </w:rPr>
        <w:t>acted</w:t>
      </w:r>
      <w:r w:rsidRPr="00C22EAF">
        <w:rPr>
          <w:rFonts w:ascii="Garamond" w:hAnsi="Garamond"/>
          <w:sz w:val="24"/>
          <w:szCs w:val="24"/>
        </w:rPr>
        <w:t xml:space="preserve"> as an instruction to oppose any of these moves, which </w:t>
      </w:r>
      <w:r w:rsidR="00F57477" w:rsidRPr="00C22EAF">
        <w:rPr>
          <w:rFonts w:ascii="Garamond" w:hAnsi="Garamond"/>
          <w:sz w:val="24"/>
          <w:szCs w:val="24"/>
        </w:rPr>
        <w:t>represents</w:t>
      </w:r>
      <w:r w:rsidRPr="00C22EAF">
        <w:rPr>
          <w:rFonts w:ascii="Garamond" w:hAnsi="Garamond"/>
          <w:sz w:val="24"/>
          <w:szCs w:val="24"/>
        </w:rPr>
        <w:t xml:space="preserve"> a strong use of her rhetorical </w:t>
      </w:r>
      <w:r w:rsidRPr="00C22EAF">
        <w:rPr>
          <w:rFonts w:ascii="Garamond" w:hAnsi="Garamond"/>
          <w:i/>
          <w:sz w:val="24"/>
          <w:szCs w:val="24"/>
        </w:rPr>
        <w:t>ethos</w:t>
      </w:r>
      <w:r w:rsidRPr="00C22EAF">
        <w:rPr>
          <w:rFonts w:ascii="Garamond" w:hAnsi="Garamond"/>
          <w:sz w:val="24"/>
          <w:szCs w:val="24"/>
        </w:rPr>
        <w:t xml:space="preserve">. </w:t>
      </w:r>
    </w:p>
    <w:p w14:paraId="65922E18" w14:textId="77777777" w:rsidR="007D3609" w:rsidRPr="00C22EAF" w:rsidRDefault="007D3609" w:rsidP="00C22EAF">
      <w:pPr>
        <w:spacing w:line="480" w:lineRule="auto"/>
        <w:rPr>
          <w:rFonts w:ascii="Garamond" w:hAnsi="Garamond"/>
          <w:sz w:val="24"/>
          <w:szCs w:val="24"/>
        </w:rPr>
      </w:pPr>
    </w:p>
    <w:p w14:paraId="33FF2FC0" w14:textId="77777777" w:rsidR="00FF4853" w:rsidRDefault="00FF4853" w:rsidP="00C22EAF">
      <w:pPr>
        <w:spacing w:line="480" w:lineRule="auto"/>
        <w:rPr>
          <w:rFonts w:ascii="Garamond" w:hAnsi="Garamond"/>
          <w:sz w:val="24"/>
          <w:szCs w:val="24"/>
        </w:rPr>
      </w:pPr>
      <w:r w:rsidRPr="00C22EAF">
        <w:rPr>
          <w:rFonts w:ascii="Garamond" w:hAnsi="Garamond"/>
          <w:sz w:val="24"/>
          <w:szCs w:val="24"/>
        </w:rPr>
        <w:lastRenderedPageBreak/>
        <w:t xml:space="preserve">Thatcher’s </w:t>
      </w:r>
      <w:r w:rsidR="00EC4D88" w:rsidRPr="00C22EAF">
        <w:rPr>
          <w:rFonts w:ascii="Garamond" w:hAnsi="Garamond"/>
          <w:sz w:val="24"/>
          <w:szCs w:val="24"/>
        </w:rPr>
        <w:t>interventions over the Major period were</w:t>
      </w:r>
      <w:r w:rsidRPr="00C22EAF">
        <w:rPr>
          <w:rFonts w:ascii="Garamond" w:hAnsi="Garamond"/>
          <w:sz w:val="24"/>
          <w:szCs w:val="24"/>
        </w:rPr>
        <w:t xml:space="preserve"> about sovereignty and power. </w:t>
      </w:r>
      <w:r w:rsidR="00EC4D88" w:rsidRPr="00C22EAF">
        <w:rPr>
          <w:rFonts w:ascii="Garamond" w:hAnsi="Garamond"/>
          <w:sz w:val="24"/>
          <w:szCs w:val="24"/>
        </w:rPr>
        <w:t>This reflected the core messages of her Bruges speech. As a core point, s</w:t>
      </w:r>
      <w:r w:rsidRPr="00C22EAF">
        <w:rPr>
          <w:rFonts w:ascii="Garamond" w:hAnsi="Garamond"/>
          <w:sz w:val="24"/>
          <w:szCs w:val="24"/>
        </w:rPr>
        <w:t xml:space="preserve">he </w:t>
      </w:r>
      <w:r w:rsidR="00EC4D88" w:rsidRPr="00C22EAF">
        <w:rPr>
          <w:rFonts w:ascii="Garamond" w:hAnsi="Garamond"/>
          <w:sz w:val="24"/>
          <w:szCs w:val="24"/>
        </w:rPr>
        <w:t>maintained</w:t>
      </w:r>
      <w:r w:rsidRPr="00C22EAF">
        <w:rPr>
          <w:rFonts w:ascii="Garamond" w:hAnsi="Garamond"/>
          <w:sz w:val="24"/>
          <w:szCs w:val="24"/>
        </w:rPr>
        <w:t xml:space="preserve"> that ‘vital as the issue of </w:t>
      </w:r>
      <w:r w:rsidRPr="00C22EAF">
        <w:rPr>
          <w:rFonts w:ascii="Garamond" w:hAnsi="Garamond"/>
          <w:i/>
          <w:iCs/>
          <w:sz w:val="24"/>
          <w:szCs w:val="24"/>
        </w:rPr>
        <w:t>self</w:t>
      </w:r>
      <w:r w:rsidRPr="00C22EAF">
        <w:rPr>
          <w:rFonts w:ascii="Garamond" w:hAnsi="Garamond"/>
          <w:sz w:val="24"/>
          <w:szCs w:val="24"/>
        </w:rPr>
        <w:t xml:space="preserve">-government is, it is </w:t>
      </w:r>
      <w:r w:rsidRPr="00C22EAF">
        <w:rPr>
          <w:rFonts w:ascii="Garamond" w:hAnsi="Garamond"/>
          <w:i/>
          <w:iCs/>
          <w:sz w:val="24"/>
          <w:szCs w:val="24"/>
        </w:rPr>
        <w:t>limited</w:t>
      </w:r>
      <w:r w:rsidRPr="00C22EAF">
        <w:rPr>
          <w:rFonts w:ascii="Garamond" w:hAnsi="Garamond"/>
          <w:sz w:val="24"/>
          <w:szCs w:val="24"/>
        </w:rPr>
        <w:t xml:space="preserve"> government that concerns me today. For the European Union not only wishes to take away our powers; it wishes to increase its </w:t>
      </w:r>
      <w:r w:rsidRPr="00C22EAF">
        <w:rPr>
          <w:rFonts w:ascii="Garamond" w:hAnsi="Garamond"/>
          <w:i/>
          <w:iCs/>
          <w:sz w:val="24"/>
          <w:szCs w:val="24"/>
        </w:rPr>
        <w:t>own</w:t>
      </w:r>
      <w:r w:rsidRPr="00C22EAF">
        <w:rPr>
          <w:rFonts w:ascii="Garamond" w:hAnsi="Garamond"/>
          <w:sz w:val="24"/>
          <w:szCs w:val="24"/>
        </w:rPr>
        <w:t xml:space="preserve">.’ The growth of the EU’s powerbase comes at the expense of member-states who continue to integrate. It is, for Thatcher, a continuing process. She continued by arguing that ‘a common European citizenship and greatly expanded the remit of the European Commission, shows the outlines of the bureaucratic superstate which is envisaged. And Maastricht </w:t>
      </w:r>
      <w:r w:rsidR="00EC4D88" w:rsidRPr="00C22EAF">
        <w:rPr>
          <w:rFonts w:ascii="Garamond" w:hAnsi="Garamond"/>
          <w:sz w:val="24"/>
          <w:szCs w:val="24"/>
        </w:rPr>
        <w:t>[was]</w:t>
      </w:r>
      <w:r w:rsidRPr="00C22EAF">
        <w:rPr>
          <w:rFonts w:ascii="Garamond" w:hAnsi="Garamond"/>
          <w:sz w:val="24"/>
          <w:szCs w:val="24"/>
        </w:rPr>
        <w:t xml:space="preserve"> the beginni</w:t>
      </w:r>
      <w:r w:rsidR="00EC4D88" w:rsidRPr="00C22EAF">
        <w:rPr>
          <w:rFonts w:ascii="Garamond" w:hAnsi="Garamond"/>
          <w:sz w:val="24"/>
          <w:szCs w:val="24"/>
        </w:rPr>
        <w:t>ng, not the end of that process</w:t>
      </w:r>
      <w:r w:rsidRPr="00C22EAF">
        <w:rPr>
          <w:rFonts w:ascii="Garamond" w:hAnsi="Garamond"/>
          <w:sz w:val="24"/>
          <w:szCs w:val="24"/>
        </w:rPr>
        <w:t>’</w:t>
      </w:r>
      <w:r w:rsidR="00EC4D88" w:rsidRPr="00C22EAF">
        <w:rPr>
          <w:rFonts w:ascii="Garamond" w:hAnsi="Garamond"/>
          <w:sz w:val="24"/>
          <w:szCs w:val="24"/>
        </w:rPr>
        <w:t xml:space="preserve"> (</w:t>
      </w:r>
      <w:r w:rsidR="00D91AFC"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xml:space="preserve"> This use of </w:t>
      </w:r>
      <w:r w:rsidRPr="00C22EAF">
        <w:rPr>
          <w:rFonts w:ascii="Garamond" w:hAnsi="Garamond"/>
          <w:i/>
          <w:sz w:val="24"/>
          <w:szCs w:val="24"/>
        </w:rPr>
        <w:t>pathos</w:t>
      </w:r>
      <w:r w:rsidRPr="00C22EAF">
        <w:rPr>
          <w:rFonts w:ascii="Garamond" w:hAnsi="Garamond"/>
          <w:sz w:val="24"/>
          <w:szCs w:val="24"/>
        </w:rPr>
        <w:t xml:space="preserve"> is </w:t>
      </w:r>
      <w:r w:rsidR="00EC4D88" w:rsidRPr="00C22EAF">
        <w:rPr>
          <w:rFonts w:ascii="Garamond" w:hAnsi="Garamond"/>
          <w:sz w:val="24"/>
          <w:szCs w:val="24"/>
        </w:rPr>
        <w:t>an attempt to warn her audience of a broader trajectory of integration</w:t>
      </w:r>
      <w:r w:rsidRPr="00C22EAF">
        <w:rPr>
          <w:rFonts w:ascii="Garamond" w:hAnsi="Garamond"/>
          <w:sz w:val="24"/>
          <w:szCs w:val="24"/>
        </w:rPr>
        <w:t xml:space="preserve">. </w:t>
      </w:r>
      <w:r w:rsidR="00EC4D88" w:rsidRPr="00C22EAF">
        <w:rPr>
          <w:rFonts w:ascii="Garamond" w:hAnsi="Garamond"/>
          <w:sz w:val="24"/>
          <w:szCs w:val="24"/>
        </w:rPr>
        <w:t xml:space="preserve">The warning concerns what the EU was at the time of delivery, </w:t>
      </w:r>
      <w:r w:rsidRPr="00C22EAF">
        <w:rPr>
          <w:rFonts w:ascii="Garamond" w:hAnsi="Garamond"/>
          <w:sz w:val="24"/>
          <w:szCs w:val="24"/>
        </w:rPr>
        <w:t>and what it intend</w:t>
      </w:r>
      <w:r w:rsidR="00EC4D88" w:rsidRPr="00C22EAF">
        <w:rPr>
          <w:rFonts w:ascii="Garamond" w:hAnsi="Garamond"/>
          <w:sz w:val="24"/>
          <w:szCs w:val="24"/>
        </w:rPr>
        <w:t>ed</w:t>
      </w:r>
      <w:r w:rsidRPr="00C22EAF">
        <w:rPr>
          <w:rFonts w:ascii="Garamond" w:hAnsi="Garamond"/>
          <w:sz w:val="24"/>
          <w:szCs w:val="24"/>
        </w:rPr>
        <w:t xml:space="preserve"> on becoming</w:t>
      </w:r>
      <w:r w:rsidR="00EC4D88" w:rsidRPr="00C22EAF">
        <w:rPr>
          <w:rFonts w:ascii="Garamond" w:hAnsi="Garamond"/>
          <w:sz w:val="24"/>
          <w:szCs w:val="24"/>
        </w:rPr>
        <w:t xml:space="preserve"> into the 21</w:t>
      </w:r>
      <w:r w:rsidR="00EC4D88" w:rsidRPr="00C22EAF">
        <w:rPr>
          <w:rFonts w:ascii="Garamond" w:hAnsi="Garamond"/>
          <w:sz w:val="24"/>
          <w:szCs w:val="24"/>
          <w:vertAlign w:val="superscript"/>
        </w:rPr>
        <w:t>st</w:t>
      </w:r>
      <w:r w:rsidR="00EC4D88" w:rsidRPr="00C22EAF">
        <w:rPr>
          <w:rFonts w:ascii="Garamond" w:hAnsi="Garamond"/>
          <w:sz w:val="24"/>
          <w:szCs w:val="24"/>
        </w:rPr>
        <w:t xml:space="preserve"> Century</w:t>
      </w:r>
      <w:r w:rsidRPr="00C22EAF">
        <w:rPr>
          <w:rFonts w:ascii="Garamond" w:hAnsi="Garamond"/>
          <w:sz w:val="24"/>
          <w:szCs w:val="24"/>
        </w:rPr>
        <w:t>. Again, this is because of the lack of visible accountability and the imposition of a single European identity through legislation and the transfer of sovereign power from member-states to itself. For Thatcher, this represented ‘the emergence of a whole new international political class’ that comprised of politicians who had, she argued, ‘failed in their own countries, and so have tried their luck overseas’</w:t>
      </w:r>
      <w:r w:rsidR="00EC4D88" w:rsidRPr="00C22EAF">
        <w:rPr>
          <w:rFonts w:ascii="Garamond" w:hAnsi="Garamond"/>
          <w:sz w:val="24"/>
          <w:szCs w:val="24"/>
        </w:rPr>
        <w:t xml:space="preserve"> (</w:t>
      </w:r>
      <w:r w:rsidR="00165DD9"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xml:space="preserve">. </w:t>
      </w:r>
    </w:p>
    <w:p w14:paraId="5FD7BB34" w14:textId="77777777" w:rsidR="007D3609" w:rsidRPr="00C22EAF" w:rsidRDefault="007D3609" w:rsidP="00C22EAF">
      <w:pPr>
        <w:spacing w:line="480" w:lineRule="auto"/>
        <w:rPr>
          <w:rFonts w:ascii="Garamond" w:hAnsi="Garamond"/>
          <w:sz w:val="24"/>
          <w:szCs w:val="24"/>
        </w:rPr>
      </w:pPr>
    </w:p>
    <w:p w14:paraId="7235ADA7" w14:textId="77777777" w:rsidR="00FF4853" w:rsidRDefault="00FF4853" w:rsidP="00C22EAF">
      <w:pPr>
        <w:spacing w:line="480" w:lineRule="auto"/>
        <w:rPr>
          <w:rFonts w:ascii="Garamond" w:hAnsi="Garamond"/>
          <w:sz w:val="24"/>
          <w:szCs w:val="24"/>
        </w:rPr>
      </w:pPr>
      <w:r w:rsidRPr="00C22EAF">
        <w:rPr>
          <w:rFonts w:ascii="Garamond" w:hAnsi="Garamond"/>
          <w:sz w:val="24"/>
          <w:szCs w:val="24"/>
        </w:rPr>
        <w:t>It is interesting to note how Thatcher criticised the Labour Party on this basis. She argued that ‘it is no surprise to me — as someone who always recognised the Socialist destination of this Euro-federalist dream — that now the Labour Party welcomes it all so warmly’</w:t>
      </w:r>
      <w:r w:rsidR="00EC4D88" w:rsidRPr="00C22EAF">
        <w:rPr>
          <w:rFonts w:ascii="Garamond" w:hAnsi="Garamond"/>
          <w:sz w:val="24"/>
          <w:szCs w:val="24"/>
        </w:rPr>
        <w:t xml:space="preserve"> (</w:t>
      </w:r>
      <w:r w:rsidR="00165DD9"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For Thatcher, the EU was becoming a destination for socialists who have failed electorally. Indeed, ‘</w:t>
      </w:r>
      <w:r w:rsidR="00EC4D88" w:rsidRPr="00C22EAF">
        <w:rPr>
          <w:rFonts w:ascii="Garamond" w:hAnsi="Garamond"/>
          <w:sz w:val="24"/>
          <w:szCs w:val="24"/>
        </w:rPr>
        <w:t>w</w:t>
      </w:r>
      <w:r w:rsidRPr="00C22EAF">
        <w:rPr>
          <w:rFonts w:ascii="Garamond" w:hAnsi="Garamond"/>
          <w:sz w:val="24"/>
          <w:szCs w:val="24"/>
        </w:rPr>
        <w:t>hat they can’t achieve in an independent, free enterprise Britain, they can hope to secure in a Euro-federalist Britain, whose people’s instincts are ignored and whose parliamenta</w:t>
      </w:r>
      <w:r w:rsidR="00EC4D88" w:rsidRPr="00C22EAF">
        <w:rPr>
          <w:rFonts w:ascii="Garamond" w:hAnsi="Garamond"/>
          <w:sz w:val="24"/>
          <w:szCs w:val="24"/>
        </w:rPr>
        <w:t>ry institutions are over-ridden</w:t>
      </w:r>
      <w:r w:rsidRPr="00C22EAF">
        <w:rPr>
          <w:rFonts w:ascii="Garamond" w:hAnsi="Garamond"/>
          <w:sz w:val="24"/>
          <w:szCs w:val="24"/>
        </w:rPr>
        <w:t>’</w:t>
      </w:r>
      <w:r w:rsidR="00EC4D88" w:rsidRPr="00C22EAF">
        <w:rPr>
          <w:rFonts w:ascii="Garamond" w:hAnsi="Garamond"/>
          <w:sz w:val="24"/>
          <w:szCs w:val="24"/>
        </w:rPr>
        <w:t xml:space="preserve"> (</w:t>
      </w:r>
      <w:r w:rsidR="00165DD9"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xml:space="preserve"> This conflation of the EU with the </w:t>
      </w:r>
      <w:r w:rsidR="00EC4D88" w:rsidRPr="00C22EAF">
        <w:rPr>
          <w:rFonts w:ascii="Garamond" w:hAnsi="Garamond"/>
          <w:sz w:val="24"/>
          <w:szCs w:val="24"/>
        </w:rPr>
        <w:lastRenderedPageBreak/>
        <w:t xml:space="preserve">aims of the </w:t>
      </w:r>
      <w:r w:rsidRPr="00C22EAF">
        <w:rPr>
          <w:rFonts w:ascii="Garamond" w:hAnsi="Garamond"/>
          <w:sz w:val="24"/>
          <w:szCs w:val="24"/>
        </w:rPr>
        <w:t>Labour Party sought to galvanise Conservative opposition to both and to illustrate the ideological differe</w:t>
      </w:r>
      <w:r w:rsidR="00EC4D88" w:rsidRPr="00C22EAF">
        <w:rPr>
          <w:rFonts w:ascii="Garamond" w:hAnsi="Garamond"/>
          <w:sz w:val="24"/>
          <w:szCs w:val="24"/>
        </w:rPr>
        <w:t xml:space="preserve">nces between conservatism and a seemingly </w:t>
      </w:r>
      <w:r w:rsidRPr="00C22EAF">
        <w:rPr>
          <w:rFonts w:ascii="Garamond" w:hAnsi="Garamond"/>
          <w:sz w:val="24"/>
          <w:szCs w:val="24"/>
        </w:rPr>
        <w:t>socialist EU. She summarised these as ‘</w:t>
      </w:r>
      <w:r w:rsidR="00EC4D88" w:rsidRPr="00C22EAF">
        <w:rPr>
          <w:rFonts w:ascii="Garamond" w:hAnsi="Garamond"/>
          <w:sz w:val="24"/>
          <w:szCs w:val="24"/>
        </w:rPr>
        <w:t>s</w:t>
      </w:r>
      <w:r w:rsidRPr="00C22EAF">
        <w:rPr>
          <w:rFonts w:ascii="Garamond" w:hAnsi="Garamond"/>
          <w:sz w:val="24"/>
          <w:szCs w:val="24"/>
        </w:rPr>
        <w:t>elf-government, limited government, our laws, our Parliament, our freedom’</w:t>
      </w:r>
      <w:r w:rsidR="00EC4D88" w:rsidRPr="00C22EAF">
        <w:rPr>
          <w:rFonts w:ascii="Garamond" w:hAnsi="Garamond"/>
          <w:sz w:val="24"/>
          <w:szCs w:val="24"/>
        </w:rPr>
        <w:t xml:space="preserve"> (</w:t>
      </w:r>
      <w:r w:rsidR="00165DD9"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For Thatcher, these represent</w:t>
      </w:r>
      <w:r w:rsidR="00EC4D88" w:rsidRPr="00C22EAF">
        <w:rPr>
          <w:rFonts w:ascii="Garamond" w:hAnsi="Garamond"/>
          <w:sz w:val="24"/>
          <w:szCs w:val="24"/>
        </w:rPr>
        <w:t>ed</w:t>
      </w:r>
      <w:r w:rsidRPr="00C22EAF">
        <w:rPr>
          <w:rFonts w:ascii="Garamond" w:hAnsi="Garamond"/>
          <w:sz w:val="24"/>
          <w:szCs w:val="24"/>
        </w:rPr>
        <w:t xml:space="preserve"> the core pillars of conservatism and that the European Union is fundamentally incompatible with them. She continued by arguing that ‘if we Conservatives explain that [these pillars] are now in peril, they </w:t>
      </w:r>
      <w:r w:rsidR="00EC4D88" w:rsidRPr="00C22EAF">
        <w:rPr>
          <w:rFonts w:ascii="Garamond" w:hAnsi="Garamond"/>
          <w:sz w:val="24"/>
          <w:szCs w:val="24"/>
        </w:rPr>
        <w:t>will not be lightly surrendered</w:t>
      </w:r>
      <w:r w:rsidRPr="00C22EAF">
        <w:rPr>
          <w:rFonts w:ascii="Garamond" w:hAnsi="Garamond"/>
          <w:sz w:val="24"/>
          <w:szCs w:val="24"/>
        </w:rPr>
        <w:t>’</w:t>
      </w:r>
      <w:r w:rsidR="00EC4D88" w:rsidRPr="00C22EAF">
        <w:rPr>
          <w:rFonts w:ascii="Garamond" w:hAnsi="Garamond"/>
          <w:sz w:val="24"/>
          <w:szCs w:val="24"/>
        </w:rPr>
        <w:t xml:space="preserve"> (</w:t>
      </w:r>
      <w:r w:rsidR="00165DD9" w:rsidRPr="00C22EAF">
        <w:rPr>
          <w:rFonts w:ascii="Garamond" w:hAnsi="Garamond"/>
          <w:i/>
          <w:sz w:val="24"/>
          <w:szCs w:val="24"/>
        </w:rPr>
        <w:t>ibid.</w:t>
      </w:r>
      <w:r w:rsidR="00EC4D88" w:rsidRPr="00C22EAF">
        <w:rPr>
          <w:rFonts w:ascii="Garamond" w:hAnsi="Garamond"/>
          <w:sz w:val="24"/>
          <w:szCs w:val="24"/>
        </w:rPr>
        <w:t>).</w:t>
      </w:r>
      <w:r w:rsidRPr="00C22EAF">
        <w:rPr>
          <w:rFonts w:ascii="Garamond" w:hAnsi="Garamond"/>
          <w:sz w:val="24"/>
          <w:szCs w:val="24"/>
        </w:rPr>
        <w:t xml:space="preserve"> For Thatcher, this was very much a question of national survival as well as economic and political questions.</w:t>
      </w:r>
    </w:p>
    <w:p w14:paraId="1053D1DD" w14:textId="77777777" w:rsidR="007D3609" w:rsidRPr="00C22EAF" w:rsidRDefault="007D3609" w:rsidP="00C22EAF">
      <w:pPr>
        <w:spacing w:line="480" w:lineRule="auto"/>
        <w:rPr>
          <w:rFonts w:ascii="Garamond" w:hAnsi="Garamond"/>
          <w:sz w:val="24"/>
          <w:szCs w:val="24"/>
        </w:rPr>
      </w:pPr>
    </w:p>
    <w:p w14:paraId="7AA6B7DD" w14:textId="77777777" w:rsidR="00E66FF9" w:rsidRDefault="00EC4D88" w:rsidP="00C22EAF">
      <w:pPr>
        <w:spacing w:line="480" w:lineRule="auto"/>
        <w:rPr>
          <w:rFonts w:ascii="Garamond" w:hAnsi="Garamond"/>
          <w:sz w:val="24"/>
          <w:szCs w:val="24"/>
        </w:rPr>
      </w:pPr>
      <w:r w:rsidRPr="00C22EAF">
        <w:rPr>
          <w:rFonts w:ascii="Garamond" w:hAnsi="Garamond"/>
          <w:sz w:val="24"/>
          <w:szCs w:val="24"/>
        </w:rPr>
        <w:t xml:space="preserve">This conflation was a position she continued pursuing into the 1997 general election. Although the Major government appeared to be taking the Party out of office following a turbulent term of office, Thatcher used her time campaigning for the Conservatives around the UK. Whilst speaking in Christchurch and </w:t>
      </w:r>
      <w:proofErr w:type="spellStart"/>
      <w:r w:rsidRPr="00C22EAF">
        <w:rPr>
          <w:rFonts w:ascii="Garamond" w:hAnsi="Garamond"/>
          <w:sz w:val="24"/>
          <w:szCs w:val="24"/>
        </w:rPr>
        <w:t>Altershot</w:t>
      </w:r>
      <w:proofErr w:type="spellEnd"/>
      <w:r w:rsidRPr="00C22EAF">
        <w:rPr>
          <w:rFonts w:ascii="Garamond" w:hAnsi="Garamond"/>
          <w:sz w:val="24"/>
          <w:szCs w:val="24"/>
        </w:rPr>
        <w:t xml:space="preserve"> in April 1997, she used a co</w:t>
      </w:r>
      <w:r w:rsidR="00FF4853" w:rsidRPr="00C22EAF">
        <w:rPr>
          <w:rFonts w:ascii="Garamond" w:hAnsi="Garamond"/>
          <w:sz w:val="24"/>
          <w:szCs w:val="24"/>
        </w:rPr>
        <w:t xml:space="preserve">mbination of </w:t>
      </w:r>
      <w:r w:rsidR="00FF4853" w:rsidRPr="00C22EAF">
        <w:rPr>
          <w:rFonts w:ascii="Garamond" w:hAnsi="Garamond"/>
          <w:i/>
          <w:sz w:val="24"/>
          <w:szCs w:val="24"/>
        </w:rPr>
        <w:t>logos</w:t>
      </w:r>
      <w:r w:rsidR="00FF4853" w:rsidRPr="00C22EAF">
        <w:rPr>
          <w:rFonts w:ascii="Garamond" w:hAnsi="Garamond"/>
          <w:sz w:val="24"/>
          <w:szCs w:val="24"/>
        </w:rPr>
        <w:t xml:space="preserve"> and </w:t>
      </w:r>
      <w:r w:rsidR="00FF4853" w:rsidRPr="00C22EAF">
        <w:rPr>
          <w:rFonts w:ascii="Garamond" w:hAnsi="Garamond"/>
          <w:i/>
          <w:sz w:val="24"/>
          <w:szCs w:val="24"/>
        </w:rPr>
        <w:t>pathos</w:t>
      </w:r>
      <w:r w:rsidR="00FF4853" w:rsidRPr="00C22EAF">
        <w:rPr>
          <w:rFonts w:ascii="Garamond" w:hAnsi="Garamond"/>
          <w:sz w:val="24"/>
          <w:szCs w:val="24"/>
        </w:rPr>
        <w:t xml:space="preserve"> to argue ‘I am for Britain. And I think we are giving too much to Europe. Our fish. 80 per cent of the fish bearing waters are ours, we only get 30 per cent of the fish. They export more goods to us than we do to them. We give them £10 billion year’</w:t>
      </w:r>
      <w:r w:rsidRPr="00C22EAF">
        <w:rPr>
          <w:rFonts w:ascii="Garamond" w:hAnsi="Garamond"/>
          <w:sz w:val="24"/>
          <w:szCs w:val="24"/>
        </w:rPr>
        <w:t xml:space="preserve"> (</w:t>
      </w:r>
      <w:r w:rsidR="00165DD9" w:rsidRPr="00C22EAF">
        <w:rPr>
          <w:rFonts w:ascii="Garamond" w:hAnsi="Garamond"/>
          <w:sz w:val="24"/>
          <w:szCs w:val="24"/>
        </w:rPr>
        <w:t>Thatcher, 1997</w:t>
      </w:r>
      <w:r w:rsidRPr="00C22EAF">
        <w:rPr>
          <w:rFonts w:ascii="Garamond" w:hAnsi="Garamond"/>
          <w:sz w:val="24"/>
          <w:szCs w:val="24"/>
        </w:rPr>
        <w:t>)</w:t>
      </w:r>
      <w:r w:rsidR="00FF4853" w:rsidRPr="00C22EAF">
        <w:rPr>
          <w:rFonts w:ascii="Garamond" w:hAnsi="Garamond"/>
          <w:sz w:val="24"/>
          <w:szCs w:val="24"/>
        </w:rPr>
        <w:t xml:space="preserve">. This argument aims to highlight the disparity in the relationship between the UK and the EU. </w:t>
      </w:r>
    </w:p>
    <w:p w14:paraId="68E89C68" w14:textId="77777777" w:rsidR="007D3609" w:rsidRPr="00C22EAF" w:rsidRDefault="007D3609" w:rsidP="00C22EAF">
      <w:pPr>
        <w:spacing w:line="480" w:lineRule="auto"/>
        <w:rPr>
          <w:rFonts w:ascii="Garamond" w:hAnsi="Garamond"/>
          <w:sz w:val="24"/>
          <w:szCs w:val="24"/>
        </w:rPr>
      </w:pPr>
    </w:p>
    <w:p w14:paraId="3EC53D30" w14:textId="77777777" w:rsidR="00BC1E5C" w:rsidRDefault="00E66FF9" w:rsidP="00C22EAF">
      <w:pPr>
        <w:spacing w:line="480" w:lineRule="auto"/>
        <w:rPr>
          <w:rFonts w:ascii="Garamond" w:hAnsi="Garamond"/>
          <w:sz w:val="24"/>
          <w:szCs w:val="24"/>
        </w:rPr>
      </w:pPr>
      <w:r w:rsidRPr="00C22EAF">
        <w:rPr>
          <w:rFonts w:ascii="Garamond" w:hAnsi="Garamond"/>
          <w:sz w:val="24"/>
          <w:szCs w:val="24"/>
        </w:rPr>
        <w:t>Moreover, s</w:t>
      </w:r>
      <w:r w:rsidR="00FF4853" w:rsidRPr="00C22EAF">
        <w:rPr>
          <w:rFonts w:ascii="Garamond" w:hAnsi="Garamond"/>
          <w:sz w:val="24"/>
          <w:szCs w:val="24"/>
        </w:rPr>
        <w:t>he also sought to warn that Labour would push this relationship even further to</w:t>
      </w:r>
      <w:r w:rsidR="0096223E" w:rsidRPr="00C22EAF">
        <w:rPr>
          <w:rFonts w:ascii="Garamond" w:hAnsi="Garamond"/>
          <w:sz w:val="24"/>
          <w:szCs w:val="24"/>
        </w:rPr>
        <w:t>wards Europe. She argued that ‘w</w:t>
      </w:r>
      <w:r w:rsidR="00FF4853" w:rsidRPr="00C22EAF">
        <w:rPr>
          <w:rFonts w:ascii="Garamond" w:hAnsi="Garamond"/>
          <w:sz w:val="24"/>
          <w:szCs w:val="24"/>
        </w:rPr>
        <w:t xml:space="preserve">ithin seven weeks of the election decisions will be taken in Europe at the Conference at Amsterdam between the heads of all governments which will decide our destiny. And it is important that everyone knows that and the Prime </w:t>
      </w:r>
      <w:r w:rsidR="00FF4853" w:rsidRPr="00C22EAF">
        <w:rPr>
          <w:rFonts w:ascii="Garamond" w:hAnsi="Garamond"/>
          <w:sz w:val="24"/>
          <w:szCs w:val="24"/>
        </w:rPr>
        <w:lastRenderedPageBreak/>
        <w:t>Minister has given a lead to say we ar</w:t>
      </w:r>
      <w:r w:rsidRPr="00C22EAF">
        <w:rPr>
          <w:rFonts w:ascii="Garamond" w:hAnsi="Garamond"/>
          <w:sz w:val="24"/>
          <w:szCs w:val="24"/>
        </w:rPr>
        <w:t>e for a Europe of nation states</w:t>
      </w:r>
      <w:r w:rsidR="00FF4853" w:rsidRPr="00C22EAF">
        <w:rPr>
          <w:rFonts w:ascii="Garamond" w:hAnsi="Garamond"/>
          <w:sz w:val="24"/>
          <w:szCs w:val="24"/>
        </w:rPr>
        <w:t>’</w:t>
      </w:r>
      <w:r w:rsidRPr="00C22EAF">
        <w:rPr>
          <w:rFonts w:ascii="Garamond" w:hAnsi="Garamond"/>
          <w:sz w:val="24"/>
          <w:szCs w:val="24"/>
        </w:rPr>
        <w:t xml:space="preserve"> (</w:t>
      </w:r>
      <w:r w:rsidR="00087693" w:rsidRPr="00C22EAF">
        <w:rPr>
          <w:rFonts w:ascii="Garamond" w:hAnsi="Garamond"/>
          <w:i/>
          <w:sz w:val="24"/>
          <w:szCs w:val="24"/>
        </w:rPr>
        <w:t>ibid.</w:t>
      </w:r>
      <w:r w:rsidRPr="00C22EAF">
        <w:rPr>
          <w:rFonts w:ascii="Garamond" w:hAnsi="Garamond"/>
          <w:sz w:val="24"/>
          <w:szCs w:val="24"/>
        </w:rPr>
        <w:t>).</w:t>
      </w:r>
      <w:r w:rsidR="00FF4853" w:rsidRPr="00C22EAF">
        <w:rPr>
          <w:rFonts w:ascii="Garamond" w:hAnsi="Garamond"/>
          <w:sz w:val="24"/>
          <w:szCs w:val="24"/>
        </w:rPr>
        <w:t xml:space="preserve"> </w:t>
      </w:r>
      <w:r w:rsidRPr="00C22EAF">
        <w:rPr>
          <w:rFonts w:ascii="Garamond" w:hAnsi="Garamond"/>
          <w:sz w:val="24"/>
          <w:szCs w:val="24"/>
        </w:rPr>
        <w:t>This was a warning to</w:t>
      </w:r>
      <w:r w:rsidR="00FF4853" w:rsidRPr="00C22EAF">
        <w:rPr>
          <w:rFonts w:ascii="Garamond" w:hAnsi="Garamond"/>
          <w:sz w:val="24"/>
          <w:szCs w:val="24"/>
        </w:rPr>
        <w:t xml:space="preserve"> whoever </w:t>
      </w:r>
      <w:r w:rsidRPr="00C22EAF">
        <w:rPr>
          <w:rFonts w:ascii="Garamond" w:hAnsi="Garamond"/>
          <w:sz w:val="24"/>
          <w:szCs w:val="24"/>
        </w:rPr>
        <w:t>emerged as Prime Minister following the election that they would need to</w:t>
      </w:r>
      <w:r w:rsidR="00FF4853" w:rsidRPr="00C22EAF">
        <w:rPr>
          <w:rFonts w:ascii="Garamond" w:hAnsi="Garamond"/>
          <w:sz w:val="24"/>
          <w:szCs w:val="24"/>
        </w:rPr>
        <w:t xml:space="preserve"> decide how the relationship continues to develop. For Thatcher, the line given by Major would be the mo</w:t>
      </w:r>
      <w:r w:rsidRPr="00C22EAF">
        <w:rPr>
          <w:rFonts w:ascii="Garamond" w:hAnsi="Garamond"/>
          <w:sz w:val="24"/>
          <w:szCs w:val="24"/>
        </w:rPr>
        <w:t>re</w:t>
      </w:r>
      <w:r w:rsidR="00FF4853" w:rsidRPr="00C22EAF">
        <w:rPr>
          <w:rFonts w:ascii="Garamond" w:hAnsi="Garamond"/>
          <w:sz w:val="24"/>
          <w:szCs w:val="24"/>
        </w:rPr>
        <w:t xml:space="preserve"> effective</w:t>
      </w:r>
      <w:r w:rsidRPr="00C22EAF">
        <w:rPr>
          <w:rFonts w:ascii="Garamond" w:hAnsi="Garamond"/>
          <w:sz w:val="24"/>
          <w:szCs w:val="24"/>
        </w:rPr>
        <w:t xml:space="preserve"> that</w:t>
      </w:r>
      <w:r w:rsidR="00FF4853" w:rsidRPr="00C22EAF">
        <w:rPr>
          <w:rFonts w:ascii="Garamond" w:hAnsi="Garamond"/>
          <w:sz w:val="24"/>
          <w:szCs w:val="24"/>
        </w:rPr>
        <w:t xml:space="preserve"> Blair’s </w:t>
      </w:r>
      <w:r w:rsidRPr="00C22EAF">
        <w:rPr>
          <w:rFonts w:ascii="Garamond" w:hAnsi="Garamond"/>
          <w:sz w:val="24"/>
          <w:szCs w:val="24"/>
        </w:rPr>
        <w:t xml:space="preserve">staunchly </w:t>
      </w:r>
      <w:r w:rsidR="00FF4853" w:rsidRPr="00C22EAF">
        <w:rPr>
          <w:rFonts w:ascii="Garamond" w:hAnsi="Garamond"/>
          <w:sz w:val="24"/>
          <w:szCs w:val="24"/>
        </w:rPr>
        <w:t>pro-EU position</w:t>
      </w:r>
      <w:r w:rsidRPr="00C22EAF">
        <w:rPr>
          <w:rFonts w:ascii="Garamond" w:hAnsi="Garamond"/>
          <w:sz w:val="24"/>
          <w:szCs w:val="24"/>
        </w:rPr>
        <w:t>, which she believed</w:t>
      </w:r>
      <w:r w:rsidR="00FF4853" w:rsidRPr="00C22EAF">
        <w:rPr>
          <w:rFonts w:ascii="Garamond" w:hAnsi="Garamond"/>
          <w:sz w:val="24"/>
          <w:szCs w:val="24"/>
        </w:rPr>
        <w:t xml:space="preserve"> would risk the future of the UK and its independence. Indeed, she continued by arguing that ‘a nation state to me means that you keep or recover your own Parliamentary sovereignty, you keep or recover your own legal sovereignty and you keep charge of your own</w:t>
      </w:r>
      <w:r w:rsidR="00F46A6F" w:rsidRPr="00C22EAF">
        <w:rPr>
          <w:rFonts w:ascii="Garamond" w:hAnsi="Garamond"/>
          <w:sz w:val="24"/>
          <w:szCs w:val="24"/>
        </w:rPr>
        <w:t xml:space="preserve"> financial affairs and currency</w:t>
      </w:r>
      <w:r w:rsidR="00FF4853" w:rsidRPr="00C22EAF">
        <w:rPr>
          <w:rFonts w:ascii="Garamond" w:hAnsi="Garamond"/>
          <w:sz w:val="24"/>
          <w:szCs w:val="24"/>
        </w:rPr>
        <w:t>’</w:t>
      </w:r>
      <w:r w:rsidR="00F46A6F" w:rsidRPr="00C22EAF">
        <w:rPr>
          <w:rFonts w:ascii="Garamond" w:hAnsi="Garamond"/>
          <w:sz w:val="24"/>
          <w:szCs w:val="24"/>
        </w:rPr>
        <w:t xml:space="preserve"> (</w:t>
      </w:r>
      <w:r w:rsidR="00087693" w:rsidRPr="00C22EAF">
        <w:rPr>
          <w:rFonts w:ascii="Garamond" w:hAnsi="Garamond"/>
          <w:i/>
          <w:sz w:val="24"/>
          <w:szCs w:val="24"/>
        </w:rPr>
        <w:t>ibid.</w:t>
      </w:r>
      <w:r w:rsidR="00F46A6F" w:rsidRPr="00C22EAF">
        <w:rPr>
          <w:rFonts w:ascii="Garamond" w:hAnsi="Garamond"/>
          <w:sz w:val="24"/>
          <w:szCs w:val="24"/>
        </w:rPr>
        <w:t>).</w:t>
      </w:r>
      <w:r w:rsidR="00FF4853" w:rsidRPr="00C22EAF">
        <w:rPr>
          <w:rFonts w:ascii="Garamond" w:hAnsi="Garamond"/>
          <w:sz w:val="24"/>
          <w:szCs w:val="24"/>
        </w:rPr>
        <w:t xml:space="preserve"> </w:t>
      </w:r>
      <w:r w:rsidR="00F46A6F" w:rsidRPr="00C22EAF">
        <w:rPr>
          <w:rFonts w:ascii="Garamond" w:hAnsi="Garamond"/>
          <w:sz w:val="24"/>
          <w:szCs w:val="24"/>
        </w:rPr>
        <w:t xml:space="preserve">Here Thatcher is suggesting that membership of the EU will not remain static, and that moves towards further integration will likely be undertaken by Brussels and that the UK should eschew such moves. </w:t>
      </w:r>
    </w:p>
    <w:p w14:paraId="2FC93A7F" w14:textId="77777777" w:rsidR="007D3609" w:rsidRPr="00C22EAF" w:rsidRDefault="007D3609" w:rsidP="00C22EAF">
      <w:pPr>
        <w:spacing w:line="480" w:lineRule="auto"/>
        <w:rPr>
          <w:rFonts w:ascii="Garamond" w:hAnsi="Garamond"/>
          <w:sz w:val="24"/>
          <w:szCs w:val="24"/>
        </w:rPr>
      </w:pPr>
    </w:p>
    <w:p w14:paraId="55D5EEBB" w14:textId="77777777" w:rsidR="000A4C69" w:rsidRDefault="00F46A6F" w:rsidP="00C22EAF">
      <w:pPr>
        <w:spacing w:line="480" w:lineRule="auto"/>
        <w:rPr>
          <w:rFonts w:ascii="Garamond" w:hAnsi="Garamond"/>
          <w:sz w:val="24"/>
          <w:szCs w:val="24"/>
        </w:rPr>
      </w:pPr>
      <w:r w:rsidRPr="00C22EAF">
        <w:rPr>
          <w:rFonts w:ascii="Garamond" w:hAnsi="Garamond"/>
          <w:sz w:val="24"/>
          <w:szCs w:val="24"/>
        </w:rPr>
        <w:t xml:space="preserve">Put simply </w:t>
      </w:r>
      <w:r w:rsidR="00FF4853" w:rsidRPr="00C22EAF">
        <w:rPr>
          <w:rFonts w:ascii="Garamond" w:hAnsi="Garamond"/>
          <w:sz w:val="24"/>
          <w:szCs w:val="24"/>
        </w:rPr>
        <w:t>Thatcher</w:t>
      </w:r>
      <w:r w:rsidRPr="00C22EAF">
        <w:rPr>
          <w:rFonts w:ascii="Garamond" w:hAnsi="Garamond"/>
          <w:sz w:val="24"/>
          <w:szCs w:val="24"/>
        </w:rPr>
        <w:t xml:space="preserve"> appeared at this point to have embraced a more </w:t>
      </w:r>
      <w:r w:rsidR="00FF4853" w:rsidRPr="00C22EAF">
        <w:rPr>
          <w:rFonts w:ascii="Garamond" w:hAnsi="Garamond"/>
          <w:sz w:val="24"/>
          <w:szCs w:val="24"/>
        </w:rPr>
        <w:t xml:space="preserve">rejectionist </w:t>
      </w:r>
      <w:r w:rsidRPr="00C22EAF">
        <w:rPr>
          <w:rFonts w:ascii="Garamond" w:hAnsi="Garamond"/>
          <w:sz w:val="24"/>
          <w:szCs w:val="24"/>
        </w:rPr>
        <w:t>perspective</w:t>
      </w:r>
      <w:r w:rsidR="00FF4853" w:rsidRPr="00C22EAF">
        <w:rPr>
          <w:rFonts w:ascii="Garamond" w:hAnsi="Garamond"/>
          <w:sz w:val="24"/>
          <w:szCs w:val="24"/>
        </w:rPr>
        <w:t xml:space="preserve"> that would endorse </w:t>
      </w:r>
      <w:r w:rsidRPr="00C22EAF">
        <w:rPr>
          <w:rFonts w:ascii="Garamond" w:hAnsi="Garamond"/>
          <w:sz w:val="24"/>
          <w:szCs w:val="24"/>
        </w:rPr>
        <w:t>a re-evaluation of the UK’s relationship with the EU which would necessitate the holding of a UK-wide referendum.</w:t>
      </w:r>
      <w:r w:rsidR="0053310E" w:rsidRPr="00C22EAF">
        <w:rPr>
          <w:rFonts w:ascii="Garamond" w:hAnsi="Garamond"/>
          <w:sz w:val="24"/>
          <w:szCs w:val="24"/>
        </w:rPr>
        <w:t xml:space="preserve"> Indeed,</w:t>
      </w:r>
      <w:r w:rsidR="002E5DE4" w:rsidRPr="00C22EAF">
        <w:rPr>
          <w:rFonts w:ascii="Garamond" w:hAnsi="Garamond"/>
          <w:sz w:val="24"/>
          <w:szCs w:val="24"/>
        </w:rPr>
        <w:t xml:space="preserve"> on Maastricht she argued that</w:t>
      </w:r>
      <w:r w:rsidR="0053310E" w:rsidRPr="00C22EAF">
        <w:rPr>
          <w:rFonts w:ascii="Garamond" w:hAnsi="Garamond"/>
          <w:sz w:val="24"/>
          <w:szCs w:val="24"/>
        </w:rPr>
        <w:t xml:space="preserve"> </w:t>
      </w:r>
      <w:r w:rsidR="00FF4853" w:rsidRPr="00C22EAF">
        <w:rPr>
          <w:rFonts w:ascii="Garamond" w:hAnsi="Garamond"/>
          <w:sz w:val="24"/>
          <w:szCs w:val="24"/>
        </w:rPr>
        <w:t>‘I think that when one looks at the extent of the powers which are being handed over, it would be disgraceful if we denied them that opportunity’ to vote</w:t>
      </w:r>
      <w:r w:rsidR="00087693" w:rsidRPr="00C22EAF">
        <w:rPr>
          <w:rFonts w:ascii="Garamond" w:hAnsi="Garamond"/>
          <w:sz w:val="24"/>
          <w:szCs w:val="24"/>
        </w:rPr>
        <w:t xml:space="preserve"> (Thatcher, 1993b)</w:t>
      </w:r>
      <w:r w:rsidR="00FF4853" w:rsidRPr="00C22EAF">
        <w:rPr>
          <w:rFonts w:ascii="Garamond" w:hAnsi="Garamond"/>
          <w:sz w:val="24"/>
          <w:szCs w:val="24"/>
        </w:rPr>
        <w:t>. And ‘of course we can get a referendum up and running’ because ‘it is much better to accept that the referendum is an appropriate instrument the more powers go away, [and that] the more we have in fact to ask the people’</w:t>
      </w:r>
      <w:r w:rsidR="0053310E" w:rsidRPr="00C22EAF">
        <w:rPr>
          <w:rFonts w:ascii="Garamond" w:hAnsi="Garamond"/>
          <w:sz w:val="24"/>
          <w:szCs w:val="24"/>
        </w:rPr>
        <w:t xml:space="preserve"> (</w:t>
      </w:r>
      <w:r w:rsidR="00087693" w:rsidRPr="00C22EAF">
        <w:rPr>
          <w:rFonts w:ascii="Garamond" w:hAnsi="Garamond"/>
          <w:i/>
          <w:sz w:val="24"/>
          <w:szCs w:val="24"/>
        </w:rPr>
        <w:t>ibid.</w:t>
      </w:r>
      <w:r w:rsidR="0053310E" w:rsidRPr="00C22EAF">
        <w:rPr>
          <w:rFonts w:ascii="Garamond" w:hAnsi="Garamond"/>
          <w:sz w:val="24"/>
          <w:szCs w:val="24"/>
        </w:rPr>
        <w:t>).</w:t>
      </w:r>
      <w:r w:rsidR="00BC1E5C" w:rsidRPr="00C22EAF">
        <w:rPr>
          <w:rFonts w:ascii="Garamond" w:hAnsi="Garamond"/>
          <w:sz w:val="24"/>
          <w:szCs w:val="24"/>
        </w:rPr>
        <w:t xml:space="preserve"> </w:t>
      </w:r>
    </w:p>
    <w:p w14:paraId="0B34588C" w14:textId="77777777" w:rsidR="007D3609" w:rsidRPr="00C22EAF" w:rsidRDefault="007D3609" w:rsidP="00C22EAF">
      <w:pPr>
        <w:spacing w:line="480" w:lineRule="auto"/>
        <w:rPr>
          <w:rFonts w:ascii="Garamond" w:hAnsi="Garamond"/>
          <w:sz w:val="24"/>
          <w:szCs w:val="24"/>
        </w:rPr>
      </w:pPr>
    </w:p>
    <w:p w14:paraId="7235B9D0" w14:textId="77777777" w:rsidR="001E49EB" w:rsidRPr="00C22EAF" w:rsidRDefault="00EF7D89" w:rsidP="00C22EAF">
      <w:pPr>
        <w:spacing w:line="480" w:lineRule="auto"/>
        <w:rPr>
          <w:rFonts w:ascii="Garamond" w:hAnsi="Garamond"/>
          <w:sz w:val="24"/>
          <w:szCs w:val="24"/>
        </w:rPr>
      </w:pPr>
      <w:r w:rsidRPr="00C22EAF">
        <w:rPr>
          <w:rFonts w:ascii="Garamond" w:hAnsi="Garamond"/>
          <w:sz w:val="24"/>
          <w:szCs w:val="24"/>
        </w:rPr>
        <w:t xml:space="preserve">By 2007, this position had strengthened as seen by her calls for a referendum before </w:t>
      </w:r>
      <w:r w:rsidR="00BC1E5C" w:rsidRPr="00C22EAF">
        <w:rPr>
          <w:rFonts w:ascii="Garamond" w:hAnsi="Garamond"/>
          <w:sz w:val="24"/>
          <w:szCs w:val="24"/>
        </w:rPr>
        <w:t>the passing of the Lisbon Treaty by Gordon Brown</w:t>
      </w:r>
      <w:r w:rsidRPr="00C22EAF">
        <w:rPr>
          <w:rFonts w:ascii="Garamond" w:hAnsi="Garamond"/>
          <w:sz w:val="24"/>
          <w:szCs w:val="24"/>
        </w:rPr>
        <w:t>. Here,</w:t>
      </w:r>
      <w:r w:rsidR="00BC1E5C" w:rsidRPr="00C22EAF">
        <w:rPr>
          <w:rFonts w:ascii="Garamond" w:hAnsi="Garamond"/>
          <w:sz w:val="24"/>
          <w:szCs w:val="24"/>
        </w:rPr>
        <w:t xml:space="preserve"> Thatcher ‘wholeheartedly support[ed] </w:t>
      </w:r>
      <w:r w:rsidR="00BC1E5C" w:rsidRPr="00C22EAF">
        <w:rPr>
          <w:rFonts w:ascii="Garamond" w:hAnsi="Garamond"/>
          <w:i/>
          <w:iCs/>
          <w:sz w:val="24"/>
          <w:szCs w:val="24"/>
        </w:rPr>
        <w:t>The Sun’s</w:t>
      </w:r>
      <w:r w:rsidR="00BC1E5C" w:rsidRPr="00C22EAF">
        <w:rPr>
          <w:rFonts w:ascii="Garamond" w:hAnsi="Garamond"/>
          <w:sz w:val="24"/>
          <w:szCs w:val="24"/>
        </w:rPr>
        <w:t xml:space="preserve"> campaign for a referendum on the new EU treaty’ because ‘the </w:t>
      </w:r>
      <w:r w:rsidR="00BC1E5C" w:rsidRPr="00C22EAF">
        <w:rPr>
          <w:rFonts w:ascii="Garamond" w:hAnsi="Garamond"/>
          <w:sz w:val="24"/>
          <w:szCs w:val="24"/>
        </w:rPr>
        <w:lastRenderedPageBreak/>
        <w:t>British people are being told that the changes in the Treaty are not important, that they are technical’ and that ‘we have either blocked or gained opt-outs in all the worst cases’ (</w:t>
      </w:r>
      <w:r w:rsidR="00087693" w:rsidRPr="00C22EAF">
        <w:rPr>
          <w:rFonts w:ascii="Garamond" w:hAnsi="Garamond"/>
          <w:sz w:val="24"/>
          <w:szCs w:val="24"/>
        </w:rPr>
        <w:t>Thatcher, 2007</w:t>
      </w:r>
      <w:r w:rsidR="00BC1E5C" w:rsidRPr="00C22EAF">
        <w:rPr>
          <w:rFonts w:ascii="Garamond" w:hAnsi="Garamond"/>
          <w:sz w:val="24"/>
          <w:szCs w:val="24"/>
        </w:rPr>
        <w:t>). However, ‘we</w:t>
      </w:r>
      <w:r w:rsidR="00BC1E5C" w:rsidRPr="00C22EAF">
        <w:rPr>
          <w:rFonts w:ascii="Garamond" w:hAnsi="Garamond" w:cs="Calibri"/>
          <w:sz w:val="24"/>
          <w:szCs w:val="24"/>
        </w:rPr>
        <w:t>’</w:t>
      </w:r>
      <w:r w:rsidR="00BC1E5C" w:rsidRPr="00C22EAF">
        <w:rPr>
          <w:rFonts w:ascii="Garamond" w:hAnsi="Garamond"/>
          <w:sz w:val="24"/>
          <w:szCs w:val="24"/>
        </w:rPr>
        <w:t>ve heard it all before only to see more and more powers grabbed by Brussels’ (</w:t>
      </w:r>
      <w:r w:rsidR="00087693" w:rsidRPr="00C22EAF">
        <w:rPr>
          <w:rFonts w:ascii="Garamond" w:hAnsi="Garamond"/>
          <w:i/>
          <w:sz w:val="24"/>
          <w:szCs w:val="24"/>
        </w:rPr>
        <w:t>ibid.</w:t>
      </w:r>
      <w:r w:rsidR="00BC1E5C" w:rsidRPr="00C22EAF">
        <w:rPr>
          <w:rFonts w:ascii="Garamond" w:hAnsi="Garamond"/>
          <w:sz w:val="24"/>
          <w:szCs w:val="24"/>
        </w:rPr>
        <w:t xml:space="preserve">). </w:t>
      </w:r>
      <w:r w:rsidR="006902CE" w:rsidRPr="00C22EAF">
        <w:rPr>
          <w:rFonts w:ascii="Garamond" w:hAnsi="Garamond"/>
          <w:sz w:val="24"/>
          <w:szCs w:val="24"/>
        </w:rPr>
        <w:t>She also cautioned Brown not to ‘believe the assurances from Brussels’ because ‘they gave similar ones to me’ and that he should ‘be bold and let the British people have the final say’ (</w:t>
      </w:r>
      <w:r w:rsidR="00087693" w:rsidRPr="00C22EAF">
        <w:rPr>
          <w:rFonts w:ascii="Garamond" w:hAnsi="Garamond"/>
          <w:i/>
          <w:sz w:val="24"/>
          <w:szCs w:val="24"/>
        </w:rPr>
        <w:t>ibid.</w:t>
      </w:r>
      <w:r w:rsidR="006902CE" w:rsidRPr="00C22EAF">
        <w:rPr>
          <w:rFonts w:ascii="Garamond" w:hAnsi="Garamond"/>
          <w:sz w:val="24"/>
          <w:szCs w:val="24"/>
        </w:rPr>
        <w:t xml:space="preserve">). </w:t>
      </w:r>
      <w:r w:rsidR="001F3DBA" w:rsidRPr="00C22EAF">
        <w:rPr>
          <w:rFonts w:ascii="Garamond" w:hAnsi="Garamond"/>
          <w:sz w:val="24"/>
          <w:szCs w:val="24"/>
        </w:rPr>
        <w:t xml:space="preserve">Ultimately, the Treaty </w:t>
      </w:r>
      <w:r w:rsidR="00190A9B" w:rsidRPr="00C22EAF">
        <w:rPr>
          <w:rFonts w:ascii="Garamond" w:hAnsi="Garamond"/>
          <w:sz w:val="24"/>
          <w:szCs w:val="24"/>
        </w:rPr>
        <w:t xml:space="preserve">was passed without a referendum. </w:t>
      </w:r>
      <w:r w:rsidR="00971084" w:rsidRPr="00C22EAF">
        <w:rPr>
          <w:rFonts w:ascii="Garamond" w:hAnsi="Garamond"/>
          <w:sz w:val="24"/>
          <w:szCs w:val="24"/>
        </w:rPr>
        <w:t xml:space="preserve">The perception that the ‘Treaty is a blueprint for a European Constitution in all but name, a Constitution which has already been rejected’ remained a </w:t>
      </w:r>
      <w:r w:rsidR="007D2AE2" w:rsidRPr="00C22EAF">
        <w:rPr>
          <w:rFonts w:ascii="Garamond" w:hAnsi="Garamond"/>
          <w:sz w:val="24"/>
          <w:szCs w:val="24"/>
        </w:rPr>
        <w:t xml:space="preserve">significant factor in the image of the EU painted by </w:t>
      </w:r>
      <w:proofErr w:type="spellStart"/>
      <w:r w:rsidR="007D2AE2" w:rsidRPr="00C22EAF">
        <w:rPr>
          <w:rFonts w:ascii="Garamond" w:hAnsi="Garamond"/>
          <w:sz w:val="24"/>
          <w:szCs w:val="24"/>
        </w:rPr>
        <w:t>Eurorejectionists</w:t>
      </w:r>
      <w:proofErr w:type="spellEnd"/>
      <w:r w:rsidR="007D2AE2" w:rsidRPr="00C22EAF">
        <w:rPr>
          <w:rFonts w:ascii="Garamond" w:hAnsi="Garamond"/>
          <w:sz w:val="24"/>
          <w:szCs w:val="24"/>
        </w:rPr>
        <w:t xml:space="preserve"> over the following years</w:t>
      </w:r>
      <w:r w:rsidR="00144AE6">
        <w:rPr>
          <w:rFonts w:ascii="Garamond" w:hAnsi="Garamond"/>
          <w:sz w:val="24"/>
          <w:szCs w:val="24"/>
        </w:rPr>
        <w:t xml:space="preserve"> (</w:t>
      </w:r>
      <w:r w:rsidR="00144AE6" w:rsidRPr="00144AE6">
        <w:rPr>
          <w:rFonts w:ascii="Garamond" w:hAnsi="Garamond"/>
          <w:i/>
          <w:sz w:val="24"/>
          <w:szCs w:val="24"/>
        </w:rPr>
        <w:t>ibid.</w:t>
      </w:r>
      <w:r w:rsidR="00144AE6">
        <w:rPr>
          <w:rFonts w:ascii="Garamond" w:hAnsi="Garamond"/>
          <w:sz w:val="24"/>
          <w:szCs w:val="24"/>
        </w:rPr>
        <w:t>)</w:t>
      </w:r>
      <w:r w:rsidR="007D2AE2" w:rsidRPr="00C22EAF">
        <w:rPr>
          <w:rFonts w:ascii="Garamond" w:hAnsi="Garamond"/>
          <w:sz w:val="24"/>
          <w:szCs w:val="24"/>
        </w:rPr>
        <w:t xml:space="preserve">. </w:t>
      </w:r>
    </w:p>
    <w:p w14:paraId="1226614B" w14:textId="77777777" w:rsidR="00F80403" w:rsidRDefault="00F80403" w:rsidP="00C22EAF">
      <w:pPr>
        <w:spacing w:line="480" w:lineRule="auto"/>
        <w:rPr>
          <w:rFonts w:ascii="Garamond" w:hAnsi="Garamond"/>
          <w:b/>
          <w:sz w:val="24"/>
          <w:szCs w:val="24"/>
        </w:rPr>
      </w:pPr>
    </w:p>
    <w:p w14:paraId="656F301E" w14:textId="77777777" w:rsidR="001E49EB" w:rsidRDefault="00A9231C" w:rsidP="00C22EAF">
      <w:pPr>
        <w:spacing w:line="480" w:lineRule="auto"/>
        <w:rPr>
          <w:rFonts w:ascii="Garamond" w:hAnsi="Garamond"/>
          <w:b/>
          <w:sz w:val="24"/>
          <w:szCs w:val="24"/>
        </w:rPr>
      </w:pPr>
      <w:r>
        <w:rPr>
          <w:rFonts w:ascii="Garamond" w:hAnsi="Garamond"/>
          <w:b/>
          <w:sz w:val="24"/>
          <w:szCs w:val="24"/>
        </w:rPr>
        <w:t>Conclusion</w:t>
      </w:r>
      <w:r w:rsidR="00003241">
        <w:rPr>
          <w:rFonts w:ascii="Garamond" w:hAnsi="Garamond"/>
          <w:b/>
          <w:sz w:val="24"/>
          <w:szCs w:val="24"/>
        </w:rPr>
        <w:t>s</w:t>
      </w:r>
    </w:p>
    <w:p w14:paraId="7595DFBD" w14:textId="77777777" w:rsidR="00F80403" w:rsidRDefault="00F80403" w:rsidP="00C22EAF">
      <w:pPr>
        <w:spacing w:line="480" w:lineRule="auto"/>
        <w:rPr>
          <w:rFonts w:ascii="Garamond" w:hAnsi="Garamond"/>
          <w:sz w:val="24"/>
          <w:szCs w:val="24"/>
        </w:rPr>
      </w:pPr>
    </w:p>
    <w:p w14:paraId="11B544A2" w14:textId="77777777" w:rsidR="0067742E" w:rsidRDefault="00B3092E" w:rsidP="00C22EAF">
      <w:pPr>
        <w:spacing w:line="480" w:lineRule="auto"/>
        <w:rPr>
          <w:rFonts w:ascii="Garamond" w:hAnsi="Garamond"/>
          <w:sz w:val="24"/>
          <w:szCs w:val="24"/>
        </w:rPr>
      </w:pPr>
      <w:r>
        <w:rPr>
          <w:rFonts w:ascii="Garamond" w:hAnsi="Garamond"/>
          <w:sz w:val="24"/>
          <w:szCs w:val="24"/>
        </w:rPr>
        <w:t xml:space="preserve">This chapter has demonstrated the validity of Sir John Redwood’s contention that Margaret Thatcher’s change of attitude towards the European projects in the latter years of her Premiership </w:t>
      </w:r>
      <w:r w:rsidR="00586C4A">
        <w:rPr>
          <w:rFonts w:ascii="Garamond" w:hAnsi="Garamond"/>
          <w:sz w:val="24"/>
          <w:szCs w:val="24"/>
        </w:rPr>
        <w:t>was a key voice in towards inspiring</w:t>
      </w:r>
      <w:r>
        <w:rPr>
          <w:rFonts w:ascii="Garamond" w:hAnsi="Garamond"/>
          <w:sz w:val="24"/>
          <w:szCs w:val="24"/>
        </w:rPr>
        <w:t xml:space="preserve"> a political trajectory </w:t>
      </w:r>
      <w:r w:rsidR="00586C4A">
        <w:rPr>
          <w:rFonts w:ascii="Garamond" w:hAnsi="Garamond"/>
          <w:sz w:val="24"/>
          <w:szCs w:val="24"/>
        </w:rPr>
        <w:t xml:space="preserve">and discourse </w:t>
      </w:r>
      <w:r>
        <w:rPr>
          <w:rFonts w:ascii="Garamond" w:hAnsi="Garamond"/>
          <w:sz w:val="24"/>
          <w:szCs w:val="24"/>
        </w:rPr>
        <w:t xml:space="preserve">that culminated in Brexit. </w:t>
      </w:r>
      <w:r w:rsidR="00A3290F">
        <w:rPr>
          <w:rFonts w:ascii="Garamond" w:hAnsi="Garamond"/>
          <w:sz w:val="24"/>
          <w:szCs w:val="24"/>
        </w:rPr>
        <w:t>This was because t</w:t>
      </w:r>
      <w:r w:rsidR="002E01A9">
        <w:rPr>
          <w:rFonts w:ascii="Garamond" w:hAnsi="Garamond"/>
          <w:sz w:val="24"/>
          <w:szCs w:val="24"/>
        </w:rPr>
        <w:t xml:space="preserve">he forceful delivery of her speech to the College of Europe, Bruges legitimised Euroscepticism as a mainstream position within Conservative Party politics and, through the response of the media, amongst political commentators and observers. </w:t>
      </w:r>
      <w:r w:rsidR="00545E83">
        <w:rPr>
          <w:rFonts w:ascii="Garamond" w:hAnsi="Garamond"/>
          <w:sz w:val="24"/>
          <w:szCs w:val="24"/>
        </w:rPr>
        <w:t xml:space="preserve">Whilst she was no longer Prime Minister, her strengthening Euroscepticism and sympathies </w:t>
      </w:r>
      <w:r w:rsidR="00BE0F6F">
        <w:rPr>
          <w:rFonts w:ascii="Garamond" w:hAnsi="Garamond"/>
          <w:sz w:val="24"/>
          <w:szCs w:val="24"/>
        </w:rPr>
        <w:t>for an electoral test (by way of a national referendum) remained part of the UKs political discourse</w:t>
      </w:r>
      <w:r w:rsidR="00B64544">
        <w:rPr>
          <w:rFonts w:ascii="Garamond" w:hAnsi="Garamond"/>
          <w:sz w:val="24"/>
          <w:szCs w:val="24"/>
        </w:rPr>
        <w:t>. Indeed, it was a position growing in rhetorical strength</w:t>
      </w:r>
      <w:r w:rsidR="00825FCF">
        <w:rPr>
          <w:rFonts w:ascii="Garamond" w:hAnsi="Garamond"/>
          <w:sz w:val="24"/>
          <w:szCs w:val="24"/>
        </w:rPr>
        <w:t xml:space="preserve">. </w:t>
      </w:r>
    </w:p>
    <w:p w14:paraId="7216AEC6" w14:textId="77777777" w:rsidR="007D3609" w:rsidRDefault="007D3609" w:rsidP="00C22EAF">
      <w:pPr>
        <w:spacing w:line="480" w:lineRule="auto"/>
        <w:rPr>
          <w:rFonts w:ascii="Garamond" w:hAnsi="Garamond"/>
          <w:sz w:val="24"/>
          <w:szCs w:val="24"/>
        </w:rPr>
      </w:pPr>
    </w:p>
    <w:p w14:paraId="6B3BDD69" w14:textId="77777777" w:rsidR="00B3092E" w:rsidRDefault="00DE58C5" w:rsidP="00C22EAF">
      <w:pPr>
        <w:spacing w:line="480" w:lineRule="auto"/>
        <w:rPr>
          <w:rFonts w:ascii="Garamond" w:hAnsi="Garamond"/>
          <w:sz w:val="24"/>
          <w:szCs w:val="24"/>
        </w:rPr>
      </w:pPr>
      <w:r>
        <w:rPr>
          <w:rFonts w:ascii="Garamond" w:hAnsi="Garamond"/>
          <w:sz w:val="24"/>
          <w:szCs w:val="24"/>
        </w:rPr>
        <w:lastRenderedPageBreak/>
        <w:t xml:space="preserve">As the European Union continued to integrate further, UK political leaders attempted to cool the perception of loss of sovereignty by securing opt-outs. Yet, the broader trajectory towards further integration alarmed Thatcher, particularly during the passage of the Lisbon Treaty. By this point, her </w:t>
      </w:r>
      <w:proofErr w:type="spellStart"/>
      <w:r>
        <w:rPr>
          <w:rFonts w:ascii="Garamond" w:hAnsi="Garamond"/>
          <w:sz w:val="24"/>
          <w:szCs w:val="24"/>
        </w:rPr>
        <w:t>Eurorejectionism</w:t>
      </w:r>
      <w:proofErr w:type="spellEnd"/>
      <w:r>
        <w:rPr>
          <w:rFonts w:ascii="Garamond" w:hAnsi="Garamond"/>
          <w:sz w:val="24"/>
          <w:szCs w:val="24"/>
        </w:rPr>
        <w:t xml:space="preserve"> </w:t>
      </w:r>
      <w:r w:rsidR="004424FC">
        <w:rPr>
          <w:rFonts w:ascii="Garamond" w:hAnsi="Garamond"/>
          <w:sz w:val="24"/>
          <w:szCs w:val="24"/>
        </w:rPr>
        <w:t xml:space="preserve">was validated by the constitutional ambitions of the Treaty, and also the </w:t>
      </w:r>
      <w:r w:rsidR="000477BD">
        <w:rPr>
          <w:rFonts w:ascii="Garamond" w:hAnsi="Garamond"/>
          <w:sz w:val="24"/>
          <w:szCs w:val="24"/>
        </w:rPr>
        <w:t xml:space="preserve">federal mentality of leading figures within Brussels. Consequently, when it was signed without an electoral test, </w:t>
      </w:r>
      <w:r w:rsidR="00C04615">
        <w:rPr>
          <w:rFonts w:ascii="Garamond" w:hAnsi="Garamond"/>
          <w:sz w:val="24"/>
          <w:szCs w:val="24"/>
        </w:rPr>
        <w:t xml:space="preserve">those who Thatcher had inspired </w:t>
      </w:r>
      <w:r w:rsidR="002F47AD">
        <w:rPr>
          <w:rFonts w:ascii="Garamond" w:hAnsi="Garamond"/>
          <w:sz w:val="24"/>
          <w:szCs w:val="24"/>
        </w:rPr>
        <w:t>pushed further for a referendum</w:t>
      </w:r>
      <w:r w:rsidR="00977B0C">
        <w:rPr>
          <w:rFonts w:ascii="Garamond" w:hAnsi="Garamond"/>
          <w:sz w:val="24"/>
          <w:szCs w:val="24"/>
        </w:rPr>
        <w:t xml:space="preserve"> on continued UK membership</w:t>
      </w:r>
      <w:r w:rsidR="006B4057">
        <w:rPr>
          <w:rFonts w:ascii="Garamond" w:hAnsi="Garamond"/>
          <w:sz w:val="24"/>
          <w:szCs w:val="24"/>
        </w:rPr>
        <w:t xml:space="preserve">. </w:t>
      </w:r>
      <w:r w:rsidR="00A80C20">
        <w:rPr>
          <w:rFonts w:ascii="Garamond" w:hAnsi="Garamond"/>
          <w:sz w:val="24"/>
          <w:szCs w:val="24"/>
        </w:rPr>
        <w:t xml:space="preserve">The result of that referendum </w:t>
      </w:r>
      <w:r w:rsidR="00264B3D">
        <w:rPr>
          <w:rFonts w:ascii="Garamond" w:hAnsi="Garamond"/>
          <w:sz w:val="24"/>
          <w:szCs w:val="24"/>
        </w:rPr>
        <w:t xml:space="preserve">(a majority of the electorate voting for Brexit) </w:t>
      </w:r>
      <w:r w:rsidR="003159F2">
        <w:rPr>
          <w:rFonts w:ascii="Garamond" w:hAnsi="Garamond"/>
          <w:sz w:val="24"/>
          <w:szCs w:val="24"/>
        </w:rPr>
        <w:t>was, as Sir John Redwood observed, the result of Thatcher focusing on the loss of sovereignty and national identity during her Bruges speech and</w:t>
      </w:r>
      <w:r w:rsidR="00642C6D">
        <w:rPr>
          <w:rFonts w:ascii="Garamond" w:hAnsi="Garamond"/>
          <w:sz w:val="24"/>
          <w:szCs w:val="24"/>
        </w:rPr>
        <w:t xml:space="preserve"> her</w:t>
      </w:r>
      <w:r w:rsidR="003159F2">
        <w:rPr>
          <w:rFonts w:ascii="Garamond" w:hAnsi="Garamond"/>
          <w:sz w:val="24"/>
          <w:szCs w:val="24"/>
        </w:rPr>
        <w:t xml:space="preserve"> subsequent interventions. </w:t>
      </w:r>
      <w:r w:rsidR="00DB1F87">
        <w:rPr>
          <w:rFonts w:ascii="Garamond" w:hAnsi="Garamond"/>
          <w:sz w:val="24"/>
          <w:szCs w:val="24"/>
        </w:rPr>
        <w:t xml:space="preserve">Needless to say Thatcher was </w:t>
      </w:r>
      <w:r w:rsidR="00642C6D">
        <w:rPr>
          <w:rFonts w:ascii="Garamond" w:hAnsi="Garamond"/>
          <w:sz w:val="24"/>
          <w:szCs w:val="24"/>
        </w:rPr>
        <w:t xml:space="preserve">but </w:t>
      </w:r>
      <w:r w:rsidR="00DB1F87">
        <w:rPr>
          <w:rFonts w:ascii="Garamond" w:hAnsi="Garamond"/>
          <w:sz w:val="24"/>
          <w:szCs w:val="24"/>
        </w:rPr>
        <w:t>a single voice in the road towards Brexit, yet she was an important one that inspired a new generation</w:t>
      </w:r>
      <w:r w:rsidR="00F7436E">
        <w:rPr>
          <w:rFonts w:ascii="Garamond" w:hAnsi="Garamond"/>
          <w:sz w:val="24"/>
          <w:szCs w:val="24"/>
        </w:rPr>
        <w:t xml:space="preserve"> </w:t>
      </w:r>
      <w:r w:rsidR="00642C6D">
        <w:rPr>
          <w:rFonts w:ascii="Garamond" w:hAnsi="Garamond"/>
          <w:sz w:val="24"/>
          <w:szCs w:val="24"/>
        </w:rPr>
        <w:t>who</w:t>
      </w:r>
      <w:r w:rsidR="00F7436E">
        <w:rPr>
          <w:rFonts w:ascii="Garamond" w:hAnsi="Garamond"/>
          <w:sz w:val="24"/>
          <w:szCs w:val="24"/>
        </w:rPr>
        <w:t xml:space="preserve"> conflate </w:t>
      </w:r>
      <w:proofErr w:type="spellStart"/>
      <w:r w:rsidR="00F7436E">
        <w:rPr>
          <w:rFonts w:ascii="Garamond" w:hAnsi="Garamond"/>
          <w:sz w:val="24"/>
          <w:szCs w:val="24"/>
        </w:rPr>
        <w:t>Eurorejectionism</w:t>
      </w:r>
      <w:proofErr w:type="spellEnd"/>
      <w:r w:rsidR="00F7436E">
        <w:rPr>
          <w:rFonts w:ascii="Garamond" w:hAnsi="Garamond"/>
          <w:sz w:val="24"/>
          <w:szCs w:val="24"/>
        </w:rPr>
        <w:t xml:space="preserve"> with the core principles of Thatcherism – </w:t>
      </w:r>
      <w:proofErr w:type="spellStart"/>
      <w:r w:rsidR="00F7436E">
        <w:rPr>
          <w:rFonts w:ascii="Garamond" w:hAnsi="Garamond"/>
          <w:sz w:val="24"/>
          <w:szCs w:val="24"/>
        </w:rPr>
        <w:t>ie</w:t>
      </w:r>
      <w:proofErr w:type="spellEnd"/>
      <w:r w:rsidR="00F7436E">
        <w:rPr>
          <w:rFonts w:ascii="Garamond" w:hAnsi="Garamond"/>
          <w:sz w:val="24"/>
          <w:szCs w:val="24"/>
        </w:rPr>
        <w:t xml:space="preserve">, economic liberalism, defence of sovereignty, </w:t>
      </w:r>
      <w:r w:rsidR="00642C6D">
        <w:rPr>
          <w:rFonts w:ascii="Garamond" w:hAnsi="Garamond"/>
          <w:sz w:val="24"/>
          <w:szCs w:val="24"/>
        </w:rPr>
        <w:t>a global outlook whilst retaining</w:t>
      </w:r>
      <w:r w:rsidR="00F7436E">
        <w:rPr>
          <w:rFonts w:ascii="Garamond" w:hAnsi="Garamond"/>
          <w:sz w:val="24"/>
          <w:szCs w:val="24"/>
        </w:rPr>
        <w:t xml:space="preserve"> a respect for </w:t>
      </w:r>
      <w:r w:rsidR="00642C6D">
        <w:rPr>
          <w:rFonts w:ascii="Garamond" w:hAnsi="Garamond"/>
          <w:sz w:val="24"/>
          <w:szCs w:val="24"/>
        </w:rPr>
        <w:t xml:space="preserve">the key </w:t>
      </w:r>
      <w:r w:rsidR="00F7436E">
        <w:rPr>
          <w:rFonts w:ascii="Garamond" w:hAnsi="Garamond"/>
          <w:sz w:val="24"/>
          <w:szCs w:val="24"/>
        </w:rPr>
        <w:t xml:space="preserve">tenets of British national identity. </w:t>
      </w:r>
      <w:r w:rsidR="00545E83">
        <w:rPr>
          <w:rFonts w:ascii="Garamond" w:hAnsi="Garamond"/>
          <w:sz w:val="24"/>
          <w:szCs w:val="24"/>
        </w:rPr>
        <w:t xml:space="preserve"> </w:t>
      </w:r>
    </w:p>
    <w:p w14:paraId="72A9EC2B" w14:textId="77777777" w:rsidR="00BA51DE" w:rsidRDefault="00BA51DE" w:rsidP="00C22EAF">
      <w:pPr>
        <w:spacing w:line="480" w:lineRule="auto"/>
        <w:rPr>
          <w:rFonts w:ascii="Garamond" w:hAnsi="Garamond"/>
          <w:b/>
          <w:sz w:val="24"/>
          <w:szCs w:val="24"/>
        </w:rPr>
      </w:pPr>
    </w:p>
    <w:p w14:paraId="7BD62487" w14:textId="77777777" w:rsidR="00DF4B02" w:rsidRPr="00DF4B02" w:rsidRDefault="00DF4B02" w:rsidP="00C22EAF">
      <w:pPr>
        <w:spacing w:line="480" w:lineRule="auto"/>
        <w:rPr>
          <w:rFonts w:ascii="Garamond" w:hAnsi="Garamond"/>
          <w:b/>
          <w:sz w:val="24"/>
          <w:szCs w:val="24"/>
        </w:rPr>
      </w:pPr>
      <w:r>
        <w:rPr>
          <w:rFonts w:ascii="Garamond" w:hAnsi="Garamond"/>
          <w:b/>
          <w:sz w:val="24"/>
          <w:szCs w:val="24"/>
        </w:rPr>
        <w:t>References</w:t>
      </w:r>
    </w:p>
    <w:p w14:paraId="6144596F" w14:textId="77777777" w:rsidR="00DF4B02" w:rsidRDefault="00DF4B02" w:rsidP="00C22EAF">
      <w:pPr>
        <w:spacing w:line="480" w:lineRule="auto"/>
        <w:rPr>
          <w:rFonts w:ascii="Garamond" w:hAnsi="Garamond"/>
          <w:b/>
          <w:sz w:val="24"/>
          <w:szCs w:val="24"/>
        </w:rPr>
      </w:pPr>
    </w:p>
    <w:p w14:paraId="1627E40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Atkins, J., Finlayson, A., Martin, J., and </w:t>
      </w:r>
      <w:proofErr w:type="spellStart"/>
      <w:r w:rsidRPr="00E52DA2">
        <w:rPr>
          <w:rFonts w:ascii="Garamond" w:hAnsi="Garamond"/>
          <w:sz w:val="24"/>
          <w:szCs w:val="24"/>
        </w:rPr>
        <w:t>Turbull</w:t>
      </w:r>
      <w:proofErr w:type="spellEnd"/>
      <w:r w:rsidRPr="00E52DA2">
        <w:rPr>
          <w:rFonts w:ascii="Garamond" w:hAnsi="Garamond"/>
          <w:sz w:val="24"/>
          <w:szCs w:val="24"/>
        </w:rPr>
        <w:t xml:space="preserve">, N. (2014) </w:t>
      </w:r>
      <w:r w:rsidRPr="00E52DA2">
        <w:rPr>
          <w:rFonts w:ascii="Garamond" w:hAnsi="Garamond"/>
          <w:i/>
          <w:sz w:val="24"/>
          <w:szCs w:val="24"/>
        </w:rPr>
        <w:t>Rhetoric in British Politics and Society</w:t>
      </w:r>
      <w:r w:rsidRPr="00E52DA2">
        <w:rPr>
          <w:rFonts w:ascii="Garamond" w:hAnsi="Garamond"/>
          <w:sz w:val="24"/>
          <w:szCs w:val="24"/>
        </w:rPr>
        <w:t xml:space="preserve">, Basingstoke: Palgrave. </w:t>
      </w:r>
    </w:p>
    <w:p w14:paraId="13646958"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Butler, D. &amp; Kavanagh, D. (1992) </w:t>
      </w:r>
      <w:r w:rsidRPr="00E52DA2">
        <w:rPr>
          <w:rFonts w:ascii="Garamond" w:hAnsi="Garamond"/>
          <w:i/>
          <w:sz w:val="24"/>
          <w:szCs w:val="24"/>
        </w:rPr>
        <w:t>The British General Election of 1992</w:t>
      </w:r>
      <w:r w:rsidRPr="00E52DA2">
        <w:rPr>
          <w:rFonts w:ascii="Garamond" w:hAnsi="Garamond"/>
          <w:sz w:val="24"/>
          <w:szCs w:val="24"/>
        </w:rPr>
        <w:t>, London: Macmillan.</w:t>
      </w:r>
    </w:p>
    <w:p w14:paraId="0E2A054D"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Craig, F. (1975) </w:t>
      </w:r>
      <w:r w:rsidRPr="00E52DA2">
        <w:rPr>
          <w:rFonts w:ascii="Garamond" w:hAnsi="Garamond"/>
          <w:i/>
          <w:sz w:val="24"/>
          <w:szCs w:val="24"/>
        </w:rPr>
        <w:t>British General Election Manifestos 1918-1970</w:t>
      </w:r>
      <w:r w:rsidRPr="00E52DA2">
        <w:rPr>
          <w:rFonts w:ascii="Garamond" w:hAnsi="Garamond"/>
          <w:sz w:val="24"/>
          <w:szCs w:val="24"/>
        </w:rPr>
        <w:t>, London: Macmillan.</w:t>
      </w:r>
    </w:p>
    <w:p w14:paraId="7D1A1484"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lastRenderedPageBreak/>
        <w:t xml:space="preserve">Crines, A., Heppell, T., &amp; Dorey, P. (2016) </w:t>
      </w:r>
      <w:r w:rsidRPr="00E52DA2">
        <w:rPr>
          <w:rFonts w:ascii="Garamond" w:hAnsi="Garamond"/>
          <w:i/>
          <w:sz w:val="24"/>
          <w:szCs w:val="24"/>
        </w:rPr>
        <w:t>The Political Rhetoric and Oratory of Margaret Thatcher</w:t>
      </w:r>
      <w:r w:rsidRPr="00E52DA2">
        <w:rPr>
          <w:rFonts w:ascii="Garamond" w:hAnsi="Garamond"/>
          <w:sz w:val="24"/>
          <w:szCs w:val="24"/>
        </w:rPr>
        <w:t>, Basingstoke: Palgrave.</w:t>
      </w:r>
    </w:p>
    <w:p w14:paraId="6C91F8F9"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Crines, A. (2013) ‘An Analysis of George Galloway’s Oratorical and Rhetorical Impact’, </w:t>
      </w:r>
      <w:r w:rsidRPr="00E52DA2">
        <w:rPr>
          <w:rFonts w:ascii="Garamond" w:hAnsi="Garamond"/>
          <w:i/>
          <w:sz w:val="24"/>
          <w:szCs w:val="24"/>
        </w:rPr>
        <w:t>Politics</w:t>
      </w:r>
      <w:r w:rsidRPr="00E52DA2">
        <w:rPr>
          <w:rFonts w:ascii="Garamond" w:hAnsi="Garamond"/>
          <w:sz w:val="24"/>
          <w:szCs w:val="24"/>
        </w:rPr>
        <w:t>, 33 (2) 81-90.</w:t>
      </w:r>
    </w:p>
    <w:p w14:paraId="37094D63"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Crines, A. (2014) 'The rhetoric of neoliberalism in the politics of crisis', </w:t>
      </w:r>
      <w:r w:rsidRPr="00E52DA2">
        <w:rPr>
          <w:rFonts w:ascii="Garamond" w:hAnsi="Garamond"/>
          <w:i/>
          <w:sz w:val="24"/>
          <w:szCs w:val="24"/>
        </w:rPr>
        <w:t>Global Discourse</w:t>
      </w:r>
      <w:r w:rsidRPr="00E52DA2">
        <w:rPr>
          <w:rFonts w:ascii="Garamond" w:hAnsi="Garamond"/>
          <w:sz w:val="24"/>
          <w:szCs w:val="24"/>
        </w:rPr>
        <w:t>, 5 (1), pp. 116-129.</w:t>
      </w:r>
    </w:p>
    <w:p w14:paraId="7AEA9C36"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Crowson, N. (2007) </w:t>
      </w:r>
      <w:r w:rsidRPr="00E52DA2">
        <w:rPr>
          <w:rFonts w:ascii="Garamond" w:hAnsi="Garamond"/>
          <w:i/>
          <w:sz w:val="24"/>
          <w:szCs w:val="24"/>
        </w:rPr>
        <w:t xml:space="preserve">The Conservative Party and European Integration since 1945: At the Heart of Europe, </w:t>
      </w:r>
      <w:r w:rsidRPr="00E52DA2">
        <w:rPr>
          <w:rFonts w:ascii="Garamond" w:hAnsi="Garamond"/>
          <w:sz w:val="24"/>
          <w:szCs w:val="24"/>
        </w:rPr>
        <w:t xml:space="preserve">Abington: Routledge. </w:t>
      </w:r>
    </w:p>
    <w:p w14:paraId="1577CE3D" w14:textId="77777777" w:rsidR="00037B90" w:rsidRPr="00E52DA2" w:rsidRDefault="00037B90" w:rsidP="00037B90">
      <w:pPr>
        <w:spacing w:line="480" w:lineRule="auto"/>
        <w:rPr>
          <w:rFonts w:ascii="Garamond" w:hAnsi="Garamond"/>
          <w:sz w:val="24"/>
          <w:szCs w:val="24"/>
        </w:rPr>
      </w:pPr>
      <w:proofErr w:type="spellStart"/>
      <w:r w:rsidRPr="00E52DA2">
        <w:rPr>
          <w:rFonts w:ascii="Garamond" w:hAnsi="Garamond"/>
          <w:sz w:val="24"/>
          <w:szCs w:val="24"/>
        </w:rPr>
        <w:t>Daddow</w:t>
      </w:r>
      <w:proofErr w:type="spellEnd"/>
      <w:r w:rsidRPr="00E52DA2">
        <w:rPr>
          <w:rFonts w:ascii="Garamond" w:hAnsi="Garamond"/>
          <w:sz w:val="24"/>
          <w:szCs w:val="24"/>
        </w:rPr>
        <w:t xml:space="preserve">, O. (2012) ‘The UK Media and Europe: from permissive consensus to destructive dissent’, </w:t>
      </w:r>
      <w:r w:rsidRPr="00E52DA2">
        <w:rPr>
          <w:rFonts w:ascii="Garamond" w:hAnsi="Garamond"/>
          <w:i/>
          <w:sz w:val="24"/>
          <w:szCs w:val="24"/>
        </w:rPr>
        <w:t>International Affairs</w:t>
      </w:r>
      <w:r w:rsidRPr="00E52DA2">
        <w:rPr>
          <w:rFonts w:ascii="Garamond" w:hAnsi="Garamond"/>
          <w:sz w:val="24"/>
          <w:szCs w:val="24"/>
        </w:rPr>
        <w:t>, 88 (6) 1219-36.</w:t>
      </w:r>
    </w:p>
    <w:p w14:paraId="302FAF23"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Dean, J. (1988) ‘Maggie Makes Europe Mad’, </w:t>
      </w:r>
      <w:r w:rsidRPr="00E52DA2">
        <w:rPr>
          <w:rFonts w:ascii="Garamond" w:hAnsi="Garamond"/>
          <w:i/>
          <w:sz w:val="24"/>
          <w:szCs w:val="24"/>
        </w:rPr>
        <w:t xml:space="preserve">The Daily Mail, </w:t>
      </w:r>
      <w:r w:rsidRPr="00E52DA2">
        <w:rPr>
          <w:rFonts w:ascii="Garamond" w:hAnsi="Garamond"/>
          <w:sz w:val="24"/>
          <w:szCs w:val="24"/>
        </w:rPr>
        <w:t xml:space="preserve">21 September. </w:t>
      </w:r>
    </w:p>
    <w:p w14:paraId="305E954D" w14:textId="77777777" w:rsidR="00037B90" w:rsidRPr="00E52DA2" w:rsidRDefault="00037B90" w:rsidP="00037B90">
      <w:pPr>
        <w:spacing w:line="480" w:lineRule="auto"/>
        <w:rPr>
          <w:rFonts w:ascii="Garamond" w:hAnsi="Garamond"/>
          <w:sz w:val="24"/>
          <w:szCs w:val="24"/>
        </w:rPr>
      </w:pPr>
      <w:proofErr w:type="spellStart"/>
      <w:r w:rsidRPr="00E52DA2">
        <w:rPr>
          <w:rFonts w:ascii="Garamond" w:hAnsi="Garamond"/>
          <w:sz w:val="24"/>
          <w:szCs w:val="24"/>
        </w:rPr>
        <w:t>Delors</w:t>
      </w:r>
      <w:proofErr w:type="spellEnd"/>
      <w:r w:rsidRPr="00E52DA2">
        <w:rPr>
          <w:rFonts w:ascii="Garamond" w:hAnsi="Garamond"/>
          <w:sz w:val="24"/>
          <w:szCs w:val="24"/>
        </w:rPr>
        <w:t>, J. (1988) ‘</w:t>
      </w:r>
      <w:r w:rsidRPr="00E52DA2">
        <w:rPr>
          <w:rFonts w:ascii="Garamond" w:hAnsi="Garamond" w:cs="Arial"/>
          <w:sz w:val="24"/>
          <w:szCs w:val="24"/>
        </w:rPr>
        <w:t>Debates of the European Parliament’, 2-367, 137-61, 6 July.</w:t>
      </w:r>
    </w:p>
    <w:p w14:paraId="37927EAB"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Eden, A. (1960) </w:t>
      </w:r>
      <w:r w:rsidRPr="00E52DA2">
        <w:rPr>
          <w:rFonts w:ascii="Garamond" w:hAnsi="Garamond"/>
          <w:i/>
          <w:sz w:val="24"/>
          <w:szCs w:val="24"/>
        </w:rPr>
        <w:t>Full Circle: The Memoirs of Anthony Eden</w:t>
      </w:r>
      <w:r w:rsidRPr="00E52DA2">
        <w:rPr>
          <w:rFonts w:ascii="Garamond" w:hAnsi="Garamond"/>
          <w:sz w:val="24"/>
          <w:szCs w:val="24"/>
        </w:rPr>
        <w:t>, London: Cassell.</w:t>
      </w:r>
    </w:p>
    <w:p w14:paraId="0A123BD8"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Finlayson, A. (2012) ‘Rhetoric and the Political Theory of Ideologies’, </w:t>
      </w:r>
      <w:r w:rsidRPr="00E52DA2">
        <w:rPr>
          <w:rFonts w:ascii="Garamond" w:hAnsi="Garamond"/>
          <w:i/>
          <w:sz w:val="24"/>
          <w:szCs w:val="24"/>
        </w:rPr>
        <w:t>Political Studies</w:t>
      </w:r>
      <w:r w:rsidRPr="00E52DA2">
        <w:rPr>
          <w:rFonts w:ascii="Garamond" w:hAnsi="Garamond"/>
          <w:sz w:val="24"/>
          <w:szCs w:val="24"/>
        </w:rPr>
        <w:t>, 60 (4), 751-67.</w:t>
      </w:r>
    </w:p>
    <w:p w14:paraId="788E7926"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Fontana, C. &amp; Parsons, C. (2015) ‘One Woman’s Prejudice: Did Margaret Thatcher cause Britain’s Anti-Europeanism?’, </w:t>
      </w:r>
      <w:r w:rsidRPr="00E52DA2">
        <w:rPr>
          <w:rFonts w:ascii="Garamond" w:hAnsi="Garamond"/>
          <w:i/>
          <w:sz w:val="24"/>
          <w:szCs w:val="24"/>
        </w:rPr>
        <w:t>Journal of Common Market Studies</w:t>
      </w:r>
      <w:r w:rsidRPr="00E52DA2">
        <w:rPr>
          <w:rFonts w:ascii="Garamond" w:hAnsi="Garamond"/>
          <w:sz w:val="24"/>
          <w:szCs w:val="24"/>
        </w:rPr>
        <w:t>, 53 (1), 89-105.</w:t>
      </w:r>
    </w:p>
    <w:p w14:paraId="0CCAA30A"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Gamble, A. (1994) </w:t>
      </w:r>
      <w:r w:rsidRPr="00E52DA2">
        <w:rPr>
          <w:rFonts w:ascii="Garamond" w:hAnsi="Garamond"/>
          <w:i/>
          <w:sz w:val="24"/>
          <w:szCs w:val="24"/>
        </w:rPr>
        <w:t>Free Economy and the Strong State</w:t>
      </w:r>
      <w:r w:rsidRPr="00E52DA2">
        <w:rPr>
          <w:rFonts w:ascii="Garamond" w:hAnsi="Garamond"/>
          <w:sz w:val="24"/>
          <w:szCs w:val="24"/>
        </w:rPr>
        <w:t xml:space="preserve">, Basingstoke: Macmillan. </w:t>
      </w:r>
    </w:p>
    <w:p w14:paraId="54DD7067"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Garry, J. (1995) ‘The British Conservative Party: Divisions over European Policy’, </w:t>
      </w:r>
      <w:r w:rsidRPr="00E52DA2">
        <w:rPr>
          <w:rFonts w:ascii="Garamond" w:hAnsi="Garamond"/>
          <w:i/>
          <w:sz w:val="24"/>
          <w:szCs w:val="24"/>
        </w:rPr>
        <w:t>West European Politics</w:t>
      </w:r>
      <w:r w:rsidRPr="00E52DA2">
        <w:rPr>
          <w:rFonts w:ascii="Garamond" w:hAnsi="Garamond"/>
          <w:sz w:val="24"/>
          <w:szCs w:val="24"/>
        </w:rPr>
        <w:t>, 18 (2), 170-189.</w:t>
      </w:r>
    </w:p>
    <w:p w14:paraId="4E2DFAFB"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lastRenderedPageBreak/>
        <w:t xml:space="preserve">Geddes, A. (2005) ‘Europe’ in Hickson, K. (ed.) </w:t>
      </w:r>
      <w:r w:rsidRPr="00E52DA2">
        <w:rPr>
          <w:rFonts w:ascii="Garamond" w:hAnsi="Garamond"/>
          <w:i/>
          <w:sz w:val="24"/>
          <w:szCs w:val="24"/>
        </w:rPr>
        <w:t>The Political Thought of the Conservative Party since 1945</w:t>
      </w:r>
      <w:r w:rsidRPr="00E52DA2">
        <w:rPr>
          <w:rFonts w:ascii="Garamond" w:hAnsi="Garamond"/>
          <w:sz w:val="24"/>
          <w:szCs w:val="24"/>
        </w:rPr>
        <w:t>, Basingstoke: Palgrave.</w:t>
      </w:r>
    </w:p>
    <w:p w14:paraId="550247A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Gifford, C. (2008) </w:t>
      </w:r>
      <w:r w:rsidRPr="00E52DA2">
        <w:rPr>
          <w:rFonts w:ascii="Garamond" w:hAnsi="Garamond"/>
          <w:i/>
          <w:sz w:val="24"/>
          <w:szCs w:val="24"/>
        </w:rPr>
        <w:t>The Making of Eurosceptic Britain: Identity and the Economy in a Post-Imperial State</w:t>
      </w:r>
      <w:r w:rsidRPr="00E52DA2">
        <w:rPr>
          <w:rFonts w:ascii="Garamond" w:hAnsi="Garamond"/>
          <w:sz w:val="24"/>
          <w:szCs w:val="24"/>
        </w:rPr>
        <w:t xml:space="preserve">, Aldershot: Ashgate. </w:t>
      </w:r>
    </w:p>
    <w:p w14:paraId="53847F2E" w14:textId="77777777" w:rsidR="00037B90" w:rsidRPr="00E52DA2" w:rsidRDefault="00037B90" w:rsidP="00037B90">
      <w:pPr>
        <w:spacing w:line="480" w:lineRule="auto"/>
        <w:rPr>
          <w:rFonts w:ascii="Garamond" w:hAnsi="Garamond"/>
          <w:sz w:val="24"/>
          <w:szCs w:val="24"/>
        </w:rPr>
      </w:pPr>
      <w:proofErr w:type="spellStart"/>
      <w:r w:rsidRPr="00E52DA2">
        <w:rPr>
          <w:rFonts w:ascii="Garamond" w:hAnsi="Garamond"/>
          <w:sz w:val="24"/>
          <w:szCs w:val="24"/>
        </w:rPr>
        <w:t>Gowland</w:t>
      </w:r>
      <w:proofErr w:type="spellEnd"/>
      <w:r w:rsidRPr="00E52DA2">
        <w:rPr>
          <w:rFonts w:ascii="Garamond" w:hAnsi="Garamond"/>
          <w:sz w:val="24"/>
          <w:szCs w:val="24"/>
        </w:rPr>
        <w:t xml:space="preserve">, D. (2017) </w:t>
      </w:r>
      <w:r w:rsidRPr="00E52DA2">
        <w:rPr>
          <w:rFonts w:ascii="Garamond" w:hAnsi="Garamond"/>
          <w:i/>
          <w:sz w:val="24"/>
          <w:szCs w:val="24"/>
        </w:rPr>
        <w:t>Britain and the European Union</w:t>
      </w:r>
      <w:r w:rsidRPr="00E52DA2">
        <w:rPr>
          <w:rFonts w:ascii="Garamond" w:hAnsi="Garamond"/>
          <w:sz w:val="24"/>
          <w:szCs w:val="24"/>
        </w:rPr>
        <w:t xml:space="preserve">, Abington: Routledge. </w:t>
      </w:r>
    </w:p>
    <w:p w14:paraId="1D0FDE8E"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Harrison, D. (1988) ‘Foreign and Commonwealth Office Planning Notes: Possible Themes’, </w:t>
      </w:r>
      <w:r w:rsidRPr="00E52DA2">
        <w:rPr>
          <w:rFonts w:ascii="Garamond" w:hAnsi="Garamond"/>
          <w:i/>
          <w:sz w:val="24"/>
          <w:szCs w:val="24"/>
        </w:rPr>
        <w:t>The Thatcher Foundation</w:t>
      </w:r>
      <w:r w:rsidRPr="00E52DA2">
        <w:rPr>
          <w:rFonts w:ascii="Garamond" w:hAnsi="Garamond"/>
          <w:sz w:val="24"/>
          <w:szCs w:val="24"/>
        </w:rPr>
        <w:t xml:space="preserve">, </w:t>
      </w:r>
      <w:hyperlink r:id="rId7" w:history="1">
        <w:r w:rsidRPr="00E52DA2">
          <w:rPr>
            <w:rStyle w:val="Hyperlink"/>
            <w:rFonts w:ascii="Garamond" w:hAnsi="Garamond" w:cs="Arial"/>
            <w:color w:val="auto"/>
            <w:sz w:val="24"/>
            <w:szCs w:val="24"/>
            <w:u w:val="none"/>
          </w:rPr>
          <w:t>https://www.margaretthatcher.org/document/111776</w:t>
        </w:r>
      </w:hyperlink>
      <w:r w:rsidRPr="00E52DA2">
        <w:rPr>
          <w:rStyle w:val="Hyperlink"/>
          <w:rFonts w:ascii="Garamond" w:hAnsi="Garamond" w:cs="Arial"/>
          <w:color w:val="auto"/>
          <w:sz w:val="24"/>
          <w:szCs w:val="24"/>
          <w:u w:val="none"/>
        </w:rPr>
        <w:t xml:space="preserve">, </w:t>
      </w:r>
      <w:r w:rsidRPr="00E52DA2">
        <w:rPr>
          <w:rFonts w:ascii="Garamond" w:hAnsi="Garamond"/>
          <w:sz w:val="24"/>
          <w:szCs w:val="24"/>
        </w:rPr>
        <w:t xml:space="preserve">14 June. </w:t>
      </w:r>
    </w:p>
    <w:p w14:paraId="04D9B512"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Hayton, R. (2012) </w:t>
      </w:r>
      <w:r w:rsidRPr="00E52DA2">
        <w:rPr>
          <w:rFonts w:ascii="Garamond" w:hAnsi="Garamond"/>
          <w:i/>
          <w:sz w:val="24"/>
          <w:szCs w:val="24"/>
        </w:rPr>
        <w:t>Reconstructing conservatism? The Conservative Party in opposition, 1997-2010</w:t>
      </w:r>
      <w:r w:rsidRPr="00E52DA2">
        <w:rPr>
          <w:rFonts w:ascii="Garamond" w:hAnsi="Garamond"/>
          <w:sz w:val="24"/>
          <w:szCs w:val="24"/>
        </w:rPr>
        <w:t>, Manchester: Manchester University Press.</w:t>
      </w:r>
    </w:p>
    <w:p w14:paraId="2F0431F5"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Hayton, R. &amp; Crines, A. (2015), </w:t>
      </w:r>
      <w:r w:rsidRPr="00E52DA2">
        <w:rPr>
          <w:rFonts w:ascii="Garamond" w:hAnsi="Garamond"/>
          <w:i/>
          <w:sz w:val="24"/>
          <w:szCs w:val="24"/>
        </w:rPr>
        <w:t>Conservative Orators from Baldwin to Cameron</w:t>
      </w:r>
      <w:r w:rsidRPr="00E52DA2">
        <w:rPr>
          <w:rFonts w:ascii="Garamond" w:hAnsi="Garamond"/>
          <w:sz w:val="24"/>
          <w:szCs w:val="24"/>
        </w:rPr>
        <w:t>, Manchester: Manchester University Press.</w:t>
      </w:r>
    </w:p>
    <w:p w14:paraId="4EFD433E"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Heath, E. (1998) </w:t>
      </w:r>
      <w:r w:rsidRPr="00E52DA2">
        <w:rPr>
          <w:rFonts w:ascii="Garamond" w:hAnsi="Garamond"/>
          <w:i/>
          <w:sz w:val="24"/>
          <w:szCs w:val="24"/>
        </w:rPr>
        <w:t>The Autobiography of Edward Heath: The Course of My Life</w:t>
      </w:r>
      <w:r w:rsidRPr="00E52DA2">
        <w:rPr>
          <w:rFonts w:ascii="Garamond" w:hAnsi="Garamond"/>
          <w:sz w:val="24"/>
          <w:szCs w:val="24"/>
        </w:rPr>
        <w:t xml:space="preserve">, London: Hodder &amp; Stoughton. </w:t>
      </w:r>
    </w:p>
    <w:p w14:paraId="6509870D" w14:textId="77777777" w:rsidR="00037B90" w:rsidRPr="00E52DA2" w:rsidRDefault="00037B90" w:rsidP="00037B90">
      <w:pPr>
        <w:spacing w:line="480" w:lineRule="auto"/>
        <w:rPr>
          <w:rFonts w:ascii="Garamond" w:hAnsi="Garamond"/>
          <w:sz w:val="24"/>
          <w:szCs w:val="24"/>
        </w:rPr>
      </w:pPr>
      <w:proofErr w:type="spellStart"/>
      <w:r w:rsidRPr="00E52DA2">
        <w:rPr>
          <w:rFonts w:ascii="Garamond" w:hAnsi="Garamond"/>
          <w:sz w:val="24"/>
          <w:szCs w:val="24"/>
        </w:rPr>
        <w:t>Heffer</w:t>
      </w:r>
      <w:proofErr w:type="spellEnd"/>
      <w:r w:rsidRPr="00E52DA2">
        <w:rPr>
          <w:rFonts w:ascii="Garamond" w:hAnsi="Garamond"/>
          <w:sz w:val="24"/>
          <w:szCs w:val="24"/>
        </w:rPr>
        <w:t xml:space="preserve">, S. (1988) ‘Thatcher signals fight to stop EEC superstate’, </w:t>
      </w:r>
      <w:r w:rsidRPr="00E52DA2">
        <w:rPr>
          <w:rFonts w:ascii="Garamond" w:hAnsi="Garamond"/>
          <w:i/>
          <w:sz w:val="24"/>
          <w:szCs w:val="24"/>
        </w:rPr>
        <w:t>The Daily Telegraph</w:t>
      </w:r>
      <w:r w:rsidRPr="00E52DA2">
        <w:rPr>
          <w:rFonts w:ascii="Garamond" w:hAnsi="Garamond"/>
          <w:sz w:val="24"/>
          <w:szCs w:val="24"/>
        </w:rPr>
        <w:t>, 21 September.</w:t>
      </w:r>
    </w:p>
    <w:p w14:paraId="398EDC48"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Heppell, T., Crines, A., Jeffery, D. (2017) ‘The United Kingdom referendum on European Union membership: The voting of Conservative Parliamentarians’, </w:t>
      </w:r>
      <w:r w:rsidRPr="00E52DA2">
        <w:rPr>
          <w:rFonts w:ascii="Garamond" w:hAnsi="Garamond"/>
          <w:i/>
          <w:sz w:val="24"/>
          <w:szCs w:val="24"/>
        </w:rPr>
        <w:t>Journal of Common Market Studies</w:t>
      </w:r>
      <w:r w:rsidRPr="00E52DA2">
        <w:rPr>
          <w:rFonts w:ascii="Garamond" w:hAnsi="Garamond"/>
          <w:sz w:val="24"/>
          <w:szCs w:val="24"/>
        </w:rPr>
        <w:t>, 55 (4), 762-78.</w:t>
      </w:r>
    </w:p>
    <w:p w14:paraId="38A598D6"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Heseltine, M. (2000) </w:t>
      </w:r>
      <w:r w:rsidRPr="00E52DA2">
        <w:rPr>
          <w:rFonts w:ascii="Garamond" w:hAnsi="Garamond"/>
          <w:i/>
          <w:sz w:val="24"/>
          <w:szCs w:val="24"/>
        </w:rPr>
        <w:t>Life in the Jungle: My Autobiography</w:t>
      </w:r>
      <w:r w:rsidRPr="00E52DA2">
        <w:rPr>
          <w:rFonts w:ascii="Garamond" w:hAnsi="Garamond"/>
          <w:sz w:val="24"/>
          <w:szCs w:val="24"/>
        </w:rPr>
        <w:t xml:space="preserve">, London: Hodder &amp; Stoughton. </w:t>
      </w:r>
    </w:p>
    <w:p w14:paraId="43E52C0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Howe, G. (1994) </w:t>
      </w:r>
      <w:r w:rsidRPr="00E52DA2">
        <w:rPr>
          <w:rFonts w:ascii="Garamond" w:hAnsi="Garamond"/>
          <w:i/>
          <w:sz w:val="24"/>
          <w:szCs w:val="24"/>
        </w:rPr>
        <w:t>Conflict of Loyalty</w:t>
      </w:r>
      <w:r w:rsidRPr="00E52DA2">
        <w:rPr>
          <w:rFonts w:ascii="Garamond" w:hAnsi="Garamond"/>
          <w:sz w:val="24"/>
          <w:szCs w:val="24"/>
        </w:rPr>
        <w:t xml:space="preserve">, London: Macmillan. </w:t>
      </w:r>
    </w:p>
    <w:p w14:paraId="49D7AE30"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lastRenderedPageBreak/>
        <w:t xml:space="preserve">Lawson, N. (1992) </w:t>
      </w:r>
      <w:r w:rsidRPr="00E52DA2">
        <w:rPr>
          <w:rFonts w:ascii="Garamond" w:hAnsi="Garamond"/>
          <w:i/>
          <w:sz w:val="24"/>
          <w:szCs w:val="24"/>
        </w:rPr>
        <w:t>The View from Number 11</w:t>
      </w:r>
      <w:r w:rsidRPr="00E52DA2">
        <w:rPr>
          <w:rFonts w:ascii="Garamond" w:hAnsi="Garamond"/>
          <w:sz w:val="24"/>
          <w:szCs w:val="24"/>
        </w:rPr>
        <w:t>, London: Corgi.</w:t>
      </w:r>
    </w:p>
    <w:p w14:paraId="72423B81"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Moon, J. (1985) </w:t>
      </w:r>
      <w:r w:rsidRPr="00E52DA2">
        <w:rPr>
          <w:rFonts w:ascii="Garamond" w:hAnsi="Garamond"/>
          <w:i/>
          <w:sz w:val="24"/>
          <w:szCs w:val="24"/>
        </w:rPr>
        <w:t>European integration in British Politics 1950-63: A study of issue change</w:t>
      </w:r>
      <w:r w:rsidRPr="00E52DA2">
        <w:rPr>
          <w:rFonts w:ascii="Garamond" w:hAnsi="Garamond"/>
          <w:sz w:val="24"/>
          <w:szCs w:val="24"/>
        </w:rPr>
        <w:t>, Aldershot: Ashgate.</w:t>
      </w:r>
    </w:p>
    <w:p w14:paraId="71F1BC6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Moore, C. (2015) </w:t>
      </w:r>
      <w:r w:rsidRPr="00E52DA2">
        <w:rPr>
          <w:rFonts w:ascii="Garamond" w:hAnsi="Garamond"/>
          <w:i/>
          <w:sz w:val="24"/>
          <w:szCs w:val="24"/>
        </w:rPr>
        <w:t>Margaret Thatcher: The Authorised Biography – volume two, Everything She Wants</w:t>
      </w:r>
      <w:r w:rsidRPr="00E52DA2">
        <w:rPr>
          <w:rFonts w:ascii="Garamond" w:hAnsi="Garamond"/>
          <w:sz w:val="24"/>
          <w:szCs w:val="24"/>
        </w:rPr>
        <w:t>, London: Allen Lane.</w:t>
      </w:r>
    </w:p>
    <w:p w14:paraId="61D65F1D"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Norton, P. &amp; </w:t>
      </w:r>
      <w:proofErr w:type="spellStart"/>
      <w:r w:rsidRPr="00E52DA2">
        <w:rPr>
          <w:rFonts w:ascii="Garamond" w:hAnsi="Garamond"/>
          <w:sz w:val="24"/>
          <w:szCs w:val="24"/>
        </w:rPr>
        <w:t>Aughey</w:t>
      </w:r>
      <w:proofErr w:type="spellEnd"/>
      <w:r w:rsidRPr="00E52DA2">
        <w:rPr>
          <w:rFonts w:ascii="Garamond" w:hAnsi="Garamond"/>
          <w:sz w:val="24"/>
          <w:szCs w:val="24"/>
        </w:rPr>
        <w:t xml:space="preserve">, A. (1981) </w:t>
      </w:r>
      <w:r w:rsidRPr="00E52DA2">
        <w:rPr>
          <w:rFonts w:ascii="Garamond" w:hAnsi="Garamond"/>
          <w:i/>
          <w:sz w:val="24"/>
          <w:szCs w:val="24"/>
        </w:rPr>
        <w:t>Conservatives and Conservatism</w:t>
      </w:r>
      <w:r w:rsidRPr="00E52DA2">
        <w:rPr>
          <w:rFonts w:ascii="Garamond" w:hAnsi="Garamond"/>
          <w:sz w:val="24"/>
          <w:szCs w:val="24"/>
        </w:rPr>
        <w:t>, London: Temple Smith.</w:t>
      </w:r>
    </w:p>
    <w:p w14:paraId="780BBA51"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Palmer, J. (1988) ‘Thatcher sets face against united Europe’, </w:t>
      </w:r>
      <w:r w:rsidRPr="00E52DA2">
        <w:rPr>
          <w:rFonts w:ascii="Garamond" w:hAnsi="Garamond"/>
          <w:i/>
          <w:sz w:val="24"/>
          <w:szCs w:val="24"/>
        </w:rPr>
        <w:t>The Guardian</w:t>
      </w:r>
      <w:r w:rsidRPr="00E52DA2">
        <w:rPr>
          <w:rFonts w:ascii="Garamond" w:hAnsi="Garamond"/>
          <w:sz w:val="24"/>
          <w:szCs w:val="24"/>
        </w:rPr>
        <w:t xml:space="preserve">, 21 September. </w:t>
      </w:r>
    </w:p>
    <w:p w14:paraId="74F7AD02"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Parker, L. (1988) ‘Recommends Thatcher Address College of Europe in Bruges’, </w:t>
      </w:r>
      <w:r w:rsidRPr="00E52DA2">
        <w:rPr>
          <w:rFonts w:ascii="Garamond" w:hAnsi="Garamond"/>
          <w:i/>
          <w:sz w:val="24"/>
          <w:szCs w:val="24"/>
        </w:rPr>
        <w:t>The Thatcher Foundation</w:t>
      </w:r>
      <w:r w:rsidRPr="00E52DA2">
        <w:rPr>
          <w:rFonts w:ascii="Garamond" w:hAnsi="Garamond"/>
          <w:sz w:val="24"/>
          <w:szCs w:val="24"/>
        </w:rPr>
        <w:t xml:space="preserve">, </w:t>
      </w:r>
      <w:hyperlink r:id="rId8" w:history="1">
        <w:r w:rsidRPr="00E52DA2">
          <w:rPr>
            <w:rStyle w:val="Hyperlink"/>
            <w:rFonts w:ascii="Garamond" w:hAnsi="Garamond" w:cs="Arial"/>
            <w:iCs/>
            <w:color w:val="auto"/>
            <w:sz w:val="24"/>
            <w:szCs w:val="24"/>
            <w:u w:val="none"/>
          </w:rPr>
          <w:t>https://www.margaretthatcher.org/document/111774</w:t>
        </w:r>
      </w:hyperlink>
      <w:r w:rsidRPr="00E52DA2">
        <w:rPr>
          <w:rStyle w:val="Hyperlink"/>
          <w:rFonts w:ascii="Garamond" w:hAnsi="Garamond" w:cs="Arial"/>
          <w:iCs/>
          <w:color w:val="auto"/>
          <w:sz w:val="24"/>
          <w:szCs w:val="24"/>
          <w:u w:val="none"/>
        </w:rPr>
        <w:t xml:space="preserve">, </w:t>
      </w:r>
      <w:r w:rsidRPr="00E52DA2">
        <w:rPr>
          <w:rFonts w:ascii="Garamond" w:hAnsi="Garamond"/>
          <w:sz w:val="24"/>
          <w:szCs w:val="24"/>
        </w:rPr>
        <w:t xml:space="preserve">27 April. </w:t>
      </w:r>
    </w:p>
    <w:p w14:paraId="5CB52208"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Redwood, Sir J. (2019) </w:t>
      </w:r>
      <w:r>
        <w:rPr>
          <w:rFonts w:ascii="Garamond" w:hAnsi="Garamond"/>
          <w:i/>
          <w:sz w:val="24"/>
          <w:szCs w:val="24"/>
        </w:rPr>
        <w:t>Conversation</w:t>
      </w:r>
      <w:r w:rsidRPr="00E52DA2">
        <w:rPr>
          <w:rFonts w:ascii="Garamond" w:hAnsi="Garamond"/>
          <w:i/>
          <w:sz w:val="24"/>
          <w:szCs w:val="24"/>
        </w:rPr>
        <w:t xml:space="preserve"> with the author</w:t>
      </w:r>
      <w:r w:rsidRPr="00E52DA2">
        <w:rPr>
          <w:rFonts w:ascii="Garamond" w:hAnsi="Garamond"/>
          <w:sz w:val="24"/>
          <w:szCs w:val="24"/>
        </w:rPr>
        <w:t xml:space="preserve">, January 7. </w:t>
      </w:r>
    </w:p>
    <w:p w14:paraId="2BE773EF"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Rose, R. (1976) </w:t>
      </w:r>
      <w:r w:rsidRPr="00E52DA2">
        <w:rPr>
          <w:rFonts w:ascii="Garamond" w:hAnsi="Garamond"/>
          <w:i/>
          <w:sz w:val="24"/>
          <w:szCs w:val="24"/>
        </w:rPr>
        <w:t>The Problem of Party Government</w:t>
      </w:r>
      <w:r w:rsidRPr="00E52DA2">
        <w:rPr>
          <w:rFonts w:ascii="Garamond" w:hAnsi="Garamond"/>
          <w:sz w:val="24"/>
          <w:szCs w:val="24"/>
        </w:rPr>
        <w:t>, London: Penguin.</w:t>
      </w:r>
    </w:p>
    <w:p w14:paraId="6957684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Social Survey – Gallop Poll (1966) ‘British Attitudes to the EEC 1960-63’</w:t>
      </w:r>
      <w:r w:rsidRPr="00E52DA2">
        <w:rPr>
          <w:rFonts w:ascii="Garamond" w:hAnsi="Garamond"/>
          <w:i/>
          <w:sz w:val="24"/>
          <w:szCs w:val="24"/>
        </w:rPr>
        <w:t>, Journal of Common Market Studies</w:t>
      </w:r>
      <w:r w:rsidRPr="00E52DA2">
        <w:rPr>
          <w:rFonts w:ascii="Garamond" w:hAnsi="Garamond"/>
          <w:sz w:val="24"/>
          <w:szCs w:val="24"/>
        </w:rPr>
        <w:t>, 5 (1), 49-61.</w:t>
      </w:r>
    </w:p>
    <w:p w14:paraId="59490898"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Stevens, D. (2012) ‘Issue evolution in Britain: The debate on European integration 1964-2010’ </w:t>
      </w:r>
      <w:r w:rsidRPr="00E52DA2">
        <w:rPr>
          <w:rFonts w:ascii="Garamond" w:hAnsi="Garamond"/>
          <w:i/>
          <w:sz w:val="24"/>
          <w:szCs w:val="24"/>
        </w:rPr>
        <w:t>European Journal of Political Research</w:t>
      </w:r>
      <w:r w:rsidRPr="00E52DA2">
        <w:rPr>
          <w:rFonts w:ascii="Garamond" w:hAnsi="Garamond"/>
          <w:sz w:val="24"/>
          <w:szCs w:val="24"/>
        </w:rPr>
        <w:t xml:space="preserve">, 52 (4), 536-57. </w:t>
      </w:r>
    </w:p>
    <w:p w14:paraId="61DB9904"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(1988a) ‘Speech to the College of Europe, Bruges’, </w:t>
      </w:r>
      <w:r w:rsidRPr="00E52DA2">
        <w:rPr>
          <w:rFonts w:ascii="Garamond" w:hAnsi="Garamond"/>
          <w:i/>
          <w:sz w:val="24"/>
          <w:szCs w:val="24"/>
        </w:rPr>
        <w:t>The Thatcher Foundation</w:t>
      </w:r>
      <w:r w:rsidRPr="00E52DA2">
        <w:rPr>
          <w:rFonts w:ascii="Garamond" w:hAnsi="Garamond"/>
          <w:sz w:val="24"/>
          <w:szCs w:val="24"/>
        </w:rPr>
        <w:t xml:space="preserve">, </w:t>
      </w:r>
      <w:hyperlink r:id="rId9" w:history="1">
        <w:r w:rsidRPr="00E52DA2">
          <w:rPr>
            <w:rStyle w:val="Hyperlink"/>
            <w:rFonts w:ascii="Garamond" w:hAnsi="Garamond" w:cs="Arial"/>
            <w:color w:val="auto"/>
            <w:sz w:val="24"/>
            <w:szCs w:val="24"/>
            <w:u w:val="none"/>
          </w:rPr>
          <w:t>https://www.margaretthatcher.org/document/107332</w:t>
        </w:r>
      </w:hyperlink>
      <w:r w:rsidRPr="00E52DA2">
        <w:rPr>
          <w:rStyle w:val="Hyperlink"/>
          <w:rFonts w:ascii="Garamond" w:hAnsi="Garamond" w:cs="Arial"/>
          <w:color w:val="auto"/>
          <w:sz w:val="24"/>
          <w:szCs w:val="24"/>
          <w:u w:val="none"/>
        </w:rPr>
        <w:t xml:space="preserve">, </w:t>
      </w:r>
      <w:r w:rsidRPr="00E52DA2">
        <w:rPr>
          <w:rFonts w:ascii="Garamond" w:hAnsi="Garamond"/>
          <w:sz w:val="24"/>
          <w:szCs w:val="24"/>
        </w:rPr>
        <w:t xml:space="preserve">September 20. </w:t>
      </w:r>
    </w:p>
    <w:p w14:paraId="408A1A93"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(1992a) ‘Europe’s Political Architecture’, </w:t>
      </w:r>
      <w:r w:rsidRPr="00E52DA2">
        <w:rPr>
          <w:rFonts w:ascii="Garamond" w:hAnsi="Garamond"/>
          <w:i/>
          <w:sz w:val="24"/>
          <w:szCs w:val="24"/>
        </w:rPr>
        <w:t xml:space="preserve">The Thatcher Foundation, </w:t>
      </w:r>
      <w:r w:rsidRPr="00E52DA2">
        <w:rPr>
          <w:rFonts w:ascii="Garamond" w:hAnsi="Garamond"/>
          <w:sz w:val="24"/>
          <w:szCs w:val="24"/>
        </w:rPr>
        <w:t>https://www.margaretthatcher.org/document/108296, May 15.</w:t>
      </w:r>
    </w:p>
    <w:p w14:paraId="0D2A575E"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lastRenderedPageBreak/>
        <w:t xml:space="preserve">Thatcher, M. (1992b) ‘The Principles of Thatcherism’, </w:t>
      </w:r>
      <w:r w:rsidRPr="00E52DA2">
        <w:rPr>
          <w:rFonts w:ascii="Garamond" w:hAnsi="Garamond"/>
          <w:i/>
          <w:sz w:val="24"/>
          <w:szCs w:val="24"/>
        </w:rPr>
        <w:t xml:space="preserve">The Thatcher Foundation, </w:t>
      </w:r>
      <w:r w:rsidRPr="00E52DA2">
        <w:rPr>
          <w:rFonts w:ascii="Garamond" w:hAnsi="Garamond"/>
          <w:sz w:val="24"/>
          <w:szCs w:val="24"/>
        </w:rPr>
        <w:t>https://www.margaretthatcher.org/document/108302, September 3.</w:t>
      </w:r>
    </w:p>
    <w:p w14:paraId="2C665C15"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(1993a) </w:t>
      </w:r>
      <w:r w:rsidRPr="00E52DA2">
        <w:rPr>
          <w:rFonts w:ascii="Garamond" w:hAnsi="Garamond"/>
          <w:i/>
          <w:sz w:val="24"/>
          <w:szCs w:val="24"/>
        </w:rPr>
        <w:t>The Downing Street Years</w:t>
      </w:r>
      <w:r w:rsidRPr="00E52DA2">
        <w:rPr>
          <w:rFonts w:ascii="Garamond" w:hAnsi="Garamond"/>
          <w:sz w:val="24"/>
          <w:szCs w:val="24"/>
        </w:rPr>
        <w:t>, London: Harper Collins.</w:t>
      </w:r>
    </w:p>
    <w:p w14:paraId="6DE76E8A"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(1993b) ‘House of Lords – European Communities Amendment Bill), </w:t>
      </w:r>
      <w:r w:rsidRPr="00E52DA2">
        <w:rPr>
          <w:rFonts w:ascii="Garamond" w:hAnsi="Garamond"/>
          <w:i/>
          <w:sz w:val="24"/>
          <w:szCs w:val="24"/>
        </w:rPr>
        <w:t>The Thatcher Foundation</w:t>
      </w:r>
      <w:r w:rsidRPr="00E52DA2">
        <w:rPr>
          <w:rFonts w:ascii="Garamond" w:hAnsi="Garamond"/>
          <w:sz w:val="24"/>
          <w:szCs w:val="24"/>
        </w:rPr>
        <w:t xml:space="preserve">, </w:t>
      </w:r>
      <w:proofErr w:type="gramStart"/>
      <w:r w:rsidRPr="00E52DA2">
        <w:rPr>
          <w:rFonts w:ascii="Garamond" w:hAnsi="Garamond"/>
          <w:sz w:val="24"/>
          <w:szCs w:val="24"/>
        </w:rPr>
        <w:t>https://www.margaretthatcher.org/document/108314 ,</w:t>
      </w:r>
      <w:proofErr w:type="gramEnd"/>
      <w:r w:rsidRPr="00E52DA2">
        <w:rPr>
          <w:rFonts w:ascii="Garamond" w:hAnsi="Garamond"/>
          <w:sz w:val="24"/>
          <w:szCs w:val="24"/>
        </w:rPr>
        <w:t xml:space="preserve"> June 7. </w:t>
      </w:r>
    </w:p>
    <w:p w14:paraId="628886F6"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(1996) ‘Liberty and Limited Government’, </w:t>
      </w:r>
      <w:r w:rsidRPr="00E52DA2">
        <w:rPr>
          <w:rFonts w:ascii="Garamond" w:hAnsi="Garamond"/>
          <w:i/>
          <w:sz w:val="24"/>
          <w:szCs w:val="24"/>
        </w:rPr>
        <w:t xml:space="preserve">The Thatcher Foundation, </w:t>
      </w:r>
      <w:r w:rsidRPr="00E52DA2">
        <w:rPr>
          <w:rFonts w:ascii="Garamond" w:hAnsi="Garamond"/>
          <w:sz w:val="24"/>
          <w:szCs w:val="24"/>
        </w:rPr>
        <w:t>https://www.margaretthatcher.org/document/108353, January 11.</w:t>
      </w:r>
    </w:p>
    <w:p w14:paraId="2AAE7BB0"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(1997) ‘Remarks campaigning during 1997 general election (Christchurch and Aldershot), </w:t>
      </w:r>
      <w:r w:rsidRPr="00E52DA2">
        <w:rPr>
          <w:rFonts w:ascii="Garamond" w:hAnsi="Garamond"/>
          <w:i/>
          <w:sz w:val="24"/>
          <w:szCs w:val="24"/>
        </w:rPr>
        <w:t>The Thatcher Foundation</w:t>
      </w:r>
      <w:r w:rsidRPr="00E52DA2">
        <w:rPr>
          <w:rFonts w:ascii="Garamond" w:hAnsi="Garamond"/>
          <w:sz w:val="24"/>
          <w:szCs w:val="24"/>
        </w:rPr>
        <w:t xml:space="preserve">, https://www.margaretthatcher.org/document/111361, April 9. </w:t>
      </w:r>
    </w:p>
    <w:p w14:paraId="02CBCD22"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Thatcher, M. (2007) ‘Message to </w:t>
      </w:r>
      <w:r w:rsidRPr="00E52DA2">
        <w:rPr>
          <w:rFonts w:ascii="Garamond" w:hAnsi="Garamond"/>
          <w:i/>
          <w:sz w:val="24"/>
          <w:szCs w:val="24"/>
        </w:rPr>
        <w:t>The Sun</w:t>
      </w:r>
      <w:r w:rsidRPr="00E52DA2">
        <w:rPr>
          <w:rFonts w:ascii="Garamond" w:hAnsi="Garamond"/>
          <w:sz w:val="24"/>
          <w:szCs w:val="24"/>
        </w:rPr>
        <w:t xml:space="preserve">: Supports campaign for referendum on EU treaty’, </w:t>
      </w:r>
      <w:r w:rsidRPr="00E52DA2">
        <w:rPr>
          <w:rFonts w:ascii="Garamond" w:hAnsi="Garamond"/>
          <w:i/>
          <w:sz w:val="24"/>
          <w:szCs w:val="24"/>
        </w:rPr>
        <w:t>The Thatcher Foundation</w:t>
      </w:r>
      <w:r w:rsidRPr="00E52DA2">
        <w:rPr>
          <w:rFonts w:ascii="Garamond" w:hAnsi="Garamond"/>
          <w:sz w:val="24"/>
          <w:szCs w:val="24"/>
        </w:rPr>
        <w:t>, https://www.margaretthatcher.org/document/111065, September 29.</w:t>
      </w:r>
    </w:p>
    <w:p w14:paraId="5F893BAF" w14:textId="77777777" w:rsidR="00037B90" w:rsidRPr="00E52DA2" w:rsidRDefault="00037B90" w:rsidP="00037B90">
      <w:pPr>
        <w:spacing w:line="480" w:lineRule="auto"/>
        <w:rPr>
          <w:rFonts w:ascii="Garamond" w:hAnsi="Garamond"/>
          <w:sz w:val="24"/>
          <w:szCs w:val="24"/>
        </w:rPr>
      </w:pPr>
      <w:r w:rsidRPr="00E52DA2">
        <w:rPr>
          <w:rFonts w:ascii="Garamond" w:hAnsi="Garamond"/>
          <w:i/>
          <w:sz w:val="24"/>
          <w:szCs w:val="24"/>
        </w:rPr>
        <w:t>The Sun</w:t>
      </w:r>
      <w:r w:rsidRPr="00E52DA2">
        <w:rPr>
          <w:rFonts w:ascii="Garamond" w:hAnsi="Garamond"/>
          <w:sz w:val="24"/>
          <w:szCs w:val="24"/>
        </w:rPr>
        <w:t xml:space="preserve"> (1988) ‘We Stay British’, </w:t>
      </w:r>
      <w:r w:rsidRPr="00E52DA2">
        <w:rPr>
          <w:rFonts w:ascii="Garamond" w:hAnsi="Garamond"/>
          <w:i/>
          <w:sz w:val="24"/>
          <w:szCs w:val="24"/>
        </w:rPr>
        <w:t>The Sun</w:t>
      </w:r>
      <w:r w:rsidRPr="00E52DA2">
        <w:rPr>
          <w:rFonts w:ascii="Garamond" w:hAnsi="Garamond"/>
          <w:sz w:val="24"/>
          <w:szCs w:val="24"/>
        </w:rPr>
        <w:t>, 21 September.</w:t>
      </w:r>
    </w:p>
    <w:p w14:paraId="2EC39A78" w14:textId="77777777" w:rsidR="00037B90" w:rsidRPr="00E52DA2" w:rsidRDefault="00037B90" w:rsidP="00037B90">
      <w:pPr>
        <w:spacing w:line="480" w:lineRule="auto"/>
        <w:rPr>
          <w:rFonts w:ascii="Garamond" w:hAnsi="Garamond" w:cs="Arial"/>
          <w:sz w:val="24"/>
          <w:szCs w:val="24"/>
        </w:rPr>
      </w:pPr>
      <w:r w:rsidRPr="00E52DA2">
        <w:rPr>
          <w:rFonts w:ascii="Garamond" w:hAnsi="Garamond"/>
          <w:sz w:val="24"/>
          <w:szCs w:val="24"/>
        </w:rPr>
        <w:t xml:space="preserve">Thomas, H. (1988) ‘Notes for Discussion with the Prime Minister’, </w:t>
      </w:r>
      <w:r w:rsidRPr="00E52DA2">
        <w:rPr>
          <w:rFonts w:ascii="Garamond" w:hAnsi="Garamond"/>
          <w:i/>
          <w:sz w:val="24"/>
          <w:szCs w:val="24"/>
        </w:rPr>
        <w:t>Centre for Policy Studies</w:t>
      </w:r>
      <w:r w:rsidRPr="00E52DA2">
        <w:rPr>
          <w:rFonts w:ascii="Garamond" w:hAnsi="Garamond"/>
          <w:sz w:val="24"/>
          <w:szCs w:val="24"/>
        </w:rPr>
        <w:t xml:space="preserve">, </w:t>
      </w:r>
      <w:r w:rsidRPr="00E52DA2">
        <w:rPr>
          <w:rFonts w:ascii="Garamond" w:hAnsi="Garamond" w:cs="Arial"/>
          <w:sz w:val="24"/>
          <w:szCs w:val="24"/>
        </w:rPr>
        <w:t>Thatcher MSS, Churchill Archive Centre, THCR 2/11/3/6 part 2 f18, 2 June.</w:t>
      </w:r>
    </w:p>
    <w:p w14:paraId="2109BBAC" w14:textId="77777777" w:rsidR="00037B90" w:rsidRPr="00E52DA2" w:rsidRDefault="00037B90" w:rsidP="00037B90">
      <w:pPr>
        <w:spacing w:line="480" w:lineRule="auto"/>
        <w:rPr>
          <w:rFonts w:ascii="Garamond" w:hAnsi="Garamond"/>
          <w:sz w:val="24"/>
          <w:szCs w:val="24"/>
        </w:rPr>
      </w:pPr>
      <w:r w:rsidRPr="00E52DA2">
        <w:rPr>
          <w:rFonts w:ascii="Garamond" w:hAnsi="Garamond"/>
          <w:sz w:val="24"/>
          <w:szCs w:val="24"/>
        </w:rPr>
        <w:t xml:space="preserve">Toye, R. (2013) </w:t>
      </w:r>
      <w:r w:rsidRPr="00E52DA2">
        <w:rPr>
          <w:rFonts w:ascii="Garamond" w:hAnsi="Garamond"/>
          <w:i/>
          <w:sz w:val="24"/>
          <w:szCs w:val="24"/>
        </w:rPr>
        <w:t>Rhetoric – A Very Short Introduction</w:t>
      </w:r>
      <w:r w:rsidRPr="00E52DA2">
        <w:rPr>
          <w:rFonts w:ascii="Garamond" w:hAnsi="Garamond"/>
          <w:sz w:val="24"/>
          <w:szCs w:val="24"/>
        </w:rPr>
        <w:t>, Oxford: Oxford University Press.</w:t>
      </w:r>
    </w:p>
    <w:p w14:paraId="0D71734E" w14:textId="77777777" w:rsidR="00037B90" w:rsidRPr="00E52DA2" w:rsidRDefault="00037B90" w:rsidP="00037B90">
      <w:pPr>
        <w:spacing w:line="480" w:lineRule="auto"/>
        <w:rPr>
          <w:rFonts w:ascii="Garamond" w:hAnsi="Garamond"/>
          <w:sz w:val="24"/>
          <w:szCs w:val="24"/>
        </w:rPr>
      </w:pPr>
      <w:r w:rsidRPr="00E52DA2">
        <w:rPr>
          <w:rFonts w:ascii="Garamond" w:hAnsi="Garamond" w:cs="Arial"/>
          <w:sz w:val="24"/>
          <w:szCs w:val="24"/>
        </w:rPr>
        <w:t xml:space="preserve">Turner, J. (2000) </w:t>
      </w:r>
      <w:r w:rsidRPr="00E52DA2">
        <w:rPr>
          <w:rFonts w:ascii="Garamond" w:hAnsi="Garamond" w:cs="Arial"/>
          <w:i/>
          <w:sz w:val="24"/>
          <w:szCs w:val="24"/>
        </w:rPr>
        <w:t>The Tories and Europe</w:t>
      </w:r>
      <w:r w:rsidRPr="00E52DA2">
        <w:rPr>
          <w:rFonts w:ascii="Garamond" w:hAnsi="Garamond" w:cs="Arial"/>
          <w:sz w:val="24"/>
          <w:szCs w:val="24"/>
        </w:rPr>
        <w:t xml:space="preserve">, Manchester: Manchester University Press. </w:t>
      </w:r>
    </w:p>
    <w:p w14:paraId="54612531" w14:textId="77777777" w:rsidR="00037B90" w:rsidRPr="00E52DA2" w:rsidRDefault="00037B90" w:rsidP="00037B90">
      <w:pPr>
        <w:spacing w:line="480" w:lineRule="auto"/>
        <w:rPr>
          <w:rStyle w:val="Hyperlink"/>
          <w:rFonts w:ascii="Garamond" w:hAnsi="Garamond" w:cs="Arial"/>
          <w:color w:val="auto"/>
          <w:sz w:val="24"/>
          <w:szCs w:val="24"/>
          <w:u w:val="none"/>
        </w:rPr>
      </w:pPr>
      <w:r w:rsidRPr="00E52DA2">
        <w:rPr>
          <w:rFonts w:ascii="Garamond" w:hAnsi="Garamond"/>
          <w:sz w:val="24"/>
          <w:szCs w:val="24"/>
        </w:rPr>
        <w:t xml:space="preserve">Wall, S. (1988) ‘Invitation to the Prime Minister: The College of Europe’, </w:t>
      </w:r>
      <w:r w:rsidRPr="00E52DA2">
        <w:rPr>
          <w:rFonts w:ascii="Garamond" w:hAnsi="Garamond"/>
          <w:i/>
          <w:sz w:val="24"/>
          <w:szCs w:val="24"/>
        </w:rPr>
        <w:t>The Thatcher Foundation</w:t>
      </w:r>
      <w:r w:rsidRPr="00E52DA2">
        <w:rPr>
          <w:rFonts w:ascii="Garamond" w:hAnsi="Garamond"/>
          <w:sz w:val="24"/>
          <w:szCs w:val="24"/>
        </w:rPr>
        <w:t xml:space="preserve">, </w:t>
      </w:r>
      <w:hyperlink r:id="rId10" w:history="1">
        <w:r w:rsidRPr="00E52DA2">
          <w:rPr>
            <w:rStyle w:val="Hyperlink"/>
            <w:rFonts w:ascii="Garamond" w:hAnsi="Garamond" w:cs="Arial"/>
            <w:color w:val="auto"/>
            <w:sz w:val="24"/>
            <w:szCs w:val="24"/>
            <w:u w:val="none"/>
          </w:rPr>
          <w:t>https://www.margaretthatcher.org/document/111773</w:t>
        </w:r>
      </w:hyperlink>
      <w:r w:rsidRPr="00E52DA2">
        <w:rPr>
          <w:rStyle w:val="Hyperlink"/>
          <w:rFonts w:ascii="Garamond" w:hAnsi="Garamond" w:cs="Arial"/>
          <w:color w:val="auto"/>
          <w:sz w:val="24"/>
          <w:szCs w:val="24"/>
          <w:u w:val="none"/>
        </w:rPr>
        <w:t xml:space="preserve">, 22 April. </w:t>
      </w:r>
    </w:p>
    <w:p w14:paraId="2DDCA8EF" w14:textId="77777777" w:rsidR="00037B90" w:rsidRPr="00E52DA2" w:rsidRDefault="00037B90" w:rsidP="00037B90">
      <w:pPr>
        <w:spacing w:line="480" w:lineRule="auto"/>
        <w:rPr>
          <w:rFonts w:ascii="Garamond" w:hAnsi="Garamond"/>
          <w:sz w:val="24"/>
          <w:szCs w:val="24"/>
        </w:rPr>
      </w:pPr>
      <w:r w:rsidRPr="00E52DA2">
        <w:rPr>
          <w:rStyle w:val="Hyperlink"/>
          <w:rFonts w:ascii="Garamond" w:hAnsi="Garamond" w:cs="Arial"/>
          <w:color w:val="auto"/>
          <w:sz w:val="24"/>
          <w:szCs w:val="24"/>
          <w:u w:val="none"/>
        </w:rPr>
        <w:lastRenderedPageBreak/>
        <w:t xml:space="preserve">Wall, S. (2008) </w:t>
      </w:r>
      <w:r w:rsidRPr="00E52DA2">
        <w:rPr>
          <w:rStyle w:val="Hyperlink"/>
          <w:rFonts w:ascii="Garamond" w:hAnsi="Garamond" w:cs="Arial"/>
          <w:i/>
          <w:color w:val="auto"/>
          <w:sz w:val="24"/>
          <w:szCs w:val="24"/>
          <w:u w:val="none"/>
        </w:rPr>
        <w:t>A Stranger in Europe: Britain and the EU from Thatcher to Blair</w:t>
      </w:r>
      <w:r w:rsidRPr="00E52DA2">
        <w:rPr>
          <w:rStyle w:val="Hyperlink"/>
          <w:rFonts w:ascii="Garamond" w:hAnsi="Garamond" w:cs="Arial"/>
          <w:color w:val="auto"/>
          <w:sz w:val="24"/>
          <w:szCs w:val="24"/>
          <w:u w:val="none"/>
        </w:rPr>
        <w:t>, Oxford: Oxford University Press.</w:t>
      </w:r>
    </w:p>
    <w:p w14:paraId="0549B464" w14:textId="77777777" w:rsidR="00037B90" w:rsidRPr="00E52DA2" w:rsidRDefault="00037B90" w:rsidP="00037B90">
      <w:pPr>
        <w:spacing w:line="480" w:lineRule="auto"/>
        <w:rPr>
          <w:rFonts w:ascii="Garamond" w:hAnsi="Garamond" w:cs="Arial"/>
          <w:sz w:val="24"/>
          <w:szCs w:val="24"/>
        </w:rPr>
      </w:pPr>
      <w:proofErr w:type="spellStart"/>
      <w:r w:rsidRPr="00E52DA2">
        <w:rPr>
          <w:rFonts w:ascii="Garamond" w:hAnsi="Garamond"/>
          <w:sz w:val="24"/>
          <w:szCs w:val="24"/>
        </w:rPr>
        <w:t>Whittingdale</w:t>
      </w:r>
      <w:proofErr w:type="spellEnd"/>
      <w:r w:rsidRPr="00E52DA2">
        <w:rPr>
          <w:rFonts w:ascii="Garamond" w:hAnsi="Garamond"/>
          <w:sz w:val="24"/>
          <w:szCs w:val="24"/>
        </w:rPr>
        <w:t xml:space="preserve">, J. (1988) ‘Notes of </w:t>
      </w:r>
      <w:r w:rsidRPr="00E52DA2">
        <w:rPr>
          <w:rFonts w:ascii="Garamond" w:hAnsi="Garamond" w:cs="Arial"/>
          <w:sz w:val="24"/>
          <w:szCs w:val="24"/>
        </w:rPr>
        <w:t>Thatcher-Thomas conversation re Bruges Speech’, Thatcher MSS, Churchill Archive Centre, THCR 2/11/3/6 part 2 f16, 6 June.</w:t>
      </w:r>
    </w:p>
    <w:p w14:paraId="779A1274" w14:textId="77777777" w:rsidR="00FF4853" w:rsidRPr="00C22EAF" w:rsidRDefault="00037B90" w:rsidP="00037B90">
      <w:pPr>
        <w:spacing w:line="480" w:lineRule="auto"/>
        <w:rPr>
          <w:rFonts w:ascii="Garamond" w:hAnsi="Garamond"/>
          <w:b/>
          <w:sz w:val="24"/>
          <w:szCs w:val="24"/>
        </w:rPr>
      </w:pPr>
      <w:r w:rsidRPr="00E52DA2">
        <w:rPr>
          <w:rFonts w:ascii="Garamond" w:hAnsi="Garamond" w:cs="Arial"/>
          <w:sz w:val="24"/>
          <w:szCs w:val="24"/>
        </w:rPr>
        <w:t xml:space="preserve">Wood, N. (1988) ‘Thatcher hints at “identikit” Europe union’, </w:t>
      </w:r>
      <w:r w:rsidRPr="00E52DA2">
        <w:rPr>
          <w:rFonts w:ascii="Garamond" w:hAnsi="Garamond" w:cs="Arial"/>
          <w:i/>
          <w:sz w:val="24"/>
          <w:szCs w:val="24"/>
        </w:rPr>
        <w:t>The Times</w:t>
      </w:r>
      <w:r w:rsidRPr="00E52DA2">
        <w:rPr>
          <w:rFonts w:ascii="Garamond" w:hAnsi="Garamond" w:cs="Arial"/>
          <w:sz w:val="24"/>
          <w:szCs w:val="24"/>
        </w:rPr>
        <w:t xml:space="preserve">, 21 September. </w:t>
      </w:r>
    </w:p>
    <w:sectPr w:rsidR="00FF4853" w:rsidRPr="00C22EAF" w:rsidSect="009D35E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3D3D" w14:textId="77777777" w:rsidR="00B736DB" w:rsidRDefault="00B736DB" w:rsidP="006D1E89">
      <w:pPr>
        <w:spacing w:after="0" w:line="240" w:lineRule="auto"/>
      </w:pPr>
      <w:r>
        <w:separator/>
      </w:r>
    </w:p>
  </w:endnote>
  <w:endnote w:type="continuationSeparator" w:id="0">
    <w:p w14:paraId="130FF466" w14:textId="77777777" w:rsidR="00B736DB" w:rsidRDefault="00B736DB" w:rsidP="006D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5129" w14:textId="77777777" w:rsidR="00B736DB" w:rsidRDefault="00B736DB" w:rsidP="006D1E89">
      <w:pPr>
        <w:spacing w:after="0" w:line="240" w:lineRule="auto"/>
      </w:pPr>
      <w:r>
        <w:separator/>
      </w:r>
    </w:p>
  </w:footnote>
  <w:footnote w:type="continuationSeparator" w:id="0">
    <w:p w14:paraId="45A2012E" w14:textId="77777777" w:rsidR="00B736DB" w:rsidRDefault="00B736DB" w:rsidP="006D1E89">
      <w:pPr>
        <w:spacing w:after="0" w:line="240" w:lineRule="auto"/>
      </w:pPr>
      <w:r>
        <w:continuationSeparator/>
      </w:r>
    </w:p>
  </w:footnote>
  <w:footnote w:id="1">
    <w:p w14:paraId="400636A9" w14:textId="77777777" w:rsidR="00511C2C" w:rsidRPr="00511C2C" w:rsidRDefault="00511C2C">
      <w:pPr>
        <w:pStyle w:val="FootnoteText"/>
        <w:rPr>
          <w:rFonts w:ascii="Garamond" w:hAnsi="Garamond"/>
        </w:rPr>
      </w:pPr>
      <w:r w:rsidRPr="00511C2C">
        <w:rPr>
          <w:rStyle w:val="FootnoteReference"/>
          <w:rFonts w:ascii="Garamond" w:hAnsi="Garamond"/>
        </w:rPr>
        <w:footnoteRef/>
      </w:r>
      <w:r w:rsidRPr="00511C2C">
        <w:rPr>
          <w:rFonts w:ascii="Garamond" w:hAnsi="Garamond"/>
        </w:rPr>
        <w:t xml:space="preserve"> Norton &amp; </w:t>
      </w:r>
      <w:proofErr w:type="spellStart"/>
      <w:r w:rsidRPr="00511C2C">
        <w:rPr>
          <w:rFonts w:ascii="Garamond" w:hAnsi="Garamond"/>
        </w:rPr>
        <w:t>Aughey</w:t>
      </w:r>
      <w:proofErr w:type="spellEnd"/>
      <w:r w:rsidRPr="00511C2C">
        <w:rPr>
          <w:rFonts w:ascii="Garamond" w:hAnsi="Garamond"/>
        </w:rPr>
        <w:t xml:space="preserve"> describe conservatism as ‘the desire to have a faith based upon permanent political principles that will inform and guide the activities of statesmen’ and that ‘Conservatism is a habit of mind which naturally disposes members of the party to perceive what is necessary in changing circumstances’ (Norton &amp; </w:t>
      </w:r>
      <w:proofErr w:type="spellStart"/>
      <w:r w:rsidRPr="00511C2C">
        <w:rPr>
          <w:rFonts w:ascii="Garamond" w:hAnsi="Garamond"/>
        </w:rPr>
        <w:t>Aughey</w:t>
      </w:r>
      <w:proofErr w:type="spellEnd"/>
      <w:r w:rsidRPr="00511C2C">
        <w:rPr>
          <w:rFonts w:ascii="Garamond" w:hAnsi="Garamond"/>
        </w:rPr>
        <w:t xml:space="preserve">, 1981: 15-16). They also cite Richard Rose who argues ‘principles introduce a persisting “non-random” element into the decisions of government’ (Rose, 1976: 287) which ‘can be extended into the discussions within the party’ (Norton &amp; </w:t>
      </w:r>
      <w:proofErr w:type="spellStart"/>
      <w:r w:rsidRPr="00511C2C">
        <w:rPr>
          <w:rFonts w:ascii="Garamond" w:hAnsi="Garamond"/>
        </w:rPr>
        <w:t>Aughey</w:t>
      </w:r>
      <w:proofErr w:type="spellEnd"/>
      <w:r w:rsidRPr="00511C2C">
        <w:rPr>
          <w:rFonts w:ascii="Garamond" w:hAnsi="Garamond"/>
        </w:rPr>
        <w:t>, 1981: 17).</w:t>
      </w:r>
    </w:p>
  </w:footnote>
  <w:footnote w:id="2">
    <w:p w14:paraId="496BCADC" w14:textId="77777777" w:rsidR="00C572FA" w:rsidRPr="00053902" w:rsidRDefault="00C572FA">
      <w:pPr>
        <w:pStyle w:val="FootnoteText"/>
      </w:pPr>
      <w:r w:rsidRPr="00053902">
        <w:rPr>
          <w:rStyle w:val="FootnoteReference"/>
        </w:rPr>
        <w:footnoteRef/>
      </w:r>
      <w:r w:rsidRPr="00053902">
        <w:t xml:space="preserve"> </w:t>
      </w:r>
      <w:r w:rsidRPr="00053902">
        <w:rPr>
          <w:rFonts w:ascii="Garamond" w:hAnsi="Garamond"/>
        </w:rPr>
        <w:t>The analytical approach of this chapter will be methodologically informed by the Aristotelian modes of persuasion (ethos, pathos, logos). Respectively, these refer to the character/credibility (ethos) of a speaker; to their use of emotional arguments (pathos); and to their use of statistical and/or empirical evidence (logos). This analytical approach has proven methodologica</w:t>
      </w:r>
      <w:r w:rsidR="00CA6AE7" w:rsidRPr="00053902">
        <w:rPr>
          <w:rFonts w:ascii="Garamond" w:hAnsi="Garamond"/>
        </w:rPr>
        <w:t>l</w:t>
      </w:r>
      <w:r w:rsidRPr="00053902">
        <w:rPr>
          <w:rFonts w:ascii="Garamond" w:hAnsi="Garamond"/>
        </w:rPr>
        <w:t>l</w:t>
      </w:r>
      <w:r w:rsidR="00CA6AE7" w:rsidRPr="00053902">
        <w:rPr>
          <w:rFonts w:ascii="Garamond" w:hAnsi="Garamond"/>
        </w:rPr>
        <w:t>y</w:t>
      </w:r>
      <w:r w:rsidRPr="00053902">
        <w:rPr>
          <w:rFonts w:ascii="Garamond" w:hAnsi="Garamond"/>
        </w:rPr>
        <w:t xml:space="preserve"> robust in the scholarship of Atkins </w:t>
      </w:r>
      <w:r w:rsidR="007B34FB">
        <w:rPr>
          <w:rFonts w:ascii="Garamond" w:hAnsi="Garamond"/>
          <w:i/>
        </w:rPr>
        <w:t xml:space="preserve">et al </w:t>
      </w:r>
      <w:r w:rsidR="007B34FB" w:rsidRPr="007B34FB">
        <w:rPr>
          <w:rFonts w:ascii="Garamond" w:hAnsi="Garamond"/>
        </w:rPr>
        <w:t>(2014)</w:t>
      </w:r>
      <w:r w:rsidR="007B34FB">
        <w:rPr>
          <w:rFonts w:ascii="Garamond" w:hAnsi="Garamond"/>
        </w:rPr>
        <w:t>;</w:t>
      </w:r>
      <w:r w:rsidR="007B34FB">
        <w:rPr>
          <w:rFonts w:ascii="Garamond" w:hAnsi="Garamond"/>
          <w:i/>
        </w:rPr>
        <w:t xml:space="preserve"> </w:t>
      </w:r>
      <w:r w:rsidRPr="00053902">
        <w:rPr>
          <w:rFonts w:ascii="Garamond" w:hAnsi="Garamond"/>
        </w:rPr>
        <w:t>Crines (</w:t>
      </w:r>
      <w:r w:rsidR="007B34FB">
        <w:rPr>
          <w:rFonts w:ascii="Garamond" w:hAnsi="Garamond"/>
        </w:rPr>
        <w:t>2013, 2014</w:t>
      </w:r>
      <w:r w:rsidRPr="00053902">
        <w:rPr>
          <w:rFonts w:ascii="Garamond" w:hAnsi="Garamond"/>
        </w:rPr>
        <w:t>)</w:t>
      </w:r>
      <w:r w:rsidR="007B34FB">
        <w:rPr>
          <w:rFonts w:ascii="Garamond" w:hAnsi="Garamond"/>
        </w:rPr>
        <w:t>;</w:t>
      </w:r>
      <w:r w:rsidRPr="00053902">
        <w:rPr>
          <w:rFonts w:ascii="Garamond" w:hAnsi="Garamond"/>
        </w:rPr>
        <w:t xml:space="preserve"> </w:t>
      </w:r>
      <w:r w:rsidR="00CA6AE7" w:rsidRPr="00053902">
        <w:rPr>
          <w:rFonts w:ascii="Garamond" w:hAnsi="Garamond"/>
        </w:rPr>
        <w:t>Hayton</w:t>
      </w:r>
      <w:r w:rsidR="007B34FB">
        <w:rPr>
          <w:rFonts w:ascii="Garamond" w:hAnsi="Garamond"/>
        </w:rPr>
        <w:t xml:space="preserve"> &amp; Crines</w:t>
      </w:r>
      <w:r w:rsidR="00CA6AE7" w:rsidRPr="00053902">
        <w:rPr>
          <w:rFonts w:ascii="Garamond" w:hAnsi="Garamond"/>
        </w:rPr>
        <w:t xml:space="preserve"> (</w:t>
      </w:r>
      <w:r w:rsidR="007B34FB">
        <w:rPr>
          <w:rFonts w:ascii="Garamond" w:hAnsi="Garamond"/>
        </w:rPr>
        <w:t>2015</w:t>
      </w:r>
      <w:r w:rsidR="00CA6AE7" w:rsidRPr="00053902">
        <w:rPr>
          <w:rFonts w:ascii="Garamond" w:hAnsi="Garamond"/>
        </w:rPr>
        <w:t>)</w:t>
      </w:r>
      <w:r w:rsidR="007B34FB">
        <w:rPr>
          <w:rFonts w:ascii="Garamond" w:hAnsi="Garamond"/>
        </w:rPr>
        <w:t>;</w:t>
      </w:r>
      <w:r w:rsidR="00CA6AE7" w:rsidRPr="00053902">
        <w:rPr>
          <w:rFonts w:ascii="Garamond" w:hAnsi="Garamond"/>
        </w:rPr>
        <w:t xml:space="preserve"> </w:t>
      </w:r>
      <w:r w:rsidR="007B34FB">
        <w:rPr>
          <w:rFonts w:ascii="Garamond" w:hAnsi="Garamond"/>
        </w:rPr>
        <w:t xml:space="preserve">Finlayson (2012), Toye (2013), </w:t>
      </w:r>
      <w:r w:rsidRPr="00053902">
        <w:rPr>
          <w:rFonts w:ascii="Garamond" w:hAnsi="Garamond"/>
        </w:rPr>
        <w:t>amongst others.</w:t>
      </w:r>
    </w:p>
  </w:footnote>
  <w:footnote w:id="3">
    <w:p w14:paraId="47522F1D" w14:textId="77777777" w:rsidR="006D1E89" w:rsidRPr="00053902" w:rsidRDefault="006D1E89">
      <w:pPr>
        <w:pStyle w:val="FootnoteText"/>
        <w:rPr>
          <w:rFonts w:ascii="Garamond" w:hAnsi="Garamond"/>
        </w:rPr>
      </w:pPr>
      <w:r w:rsidRPr="00053902">
        <w:rPr>
          <w:rStyle w:val="FootnoteReference"/>
          <w:rFonts w:ascii="Garamond" w:hAnsi="Garamond"/>
        </w:rPr>
        <w:footnoteRef/>
      </w:r>
      <w:r w:rsidRPr="00053902">
        <w:rPr>
          <w:rFonts w:ascii="Garamond" w:hAnsi="Garamond"/>
        </w:rPr>
        <w:t xml:space="preserve"> Common Market; European Economic Community; European Union.</w:t>
      </w:r>
    </w:p>
  </w:footnote>
  <w:footnote w:id="4">
    <w:p w14:paraId="36E65988" w14:textId="77777777" w:rsidR="006D1E89" w:rsidRPr="00053902" w:rsidRDefault="006D1E89">
      <w:pPr>
        <w:pStyle w:val="FootnoteText"/>
        <w:rPr>
          <w:rFonts w:ascii="Garamond" w:hAnsi="Garamond"/>
        </w:rPr>
      </w:pPr>
      <w:r w:rsidRPr="00053902">
        <w:rPr>
          <w:rStyle w:val="FootnoteReference"/>
          <w:rFonts w:ascii="Garamond" w:hAnsi="Garamond"/>
        </w:rPr>
        <w:footnoteRef/>
      </w:r>
      <w:r w:rsidRPr="00053902">
        <w:rPr>
          <w:rFonts w:ascii="Garamond" w:hAnsi="Garamond"/>
        </w:rPr>
        <w:t xml:space="preserve"> In 1957, Belgium, France, Germany, Italy, Luxembourg, and the Netherlands signed the Treaty of Rome. In 1973, Denmark, Ireland, </w:t>
      </w:r>
      <w:r w:rsidR="00B16E92" w:rsidRPr="00053902">
        <w:rPr>
          <w:rFonts w:ascii="Garamond" w:hAnsi="Garamond"/>
        </w:rPr>
        <w:t>the United Kingdom and Greenland</w:t>
      </w:r>
      <w:r w:rsidRPr="00053902">
        <w:rPr>
          <w:rFonts w:ascii="Garamond" w:hAnsi="Garamond"/>
        </w:rPr>
        <w:t xml:space="preserve"> joined</w:t>
      </w:r>
      <w:r w:rsidR="00B16E92" w:rsidRPr="00053902">
        <w:rPr>
          <w:rFonts w:ascii="Garamond" w:hAnsi="Garamond"/>
        </w:rPr>
        <w:t xml:space="preserve"> (Greenland </w:t>
      </w:r>
      <w:r w:rsidR="00CC3B68" w:rsidRPr="00053902">
        <w:rPr>
          <w:rFonts w:ascii="Garamond" w:hAnsi="Garamond"/>
        </w:rPr>
        <w:t xml:space="preserve">later </w:t>
      </w:r>
      <w:r w:rsidR="00B16E92" w:rsidRPr="00053902">
        <w:rPr>
          <w:rFonts w:ascii="Garamond" w:hAnsi="Garamond"/>
        </w:rPr>
        <w:t>left in 1985</w:t>
      </w:r>
      <w:r w:rsidR="00CC3B68" w:rsidRPr="00053902">
        <w:rPr>
          <w:rFonts w:ascii="Garamond" w:hAnsi="Garamond"/>
        </w:rPr>
        <w:t xml:space="preserve"> following a dispute over fishing rights; and</w:t>
      </w:r>
      <w:r w:rsidR="006443B1" w:rsidRPr="00053902">
        <w:rPr>
          <w:rFonts w:ascii="Garamond" w:hAnsi="Garamond"/>
        </w:rPr>
        <w:t xml:space="preserve"> the</w:t>
      </w:r>
      <w:r w:rsidR="00B16E92" w:rsidRPr="00053902">
        <w:rPr>
          <w:rFonts w:ascii="Garamond" w:hAnsi="Garamond"/>
        </w:rPr>
        <w:t xml:space="preserve"> UK </w:t>
      </w:r>
      <w:r w:rsidR="00CC3B68" w:rsidRPr="00053902">
        <w:rPr>
          <w:rFonts w:ascii="Garamond" w:hAnsi="Garamond"/>
        </w:rPr>
        <w:t xml:space="preserve">left </w:t>
      </w:r>
      <w:r w:rsidR="00B16E92" w:rsidRPr="00053902">
        <w:rPr>
          <w:rFonts w:ascii="Garamond" w:hAnsi="Garamond"/>
        </w:rPr>
        <w:t>in 2019</w:t>
      </w:r>
      <w:r w:rsidR="00CC3B68" w:rsidRPr="00053902">
        <w:rPr>
          <w:rFonts w:ascii="Garamond" w:hAnsi="Garamond"/>
        </w:rPr>
        <w:t xml:space="preserve"> following a vote in 2019 over concerns regarding </w:t>
      </w:r>
      <w:r w:rsidR="006F213F" w:rsidRPr="00053902">
        <w:rPr>
          <w:rFonts w:ascii="Garamond" w:hAnsi="Garamond"/>
        </w:rPr>
        <w:t xml:space="preserve">uncontrolled </w:t>
      </w:r>
      <w:r w:rsidR="00CC3B68" w:rsidRPr="00053902">
        <w:rPr>
          <w:rFonts w:ascii="Garamond" w:hAnsi="Garamond"/>
        </w:rPr>
        <w:t>immigration and excessive integration beyond economic spheres</w:t>
      </w:r>
      <w:r w:rsidR="00B16E92" w:rsidRPr="00053902">
        <w:rPr>
          <w:rFonts w:ascii="Garamond" w:hAnsi="Garamond"/>
        </w:rPr>
        <w:t>)</w:t>
      </w:r>
      <w:r w:rsidRPr="00053902">
        <w:rPr>
          <w:rFonts w:ascii="Garamond" w:hAnsi="Garamond"/>
        </w:rPr>
        <w:t xml:space="preserve">. </w:t>
      </w:r>
      <w:r w:rsidR="006443B1" w:rsidRPr="00053902">
        <w:rPr>
          <w:rFonts w:ascii="Garamond" w:hAnsi="Garamond"/>
        </w:rPr>
        <w:t xml:space="preserve">Further expansions occurred when </w:t>
      </w:r>
      <w:r w:rsidRPr="00053902">
        <w:rPr>
          <w:rFonts w:ascii="Garamond" w:hAnsi="Garamond"/>
        </w:rPr>
        <w:t xml:space="preserve">Greece </w:t>
      </w:r>
      <w:r w:rsidR="006443B1" w:rsidRPr="00053902">
        <w:rPr>
          <w:rFonts w:ascii="Garamond" w:hAnsi="Garamond"/>
        </w:rPr>
        <w:t xml:space="preserve">joined </w:t>
      </w:r>
      <w:r w:rsidRPr="00053902">
        <w:rPr>
          <w:rFonts w:ascii="Garamond" w:hAnsi="Garamond"/>
        </w:rPr>
        <w:t xml:space="preserve">in 1981, </w:t>
      </w:r>
      <w:r w:rsidR="00B16E92" w:rsidRPr="00053902">
        <w:rPr>
          <w:rFonts w:ascii="Garamond" w:hAnsi="Garamond"/>
        </w:rPr>
        <w:t>Portugal and Spain in 1986</w:t>
      </w:r>
      <w:r w:rsidR="006443B1" w:rsidRPr="00053902">
        <w:rPr>
          <w:rFonts w:ascii="Garamond" w:hAnsi="Garamond"/>
        </w:rPr>
        <w:t xml:space="preserve">, </w:t>
      </w:r>
      <w:r w:rsidR="00B16E92" w:rsidRPr="00053902">
        <w:rPr>
          <w:rFonts w:ascii="Garamond" w:hAnsi="Garamond"/>
        </w:rPr>
        <w:t xml:space="preserve">Austria, Finland, and Sweden </w:t>
      </w:r>
      <w:r w:rsidR="006443B1" w:rsidRPr="00053902">
        <w:rPr>
          <w:rFonts w:ascii="Garamond" w:hAnsi="Garamond"/>
        </w:rPr>
        <w:t>in 1995</w:t>
      </w:r>
      <w:r w:rsidR="00B16E92" w:rsidRPr="00053902">
        <w:rPr>
          <w:rFonts w:ascii="Garamond" w:hAnsi="Garamond"/>
        </w:rPr>
        <w:t>, Cyprus, the Czech Republic, Estonia, Hungary, Latvia, Lithuania, Malta, Poland, Slovakia, and Slovenia in 2004</w:t>
      </w:r>
      <w:r w:rsidR="006443B1" w:rsidRPr="00053902">
        <w:rPr>
          <w:rFonts w:ascii="Garamond" w:hAnsi="Garamond"/>
        </w:rPr>
        <w:t xml:space="preserve">, </w:t>
      </w:r>
      <w:r w:rsidR="00B16E92" w:rsidRPr="00053902">
        <w:rPr>
          <w:rFonts w:ascii="Garamond" w:hAnsi="Garamond"/>
        </w:rPr>
        <w:t xml:space="preserve">Bulgaria and Romania </w:t>
      </w:r>
      <w:r w:rsidR="006443B1" w:rsidRPr="00053902">
        <w:rPr>
          <w:rFonts w:ascii="Garamond" w:hAnsi="Garamond"/>
        </w:rPr>
        <w:t xml:space="preserve">2007 and </w:t>
      </w:r>
      <w:r w:rsidR="00B16E92" w:rsidRPr="00053902">
        <w:rPr>
          <w:rFonts w:ascii="Garamond" w:hAnsi="Garamond"/>
        </w:rPr>
        <w:t xml:space="preserve">Croatia 2013.  </w:t>
      </w:r>
    </w:p>
  </w:footnote>
  <w:footnote w:id="5">
    <w:p w14:paraId="3E0582C2" w14:textId="77777777" w:rsidR="00C06347" w:rsidRPr="00053902" w:rsidRDefault="00C06347">
      <w:pPr>
        <w:pStyle w:val="FootnoteText"/>
        <w:rPr>
          <w:rFonts w:ascii="Garamond" w:hAnsi="Garamond"/>
        </w:rPr>
      </w:pPr>
      <w:r w:rsidRPr="00053902">
        <w:rPr>
          <w:rStyle w:val="FootnoteReference"/>
          <w:rFonts w:ascii="Garamond" w:hAnsi="Garamond"/>
        </w:rPr>
        <w:footnoteRef/>
      </w:r>
      <w:r w:rsidRPr="00053902">
        <w:rPr>
          <w:rFonts w:ascii="Garamond" w:hAnsi="Garamond"/>
        </w:rPr>
        <w:t xml:space="preserve"> The subsequent passing of the </w:t>
      </w:r>
      <w:r w:rsidRPr="00053902">
        <w:rPr>
          <w:rFonts w:ascii="Garamond" w:hAnsi="Garamond"/>
          <w:i/>
        </w:rPr>
        <w:t>Treaty of Amsterdam</w:t>
      </w:r>
      <w:r w:rsidRPr="00053902">
        <w:rPr>
          <w:rFonts w:ascii="Garamond" w:hAnsi="Garamond"/>
        </w:rPr>
        <w:t xml:space="preserve"> (1997); </w:t>
      </w:r>
      <w:r w:rsidRPr="00053902">
        <w:rPr>
          <w:rFonts w:ascii="Garamond" w:hAnsi="Garamond"/>
          <w:i/>
        </w:rPr>
        <w:t>Treaty of Nice</w:t>
      </w:r>
      <w:r w:rsidRPr="00053902">
        <w:rPr>
          <w:rFonts w:ascii="Garamond" w:hAnsi="Garamond"/>
        </w:rPr>
        <w:t xml:space="preserve"> (2001); and </w:t>
      </w:r>
      <w:r w:rsidRPr="00053902">
        <w:rPr>
          <w:rFonts w:ascii="Garamond" w:hAnsi="Garamond"/>
          <w:i/>
        </w:rPr>
        <w:t>Treaty of Lisbon</w:t>
      </w:r>
      <w:r w:rsidRPr="00053902">
        <w:rPr>
          <w:rFonts w:ascii="Garamond" w:hAnsi="Garamond"/>
        </w:rPr>
        <w:t xml:space="preserve"> (2007) continued the integrationist processes.</w:t>
      </w:r>
    </w:p>
  </w:footnote>
  <w:footnote w:id="6">
    <w:p w14:paraId="747629D6" w14:textId="77777777" w:rsidR="008F706E" w:rsidRPr="00053902" w:rsidRDefault="008F706E">
      <w:pPr>
        <w:pStyle w:val="FootnoteText"/>
        <w:rPr>
          <w:rFonts w:ascii="Garamond" w:hAnsi="Garamond"/>
        </w:rPr>
      </w:pPr>
      <w:r w:rsidRPr="00053902">
        <w:rPr>
          <w:rStyle w:val="FootnoteReference"/>
          <w:rFonts w:ascii="Garamond" w:hAnsi="Garamond"/>
        </w:rPr>
        <w:footnoteRef/>
      </w:r>
      <w:r w:rsidRPr="00053902">
        <w:rPr>
          <w:rFonts w:ascii="Garamond" w:hAnsi="Garamond"/>
        </w:rPr>
        <w:t xml:space="preserve"> John Major’s government opted out of the Social Chapter of the Maastricht Treaty.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DC"/>
    <w:rsid w:val="00003241"/>
    <w:rsid w:val="00006152"/>
    <w:rsid w:val="00010067"/>
    <w:rsid w:val="0001658C"/>
    <w:rsid w:val="00020CA3"/>
    <w:rsid w:val="00024421"/>
    <w:rsid w:val="000310C9"/>
    <w:rsid w:val="00031DDE"/>
    <w:rsid w:val="00037B90"/>
    <w:rsid w:val="0004399A"/>
    <w:rsid w:val="000458F4"/>
    <w:rsid w:val="000477BD"/>
    <w:rsid w:val="00052B15"/>
    <w:rsid w:val="00053902"/>
    <w:rsid w:val="000551F0"/>
    <w:rsid w:val="00061CB9"/>
    <w:rsid w:val="000724EE"/>
    <w:rsid w:val="00084DA9"/>
    <w:rsid w:val="00087693"/>
    <w:rsid w:val="000A4C69"/>
    <w:rsid w:val="000B385C"/>
    <w:rsid w:val="000C1A8B"/>
    <w:rsid w:val="000D156D"/>
    <w:rsid w:val="000E2DC6"/>
    <w:rsid w:val="000F0F9C"/>
    <w:rsid w:val="000F210B"/>
    <w:rsid w:val="000F3D5E"/>
    <w:rsid w:val="00100F78"/>
    <w:rsid w:val="00117FAF"/>
    <w:rsid w:val="001204F8"/>
    <w:rsid w:val="00122B0E"/>
    <w:rsid w:val="00130183"/>
    <w:rsid w:val="00144AE6"/>
    <w:rsid w:val="00145496"/>
    <w:rsid w:val="00145E9E"/>
    <w:rsid w:val="00146003"/>
    <w:rsid w:val="00162C4D"/>
    <w:rsid w:val="00165DD9"/>
    <w:rsid w:val="00175BD3"/>
    <w:rsid w:val="0017795F"/>
    <w:rsid w:val="00187FBF"/>
    <w:rsid w:val="00190A9B"/>
    <w:rsid w:val="00195355"/>
    <w:rsid w:val="001A086E"/>
    <w:rsid w:val="001A6768"/>
    <w:rsid w:val="001B2388"/>
    <w:rsid w:val="001B2F9A"/>
    <w:rsid w:val="001B3339"/>
    <w:rsid w:val="001B4196"/>
    <w:rsid w:val="001C54E8"/>
    <w:rsid w:val="001C69B9"/>
    <w:rsid w:val="001E04C9"/>
    <w:rsid w:val="001E0BF5"/>
    <w:rsid w:val="001E25A5"/>
    <w:rsid w:val="001E4260"/>
    <w:rsid w:val="001E49EB"/>
    <w:rsid w:val="001E71AA"/>
    <w:rsid w:val="001F3DBA"/>
    <w:rsid w:val="001F476C"/>
    <w:rsid w:val="002104DA"/>
    <w:rsid w:val="002245C0"/>
    <w:rsid w:val="00235AE0"/>
    <w:rsid w:val="00241C6D"/>
    <w:rsid w:val="002422B4"/>
    <w:rsid w:val="00247DAC"/>
    <w:rsid w:val="00260BA7"/>
    <w:rsid w:val="00261178"/>
    <w:rsid w:val="00261742"/>
    <w:rsid w:val="00264242"/>
    <w:rsid w:val="002649CC"/>
    <w:rsid w:val="00264B3D"/>
    <w:rsid w:val="002660FA"/>
    <w:rsid w:val="002734CF"/>
    <w:rsid w:val="0028253E"/>
    <w:rsid w:val="00294B51"/>
    <w:rsid w:val="002966DC"/>
    <w:rsid w:val="002A51D3"/>
    <w:rsid w:val="002A73C0"/>
    <w:rsid w:val="002B698D"/>
    <w:rsid w:val="002E01A9"/>
    <w:rsid w:val="002E5DE4"/>
    <w:rsid w:val="002F47AD"/>
    <w:rsid w:val="00315536"/>
    <w:rsid w:val="003159F2"/>
    <w:rsid w:val="00325863"/>
    <w:rsid w:val="00326FFD"/>
    <w:rsid w:val="003414F8"/>
    <w:rsid w:val="0034395E"/>
    <w:rsid w:val="003475CD"/>
    <w:rsid w:val="00347D3A"/>
    <w:rsid w:val="00373E4D"/>
    <w:rsid w:val="00387825"/>
    <w:rsid w:val="003976AD"/>
    <w:rsid w:val="003A6D54"/>
    <w:rsid w:val="003B2F34"/>
    <w:rsid w:val="003B4870"/>
    <w:rsid w:val="003B589F"/>
    <w:rsid w:val="003C186B"/>
    <w:rsid w:val="003C7B1F"/>
    <w:rsid w:val="003C7E0D"/>
    <w:rsid w:val="003D3C60"/>
    <w:rsid w:val="003D7692"/>
    <w:rsid w:val="003E7B42"/>
    <w:rsid w:val="003F420F"/>
    <w:rsid w:val="003F58BB"/>
    <w:rsid w:val="00400B8B"/>
    <w:rsid w:val="00403CEF"/>
    <w:rsid w:val="00405FCF"/>
    <w:rsid w:val="004065E6"/>
    <w:rsid w:val="00413A1C"/>
    <w:rsid w:val="00414056"/>
    <w:rsid w:val="00425637"/>
    <w:rsid w:val="004424FC"/>
    <w:rsid w:val="00455F96"/>
    <w:rsid w:val="00456E45"/>
    <w:rsid w:val="00457B6F"/>
    <w:rsid w:val="00457DAA"/>
    <w:rsid w:val="004627FF"/>
    <w:rsid w:val="00465CFB"/>
    <w:rsid w:val="00466D1E"/>
    <w:rsid w:val="00473E20"/>
    <w:rsid w:val="00487260"/>
    <w:rsid w:val="0048731A"/>
    <w:rsid w:val="004962E7"/>
    <w:rsid w:val="004A24D3"/>
    <w:rsid w:val="004A3541"/>
    <w:rsid w:val="004B68EC"/>
    <w:rsid w:val="004C6919"/>
    <w:rsid w:val="004D5191"/>
    <w:rsid w:val="004F40AF"/>
    <w:rsid w:val="004F5EF6"/>
    <w:rsid w:val="004F5EF9"/>
    <w:rsid w:val="004F76D4"/>
    <w:rsid w:val="0051150C"/>
    <w:rsid w:val="00511C2C"/>
    <w:rsid w:val="0053310E"/>
    <w:rsid w:val="00533364"/>
    <w:rsid w:val="00533F6C"/>
    <w:rsid w:val="00534FB0"/>
    <w:rsid w:val="00545AED"/>
    <w:rsid w:val="00545E83"/>
    <w:rsid w:val="00552874"/>
    <w:rsid w:val="00553B33"/>
    <w:rsid w:val="00562906"/>
    <w:rsid w:val="005732BD"/>
    <w:rsid w:val="0057657F"/>
    <w:rsid w:val="00581F6B"/>
    <w:rsid w:val="0058381D"/>
    <w:rsid w:val="005838A2"/>
    <w:rsid w:val="00586C4A"/>
    <w:rsid w:val="005A1A0E"/>
    <w:rsid w:val="005B6E91"/>
    <w:rsid w:val="005C1346"/>
    <w:rsid w:val="005C3CDF"/>
    <w:rsid w:val="005D325E"/>
    <w:rsid w:val="005E1860"/>
    <w:rsid w:val="006277D4"/>
    <w:rsid w:val="00635D3F"/>
    <w:rsid w:val="00636500"/>
    <w:rsid w:val="00637988"/>
    <w:rsid w:val="006427C9"/>
    <w:rsid w:val="00642C6D"/>
    <w:rsid w:val="006443B1"/>
    <w:rsid w:val="00644CC1"/>
    <w:rsid w:val="0065095D"/>
    <w:rsid w:val="00651390"/>
    <w:rsid w:val="006543A2"/>
    <w:rsid w:val="0065529A"/>
    <w:rsid w:val="0067396F"/>
    <w:rsid w:val="0067742E"/>
    <w:rsid w:val="00682E55"/>
    <w:rsid w:val="00686B5A"/>
    <w:rsid w:val="006902CE"/>
    <w:rsid w:val="0069542A"/>
    <w:rsid w:val="006A172E"/>
    <w:rsid w:val="006A2C80"/>
    <w:rsid w:val="006B3048"/>
    <w:rsid w:val="006B4057"/>
    <w:rsid w:val="006B5AF0"/>
    <w:rsid w:val="006C30FB"/>
    <w:rsid w:val="006C405E"/>
    <w:rsid w:val="006D1E89"/>
    <w:rsid w:val="006E1605"/>
    <w:rsid w:val="006E1DC5"/>
    <w:rsid w:val="006F213F"/>
    <w:rsid w:val="006F7276"/>
    <w:rsid w:val="007039E4"/>
    <w:rsid w:val="00704298"/>
    <w:rsid w:val="00706FF7"/>
    <w:rsid w:val="00710124"/>
    <w:rsid w:val="007157E7"/>
    <w:rsid w:val="00720DFC"/>
    <w:rsid w:val="007306A3"/>
    <w:rsid w:val="00735E30"/>
    <w:rsid w:val="0074374C"/>
    <w:rsid w:val="0074742C"/>
    <w:rsid w:val="0075456E"/>
    <w:rsid w:val="00757A95"/>
    <w:rsid w:val="00766768"/>
    <w:rsid w:val="00766BDD"/>
    <w:rsid w:val="00781F2E"/>
    <w:rsid w:val="00784E1A"/>
    <w:rsid w:val="0079628C"/>
    <w:rsid w:val="00797E7A"/>
    <w:rsid w:val="007B34FB"/>
    <w:rsid w:val="007B7F96"/>
    <w:rsid w:val="007C0C89"/>
    <w:rsid w:val="007C487E"/>
    <w:rsid w:val="007C7A58"/>
    <w:rsid w:val="007D2AE2"/>
    <w:rsid w:val="007D3609"/>
    <w:rsid w:val="007D4F48"/>
    <w:rsid w:val="007E6142"/>
    <w:rsid w:val="007F29D2"/>
    <w:rsid w:val="008058D5"/>
    <w:rsid w:val="00810C00"/>
    <w:rsid w:val="008216D1"/>
    <w:rsid w:val="008229FF"/>
    <w:rsid w:val="00825FCF"/>
    <w:rsid w:val="008335CC"/>
    <w:rsid w:val="008356E9"/>
    <w:rsid w:val="0083683D"/>
    <w:rsid w:val="00855ABC"/>
    <w:rsid w:val="00880D93"/>
    <w:rsid w:val="00886E4C"/>
    <w:rsid w:val="008B158D"/>
    <w:rsid w:val="008B3C4A"/>
    <w:rsid w:val="008B543F"/>
    <w:rsid w:val="008D048E"/>
    <w:rsid w:val="008E3078"/>
    <w:rsid w:val="008E5B68"/>
    <w:rsid w:val="008F706E"/>
    <w:rsid w:val="008F7C8A"/>
    <w:rsid w:val="00907AD3"/>
    <w:rsid w:val="00910A1B"/>
    <w:rsid w:val="00913665"/>
    <w:rsid w:val="009366FF"/>
    <w:rsid w:val="0095516B"/>
    <w:rsid w:val="0096223E"/>
    <w:rsid w:val="00964AAC"/>
    <w:rsid w:val="00964BE6"/>
    <w:rsid w:val="00965E93"/>
    <w:rsid w:val="009679F2"/>
    <w:rsid w:val="00971084"/>
    <w:rsid w:val="00977B0C"/>
    <w:rsid w:val="00985F00"/>
    <w:rsid w:val="00990DA0"/>
    <w:rsid w:val="009A3AA8"/>
    <w:rsid w:val="009B305B"/>
    <w:rsid w:val="009B4F54"/>
    <w:rsid w:val="009B7B01"/>
    <w:rsid w:val="009D1C10"/>
    <w:rsid w:val="009D35EC"/>
    <w:rsid w:val="009D5275"/>
    <w:rsid w:val="009D587D"/>
    <w:rsid w:val="009D5A9E"/>
    <w:rsid w:val="009F6569"/>
    <w:rsid w:val="00A00CA5"/>
    <w:rsid w:val="00A05CA3"/>
    <w:rsid w:val="00A14272"/>
    <w:rsid w:val="00A15536"/>
    <w:rsid w:val="00A17B69"/>
    <w:rsid w:val="00A21867"/>
    <w:rsid w:val="00A3290F"/>
    <w:rsid w:val="00A32F57"/>
    <w:rsid w:val="00A43774"/>
    <w:rsid w:val="00A57AAA"/>
    <w:rsid w:val="00A6083F"/>
    <w:rsid w:val="00A63299"/>
    <w:rsid w:val="00A73A83"/>
    <w:rsid w:val="00A80C20"/>
    <w:rsid w:val="00A827FF"/>
    <w:rsid w:val="00A9231C"/>
    <w:rsid w:val="00A949A5"/>
    <w:rsid w:val="00A96770"/>
    <w:rsid w:val="00AB0AF1"/>
    <w:rsid w:val="00AB59EE"/>
    <w:rsid w:val="00AC49F8"/>
    <w:rsid w:val="00AC50B0"/>
    <w:rsid w:val="00AC7171"/>
    <w:rsid w:val="00AF264E"/>
    <w:rsid w:val="00AF2B81"/>
    <w:rsid w:val="00AF30AF"/>
    <w:rsid w:val="00AF4124"/>
    <w:rsid w:val="00B0140E"/>
    <w:rsid w:val="00B036D5"/>
    <w:rsid w:val="00B05375"/>
    <w:rsid w:val="00B16E92"/>
    <w:rsid w:val="00B24D5A"/>
    <w:rsid w:val="00B3092E"/>
    <w:rsid w:val="00B372B5"/>
    <w:rsid w:val="00B64544"/>
    <w:rsid w:val="00B67551"/>
    <w:rsid w:val="00B736DB"/>
    <w:rsid w:val="00B800AB"/>
    <w:rsid w:val="00B842BF"/>
    <w:rsid w:val="00B847DA"/>
    <w:rsid w:val="00BA2EB2"/>
    <w:rsid w:val="00BA51DE"/>
    <w:rsid w:val="00BA5C25"/>
    <w:rsid w:val="00BC1E5C"/>
    <w:rsid w:val="00BD1042"/>
    <w:rsid w:val="00BD462C"/>
    <w:rsid w:val="00BD69A7"/>
    <w:rsid w:val="00BE0F6F"/>
    <w:rsid w:val="00BE3A88"/>
    <w:rsid w:val="00BE5E46"/>
    <w:rsid w:val="00BF0C56"/>
    <w:rsid w:val="00BF39A7"/>
    <w:rsid w:val="00C01AB4"/>
    <w:rsid w:val="00C04615"/>
    <w:rsid w:val="00C06347"/>
    <w:rsid w:val="00C125C9"/>
    <w:rsid w:val="00C157CE"/>
    <w:rsid w:val="00C1661B"/>
    <w:rsid w:val="00C20095"/>
    <w:rsid w:val="00C2057B"/>
    <w:rsid w:val="00C22EAF"/>
    <w:rsid w:val="00C315B5"/>
    <w:rsid w:val="00C31CAE"/>
    <w:rsid w:val="00C556C9"/>
    <w:rsid w:val="00C572FA"/>
    <w:rsid w:val="00C66FBA"/>
    <w:rsid w:val="00C72CD1"/>
    <w:rsid w:val="00CA6AE7"/>
    <w:rsid w:val="00CC3B68"/>
    <w:rsid w:val="00CD53B3"/>
    <w:rsid w:val="00CD6953"/>
    <w:rsid w:val="00CE1797"/>
    <w:rsid w:val="00CE5BBA"/>
    <w:rsid w:val="00D0677B"/>
    <w:rsid w:val="00D24670"/>
    <w:rsid w:val="00D331D0"/>
    <w:rsid w:val="00D435BC"/>
    <w:rsid w:val="00D43E6E"/>
    <w:rsid w:val="00D465B0"/>
    <w:rsid w:val="00D525FD"/>
    <w:rsid w:val="00D60FDA"/>
    <w:rsid w:val="00D6200D"/>
    <w:rsid w:val="00D67463"/>
    <w:rsid w:val="00D91AFC"/>
    <w:rsid w:val="00DB1F87"/>
    <w:rsid w:val="00DB7350"/>
    <w:rsid w:val="00DC0C64"/>
    <w:rsid w:val="00DC3AF7"/>
    <w:rsid w:val="00DE58C5"/>
    <w:rsid w:val="00DE734A"/>
    <w:rsid w:val="00DF4B02"/>
    <w:rsid w:val="00E10DDF"/>
    <w:rsid w:val="00E17474"/>
    <w:rsid w:val="00E203AB"/>
    <w:rsid w:val="00E3415C"/>
    <w:rsid w:val="00E40AF2"/>
    <w:rsid w:val="00E4182E"/>
    <w:rsid w:val="00E4323C"/>
    <w:rsid w:val="00E5132B"/>
    <w:rsid w:val="00E5175C"/>
    <w:rsid w:val="00E560CA"/>
    <w:rsid w:val="00E6445F"/>
    <w:rsid w:val="00E66FF9"/>
    <w:rsid w:val="00E70B2C"/>
    <w:rsid w:val="00E72449"/>
    <w:rsid w:val="00E867CE"/>
    <w:rsid w:val="00E93866"/>
    <w:rsid w:val="00EA4BBC"/>
    <w:rsid w:val="00EA4EAF"/>
    <w:rsid w:val="00EA7CC6"/>
    <w:rsid w:val="00EC4D88"/>
    <w:rsid w:val="00EC671D"/>
    <w:rsid w:val="00ED651C"/>
    <w:rsid w:val="00EF4F20"/>
    <w:rsid w:val="00EF7D89"/>
    <w:rsid w:val="00F00613"/>
    <w:rsid w:val="00F0451E"/>
    <w:rsid w:val="00F21C0E"/>
    <w:rsid w:val="00F277D7"/>
    <w:rsid w:val="00F307F4"/>
    <w:rsid w:val="00F3191F"/>
    <w:rsid w:val="00F34F09"/>
    <w:rsid w:val="00F46A6F"/>
    <w:rsid w:val="00F503BE"/>
    <w:rsid w:val="00F57477"/>
    <w:rsid w:val="00F60CD2"/>
    <w:rsid w:val="00F66C29"/>
    <w:rsid w:val="00F7436E"/>
    <w:rsid w:val="00F80403"/>
    <w:rsid w:val="00F8563F"/>
    <w:rsid w:val="00FA21E8"/>
    <w:rsid w:val="00FB7423"/>
    <w:rsid w:val="00FC3E2D"/>
    <w:rsid w:val="00FD470D"/>
    <w:rsid w:val="00FD551C"/>
    <w:rsid w:val="00FE3A8F"/>
    <w:rsid w:val="00FE7AAF"/>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DCA8"/>
  <w15:docId w15:val="{2E7DBE63-F7C3-4EA6-8FED-D6FDDD76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1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E89"/>
    <w:rPr>
      <w:sz w:val="20"/>
      <w:szCs w:val="20"/>
    </w:rPr>
  </w:style>
  <w:style w:type="character" w:styleId="FootnoteReference">
    <w:name w:val="footnote reference"/>
    <w:basedOn w:val="DefaultParagraphFont"/>
    <w:uiPriority w:val="99"/>
    <w:semiHidden/>
    <w:unhideWhenUsed/>
    <w:rsid w:val="006D1E89"/>
    <w:rPr>
      <w:vertAlign w:val="superscript"/>
    </w:rPr>
  </w:style>
  <w:style w:type="character" w:styleId="Hyperlink">
    <w:name w:val="Hyperlink"/>
    <w:basedOn w:val="DefaultParagraphFont"/>
    <w:uiPriority w:val="99"/>
    <w:unhideWhenUsed/>
    <w:rsid w:val="007D2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garetthatcher.org/document/111774" TargetMode="External"/><Relationship Id="rId3" Type="http://schemas.openxmlformats.org/officeDocument/2006/relationships/settings" Target="settings.xml"/><Relationship Id="rId7" Type="http://schemas.openxmlformats.org/officeDocument/2006/relationships/hyperlink" Target="https://www.margaretthatcher.org/document/1117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rgaretthatcher.org/document/111773" TargetMode="External"/><Relationship Id="rId4" Type="http://schemas.openxmlformats.org/officeDocument/2006/relationships/webSettings" Target="webSettings.xml"/><Relationship Id="rId9" Type="http://schemas.openxmlformats.org/officeDocument/2006/relationships/hyperlink" Target="https://www.margaretthatcher.org/document/107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5403-3C31-47F2-A923-B06A4142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Andrew Scott Roe-Crines</cp:lastModifiedBy>
  <cp:revision>2</cp:revision>
  <dcterms:created xsi:type="dcterms:W3CDTF">2020-09-15T19:37:00Z</dcterms:created>
  <dcterms:modified xsi:type="dcterms:W3CDTF">2020-09-15T19:37:00Z</dcterms:modified>
</cp:coreProperties>
</file>