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5E548" w14:textId="6084231C" w:rsidR="00B8522A" w:rsidRPr="000C18E7" w:rsidRDefault="008D0C4E" w:rsidP="00806D17">
      <w:pPr>
        <w:spacing w:after="0" w:line="480" w:lineRule="auto"/>
        <w:jc w:val="both"/>
        <w:rPr>
          <w:rFonts w:ascii="Times New Roman" w:hAnsi="Times New Roman" w:cs="Times New Roman"/>
          <w:b/>
          <w:sz w:val="36"/>
          <w:szCs w:val="36"/>
        </w:rPr>
      </w:pPr>
      <w:r w:rsidRPr="000C18E7">
        <w:rPr>
          <w:rFonts w:ascii="Times New Roman" w:hAnsi="Times New Roman" w:cs="Times New Roman"/>
          <w:b/>
          <w:sz w:val="36"/>
          <w:szCs w:val="36"/>
        </w:rPr>
        <w:t xml:space="preserve">Chapter </w:t>
      </w:r>
      <w:r w:rsidR="008D4BD1" w:rsidRPr="000C18E7">
        <w:rPr>
          <w:rFonts w:ascii="Times New Roman" w:hAnsi="Times New Roman" w:cs="Times New Roman"/>
          <w:b/>
          <w:sz w:val="36"/>
          <w:szCs w:val="36"/>
        </w:rPr>
        <w:t xml:space="preserve">Fifteen </w:t>
      </w:r>
    </w:p>
    <w:p w14:paraId="4B671CAA" w14:textId="77777777" w:rsidR="008D0C4E" w:rsidRPr="000C18E7" w:rsidRDefault="008D0C4E" w:rsidP="00806D17">
      <w:pPr>
        <w:spacing w:after="0" w:line="480" w:lineRule="auto"/>
        <w:jc w:val="both"/>
        <w:rPr>
          <w:rFonts w:ascii="Times New Roman" w:hAnsi="Times New Roman" w:cs="Times New Roman"/>
          <w:b/>
          <w:sz w:val="24"/>
          <w:szCs w:val="24"/>
        </w:rPr>
      </w:pPr>
    </w:p>
    <w:p w14:paraId="1911D618" w14:textId="27DA7A42" w:rsidR="008D0C4E" w:rsidRPr="000C18E7" w:rsidRDefault="00CD3C32" w:rsidP="00806D17">
      <w:pPr>
        <w:spacing w:after="0" w:line="480" w:lineRule="auto"/>
        <w:jc w:val="both"/>
        <w:rPr>
          <w:rFonts w:ascii="Times New Roman" w:hAnsi="Times New Roman" w:cs="Times New Roman"/>
          <w:b/>
          <w:bCs/>
          <w:color w:val="FF0000"/>
          <w:sz w:val="36"/>
          <w:szCs w:val="36"/>
        </w:rPr>
      </w:pPr>
      <w:r w:rsidRPr="000C18E7">
        <w:rPr>
          <w:rFonts w:ascii="Times New Roman" w:hAnsi="Times New Roman" w:cs="Times New Roman"/>
          <w:b/>
          <w:bCs/>
          <w:sz w:val="36"/>
          <w:szCs w:val="36"/>
        </w:rPr>
        <w:t xml:space="preserve">Who Governs? The General Election </w:t>
      </w:r>
      <w:r w:rsidR="00492091" w:rsidRPr="000C18E7">
        <w:rPr>
          <w:rFonts w:ascii="Times New Roman" w:hAnsi="Times New Roman" w:cs="Times New Roman"/>
          <w:b/>
          <w:bCs/>
          <w:sz w:val="36"/>
          <w:szCs w:val="36"/>
        </w:rPr>
        <w:t>D</w:t>
      </w:r>
      <w:r w:rsidRPr="000C18E7">
        <w:rPr>
          <w:rFonts w:ascii="Times New Roman" w:hAnsi="Times New Roman" w:cs="Times New Roman"/>
          <w:b/>
          <w:bCs/>
          <w:sz w:val="36"/>
          <w:szCs w:val="36"/>
        </w:rPr>
        <w:t>efeats of 1974</w:t>
      </w:r>
    </w:p>
    <w:p w14:paraId="3742181E" w14:textId="77777777" w:rsidR="00632ABD" w:rsidRPr="000C18E7" w:rsidRDefault="00632ABD" w:rsidP="00806D17">
      <w:pPr>
        <w:spacing w:after="0" w:line="480" w:lineRule="auto"/>
        <w:jc w:val="both"/>
        <w:rPr>
          <w:rFonts w:ascii="Times New Roman" w:hAnsi="Times New Roman" w:cs="Times New Roman"/>
          <w:b/>
          <w:color w:val="FF0000"/>
          <w:sz w:val="24"/>
          <w:szCs w:val="24"/>
        </w:rPr>
      </w:pPr>
    </w:p>
    <w:p w14:paraId="43F86CDB" w14:textId="400ECD41" w:rsidR="00B8522A" w:rsidRPr="000C18E7" w:rsidRDefault="00B8522A" w:rsidP="00806D17">
      <w:pPr>
        <w:spacing w:after="0" w:line="480" w:lineRule="auto"/>
        <w:jc w:val="both"/>
        <w:rPr>
          <w:rFonts w:ascii="Times New Roman" w:hAnsi="Times New Roman" w:cs="Times New Roman"/>
          <w:i/>
          <w:iCs/>
          <w:sz w:val="24"/>
          <w:szCs w:val="24"/>
        </w:rPr>
      </w:pPr>
      <w:r w:rsidRPr="000C18E7">
        <w:rPr>
          <w:rFonts w:ascii="Times New Roman" w:hAnsi="Times New Roman" w:cs="Times New Roman"/>
          <w:i/>
          <w:iCs/>
          <w:sz w:val="24"/>
          <w:szCs w:val="24"/>
        </w:rPr>
        <w:t>Andrew</w:t>
      </w:r>
      <w:r w:rsidR="00E93276" w:rsidRPr="000C18E7">
        <w:rPr>
          <w:rFonts w:ascii="Times New Roman" w:hAnsi="Times New Roman" w:cs="Times New Roman"/>
          <w:i/>
          <w:iCs/>
          <w:sz w:val="24"/>
          <w:szCs w:val="24"/>
        </w:rPr>
        <w:t xml:space="preserve"> S.</w:t>
      </w:r>
      <w:r w:rsidRPr="000C18E7">
        <w:rPr>
          <w:rFonts w:ascii="Times New Roman" w:hAnsi="Times New Roman" w:cs="Times New Roman"/>
          <w:i/>
          <w:iCs/>
          <w:sz w:val="24"/>
          <w:szCs w:val="24"/>
        </w:rPr>
        <w:t xml:space="preserve"> Roe-Crines</w:t>
      </w:r>
    </w:p>
    <w:p w14:paraId="540E3DAF" w14:textId="77777777" w:rsidR="00632ABD" w:rsidRPr="000C18E7" w:rsidRDefault="00632ABD" w:rsidP="00806D17">
      <w:pPr>
        <w:spacing w:after="0" w:line="480" w:lineRule="auto"/>
        <w:jc w:val="both"/>
        <w:rPr>
          <w:rFonts w:ascii="Times New Roman" w:hAnsi="Times New Roman" w:cs="Times New Roman"/>
          <w:sz w:val="24"/>
          <w:szCs w:val="24"/>
        </w:rPr>
      </w:pPr>
    </w:p>
    <w:p w14:paraId="16AC6696" w14:textId="3D78D269" w:rsidR="003E6F66" w:rsidRPr="000C18E7" w:rsidRDefault="00632ABD" w:rsidP="00806D17">
      <w:pPr>
        <w:spacing w:after="0" w:line="480" w:lineRule="auto"/>
        <w:ind w:firstLine="720"/>
        <w:jc w:val="both"/>
        <w:rPr>
          <w:rFonts w:ascii="Times New Roman" w:hAnsi="Times New Roman" w:cs="Times New Roman"/>
          <w:sz w:val="24"/>
          <w:szCs w:val="24"/>
        </w:rPr>
      </w:pPr>
      <w:r w:rsidRPr="000C18E7">
        <w:rPr>
          <w:rFonts w:ascii="Times New Roman" w:hAnsi="Times New Roman" w:cs="Times New Roman"/>
          <w:sz w:val="24"/>
          <w:szCs w:val="24"/>
        </w:rPr>
        <w:t xml:space="preserve">The aim of </w:t>
      </w:r>
      <w:r w:rsidR="000419E4">
        <w:rPr>
          <w:rFonts w:ascii="Times New Roman" w:hAnsi="Times New Roman" w:cs="Times New Roman"/>
          <w:sz w:val="24"/>
          <w:szCs w:val="24"/>
        </w:rPr>
        <w:t>this chapter</w:t>
      </w:r>
      <w:r w:rsidRPr="000C18E7">
        <w:rPr>
          <w:rFonts w:ascii="Times New Roman" w:hAnsi="Times New Roman" w:cs="Times New Roman"/>
          <w:sz w:val="24"/>
          <w:szCs w:val="24"/>
        </w:rPr>
        <w:t xml:space="preserve"> is to consider the performance of the Conservative Party in the General Elections of 1974. Having secured 13,145,123 votes on a 46.4 percent vote share at the General Election of June 1970</w:t>
      </w:r>
      <w:r w:rsidR="0065572B" w:rsidRPr="000C18E7">
        <w:rPr>
          <w:rFonts w:ascii="Times New Roman" w:hAnsi="Times New Roman" w:cs="Times New Roman"/>
          <w:sz w:val="24"/>
          <w:szCs w:val="24"/>
        </w:rPr>
        <w:t xml:space="preserve"> (</w:t>
      </w:r>
      <w:r w:rsidRPr="000C18E7">
        <w:rPr>
          <w:rFonts w:ascii="Times New Roman" w:hAnsi="Times New Roman" w:cs="Times New Roman"/>
          <w:sz w:val="24"/>
          <w:szCs w:val="24"/>
        </w:rPr>
        <w:t>which provided them with 330 parliament</w:t>
      </w:r>
      <w:r w:rsidR="0065572B" w:rsidRPr="000C18E7">
        <w:rPr>
          <w:rFonts w:ascii="Times New Roman" w:hAnsi="Times New Roman" w:cs="Times New Roman"/>
          <w:sz w:val="24"/>
          <w:szCs w:val="24"/>
        </w:rPr>
        <w:t>ary seats), the Conservative Party</w:t>
      </w:r>
      <w:r w:rsidRPr="000C18E7">
        <w:rPr>
          <w:rFonts w:ascii="Times New Roman" w:hAnsi="Times New Roman" w:cs="Times New Roman"/>
          <w:sz w:val="24"/>
          <w:szCs w:val="24"/>
        </w:rPr>
        <w:t xml:space="preserve"> </w:t>
      </w:r>
      <w:r w:rsidR="0013742D" w:rsidRPr="000C18E7">
        <w:rPr>
          <w:rFonts w:ascii="Times New Roman" w:hAnsi="Times New Roman" w:cs="Times New Roman"/>
          <w:sz w:val="24"/>
          <w:szCs w:val="24"/>
        </w:rPr>
        <w:t>would fall to 11,872,180 votes (a 37.9 percent vote share and 297 parliamentary seats) at the General Election of February 1974 (Butler and Pinto-Duschinsky, 1971; Butler and Kavanagh, 1974). A further erosion in the Conservative vote would occur at the General Election of October 1974</w:t>
      </w:r>
      <w:r w:rsidR="0065572B" w:rsidRPr="000C18E7">
        <w:rPr>
          <w:rFonts w:ascii="Times New Roman" w:hAnsi="Times New Roman" w:cs="Times New Roman"/>
          <w:sz w:val="24"/>
          <w:szCs w:val="24"/>
        </w:rPr>
        <w:t>,</w:t>
      </w:r>
      <w:r w:rsidR="0013742D" w:rsidRPr="000C18E7">
        <w:rPr>
          <w:rFonts w:ascii="Times New Roman" w:hAnsi="Times New Roman" w:cs="Times New Roman"/>
          <w:sz w:val="24"/>
          <w:szCs w:val="24"/>
        </w:rPr>
        <w:t xml:space="preserve"> as they </w:t>
      </w:r>
      <w:r w:rsidR="0065572B" w:rsidRPr="000C18E7">
        <w:rPr>
          <w:rFonts w:ascii="Times New Roman" w:hAnsi="Times New Roman" w:cs="Times New Roman"/>
          <w:sz w:val="24"/>
          <w:szCs w:val="24"/>
        </w:rPr>
        <w:t>fell to 277 parliamentary seats</w:t>
      </w:r>
      <w:r w:rsidR="0013742D" w:rsidRPr="000C18E7">
        <w:rPr>
          <w:rFonts w:ascii="Times New Roman" w:hAnsi="Times New Roman" w:cs="Times New Roman"/>
          <w:sz w:val="24"/>
          <w:szCs w:val="24"/>
        </w:rPr>
        <w:t xml:space="preserve"> on a 35.8 percent vote share and 10,464,817 votes (Butler and Kavanagh, 1975). In parliamentary terms</w:t>
      </w:r>
      <w:r w:rsidR="0065572B" w:rsidRPr="000C18E7">
        <w:rPr>
          <w:rFonts w:ascii="Times New Roman" w:hAnsi="Times New Roman" w:cs="Times New Roman"/>
          <w:sz w:val="24"/>
          <w:szCs w:val="24"/>
        </w:rPr>
        <w:t>,</w:t>
      </w:r>
      <w:r w:rsidR="0013742D" w:rsidRPr="000C18E7">
        <w:rPr>
          <w:rFonts w:ascii="Times New Roman" w:hAnsi="Times New Roman" w:cs="Times New Roman"/>
          <w:sz w:val="24"/>
          <w:szCs w:val="24"/>
        </w:rPr>
        <w:t xml:space="preserve"> their respective electoral reversals were marginal – i.e. the Labour Party entered government as a minority administration in March 1974 and then with a majority of three after the October General Election</w:t>
      </w:r>
      <w:r w:rsidR="00C61834" w:rsidRPr="000C18E7">
        <w:rPr>
          <w:rFonts w:ascii="Times New Roman" w:hAnsi="Times New Roman" w:cs="Times New Roman"/>
          <w:sz w:val="24"/>
          <w:szCs w:val="24"/>
        </w:rPr>
        <w:t xml:space="preserve">. This </w:t>
      </w:r>
      <w:r w:rsidR="0013742D" w:rsidRPr="000C18E7">
        <w:rPr>
          <w:rFonts w:ascii="Times New Roman" w:hAnsi="Times New Roman" w:cs="Times New Roman"/>
          <w:sz w:val="24"/>
          <w:szCs w:val="24"/>
        </w:rPr>
        <w:t>reflect</w:t>
      </w:r>
      <w:r w:rsidR="00C61834" w:rsidRPr="000C18E7">
        <w:rPr>
          <w:rFonts w:ascii="Times New Roman" w:hAnsi="Times New Roman" w:cs="Times New Roman"/>
          <w:sz w:val="24"/>
          <w:szCs w:val="24"/>
        </w:rPr>
        <w:t>ed</w:t>
      </w:r>
      <w:r w:rsidR="0013742D" w:rsidRPr="000C18E7">
        <w:rPr>
          <w:rFonts w:ascii="Times New Roman" w:hAnsi="Times New Roman" w:cs="Times New Roman"/>
          <w:sz w:val="24"/>
          <w:szCs w:val="24"/>
        </w:rPr>
        <w:t xml:space="preserve"> the fact that voters were displaying their scepticism towards the two main parties. The combined Conservative-Labour vote at the General Election of February 1974 was 75.1 percent a</w:t>
      </w:r>
      <w:r w:rsidR="006D2AB7" w:rsidRPr="000C18E7">
        <w:rPr>
          <w:rFonts w:ascii="Times New Roman" w:hAnsi="Times New Roman" w:cs="Times New Roman"/>
          <w:sz w:val="24"/>
          <w:szCs w:val="24"/>
        </w:rPr>
        <w:t xml:space="preserve">s compared to their combined return of 89.5 percent at the General Election of June 1970, and </w:t>
      </w:r>
      <w:r w:rsidR="0013742D" w:rsidRPr="000C18E7">
        <w:rPr>
          <w:rFonts w:ascii="Times New Roman" w:hAnsi="Times New Roman" w:cs="Times New Roman"/>
          <w:sz w:val="24"/>
          <w:szCs w:val="24"/>
        </w:rPr>
        <w:t>Labour actually regained office on a lower vote share (37.9 percent) than they had secured in losing the General Election of 1970 (</w:t>
      </w:r>
      <w:r w:rsidR="006D2AB7" w:rsidRPr="000C18E7">
        <w:rPr>
          <w:rFonts w:ascii="Times New Roman" w:hAnsi="Times New Roman" w:cs="Times New Roman"/>
          <w:sz w:val="24"/>
          <w:szCs w:val="24"/>
        </w:rPr>
        <w:t>43.1 percent) (Butler and Pinto-Duschinsky, 1971; Butler and Kavanagh, 1974). The rise of the Liberals from 2,117,035 votes or 7.5 percent in June 1970, to 6,059,519 or 19.3 percent in February 1974 (see</w:t>
      </w:r>
      <w:r w:rsidR="00B620DB" w:rsidRPr="000C18E7">
        <w:rPr>
          <w:rFonts w:ascii="Times New Roman" w:hAnsi="Times New Roman" w:cs="Times New Roman"/>
          <w:sz w:val="24"/>
          <w:szCs w:val="24"/>
        </w:rPr>
        <w:t xml:space="preserve"> Lemieux, 1977; Alt </w:t>
      </w:r>
      <w:r w:rsidR="00B620DB" w:rsidRPr="000C18E7">
        <w:rPr>
          <w:rFonts w:ascii="Times New Roman" w:hAnsi="Times New Roman" w:cs="Times New Roman"/>
          <w:i/>
          <w:iCs/>
          <w:sz w:val="24"/>
          <w:szCs w:val="24"/>
        </w:rPr>
        <w:t>et al</w:t>
      </w:r>
      <w:r w:rsidR="00806D17" w:rsidRPr="000C18E7">
        <w:rPr>
          <w:rFonts w:ascii="Times New Roman" w:hAnsi="Times New Roman" w:cs="Times New Roman"/>
          <w:sz w:val="24"/>
          <w:szCs w:val="24"/>
        </w:rPr>
        <w:t>.,</w:t>
      </w:r>
      <w:r w:rsidR="00B620DB" w:rsidRPr="000C18E7">
        <w:rPr>
          <w:rFonts w:ascii="Times New Roman" w:hAnsi="Times New Roman" w:cs="Times New Roman"/>
          <w:sz w:val="24"/>
          <w:szCs w:val="24"/>
        </w:rPr>
        <w:t xml:space="preserve"> 1977)</w:t>
      </w:r>
      <w:r w:rsidR="006D2AB7" w:rsidRPr="000C18E7">
        <w:rPr>
          <w:rFonts w:ascii="Times New Roman" w:hAnsi="Times New Roman" w:cs="Times New Roman"/>
          <w:sz w:val="24"/>
          <w:szCs w:val="24"/>
        </w:rPr>
        <w:t xml:space="preserve">, </w:t>
      </w:r>
      <w:r w:rsidR="003E6F66" w:rsidRPr="000C18E7">
        <w:rPr>
          <w:rFonts w:ascii="Times New Roman" w:hAnsi="Times New Roman" w:cs="Times New Roman"/>
          <w:sz w:val="24"/>
          <w:szCs w:val="24"/>
        </w:rPr>
        <w:t xml:space="preserve">created a third party vote twice the size of any that been returned since the General Election of 1929 (Butler and Kavanagh, 1974: 15). It </w:t>
      </w:r>
      <w:r w:rsidR="006D2AB7" w:rsidRPr="000C18E7">
        <w:rPr>
          <w:rFonts w:ascii="Times New Roman" w:hAnsi="Times New Roman" w:cs="Times New Roman"/>
          <w:sz w:val="24"/>
          <w:szCs w:val="24"/>
        </w:rPr>
        <w:t>would act as a stimul</w:t>
      </w:r>
      <w:r w:rsidR="006B6859" w:rsidRPr="000C18E7">
        <w:rPr>
          <w:rFonts w:ascii="Times New Roman" w:hAnsi="Times New Roman" w:cs="Times New Roman"/>
          <w:sz w:val="24"/>
          <w:szCs w:val="24"/>
        </w:rPr>
        <w:t>us</w:t>
      </w:r>
      <w:r w:rsidR="006D2AB7" w:rsidRPr="000C18E7">
        <w:rPr>
          <w:rFonts w:ascii="Times New Roman" w:hAnsi="Times New Roman" w:cs="Times New Roman"/>
          <w:sz w:val="24"/>
          <w:szCs w:val="24"/>
        </w:rPr>
        <w:t xml:space="preserve"> for the debates around</w:t>
      </w:r>
      <w:r w:rsidR="003E6F66" w:rsidRPr="000C18E7">
        <w:rPr>
          <w:rFonts w:ascii="Times New Roman" w:hAnsi="Times New Roman" w:cs="Times New Roman"/>
          <w:sz w:val="24"/>
          <w:szCs w:val="24"/>
        </w:rPr>
        <w:t xml:space="preserve"> the rise</w:t>
      </w:r>
      <w:r w:rsidR="006D2AB7" w:rsidRPr="000C18E7">
        <w:rPr>
          <w:rFonts w:ascii="Times New Roman" w:hAnsi="Times New Roman" w:cs="Times New Roman"/>
          <w:sz w:val="24"/>
          <w:szCs w:val="24"/>
        </w:rPr>
        <w:t xml:space="preserve"> multi-party politics in Britain (Berrington, 1979)</w:t>
      </w:r>
      <w:r w:rsidR="00B620DB" w:rsidRPr="000C18E7">
        <w:rPr>
          <w:rFonts w:ascii="Times New Roman" w:hAnsi="Times New Roman" w:cs="Times New Roman"/>
          <w:sz w:val="24"/>
          <w:szCs w:val="24"/>
        </w:rPr>
        <w:t xml:space="preserve">. </w:t>
      </w:r>
    </w:p>
    <w:p w14:paraId="7F8CC6F8" w14:textId="3D8933CF" w:rsidR="003E6F66" w:rsidRPr="000C18E7" w:rsidRDefault="00B620DB" w:rsidP="00806D17">
      <w:pPr>
        <w:spacing w:after="0" w:line="480" w:lineRule="auto"/>
        <w:ind w:firstLine="720"/>
        <w:jc w:val="both"/>
        <w:rPr>
          <w:rFonts w:ascii="Times New Roman" w:hAnsi="Times New Roman" w:cs="Times New Roman"/>
          <w:sz w:val="24"/>
          <w:szCs w:val="24"/>
        </w:rPr>
      </w:pPr>
      <w:r w:rsidRPr="000C18E7">
        <w:rPr>
          <w:rFonts w:ascii="Times New Roman" w:hAnsi="Times New Roman" w:cs="Times New Roman"/>
          <w:sz w:val="24"/>
          <w:szCs w:val="24"/>
        </w:rPr>
        <w:t xml:space="preserve">The perception that the dynamics of party competition and parliamentary arithmetic was changing was felt within Conservatives circles </w:t>
      </w:r>
      <w:r w:rsidR="00C61834" w:rsidRPr="000C18E7">
        <w:rPr>
          <w:rFonts w:ascii="Times New Roman" w:hAnsi="Times New Roman" w:cs="Times New Roman"/>
          <w:sz w:val="24"/>
          <w:szCs w:val="24"/>
        </w:rPr>
        <w:t>from March</w:t>
      </w:r>
      <w:r w:rsidRPr="000C18E7">
        <w:rPr>
          <w:rFonts w:ascii="Times New Roman" w:hAnsi="Times New Roman" w:cs="Times New Roman"/>
          <w:sz w:val="24"/>
          <w:szCs w:val="24"/>
        </w:rPr>
        <w:t xml:space="preserve"> 1974</w:t>
      </w:r>
      <w:r w:rsidR="00C61834" w:rsidRPr="000C18E7">
        <w:rPr>
          <w:rFonts w:ascii="Times New Roman" w:hAnsi="Times New Roman" w:cs="Times New Roman"/>
          <w:sz w:val="24"/>
          <w:szCs w:val="24"/>
        </w:rPr>
        <w:t xml:space="preserve"> onwards</w:t>
      </w:r>
      <w:r w:rsidRPr="000C18E7">
        <w:rPr>
          <w:rFonts w:ascii="Times New Roman" w:hAnsi="Times New Roman" w:cs="Times New Roman"/>
          <w:sz w:val="24"/>
          <w:szCs w:val="24"/>
        </w:rPr>
        <w:t xml:space="preserve">. For example, based on the evidence from national polling and their own internal polling, </w:t>
      </w:r>
      <w:r w:rsidR="003E6F66" w:rsidRPr="000C18E7">
        <w:rPr>
          <w:rFonts w:ascii="Times New Roman" w:hAnsi="Times New Roman" w:cs="Times New Roman"/>
          <w:sz w:val="24"/>
          <w:szCs w:val="24"/>
        </w:rPr>
        <w:t xml:space="preserve">the Conservative Party chair, William Whitelaw, lamented that ‘the nation </w:t>
      </w:r>
      <w:r w:rsidR="003E6F66" w:rsidRPr="000C18E7">
        <w:rPr>
          <w:rFonts w:ascii="Times New Roman" w:hAnsi="Times New Roman" w:cs="Times New Roman"/>
          <w:sz w:val="24"/>
          <w:szCs w:val="24"/>
        </w:rPr>
        <w:lastRenderedPageBreak/>
        <w:t xml:space="preserve">is in one of its coalition moods’ (CPA, LCC 1/3/2/110-113 ‘The Liberals’, 28 June 1974). That Whitelaw was discussing these issues within a </w:t>
      </w:r>
      <w:r w:rsidR="003E6F66" w:rsidRPr="000C18E7">
        <w:rPr>
          <w:rFonts w:ascii="Times New Roman" w:hAnsi="Times New Roman" w:cs="Times New Roman"/>
          <w:iCs/>
          <w:sz w:val="24"/>
          <w:szCs w:val="24"/>
        </w:rPr>
        <w:t>shadow</w:t>
      </w:r>
      <w:r w:rsidR="003E6F66" w:rsidRPr="000C18E7">
        <w:rPr>
          <w:rFonts w:ascii="Times New Roman" w:hAnsi="Times New Roman" w:cs="Times New Roman"/>
          <w:i/>
          <w:iCs/>
          <w:sz w:val="24"/>
          <w:szCs w:val="24"/>
        </w:rPr>
        <w:t xml:space="preserve"> </w:t>
      </w:r>
      <w:r w:rsidR="003E6F66" w:rsidRPr="000C18E7">
        <w:rPr>
          <w:rFonts w:ascii="Times New Roman" w:hAnsi="Times New Roman" w:cs="Times New Roman"/>
          <w:sz w:val="24"/>
          <w:szCs w:val="24"/>
        </w:rPr>
        <w:t>Cabinet meeting in June 1974 was a source of frustration and anger for Conservatives. That is because the loss of office was not only unnecessary but it was also unexpected. It was unnecessary because having won the General Election of June 1970</w:t>
      </w:r>
      <w:r w:rsidR="0065572B" w:rsidRPr="000C18E7">
        <w:rPr>
          <w:rFonts w:ascii="Times New Roman" w:hAnsi="Times New Roman" w:cs="Times New Roman"/>
          <w:sz w:val="24"/>
          <w:szCs w:val="24"/>
        </w:rPr>
        <w:t>,</w:t>
      </w:r>
      <w:r w:rsidR="003E6F66" w:rsidRPr="000C18E7">
        <w:rPr>
          <w:rFonts w:ascii="Times New Roman" w:hAnsi="Times New Roman" w:cs="Times New Roman"/>
          <w:sz w:val="24"/>
          <w:szCs w:val="24"/>
        </w:rPr>
        <w:t xml:space="preserve"> there was no need to face the electorate until June 1975 (</w:t>
      </w:r>
      <w:r w:rsidR="00AB3AB5" w:rsidRPr="000C18E7">
        <w:rPr>
          <w:rFonts w:ascii="Times New Roman" w:hAnsi="Times New Roman" w:cs="Times New Roman"/>
          <w:sz w:val="24"/>
          <w:szCs w:val="24"/>
        </w:rPr>
        <w:t>Sandbrook, 2010: 611-</w:t>
      </w:r>
      <w:r w:rsidR="00806D17" w:rsidRPr="000C18E7">
        <w:rPr>
          <w:rFonts w:ascii="Times New Roman" w:hAnsi="Times New Roman" w:cs="Times New Roman"/>
          <w:sz w:val="24"/>
          <w:szCs w:val="24"/>
        </w:rPr>
        <w:t>6</w:t>
      </w:r>
      <w:r w:rsidR="00AB3AB5" w:rsidRPr="000C18E7">
        <w:rPr>
          <w:rFonts w:ascii="Times New Roman" w:hAnsi="Times New Roman" w:cs="Times New Roman"/>
          <w:sz w:val="24"/>
          <w:szCs w:val="24"/>
        </w:rPr>
        <w:t>45</w:t>
      </w:r>
      <w:r w:rsidR="003E6F66" w:rsidRPr="000C18E7">
        <w:rPr>
          <w:rFonts w:ascii="Times New Roman" w:hAnsi="Times New Roman" w:cs="Times New Roman"/>
          <w:sz w:val="24"/>
          <w:szCs w:val="24"/>
        </w:rPr>
        <w:t xml:space="preserve">). It was unexpected because despite the governing difficulties that the Conservatives had been experiencing over the previous three and half years in office, any doubts about their governing competence were not being translated into concrete support for the Labour opposition. </w:t>
      </w:r>
      <w:r w:rsidR="00AB3AB5" w:rsidRPr="000C18E7">
        <w:rPr>
          <w:rFonts w:ascii="Times New Roman" w:hAnsi="Times New Roman" w:cs="Times New Roman"/>
          <w:sz w:val="24"/>
          <w:szCs w:val="24"/>
        </w:rPr>
        <w:t>As Ziegler observed ‘it was taken for granted by almost everyone that the Conservatives would win’ (Ziegler, 2010: 432). After all, w</w:t>
      </w:r>
      <w:r w:rsidR="00FE09D1" w:rsidRPr="000C18E7">
        <w:rPr>
          <w:rFonts w:ascii="Times New Roman" w:hAnsi="Times New Roman" w:cs="Times New Roman"/>
          <w:sz w:val="24"/>
          <w:szCs w:val="24"/>
        </w:rPr>
        <w:t xml:space="preserve">ithin the three-week campaigning period – between the 7 and 28 February – a total of </w:t>
      </w:r>
      <w:r w:rsidR="0065572B" w:rsidRPr="000C18E7">
        <w:rPr>
          <w:rFonts w:ascii="Times New Roman" w:hAnsi="Times New Roman" w:cs="Times New Roman"/>
          <w:sz w:val="24"/>
          <w:szCs w:val="24"/>
        </w:rPr>
        <w:t>26</w:t>
      </w:r>
      <w:r w:rsidR="00FE09D1" w:rsidRPr="000C18E7">
        <w:rPr>
          <w:rFonts w:ascii="Times New Roman" w:hAnsi="Times New Roman" w:cs="Times New Roman"/>
          <w:sz w:val="24"/>
          <w:szCs w:val="24"/>
        </w:rPr>
        <w:t xml:space="preserve"> opinion polls were conducted and the Conservatives held a lead in all but one of them, including one lead of nine percentage points. Of the final opinion polls</w:t>
      </w:r>
      <w:r w:rsidR="0065572B" w:rsidRPr="000C18E7">
        <w:rPr>
          <w:rFonts w:ascii="Times New Roman" w:hAnsi="Times New Roman" w:cs="Times New Roman"/>
          <w:sz w:val="24"/>
          <w:szCs w:val="24"/>
        </w:rPr>
        <w:t>,</w:t>
      </w:r>
      <w:r w:rsidR="00FE09D1" w:rsidRPr="000C18E7">
        <w:rPr>
          <w:rFonts w:ascii="Times New Roman" w:hAnsi="Times New Roman" w:cs="Times New Roman"/>
          <w:sz w:val="24"/>
          <w:szCs w:val="24"/>
        </w:rPr>
        <w:t xml:space="preserve"> </w:t>
      </w:r>
      <w:r w:rsidR="0065572B" w:rsidRPr="000C18E7">
        <w:rPr>
          <w:rFonts w:ascii="Times New Roman" w:hAnsi="Times New Roman" w:cs="Times New Roman"/>
          <w:sz w:val="24"/>
          <w:szCs w:val="24"/>
        </w:rPr>
        <w:t>two gav</w:t>
      </w:r>
      <w:r w:rsidR="00FE09D1" w:rsidRPr="000C18E7">
        <w:rPr>
          <w:rFonts w:ascii="Times New Roman" w:hAnsi="Times New Roman" w:cs="Times New Roman"/>
          <w:sz w:val="24"/>
          <w:szCs w:val="24"/>
        </w:rPr>
        <w:t xml:space="preserve">e them a two percentage-point lead; one gave them a three percentage-point lead; two gave them a four point-percentage lead and one gave them a one percentage point lead (Butler and Kavanagh, 1974: 95). </w:t>
      </w:r>
    </w:p>
    <w:p w14:paraId="16A64B8D" w14:textId="038429EC" w:rsidR="003E6F66" w:rsidRPr="000C18E7" w:rsidRDefault="00AB3AB5" w:rsidP="00806D17">
      <w:pPr>
        <w:spacing w:after="0" w:line="480" w:lineRule="auto"/>
        <w:ind w:firstLine="720"/>
        <w:jc w:val="both"/>
        <w:rPr>
          <w:rFonts w:ascii="Times New Roman" w:hAnsi="Times New Roman" w:cs="Times New Roman"/>
          <w:sz w:val="24"/>
          <w:szCs w:val="24"/>
        </w:rPr>
      </w:pPr>
      <w:r w:rsidRPr="000C18E7">
        <w:rPr>
          <w:rFonts w:ascii="Times New Roman" w:hAnsi="Times New Roman" w:cs="Times New Roman"/>
          <w:sz w:val="24"/>
          <w:szCs w:val="24"/>
        </w:rPr>
        <w:t>This chapter seeks to address the following dilemmas: first, how and why did the Conservatives decide to call and then lose the General Election of February 1974; and, second, how and why did they fail to regain office at the General Election of October 1974. By analysing these two dilemma</w:t>
      </w:r>
      <w:r w:rsidR="006377B7" w:rsidRPr="000C18E7">
        <w:rPr>
          <w:rFonts w:ascii="Times New Roman" w:hAnsi="Times New Roman" w:cs="Times New Roman"/>
          <w:sz w:val="24"/>
          <w:szCs w:val="24"/>
        </w:rPr>
        <w:t xml:space="preserve">s, </w:t>
      </w:r>
      <w:r w:rsidRPr="000C18E7">
        <w:rPr>
          <w:rFonts w:ascii="Times New Roman" w:hAnsi="Times New Roman" w:cs="Times New Roman"/>
          <w:sz w:val="24"/>
          <w:szCs w:val="24"/>
        </w:rPr>
        <w:t>we can highlight the mistakes that Heath made which would increase demands within the Conservative Party for a change in the party leadership on the basis that he was an electoral liability (</w:t>
      </w:r>
      <w:r w:rsidR="006377B7" w:rsidRPr="000C18E7">
        <w:rPr>
          <w:rFonts w:ascii="Times New Roman" w:hAnsi="Times New Roman" w:cs="Times New Roman"/>
          <w:sz w:val="24"/>
          <w:szCs w:val="24"/>
        </w:rPr>
        <w:t>Fisher, 1977:  147-</w:t>
      </w:r>
      <w:r w:rsidR="00806D17" w:rsidRPr="000C18E7">
        <w:rPr>
          <w:rFonts w:ascii="Times New Roman" w:hAnsi="Times New Roman" w:cs="Times New Roman"/>
          <w:sz w:val="24"/>
          <w:szCs w:val="24"/>
        </w:rPr>
        <w:t>1</w:t>
      </w:r>
      <w:r w:rsidR="006377B7" w:rsidRPr="000C18E7">
        <w:rPr>
          <w:rFonts w:ascii="Times New Roman" w:hAnsi="Times New Roman" w:cs="Times New Roman"/>
          <w:sz w:val="24"/>
          <w:szCs w:val="24"/>
        </w:rPr>
        <w:t xml:space="preserve">73; </w:t>
      </w:r>
      <w:r w:rsidRPr="000C18E7">
        <w:rPr>
          <w:rFonts w:ascii="Times New Roman" w:hAnsi="Times New Roman" w:cs="Times New Roman"/>
          <w:sz w:val="24"/>
          <w:szCs w:val="24"/>
        </w:rPr>
        <w:t xml:space="preserve">Heppell, 2008: </w:t>
      </w:r>
      <w:r w:rsidR="006377B7" w:rsidRPr="000C18E7">
        <w:rPr>
          <w:rFonts w:ascii="Times New Roman" w:hAnsi="Times New Roman" w:cs="Times New Roman"/>
          <w:sz w:val="24"/>
          <w:szCs w:val="24"/>
        </w:rPr>
        <w:t>51-</w:t>
      </w:r>
      <w:r w:rsidR="00806D17" w:rsidRPr="000C18E7">
        <w:rPr>
          <w:rFonts w:ascii="Times New Roman" w:hAnsi="Times New Roman" w:cs="Times New Roman"/>
          <w:sz w:val="24"/>
          <w:szCs w:val="24"/>
        </w:rPr>
        <w:t>5</w:t>
      </w:r>
      <w:r w:rsidR="006377B7" w:rsidRPr="000C18E7">
        <w:rPr>
          <w:rFonts w:ascii="Times New Roman" w:hAnsi="Times New Roman" w:cs="Times New Roman"/>
          <w:sz w:val="24"/>
          <w:szCs w:val="24"/>
        </w:rPr>
        <w:t>3).</w:t>
      </w:r>
    </w:p>
    <w:p w14:paraId="4C08B7D6" w14:textId="77777777" w:rsidR="006377B7" w:rsidRPr="000C18E7" w:rsidRDefault="006377B7" w:rsidP="00806D17">
      <w:pPr>
        <w:spacing w:after="0" w:line="480" w:lineRule="auto"/>
        <w:jc w:val="both"/>
        <w:rPr>
          <w:rFonts w:ascii="Times New Roman" w:hAnsi="Times New Roman" w:cs="Times New Roman"/>
          <w:sz w:val="24"/>
          <w:szCs w:val="24"/>
        </w:rPr>
      </w:pPr>
    </w:p>
    <w:p w14:paraId="5A488104" w14:textId="13508608" w:rsidR="00B8522A" w:rsidRPr="000C18E7" w:rsidRDefault="00B8522A" w:rsidP="00806D17">
      <w:pPr>
        <w:spacing w:after="0" w:line="480" w:lineRule="auto"/>
        <w:jc w:val="both"/>
        <w:rPr>
          <w:rFonts w:ascii="Times New Roman" w:hAnsi="Times New Roman" w:cs="Times New Roman"/>
          <w:b/>
          <w:bCs/>
          <w:iCs/>
          <w:sz w:val="24"/>
          <w:szCs w:val="24"/>
        </w:rPr>
      </w:pPr>
      <w:r w:rsidRPr="000C18E7">
        <w:rPr>
          <w:rFonts w:ascii="Times New Roman" w:hAnsi="Times New Roman" w:cs="Times New Roman"/>
          <w:b/>
          <w:bCs/>
          <w:iCs/>
          <w:sz w:val="24"/>
          <w:szCs w:val="24"/>
        </w:rPr>
        <w:t xml:space="preserve">The </w:t>
      </w:r>
      <w:r w:rsidR="00F15BC7" w:rsidRPr="000C18E7">
        <w:rPr>
          <w:rFonts w:ascii="Times New Roman" w:hAnsi="Times New Roman" w:cs="Times New Roman"/>
          <w:b/>
          <w:bCs/>
          <w:iCs/>
          <w:sz w:val="24"/>
          <w:szCs w:val="24"/>
        </w:rPr>
        <w:t xml:space="preserve">General </w:t>
      </w:r>
      <w:r w:rsidRPr="000C18E7">
        <w:rPr>
          <w:rFonts w:ascii="Times New Roman" w:hAnsi="Times New Roman" w:cs="Times New Roman"/>
          <w:b/>
          <w:bCs/>
          <w:iCs/>
          <w:sz w:val="24"/>
          <w:szCs w:val="24"/>
        </w:rPr>
        <w:t>Election</w:t>
      </w:r>
      <w:r w:rsidR="00F15BC7" w:rsidRPr="000C18E7">
        <w:rPr>
          <w:rFonts w:ascii="Times New Roman" w:hAnsi="Times New Roman" w:cs="Times New Roman"/>
          <w:b/>
          <w:bCs/>
          <w:iCs/>
          <w:sz w:val="24"/>
          <w:szCs w:val="24"/>
        </w:rPr>
        <w:t xml:space="preserve"> of February 1974</w:t>
      </w:r>
    </w:p>
    <w:p w14:paraId="12B0EBBB" w14:textId="77777777" w:rsidR="008D0C4E" w:rsidRPr="000C18E7" w:rsidRDefault="008D0C4E" w:rsidP="00806D17">
      <w:pPr>
        <w:spacing w:after="0" w:line="480" w:lineRule="auto"/>
        <w:jc w:val="both"/>
        <w:rPr>
          <w:rFonts w:ascii="Times New Roman" w:hAnsi="Times New Roman" w:cs="Times New Roman"/>
          <w:color w:val="7030A0"/>
          <w:sz w:val="24"/>
          <w:szCs w:val="24"/>
        </w:rPr>
      </w:pPr>
    </w:p>
    <w:p w14:paraId="2886368D" w14:textId="466832A3" w:rsidR="006377B7" w:rsidRPr="000C18E7" w:rsidRDefault="00B8522A" w:rsidP="00806D17">
      <w:pPr>
        <w:spacing w:after="0" w:line="480" w:lineRule="auto"/>
        <w:ind w:firstLine="720"/>
        <w:jc w:val="both"/>
        <w:rPr>
          <w:rFonts w:ascii="Times New Roman" w:hAnsi="Times New Roman" w:cs="Times New Roman"/>
          <w:sz w:val="24"/>
          <w:szCs w:val="24"/>
        </w:rPr>
      </w:pPr>
      <w:r w:rsidRPr="000C18E7">
        <w:rPr>
          <w:rFonts w:ascii="Times New Roman" w:hAnsi="Times New Roman" w:cs="Times New Roman"/>
          <w:sz w:val="24"/>
          <w:szCs w:val="24"/>
        </w:rPr>
        <w:t xml:space="preserve">Heath </w:t>
      </w:r>
      <w:r w:rsidR="006377B7" w:rsidRPr="000C18E7">
        <w:rPr>
          <w:rFonts w:ascii="Times New Roman" w:hAnsi="Times New Roman" w:cs="Times New Roman"/>
          <w:sz w:val="24"/>
          <w:szCs w:val="24"/>
        </w:rPr>
        <w:t xml:space="preserve">had </w:t>
      </w:r>
      <w:r w:rsidRPr="000C18E7">
        <w:rPr>
          <w:rFonts w:ascii="Times New Roman" w:hAnsi="Times New Roman" w:cs="Times New Roman"/>
          <w:sz w:val="24"/>
          <w:szCs w:val="24"/>
        </w:rPr>
        <w:t>not want</w:t>
      </w:r>
      <w:r w:rsidR="006377B7" w:rsidRPr="000C18E7">
        <w:rPr>
          <w:rFonts w:ascii="Times New Roman" w:hAnsi="Times New Roman" w:cs="Times New Roman"/>
          <w:sz w:val="24"/>
          <w:szCs w:val="24"/>
        </w:rPr>
        <w:t>ed</w:t>
      </w:r>
      <w:r w:rsidRPr="000C18E7">
        <w:rPr>
          <w:rFonts w:ascii="Times New Roman" w:hAnsi="Times New Roman" w:cs="Times New Roman"/>
          <w:sz w:val="24"/>
          <w:szCs w:val="24"/>
        </w:rPr>
        <w:t xml:space="preserve"> to call an early </w:t>
      </w:r>
      <w:r w:rsidR="006377B7" w:rsidRPr="000C18E7">
        <w:rPr>
          <w:rFonts w:ascii="Times New Roman" w:hAnsi="Times New Roman" w:cs="Times New Roman"/>
          <w:sz w:val="24"/>
          <w:szCs w:val="24"/>
        </w:rPr>
        <w:t>General E</w:t>
      </w:r>
      <w:r w:rsidRPr="000C18E7">
        <w:rPr>
          <w:rFonts w:ascii="Times New Roman" w:hAnsi="Times New Roman" w:cs="Times New Roman"/>
          <w:sz w:val="24"/>
          <w:szCs w:val="24"/>
        </w:rPr>
        <w:t>lection</w:t>
      </w:r>
      <w:r w:rsidR="00B17524" w:rsidRPr="000C18E7">
        <w:rPr>
          <w:rFonts w:ascii="Times New Roman" w:hAnsi="Times New Roman" w:cs="Times New Roman"/>
          <w:sz w:val="24"/>
          <w:szCs w:val="24"/>
        </w:rPr>
        <w:t>. In his memoirs he would reflect that: ‘I always regarded the election as nothing better than a grim necessity’ (Heath, 1998: 512).</w:t>
      </w:r>
      <w:r w:rsidRPr="000C18E7">
        <w:rPr>
          <w:rFonts w:ascii="Times New Roman" w:hAnsi="Times New Roman" w:cs="Times New Roman"/>
          <w:sz w:val="24"/>
          <w:szCs w:val="24"/>
        </w:rPr>
        <w:t xml:space="preserve"> </w:t>
      </w:r>
      <w:r w:rsidR="006377B7" w:rsidRPr="000C18E7">
        <w:rPr>
          <w:rFonts w:ascii="Times New Roman" w:hAnsi="Times New Roman" w:cs="Times New Roman"/>
          <w:sz w:val="24"/>
          <w:szCs w:val="24"/>
        </w:rPr>
        <w:t xml:space="preserve">The vast majority of Prime Ministers prefer to choose the date when they return to the country for a renewed mandate. This is because it gives them an advantage over their opposition parties in being able to pick </w:t>
      </w:r>
      <w:r w:rsidR="00493C72" w:rsidRPr="000C18E7">
        <w:rPr>
          <w:rFonts w:ascii="Times New Roman" w:hAnsi="Times New Roman" w:cs="Times New Roman"/>
          <w:sz w:val="24"/>
          <w:szCs w:val="24"/>
        </w:rPr>
        <w:t>a</w:t>
      </w:r>
      <w:r w:rsidR="006377B7" w:rsidRPr="000C18E7">
        <w:rPr>
          <w:rFonts w:ascii="Times New Roman" w:hAnsi="Times New Roman" w:cs="Times New Roman"/>
          <w:sz w:val="24"/>
          <w:szCs w:val="24"/>
        </w:rPr>
        <w:t xml:space="preserve"> moment </w:t>
      </w:r>
      <w:r w:rsidR="00493C72" w:rsidRPr="000C18E7">
        <w:rPr>
          <w:rFonts w:ascii="Times New Roman" w:hAnsi="Times New Roman" w:cs="Times New Roman"/>
          <w:sz w:val="24"/>
          <w:szCs w:val="24"/>
        </w:rPr>
        <w:t xml:space="preserve">that is most fortuitous to producing </w:t>
      </w:r>
      <w:r w:rsidR="006377B7" w:rsidRPr="000C18E7">
        <w:rPr>
          <w:rFonts w:ascii="Times New Roman" w:hAnsi="Times New Roman" w:cs="Times New Roman"/>
          <w:sz w:val="24"/>
          <w:szCs w:val="24"/>
        </w:rPr>
        <w:t xml:space="preserve">an increased majority.  Moreover, Prime Ministers as a general rule prefer not to call General Elections during the winter as the longer nights and colder climates may risk a) de-motivating activists who go canvassing </w:t>
      </w:r>
      <w:r w:rsidR="00493C72" w:rsidRPr="000C18E7">
        <w:rPr>
          <w:rFonts w:ascii="Times New Roman" w:hAnsi="Times New Roman" w:cs="Times New Roman"/>
          <w:sz w:val="24"/>
          <w:szCs w:val="24"/>
        </w:rPr>
        <w:lastRenderedPageBreak/>
        <w:t>and b) a reducing</w:t>
      </w:r>
      <w:r w:rsidR="006377B7" w:rsidRPr="000C18E7">
        <w:rPr>
          <w:rFonts w:ascii="Times New Roman" w:hAnsi="Times New Roman" w:cs="Times New Roman"/>
          <w:sz w:val="24"/>
          <w:szCs w:val="24"/>
        </w:rPr>
        <w:t xml:space="preserve"> turnout of supporters. The Prime Minister of the day also risks all when they go to the country, especially prematurely. </w:t>
      </w:r>
    </w:p>
    <w:p w14:paraId="0B639CB8" w14:textId="32137739" w:rsidR="00DE4BAF" w:rsidRPr="000C18E7" w:rsidRDefault="00B17524" w:rsidP="00806D17">
      <w:pPr>
        <w:spacing w:after="0" w:line="480" w:lineRule="auto"/>
        <w:ind w:firstLine="720"/>
        <w:jc w:val="both"/>
        <w:rPr>
          <w:rFonts w:ascii="Times New Roman" w:hAnsi="Times New Roman" w:cs="Times New Roman"/>
          <w:sz w:val="24"/>
          <w:szCs w:val="24"/>
        </w:rPr>
      </w:pPr>
      <w:r w:rsidRPr="000C18E7">
        <w:rPr>
          <w:rFonts w:ascii="Times New Roman" w:hAnsi="Times New Roman" w:cs="Times New Roman"/>
          <w:sz w:val="24"/>
          <w:szCs w:val="24"/>
        </w:rPr>
        <w:t>Heath was made well aware of what those risks were. Earlier in the Parliament</w:t>
      </w:r>
      <w:r w:rsidR="00493C72" w:rsidRPr="000C18E7">
        <w:rPr>
          <w:rFonts w:ascii="Times New Roman" w:hAnsi="Times New Roman" w:cs="Times New Roman"/>
          <w:sz w:val="24"/>
          <w:szCs w:val="24"/>
        </w:rPr>
        <w:t>,</w:t>
      </w:r>
      <w:r w:rsidRPr="000C18E7">
        <w:rPr>
          <w:rFonts w:ascii="Times New Roman" w:hAnsi="Times New Roman" w:cs="Times New Roman"/>
          <w:sz w:val="24"/>
          <w:szCs w:val="24"/>
        </w:rPr>
        <w:t xml:space="preserve"> Conservative Central Office and Research Department had given considerable thought to possible General Election dates prior to the necessary deadline of June 1975. Within their deliberations was the recommendation that a ‘snap’ General Election would not be advisable, and that one fought on a single issue could produce a ‘disturbing result’ as the ‘electorate or significant parts of it will not decide to vote about something else’ (CPA, SC/73/17, Memo by Michael Fraser, ‘Strategic Situation in 1973’, 14 February 1973).  The demands of being in office had left them less well prepared than they had been for the General Election in terms of protecting their own marginals and in terms of target</w:t>
      </w:r>
      <w:r w:rsidR="00A5729E" w:rsidRPr="000C18E7">
        <w:rPr>
          <w:rFonts w:ascii="Times New Roman" w:hAnsi="Times New Roman" w:cs="Times New Roman"/>
          <w:sz w:val="24"/>
          <w:szCs w:val="24"/>
        </w:rPr>
        <w:t>ing seats that they could gain</w:t>
      </w:r>
      <w:r w:rsidRPr="000C18E7">
        <w:rPr>
          <w:rFonts w:ascii="Times New Roman" w:hAnsi="Times New Roman" w:cs="Times New Roman"/>
          <w:sz w:val="24"/>
          <w:szCs w:val="24"/>
        </w:rPr>
        <w:t xml:space="preserve"> </w:t>
      </w:r>
      <w:r w:rsidR="00A5729E" w:rsidRPr="000C18E7">
        <w:rPr>
          <w:rFonts w:ascii="Times New Roman" w:hAnsi="Times New Roman" w:cs="Times New Roman"/>
          <w:sz w:val="24"/>
          <w:szCs w:val="24"/>
        </w:rPr>
        <w:t>(</w:t>
      </w:r>
      <w:r w:rsidRPr="000C18E7">
        <w:rPr>
          <w:rFonts w:ascii="Times New Roman" w:hAnsi="Times New Roman" w:cs="Times New Roman"/>
          <w:sz w:val="24"/>
          <w:szCs w:val="24"/>
        </w:rPr>
        <w:t>see for example, CPA, CCO, 20/8/16, ‘Letter from Michael Fraser to Edward Heath’, 26 May 1972)</w:t>
      </w:r>
      <w:r w:rsidR="00933555" w:rsidRPr="000C18E7">
        <w:rPr>
          <w:rFonts w:ascii="Times New Roman" w:hAnsi="Times New Roman" w:cs="Times New Roman"/>
          <w:sz w:val="24"/>
          <w:szCs w:val="24"/>
        </w:rPr>
        <w:t>.</w:t>
      </w:r>
      <w:r w:rsidR="00933555" w:rsidRPr="000C18E7">
        <w:rPr>
          <w:rFonts w:ascii="Times New Roman" w:hAnsi="Times New Roman" w:cs="Times New Roman"/>
          <w:color w:val="7030A0"/>
          <w:sz w:val="24"/>
          <w:szCs w:val="24"/>
        </w:rPr>
        <w:t xml:space="preserve"> </w:t>
      </w:r>
      <w:r w:rsidR="005053D8" w:rsidRPr="000C18E7">
        <w:rPr>
          <w:rFonts w:ascii="Times New Roman" w:hAnsi="Times New Roman" w:cs="Times New Roman"/>
          <w:sz w:val="24"/>
          <w:szCs w:val="24"/>
        </w:rPr>
        <w:t>It is also worth recalling that in the aftermath of winning power</w:t>
      </w:r>
      <w:r w:rsidR="00A5729E" w:rsidRPr="000C18E7">
        <w:rPr>
          <w:rFonts w:ascii="Times New Roman" w:hAnsi="Times New Roman" w:cs="Times New Roman"/>
          <w:sz w:val="24"/>
          <w:szCs w:val="24"/>
        </w:rPr>
        <w:t>,</w:t>
      </w:r>
      <w:r w:rsidR="005053D8" w:rsidRPr="000C18E7">
        <w:rPr>
          <w:rFonts w:ascii="Times New Roman" w:hAnsi="Times New Roman" w:cs="Times New Roman"/>
          <w:sz w:val="24"/>
          <w:szCs w:val="24"/>
        </w:rPr>
        <w:t xml:space="preserve"> Conservative strategists had calculated that in order to regain power at the General Election in June 1975 they ‘needed unemployment under half a million and inflation under six percent’ (CPA, CCO 500/24/278, ‘Report on the 1970 General Election’, 17 July 1970). </w:t>
      </w:r>
      <w:r w:rsidR="00DE4BAF" w:rsidRPr="000C18E7">
        <w:rPr>
          <w:rFonts w:ascii="Times New Roman" w:hAnsi="Times New Roman" w:cs="Times New Roman"/>
          <w:sz w:val="24"/>
          <w:szCs w:val="24"/>
        </w:rPr>
        <w:t>On both indicators</w:t>
      </w:r>
      <w:r w:rsidR="00A5729E" w:rsidRPr="000C18E7">
        <w:rPr>
          <w:rFonts w:ascii="Times New Roman" w:hAnsi="Times New Roman" w:cs="Times New Roman"/>
          <w:sz w:val="24"/>
          <w:szCs w:val="24"/>
        </w:rPr>
        <w:t>,</w:t>
      </w:r>
      <w:r w:rsidR="00DE4BAF" w:rsidRPr="000C18E7">
        <w:rPr>
          <w:rFonts w:ascii="Times New Roman" w:hAnsi="Times New Roman" w:cs="Times New Roman"/>
          <w:sz w:val="24"/>
          <w:szCs w:val="24"/>
        </w:rPr>
        <w:t xml:space="preserve"> the Heath admin</w:t>
      </w:r>
      <w:r w:rsidR="00A5729E" w:rsidRPr="000C18E7">
        <w:rPr>
          <w:rFonts w:ascii="Times New Roman" w:hAnsi="Times New Roman" w:cs="Times New Roman"/>
          <w:sz w:val="24"/>
          <w:szCs w:val="24"/>
        </w:rPr>
        <w:t>istration were clearly failing</w:t>
      </w:r>
      <w:r w:rsidR="00DE4BAF" w:rsidRPr="000C18E7">
        <w:rPr>
          <w:rFonts w:ascii="Times New Roman" w:hAnsi="Times New Roman" w:cs="Times New Roman"/>
          <w:sz w:val="24"/>
          <w:szCs w:val="24"/>
        </w:rPr>
        <w:t xml:space="preserve"> (as indicated in chapter five by James Silverwood, </w:t>
      </w:r>
      <w:r w:rsidR="009C3D11" w:rsidRPr="000C18E7">
        <w:rPr>
          <w:rFonts w:ascii="Times New Roman" w:hAnsi="Times New Roman" w:cs="Times New Roman"/>
          <w:sz w:val="24"/>
          <w:szCs w:val="24"/>
        </w:rPr>
        <w:t xml:space="preserve">unemployment </w:t>
      </w:r>
      <w:r w:rsidR="00A5729E" w:rsidRPr="000C18E7">
        <w:rPr>
          <w:rFonts w:ascii="Times New Roman" w:hAnsi="Times New Roman" w:cs="Times New Roman"/>
          <w:sz w:val="24"/>
          <w:szCs w:val="24"/>
        </w:rPr>
        <w:t xml:space="preserve">was </w:t>
      </w:r>
      <w:r w:rsidR="009C3D11" w:rsidRPr="000C18E7">
        <w:rPr>
          <w:rFonts w:ascii="Times New Roman" w:hAnsi="Times New Roman" w:cs="Times New Roman"/>
          <w:sz w:val="24"/>
          <w:szCs w:val="24"/>
        </w:rPr>
        <w:t xml:space="preserve">around 946,000 and inflation </w:t>
      </w:r>
      <w:r w:rsidR="00A5729E" w:rsidRPr="000C18E7">
        <w:rPr>
          <w:rFonts w:ascii="Times New Roman" w:hAnsi="Times New Roman" w:cs="Times New Roman"/>
          <w:sz w:val="24"/>
          <w:szCs w:val="24"/>
        </w:rPr>
        <w:t xml:space="preserve">was </w:t>
      </w:r>
      <w:r w:rsidR="009C3D11" w:rsidRPr="000C18E7">
        <w:rPr>
          <w:rFonts w:ascii="Times New Roman" w:hAnsi="Times New Roman" w:cs="Times New Roman"/>
          <w:sz w:val="24"/>
          <w:szCs w:val="24"/>
        </w:rPr>
        <w:t>at 8.4 percent at the end of 1973</w:t>
      </w:r>
      <w:r w:rsidR="00A5729E" w:rsidRPr="000C18E7">
        <w:rPr>
          <w:rFonts w:ascii="Times New Roman" w:hAnsi="Times New Roman" w:cs="Times New Roman"/>
          <w:sz w:val="24"/>
          <w:szCs w:val="24"/>
        </w:rPr>
        <w:t>), s</w:t>
      </w:r>
      <w:r w:rsidR="00DE4BAF" w:rsidRPr="000C18E7">
        <w:rPr>
          <w:rFonts w:ascii="Times New Roman" w:hAnsi="Times New Roman" w:cs="Times New Roman"/>
          <w:sz w:val="24"/>
          <w:szCs w:val="24"/>
        </w:rPr>
        <w:t>o</w:t>
      </w:r>
      <w:r w:rsidR="009C3D11" w:rsidRPr="000C18E7">
        <w:rPr>
          <w:rFonts w:ascii="Times New Roman" w:hAnsi="Times New Roman" w:cs="Times New Roman"/>
          <w:sz w:val="24"/>
          <w:szCs w:val="24"/>
        </w:rPr>
        <w:t xml:space="preserve"> there were clearly good reasons to remain in office and wait (hope) for the</w:t>
      </w:r>
      <w:r w:rsidR="009E0A6D" w:rsidRPr="000C18E7">
        <w:rPr>
          <w:rFonts w:ascii="Times New Roman" w:hAnsi="Times New Roman" w:cs="Times New Roman"/>
          <w:sz w:val="24"/>
          <w:szCs w:val="24"/>
        </w:rPr>
        <w:t>se indicators to improve by</w:t>
      </w:r>
      <w:r w:rsidR="009C3D11" w:rsidRPr="000C18E7">
        <w:rPr>
          <w:rFonts w:ascii="Times New Roman" w:hAnsi="Times New Roman" w:cs="Times New Roman"/>
          <w:sz w:val="24"/>
          <w:szCs w:val="24"/>
        </w:rPr>
        <w:t xml:space="preserve"> June 1975</w:t>
      </w:r>
      <w:r w:rsidR="009E0A6D" w:rsidRPr="000C18E7">
        <w:rPr>
          <w:rFonts w:ascii="Times New Roman" w:hAnsi="Times New Roman" w:cs="Times New Roman"/>
          <w:sz w:val="24"/>
          <w:szCs w:val="24"/>
        </w:rPr>
        <w:t xml:space="preserve"> (</w:t>
      </w:r>
      <w:r w:rsidR="00DE4BAF" w:rsidRPr="000C18E7">
        <w:rPr>
          <w:rFonts w:ascii="Times New Roman" w:hAnsi="Times New Roman" w:cs="Times New Roman"/>
          <w:sz w:val="24"/>
          <w:szCs w:val="24"/>
        </w:rPr>
        <w:t xml:space="preserve">for the economic policy record of the Conservatives under Heath, see Wade, 2013). </w:t>
      </w:r>
    </w:p>
    <w:p w14:paraId="530DDD7C" w14:textId="2FD18A91" w:rsidR="006834E2" w:rsidRPr="000C18E7" w:rsidRDefault="00B17524" w:rsidP="00806D17">
      <w:pPr>
        <w:spacing w:after="0" w:line="480" w:lineRule="auto"/>
        <w:ind w:firstLine="720"/>
        <w:jc w:val="both"/>
        <w:rPr>
          <w:rFonts w:ascii="Times New Roman" w:hAnsi="Times New Roman" w:cs="Times New Roman"/>
          <w:color w:val="7030A0"/>
          <w:sz w:val="24"/>
          <w:szCs w:val="24"/>
        </w:rPr>
      </w:pPr>
      <w:r w:rsidRPr="000C18E7">
        <w:rPr>
          <w:rFonts w:ascii="Times New Roman" w:hAnsi="Times New Roman" w:cs="Times New Roman"/>
          <w:sz w:val="24"/>
          <w:szCs w:val="24"/>
        </w:rPr>
        <w:t>Given these concerns about holding an earlier than necessary General Election then</w:t>
      </w:r>
      <w:r w:rsidR="00A5729E" w:rsidRPr="000C18E7">
        <w:rPr>
          <w:rFonts w:ascii="Times New Roman" w:hAnsi="Times New Roman" w:cs="Times New Roman"/>
          <w:sz w:val="24"/>
          <w:szCs w:val="24"/>
        </w:rPr>
        <w:t>,</w:t>
      </w:r>
      <w:r w:rsidRPr="000C18E7">
        <w:rPr>
          <w:rFonts w:ascii="Times New Roman" w:hAnsi="Times New Roman" w:cs="Times New Roman"/>
          <w:sz w:val="24"/>
          <w:szCs w:val="24"/>
        </w:rPr>
        <w:t xml:space="preserve"> the obvious question is what happened to make Heath feel as if he had no other option than go to the electorate in February 1974?</w:t>
      </w:r>
      <w:r w:rsidR="006834E2" w:rsidRPr="000C18E7">
        <w:rPr>
          <w:rFonts w:ascii="Times New Roman" w:hAnsi="Times New Roman" w:cs="Times New Roman"/>
          <w:sz w:val="24"/>
          <w:szCs w:val="24"/>
        </w:rPr>
        <w:t xml:space="preserve"> </w:t>
      </w:r>
    </w:p>
    <w:p w14:paraId="76473399" w14:textId="60E64BE2" w:rsidR="005763D1" w:rsidRPr="000C18E7" w:rsidRDefault="006834E2" w:rsidP="00806D17">
      <w:pPr>
        <w:spacing w:after="0" w:line="480" w:lineRule="auto"/>
        <w:ind w:firstLine="720"/>
        <w:jc w:val="both"/>
        <w:rPr>
          <w:rFonts w:ascii="Times New Roman" w:hAnsi="Times New Roman" w:cs="Times New Roman"/>
          <w:sz w:val="24"/>
          <w:szCs w:val="24"/>
        </w:rPr>
      </w:pPr>
      <w:r w:rsidRPr="000C18E7">
        <w:rPr>
          <w:rFonts w:ascii="Times New Roman" w:hAnsi="Times New Roman" w:cs="Times New Roman"/>
          <w:sz w:val="24"/>
          <w:szCs w:val="24"/>
        </w:rPr>
        <w:t>Ultimately, the decision to hold an early General Election was a response to the breakdown in negotiations with the National Union of Mineworkers</w:t>
      </w:r>
      <w:r w:rsidR="00F14E07" w:rsidRPr="000C18E7">
        <w:rPr>
          <w:rFonts w:ascii="Times New Roman" w:hAnsi="Times New Roman" w:cs="Times New Roman"/>
          <w:sz w:val="24"/>
          <w:szCs w:val="24"/>
        </w:rPr>
        <w:t xml:space="preserve"> (NUM)</w:t>
      </w:r>
      <w:r w:rsidR="00341C49" w:rsidRPr="000C18E7">
        <w:rPr>
          <w:rFonts w:ascii="Times New Roman" w:hAnsi="Times New Roman" w:cs="Times New Roman"/>
          <w:sz w:val="24"/>
          <w:szCs w:val="24"/>
        </w:rPr>
        <w:t xml:space="preserve"> in the winter of 1973-1974</w:t>
      </w:r>
      <w:r w:rsidR="004515C9" w:rsidRPr="000C18E7">
        <w:rPr>
          <w:rFonts w:ascii="Times New Roman" w:hAnsi="Times New Roman" w:cs="Times New Roman"/>
          <w:sz w:val="24"/>
          <w:szCs w:val="24"/>
        </w:rPr>
        <w:t xml:space="preserve"> (on the Heath government and the Trade Unions see </w:t>
      </w:r>
      <w:r w:rsidR="003A4A15" w:rsidRPr="000C18E7">
        <w:rPr>
          <w:rFonts w:ascii="Times New Roman" w:hAnsi="Times New Roman" w:cs="Times New Roman"/>
          <w:sz w:val="24"/>
          <w:szCs w:val="24"/>
        </w:rPr>
        <w:t>Seldon, 1988</w:t>
      </w:r>
      <w:r w:rsidR="005763D1" w:rsidRPr="000C18E7">
        <w:rPr>
          <w:rFonts w:ascii="Times New Roman" w:hAnsi="Times New Roman" w:cs="Times New Roman"/>
          <w:sz w:val="24"/>
          <w:szCs w:val="24"/>
        </w:rPr>
        <w:t xml:space="preserve">; </w:t>
      </w:r>
      <w:r w:rsidR="004515C9" w:rsidRPr="000C18E7">
        <w:rPr>
          <w:rFonts w:ascii="Times New Roman" w:hAnsi="Times New Roman" w:cs="Times New Roman"/>
          <w:sz w:val="24"/>
          <w:szCs w:val="24"/>
        </w:rPr>
        <w:t>Taylor, 1996).</w:t>
      </w:r>
      <w:r w:rsidR="001421B4" w:rsidRPr="000C18E7">
        <w:rPr>
          <w:rFonts w:ascii="Times New Roman" w:hAnsi="Times New Roman" w:cs="Times New Roman"/>
          <w:sz w:val="24"/>
          <w:szCs w:val="24"/>
        </w:rPr>
        <w:t xml:space="preserve"> </w:t>
      </w:r>
      <w:r w:rsidR="005C5767" w:rsidRPr="000C18E7">
        <w:rPr>
          <w:rFonts w:ascii="Times New Roman" w:hAnsi="Times New Roman" w:cs="Times New Roman"/>
          <w:sz w:val="24"/>
          <w:szCs w:val="24"/>
        </w:rPr>
        <w:t xml:space="preserve">Having been left humiliated by the Miners’ Strike of early 1972, which was resolved </w:t>
      </w:r>
      <w:r w:rsidR="00341C49" w:rsidRPr="000C18E7">
        <w:rPr>
          <w:rFonts w:ascii="Times New Roman" w:hAnsi="Times New Roman" w:cs="Times New Roman"/>
          <w:sz w:val="24"/>
          <w:szCs w:val="24"/>
        </w:rPr>
        <w:t xml:space="preserve">after the </w:t>
      </w:r>
      <w:r w:rsidR="005C5767" w:rsidRPr="000C18E7">
        <w:rPr>
          <w:rFonts w:ascii="Times New Roman" w:hAnsi="Times New Roman" w:cs="Times New Roman"/>
          <w:sz w:val="24"/>
          <w:szCs w:val="24"/>
        </w:rPr>
        <w:t xml:space="preserve">Heath administration </w:t>
      </w:r>
      <w:r w:rsidR="00341C49" w:rsidRPr="000C18E7">
        <w:rPr>
          <w:rFonts w:ascii="Times New Roman" w:hAnsi="Times New Roman" w:cs="Times New Roman"/>
          <w:sz w:val="24"/>
          <w:szCs w:val="24"/>
        </w:rPr>
        <w:t xml:space="preserve">broke their own </w:t>
      </w:r>
      <w:r w:rsidR="005C5767" w:rsidRPr="000C18E7">
        <w:rPr>
          <w:rFonts w:ascii="Times New Roman" w:hAnsi="Times New Roman" w:cs="Times New Roman"/>
          <w:sz w:val="24"/>
          <w:szCs w:val="24"/>
        </w:rPr>
        <w:t xml:space="preserve">informal wage restraint policy </w:t>
      </w:r>
      <w:r w:rsidR="00341C49" w:rsidRPr="000C18E7">
        <w:rPr>
          <w:rFonts w:ascii="Times New Roman" w:hAnsi="Times New Roman" w:cs="Times New Roman"/>
          <w:sz w:val="24"/>
          <w:szCs w:val="24"/>
        </w:rPr>
        <w:t>(Phillips, 2006), the Cabinet was determined that they should not back down again – as Ball argues a ‘second surrender to the NUM was out of the question’ (Ball, 1996: 345). The NUM went on an overtime ban in November 1973</w:t>
      </w:r>
      <w:r w:rsidR="005763D1" w:rsidRPr="000C18E7">
        <w:rPr>
          <w:rFonts w:ascii="Times New Roman" w:hAnsi="Times New Roman" w:cs="Times New Roman"/>
          <w:sz w:val="24"/>
          <w:szCs w:val="24"/>
        </w:rPr>
        <w:t xml:space="preserve"> as a</w:t>
      </w:r>
      <w:r w:rsidR="00A5729E" w:rsidRPr="000C18E7">
        <w:rPr>
          <w:rFonts w:ascii="Times New Roman" w:hAnsi="Times New Roman" w:cs="Times New Roman"/>
          <w:sz w:val="24"/>
          <w:szCs w:val="24"/>
        </w:rPr>
        <w:t xml:space="preserve"> response to</w:t>
      </w:r>
      <w:r w:rsidR="005763D1" w:rsidRPr="000C18E7">
        <w:rPr>
          <w:rFonts w:ascii="Times New Roman" w:hAnsi="Times New Roman" w:cs="Times New Roman"/>
          <w:sz w:val="24"/>
          <w:szCs w:val="24"/>
        </w:rPr>
        <w:t xml:space="preserve"> the pay award offered by the National Coal Board. </w:t>
      </w:r>
      <w:r w:rsidR="00341C49" w:rsidRPr="000C18E7">
        <w:rPr>
          <w:rFonts w:ascii="Times New Roman" w:hAnsi="Times New Roman" w:cs="Times New Roman"/>
          <w:sz w:val="24"/>
          <w:szCs w:val="24"/>
        </w:rPr>
        <w:t>With their action coinciding with the Yom Kippur War in the Middle East and the OPEC initiating increases in oil crisis</w:t>
      </w:r>
      <w:r w:rsidR="00A5729E" w:rsidRPr="000C18E7">
        <w:rPr>
          <w:rFonts w:ascii="Times New Roman" w:hAnsi="Times New Roman" w:cs="Times New Roman"/>
          <w:sz w:val="24"/>
          <w:szCs w:val="24"/>
        </w:rPr>
        <w:t>,</w:t>
      </w:r>
      <w:r w:rsidR="00341C49" w:rsidRPr="000C18E7">
        <w:rPr>
          <w:rFonts w:ascii="Times New Roman" w:hAnsi="Times New Roman" w:cs="Times New Roman"/>
          <w:sz w:val="24"/>
          <w:szCs w:val="24"/>
        </w:rPr>
        <w:t xml:space="preserve"> the Heath administration were not well </w:t>
      </w:r>
      <w:r w:rsidR="00341C49" w:rsidRPr="000C18E7">
        <w:rPr>
          <w:rFonts w:ascii="Times New Roman" w:hAnsi="Times New Roman" w:cs="Times New Roman"/>
          <w:sz w:val="24"/>
          <w:szCs w:val="24"/>
        </w:rPr>
        <w:lastRenderedPageBreak/>
        <w:t>positioned to withstand the impending energy crisis. Diminishing coal supp</w:t>
      </w:r>
      <w:r w:rsidR="00A5729E" w:rsidRPr="000C18E7">
        <w:rPr>
          <w:rFonts w:ascii="Times New Roman" w:hAnsi="Times New Roman" w:cs="Times New Roman"/>
          <w:sz w:val="24"/>
          <w:szCs w:val="24"/>
        </w:rPr>
        <w:t>lies and electricity power cuts</w:t>
      </w:r>
      <w:r w:rsidR="00341C49" w:rsidRPr="000C18E7">
        <w:rPr>
          <w:rFonts w:ascii="Times New Roman" w:hAnsi="Times New Roman" w:cs="Times New Roman"/>
          <w:sz w:val="24"/>
          <w:szCs w:val="24"/>
        </w:rPr>
        <w:t xml:space="preserve"> led to the imposition of the three-day week (</w:t>
      </w:r>
      <w:r w:rsidR="005763D1" w:rsidRPr="000C18E7">
        <w:rPr>
          <w:rFonts w:ascii="Times New Roman" w:hAnsi="Times New Roman" w:cs="Times New Roman"/>
          <w:sz w:val="24"/>
          <w:szCs w:val="24"/>
        </w:rPr>
        <w:t xml:space="preserve">Dorey, 1995: 65-91). </w:t>
      </w:r>
    </w:p>
    <w:p w14:paraId="1B9958D6" w14:textId="7D7FBF4F" w:rsidR="009459B9" w:rsidRPr="000C18E7" w:rsidRDefault="00341C49" w:rsidP="00806D17">
      <w:pPr>
        <w:spacing w:after="0" w:line="480" w:lineRule="auto"/>
        <w:ind w:firstLine="720"/>
        <w:jc w:val="both"/>
        <w:rPr>
          <w:rFonts w:ascii="Times New Roman" w:hAnsi="Times New Roman" w:cs="Times New Roman"/>
          <w:sz w:val="24"/>
          <w:szCs w:val="24"/>
        </w:rPr>
      </w:pPr>
      <w:r w:rsidRPr="000C18E7">
        <w:rPr>
          <w:rFonts w:ascii="Times New Roman" w:hAnsi="Times New Roman" w:cs="Times New Roman"/>
          <w:sz w:val="24"/>
          <w:szCs w:val="24"/>
        </w:rPr>
        <w:t xml:space="preserve">Neither of the options for Heath looked that attractive politically.  The first avenue out this national crisis, which was already undermining the perception of the government as being competent, was </w:t>
      </w:r>
      <w:r w:rsidR="00A96D98" w:rsidRPr="000C18E7">
        <w:rPr>
          <w:rFonts w:ascii="Times New Roman" w:hAnsi="Times New Roman" w:cs="Times New Roman"/>
          <w:sz w:val="24"/>
          <w:szCs w:val="24"/>
        </w:rPr>
        <w:t xml:space="preserve">for Heath </w:t>
      </w:r>
      <w:r w:rsidRPr="000C18E7">
        <w:rPr>
          <w:rFonts w:ascii="Times New Roman" w:hAnsi="Times New Roman" w:cs="Times New Roman"/>
          <w:sz w:val="24"/>
          <w:szCs w:val="24"/>
        </w:rPr>
        <w:t>to do wha</w:t>
      </w:r>
      <w:r w:rsidR="00A5729E" w:rsidRPr="000C18E7">
        <w:rPr>
          <w:rFonts w:ascii="Times New Roman" w:hAnsi="Times New Roman" w:cs="Times New Roman"/>
          <w:sz w:val="24"/>
          <w:szCs w:val="24"/>
        </w:rPr>
        <w:t>tever was necessary to get the m</w:t>
      </w:r>
      <w:r w:rsidRPr="000C18E7">
        <w:rPr>
          <w:rFonts w:ascii="Times New Roman" w:hAnsi="Times New Roman" w:cs="Times New Roman"/>
          <w:sz w:val="24"/>
          <w:szCs w:val="24"/>
        </w:rPr>
        <w:t>iners to end their action.</w:t>
      </w:r>
      <w:r w:rsidR="00A96D98" w:rsidRPr="000C18E7">
        <w:rPr>
          <w:rFonts w:ascii="Times New Roman" w:hAnsi="Times New Roman" w:cs="Times New Roman"/>
          <w:sz w:val="24"/>
          <w:szCs w:val="24"/>
        </w:rPr>
        <w:t xml:space="preserve"> Such a step might be deemed to be </w:t>
      </w:r>
      <w:r w:rsidRPr="000C18E7">
        <w:rPr>
          <w:rFonts w:ascii="Times New Roman" w:hAnsi="Times New Roman" w:cs="Times New Roman"/>
          <w:sz w:val="24"/>
          <w:szCs w:val="24"/>
        </w:rPr>
        <w:t xml:space="preserve">unacceptable </w:t>
      </w:r>
      <w:r w:rsidR="00A96D98" w:rsidRPr="000C18E7">
        <w:rPr>
          <w:rFonts w:ascii="Times New Roman" w:hAnsi="Times New Roman" w:cs="Times New Roman"/>
          <w:sz w:val="24"/>
          <w:szCs w:val="24"/>
        </w:rPr>
        <w:t>amongst some on the Conservative backbenchers and it would create an image of governing weakness. The second avenue that Heath could pursue was to call a General Election and having secured a new (and potentially) larger parliamentary majority, argue that the second Heath administration had been granted a mandate to withstand the demands of the Miners thus compelling them to back down</w:t>
      </w:r>
      <w:r w:rsidR="009459B9" w:rsidRPr="000C18E7">
        <w:rPr>
          <w:rFonts w:ascii="Times New Roman" w:hAnsi="Times New Roman" w:cs="Times New Roman"/>
          <w:sz w:val="24"/>
          <w:szCs w:val="24"/>
        </w:rPr>
        <w:t xml:space="preserve"> (</w:t>
      </w:r>
      <w:r w:rsidR="005763D1" w:rsidRPr="000C18E7">
        <w:rPr>
          <w:rFonts w:ascii="Times New Roman" w:hAnsi="Times New Roman" w:cs="Times New Roman"/>
          <w:sz w:val="24"/>
          <w:szCs w:val="24"/>
        </w:rPr>
        <w:t xml:space="preserve">Dorey, 1995: 65-91). </w:t>
      </w:r>
    </w:p>
    <w:p w14:paraId="2A168B45" w14:textId="73D334AC" w:rsidR="009459B9" w:rsidRPr="000C18E7" w:rsidRDefault="009459B9" w:rsidP="00806D17">
      <w:pPr>
        <w:spacing w:after="0" w:line="480" w:lineRule="auto"/>
        <w:ind w:firstLine="720"/>
        <w:jc w:val="both"/>
        <w:rPr>
          <w:rFonts w:ascii="Times New Roman" w:hAnsi="Times New Roman" w:cs="Times New Roman"/>
          <w:sz w:val="24"/>
          <w:szCs w:val="24"/>
        </w:rPr>
      </w:pPr>
      <w:r w:rsidRPr="000C18E7">
        <w:rPr>
          <w:rFonts w:ascii="Times New Roman" w:hAnsi="Times New Roman" w:cs="Times New Roman"/>
          <w:sz w:val="24"/>
          <w:szCs w:val="24"/>
        </w:rPr>
        <w:t>However, although Heath and the Cabinet reached what Kavanagh calls their ‘fatal decision’ in February 1974, rumours of a General Election, as a way out of the industrial relations impasse, had been circulating within the print media for weeks</w:t>
      </w:r>
      <w:r w:rsidR="007A161E" w:rsidRPr="000C18E7">
        <w:rPr>
          <w:rFonts w:ascii="Times New Roman" w:hAnsi="Times New Roman" w:cs="Times New Roman"/>
          <w:sz w:val="24"/>
          <w:szCs w:val="24"/>
        </w:rPr>
        <w:t xml:space="preserve"> (</w:t>
      </w:r>
      <w:r w:rsidRPr="000C18E7">
        <w:rPr>
          <w:rFonts w:ascii="Times New Roman" w:hAnsi="Times New Roman" w:cs="Times New Roman"/>
          <w:sz w:val="24"/>
          <w:szCs w:val="24"/>
        </w:rPr>
        <w:t>see for example, Greig, 1974; Hatfield, 1974, Clark, 1974a</w:t>
      </w:r>
      <w:r w:rsidR="007A161E" w:rsidRPr="000C18E7">
        <w:rPr>
          <w:rFonts w:ascii="Times New Roman" w:hAnsi="Times New Roman" w:cs="Times New Roman"/>
          <w:sz w:val="24"/>
          <w:szCs w:val="24"/>
        </w:rPr>
        <w:t>). Rumours focused in on a possible General Election</w:t>
      </w:r>
      <w:r w:rsidR="00A5729E" w:rsidRPr="000C18E7">
        <w:rPr>
          <w:rFonts w:ascii="Times New Roman" w:hAnsi="Times New Roman" w:cs="Times New Roman"/>
          <w:sz w:val="24"/>
          <w:szCs w:val="24"/>
        </w:rPr>
        <w:t xml:space="preserve"> date of February 7,</w:t>
      </w:r>
      <w:r w:rsidR="007A161E" w:rsidRPr="000C18E7">
        <w:rPr>
          <w:rFonts w:ascii="Times New Roman" w:hAnsi="Times New Roman" w:cs="Times New Roman"/>
          <w:sz w:val="24"/>
          <w:szCs w:val="24"/>
        </w:rPr>
        <w:t xml:space="preserve"> and for this to occur Heath and his Cabinet would have to make their decision to dissolve Parliament by January 17. If Heath and the Cabinet had made </w:t>
      </w:r>
      <w:r w:rsidR="00A5729E" w:rsidRPr="000C18E7">
        <w:rPr>
          <w:rFonts w:ascii="Times New Roman" w:hAnsi="Times New Roman" w:cs="Times New Roman"/>
          <w:sz w:val="24"/>
          <w:szCs w:val="24"/>
        </w:rPr>
        <w:t>their decision before January 17, t</w:t>
      </w:r>
      <w:r w:rsidR="007A161E" w:rsidRPr="000C18E7">
        <w:rPr>
          <w:rFonts w:ascii="Times New Roman" w:hAnsi="Times New Roman" w:cs="Times New Roman"/>
          <w:sz w:val="24"/>
          <w:szCs w:val="24"/>
        </w:rPr>
        <w:t>hen they would have launched the General Elect</w:t>
      </w:r>
      <w:r w:rsidR="00A5729E" w:rsidRPr="000C18E7">
        <w:rPr>
          <w:rFonts w:ascii="Times New Roman" w:hAnsi="Times New Roman" w:cs="Times New Roman"/>
          <w:sz w:val="24"/>
          <w:szCs w:val="24"/>
        </w:rPr>
        <w:t>ion campaign against the m</w:t>
      </w:r>
      <w:r w:rsidR="007A161E" w:rsidRPr="000C18E7">
        <w:rPr>
          <w:rFonts w:ascii="Times New Roman" w:hAnsi="Times New Roman" w:cs="Times New Roman"/>
          <w:sz w:val="24"/>
          <w:szCs w:val="24"/>
        </w:rPr>
        <w:t>iners’ overtime ban, but after that date had passed the NUM decided to call for a full strike (Kavanagh, 1996: 362-</w:t>
      </w:r>
      <w:r w:rsidR="00806D17" w:rsidRPr="000C18E7">
        <w:rPr>
          <w:rFonts w:ascii="Times New Roman" w:hAnsi="Times New Roman" w:cs="Times New Roman"/>
          <w:sz w:val="24"/>
          <w:szCs w:val="24"/>
        </w:rPr>
        <w:t>36</w:t>
      </w:r>
      <w:r w:rsidR="007A161E" w:rsidRPr="000C18E7">
        <w:rPr>
          <w:rFonts w:ascii="Times New Roman" w:hAnsi="Times New Roman" w:cs="Times New Roman"/>
          <w:sz w:val="24"/>
          <w:szCs w:val="24"/>
        </w:rPr>
        <w:t xml:space="preserve">3). </w:t>
      </w:r>
    </w:p>
    <w:p w14:paraId="2CCB64E7" w14:textId="2BA249D1" w:rsidR="009459B9" w:rsidRPr="000C18E7" w:rsidRDefault="00A96D98" w:rsidP="00806D17">
      <w:pPr>
        <w:spacing w:after="0" w:line="480" w:lineRule="auto"/>
        <w:ind w:firstLine="720"/>
        <w:jc w:val="both"/>
        <w:rPr>
          <w:rFonts w:ascii="Times New Roman" w:hAnsi="Times New Roman" w:cs="Times New Roman"/>
          <w:sz w:val="24"/>
          <w:szCs w:val="24"/>
        </w:rPr>
      </w:pPr>
      <w:r w:rsidRPr="000C18E7">
        <w:rPr>
          <w:rFonts w:ascii="Times New Roman" w:hAnsi="Times New Roman" w:cs="Times New Roman"/>
          <w:sz w:val="24"/>
          <w:szCs w:val="24"/>
        </w:rPr>
        <w:t xml:space="preserve">Heath </w:t>
      </w:r>
      <w:r w:rsidR="007A161E" w:rsidRPr="000C18E7">
        <w:rPr>
          <w:rFonts w:ascii="Times New Roman" w:hAnsi="Times New Roman" w:cs="Times New Roman"/>
          <w:sz w:val="24"/>
          <w:szCs w:val="24"/>
        </w:rPr>
        <w:t xml:space="preserve">had been </w:t>
      </w:r>
      <w:r w:rsidRPr="000C18E7">
        <w:rPr>
          <w:rFonts w:ascii="Times New Roman" w:hAnsi="Times New Roman" w:cs="Times New Roman"/>
          <w:sz w:val="24"/>
          <w:szCs w:val="24"/>
        </w:rPr>
        <w:t>le</w:t>
      </w:r>
      <w:r w:rsidR="007A161E" w:rsidRPr="000C18E7">
        <w:rPr>
          <w:rFonts w:ascii="Times New Roman" w:hAnsi="Times New Roman" w:cs="Times New Roman"/>
          <w:sz w:val="24"/>
          <w:szCs w:val="24"/>
        </w:rPr>
        <w:t>ading</w:t>
      </w:r>
      <w:r w:rsidRPr="000C18E7">
        <w:rPr>
          <w:rFonts w:ascii="Times New Roman" w:hAnsi="Times New Roman" w:cs="Times New Roman"/>
          <w:sz w:val="24"/>
          <w:szCs w:val="24"/>
        </w:rPr>
        <w:t xml:space="preserve"> a Cabinet that remained unsure of which </w:t>
      </w:r>
      <w:r w:rsidR="009459B9" w:rsidRPr="000C18E7">
        <w:rPr>
          <w:rFonts w:ascii="Times New Roman" w:hAnsi="Times New Roman" w:cs="Times New Roman"/>
          <w:sz w:val="24"/>
          <w:szCs w:val="24"/>
        </w:rPr>
        <w:t>avenue to pursue</w:t>
      </w:r>
      <w:r w:rsidR="007A161E" w:rsidRPr="000C18E7">
        <w:rPr>
          <w:rFonts w:ascii="Times New Roman" w:hAnsi="Times New Roman" w:cs="Times New Roman"/>
          <w:sz w:val="24"/>
          <w:szCs w:val="24"/>
        </w:rPr>
        <w:t xml:space="preserve"> </w:t>
      </w:r>
      <w:r w:rsidR="009459B9" w:rsidRPr="000C18E7">
        <w:rPr>
          <w:rFonts w:ascii="Times New Roman" w:hAnsi="Times New Roman" w:cs="Times New Roman"/>
          <w:sz w:val="24"/>
          <w:szCs w:val="24"/>
        </w:rPr>
        <w:t>(Butler and Kavanagh, 1974: 35</w:t>
      </w:r>
      <w:r w:rsidR="00A5729E" w:rsidRPr="000C18E7">
        <w:rPr>
          <w:rFonts w:ascii="Times New Roman" w:hAnsi="Times New Roman" w:cs="Times New Roman"/>
          <w:sz w:val="24"/>
          <w:szCs w:val="24"/>
        </w:rPr>
        <w:t xml:space="preserve">). For example, </w:t>
      </w:r>
      <w:r w:rsidR="009459B9" w:rsidRPr="000C18E7">
        <w:rPr>
          <w:rFonts w:ascii="Times New Roman" w:hAnsi="Times New Roman" w:cs="Times New Roman"/>
          <w:sz w:val="24"/>
          <w:szCs w:val="24"/>
        </w:rPr>
        <w:t>Peter Walker (President of the Board of Trade 1972-1974) felt that the argument that the miners constituted a special case was bogus and had favoured an earlier General Election (Walker, 1991: 125). In contrast, the Employment Secretary, William Whitelaw, attempted to persuade his Cabinet colleagues that when placed within the context of the oil price rise</w:t>
      </w:r>
      <w:r w:rsidR="00A5729E" w:rsidRPr="000C18E7">
        <w:rPr>
          <w:rFonts w:ascii="Times New Roman" w:hAnsi="Times New Roman" w:cs="Times New Roman"/>
          <w:sz w:val="24"/>
          <w:szCs w:val="24"/>
        </w:rPr>
        <w:t>,</w:t>
      </w:r>
      <w:r w:rsidR="009459B9" w:rsidRPr="000C18E7">
        <w:rPr>
          <w:rFonts w:ascii="Times New Roman" w:hAnsi="Times New Roman" w:cs="Times New Roman"/>
          <w:sz w:val="24"/>
          <w:szCs w:val="24"/>
        </w:rPr>
        <w:t xml:space="preserve"> then the miners constituted a special case and, as such he was opposed to a General Election (Whitelaw, 1991: 123-</w:t>
      </w:r>
      <w:r w:rsidR="00806D17" w:rsidRPr="000C18E7">
        <w:rPr>
          <w:rFonts w:ascii="Times New Roman" w:hAnsi="Times New Roman" w:cs="Times New Roman"/>
          <w:sz w:val="24"/>
          <w:szCs w:val="24"/>
        </w:rPr>
        <w:t>1</w:t>
      </w:r>
      <w:r w:rsidR="009459B9" w:rsidRPr="000C18E7">
        <w:rPr>
          <w:rFonts w:ascii="Times New Roman" w:hAnsi="Times New Roman" w:cs="Times New Roman"/>
          <w:sz w:val="24"/>
          <w:szCs w:val="24"/>
        </w:rPr>
        <w:t>32). Lord Carrington, Conservative Party Chair 1972-1974 would later reflect that H</w:t>
      </w:r>
      <w:r w:rsidR="00A5729E" w:rsidRPr="000C18E7">
        <w:rPr>
          <w:rFonts w:ascii="Times New Roman" w:hAnsi="Times New Roman" w:cs="Times New Roman"/>
          <w:sz w:val="24"/>
          <w:szCs w:val="24"/>
        </w:rPr>
        <w:t>eath was correct in deciding to</w:t>
      </w:r>
      <w:r w:rsidR="009459B9" w:rsidRPr="000C18E7">
        <w:rPr>
          <w:rFonts w:ascii="Times New Roman" w:hAnsi="Times New Roman" w:cs="Times New Roman"/>
          <w:sz w:val="24"/>
          <w:szCs w:val="24"/>
        </w:rPr>
        <w:t xml:space="preserve"> call a General Election, given the circumstances that he faced, but that he had delayed too long in reaching that decision (Carrington, 1988: 264-</w:t>
      </w:r>
      <w:r w:rsidR="00806D17" w:rsidRPr="000C18E7">
        <w:rPr>
          <w:rFonts w:ascii="Times New Roman" w:hAnsi="Times New Roman" w:cs="Times New Roman"/>
          <w:sz w:val="24"/>
          <w:szCs w:val="24"/>
        </w:rPr>
        <w:t>26</w:t>
      </w:r>
      <w:r w:rsidR="009459B9" w:rsidRPr="000C18E7">
        <w:rPr>
          <w:rFonts w:ascii="Times New Roman" w:hAnsi="Times New Roman" w:cs="Times New Roman"/>
          <w:sz w:val="24"/>
          <w:szCs w:val="24"/>
        </w:rPr>
        <w:t xml:space="preserve">6). </w:t>
      </w:r>
      <w:r w:rsidR="007A161E" w:rsidRPr="000C18E7">
        <w:rPr>
          <w:rFonts w:ascii="Times New Roman" w:hAnsi="Times New Roman" w:cs="Times New Roman"/>
          <w:sz w:val="24"/>
          <w:szCs w:val="24"/>
        </w:rPr>
        <w:t>What made Heath delay his decision for so long? Was it a sign of weakness – i.e. was Heath ‘dithering’ because having considered the possibility of h</w:t>
      </w:r>
      <w:r w:rsidR="00A5729E" w:rsidRPr="000C18E7">
        <w:rPr>
          <w:rFonts w:ascii="Times New Roman" w:hAnsi="Times New Roman" w:cs="Times New Roman"/>
          <w:sz w:val="24"/>
          <w:szCs w:val="24"/>
        </w:rPr>
        <w:t>olding a General Election, he</w:t>
      </w:r>
      <w:r w:rsidR="007A161E" w:rsidRPr="000C18E7">
        <w:rPr>
          <w:rFonts w:ascii="Times New Roman" w:hAnsi="Times New Roman" w:cs="Times New Roman"/>
          <w:sz w:val="24"/>
          <w:szCs w:val="24"/>
        </w:rPr>
        <w:t xml:space="preserve"> feared he might lose? (Ziegler, 2010: 423). Or was it a sign of arrogance – i.e. why rush into a General Election to solve the problem when given his abilities at negotiation and </w:t>
      </w:r>
      <w:r w:rsidR="007A161E" w:rsidRPr="000C18E7">
        <w:rPr>
          <w:rFonts w:ascii="Times New Roman" w:hAnsi="Times New Roman" w:cs="Times New Roman"/>
          <w:sz w:val="24"/>
          <w:szCs w:val="24"/>
        </w:rPr>
        <w:lastRenderedPageBreak/>
        <w:t xml:space="preserve">persuasion, Heath would be able to secure a compromise solution with the NUM – a position which Taylor describes as ‘self-confidence bordering on delusion’? (Taylor, 2005: 97). </w:t>
      </w:r>
    </w:p>
    <w:p w14:paraId="16EA6293" w14:textId="5297B25F" w:rsidR="003E2774" w:rsidRPr="000C18E7" w:rsidRDefault="007A161E" w:rsidP="00806D17">
      <w:pPr>
        <w:spacing w:after="0" w:line="480" w:lineRule="auto"/>
        <w:ind w:firstLine="720"/>
        <w:jc w:val="both"/>
        <w:rPr>
          <w:rFonts w:ascii="Times New Roman" w:hAnsi="Times New Roman" w:cs="Times New Roman"/>
          <w:sz w:val="24"/>
          <w:szCs w:val="24"/>
        </w:rPr>
      </w:pPr>
      <w:r w:rsidRPr="000C18E7">
        <w:rPr>
          <w:rFonts w:ascii="Times New Roman" w:hAnsi="Times New Roman" w:cs="Times New Roman"/>
          <w:sz w:val="24"/>
          <w:szCs w:val="24"/>
        </w:rPr>
        <w:t xml:space="preserve">In his memoirs </w:t>
      </w:r>
      <w:r w:rsidR="006834E2" w:rsidRPr="000C18E7">
        <w:rPr>
          <w:rFonts w:ascii="Times New Roman" w:hAnsi="Times New Roman" w:cs="Times New Roman"/>
          <w:sz w:val="24"/>
          <w:szCs w:val="24"/>
        </w:rPr>
        <w:t xml:space="preserve">Heath </w:t>
      </w:r>
      <w:r w:rsidRPr="000C18E7">
        <w:rPr>
          <w:rFonts w:ascii="Times New Roman" w:hAnsi="Times New Roman" w:cs="Times New Roman"/>
          <w:sz w:val="24"/>
          <w:szCs w:val="24"/>
        </w:rPr>
        <w:t xml:space="preserve">rationalised his decision on the following grounds. He </w:t>
      </w:r>
      <w:r w:rsidR="006834E2" w:rsidRPr="000C18E7">
        <w:rPr>
          <w:rFonts w:ascii="Times New Roman" w:hAnsi="Times New Roman" w:cs="Times New Roman"/>
          <w:sz w:val="24"/>
          <w:szCs w:val="24"/>
        </w:rPr>
        <w:t xml:space="preserve">recalled that the </w:t>
      </w:r>
      <w:r w:rsidRPr="000C18E7">
        <w:rPr>
          <w:rFonts w:ascii="Times New Roman" w:hAnsi="Times New Roman" w:cs="Times New Roman"/>
          <w:sz w:val="24"/>
          <w:szCs w:val="24"/>
        </w:rPr>
        <w:t>NUM had</w:t>
      </w:r>
      <w:r w:rsidR="006834E2" w:rsidRPr="000C18E7">
        <w:rPr>
          <w:rFonts w:ascii="Times New Roman" w:hAnsi="Times New Roman" w:cs="Times New Roman"/>
          <w:sz w:val="24"/>
          <w:szCs w:val="24"/>
        </w:rPr>
        <w:t xml:space="preserve"> ‘decided to hold a ballot on an all-out strike’ and ‘asked union members whether they supported the line of the executive’ (Heath, 1998: 511). </w:t>
      </w:r>
      <w:r w:rsidRPr="000C18E7">
        <w:rPr>
          <w:rFonts w:ascii="Times New Roman" w:hAnsi="Times New Roman" w:cs="Times New Roman"/>
          <w:sz w:val="24"/>
          <w:szCs w:val="24"/>
        </w:rPr>
        <w:t>Heath regarded this</w:t>
      </w:r>
      <w:r w:rsidR="006834E2" w:rsidRPr="000C18E7">
        <w:rPr>
          <w:rFonts w:ascii="Times New Roman" w:hAnsi="Times New Roman" w:cs="Times New Roman"/>
          <w:sz w:val="24"/>
          <w:szCs w:val="24"/>
        </w:rPr>
        <w:t xml:space="preserve"> a</w:t>
      </w:r>
      <w:r w:rsidRPr="000C18E7">
        <w:rPr>
          <w:rFonts w:ascii="Times New Roman" w:hAnsi="Times New Roman" w:cs="Times New Roman"/>
          <w:sz w:val="24"/>
          <w:szCs w:val="24"/>
        </w:rPr>
        <w:t>s</w:t>
      </w:r>
      <w:r w:rsidR="006834E2" w:rsidRPr="000C18E7">
        <w:rPr>
          <w:rFonts w:ascii="Times New Roman" w:hAnsi="Times New Roman" w:cs="Times New Roman"/>
          <w:sz w:val="24"/>
          <w:szCs w:val="24"/>
        </w:rPr>
        <w:t xml:space="preserve"> direct challenge to his political authority. Moreover, given ‘more than 80 per cent of those voting [wanted] a complete stoppage’ from 4 February he believed he had ‘no further room for manoeuvre’ in finding a negotiated settlement with them (Heath, 1998: 511). </w:t>
      </w:r>
      <w:r w:rsidRPr="000C18E7">
        <w:rPr>
          <w:rFonts w:ascii="Times New Roman" w:hAnsi="Times New Roman" w:cs="Times New Roman"/>
          <w:sz w:val="24"/>
          <w:szCs w:val="24"/>
        </w:rPr>
        <w:t>As a consequence, he concluded</w:t>
      </w:r>
      <w:r w:rsidR="006834E2" w:rsidRPr="000C18E7">
        <w:rPr>
          <w:rFonts w:ascii="Times New Roman" w:hAnsi="Times New Roman" w:cs="Times New Roman"/>
          <w:sz w:val="24"/>
          <w:szCs w:val="24"/>
        </w:rPr>
        <w:t xml:space="preserve"> that ‘there was now only one possible course of action’ and that was to ask ‘the British people to raise “the truth and familiar voice of Britain – the voice of moderation and courage”’ (Heath, 1998: 511). </w:t>
      </w:r>
    </w:p>
    <w:p w14:paraId="5B5F370D" w14:textId="2C1255CF" w:rsidR="00F14E07" w:rsidRPr="000C18E7" w:rsidRDefault="001250E7" w:rsidP="00806D17">
      <w:pPr>
        <w:spacing w:after="0" w:line="480" w:lineRule="auto"/>
        <w:ind w:firstLine="720"/>
        <w:jc w:val="both"/>
        <w:rPr>
          <w:rFonts w:ascii="Times New Roman" w:hAnsi="Times New Roman" w:cs="Times New Roman"/>
          <w:sz w:val="24"/>
          <w:szCs w:val="24"/>
        </w:rPr>
      </w:pPr>
      <w:r w:rsidRPr="000C18E7">
        <w:rPr>
          <w:rFonts w:ascii="Times New Roman" w:hAnsi="Times New Roman" w:cs="Times New Roman"/>
          <w:sz w:val="24"/>
          <w:szCs w:val="24"/>
        </w:rPr>
        <w:t>Heath delivered a Prime Ministerial broadcast to the nation to justify the need for holding a General Election: ‘do you want a strong Government which has clear authority for the future to take decisions which will be needed?’ (</w:t>
      </w:r>
      <w:r w:rsidR="00C64A75" w:rsidRPr="000C18E7">
        <w:rPr>
          <w:rFonts w:ascii="Times New Roman" w:hAnsi="Times New Roman" w:cs="Times New Roman"/>
          <w:sz w:val="24"/>
          <w:szCs w:val="24"/>
        </w:rPr>
        <w:t>TNA: PRO, PREM 15/2128, ‘Text of Ministerial Broadcast’, 7 February 1974</w:t>
      </w:r>
      <w:r w:rsidR="00EC218B" w:rsidRPr="000C18E7">
        <w:rPr>
          <w:rFonts w:ascii="Times New Roman" w:hAnsi="Times New Roman" w:cs="Times New Roman"/>
          <w:sz w:val="24"/>
          <w:szCs w:val="24"/>
        </w:rPr>
        <w:t>).</w:t>
      </w:r>
      <w:r w:rsidR="00B8522A" w:rsidRPr="000C18E7">
        <w:rPr>
          <w:rFonts w:ascii="Times New Roman" w:hAnsi="Times New Roman" w:cs="Times New Roman"/>
          <w:sz w:val="24"/>
          <w:szCs w:val="24"/>
        </w:rPr>
        <w:t xml:space="preserve"> By framing the question in this manner, Heath shift</w:t>
      </w:r>
      <w:r w:rsidR="003E2774" w:rsidRPr="000C18E7">
        <w:rPr>
          <w:rFonts w:ascii="Times New Roman" w:hAnsi="Times New Roman" w:cs="Times New Roman"/>
          <w:sz w:val="24"/>
          <w:szCs w:val="24"/>
        </w:rPr>
        <w:t>ed</w:t>
      </w:r>
      <w:r w:rsidR="00B8522A" w:rsidRPr="000C18E7">
        <w:rPr>
          <w:rFonts w:ascii="Times New Roman" w:hAnsi="Times New Roman" w:cs="Times New Roman"/>
          <w:sz w:val="24"/>
          <w:szCs w:val="24"/>
        </w:rPr>
        <w:t xml:space="preserve"> the decision of how to govern onto the voters. Put simply, this strategy s</w:t>
      </w:r>
      <w:r w:rsidR="003E2774" w:rsidRPr="000C18E7">
        <w:rPr>
          <w:rFonts w:ascii="Times New Roman" w:hAnsi="Times New Roman" w:cs="Times New Roman"/>
          <w:sz w:val="24"/>
          <w:szCs w:val="24"/>
        </w:rPr>
        <w:t>ought</w:t>
      </w:r>
      <w:r w:rsidR="00B8522A" w:rsidRPr="000C18E7">
        <w:rPr>
          <w:rFonts w:ascii="Times New Roman" w:hAnsi="Times New Roman" w:cs="Times New Roman"/>
          <w:sz w:val="24"/>
          <w:szCs w:val="24"/>
        </w:rPr>
        <w:t xml:space="preserve"> the support of the British people in his government and</w:t>
      </w:r>
      <w:r w:rsidR="003E2774" w:rsidRPr="000C18E7">
        <w:rPr>
          <w:rFonts w:ascii="Times New Roman" w:hAnsi="Times New Roman" w:cs="Times New Roman"/>
          <w:sz w:val="24"/>
          <w:szCs w:val="24"/>
        </w:rPr>
        <w:t xml:space="preserve"> their</w:t>
      </w:r>
      <w:r w:rsidR="00B8522A" w:rsidRPr="000C18E7">
        <w:rPr>
          <w:rFonts w:ascii="Times New Roman" w:hAnsi="Times New Roman" w:cs="Times New Roman"/>
          <w:sz w:val="24"/>
          <w:szCs w:val="24"/>
        </w:rPr>
        <w:t xml:space="preserve"> broader economic strategy</w:t>
      </w:r>
      <w:r w:rsidR="003E2774" w:rsidRPr="000C18E7">
        <w:rPr>
          <w:rFonts w:ascii="Times New Roman" w:hAnsi="Times New Roman" w:cs="Times New Roman"/>
          <w:sz w:val="24"/>
          <w:szCs w:val="24"/>
        </w:rPr>
        <w:t xml:space="preserve"> and</w:t>
      </w:r>
      <w:r w:rsidR="00B8522A" w:rsidRPr="000C18E7">
        <w:rPr>
          <w:rFonts w:ascii="Times New Roman" w:hAnsi="Times New Roman" w:cs="Times New Roman"/>
          <w:sz w:val="24"/>
          <w:szCs w:val="24"/>
        </w:rPr>
        <w:t xml:space="preserve"> </w:t>
      </w:r>
      <w:r w:rsidR="003E2774" w:rsidRPr="000C18E7">
        <w:rPr>
          <w:rFonts w:ascii="Times New Roman" w:hAnsi="Times New Roman" w:cs="Times New Roman"/>
          <w:sz w:val="24"/>
          <w:szCs w:val="24"/>
        </w:rPr>
        <w:t>h</w:t>
      </w:r>
      <w:r w:rsidR="00B8522A" w:rsidRPr="000C18E7">
        <w:rPr>
          <w:rFonts w:ascii="Times New Roman" w:hAnsi="Times New Roman" w:cs="Times New Roman"/>
          <w:sz w:val="24"/>
          <w:szCs w:val="24"/>
        </w:rPr>
        <w:t>e continue</w:t>
      </w:r>
      <w:r w:rsidR="003E2774" w:rsidRPr="000C18E7">
        <w:rPr>
          <w:rFonts w:ascii="Times New Roman" w:hAnsi="Times New Roman" w:cs="Times New Roman"/>
          <w:sz w:val="24"/>
          <w:szCs w:val="24"/>
        </w:rPr>
        <w:t>d</w:t>
      </w:r>
      <w:r w:rsidR="00B8522A" w:rsidRPr="000C18E7">
        <w:rPr>
          <w:rFonts w:ascii="Times New Roman" w:hAnsi="Times New Roman" w:cs="Times New Roman"/>
          <w:sz w:val="24"/>
          <w:szCs w:val="24"/>
        </w:rPr>
        <w:t xml:space="preserve"> by asking ‘do you want Parliament and the elected Government to continue to fight strenuously against inflation?’ </w:t>
      </w:r>
      <w:r w:rsidR="003E2774" w:rsidRPr="000C18E7">
        <w:rPr>
          <w:rFonts w:ascii="Times New Roman" w:hAnsi="Times New Roman" w:cs="Times New Roman"/>
          <w:sz w:val="24"/>
          <w:szCs w:val="24"/>
        </w:rPr>
        <w:t xml:space="preserve">(TNA: PRO, PREM 15/2128, ‘Text of Ministerial Broadcast’, 7 February 1974). </w:t>
      </w:r>
      <w:r w:rsidR="00B8522A" w:rsidRPr="000C18E7">
        <w:rPr>
          <w:rFonts w:ascii="Times New Roman" w:hAnsi="Times New Roman" w:cs="Times New Roman"/>
          <w:sz w:val="24"/>
          <w:szCs w:val="24"/>
        </w:rPr>
        <w:t xml:space="preserve">Here Heath </w:t>
      </w:r>
      <w:r w:rsidR="003E2774" w:rsidRPr="000C18E7">
        <w:rPr>
          <w:rFonts w:ascii="Times New Roman" w:hAnsi="Times New Roman" w:cs="Times New Roman"/>
          <w:sz w:val="24"/>
          <w:szCs w:val="24"/>
        </w:rPr>
        <w:t>wa</w:t>
      </w:r>
      <w:r w:rsidR="00B8522A" w:rsidRPr="000C18E7">
        <w:rPr>
          <w:rFonts w:ascii="Times New Roman" w:hAnsi="Times New Roman" w:cs="Times New Roman"/>
          <w:sz w:val="24"/>
          <w:szCs w:val="24"/>
        </w:rPr>
        <w:t xml:space="preserve">s arguing that inflation </w:t>
      </w:r>
      <w:r w:rsidR="003E2774" w:rsidRPr="000C18E7">
        <w:rPr>
          <w:rFonts w:ascii="Times New Roman" w:hAnsi="Times New Roman" w:cs="Times New Roman"/>
          <w:sz w:val="24"/>
          <w:szCs w:val="24"/>
        </w:rPr>
        <w:t>was</w:t>
      </w:r>
      <w:r w:rsidR="00B8522A" w:rsidRPr="000C18E7">
        <w:rPr>
          <w:rFonts w:ascii="Times New Roman" w:hAnsi="Times New Roman" w:cs="Times New Roman"/>
          <w:sz w:val="24"/>
          <w:szCs w:val="24"/>
        </w:rPr>
        <w:t xml:space="preserve"> </w:t>
      </w:r>
      <w:r w:rsidR="003E2774" w:rsidRPr="000C18E7">
        <w:rPr>
          <w:rFonts w:ascii="Times New Roman" w:hAnsi="Times New Roman" w:cs="Times New Roman"/>
          <w:sz w:val="24"/>
          <w:szCs w:val="24"/>
        </w:rPr>
        <w:t xml:space="preserve">the </w:t>
      </w:r>
      <w:r w:rsidR="00B8522A" w:rsidRPr="000C18E7">
        <w:rPr>
          <w:rFonts w:ascii="Times New Roman" w:hAnsi="Times New Roman" w:cs="Times New Roman"/>
          <w:sz w:val="24"/>
          <w:szCs w:val="24"/>
        </w:rPr>
        <w:t>key issue that need</w:t>
      </w:r>
      <w:r w:rsidR="003E2774" w:rsidRPr="000C18E7">
        <w:rPr>
          <w:rFonts w:ascii="Times New Roman" w:hAnsi="Times New Roman" w:cs="Times New Roman"/>
          <w:sz w:val="24"/>
          <w:szCs w:val="24"/>
        </w:rPr>
        <w:t>ed</w:t>
      </w:r>
      <w:r w:rsidR="00B8522A" w:rsidRPr="000C18E7">
        <w:rPr>
          <w:rFonts w:ascii="Times New Roman" w:hAnsi="Times New Roman" w:cs="Times New Roman"/>
          <w:sz w:val="24"/>
          <w:szCs w:val="24"/>
        </w:rPr>
        <w:t xml:space="preserve"> to be addressed rather than the traditional fight against unemployment. Arguably this represent</w:t>
      </w:r>
      <w:r w:rsidR="003E2774" w:rsidRPr="000C18E7">
        <w:rPr>
          <w:rFonts w:ascii="Times New Roman" w:hAnsi="Times New Roman" w:cs="Times New Roman"/>
          <w:sz w:val="24"/>
          <w:szCs w:val="24"/>
        </w:rPr>
        <w:t>ed</w:t>
      </w:r>
      <w:r w:rsidR="00B8522A" w:rsidRPr="000C18E7">
        <w:rPr>
          <w:rFonts w:ascii="Times New Roman" w:hAnsi="Times New Roman" w:cs="Times New Roman"/>
          <w:sz w:val="24"/>
          <w:szCs w:val="24"/>
        </w:rPr>
        <w:t xml:space="preserve"> an emphasis upon fiscal responsibility from which Heath </w:t>
      </w:r>
      <w:r w:rsidR="003E2774" w:rsidRPr="000C18E7">
        <w:rPr>
          <w:rFonts w:ascii="Times New Roman" w:hAnsi="Times New Roman" w:cs="Times New Roman"/>
          <w:sz w:val="24"/>
          <w:szCs w:val="24"/>
        </w:rPr>
        <w:t xml:space="preserve">was </w:t>
      </w:r>
      <w:r w:rsidR="00B8522A" w:rsidRPr="000C18E7">
        <w:rPr>
          <w:rFonts w:ascii="Times New Roman" w:hAnsi="Times New Roman" w:cs="Times New Roman"/>
          <w:sz w:val="24"/>
          <w:szCs w:val="24"/>
        </w:rPr>
        <w:t xml:space="preserve">seeking a </w:t>
      </w:r>
      <w:r w:rsidR="003E2774" w:rsidRPr="000C18E7">
        <w:rPr>
          <w:rFonts w:ascii="Times New Roman" w:hAnsi="Times New Roman" w:cs="Times New Roman"/>
          <w:sz w:val="24"/>
          <w:szCs w:val="24"/>
        </w:rPr>
        <w:t xml:space="preserve">new </w:t>
      </w:r>
      <w:r w:rsidR="00B8522A" w:rsidRPr="000C18E7">
        <w:rPr>
          <w:rFonts w:ascii="Times New Roman" w:hAnsi="Times New Roman" w:cs="Times New Roman"/>
          <w:sz w:val="24"/>
          <w:szCs w:val="24"/>
        </w:rPr>
        <w:t>mandate. He then negatively pose</w:t>
      </w:r>
      <w:r w:rsidR="003E2774" w:rsidRPr="000C18E7">
        <w:rPr>
          <w:rFonts w:ascii="Times New Roman" w:hAnsi="Times New Roman" w:cs="Times New Roman"/>
          <w:sz w:val="24"/>
          <w:szCs w:val="24"/>
        </w:rPr>
        <w:t xml:space="preserve">d </w:t>
      </w:r>
      <w:r w:rsidR="00B8522A" w:rsidRPr="000C18E7">
        <w:rPr>
          <w:rFonts w:ascii="Times New Roman" w:hAnsi="Times New Roman" w:cs="Times New Roman"/>
          <w:sz w:val="24"/>
          <w:szCs w:val="24"/>
        </w:rPr>
        <w:t xml:space="preserve">the alternative, saying ‘or do you want them to abandon the struggle against rising prices under pressure from one particularly powerful group of workers?’ </w:t>
      </w:r>
      <w:r w:rsidR="003E2774" w:rsidRPr="000C18E7">
        <w:rPr>
          <w:rFonts w:ascii="Times New Roman" w:hAnsi="Times New Roman" w:cs="Times New Roman"/>
          <w:sz w:val="24"/>
          <w:szCs w:val="24"/>
        </w:rPr>
        <w:t xml:space="preserve">(TNA: PRO, PREM 15/2128, ‘Text of Ministerial Broadcast’, 7 February 1974). </w:t>
      </w:r>
      <w:r w:rsidR="00B8522A" w:rsidRPr="000C18E7">
        <w:rPr>
          <w:rFonts w:ascii="Times New Roman" w:hAnsi="Times New Roman" w:cs="Times New Roman"/>
          <w:sz w:val="24"/>
          <w:szCs w:val="24"/>
        </w:rPr>
        <w:t xml:space="preserve">By legitimising </w:t>
      </w:r>
      <w:r w:rsidR="003E2774" w:rsidRPr="000C18E7">
        <w:rPr>
          <w:rFonts w:ascii="Times New Roman" w:hAnsi="Times New Roman" w:cs="Times New Roman"/>
          <w:sz w:val="24"/>
          <w:szCs w:val="24"/>
        </w:rPr>
        <w:t>an</w:t>
      </w:r>
      <w:r w:rsidR="00B8522A" w:rsidRPr="000C18E7">
        <w:rPr>
          <w:rFonts w:ascii="Times New Roman" w:hAnsi="Times New Roman" w:cs="Times New Roman"/>
          <w:sz w:val="24"/>
          <w:szCs w:val="24"/>
        </w:rPr>
        <w:t xml:space="preserve"> early </w:t>
      </w:r>
      <w:r w:rsidR="003E2774" w:rsidRPr="000C18E7">
        <w:rPr>
          <w:rFonts w:ascii="Times New Roman" w:hAnsi="Times New Roman" w:cs="Times New Roman"/>
          <w:sz w:val="24"/>
          <w:szCs w:val="24"/>
        </w:rPr>
        <w:t>General E</w:t>
      </w:r>
      <w:r w:rsidR="00B8522A" w:rsidRPr="000C18E7">
        <w:rPr>
          <w:rFonts w:ascii="Times New Roman" w:hAnsi="Times New Roman" w:cs="Times New Roman"/>
          <w:sz w:val="24"/>
          <w:szCs w:val="24"/>
        </w:rPr>
        <w:t xml:space="preserve">lection in this way, Heath </w:t>
      </w:r>
      <w:r w:rsidR="003E2774" w:rsidRPr="000C18E7">
        <w:rPr>
          <w:rFonts w:ascii="Times New Roman" w:hAnsi="Times New Roman" w:cs="Times New Roman"/>
          <w:sz w:val="24"/>
          <w:szCs w:val="24"/>
        </w:rPr>
        <w:t>was</w:t>
      </w:r>
      <w:r w:rsidR="00B8522A" w:rsidRPr="000C18E7">
        <w:rPr>
          <w:rFonts w:ascii="Times New Roman" w:hAnsi="Times New Roman" w:cs="Times New Roman"/>
          <w:sz w:val="24"/>
          <w:szCs w:val="24"/>
        </w:rPr>
        <w:t xml:space="preserve"> </w:t>
      </w:r>
      <w:r w:rsidR="003E2774" w:rsidRPr="000C18E7">
        <w:rPr>
          <w:rFonts w:ascii="Times New Roman" w:hAnsi="Times New Roman" w:cs="Times New Roman"/>
          <w:sz w:val="24"/>
          <w:szCs w:val="24"/>
        </w:rPr>
        <w:t>attempting</w:t>
      </w:r>
      <w:r w:rsidR="00B8522A" w:rsidRPr="000C18E7">
        <w:rPr>
          <w:rFonts w:ascii="Times New Roman" w:hAnsi="Times New Roman" w:cs="Times New Roman"/>
          <w:sz w:val="24"/>
          <w:szCs w:val="24"/>
        </w:rPr>
        <w:t xml:space="preserve"> to frame the problems facing Britain as a clash of ideas whilst presenting himself as the solution</w:t>
      </w:r>
      <w:r w:rsidR="00F14E07" w:rsidRPr="000C18E7">
        <w:rPr>
          <w:rFonts w:ascii="Times New Roman" w:hAnsi="Times New Roman" w:cs="Times New Roman"/>
          <w:sz w:val="24"/>
          <w:szCs w:val="24"/>
        </w:rPr>
        <w:t xml:space="preserve">: </w:t>
      </w:r>
    </w:p>
    <w:p w14:paraId="34F0E7EF" w14:textId="77777777" w:rsidR="00F14E07" w:rsidRPr="000C18E7" w:rsidRDefault="00F14E07" w:rsidP="00806D17">
      <w:pPr>
        <w:spacing w:after="0" w:line="480" w:lineRule="auto"/>
        <w:ind w:firstLine="720"/>
        <w:jc w:val="both"/>
        <w:rPr>
          <w:rFonts w:ascii="Times New Roman" w:hAnsi="Times New Roman" w:cs="Times New Roman"/>
          <w:sz w:val="24"/>
          <w:szCs w:val="24"/>
        </w:rPr>
      </w:pPr>
    </w:p>
    <w:p w14:paraId="76B28F9A" w14:textId="6B137E69" w:rsidR="00F14E07" w:rsidRPr="000C18E7" w:rsidRDefault="00B8522A" w:rsidP="00806D17">
      <w:pPr>
        <w:pStyle w:val="ListParagraph"/>
        <w:numPr>
          <w:ilvl w:val="0"/>
          <w:numId w:val="7"/>
        </w:numPr>
        <w:spacing w:after="0" w:line="480" w:lineRule="auto"/>
        <w:jc w:val="both"/>
        <w:rPr>
          <w:rFonts w:ascii="Times New Roman" w:hAnsi="Times New Roman" w:cs="Times New Roman"/>
          <w:sz w:val="24"/>
          <w:szCs w:val="24"/>
        </w:rPr>
      </w:pPr>
      <w:r w:rsidRPr="000C18E7">
        <w:rPr>
          <w:rFonts w:ascii="Times New Roman" w:hAnsi="Times New Roman" w:cs="Times New Roman"/>
          <w:sz w:val="24"/>
          <w:szCs w:val="24"/>
        </w:rPr>
        <w:t>‘this time of strife has got to stop. Only you can stop it. It's time for you to speak—with your vote’</w:t>
      </w:r>
      <w:r w:rsidR="00F14E07" w:rsidRPr="000C18E7">
        <w:rPr>
          <w:rFonts w:ascii="Times New Roman" w:hAnsi="Times New Roman" w:cs="Times New Roman"/>
          <w:sz w:val="24"/>
          <w:szCs w:val="24"/>
        </w:rPr>
        <w:t>;</w:t>
      </w:r>
    </w:p>
    <w:p w14:paraId="5D5087A4" w14:textId="30536741" w:rsidR="00F14E07" w:rsidRPr="000C18E7" w:rsidRDefault="00F14E07" w:rsidP="00806D17">
      <w:pPr>
        <w:pStyle w:val="ListParagraph"/>
        <w:numPr>
          <w:ilvl w:val="0"/>
          <w:numId w:val="7"/>
        </w:numPr>
        <w:spacing w:after="0" w:line="480" w:lineRule="auto"/>
        <w:jc w:val="both"/>
        <w:rPr>
          <w:rFonts w:ascii="Times New Roman" w:hAnsi="Times New Roman" w:cs="Times New Roman"/>
          <w:sz w:val="24"/>
          <w:szCs w:val="24"/>
        </w:rPr>
      </w:pPr>
      <w:r w:rsidRPr="000C18E7">
        <w:rPr>
          <w:rFonts w:ascii="Times New Roman" w:hAnsi="Times New Roman" w:cs="Times New Roman"/>
          <w:sz w:val="24"/>
          <w:szCs w:val="24"/>
        </w:rPr>
        <w:t xml:space="preserve">‘it's time for you to say to the extremists, the militants, and the plain and simply misguided: we've had enough’; </w:t>
      </w:r>
    </w:p>
    <w:p w14:paraId="0A1BC0D9" w14:textId="4FE1515C" w:rsidR="00F14E07" w:rsidRPr="000C18E7" w:rsidRDefault="00F14E07" w:rsidP="00806D17">
      <w:pPr>
        <w:pStyle w:val="ListParagraph"/>
        <w:numPr>
          <w:ilvl w:val="0"/>
          <w:numId w:val="7"/>
        </w:numPr>
        <w:spacing w:after="0" w:line="480" w:lineRule="auto"/>
        <w:jc w:val="both"/>
        <w:rPr>
          <w:rFonts w:ascii="Times New Roman" w:hAnsi="Times New Roman" w:cs="Times New Roman"/>
          <w:sz w:val="24"/>
          <w:szCs w:val="24"/>
        </w:rPr>
      </w:pPr>
      <w:r w:rsidRPr="000C18E7">
        <w:rPr>
          <w:rFonts w:ascii="Times New Roman" w:hAnsi="Times New Roman" w:cs="Times New Roman"/>
          <w:sz w:val="24"/>
          <w:szCs w:val="24"/>
        </w:rPr>
        <w:lastRenderedPageBreak/>
        <w:t>‘it's time for your voice to be heard—the voice of the moderate and reasonable people of Britain: the voice of the majority’</w:t>
      </w:r>
    </w:p>
    <w:p w14:paraId="11FB12F6" w14:textId="6ADB44D6" w:rsidR="00F14E07" w:rsidRPr="000C18E7" w:rsidRDefault="00F14E07" w:rsidP="00806D17">
      <w:pPr>
        <w:pStyle w:val="ListParagraph"/>
        <w:numPr>
          <w:ilvl w:val="0"/>
          <w:numId w:val="7"/>
        </w:numPr>
        <w:spacing w:after="0" w:line="480" w:lineRule="auto"/>
        <w:jc w:val="both"/>
        <w:rPr>
          <w:rFonts w:ascii="Times New Roman" w:hAnsi="Times New Roman" w:cs="Times New Roman"/>
          <w:sz w:val="24"/>
          <w:szCs w:val="24"/>
        </w:rPr>
      </w:pPr>
      <w:r w:rsidRPr="000C18E7">
        <w:rPr>
          <w:rFonts w:ascii="Times New Roman" w:hAnsi="Times New Roman" w:cs="Times New Roman"/>
          <w:sz w:val="24"/>
          <w:szCs w:val="24"/>
        </w:rPr>
        <w:t xml:space="preserve">‘there's a lot to be done. For heaven's sake, let's get on with it’ </w:t>
      </w:r>
    </w:p>
    <w:p w14:paraId="1C94465A" w14:textId="20FF1670" w:rsidR="00F14E07" w:rsidRPr="000C18E7" w:rsidRDefault="00F14E07" w:rsidP="00806D17">
      <w:pPr>
        <w:spacing w:after="0" w:line="480" w:lineRule="auto"/>
        <w:ind w:left="720"/>
        <w:jc w:val="both"/>
        <w:rPr>
          <w:rFonts w:ascii="Times New Roman" w:hAnsi="Times New Roman" w:cs="Times New Roman"/>
          <w:sz w:val="24"/>
          <w:szCs w:val="24"/>
        </w:rPr>
      </w:pPr>
      <w:r w:rsidRPr="000C18E7">
        <w:rPr>
          <w:rFonts w:ascii="Times New Roman" w:hAnsi="Times New Roman" w:cs="Times New Roman"/>
          <w:sz w:val="24"/>
          <w:szCs w:val="24"/>
        </w:rPr>
        <w:t xml:space="preserve">           (TNA: PRO, PREM 15/2128, ‘Text of Ministerial Broadcast’, 7 February 1974).</w:t>
      </w:r>
    </w:p>
    <w:p w14:paraId="7CB262E8" w14:textId="77777777" w:rsidR="00F14E07" w:rsidRPr="000C18E7" w:rsidRDefault="00F14E07" w:rsidP="00806D17">
      <w:pPr>
        <w:spacing w:after="0" w:line="480" w:lineRule="auto"/>
        <w:ind w:firstLine="720"/>
        <w:jc w:val="both"/>
        <w:rPr>
          <w:rFonts w:ascii="Times New Roman" w:hAnsi="Times New Roman" w:cs="Times New Roman"/>
          <w:color w:val="7030A0"/>
          <w:sz w:val="24"/>
          <w:szCs w:val="24"/>
        </w:rPr>
      </w:pPr>
    </w:p>
    <w:p w14:paraId="40797E5E" w14:textId="0AE21572" w:rsidR="00B8522A" w:rsidRPr="000C18E7" w:rsidRDefault="00B8522A" w:rsidP="00806D17">
      <w:pPr>
        <w:spacing w:after="0" w:line="480" w:lineRule="auto"/>
        <w:ind w:firstLine="720"/>
        <w:jc w:val="both"/>
        <w:rPr>
          <w:rFonts w:ascii="Times New Roman" w:hAnsi="Times New Roman" w:cs="Times New Roman"/>
          <w:sz w:val="24"/>
          <w:szCs w:val="24"/>
        </w:rPr>
      </w:pPr>
      <w:r w:rsidRPr="000C18E7">
        <w:rPr>
          <w:rFonts w:ascii="Times New Roman" w:hAnsi="Times New Roman" w:cs="Times New Roman"/>
          <w:sz w:val="24"/>
          <w:szCs w:val="24"/>
        </w:rPr>
        <w:t xml:space="preserve">The sense of </w:t>
      </w:r>
      <w:r w:rsidR="00F14E07" w:rsidRPr="000C18E7">
        <w:rPr>
          <w:rFonts w:ascii="Times New Roman" w:hAnsi="Times New Roman" w:cs="Times New Roman"/>
          <w:sz w:val="24"/>
          <w:szCs w:val="24"/>
        </w:rPr>
        <w:t xml:space="preserve">this as a ‘crisis’ General Election (Sandbrook, 2010: 611) </w:t>
      </w:r>
      <w:r w:rsidRPr="000C18E7">
        <w:rPr>
          <w:rFonts w:ascii="Times New Roman" w:hAnsi="Times New Roman" w:cs="Times New Roman"/>
          <w:sz w:val="24"/>
          <w:szCs w:val="24"/>
        </w:rPr>
        <w:t xml:space="preserve">was also reflected in the title of the manifesto - </w:t>
      </w:r>
      <w:r w:rsidRPr="000C18E7">
        <w:rPr>
          <w:rFonts w:ascii="Times New Roman" w:hAnsi="Times New Roman" w:cs="Times New Roman"/>
          <w:i/>
          <w:iCs/>
          <w:sz w:val="24"/>
          <w:szCs w:val="24"/>
        </w:rPr>
        <w:t xml:space="preserve">Firm Action for a Fair Britain </w:t>
      </w:r>
      <w:r w:rsidR="00302695" w:rsidRPr="000C18E7">
        <w:rPr>
          <w:rFonts w:ascii="Times New Roman" w:hAnsi="Times New Roman" w:cs="Times New Roman"/>
          <w:sz w:val="24"/>
          <w:szCs w:val="24"/>
        </w:rPr>
        <w:t xml:space="preserve">(Conservative Party, 1974a) </w:t>
      </w:r>
      <w:r w:rsidRPr="000C18E7">
        <w:rPr>
          <w:rFonts w:ascii="Times New Roman" w:hAnsi="Times New Roman" w:cs="Times New Roman"/>
          <w:i/>
          <w:iCs/>
          <w:sz w:val="24"/>
          <w:szCs w:val="24"/>
        </w:rPr>
        <w:t xml:space="preserve">– </w:t>
      </w:r>
      <w:r w:rsidRPr="000C18E7">
        <w:rPr>
          <w:rFonts w:ascii="Times New Roman" w:hAnsi="Times New Roman" w:cs="Times New Roman"/>
          <w:iCs/>
          <w:sz w:val="24"/>
          <w:szCs w:val="24"/>
        </w:rPr>
        <w:t xml:space="preserve">which appeared to promise a decisive response to the problems facing the </w:t>
      </w:r>
      <w:r w:rsidR="00AC17D0" w:rsidRPr="000C18E7">
        <w:rPr>
          <w:rFonts w:ascii="Times New Roman" w:hAnsi="Times New Roman" w:cs="Times New Roman"/>
          <w:iCs/>
          <w:sz w:val="24"/>
          <w:szCs w:val="24"/>
        </w:rPr>
        <w:t>country</w:t>
      </w:r>
      <w:r w:rsidRPr="000C18E7">
        <w:rPr>
          <w:rFonts w:ascii="Times New Roman" w:hAnsi="Times New Roman" w:cs="Times New Roman"/>
          <w:iCs/>
          <w:sz w:val="24"/>
          <w:szCs w:val="24"/>
        </w:rPr>
        <w:t xml:space="preserve"> in the event the Conservatives were returned with a renewed majority. </w:t>
      </w:r>
      <w:r w:rsidR="00AC17D0" w:rsidRPr="000C18E7">
        <w:rPr>
          <w:rFonts w:ascii="Times New Roman" w:hAnsi="Times New Roman" w:cs="Times New Roman"/>
          <w:iCs/>
          <w:sz w:val="24"/>
          <w:szCs w:val="24"/>
        </w:rPr>
        <w:t>The central</w:t>
      </w:r>
      <w:r w:rsidRPr="000C18E7">
        <w:rPr>
          <w:rFonts w:ascii="Times New Roman" w:hAnsi="Times New Roman" w:cs="Times New Roman"/>
          <w:iCs/>
          <w:sz w:val="24"/>
          <w:szCs w:val="24"/>
        </w:rPr>
        <w:t xml:space="preserve"> message of the manifesto was that the Labour Party had been assimilated by ‘</w:t>
      </w:r>
      <w:r w:rsidRPr="000C18E7">
        <w:rPr>
          <w:rFonts w:ascii="Times New Roman" w:hAnsi="Times New Roman" w:cs="Times New Roman"/>
          <w:sz w:val="24"/>
          <w:szCs w:val="24"/>
        </w:rPr>
        <w:t xml:space="preserve">a small group of power-hungry trade union leaders’ and that they had become ‘committed to a left-wing programme more dangerous and more extreme than ever before in its history’, and Labour were a ‘major national disaster’. These points sought to frame Labour as an even greater danger to the country than they had been historically, that their policies were ‘very vague and woolly’ (Sandbrook, 2010: 611). The political difficulties </w:t>
      </w:r>
      <w:r w:rsidR="00F14E07" w:rsidRPr="000C18E7">
        <w:rPr>
          <w:rFonts w:ascii="Times New Roman" w:hAnsi="Times New Roman" w:cs="Times New Roman"/>
          <w:sz w:val="24"/>
          <w:szCs w:val="24"/>
        </w:rPr>
        <w:t>associated with the leftish-shift with the Labour Party i</w:t>
      </w:r>
      <w:r w:rsidR="00806D17" w:rsidRPr="000C18E7">
        <w:rPr>
          <w:rFonts w:ascii="Times New Roman" w:hAnsi="Times New Roman" w:cs="Times New Roman"/>
          <w:sz w:val="24"/>
          <w:szCs w:val="24"/>
        </w:rPr>
        <w:t>n opposition – see chapter 13</w:t>
      </w:r>
      <w:r w:rsidR="00F14E07" w:rsidRPr="000C18E7">
        <w:rPr>
          <w:rFonts w:ascii="Times New Roman" w:hAnsi="Times New Roman" w:cs="Times New Roman"/>
          <w:sz w:val="24"/>
          <w:szCs w:val="24"/>
        </w:rPr>
        <w:t xml:space="preserve"> – also </w:t>
      </w:r>
      <w:r w:rsidRPr="000C18E7">
        <w:rPr>
          <w:rFonts w:ascii="Times New Roman" w:hAnsi="Times New Roman" w:cs="Times New Roman"/>
          <w:sz w:val="24"/>
          <w:szCs w:val="24"/>
        </w:rPr>
        <w:t>motivate</w:t>
      </w:r>
      <w:r w:rsidR="00F14E07" w:rsidRPr="000C18E7">
        <w:rPr>
          <w:rFonts w:ascii="Times New Roman" w:hAnsi="Times New Roman" w:cs="Times New Roman"/>
          <w:sz w:val="24"/>
          <w:szCs w:val="24"/>
        </w:rPr>
        <w:t>d</w:t>
      </w:r>
      <w:r w:rsidRPr="000C18E7">
        <w:rPr>
          <w:rFonts w:ascii="Times New Roman" w:hAnsi="Times New Roman" w:cs="Times New Roman"/>
          <w:sz w:val="24"/>
          <w:szCs w:val="24"/>
        </w:rPr>
        <w:t xml:space="preserve"> </w:t>
      </w:r>
      <w:r w:rsidR="00F14E07" w:rsidRPr="000C18E7">
        <w:rPr>
          <w:rFonts w:ascii="Times New Roman" w:hAnsi="Times New Roman" w:cs="Times New Roman"/>
          <w:sz w:val="24"/>
          <w:szCs w:val="24"/>
        </w:rPr>
        <w:t>some</w:t>
      </w:r>
      <w:r w:rsidRPr="000C18E7">
        <w:rPr>
          <w:rFonts w:ascii="Times New Roman" w:hAnsi="Times New Roman" w:cs="Times New Roman"/>
          <w:sz w:val="24"/>
          <w:szCs w:val="24"/>
        </w:rPr>
        <w:t xml:space="preserve"> Conservatives into thinking an early </w:t>
      </w:r>
      <w:r w:rsidR="00F14E07" w:rsidRPr="000C18E7">
        <w:rPr>
          <w:rFonts w:ascii="Times New Roman" w:hAnsi="Times New Roman" w:cs="Times New Roman"/>
          <w:sz w:val="24"/>
          <w:szCs w:val="24"/>
        </w:rPr>
        <w:t>General E</w:t>
      </w:r>
      <w:r w:rsidRPr="000C18E7">
        <w:rPr>
          <w:rFonts w:ascii="Times New Roman" w:hAnsi="Times New Roman" w:cs="Times New Roman"/>
          <w:sz w:val="24"/>
          <w:szCs w:val="24"/>
        </w:rPr>
        <w:t xml:space="preserve">lection could be advantageous. Indeed, Douglas Hurd argued in a paper to Heath that given the economy was unlikely to improve, it would be prudent to take advantage of Labour’s problems with an early </w:t>
      </w:r>
      <w:r w:rsidR="00E47FE6" w:rsidRPr="000C18E7">
        <w:rPr>
          <w:rFonts w:ascii="Times New Roman" w:hAnsi="Times New Roman" w:cs="Times New Roman"/>
          <w:sz w:val="24"/>
          <w:szCs w:val="24"/>
        </w:rPr>
        <w:t>General E</w:t>
      </w:r>
      <w:r w:rsidR="00EC218B" w:rsidRPr="000C18E7">
        <w:rPr>
          <w:rFonts w:ascii="Times New Roman" w:hAnsi="Times New Roman" w:cs="Times New Roman"/>
          <w:sz w:val="24"/>
          <w:szCs w:val="24"/>
        </w:rPr>
        <w:t xml:space="preserve">lection; </w:t>
      </w:r>
      <w:r w:rsidRPr="000C18E7">
        <w:rPr>
          <w:rFonts w:ascii="Times New Roman" w:hAnsi="Times New Roman" w:cs="Times New Roman"/>
          <w:sz w:val="24"/>
          <w:szCs w:val="24"/>
        </w:rPr>
        <w:t xml:space="preserve">especially as the Heath administration would likely face growing difficulties were it to continue. As such, ‘there is therefore, in our view, a strong argument for a change of approach’ in their strategic planning </w:t>
      </w:r>
      <w:r w:rsidR="00F14E07" w:rsidRPr="000C18E7">
        <w:rPr>
          <w:rFonts w:ascii="Times New Roman" w:hAnsi="Times New Roman" w:cs="Times New Roman"/>
          <w:sz w:val="24"/>
          <w:szCs w:val="24"/>
        </w:rPr>
        <w:t>– i.e. despite their earlier doubts</w:t>
      </w:r>
      <w:r w:rsidR="00E47FE6" w:rsidRPr="000C18E7">
        <w:rPr>
          <w:rFonts w:ascii="Times New Roman" w:hAnsi="Times New Roman" w:cs="Times New Roman"/>
          <w:sz w:val="24"/>
          <w:szCs w:val="24"/>
        </w:rPr>
        <w:t xml:space="preserve">, </w:t>
      </w:r>
      <w:r w:rsidR="00F14E07" w:rsidRPr="000C18E7">
        <w:rPr>
          <w:rFonts w:ascii="Times New Roman" w:hAnsi="Times New Roman" w:cs="Times New Roman"/>
          <w:sz w:val="24"/>
          <w:szCs w:val="24"/>
        </w:rPr>
        <w:t xml:space="preserve">seeking a new mandate might be the best way forward </w:t>
      </w:r>
      <w:r w:rsidRPr="000C18E7">
        <w:rPr>
          <w:rFonts w:ascii="Times New Roman" w:hAnsi="Times New Roman" w:cs="Times New Roman"/>
          <w:sz w:val="24"/>
          <w:szCs w:val="24"/>
        </w:rPr>
        <w:t xml:space="preserve">(Hurd, 1979: 120). </w:t>
      </w:r>
    </w:p>
    <w:p w14:paraId="20A18198" w14:textId="50EFEFB2" w:rsidR="00B8522A" w:rsidRPr="000C18E7" w:rsidRDefault="00F14E07" w:rsidP="00806D17">
      <w:pPr>
        <w:spacing w:after="0" w:line="480" w:lineRule="auto"/>
        <w:ind w:firstLine="720"/>
        <w:jc w:val="both"/>
        <w:rPr>
          <w:rFonts w:ascii="Times New Roman" w:hAnsi="Times New Roman" w:cs="Times New Roman"/>
          <w:sz w:val="24"/>
          <w:szCs w:val="24"/>
        </w:rPr>
      </w:pPr>
      <w:r w:rsidRPr="000C18E7">
        <w:rPr>
          <w:rFonts w:ascii="Times New Roman" w:hAnsi="Times New Roman" w:cs="Times New Roman"/>
          <w:sz w:val="24"/>
          <w:szCs w:val="24"/>
        </w:rPr>
        <w:t>Seeking a renewed mandate against the back-drop of the so-called three</w:t>
      </w:r>
      <w:r w:rsidR="002C4097" w:rsidRPr="000C18E7">
        <w:rPr>
          <w:rFonts w:ascii="Times New Roman" w:hAnsi="Times New Roman" w:cs="Times New Roman"/>
          <w:sz w:val="24"/>
          <w:szCs w:val="24"/>
        </w:rPr>
        <w:t>-</w:t>
      </w:r>
      <w:r w:rsidRPr="000C18E7">
        <w:rPr>
          <w:rFonts w:ascii="Times New Roman" w:hAnsi="Times New Roman" w:cs="Times New Roman"/>
          <w:sz w:val="24"/>
          <w:szCs w:val="24"/>
        </w:rPr>
        <w:t>day week</w:t>
      </w:r>
      <w:r w:rsidR="002C4097" w:rsidRPr="000C18E7">
        <w:rPr>
          <w:rFonts w:ascii="Times New Roman" w:hAnsi="Times New Roman" w:cs="Times New Roman"/>
          <w:sz w:val="24"/>
          <w:szCs w:val="24"/>
        </w:rPr>
        <w:t xml:space="preserve"> was not what they would have planned. The quadrupling of oil prices following the Yom Kippur war between I</w:t>
      </w:r>
      <w:r w:rsidR="00EC218B" w:rsidRPr="000C18E7">
        <w:rPr>
          <w:rFonts w:ascii="Times New Roman" w:hAnsi="Times New Roman" w:cs="Times New Roman"/>
          <w:sz w:val="24"/>
          <w:szCs w:val="24"/>
        </w:rPr>
        <w:t xml:space="preserve">srael and oil producing states </w:t>
      </w:r>
      <w:r w:rsidR="002C4097" w:rsidRPr="000C18E7">
        <w:rPr>
          <w:rFonts w:ascii="Times New Roman" w:hAnsi="Times New Roman" w:cs="Times New Roman"/>
          <w:sz w:val="24"/>
          <w:szCs w:val="24"/>
        </w:rPr>
        <w:t>had</w:t>
      </w:r>
      <w:r w:rsidR="00EC218B" w:rsidRPr="000C18E7">
        <w:rPr>
          <w:rFonts w:ascii="Times New Roman" w:hAnsi="Times New Roman" w:cs="Times New Roman"/>
          <w:sz w:val="24"/>
          <w:szCs w:val="24"/>
        </w:rPr>
        <w:t>,</w:t>
      </w:r>
      <w:r w:rsidR="002C4097" w:rsidRPr="000C18E7">
        <w:rPr>
          <w:rFonts w:ascii="Times New Roman" w:hAnsi="Times New Roman" w:cs="Times New Roman"/>
          <w:sz w:val="24"/>
          <w:szCs w:val="24"/>
        </w:rPr>
        <w:t xml:space="preserve"> in turn, led to rising food prices, statutory prices and incomes policy, power shortages, and ultimately a wholesale re-evaluation of the so-called Keynesian consensus that had informed economic policy since the end of the Second World War</w:t>
      </w:r>
      <w:r w:rsidR="002C4097" w:rsidRPr="000C18E7">
        <w:rPr>
          <w:rFonts w:ascii="Times New Roman" w:hAnsi="Times New Roman" w:cs="Times New Roman"/>
          <w:color w:val="7030A0"/>
          <w:sz w:val="24"/>
          <w:szCs w:val="24"/>
        </w:rPr>
        <w:t xml:space="preserve"> (</w:t>
      </w:r>
      <w:r w:rsidR="005763D1" w:rsidRPr="000C18E7">
        <w:rPr>
          <w:rFonts w:ascii="Times New Roman" w:hAnsi="Times New Roman" w:cs="Times New Roman"/>
          <w:sz w:val="24"/>
          <w:szCs w:val="24"/>
        </w:rPr>
        <w:t>Sandbrook, 2010</w:t>
      </w:r>
      <w:r w:rsidR="002C4097" w:rsidRPr="000C18E7">
        <w:rPr>
          <w:rFonts w:ascii="Times New Roman" w:hAnsi="Times New Roman" w:cs="Times New Roman"/>
          <w:color w:val="7030A0"/>
          <w:sz w:val="24"/>
          <w:szCs w:val="24"/>
        </w:rPr>
        <w:t xml:space="preserve">). </w:t>
      </w:r>
      <w:r w:rsidR="002C4097" w:rsidRPr="000C18E7">
        <w:rPr>
          <w:rFonts w:ascii="Times New Roman" w:hAnsi="Times New Roman" w:cs="Times New Roman"/>
          <w:sz w:val="24"/>
          <w:szCs w:val="24"/>
        </w:rPr>
        <w:t>Heath would r</w:t>
      </w:r>
      <w:r w:rsidR="00EC218B" w:rsidRPr="000C18E7">
        <w:rPr>
          <w:rFonts w:ascii="Times New Roman" w:hAnsi="Times New Roman" w:cs="Times New Roman"/>
          <w:sz w:val="24"/>
          <w:szCs w:val="24"/>
        </w:rPr>
        <w:t xml:space="preserve">eflect that </w:t>
      </w:r>
      <w:r w:rsidR="002C4097" w:rsidRPr="000C18E7">
        <w:rPr>
          <w:rFonts w:ascii="Times New Roman" w:hAnsi="Times New Roman" w:cs="Times New Roman"/>
          <w:sz w:val="24"/>
          <w:szCs w:val="24"/>
        </w:rPr>
        <w:t>the ‘</w:t>
      </w:r>
      <w:r w:rsidR="00B8522A" w:rsidRPr="000C18E7">
        <w:rPr>
          <w:rFonts w:ascii="Times New Roman" w:hAnsi="Times New Roman" w:cs="Times New Roman"/>
          <w:sz w:val="24"/>
          <w:szCs w:val="24"/>
        </w:rPr>
        <w:t>oil crisis was a highly unwelcome disruption to our foreign policy</w:t>
      </w:r>
      <w:r w:rsidR="002C4097" w:rsidRPr="000C18E7">
        <w:rPr>
          <w:rFonts w:ascii="Times New Roman" w:hAnsi="Times New Roman" w:cs="Times New Roman"/>
          <w:sz w:val="24"/>
          <w:szCs w:val="24"/>
        </w:rPr>
        <w:t>’</w:t>
      </w:r>
      <w:r w:rsidR="00B8522A" w:rsidRPr="000C18E7">
        <w:rPr>
          <w:rFonts w:ascii="Times New Roman" w:hAnsi="Times New Roman" w:cs="Times New Roman"/>
          <w:sz w:val="24"/>
          <w:szCs w:val="24"/>
        </w:rPr>
        <w:t xml:space="preserve">, but </w:t>
      </w:r>
      <w:r w:rsidR="00EC218B" w:rsidRPr="000C18E7">
        <w:rPr>
          <w:rFonts w:ascii="Times New Roman" w:hAnsi="Times New Roman" w:cs="Times New Roman"/>
          <w:sz w:val="24"/>
          <w:szCs w:val="24"/>
        </w:rPr>
        <w:t xml:space="preserve">it </w:t>
      </w:r>
      <w:r w:rsidR="002C4097" w:rsidRPr="000C18E7">
        <w:rPr>
          <w:rFonts w:ascii="Times New Roman" w:hAnsi="Times New Roman" w:cs="Times New Roman"/>
          <w:sz w:val="24"/>
          <w:szCs w:val="24"/>
        </w:rPr>
        <w:t>was</w:t>
      </w:r>
      <w:r w:rsidR="00EC218B" w:rsidRPr="000C18E7">
        <w:rPr>
          <w:rFonts w:ascii="Times New Roman" w:hAnsi="Times New Roman" w:cs="Times New Roman"/>
          <w:sz w:val="24"/>
          <w:szCs w:val="24"/>
        </w:rPr>
        <w:t xml:space="preserve"> also</w:t>
      </w:r>
      <w:r w:rsidR="002C4097" w:rsidRPr="000C18E7">
        <w:rPr>
          <w:rFonts w:ascii="Times New Roman" w:hAnsi="Times New Roman" w:cs="Times New Roman"/>
          <w:sz w:val="24"/>
          <w:szCs w:val="24"/>
        </w:rPr>
        <w:t xml:space="preserve"> the primary cause of the problematic domestic environment as it led the NUM to ‘</w:t>
      </w:r>
      <w:r w:rsidR="00B8522A" w:rsidRPr="000C18E7">
        <w:rPr>
          <w:rFonts w:ascii="Times New Roman" w:hAnsi="Times New Roman" w:cs="Times New Roman"/>
          <w:sz w:val="24"/>
          <w:szCs w:val="24"/>
        </w:rPr>
        <w:t xml:space="preserve">put in a pay claim which would have meant increases of up to 50 per cent for some workers’ (Heath, 1998: 503). It is also worth noting that a further significant issue Heath faced during the </w:t>
      </w:r>
      <w:r w:rsidR="00B8522A" w:rsidRPr="000C18E7">
        <w:rPr>
          <w:rFonts w:ascii="Times New Roman" w:hAnsi="Times New Roman" w:cs="Times New Roman"/>
          <w:sz w:val="24"/>
          <w:szCs w:val="24"/>
        </w:rPr>
        <w:lastRenderedPageBreak/>
        <w:t>campaign concerned the calls from the Confederation of British Industry</w:t>
      </w:r>
      <w:r w:rsidR="002C4097" w:rsidRPr="000C18E7">
        <w:rPr>
          <w:rFonts w:ascii="Times New Roman" w:hAnsi="Times New Roman" w:cs="Times New Roman"/>
          <w:sz w:val="24"/>
          <w:szCs w:val="24"/>
        </w:rPr>
        <w:t>, (CBI)</w:t>
      </w:r>
      <w:r w:rsidR="00B8522A" w:rsidRPr="000C18E7">
        <w:rPr>
          <w:rFonts w:ascii="Times New Roman" w:hAnsi="Times New Roman" w:cs="Times New Roman"/>
          <w:sz w:val="24"/>
          <w:szCs w:val="24"/>
        </w:rPr>
        <w:t xml:space="preserve"> for Heath to repeal the divisive Industrial Relations Act. This was because the Act had reframed the relationship between government, employers, and Unions to such an extent that it ‘sullied every relationship between employers and unions at national level’ (Clark, 1974</w:t>
      </w:r>
      <w:r w:rsidR="002C4097" w:rsidRPr="000C18E7">
        <w:rPr>
          <w:rFonts w:ascii="Times New Roman" w:hAnsi="Times New Roman" w:cs="Times New Roman"/>
          <w:sz w:val="24"/>
          <w:szCs w:val="24"/>
        </w:rPr>
        <w:t>b</w:t>
      </w:r>
      <w:r w:rsidR="00B8522A" w:rsidRPr="000C18E7">
        <w:rPr>
          <w:rFonts w:ascii="Times New Roman" w:hAnsi="Times New Roman" w:cs="Times New Roman"/>
          <w:sz w:val="24"/>
          <w:szCs w:val="24"/>
        </w:rPr>
        <w:t>: 28). This made seeking negotiated improvements in working conditions problematic</w:t>
      </w:r>
      <w:r w:rsidR="006D4337" w:rsidRPr="000C18E7">
        <w:rPr>
          <w:rFonts w:ascii="Times New Roman" w:hAnsi="Times New Roman" w:cs="Times New Roman"/>
          <w:sz w:val="24"/>
          <w:szCs w:val="24"/>
        </w:rPr>
        <w:t>,</w:t>
      </w:r>
      <w:r w:rsidR="00B8522A" w:rsidRPr="000C18E7">
        <w:rPr>
          <w:rFonts w:ascii="Times New Roman" w:hAnsi="Times New Roman" w:cs="Times New Roman"/>
          <w:sz w:val="24"/>
          <w:szCs w:val="24"/>
        </w:rPr>
        <w:t xml:space="preserve"> thereby risking increases in strike action. Whilst Heath contended that this was simply the personal view of its Director-General, Campbell Anderson, it nevertheless impacted upon the Conservative Party campaign in a negative way given it enabled Labour to argue the intervention validated their view that the Act was problematic</w:t>
      </w:r>
      <w:r w:rsidR="002C4097" w:rsidRPr="000C18E7">
        <w:rPr>
          <w:rFonts w:ascii="Times New Roman" w:hAnsi="Times New Roman" w:cs="Times New Roman"/>
          <w:sz w:val="24"/>
          <w:szCs w:val="24"/>
        </w:rPr>
        <w:t xml:space="preserve"> (</w:t>
      </w:r>
      <w:r w:rsidR="004515C9" w:rsidRPr="000C18E7">
        <w:rPr>
          <w:rFonts w:ascii="Times New Roman" w:hAnsi="Times New Roman" w:cs="Times New Roman"/>
          <w:sz w:val="24"/>
          <w:szCs w:val="24"/>
        </w:rPr>
        <w:t xml:space="preserve">for a detailed discussion on the failure of the Industrial Relations Act see Moran, 1977). </w:t>
      </w:r>
    </w:p>
    <w:p w14:paraId="55F2B0AC" w14:textId="55D10B92" w:rsidR="00B8522A" w:rsidRPr="000C18E7" w:rsidRDefault="002D5DED" w:rsidP="00806D17">
      <w:pPr>
        <w:spacing w:after="0" w:line="480" w:lineRule="auto"/>
        <w:ind w:firstLine="720"/>
        <w:jc w:val="both"/>
        <w:rPr>
          <w:rFonts w:ascii="Times New Roman" w:hAnsi="Times New Roman" w:cs="Times New Roman"/>
          <w:sz w:val="24"/>
          <w:szCs w:val="24"/>
        </w:rPr>
      </w:pPr>
      <w:r w:rsidRPr="000C18E7">
        <w:rPr>
          <w:rFonts w:ascii="Times New Roman" w:hAnsi="Times New Roman" w:cs="Times New Roman"/>
          <w:sz w:val="24"/>
          <w:szCs w:val="24"/>
        </w:rPr>
        <w:t>The difficulties for Heath in securing re-election were not</w:t>
      </w:r>
      <w:r w:rsidR="006D4337" w:rsidRPr="000C18E7">
        <w:rPr>
          <w:rFonts w:ascii="Times New Roman" w:hAnsi="Times New Roman" w:cs="Times New Roman"/>
          <w:sz w:val="24"/>
          <w:szCs w:val="24"/>
        </w:rPr>
        <w:t xml:space="preserve"> confined to industrial unrest. </w:t>
      </w:r>
      <w:r w:rsidRPr="000C18E7">
        <w:rPr>
          <w:rFonts w:ascii="Times New Roman" w:hAnsi="Times New Roman" w:cs="Times New Roman"/>
          <w:sz w:val="24"/>
          <w:szCs w:val="24"/>
        </w:rPr>
        <w:t>Another problematic issue concerned membership of the European Community. The electoral offer of a referendum on continued membership that the Wilson Labour opposition was moving towards created an opportunity for Heath’s nemesis, Powell, to undermine his chances of re-election</w:t>
      </w:r>
      <w:r w:rsidR="00157847" w:rsidRPr="000C18E7">
        <w:rPr>
          <w:rFonts w:ascii="Times New Roman" w:hAnsi="Times New Roman" w:cs="Times New Roman"/>
          <w:sz w:val="24"/>
          <w:szCs w:val="24"/>
        </w:rPr>
        <w:t xml:space="preserve"> (</w:t>
      </w:r>
      <w:r w:rsidR="00157847" w:rsidRPr="000C18E7">
        <w:rPr>
          <w:rFonts w:ascii="Times New Roman" w:eastAsia="SimSun" w:hAnsi="Times New Roman" w:cs="Times New Roman"/>
          <w:sz w:val="24"/>
          <w:szCs w:val="24"/>
          <w:lang w:eastAsia="zh-CN"/>
        </w:rPr>
        <w:t>Shepherd</w:t>
      </w:r>
      <w:r w:rsidR="00806D17" w:rsidRPr="000C18E7">
        <w:rPr>
          <w:rFonts w:ascii="Times New Roman" w:eastAsia="SimSun" w:hAnsi="Times New Roman" w:cs="Times New Roman"/>
          <w:sz w:val="24"/>
          <w:szCs w:val="24"/>
          <w:lang w:eastAsia="zh-CN"/>
        </w:rPr>
        <w:t>,</w:t>
      </w:r>
      <w:r w:rsidR="00157847" w:rsidRPr="000C18E7">
        <w:rPr>
          <w:rFonts w:ascii="Times New Roman" w:eastAsia="SimSun" w:hAnsi="Times New Roman" w:cs="Times New Roman"/>
          <w:sz w:val="24"/>
          <w:szCs w:val="24"/>
          <w:lang w:eastAsia="zh-CN"/>
        </w:rPr>
        <w:t xml:space="preserve"> 1996: 433-</w:t>
      </w:r>
      <w:r w:rsidR="00806D17" w:rsidRPr="000C18E7">
        <w:rPr>
          <w:rFonts w:ascii="Times New Roman" w:eastAsia="SimSun" w:hAnsi="Times New Roman" w:cs="Times New Roman"/>
          <w:sz w:val="24"/>
          <w:szCs w:val="24"/>
          <w:lang w:eastAsia="zh-CN"/>
        </w:rPr>
        <w:t>43</w:t>
      </w:r>
      <w:r w:rsidR="00157847" w:rsidRPr="000C18E7">
        <w:rPr>
          <w:rFonts w:ascii="Times New Roman" w:eastAsia="SimSun" w:hAnsi="Times New Roman" w:cs="Times New Roman"/>
          <w:sz w:val="24"/>
          <w:szCs w:val="24"/>
          <w:lang w:eastAsia="zh-CN"/>
        </w:rPr>
        <w:t>6)</w:t>
      </w:r>
      <w:r w:rsidR="00157847" w:rsidRPr="000C18E7">
        <w:rPr>
          <w:rFonts w:ascii="Times New Roman" w:hAnsi="Times New Roman" w:cs="Times New Roman"/>
          <w:sz w:val="24"/>
          <w:szCs w:val="24"/>
        </w:rPr>
        <w:t xml:space="preserve">. </w:t>
      </w:r>
      <w:r w:rsidRPr="000C18E7">
        <w:rPr>
          <w:rFonts w:ascii="Times New Roman" w:hAnsi="Times New Roman" w:cs="Times New Roman"/>
          <w:sz w:val="24"/>
          <w:szCs w:val="24"/>
        </w:rPr>
        <w:t xml:space="preserve">An implacable opponent of membership, aligned to his warnings over immigration and threats to British national identity, led Powell to ask voters whether the UK should ‘remain a democratic nation or whether it will become one province in a new Europe super-state’, from which Powell concluded that it was a ‘national duty’ for the voters to send a message to those who undermined Parliament’s ability to ‘make the laws and impose the taxes of the country’ (Butler and Kavanagh, 1974: 103). Instructing voters to endorse the Labour opposition, as they had created a route-map to exiting the </w:t>
      </w:r>
      <w:r w:rsidR="008B1B21" w:rsidRPr="000C18E7">
        <w:rPr>
          <w:rFonts w:ascii="Times New Roman" w:hAnsi="Times New Roman" w:cs="Times New Roman"/>
          <w:sz w:val="24"/>
          <w:szCs w:val="24"/>
        </w:rPr>
        <w:t>European Community, meant that the influence of Powell upon the Heath era continued to the end (Sandbrook, 2010: 611</w:t>
      </w:r>
      <w:r w:rsidR="00806D17" w:rsidRPr="000C18E7">
        <w:rPr>
          <w:rFonts w:ascii="Times New Roman" w:hAnsi="Times New Roman" w:cs="Times New Roman"/>
          <w:sz w:val="24"/>
          <w:szCs w:val="24"/>
        </w:rPr>
        <w:t>; see chapter 12</w:t>
      </w:r>
      <w:r w:rsidR="008B1B21" w:rsidRPr="000C18E7">
        <w:rPr>
          <w:rFonts w:ascii="Times New Roman" w:hAnsi="Times New Roman" w:cs="Times New Roman"/>
          <w:sz w:val="24"/>
          <w:szCs w:val="24"/>
        </w:rPr>
        <w:t xml:space="preserve"> for a detailed discussion on the Heath-Powell relationship). On Powell’s decision to not stand as Conservative candidate, Heath bemoaned the fact that </w:t>
      </w:r>
      <w:r w:rsidR="00B8522A" w:rsidRPr="000C18E7">
        <w:rPr>
          <w:rFonts w:ascii="Times New Roman" w:hAnsi="Times New Roman" w:cs="Times New Roman"/>
          <w:sz w:val="24"/>
          <w:szCs w:val="24"/>
        </w:rPr>
        <w:t xml:space="preserve">‘he did not even have the decency to warn the officers of his association or his agent in advance of his decision to abandon them’ (Heath, 1998: 512). </w:t>
      </w:r>
    </w:p>
    <w:p w14:paraId="7EE9BF4C" w14:textId="683194B6" w:rsidR="00223D34" w:rsidRPr="000C18E7" w:rsidRDefault="008B1B21" w:rsidP="00806D17">
      <w:pPr>
        <w:spacing w:after="0" w:line="480" w:lineRule="auto"/>
        <w:ind w:firstLine="720"/>
        <w:jc w:val="both"/>
        <w:rPr>
          <w:rFonts w:ascii="Times New Roman" w:hAnsi="Times New Roman" w:cs="Times New Roman"/>
          <w:sz w:val="24"/>
          <w:szCs w:val="24"/>
        </w:rPr>
      </w:pPr>
      <w:r w:rsidRPr="000C18E7">
        <w:rPr>
          <w:rFonts w:ascii="Times New Roman" w:hAnsi="Times New Roman" w:cs="Times New Roman"/>
          <w:sz w:val="24"/>
          <w:szCs w:val="24"/>
        </w:rPr>
        <w:t xml:space="preserve">The cumulative impact of the difficult economic and industrial relations environment, compounded by the intervention of Powell on the European issue made it a problematic campaign for the Conservatives. </w:t>
      </w:r>
      <w:r w:rsidR="00AB0C03" w:rsidRPr="000C18E7">
        <w:rPr>
          <w:rFonts w:ascii="Times New Roman" w:hAnsi="Times New Roman" w:cs="Times New Roman"/>
          <w:sz w:val="24"/>
          <w:szCs w:val="24"/>
        </w:rPr>
        <w:t xml:space="preserve">The outcome of the voters to the ‘who governs’ presented to them by Heath was inconclusive. Needing 318 parliamentary seats for a majority in the 635 strong Parliament (the redrawing of the boundaries facilitated an increase from the 630 strong 1970 Parliament), the Conservatives were short on 297 (down from 330) and the </w:t>
      </w:r>
      <w:r w:rsidR="00AB0C03" w:rsidRPr="000C18E7">
        <w:rPr>
          <w:rFonts w:ascii="Times New Roman" w:hAnsi="Times New Roman" w:cs="Times New Roman"/>
          <w:sz w:val="24"/>
          <w:szCs w:val="24"/>
        </w:rPr>
        <w:lastRenderedPageBreak/>
        <w:t>Labour Party were up from 287 to 301</w:t>
      </w:r>
      <w:r w:rsidR="000C6CFE" w:rsidRPr="000C18E7">
        <w:rPr>
          <w:rStyle w:val="FootnoteReference"/>
          <w:rFonts w:ascii="Times New Roman" w:hAnsi="Times New Roman" w:cs="Times New Roman"/>
          <w:sz w:val="24"/>
          <w:szCs w:val="24"/>
        </w:rPr>
        <w:footnoteReference w:id="1"/>
      </w:r>
      <w:r w:rsidR="00AB0C03" w:rsidRPr="000C18E7">
        <w:rPr>
          <w:rFonts w:ascii="Times New Roman" w:hAnsi="Times New Roman" w:cs="Times New Roman"/>
          <w:sz w:val="24"/>
          <w:szCs w:val="24"/>
        </w:rPr>
        <w:t xml:space="preserve"> (Butler and Kavanagh, 1974). It was an outcome that left Heath</w:t>
      </w:r>
      <w:r w:rsidR="000C6CFE" w:rsidRPr="000C18E7">
        <w:rPr>
          <w:rFonts w:ascii="Times New Roman" w:hAnsi="Times New Roman" w:cs="Times New Roman"/>
          <w:sz w:val="24"/>
          <w:szCs w:val="24"/>
        </w:rPr>
        <w:t>, as the incumbent Prime Minister</w:t>
      </w:r>
      <w:r w:rsidR="00AB0C03" w:rsidRPr="000C18E7">
        <w:rPr>
          <w:rFonts w:ascii="Times New Roman" w:hAnsi="Times New Roman" w:cs="Times New Roman"/>
          <w:sz w:val="24"/>
          <w:szCs w:val="24"/>
        </w:rPr>
        <w:t xml:space="preserve"> with the ‘</w:t>
      </w:r>
      <w:r w:rsidR="00B8522A" w:rsidRPr="000C18E7">
        <w:rPr>
          <w:rFonts w:ascii="Times New Roman" w:hAnsi="Times New Roman" w:cs="Times New Roman"/>
          <w:sz w:val="24"/>
          <w:szCs w:val="24"/>
        </w:rPr>
        <w:t>choice of either immediately conceding defeat, and thus tendering his resignation forthwith, or seeking a deal with one or more of the smaller parties</w:t>
      </w:r>
      <w:r w:rsidR="00AB0C03" w:rsidRPr="000C18E7">
        <w:rPr>
          <w:rFonts w:ascii="Times New Roman" w:hAnsi="Times New Roman" w:cs="Times New Roman"/>
          <w:sz w:val="24"/>
          <w:szCs w:val="24"/>
        </w:rPr>
        <w:t>’ and ‘</w:t>
      </w:r>
      <w:r w:rsidR="00B8522A" w:rsidRPr="000C18E7">
        <w:rPr>
          <w:rFonts w:ascii="Times New Roman" w:hAnsi="Times New Roman" w:cs="Times New Roman"/>
          <w:sz w:val="24"/>
          <w:szCs w:val="24"/>
        </w:rPr>
        <w:t xml:space="preserve">Heath pursued the latter option’ (Dorey, 2009: 28). </w:t>
      </w:r>
    </w:p>
    <w:p w14:paraId="518D05CC" w14:textId="709EBE81" w:rsidR="001421B4" w:rsidRPr="000C18E7" w:rsidRDefault="000C6CFE" w:rsidP="00806D17">
      <w:pPr>
        <w:spacing w:after="0" w:line="480" w:lineRule="auto"/>
        <w:ind w:firstLine="720"/>
        <w:jc w:val="both"/>
        <w:rPr>
          <w:rFonts w:ascii="Times New Roman" w:hAnsi="Times New Roman" w:cs="Times New Roman"/>
          <w:sz w:val="24"/>
          <w:szCs w:val="24"/>
        </w:rPr>
      </w:pPr>
      <w:r w:rsidRPr="000C18E7">
        <w:rPr>
          <w:rFonts w:ascii="Times New Roman" w:hAnsi="Times New Roman" w:cs="Times New Roman"/>
          <w:sz w:val="24"/>
          <w:szCs w:val="24"/>
        </w:rPr>
        <w:t xml:space="preserve">Given the Conservatives had secured the most votes - </w:t>
      </w:r>
      <w:r w:rsidRPr="000C18E7">
        <w:rPr>
          <w:rFonts w:ascii="Times New Roman" w:hAnsi="Times New Roman" w:cs="Times New Roman"/>
          <w:sz w:val="24"/>
          <w:szCs w:val="24"/>
          <w:lang w:val="fr-FR"/>
        </w:rPr>
        <w:t xml:space="preserve">11, 872,180 to </w:t>
      </w:r>
      <w:r w:rsidRPr="000C18E7">
        <w:rPr>
          <w:rFonts w:ascii="Times New Roman" w:hAnsi="Times New Roman" w:cs="Times New Roman"/>
          <w:sz w:val="24"/>
          <w:szCs w:val="24"/>
        </w:rPr>
        <w:t xml:space="preserve">11,645,616 – this appeared a legitimate strategy. </w:t>
      </w:r>
      <w:r w:rsidR="00223D34" w:rsidRPr="000C18E7">
        <w:rPr>
          <w:rFonts w:ascii="Times New Roman" w:hAnsi="Times New Roman" w:cs="Times New Roman"/>
          <w:sz w:val="24"/>
          <w:szCs w:val="24"/>
        </w:rPr>
        <w:t xml:space="preserve">In his discussions with the Liberal leader, Jeremy Thorpe, Heath rationalised why seeking an arrangement between the two parties could be justified. First, it was feasible, given that Wilson had made it clear that whilst the Labour Party </w:t>
      </w:r>
      <w:r w:rsidR="00223D34" w:rsidRPr="000C18E7">
        <w:rPr>
          <w:rFonts w:ascii="Times New Roman" w:hAnsi="Times New Roman" w:cs="Times New Roman"/>
          <w:i/>
          <w:iCs/>
          <w:sz w:val="24"/>
          <w:szCs w:val="24"/>
        </w:rPr>
        <w:t xml:space="preserve">were </w:t>
      </w:r>
      <w:r w:rsidR="00223D34" w:rsidRPr="000C18E7">
        <w:rPr>
          <w:rFonts w:ascii="Times New Roman" w:hAnsi="Times New Roman" w:cs="Times New Roman"/>
          <w:sz w:val="24"/>
          <w:szCs w:val="24"/>
        </w:rPr>
        <w:t>willing to form a minority administration (on 301 parliamentary seats t</w:t>
      </w:r>
      <w:r w:rsidR="00D154B2" w:rsidRPr="000C18E7">
        <w:rPr>
          <w:rFonts w:ascii="Times New Roman" w:hAnsi="Times New Roman" w:cs="Times New Roman"/>
          <w:sz w:val="24"/>
          <w:szCs w:val="24"/>
        </w:rPr>
        <w:t xml:space="preserve">hey would be short by 17 </w:t>
      </w:r>
      <w:r w:rsidR="00223D34" w:rsidRPr="000C18E7">
        <w:rPr>
          <w:rFonts w:ascii="Times New Roman" w:hAnsi="Times New Roman" w:cs="Times New Roman"/>
          <w:sz w:val="24"/>
          <w:szCs w:val="24"/>
        </w:rPr>
        <w:t xml:space="preserve">of a majority) they </w:t>
      </w:r>
      <w:r w:rsidR="00223D34" w:rsidRPr="000C18E7">
        <w:rPr>
          <w:rFonts w:ascii="Times New Roman" w:hAnsi="Times New Roman" w:cs="Times New Roman"/>
          <w:i/>
          <w:iCs/>
          <w:sz w:val="24"/>
          <w:szCs w:val="24"/>
        </w:rPr>
        <w:t>were not</w:t>
      </w:r>
      <w:r w:rsidR="00223D34" w:rsidRPr="000C18E7">
        <w:rPr>
          <w:rFonts w:ascii="Times New Roman" w:hAnsi="Times New Roman" w:cs="Times New Roman"/>
          <w:sz w:val="24"/>
          <w:szCs w:val="24"/>
        </w:rPr>
        <w:t xml:space="preserve"> willing to enter into any coalition or understanding with any other parties. As an alternative to that</w:t>
      </w:r>
      <w:r w:rsidR="006D4337" w:rsidRPr="000C18E7">
        <w:rPr>
          <w:rFonts w:ascii="Times New Roman" w:hAnsi="Times New Roman" w:cs="Times New Roman"/>
          <w:sz w:val="24"/>
          <w:szCs w:val="24"/>
        </w:rPr>
        <w:t>,</w:t>
      </w:r>
      <w:r w:rsidR="00223D34" w:rsidRPr="000C18E7">
        <w:rPr>
          <w:rFonts w:ascii="Times New Roman" w:hAnsi="Times New Roman" w:cs="Times New Roman"/>
          <w:sz w:val="24"/>
          <w:szCs w:val="24"/>
        </w:rPr>
        <w:t xml:space="preserve"> a Con-Lib arrangement (297 Conservative parliamentary seats plus the </w:t>
      </w:r>
      <w:r w:rsidR="006D4337" w:rsidRPr="000C18E7">
        <w:rPr>
          <w:rFonts w:ascii="Times New Roman" w:hAnsi="Times New Roman" w:cs="Times New Roman"/>
          <w:sz w:val="24"/>
          <w:szCs w:val="24"/>
        </w:rPr>
        <w:t>14</w:t>
      </w:r>
      <w:r w:rsidR="00223D34" w:rsidRPr="000C18E7">
        <w:rPr>
          <w:rFonts w:ascii="Times New Roman" w:hAnsi="Times New Roman" w:cs="Times New Roman"/>
          <w:sz w:val="24"/>
          <w:szCs w:val="24"/>
        </w:rPr>
        <w:t xml:space="preserve"> Liberal seats</w:t>
      </w:r>
      <w:r w:rsidR="00BA74BD" w:rsidRPr="000C18E7">
        <w:rPr>
          <w:rStyle w:val="FootnoteReference"/>
          <w:rFonts w:ascii="Times New Roman" w:hAnsi="Times New Roman" w:cs="Times New Roman"/>
          <w:sz w:val="24"/>
          <w:szCs w:val="24"/>
        </w:rPr>
        <w:footnoteReference w:id="2"/>
      </w:r>
      <w:r w:rsidR="00223D34" w:rsidRPr="000C18E7">
        <w:rPr>
          <w:rFonts w:ascii="Times New Roman" w:hAnsi="Times New Roman" w:cs="Times New Roman"/>
          <w:sz w:val="24"/>
          <w:szCs w:val="24"/>
        </w:rPr>
        <w:t>) would take them to 311 and with the seven Ulster Unionists likely to back the Conservatives</w:t>
      </w:r>
      <w:r w:rsidR="008F4C1D" w:rsidRPr="000C18E7">
        <w:rPr>
          <w:rFonts w:ascii="Times New Roman" w:hAnsi="Times New Roman" w:cs="Times New Roman"/>
          <w:sz w:val="24"/>
          <w:szCs w:val="24"/>
        </w:rPr>
        <w:t>,</w:t>
      </w:r>
      <w:r w:rsidR="00223D34" w:rsidRPr="000C18E7">
        <w:rPr>
          <w:rFonts w:ascii="Times New Roman" w:hAnsi="Times New Roman" w:cs="Times New Roman"/>
          <w:sz w:val="24"/>
          <w:szCs w:val="24"/>
        </w:rPr>
        <w:t xml:space="preserve"> this could create an administration that could govern (TNA PRO PREM 15/2069, ‘Note for the Record’ [Heath meeting with Thorpe]</w:t>
      </w:r>
      <w:r w:rsidR="00A85E1C" w:rsidRPr="000C18E7">
        <w:rPr>
          <w:rFonts w:ascii="Times New Roman" w:hAnsi="Times New Roman" w:cs="Times New Roman"/>
          <w:sz w:val="24"/>
          <w:szCs w:val="24"/>
        </w:rPr>
        <w:t>, 2 March 1974</w:t>
      </w:r>
      <w:r w:rsidR="00223D34" w:rsidRPr="000C18E7">
        <w:rPr>
          <w:rFonts w:ascii="Times New Roman" w:hAnsi="Times New Roman" w:cs="Times New Roman"/>
          <w:sz w:val="24"/>
          <w:szCs w:val="24"/>
        </w:rPr>
        <w:t xml:space="preserve">). Second, not only was it feasible but Heath argued that it was not only his ‘overriding duty’ to explore this option as it was in the ‘national interest’, but it was clear it would ‘represent the desires of the substantial number of voters to not have a socialist government’ </w:t>
      </w:r>
      <w:r w:rsidR="00A85E1C" w:rsidRPr="000C18E7">
        <w:rPr>
          <w:rFonts w:ascii="Times New Roman" w:hAnsi="Times New Roman" w:cs="Times New Roman"/>
          <w:sz w:val="24"/>
          <w:szCs w:val="24"/>
        </w:rPr>
        <w:t xml:space="preserve">(TNA PRO PREM 15/2069, ‘Note for the Record’ [Heath meeting with Thorpe], 2 March 1974). Third, it would be ‘possible’ for them to ‘construct a programme’ given that in ‘two major respects’ – i.e. membership of the European Community and inflation – ‘the policies of the two parties were </w:t>
      </w:r>
      <w:r w:rsidR="00A85E1C" w:rsidRPr="000C18E7">
        <w:rPr>
          <w:rFonts w:ascii="Times New Roman" w:hAnsi="Times New Roman" w:cs="Times New Roman"/>
          <w:i/>
          <w:iCs/>
          <w:sz w:val="24"/>
          <w:szCs w:val="24"/>
        </w:rPr>
        <w:t>both alike</w:t>
      </w:r>
      <w:r w:rsidR="00A85E1C" w:rsidRPr="000C18E7">
        <w:rPr>
          <w:rFonts w:ascii="Times New Roman" w:hAnsi="Times New Roman" w:cs="Times New Roman"/>
          <w:sz w:val="24"/>
          <w:szCs w:val="24"/>
        </w:rPr>
        <w:t xml:space="preserve"> and both differed from those of the Labour Party’ (TNA PRO PREM 15/2069, ‘Note for the Record’ [Heath meeting with Thorpe], 2 March 1974).</w:t>
      </w:r>
      <w:r w:rsidR="00BA74BD" w:rsidRPr="000C18E7">
        <w:rPr>
          <w:rFonts w:ascii="Times New Roman" w:hAnsi="Times New Roman" w:cs="Times New Roman"/>
          <w:sz w:val="24"/>
          <w:szCs w:val="24"/>
        </w:rPr>
        <w:t xml:space="preserve"> However, the ability of Heath to make an arrangement with Thorpe and the Liberals floundered on the issue of electoral reform</w:t>
      </w:r>
      <w:r w:rsidR="001421B4" w:rsidRPr="000C18E7">
        <w:rPr>
          <w:rFonts w:ascii="Times New Roman" w:hAnsi="Times New Roman" w:cs="Times New Roman"/>
          <w:sz w:val="24"/>
          <w:szCs w:val="24"/>
          <w:shd w:val="clear" w:color="auto" w:fill="FFFFFF"/>
        </w:rPr>
        <w:t xml:space="preserve"> </w:t>
      </w:r>
      <w:r w:rsidR="001421B4" w:rsidRPr="000C18E7">
        <w:rPr>
          <w:rFonts w:ascii="Times New Roman" w:hAnsi="Times New Roman" w:cs="Times New Roman"/>
          <w:sz w:val="24"/>
          <w:szCs w:val="24"/>
        </w:rPr>
        <w:t xml:space="preserve">and </w:t>
      </w:r>
      <w:r w:rsidRPr="000C18E7">
        <w:rPr>
          <w:rFonts w:ascii="Times New Roman" w:hAnsi="Times New Roman" w:cs="Times New Roman"/>
          <w:sz w:val="24"/>
          <w:szCs w:val="24"/>
        </w:rPr>
        <w:t>Heath’s failure to secure a means of remaining in power led to the Labour Party enter</w:t>
      </w:r>
      <w:r w:rsidR="008F4C1D" w:rsidRPr="000C18E7">
        <w:rPr>
          <w:rFonts w:ascii="Times New Roman" w:hAnsi="Times New Roman" w:cs="Times New Roman"/>
          <w:sz w:val="24"/>
          <w:szCs w:val="24"/>
        </w:rPr>
        <w:t>ing</w:t>
      </w:r>
      <w:r w:rsidRPr="000C18E7">
        <w:rPr>
          <w:rFonts w:ascii="Times New Roman" w:hAnsi="Times New Roman" w:cs="Times New Roman"/>
          <w:sz w:val="24"/>
          <w:szCs w:val="24"/>
        </w:rPr>
        <w:t xml:space="preserve"> office as a minority </w:t>
      </w:r>
      <w:r w:rsidRPr="000C18E7">
        <w:rPr>
          <w:rFonts w:ascii="Times New Roman" w:hAnsi="Times New Roman" w:cs="Times New Roman"/>
          <w:sz w:val="24"/>
          <w:szCs w:val="24"/>
        </w:rPr>
        <w:lastRenderedPageBreak/>
        <w:t>administration</w:t>
      </w:r>
      <w:r w:rsidR="001421B4" w:rsidRPr="000C18E7">
        <w:rPr>
          <w:rFonts w:ascii="Times New Roman" w:hAnsi="Times New Roman" w:cs="Times New Roman"/>
          <w:sz w:val="24"/>
          <w:szCs w:val="24"/>
        </w:rPr>
        <w:t xml:space="preserve"> (TNA PRO PREM 16/231 ‘</w:t>
      </w:r>
      <w:r w:rsidR="001421B4" w:rsidRPr="000C18E7">
        <w:rPr>
          <w:rFonts w:ascii="Times New Roman" w:hAnsi="Times New Roman" w:cs="Times New Roman"/>
          <w:sz w:val="24"/>
          <w:szCs w:val="24"/>
          <w:shd w:val="clear" w:color="auto" w:fill="FFFFFF"/>
        </w:rPr>
        <w:t xml:space="preserve">Events leading to the resignation of Mr Heath’s Administration’ 16 March 1974). </w:t>
      </w:r>
    </w:p>
    <w:p w14:paraId="3C6F496A" w14:textId="01614A90" w:rsidR="00CB6694" w:rsidRPr="000C18E7" w:rsidRDefault="001421B4" w:rsidP="00806D17">
      <w:pPr>
        <w:spacing w:after="0" w:line="480" w:lineRule="auto"/>
        <w:ind w:firstLine="720"/>
        <w:jc w:val="both"/>
        <w:rPr>
          <w:rFonts w:ascii="Times New Roman" w:hAnsi="Times New Roman" w:cs="Times New Roman"/>
          <w:sz w:val="24"/>
          <w:szCs w:val="24"/>
        </w:rPr>
      </w:pPr>
      <w:r w:rsidRPr="000C18E7">
        <w:rPr>
          <w:rFonts w:ascii="Times New Roman" w:hAnsi="Times New Roman" w:cs="Times New Roman"/>
          <w:sz w:val="24"/>
          <w:szCs w:val="24"/>
        </w:rPr>
        <w:t>It is worth noting that t</w:t>
      </w:r>
      <w:r w:rsidR="000C6CFE" w:rsidRPr="000C18E7">
        <w:rPr>
          <w:rFonts w:ascii="Times New Roman" w:hAnsi="Times New Roman" w:cs="Times New Roman"/>
          <w:sz w:val="24"/>
          <w:szCs w:val="24"/>
        </w:rPr>
        <w:t>he Conservatives did not seem prepared for the possibility of having to engage in negotiations with the Liberals in order to remain in power. In mid-1973 their response to the improving electoral position of the Liberals was remarkably complacen</w:t>
      </w:r>
      <w:r w:rsidR="00CB6694" w:rsidRPr="000C18E7">
        <w:rPr>
          <w:rFonts w:ascii="Times New Roman" w:hAnsi="Times New Roman" w:cs="Times New Roman"/>
          <w:sz w:val="24"/>
          <w:szCs w:val="24"/>
        </w:rPr>
        <w:t xml:space="preserve">t, with </w:t>
      </w:r>
      <w:r w:rsidR="008F4C1D" w:rsidRPr="000C18E7">
        <w:rPr>
          <w:rFonts w:ascii="Times New Roman" w:hAnsi="Times New Roman" w:cs="Times New Roman"/>
          <w:sz w:val="24"/>
          <w:szCs w:val="24"/>
        </w:rPr>
        <w:t>t</w:t>
      </w:r>
      <w:r w:rsidR="00CB6694" w:rsidRPr="000C18E7">
        <w:rPr>
          <w:rFonts w:ascii="Times New Roman" w:hAnsi="Times New Roman" w:cs="Times New Roman"/>
          <w:sz w:val="24"/>
          <w:szCs w:val="24"/>
        </w:rPr>
        <w:t>his being dismissed as little more than ‘the mid-term expression of disappointment’ (CPA, SC 14/74/29-31, 26 July 1973). From polling eight percent in October 1972, the Liberals had doubled t</w:t>
      </w:r>
      <w:r w:rsidR="008F4C1D" w:rsidRPr="000C18E7">
        <w:rPr>
          <w:rFonts w:ascii="Times New Roman" w:hAnsi="Times New Roman" w:cs="Times New Roman"/>
          <w:sz w:val="24"/>
          <w:szCs w:val="24"/>
        </w:rPr>
        <w:t>heir projected vote to 17</w:t>
      </w:r>
      <w:r w:rsidR="00CB6694" w:rsidRPr="000C18E7">
        <w:rPr>
          <w:rFonts w:ascii="Times New Roman" w:hAnsi="Times New Roman" w:cs="Times New Roman"/>
          <w:sz w:val="24"/>
          <w:szCs w:val="24"/>
        </w:rPr>
        <w:t xml:space="preserve"> percent by July 1973, with that increasing to </w:t>
      </w:r>
      <w:r w:rsidR="008F4C1D" w:rsidRPr="000C18E7">
        <w:rPr>
          <w:rFonts w:ascii="Times New Roman" w:hAnsi="Times New Roman" w:cs="Times New Roman"/>
          <w:sz w:val="24"/>
          <w:szCs w:val="24"/>
        </w:rPr>
        <w:t>28</w:t>
      </w:r>
      <w:r w:rsidR="00CB6694" w:rsidRPr="000C18E7">
        <w:rPr>
          <w:rFonts w:ascii="Times New Roman" w:hAnsi="Times New Roman" w:cs="Times New Roman"/>
          <w:sz w:val="24"/>
          <w:szCs w:val="24"/>
        </w:rPr>
        <w:t xml:space="preserve"> percent by August 1973 (King and Wybrow, 2001: 11). Despite their continuing progress</w:t>
      </w:r>
      <w:r w:rsidR="008F4C1D" w:rsidRPr="000C18E7">
        <w:rPr>
          <w:rFonts w:ascii="Times New Roman" w:hAnsi="Times New Roman" w:cs="Times New Roman"/>
          <w:sz w:val="24"/>
          <w:szCs w:val="24"/>
        </w:rPr>
        <w:t>,</w:t>
      </w:r>
      <w:r w:rsidR="00CB6694" w:rsidRPr="000C18E7">
        <w:rPr>
          <w:rFonts w:ascii="Times New Roman" w:hAnsi="Times New Roman" w:cs="Times New Roman"/>
          <w:sz w:val="24"/>
          <w:szCs w:val="24"/>
        </w:rPr>
        <w:t xml:space="preserve"> Chancellor Anthony Barber remained confident that they would be stalled and that ‘he didn’t believe the</w:t>
      </w:r>
      <w:r w:rsidR="009F2DD2" w:rsidRPr="000C18E7">
        <w:rPr>
          <w:rFonts w:ascii="Times New Roman" w:hAnsi="Times New Roman" w:cs="Times New Roman"/>
          <w:sz w:val="24"/>
          <w:szCs w:val="24"/>
        </w:rPr>
        <w:t xml:space="preserve">y </w:t>
      </w:r>
      <w:r w:rsidR="00CB6694" w:rsidRPr="000C18E7">
        <w:rPr>
          <w:rFonts w:ascii="Times New Roman" w:hAnsi="Times New Roman" w:cs="Times New Roman"/>
          <w:sz w:val="24"/>
          <w:szCs w:val="24"/>
        </w:rPr>
        <w:t>would hold the bala</w:t>
      </w:r>
      <w:r w:rsidR="009F2DD2" w:rsidRPr="000C18E7">
        <w:rPr>
          <w:rFonts w:ascii="Times New Roman" w:hAnsi="Times New Roman" w:cs="Times New Roman"/>
          <w:sz w:val="24"/>
          <w:szCs w:val="24"/>
        </w:rPr>
        <w:t>nce, or anything like that’ (Hetherington Papers, Meeting with Anthony Barber’, 15 November 1973). Throughout the whole of 1973</w:t>
      </w:r>
      <w:r w:rsidR="008F4C1D" w:rsidRPr="000C18E7">
        <w:rPr>
          <w:rFonts w:ascii="Times New Roman" w:hAnsi="Times New Roman" w:cs="Times New Roman"/>
          <w:sz w:val="24"/>
          <w:szCs w:val="24"/>
        </w:rPr>
        <w:t>,</w:t>
      </w:r>
      <w:r w:rsidR="009F2DD2" w:rsidRPr="000C18E7">
        <w:rPr>
          <w:rFonts w:ascii="Times New Roman" w:hAnsi="Times New Roman" w:cs="Times New Roman"/>
          <w:sz w:val="24"/>
          <w:szCs w:val="24"/>
        </w:rPr>
        <w:t xml:space="preserve"> the Conservatives appeared to adhere to the view that the Liberals were a ‘paper t</w:t>
      </w:r>
      <w:r w:rsidR="008F4C1D" w:rsidRPr="000C18E7">
        <w:rPr>
          <w:rFonts w:ascii="Times New Roman" w:hAnsi="Times New Roman" w:cs="Times New Roman"/>
          <w:sz w:val="24"/>
          <w:szCs w:val="24"/>
        </w:rPr>
        <w:t>iger’ offering ‘quack remedies’</w:t>
      </w:r>
      <w:r w:rsidR="009F2DD2" w:rsidRPr="000C18E7">
        <w:rPr>
          <w:rFonts w:ascii="Times New Roman" w:hAnsi="Times New Roman" w:cs="Times New Roman"/>
          <w:sz w:val="24"/>
          <w:szCs w:val="24"/>
        </w:rPr>
        <w:t xml:space="preserve"> (CPA, CCO, CRD, 500/25/8 ‘Liberal Policy Brief’, 1 April 1973). </w:t>
      </w:r>
    </w:p>
    <w:p w14:paraId="6145E456" w14:textId="1073B540" w:rsidR="00E47FE6" w:rsidRPr="000C18E7" w:rsidRDefault="009F2DD2" w:rsidP="00806D17">
      <w:pPr>
        <w:spacing w:after="0" w:line="480" w:lineRule="auto"/>
        <w:ind w:firstLine="720"/>
        <w:jc w:val="both"/>
        <w:rPr>
          <w:rFonts w:ascii="Times New Roman" w:hAnsi="Times New Roman" w:cs="Times New Roman"/>
          <w:sz w:val="24"/>
          <w:szCs w:val="24"/>
        </w:rPr>
      </w:pPr>
      <w:r w:rsidRPr="000C18E7">
        <w:rPr>
          <w:rFonts w:ascii="Times New Roman" w:hAnsi="Times New Roman" w:cs="Times New Roman"/>
          <w:sz w:val="24"/>
          <w:szCs w:val="24"/>
        </w:rPr>
        <w:t xml:space="preserve">Despite these assumptions the Heath was moving, within </w:t>
      </w:r>
      <w:r w:rsidR="008F4C1D" w:rsidRPr="000C18E7">
        <w:rPr>
          <w:rFonts w:ascii="Times New Roman" w:hAnsi="Times New Roman" w:cs="Times New Roman"/>
          <w:sz w:val="24"/>
          <w:szCs w:val="24"/>
        </w:rPr>
        <w:t>48</w:t>
      </w:r>
      <w:r w:rsidRPr="000C18E7">
        <w:rPr>
          <w:rFonts w:ascii="Times New Roman" w:hAnsi="Times New Roman" w:cs="Times New Roman"/>
          <w:sz w:val="24"/>
          <w:szCs w:val="24"/>
        </w:rPr>
        <w:t xml:space="preserve"> hours of the outcome of the General Election, towards attempting to form some form of coalition arrangement with the Liberals, which he felt was preferable to trying to operate as a minority administration. (CAB 128/53, Cabinet Conclusions, 1 March 1974, 5.45 pm). </w:t>
      </w:r>
      <w:r w:rsidR="00E47FE6" w:rsidRPr="000C18E7">
        <w:rPr>
          <w:rFonts w:ascii="Times New Roman" w:hAnsi="Times New Roman" w:cs="Times New Roman"/>
          <w:sz w:val="24"/>
          <w:szCs w:val="24"/>
        </w:rPr>
        <w:t>However, within both the Cabinet and his own parliamentary ranks there were real doubts about this course of action. Those doubts were not necessarily influenced by left-right categorisations. The Heathite sympathising Whitelaw later reflected that in the circumstances a ‘proposed coalition would have been regarded as wrong on principle by the British people’ (Whitelaw, 1991: 135), whilst Lord Carrington, who was at the time open minded to the ideas, later admitted that it would not have been ‘politically healthy or wise’ (Carrington, 1988: 267).</w:t>
      </w:r>
      <w:r w:rsidR="00500941" w:rsidRPr="000C18E7">
        <w:rPr>
          <w:rFonts w:ascii="Times New Roman" w:hAnsi="Times New Roman" w:cs="Times New Roman"/>
          <w:sz w:val="24"/>
          <w:szCs w:val="24"/>
        </w:rPr>
        <w:t xml:space="preserve"> From the backbenchers</w:t>
      </w:r>
      <w:r w:rsidR="008F4C1D" w:rsidRPr="000C18E7">
        <w:rPr>
          <w:rFonts w:ascii="Times New Roman" w:hAnsi="Times New Roman" w:cs="Times New Roman"/>
          <w:sz w:val="24"/>
          <w:szCs w:val="24"/>
        </w:rPr>
        <w:t>,</w:t>
      </w:r>
      <w:r w:rsidR="00500941" w:rsidRPr="000C18E7">
        <w:rPr>
          <w:rFonts w:ascii="Times New Roman" w:hAnsi="Times New Roman" w:cs="Times New Roman"/>
          <w:sz w:val="24"/>
          <w:szCs w:val="24"/>
        </w:rPr>
        <w:t xml:space="preserve"> the view of Kenneth Lewis was </w:t>
      </w:r>
      <w:r w:rsidR="00E47FE6" w:rsidRPr="000C18E7">
        <w:rPr>
          <w:rFonts w:ascii="Times New Roman" w:hAnsi="Times New Roman" w:cs="Times New Roman"/>
          <w:sz w:val="24"/>
          <w:szCs w:val="24"/>
        </w:rPr>
        <w:t>‘just tell that man to stop messing about. We have lost an election, we cannot form a government, we have been defeated and we must go with dignity’ (Ziegler, 201</w:t>
      </w:r>
      <w:r w:rsidR="00500941" w:rsidRPr="000C18E7">
        <w:rPr>
          <w:rFonts w:ascii="Times New Roman" w:hAnsi="Times New Roman" w:cs="Times New Roman"/>
          <w:sz w:val="24"/>
          <w:szCs w:val="24"/>
        </w:rPr>
        <w:t>0</w:t>
      </w:r>
      <w:r w:rsidR="00E47FE6" w:rsidRPr="000C18E7">
        <w:rPr>
          <w:rFonts w:ascii="Times New Roman" w:hAnsi="Times New Roman" w:cs="Times New Roman"/>
          <w:sz w:val="24"/>
          <w:szCs w:val="24"/>
        </w:rPr>
        <w:t>: 441).</w:t>
      </w:r>
      <w:r w:rsidR="00500941" w:rsidRPr="000C18E7">
        <w:rPr>
          <w:rFonts w:ascii="Times New Roman" w:hAnsi="Times New Roman" w:cs="Times New Roman"/>
          <w:sz w:val="24"/>
          <w:szCs w:val="24"/>
        </w:rPr>
        <w:t xml:space="preserve"> The issue of electoral reform was to be critical in the tentative negotiations that took place with the Liberals. Thatcher took the view that ‘horse trading’ like this was </w:t>
      </w:r>
      <w:r w:rsidR="00F92965" w:rsidRPr="000C18E7">
        <w:rPr>
          <w:rFonts w:ascii="Times New Roman" w:hAnsi="Times New Roman" w:cs="Times New Roman"/>
          <w:sz w:val="24"/>
          <w:szCs w:val="24"/>
        </w:rPr>
        <w:t>‘making us look ridiculous’</w:t>
      </w:r>
      <w:r w:rsidR="00500941" w:rsidRPr="000C18E7">
        <w:rPr>
          <w:rFonts w:ascii="Times New Roman" w:hAnsi="Times New Roman" w:cs="Times New Roman"/>
          <w:sz w:val="24"/>
          <w:szCs w:val="24"/>
        </w:rPr>
        <w:t xml:space="preserve"> and the electorate would </w:t>
      </w:r>
      <w:r w:rsidR="00500941" w:rsidRPr="000C18E7">
        <w:rPr>
          <w:rFonts w:ascii="Times New Roman" w:hAnsi="Times New Roman" w:cs="Times New Roman"/>
          <w:sz w:val="24"/>
          <w:szCs w:val="24"/>
        </w:rPr>
        <w:lastRenderedPageBreak/>
        <w:t>view Heath as a ‘bad loser’ if he continued to engage in such manoeuvres</w:t>
      </w:r>
      <w:r w:rsidR="00DA317C" w:rsidRPr="000C18E7">
        <w:rPr>
          <w:rStyle w:val="FootnoteReference"/>
          <w:rFonts w:ascii="Times New Roman" w:hAnsi="Times New Roman" w:cs="Times New Roman"/>
          <w:sz w:val="24"/>
          <w:szCs w:val="24"/>
        </w:rPr>
        <w:footnoteReference w:id="3"/>
      </w:r>
      <w:r w:rsidR="00500941" w:rsidRPr="000C18E7">
        <w:rPr>
          <w:rFonts w:ascii="Times New Roman" w:hAnsi="Times New Roman" w:cs="Times New Roman"/>
          <w:sz w:val="24"/>
          <w:szCs w:val="24"/>
        </w:rPr>
        <w:t xml:space="preserve"> (Thatcher, 1995: 239). Other cabinet sceptics included Maurice Macmillan and Keith Joseph, the later of whom claimed that Heath </w:t>
      </w:r>
      <w:r w:rsidR="00A95330" w:rsidRPr="000C18E7">
        <w:rPr>
          <w:rFonts w:ascii="Times New Roman" w:hAnsi="Times New Roman" w:cs="Times New Roman"/>
          <w:sz w:val="24"/>
          <w:szCs w:val="24"/>
        </w:rPr>
        <w:t xml:space="preserve">needed to step down on the grounds of </w:t>
      </w:r>
      <w:r w:rsidR="00500941" w:rsidRPr="000C18E7">
        <w:rPr>
          <w:rFonts w:ascii="Times New Roman" w:hAnsi="Times New Roman" w:cs="Times New Roman"/>
          <w:sz w:val="24"/>
          <w:szCs w:val="24"/>
        </w:rPr>
        <w:t>‘</w:t>
      </w:r>
      <w:r w:rsidR="00A95330" w:rsidRPr="000C18E7">
        <w:rPr>
          <w:rFonts w:ascii="Times New Roman" w:hAnsi="Times New Roman" w:cs="Times New Roman"/>
          <w:sz w:val="24"/>
          <w:szCs w:val="24"/>
        </w:rPr>
        <w:t xml:space="preserve">constitutional </w:t>
      </w:r>
      <w:r w:rsidR="00500941" w:rsidRPr="000C18E7">
        <w:rPr>
          <w:rFonts w:ascii="Times New Roman" w:hAnsi="Times New Roman" w:cs="Times New Roman"/>
          <w:sz w:val="24"/>
          <w:szCs w:val="24"/>
        </w:rPr>
        <w:t>propriety’ in seeking to hold onto office (MS Hailsham, 1/1/8, Diary, 1</w:t>
      </w:r>
      <w:r w:rsidR="00F41B1A" w:rsidRPr="000C18E7">
        <w:rPr>
          <w:rFonts w:ascii="Times New Roman" w:hAnsi="Times New Roman" w:cs="Times New Roman"/>
          <w:sz w:val="24"/>
          <w:szCs w:val="24"/>
        </w:rPr>
        <w:t xml:space="preserve"> March </w:t>
      </w:r>
      <w:r w:rsidR="00500941" w:rsidRPr="000C18E7">
        <w:rPr>
          <w:rFonts w:ascii="Times New Roman" w:hAnsi="Times New Roman" w:cs="Times New Roman"/>
          <w:sz w:val="24"/>
          <w:szCs w:val="24"/>
        </w:rPr>
        <w:t xml:space="preserve">1974). With the Chief Whip, Humphrey Atkins, informing Heath and the Cabinet that the number of Conservative planning to oppose an arrangement with the Liberals that would involve a Speakers Conference on Electoral Reform, </w:t>
      </w:r>
      <w:r w:rsidR="008F4C1D" w:rsidRPr="000C18E7">
        <w:rPr>
          <w:rFonts w:ascii="Times New Roman" w:hAnsi="Times New Roman" w:cs="Times New Roman"/>
          <w:sz w:val="24"/>
          <w:szCs w:val="24"/>
        </w:rPr>
        <w:t xml:space="preserve">was around 50 </w:t>
      </w:r>
      <w:r w:rsidR="00F41B1A" w:rsidRPr="000C18E7">
        <w:rPr>
          <w:rFonts w:ascii="Times New Roman" w:hAnsi="Times New Roman" w:cs="Times New Roman"/>
          <w:sz w:val="24"/>
          <w:szCs w:val="24"/>
        </w:rPr>
        <w:t>plus</w:t>
      </w:r>
      <w:r w:rsidR="00C81832" w:rsidRPr="000C18E7">
        <w:rPr>
          <w:rStyle w:val="FootnoteReference"/>
          <w:rFonts w:ascii="Times New Roman" w:hAnsi="Times New Roman" w:cs="Times New Roman"/>
          <w:sz w:val="24"/>
          <w:szCs w:val="24"/>
        </w:rPr>
        <w:footnoteReference w:id="4"/>
      </w:r>
      <w:r w:rsidR="00F41B1A" w:rsidRPr="000C18E7">
        <w:rPr>
          <w:rFonts w:ascii="Times New Roman" w:hAnsi="Times New Roman" w:cs="Times New Roman"/>
          <w:sz w:val="24"/>
          <w:szCs w:val="24"/>
        </w:rPr>
        <w:t xml:space="preserve"> (MS Hailsham, 1/1/8, Diary 2 and 3 March 1974), the Cabinet moved towards accepting that the longer term electoral costs to the Conservatives of electoral reform were more important the short-term gain on holding onto office (CAB 15/2069/16, Cabinet Conclusion, 4 March 1974). Fearful of the negative connotations of ‘hanging on’ and how this might make the Conservatives looked desperate and unprincipled, the decision to resign was reached (TNA: PRO PREM 16/231/6, ‘The Resignation of Mr. Heath</w:t>
      </w:r>
      <w:r w:rsidR="005763D1" w:rsidRPr="000C18E7">
        <w:rPr>
          <w:rFonts w:ascii="Times New Roman" w:hAnsi="Times New Roman" w:cs="Times New Roman"/>
          <w:sz w:val="24"/>
          <w:szCs w:val="24"/>
        </w:rPr>
        <w:t>’</w:t>
      </w:r>
      <w:r w:rsidR="00F41B1A" w:rsidRPr="000C18E7">
        <w:rPr>
          <w:rFonts w:ascii="Times New Roman" w:hAnsi="Times New Roman" w:cs="Times New Roman"/>
          <w:sz w:val="24"/>
          <w:szCs w:val="24"/>
        </w:rPr>
        <w:t xml:space="preserve">, </w:t>
      </w:r>
      <w:r w:rsidR="005763D1" w:rsidRPr="000C18E7">
        <w:rPr>
          <w:rFonts w:ascii="Times New Roman" w:hAnsi="Times New Roman" w:cs="Times New Roman"/>
          <w:sz w:val="24"/>
          <w:szCs w:val="24"/>
          <w:shd w:val="clear" w:color="auto" w:fill="FFFFFF"/>
        </w:rPr>
        <w:t>16 March 1974</w:t>
      </w:r>
      <w:r w:rsidR="00F41B1A" w:rsidRPr="000C18E7">
        <w:rPr>
          <w:rFonts w:ascii="Times New Roman" w:hAnsi="Times New Roman" w:cs="Times New Roman"/>
          <w:sz w:val="24"/>
          <w:szCs w:val="24"/>
        </w:rPr>
        <w:t>). That feat seemed justified given that Heath had been christened the ‘squatter in No 10 Dow</w:t>
      </w:r>
      <w:r w:rsidR="008F4C1D" w:rsidRPr="000C18E7">
        <w:rPr>
          <w:rFonts w:ascii="Times New Roman" w:hAnsi="Times New Roman" w:cs="Times New Roman"/>
          <w:sz w:val="24"/>
          <w:szCs w:val="24"/>
        </w:rPr>
        <w:t>ning Street’</w:t>
      </w:r>
      <w:r w:rsidR="00F41B1A" w:rsidRPr="000C18E7">
        <w:rPr>
          <w:rFonts w:ascii="Times New Roman" w:hAnsi="Times New Roman" w:cs="Times New Roman"/>
          <w:sz w:val="24"/>
          <w:szCs w:val="24"/>
        </w:rPr>
        <w:t xml:space="preserve"> (</w:t>
      </w:r>
      <w:r w:rsidR="00F41B1A" w:rsidRPr="000C18E7">
        <w:rPr>
          <w:rFonts w:ascii="Times New Roman" w:hAnsi="Times New Roman" w:cs="Times New Roman"/>
          <w:i/>
          <w:iCs/>
          <w:sz w:val="24"/>
          <w:szCs w:val="24"/>
        </w:rPr>
        <w:t>The Spectator</w:t>
      </w:r>
      <w:r w:rsidR="00F41B1A" w:rsidRPr="000C18E7">
        <w:rPr>
          <w:rFonts w:ascii="Times New Roman" w:hAnsi="Times New Roman" w:cs="Times New Roman"/>
          <w:sz w:val="24"/>
          <w:szCs w:val="24"/>
        </w:rPr>
        <w:t xml:space="preserve">, 1974). </w:t>
      </w:r>
    </w:p>
    <w:p w14:paraId="116A9668" w14:textId="4118CD1A" w:rsidR="00F92965" w:rsidRPr="000C18E7" w:rsidRDefault="00F92965" w:rsidP="00806D17">
      <w:pPr>
        <w:spacing w:after="0" w:line="480" w:lineRule="auto"/>
        <w:jc w:val="both"/>
        <w:rPr>
          <w:rFonts w:ascii="Times New Roman" w:hAnsi="Times New Roman" w:cs="Times New Roman"/>
          <w:color w:val="7030A0"/>
          <w:sz w:val="24"/>
          <w:szCs w:val="24"/>
        </w:rPr>
      </w:pPr>
    </w:p>
    <w:p w14:paraId="620C33F4" w14:textId="0ED49B0A" w:rsidR="00B8522A" w:rsidRPr="000C18E7" w:rsidRDefault="00B8522A" w:rsidP="00806D17">
      <w:pPr>
        <w:spacing w:after="0" w:line="480" w:lineRule="auto"/>
        <w:jc w:val="both"/>
        <w:rPr>
          <w:rFonts w:ascii="Times New Roman" w:hAnsi="Times New Roman" w:cs="Times New Roman"/>
          <w:b/>
          <w:bCs/>
          <w:sz w:val="24"/>
          <w:szCs w:val="24"/>
        </w:rPr>
      </w:pPr>
      <w:r w:rsidRPr="000C18E7">
        <w:rPr>
          <w:rFonts w:ascii="Times New Roman" w:hAnsi="Times New Roman" w:cs="Times New Roman"/>
          <w:b/>
          <w:bCs/>
          <w:sz w:val="24"/>
          <w:szCs w:val="24"/>
        </w:rPr>
        <w:t xml:space="preserve">The </w:t>
      </w:r>
      <w:r w:rsidR="00F15BC7" w:rsidRPr="000C18E7">
        <w:rPr>
          <w:rFonts w:ascii="Times New Roman" w:hAnsi="Times New Roman" w:cs="Times New Roman"/>
          <w:b/>
          <w:bCs/>
          <w:sz w:val="24"/>
          <w:szCs w:val="24"/>
        </w:rPr>
        <w:t>General</w:t>
      </w:r>
      <w:r w:rsidRPr="000C18E7">
        <w:rPr>
          <w:rFonts w:ascii="Times New Roman" w:hAnsi="Times New Roman" w:cs="Times New Roman"/>
          <w:b/>
          <w:bCs/>
          <w:sz w:val="24"/>
          <w:szCs w:val="24"/>
        </w:rPr>
        <w:t xml:space="preserve"> Election</w:t>
      </w:r>
      <w:r w:rsidR="00F15BC7" w:rsidRPr="000C18E7">
        <w:rPr>
          <w:rFonts w:ascii="Times New Roman" w:hAnsi="Times New Roman" w:cs="Times New Roman"/>
          <w:b/>
          <w:bCs/>
          <w:sz w:val="24"/>
          <w:szCs w:val="24"/>
        </w:rPr>
        <w:t xml:space="preserve"> of October 1974</w:t>
      </w:r>
    </w:p>
    <w:p w14:paraId="240A42B7" w14:textId="77777777" w:rsidR="008D0C4E" w:rsidRPr="000C18E7" w:rsidRDefault="008D0C4E" w:rsidP="00806D17">
      <w:pPr>
        <w:spacing w:after="0" w:line="480" w:lineRule="auto"/>
        <w:jc w:val="both"/>
        <w:rPr>
          <w:rFonts w:ascii="Times New Roman" w:hAnsi="Times New Roman" w:cs="Times New Roman"/>
          <w:sz w:val="24"/>
          <w:szCs w:val="24"/>
        </w:rPr>
      </w:pPr>
    </w:p>
    <w:p w14:paraId="2D7AAB90" w14:textId="41FD00C9" w:rsidR="006A5639" w:rsidRPr="000C18E7" w:rsidRDefault="00362BDE" w:rsidP="00806D17">
      <w:pPr>
        <w:spacing w:after="0" w:line="480" w:lineRule="auto"/>
        <w:ind w:firstLine="720"/>
        <w:jc w:val="both"/>
        <w:rPr>
          <w:rFonts w:ascii="Times New Roman" w:hAnsi="Times New Roman" w:cs="Times New Roman"/>
          <w:sz w:val="24"/>
          <w:szCs w:val="24"/>
        </w:rPr>
      </w:pPr>
      <w:r w:rsidRPr="000C18E7">
        <w:rPr>
          <w:rFonts w:ascii="Times New Roman" w:hAnsi="Times New Roman" w:cs="Times New Roman"/>
          <w:sz w:val="24"/>
          <w:szCs w:val="24"/>
        </w:rPr>
        <w:t>Having called an unnecessary General Election and then having failed to win</w:t>
      </w:r>
      <w:r w:rsidR="008F4C1D" w:rsidRPr="000C18E7">
        <w:rPr>
          <w:rFonts w:ascii="Times New Roman" w:hAnsi="Times New Roman" w:cs="Times New Roman"/>
          <w:sz w:val="24"/>
          <w:szCs w:val="24"/>
        </w:rPr>
        <w:t>,</w:t>
      </w:r>
      <w:r w:rsidRPr="000C18E7">
        <w:rPr>
          <w:rFonts w:ascii="Times New Roman" w:hAnsi="Times New Roman" w:cs="Times New Roman"/>
          <w:sz w:val="24"/>
          <w:szCs w:val="24"/>
        </w:rPr>
        <w:t xml:space="preserve"> the political authority of Heath was badly damaged</w:t>
      </w:r>
      <w:r w:rsidR="00AE09F3" w:rsidRPr="000C18E7">
        <w:rPr>
          <w:rFonts w:ascii="Times New Roman" w:hAnsi="Times New Roman" w:cs="Times New Roman"/>
          <w:sz w:val="24"/>
          <w:szCs w:val="24"/>
        </w:rPr>
        <w:t xml:space="preserve">. </w:t>
      </w:r>
      <w:r w:rsidR="006A5639" w:rsidRPr="000C18E7">
        <w:rPr>
          <w:rFonts w:ascii="Times New Roman" w:hAnsi="Times New Roman" w:cs="Times New Roman"/>
          <w:sz w:val="24"/>
          <w:szCs w:val="24"/>
        </w:rPr>
        <w:t xml:space="preserve">Cecil Parkinson recalled how Heath seemed </w:t>
      </w:r>
      <w:r w:rsidR="006A5639" w:rsidRPr="000C18E7">
        <w:rPr>
          <w:rFonts w:ascii="Times New Roman" w:eastAsia="Times New Roman" w:hAnsi="Times New Roman" w:cs="Times New Roman"/>
          <w:sz w:val="24"/>
          <w:szCs w:val="24"/>
          <w:lang w:eastAsia="en-GB"/>
        </w:rPr>
        <w:t>‘almost physically diminished’ by the impact of defeat and as a consequence ‘one just felt sorry for this desolate and lonely figure’ (Parkinson 1992: 48).</w:t>
      </w:r>
      <w:r w:rsidR="006A5639" w:rsidRPr="000C18E7">
        <w:rPr>
          <w:rFonts w:ascii="Times New Roman" w:hAnsi="Times New Roman" w:cs="Times New Roman"/>
          <w:sz w:val="24"/>
          <w:szCs w:val="24"/>
        </w:rPr>
        <w:t xml:space="preserve"> McManus argues that Heath was disappointed in himself for his own mistakes – he argues that Heath ‘blamed himself for his failure to communicate effectively the necessary facts and arguments to the people, for his procrastination about calling the election, and for his failure to spare the nation’ (McManus, 2016: 153).</w:t>
      </w:r>
    </w:p>
    <w:p w14:paraId="1D9B36FF" w14:textId="7DA55F99" w:rsidR="004808C7" w:rsidRPr="000C18E7" w:rsidRDefault="006A5639" w:rsidP="00806D17">
      <w:pPr>
        <w:spacing w:after="0" w:line="480" w:lineRule="auto"/>
        <w:ind w:firstLine="720"/>
        <w:jc w:val="both"/>
        <w:rPr>
          <w:rFonts w:ascii="Times New Roman" w:hAnsi="Times New Roman" w:cs="Times New Roman"/>
          <w:sz w:val="24"/>
          <w:szCs w:val="24"/>
        </w:rPr>
      </w:pPr>
      <w:r w:rsidRPr="000C18E7">
        <w:rPr>
          <w:rFonts w:ascii="Times New Roman" w:hAnsi="Times New Roman" w:cs="Times New Roman"/>
          <w:sz w:val="24"/>
          <w:szCs w:val="24"/>
        </w:rPr>
        <w:lastRenderedPageBreak/>
        <w:t xml:space="preserve">Despite this, </w:t>
      </w:r>
      <w:r w:rsidR="00AE09F3" w:rsidRPr="000C18E7">
        <w:rPr>
          <w:rFonts w:ascii="Times New Roman" w:hAnsi="Times New Roman" w:cs="Times New Roman"/>
          <w:sz w:val="24"/>
          <w:szCs w:val="24"/>
        </w:rPr>
        <w:t>He</w:t>
      </w:r>
      <w:r w:rsidRPr="000C18E7">
        <w:rPr>
          <w:rFonts w:ascii="Times New Roman" w:hAnsi="Times New Roman" w:cs="Times New Roman"/>
          <w:sz w:val="24"/>
          <w:szCs w:val="24"/>
        </w:rPr>
        <w:t>ath</w:t>
      </w:r>
      <w:r w:rsidR="00AE09F3" w:rsidRPr="000C18E7">
        <w:rPr>
          <w:rFonts w:ascii="Times New Roman" w:hAnsi="Times New Roman" w:cs="Times New Roman"/>
          <w:sz w:val="24"/>
          <w:szCs w:val="24"/>
        </w:rPr>
        <w:t xml:space="preserve"> did not consider resigning the leadership of the Conservative Party</w:t>
      </w:r>
      <w:r w:rsidRPr="000C18E7">
        <w:rPr>
          <w:rFonts w:ascii="Times New Roman" w:hAnsi="Times New Roman" w:cs="Times New Roman"/>
          <w:sz w:val="24"/>
          <w:szCs w:val="24"/>
        </w:rPr>
        <w:t>,</w:t>
      </w:r>
      <w:r w:rsidR="00AE09F3" w:rsidRPr="000C18E7">
        <w:rPr>
          <w:rFonts w:ascii="Times New Roman" w:hAnsi="Times New Roman" w:cs="Times New Roman"/>
          <w:sz w:val="24"/>
          <w:szCs w:val="24"/>
        </w:rPr>
        <w:t xml:space="preserve"> despite the fact that he had now led them into two electoral reversals out of three in a seven and half year period. </w:t>
      </w:r>
      <w:r w:rsidR="00157847" w:rsidRPr="000C18E7">
        <w:rPr>
          <w:rFonts w:ascii="Times New Roman" w:hAnsi="Times New Roman" w:cs="Times New Roman"/>
          <w:sz w:val="24"/>
          <w:szCs w:val="24"/>
        </w:rPr>
        <w:t>He rationalised that l</w:t>
      </w:r>
      <w:r w:rsidR="00AE09F3" w:rsidRPr="000C18E7">
        <w:rPr>
          <w:rFonts w:ascii="Times New Roman" w:hAnsi="Times New Roman" w:cs="Times New Roman"/>
          <w:sz w:val="24"/>
          <w:szCs w:val="24"/>
        </w:rPr>
        <w:t xml:space="preserve">osing 8.5 percent of the Conservative vote and 1,272,943 votes was not a resigning matter. </w:t>
      </w:r>
      <w:r w:rsidRPr="000C18E7">
        <w:rPr>
          <w:rFonts w:ascii="Times New Roman" w:hAnsi="Times New Roman" w:cs="Times New Roman"/>
          <w:sz w:val="24"/>
          <w:szCs w:val="24"/>
        </w:rPr>
        <w:t>He concluded that n</w:t>
      </w:r>
      <w:r w:rsidR="00AE09F3" w:rsidRPr="000C18E7">
        <w:rPr>
          <w:rFonts w:ascii="Times New Roman" w:hAnsi="Times New Roman" w:cs="Times New Roman"/>
          <w:sz w:val="24"/>
          <w:szCs w:val="24"/>
        </w:rPr>
        <w:t xml:space="preserve">o other leading Conservative was better positioned than </w:t>
      </w:r>
      <w:r w:rsidR="003B5179" w:rsidRPr="000C18E7">
        <w:rPr>
          <w:rFonts w:ascii="Times New Roman" w:hAnsi="Times New Roman" w:cs="Times New Roman"/>
          <w:sz w:val="24"/>
          <w:szCs w:val="24"/>
        </w:rPr>
        <w:t>him</w:t>
      </w:r>
      <w:r w:rsidR="00AE09F3" w:rsidRPr="000C18E7">
        <w:rPr>
          <w:rFonts w:ascii="Times New Roman" w:hAnsi="Times New Roman" w:cs="Times New Roman"/>
          <w:sz w:val="24"/>
          <w:szCs w:val="24"/>
        </w:rPr>
        <w:t xml:space="preserve"> to lead them into a General Election which, given the inconclusive outcome of the February contest, was likely to occur sooner rather than later</w:t>
      </w:r>
      <w:r w:rsidRPr="000C18E7">
        <w:rPr>
          <w:rFonts w:ascii="Times New Roman" w:hAnsi="Times New Roman" w:cs="Times New Roman"/>
          <w:sz w:val="24"/>
          <w:szCs w:val="24"/>
        </w:rPr>
        <w:t xml:space="preserve"> (Ziegler, 2010: 443-</w:t>
      </w:r>
      <w:r w:rsidR="00D154B2" w:rsidRPr="000C18E7">
        <w:rPr>
          <w:rFonts w:ascii="Times New Roman" w:hAnsi="Times New Roman" w:cs="Times New Roman"/>
          <w:sz w:val="24"/>
          <w:szCs w:val="24"/>
        </w:rPr>
        <w:t>4</w:t>
      </w:r>
      <w:r w:rsidRPr="000C18E7">
        <w:rPr>
          <w:rFonts w:ascii="Times New Roman" w:hAnsi="Times New Roman" w:cs="Times New Roman"/>
          <w:sz w:val="24"/>
          <w:szCs w:val="24"/>
        </w:rPr>
        <w:t xml:space="preserve">69). </w:t>
      </w:r>
      <w:r w:rsidR="00814BB5" w:rsidRPr="000C18E7">
        <w:rPr>
          <w:rFonts w:ascii="Times New Roman" w:hAnsi="Times New Roman" w:cs="Times New Roman"/>
          <w:sz w:val="24"/>
          <w:szCs w:val="24"/>
        </w:rPr>
        <w:t>What was more problematic was even though it may have been in the interests of the Conservative Party to have a new leader for that imminent General Election if he would resign, they had no means by which to remove him. The architects of the new democratic leadership election rules of 1965 had deliberately avoided a challenger provision or confidence procedure on the basis that they assumed that a failing party leader would voluntarily step aside (Fisher, 1977: 147-</w:t>
      </w:r>
      <w:r w:rsidR="00D154B2" w:rsidRPr="000C18E7">
        <w:rPr>
          <w:rFonts w:ascii="Times New Roman" w:hAnsi="Times New Roman" w:cs="Times New Roman"/>
          <w:sz w:val="24"/>
          <w:szCs w:val="24"/>
        </w:rPr>
        <w:t>14</w:t>
      </w:r>
      <w:r w:rsidR="00814BB5" w:rsidRPr="000C18E7">
        <w:rPr>
          <w:rFonts w:ascii="Times New Roman" w:hAnsi="Times New Roman" w:cs="Times New Roman"/>
          <w:sz w:val="24"/>
          <w:szCs w:val="24"/>
        </w:rPr>
        <w:t xml:space="preserve">8). </w:t>
      </w:r>
      <w:r w:rsidR="00157847" w:rsidRPr="000C18E7">
        <w:rPr>
          <w:rFonts w:ascii="Times New Roman" w:hAnsi="Times New Roman" w:cs="Times New Roman"/>
          <w:sz w:val="24"/>
          <w:szCs w:val="24"/>
        </w:rPr>
        <w:t xml:space="preserve">Ziegler provides an interesting interpretation of the interaction between the inevitability of a General Election shortly and the lack of a procedural mechanism for the Conservatives to utilise – he describes Heath being paradoxically both ‘weak’ and ‘impregnable’ (Ziegler, 2010: 448). </w:t>
      </w:r>
    </w:p>
    <w:p w14:paraId="452856B7" w14:textId="534C9E1B" w:rsidR="004742C8" w:rsidRPr="000C18E7" w:rsidRDefault="004808C7" w:rsidP="00806D17">
      <w:pPr>
        <w:spacing w:after="0" w:line="480" w:lineRule="auto"/>
        <w:ind w:firstLine="720"/>
        <w:jc w:val="both"/>
        <w:rPr>
          <w:rFonts w:ascii="Times New Roman" w:hAnsi="Times New Roman" w:cs="Times New Roman"/>
          <w:sz w:val="24"/>
          <w:szCs w:val="24"/>
        </w:rPr>
      </w:pPr>
      <w:r w:rsidRPr="000C18E7">
        <w:rPr>
          <w:rFonts w:ascii="Times New Roman" w:hAnsi="Times New Roman" w:cs="Times New Roman"/>
          <w:sz w:val="24"/>
          <w:szCs w:val="24"/>
        </w:rPr>
        <w:t xml:space="preserve">As he entered </w:t>
      </w:r>
      <w:r w:rsidR="00814BB5" w:rsidRPr="000C18E7">
        <w:rPr>
          <w:rFonts w:ascii="Times New Roman" w:hAnsi="Times New Roman" w:cs="Times New Roman"/>
          <w:sz w:val="24"/>
          <w:szCs w:val="24"/>
        </w:rPr>
        <w:t>his second spell as Leader of the Opposition</w:t>
      </w:r>
      <w:r w:rsidR="00DC4BCF" w:rsidRPr="000C18E7">
        <w:rPr>
          <w:rFonts w:ascii="Times New Roman" w:hAnsi="Times New Roman" w:cs="Times New Roman"/>
          <w:sz w:val="24"/>
          <w:szCs w:val="24"/>
        </w:rPr>
        <w:t>,</w:t>
      </w:r>
      <w:r w:rsidR="00814BB5" w:rsidRPr="000C18E7">
        <w:rPr>
          <w:rFonts w:ascii="Times New Roman" w:hAnsi="Times New Roman" w:cs="Times New Roman"/>
          <w:sz w:val="24"/>
          <w:szCs w:val="24"/>
        </w:rPr>
        <w:t xml:space="preserve"> it was also necessary for Heath to demonstrate that the Conservatives were a credible government in waiting. As such, Heath would recall in his memoirs that ‘as soon as the February election was over, we had started work on the policies which would feature in our next manifesto’ (Heath, 1998: 523).</w:t>
      </w:r>
      <w:r w:rsidR="004742C8" w:rsidRPr="000C18E7">
        <w:rPr>
          <w:rFonts w:ascii="Times New Roman" w:hAnsi="Times New Roman" w:cs="Times New Roman"/>
          <w:sz w:val="24"/>
          <w:szCs w:val="24"/>
        </w:rPr>
        <w:t xml:space="preserve"> Yet Heath seemed incapable of acknowledging or addressing the fact that one of the biggest obstacles to the Conservatives regaining office was him</w:t>
      </w:r>
      <w:r w:rsidR="006A5639" w:rsidRPr="000C18E7">
        <w:rPr>
          <w:rFonts w:ascii="Times New Roman" w:hAnsi="Times New Roman" w:cs="Times New Roman"/>
          <w:sz w:val="24"/>
          <w:szCs w:val="24"/>
        </w:rPr>
        <w:t xml:space="preserve"> – i.e.</w:t>
      </w:r>
      <w:r w:rsidR="004742C8" w:rsidRPr="000C18E7">
        <w:rPr>
          <w:rFonts w:ascii="Times New Roman" w:hAnsi="Times New Roman" w:cs="Times New Roman"/>
          <w:sz w:val="24"/>
          <w:szCs w:val="24"/>
        </w:rPr>
        <w:t xml:space="preserve"> </w:t>
      </w:r>
      <w:r w:rsidR="006A5639" w:rsidRPr="000C18E7">
        <w:rPr>
          <w:rFonts w:ascii="Times New Roman" w:hAnsi="Times New Roman" w:cs="Times New Roman"/>
          <w:sz w:val="24"/>
          <w:szCs w:val="24"/>
        </w:rPr>
        <w:t>h</w:t>
      </w:r>
      <w:r w:rsidR="004742C8" w:rsidRPr="000C18E7">
        <w:rPr>
          <w:rFonts w:ascii="Times New Roman" w:hAnsi="Times New Roman" w:cs="Times New Roman"/>
          <w:sz w:val="24"/>
          <w:szCs w:val="24"/>
        </w:rPr>
        <w:t>is image was tainted and g</w:t>
      </w:r>
      <w:r w:rsidR="00814BB5" w:rsidRPr="000C18E7">
        <w:rPr>
          <w:rFonts w:ascii="Times New Roman" w:hAnsi="Times New Roman" w:cs="Times New Roman"/>
          <w:sz w:val="24"/>
          <w:szCs w:val="24"/>
        </w:rPr>
        <w:t>iven the memory of his premiership lingered as one of defeats, divisions, and a failed crisis election it was difficult for the Conservatives to repackage him as an emotionally intelligent leader who understood the concerns of voters. Conservative</w:t>
      </w:r>
      <w:r w:rsidR="006A5639" w:rsidRPr="000C18E7">
        <w:rPr>
          <w:rFonts w:ascii="Times New Roman" w:hAnsi="Times New Roman" w:cs="Times New Roman"/>
          <w:sz w:val="24"/>
          <w:szCs w:val="24"/>
        </w:rPr>
        <w:t xml:space="preserve"> strategists</w:t>
      </w:r>
      <w:r w:rsidR="00814BB5" w:rsidRPr="000C18E7">
        <w:rPr>
          <w:rFonts w:ascii="Times New Roman" w:hAnsi="Times New Roman" w:cs="Times New Roman"/>
          <w:sz w:val="24"/>
          <w:szCs w:val="24"/>
        </w:rPr>
        <w:t xml:space="preserve"> had long understood that his inability to show empathy or emotions acted as a barrier between himself and the voters. His style of communication remained cool, detached and ridged when talking to voters through broadcast media. </w:t>
      </w:r>
      <w:r w:rsidRPr="000C18E7">
        <w:rPr>
          <w:rFonts w:ascii="Times New Roman" w:hAnsi="Times New Roman" w:cs="Times New Roman"/>
          <w:sz w:val="24"/>
          <w:szCs w:val="24"/>
        </w:rPr>
        <w:t>This had been a problem for the duration of his tenure as leader of the Conservative Party and strategists had long worried about his ‘s</w:t>
      </w:r>
      <w:r w:rsidR="00DC4BCF" w:rsidRPr="000C18E7">
        <w:rPr>
          <w:rFonts w:ascii="Times New Roman" w:hAnsi="Times New Roman" w:cs="Times New Roman"/>
          <w:sz w:val="24"/>
          <w:szCs w:val="24"/>
        </w:rPr>
        <w:t>tiff, odd, tense and humourless’</w:t>
      </w:r>
      <w:r w:rsidRPr="000C18E7">
        <w:rPr>
          <w:rFonts w:ascii="Times New Roman" w:hAnsi="Times New Roman" w:cs="Times New Roman"/>
          <w:sz w:val="24"/>
          <w:szCs w:val="24"/>
        </w:rPr>
        <w:t xml:space="preserve"> public persona’ (Campbell, 1993: 189; see also Ziegler, 2010: 184-</w:t>
      </w:r>
      <w:r w:rsidR="00D154B2" w:rsidRPr="000C18E7">
        <w:rPr>
          <w:rFonts w:ascii="Times New Roman" w:hAnsi="Times New Roman" w:cs="Times New Roman"/>
          <w:sz w:val="24"/>
          <w:szCs w:val="24"/>
        </w:rPr>
        <w:t>18</w:t>
      </w:r>
      <w:r w:rsidRPr="000C18E7">
        <w:rPr>
          <w:rFonts w:ascii="Times New Roman" w:hAnsi="Times New Roman" w:cs="Times New Roman"/>
          <w:sz w:val="24"/>
          <w:szCs w:val="24"/>
        </w:rPr>
        <w:t>8; 231-</w:t>
      </w:r>
      <w:r w:rsidR="00D154B2" w:rsidRPr="000C18E7">
        <w:rPr>
          <w:rFonts w:ascii="Times New Roman" w:hAnsi="Times New Roman" w:cs="Times New Roman"/>
          <w:sz w:val="24"/>
          <w:szCs w:val="24"/>
        </w:rPr>
        <w:t>23</w:t>
      </w:r>
      <w:r w:rsidRPr="000C18E7">
        <w:rPr>
          <w:rFonts w:ascii="Times New Roman" w:hAnsi="Times New Roman" w:cs="Times New Roman"/>
          <w:sz w:val="24"/>
          <w:szCs w:val="24"/>
        </w:rPr>
        <w:t xml:space="preserve">2; and for an illustration discussions on how to improve his public image during his first tenure as Leader of the Opposition, see CPA CCO 20/8/10, ‘How to Show Mr Heath as he really is’, 12 June 1967). </w:t>
      </w:r>
    </w:p>
    <w:p w14:paraId="39CF0CEA" w14:textId="3890114A" w:rsidR="005D3E29" w:rsidRPr="000C18E7" w:rsidRDefault="005D3E29" w:rsidP="00806D17">
      <w:pPr>
        <w:spacing w:after="0" w:line="480" w:lineRule="auto"/>
        <w:ind w:firstLine="720"/>
        <w:jc w:val="both"/>
        <w:rPr>
          <w:rFonts w:ascii="Times New Roman" w:hAnsi="Times New Roman" w:cs="Times New Roman"/>
          <w:sz w:val="24"/>
          <w:szCs w:val="24"/>
        </w:rPr>
      </w:pPr>
      <w:r w:rsidRPr="000C18E7">
        <w:rPr>
          <w:rFonts w:ascii="Times New Roman" w:hAnsi="Times New Roman" w:cs="Times New Roman"/>
          <w:sz w:val="24"/>
          <w:szCs w:val="24"/>
        </w:rPr>
        <w:lastRenderedPageBreak/>
        <w:t xml:space="preserve">In the period between the February and October 1974 General Elections there was no evidence from the opinion polls of any improvement in the image of Heath. On the question of whether he ‘is or is not proving to be a good leader’ those that thought that he was went down – from 38 percent in April 1974 to 32 percent by October 1974 – and those that thought he was not went up – from 48 percent in April 1974 to 53 percent by October 1974. His second tenure as Leader of the Opposition began with a minus 10 for leadership satisfaction and by the time of the General Election of October 1974 his efforts had converted a minus 10 percentage score </w:t>
      </w:r>
      <w:r w:rsidR="00DC4BCF" w:rsidRPr="000C18E7">
        <w:rPr>
          <w:rFonts w:ascii="Times New Roman" w:hAnsi="Times New Roman" w:cs="Times New Roman"/>
          <w:sz w:val="24"/>
          <w:szCs w:val="24"/>
        </w:rPr>
        <w:t>into a minus 21</w:t>
      </w:r>
      <w:r w:rsidRPr="000C18E7">
        <w:rPr>
          <w:rFonts w:ascii="Times New Roman" w:hAnsi="Times New Roman" w:cs="Times New Roman"/>
          <w:sz w:val="24"/>
          <w:szCs w:val="24"/>
        </w:rPr>
        <w:t xml:space="preserve"> percentage score (King and Wybrow, 2001: 207). </w:t>
      </w:r>
      <w:r w:rsidR="002C1C13" w:rsidRPr="000C18E7">
        <w:rPr>
          <w:rFonts w:ascii="Times New Roman" w:hAnsi="Times New Roman" w:cs="Times New Roman"/>
          <w:sz w:val="24"/>
          <w:szCs w:val="24"/>
        </w:rPr>
        <w:t xml:space="preserve">These findings were replicated in terms of the projected vote: at the time of the General Election of February 1974 the Conservatives were on 39 percent to Labour on 37 percent; by June 1974 the Conservatives were down to 35 percent and Labour up to 44 percent; and by the time Wilson called the General Election of October 1974 the Conservatives were still trialling the Labour Party (by six percentage points), with the Conservatives on 36 percent and the Labour Party on 42 percent, </w:t>
      </w:r>
      <w:r w:rsidR="00D154B2" w:rsidRPr="000C18E7">
        <w:rPr>
          <w:rFonts w:ascii="Times New Roman" w:hAnsi="Times New Roman" w:cs="Times New Roman"/>
          <w:sz w:val="24"/>
          <w:szCs w:val="24"/>
        </w:rPr>
        <w:t>(</w:t>
      </w:r>
      <w:r w:rsidR="002C1C13" w:rsidRPr="000C18E7">
        <w:rPr>
          <w:rFonts w:ascii="Times New Roman" w:hAnsi="Times New Roman" w:cs="Times New Roman"/>
          <w:sz w:val="24"/>
          <w:szCs w:val="24"/>
        </w:rPr>
        <w:t>King and Wybrow, 2001: 11-12). It is also worth noting that the Conservatives were in retreat on the following question throughout 1974: ‘which party do you think can best handle the problems of the current economic situation?’ – at the time of General Election of February 1974</w:t>
      </w:r>
      <w:r w:rsidR="00DC4BCF" w:rsidRPr="000C18E7">
        <w:rPr>
          <w:rFonts w:ascii="Times New Roman" w:hAnsi="Times New Roman" w:cs="Times New Roman"/>
          <w:sz w:val="24"/>
          <w:szCs w:val="24"/>
        </w:rPr>
        <w:t>,</w:t>
      </w:r>
      <w:r w:rsidR="002C1C13" w:rsidRPr="000C18E7">
        <w:rPr>
          <w:rFonts w:ascii="Times New Roman" w:hAnsi="Times New Roman" w:cs="Times New Roman"/>
          <w:sz w:val="24"/>
          <w:szCs w:val="24"/>
        </w:rPr>
        <w:t xml:space="preserve"> the Conservatives held a small lead over Labour (35 percent to 32 percent) but as they approached the General Election of October 1974</w:t>
      </w:r>
      <w:r w:rsidR="00DC4BCF" w:rsidRPr="000C18E7">
        <w:rPr>
          <w:rFonts w:ascii="Times New Roman" w:hAnsi="Times New Roman" w:cs="Times New Roman"/>
          <w:sz w:val="24"/>
          <w:szCs w:val="24"/>
        </w:rPr>
        <w:t>,</w:t>
      </w:r>
      <w:r w:rsidR="002C1C13" w:rsidRPr="000C18E7">
        <w:rPr>
          <w:rFonts w:ascii="Times New Roman" w:hAnsi="Times New Roman" w:cs="Times New Roman"/>
          <w:sz w:val="24"/>
          <w:szCs w:val="24"/>
        </w:rPr>
        <w:t xml:space="preserve"> the Labour response had remained more or less stable (at 31 percent) whereas the Conservative had fallen seven percentage points, and with them on 28 percent they not trialled Labour by three percentage points (King and Wybrow, 2001: 58).</w:t>
      </w:r>
    </w:p>
    <w:p w14:paraId="0D0C0926" w14:textId="0EF00A9D" w:rsidR="00BE51DE" w:rsidRPr="000C18E7" w:rsidRDefault="00F41868" w:rsidP="00806D17">
      <w:pPr>
        <w:spacing w:after="0" w:line="480" w:lineRule="auto"/>
        <w:ind w:firstLine="720"/>
        <w:jc w:val="both"/>
        <w:rPr>
          <w:rFonts w:ascii="Times New Roman" w:hAnsi="Times New Roman" w:cs="Times New Roman"/>
          <w:sz w:val="24"/>
          <w:szCs w:val="24"/>
        </w:rPr>
      </w:pPr>
      <w:r w:rsidRPr="000C18E7">
        <w:rPr>
          <w:rFonts w:ascii="Times New Roman" w:hAnsi="Times New Roman" w:cs="Times New Roman"/>
          <w:sz w:val="24"/>
          <w:szCs w:val="24"/>
        </w:rPr>
        <w:t>Throughout the period between March and October 1974 t</w:t>
      </w:r>
      <w:r w:rsidR="002C1C13" w:rsidRPr="000C18E7">
        <w:rPr>
          <w:rFonts w:ascii="Times New Roman" w:hAnsi="Times New Roman" w:cs="Times New Roman"/>
          <w:sz w:val="24"/>
          <w:szCs w:val="24"/>
        </w:rPr>
        <w:t>here was</w:t>
      </w:r>
      <w:r w:rsidRPr="000C18E7">
        <w:rPr>
          <w:rFonts w:ascii="Times New Roman" w:hAnsi="Times New Roman" w:cs="Times New Roman"/>
          <w:sz w:val="24"/>
          <w:szCs w:val="24"/>
        </w:rPr>
        <w:t>,</w:t>
      </w:r>
      <w:r w:rsidR="002C1C13" w:rsidRPr="000C18E7">
        <w:rPr>
          <w:rFonts w:ascii="Times New Roman" w:hAnsi="Times New Roman" w:cs="Times New Roman"/>
          <w:sz w:val="24"/>
          <w:szCs w:val="24"/>
        </w:rPr>
        <w:t xml:space="preserve"> </w:t>
      </w:r>
      <w:r w:rsidRPr="000C18E7">
        <w:rPr>
          <w:rFonts w:ascii="Times New Roman" w:hAnsi="Times New Roman" w:cs="Times New Roman"/>
          <w:sz w:val="24"/>
          <w:szCs w:val="24"/>
        </w:rPr>
        <w:t xml:space="preserve">therefore, </w:t>
      </w:r>
      <w:r w:rsidR="002C1C13" w:rsidRPr="000C18E7">
        <w:rPr>
          <w:rFonts w:ascii="Times New Roman" w:hAnsi="Times New Roman" w:cs="Times New Roman"/>
          <w:sz w:val="24"/>
          <w:szCs w:val="24"/>
        </w:rPr>
        <w:t>little evidence to suggest that the Conservatives would be capable of winning a parliamentary majority – i.e. 318 seats – at the General Election (they would need</w:t>
      </w:r>
      <w:r w:rsidR="00DC4BCF" w:rsidRPr="000C18E7">
        <w:rPr>
          <w:rFonts w:ascii="Times New Roman" w:hAnsi="Times New Roman" w:cs="Times New Roman"/>
          <w:sz w:val="24"/>
          <w:szCs w:val="24"/>
        </w:rPr>
        <w:t xml:space="preserve"> to make 21</w:t>
      </w:r>
      <w:r w:rsidR="002C1C13" w:rsidRPr="000C18E7">
        <w:rPr>
          <w:rFonts w:ascii="Times New Roman" w:hAnsi="Times New Roman" w:cs="Times New Roman"/>
          <w:sz w:val="24"/>
          <w:szCs w:val="24"/>
        </w:rPr>
        <w:t xml:space="preserve"> gains to do so). </w:t>
      </w:r>
      <w:r w:rsidRPr="000C18E7">
        <w:rPr>
          <w:rFonts w:ascii="Times New Roman" w:hAnsi="Times New Roman" w:cs="Times New Roman"/>
          <w:sz w:val="24"/>
          <w:szCs w:val="24"/>
        </w:rPr>
        <w:t xml:space="preserve">Given this evidence and the possibility of another hung Parliament, the Conservatives were considering other options to ensure they could gain access to power. The complacency that they had shown towards the Liberals in the last Parliament would have to be addressed. The importance that they would now attach to the Liberals is evident from the interventions of Ian Gilmour, who was shadow Secretary of State for Defence in the Heath shadow Cabinet. He emphasised to Heath shortly after losing office that ‘the need for good relations with the minor parties is unlikely to be confined to this Parliament’, before adding that ‘almost the only chance of our avoiding defeat in the summer would be to make a limited electoral pact with the Liberals’ (CPA, CCO, 20/2/7 ‘Ian Gilmour to Edward Heath’, 26 March 1974). </w:t>
      </w:r>
    </w:p>
    <w:p w14:paraId="6484C5DA" w14:textId="29D3D59F" w:rsidR="00E8104C" w:rsidRPr="000C18E7" w:rsidRDefault="00BE51DE" w:rsidP="00806D17">
      <w:pPr>
        <w:spacing w:after="0" w:line="480" w:lineRule="auto"/>
        <w:ind w:firstLine="720"/>
        <w:jc w:val="both"/>
        <w:rPr>
          <w:rFonts w:ascii="Times New Roman" w:hAnsi="Times New Roman" w:cs="Times New Roman"/>
          <w:sz w:val="24"/>
          <w:szCs w:val="24"/>
        </w:rPr>
      </w:pPr>
      <w:r w:rsidRPr="000C18E7">
        <w:rPr>
          <w:rFonts w:ascii="Times New Roman" w:hAnsi="Times New Roman" w:cs="Times New Roman"/>
          <w:sz w:val="24"/>
          <w:szCs w:val="24"/>
        </w:rPr>
        <w:lastRenderedPageBreak/>
        <w:t>As Gilmour continued to</w:t>
      </w:r>
      <w:r w:rsidR="003A4A15" w:rsidRPr="000C18E7">
        <w:rPr>
          <w:rFonts w:ascii="Times New Roman" w:hAnsi="Times New Roman" w:cs="Times New Roman"/>
          <w:sz w:val="24"/>
          <w:szCs w:val="24"/>
        </w:rPr>
        <w:t xml:space="preserve"> use the print media as a means of mapping out the future options for the Conservatives, including </w:t>
      </w:r>
      <w:r w:rsidRPr="000C18E7">
        <w:rPr>
          <w:rFonts w:ascii="Times New Roman" w:hAnsi="Times New Roman" w:cs="Times New Roman"/>
          <w:sz w:val="24"/>
          <w:szCs w:val="24"/>
        </w:rPr>
        <w:t>th</w:t>
      </w:r>
      <w:r w:rsidR="003A4A15" w:rsidRPr="000C18E7">
        <w:rPr>
          <w:rFonts w:ascii="Times New Roman" w:hAnsi="Times New Roman" w:cs="Times New Roman"/>
          <w:sz w:val="24"/>
          <w:szCs w:val="24"/>
        </w:rPr>
        <w:t>at</w:t>
      </w:r>
      <w:r w:rsidRPr="000C18E7">
        <w:rPr>
          <w:rFonts w:ascii="Times New Roman" w:hAnsi="Times New Roman" w:cs="Times New Roman"/>
          <w:sz w:val="24"/>
          <w:szCs w:val="24"/>
        </w:rPr>
        <w:t xml:space="preserve"> need to appeal to Liberals (Gilmour, </w:t>
      </w:r>
      <w:r w:rsidR="003A4A15" w:rsidRPr="000C18E7">
        <w:rPr>
          <w:rFonts w:ascii="Times New Roman" w:hAnsi="Times New Roman" w:cs="Times New Roman"/>
          <w:sz w:val="24"/>
          <w:szCs w:val="24"/>
        </w:rPr>
        <w:t xml:space="preserve">1974a, 1974b, </w:t>
      </w:r>
      <w:r w:rsidRPr="000C18E7">
        <w:rPr>
          <w:rFonts w:ascii="Times New Roman" w:hAnsi="Times New Roman" w:cs="Times New Roman"/>
          <w:sz w:val="24"/>
          <w:szCs w:val="24"/>
        </w:rPr>
        <w:t>1974</w:t>
      </w:r>
      <w:r w:rsidR="003A4A15" w:rsidRPr="000C18E7">
        <w:rPr>
          <w:rFonts w:ascii="Times New Roman" w:hAnsi="Times New Roman" w:cs="Times New Roman"/>
          <w:sz w:val="24"/>
          <w:szCs w:val="24"/>
        </w:rPr>
        <w:t>c</w:t>
      </w:r>
      <w:r w:rsidRPr="000C18E7">
        <w:rPr>
          <w:rFonts w:ascii="Times New Roman" w:hAnsi="Times New Roman" w:cs="Times New Roman"/>
          <w:sz w:val="24"/>
          <w:szCs w:val="24"/>
        </w:rPr>
        <w:t>)</w:t>
      </w:r>
      <w:r w:rsidR="00DC4BCF" w:rsidRPr="000C18E7">
        <w:rPr>
          <w:rFonts w:ascii="Times New Roman" w:hAnsi="Times New Roman" w:cs="Times New Roman"/>
          <w:sz w:val="24"/>
          <w:szCs w:val="24"/>
        </w:rPr>
        <w:t>,</w:t>
      </w:r>
      <w:r w:rsidRPr="000C18E7">
        <w:rPr>
          <w:rFonts w:ascii="Times New Roman" w:hAnsi="Times New Roman" w:cs="Times New Roman"/>
          <w:sz w:val="24"/>
          <w:szCs w:val="24"/>
        </w:rPr>
        <w:t xml:space="preserve"> the complexities and risks associated with this were being identified. Backbencher Nigel Lawson was concerned to make sure that the Conservatives were clear on arrangements with the Liberals that would be beneficial and those that would be harmful. He </w:t>
      </w:r>
      <w:r w:rsidR="007C2174" w:rsidRPr="000C18E7">
        <w:rPr>
          <w:rFonts w:ascii="Times New Roman" w:hAnsi="Times New Roman" w:cs="Times New Roman"/>
          <w:sz w:val="24"/>
          <w:szCs w:val="24"/>
        </w:rPr>
        <w:t xml:space="preserve">informed Carrington, as Party Chair, that </w:t>
      </w:r>
      <w:r w:rsidRPr="000C18E7">
        <w:rPr>
          <w:rFonts w:ascii="Times New Roman" w:hAnsi="Times New Roman" w:cs="Times New Roman"/>
          <w:sz w:val="24"/>
          <w:szCs w:val="24"/>
        </w:rPr>
        <w:t>there were legitimate grounds for discussing some form of limited pact with the Liberals in 67 constituencies</w:t>
      </w:r>
      <w:r w:rsidR="007C2174" w:rsidRPr="000C18E7">
        <w:rPr>
          <w:rFonts w:ascii="Times New Roman" w:hAnsi="Times New Roman" w:cs="Times New Roman"/>
          <w:sz w:val="24"/>
          <w:szCs w:val="24"/>
        </w:rPr>
        <w:t xml:space="preserve"> (CPA, CCO, 20/2/7 ‘Letter from Lawson to Carrington’, 24 May 1974). </w:t>
      </w:r>
      <w:r w:rsidRPr="000C18E7">
        <w:rPr>
          <w:rFonts w:ascii="Times New Roman" w:hAnsi="Times New Roman" w:cs="Times New Roman"/>
          <w:sz w:val="24"/>
          <w:szCs w:val="24"/>
        </w:rPr>
        <w:t>Lawson argued that this could lead to gains for the Conservatives totalling 31 seats and gains for the Liberals totall</w:t>
      </w:r>
      <w:r w:rsidR="00073788" w:rsidRPr="000C18E7">
        <w:rPr>
          <w:rFonts w:ascii="Times New Roman" w:hAnsi="Times New Roman" w:cs="Times New Roman"/>
          <w:sz w:val="24"/>
          <w:szCs w:val="24"/>
        </w:rPr>
        <w:t>ing</w:t>
      </w:r>
      <w:r w:rsidRPr="000C18E7">
        <w:rPr>
          <w:rFonts w:ascii="Times New Roman" w:hAnsi="Times New Roman" w:cs="Times New Roman"/>
          <w:sz w:val="24"/>
          <w:szCs w:val="24"/>
        </w:rPr>
        <w:t xml:space="preserve"> 3</w:t>
      </w:r>
      <w:r w:rsidR="007C2174" w:rsidRPr="000C18E7">
        <w:rPr>
          <w:rFonts w:ascii="Times New Roman" w:hAnsi="Times New Roman" w:cs="Times New Roman"/>
          <w:sz w:val="24"/>
          <w:szCs w:val="24"/>
        </w:rPr>
        <w:t>6</w:t>
      </w:r>
      <w:r w:rsidRPr="000C18E7">
        <w:rPr>
          <w:rFonts w:ascii="Times New Roman" w:hAnsi="Times New Roman" w:cs="Times New Roman"/>
          <w:sz w:val="24"/>
          <w:szCs w:val="24"/>
        </w:rPr>
        <w:t xml:space="preserve"> seats. He suggested that the short-term gain to the Liberals in terms of their parliamentary representation</w:t>
      </w:r>
      <w:r w:rsidR="007C2174" w:rsidRPr="000C18E7">
        <w:rPr>
          <w:rFonts w:ascii="Times New Roman" w:hAnsi="Times New Roman" w:cs="Times New Roman"/>
          <w:sz w:val="24"/>
          <w:szCs w:val="24"/>
        </w:rPr>
        <w:t xml:space="preserve"> (enabling them to have potentially 50 seats)</w:t>
      </w:r>
      <w:r w:rsidRPr="000C18E7">
        <w:rPr>
          <w:rFonts w:ascii="Times New Roman" w:hAnsi="Times New Roman" w:cs="Times New Roman"/>
          <w:sz w:val="24"/>
          <w:szCs w:val="24"/>
        </w:rPr>
        <w:t xml:space="preserve"> might act as </w:t>
      </w:r>
      <w:r w:rsidR="007C2174" w:rsidRPr="000C18E7">
        <w:rPr>
          <w:rFonts w:ascii="Times New Roman" w:hAnsi="Times New Roman" w:cs="Times New Roman"/>
          <w:sz w:val="24"/>
          <w:szCs w:val="24"/>
        </w:rPr>
        <w:t xml:space="preserve">a </w:t>
      </w:r>
      <w:r w:rsidRPr="000C18E7">
        <w:rPr>
          <w:rFonts w:ascii="Times New Roman" w:hAnsi="Times New Roman" w:cs="Times New Roman"/>
          <w:sz w:val="24"/>
          <w:szCs w:val="24"/>
        </w:rPr>
        <w:t xml:space="preserve">means of stalling the issue of electoral reform. Meanwhile the gains that the Conservatives </w:t>
      </w:r>
      <w:r w:rsidR="007C2174" w:rsidRPr="000C18E7">
        <w:rPr>
          <w:rFonts w:ascii="Times New Roman" w:hAnsi="Times New Roman" w:cs="Times New Roman"/>
          <w:sz w:val="24"/>
          <w:szCs w:val="24"/>
        </w:rPr>
        <w:t>would secure from the pact would provide them with a majority: i.e. if they hold all of their 297 current seats it would take them pas</w:t>
      </w:r>
      <w:r w:rsidR="00073788" w:rsidRPr="000C18E7">
        <w:rPr>
          <w:rFonts w:ascii="Times New Roman" w:hAnsi="Times New Roman" w:cs="Times New Roman"/>
          <w:sz w:val="24"/>
          <w:szCs w:val="24"/>
        </w:rPr>
        <w:t>t</w:t>
      </w:r>
      <w:r w:rsidR="007C2174" w:rsidRPr="000C18E7">
        <w:rPr>
          <w:rFonts w:ascii="Times New Roman" w:hAnsi="Times New Roman" w:cs="Times New Roman"/>
          <w:sz w:val="24"/>
          <w:szCs w:val="24"/>
        </w:rPr>
        <w:t xml:space="preserve"> the majority figure of 318 seats, whilst the 67 losses that the Labour Party would suffer would pull them back down to 234 seats. The longer-term value of this was clear to Lawson: ‘having used an electoral pact to gain an overall majority, we might then revoke the pact at the next election and annihilate the Liberals’ (CPA, CCO, 20/2/7 ‘Letter from Lawson to Carrington’, 24 May 1974).</w:t>
      </w:r>
    </w:p>
    <w:p w14:paraId="607E1F58" w14:textId="6CF9FC61" w:rsidR="00F87752" w:rsidRPr="000C18E7" w:rsidRDefault="007C2174" w:rsidP="00806D17">
      <w:pPr>
        <w:spacing w:after="0" w:line="480" w:lineRule="auto"/>
        <w:ind w:firstLine="720"/>
        <w:jc w:val="both"/>
        <w:rPr>
          <w:rFonts w:ascii="Times New Roman" w:hAnsi="Times New Roman" w:cs="Times New Roman"/>
          <w:sz w:val="24"/>
          <w:szCs w:val="24"/>
        </w:rPr>
      </w:pPr>
      <w:r w:rsidRPr="000C18E7">
        <w:rPr>
          <w:rFonts w:ascii="Times New Roman" w:hAnsi="Times New Roman" w:cs="Times New Roman"/>
          <w:sz w:val="24"/>
          <w:szCs w:val="24"/>
        </w:rPr>
        <w:t>Neither Carrington or Heath were convinced by the calculations that Lawson had constructed. They were of course built on the assumption that votes for parties would simply transfer across as a block, which was not a legitimate assumption to make</w:t>
      </w:r>
      <w:r w:rsidR="00E8104C" w:rsidRPr="000C18E7">
        <w:rPr>
          <w:rStyle w:val="FootnoteReference"/>
          <w:rFonts w:ascii="Times New Roman" w:hAnsi="Times New Roman" w:cs="Times New Roman"/>
          <w:sz w:val="24"/>
          <w:szCs w:val="24"/>
        </w:rPr>
        <w:footnoteReference w:id="5"/>
      </w:r>
      <w:r w:rsidRPr="000C18E7">
        <w:rPr>
          <w:rFonts w:ascii="Times New Roman" w:hAnsi="Times New Roman" w:cs="Times New Roman"/>
          <w:sz w:val="24"/>
          <w:szCs w:val="24"/>
        </w:rPr>
        <w:t>.</w:t>
      </w:r>
      <w:r w:rsidR="00E8104C" w:rsidRPr="000C18E7">
        <w:rPr>
          <w:rFonts w:ascii="Times New Roman" w:hAnsi="Times New Roman" w:cs="Times New Roman"/>
          <w:sz w:val="24"/>
          <w:szCs w:val="24"/>
        </w:rPr>
        <w:t xml:space="preserve"> Heath feared that the translation of votes on block would not work in a uniform </w:t>
      </w:r>
      <w:r w:rsidR="00E8104C" w:rsidRPr="000C18E7">
        <w:rPr>
          <w:rFonts w:ascii="Times New Roman" w:hAnsi="Times New Roman" w:cs="Times New Roman"/>
          <w:sz w:val="24"/>
          <w:szCs w:val="24"/>
        </w:rPr>
        <w:lastRenderedPageBreak/>
        <w:t xml:space="preserve">way and as such, ‘there was a real danger of creating a Conservative minority government through </w:t>
      </w:r>
      <w:r w:rsidR="00E8104C" w:rsidRPr="000C18E7">
        <w:rPr>
          <w:rFonts w:ascii="Times New Roman" w:hAnsi="Times New Roman" w:cs="Times New Roman"/>
          <w:i/>
          <w:iCs/>
          <w:sz w:val="24"/>
          <w:szCs w:val="24"/>
        </w:rPr>
        <w:t>giving away</w:t>
      </w:r>
      <w:r w:rsidR="00E8104C" w:rsidRPr="000C18E7">
        <w:rPr>
          <w:rFonts w:ascii="Times New Roman" w:hAnsi="Times New Roman" w:cs="Times New Roman"/>
          <w:sz w:val="24"/>
          <w:szCs w:val="24"/>
        </w:rPr>
        <w:t xml:space="preserve"> seats to the Liberals’ (CPA, SC 74/2-27, 1 April 1974). Carrington also worried about how an electoral pact could be presented to voters arguing that this is ‘too sophisticated for the public to understand’ (CPA</w:t>
      </w:r>
      <w:r w:rsidR="00302695" w:rsidRPr="000C18E7">
        <w:rPr>
          <w:rFonts w:ascii="Times New Roman" w:hAnsi="Times New Roman" w:cs="Times New Roman"/>
          <w:sz w:val="24"/>
          <w:szCs w:val="24"/>
        </w:rPr>
        <w:t xml:space="preserve">, </w:t>
      </w:r>
      <w:r w:rsidR="00E8104C" w:rsidRPr="000C18E7">
        <w:rPr>
          <w:rFonts w:ascii="Times New Roman" w:hAnsi="Times New Roman" w:cs="Times New Roman"/>
          <w:sz w:val="24"/>
          <w:szCs w:val="24"/>
        </w:rPr>
        <w:t xml:space="preserve">SC 74/4, 1 July 1974). </w:t>
      </w:r>
      <w:r w:rsidR="00F87752" w:rsidRPr="000C18E7">
        <w:rPr>
          <w:rFonts w:ascii="Times New Roman" w:hAnsi="Times New Roman" w:cs="Times New Roman"/>
          <w:sz w:val="24"/>
          <w:szCs w:val="24"/>
        </w:rPr>
        <w:t>How it would be viewed by Conservative activists was also a consideration, especially given the assumption that they would ‘still regard office as a prize they have no wish to share with others’ (Ramsden, 1996: 386).</w:t>
      </w:r>
    </w:p>
    <w:p w14:paraId="08D2172C" w14:textId="7F5BBDBA" w:rsidR="00340A71" w:rsidRPr="000C18E7" w:rsidRDefault="00302695" w:rsidP="00806D17">
      <w:pPr>
        <w:spacing w:after="0" w:line="480" w:lineRule="auto"/>
        <w:ind w:firstLine="720"/>
        <w:jc w:val="both"/>
        <w:rPr>
          <w:rFonts w:ascii="Times New Roman" w:hAnsi="Times New Roman" w:cs="Times New Roman"/>
          <w:sz w:val="24"/>
          <w:szCs w:val="24"/>
        </w:rPr>
      </w:pPr>
      <w:r w:rsidRPr="000C18E7">
        <w:rPr>
          <w:rFonts w:ascii="Times New Roman" w:hAnsi="Times New Roman" w:cs="Times New Roman"/>
          <w:sz w:val="24"/>
          <w:szCs w:val="24"/>
        </w:rPr>
        <w:t xml:space="preserve">However, given the evidence from the opinion polls throughout the summer of 1974, the Conservatives continued to fret about their ability to win an outright parliamentary majority (CPA, CCO, 180/34/2/9 ‘Third Post Election Survey: Summary and Analysis, 13 August 1974). As a consequence, Heath </w:t>
      </w:r>
      <w:r w:rsidR="00F92965" w:rsidRPr="000C18E7">
        <w:rPr>
          <w:rFonts w:ascii="Times New Roman" w:hAnsi="Times New Roman" w:cs="Times New Roman"/>
          <w:sz w:val="24"/>
          <w:szCs w:val="24"/>
        </w:rPr>
        <w:t xml:space="preserve">moved towards a strategy that </w:t>
      </w:r>
      <w:r w:rsidRPr="000C18E7">
        <w:rPr>
          <w:rFonts w:ascii="Times New Roman" w:hAnsi="Times New Roman" w:cs="Times New Roman"/>
          <w:sz w:val="24"/>
          <w:szCs w:val="24"/>
        </w:rPr>
        <w:t>tr</w:t>
      </w:r>
      <w:r w:rsidR="00F92965" w:rsidRPr="000C18E7">
        <w:rPr>
          <w:rFonts w:ascii="Times New Roman" w:hAnsi="Times New Roman" w:cs="Times New Roman"/>
          <w:sz w:val="24"/>
          <w:szCs w:val="24"/>
        </w:rPr>
        <w:t>ied</w:t>
      </w:r>
      <w:r w:rsidRPr="000C18E7">
        <w:rPr>
          <w:rFonts w:ascii="Times New Roman" w:hAnsi="Times New Roman" w:cs="Times New Roman"/>
          <w:sz w:val="24"/>
          <w:szCs w:val="24"/>
        </w:rPr>
        <w:t xml:space="preserve"> </w:t>
      </w:r>
      <w:r w:rsidR="00F92965" w:rsidRPr="000C18E7">
        <w:rPr>
          <w:rFonts w:ascii="Times New Roman" w:hAnsi="Times New Roman" w:cs="Times New Roman"/>
          <w:sz w:val="24"/>
          <w:szCs w:val="24"/>
        </w:rPr>
        <w:t>to</w:t>
      </w:r>
      <w:r w:rsidRPr="000C18E7">
        <w:rPr>
          <w:rFonts w:ascii="Times New Roman" w:hAnsi="Times New Roman" w:cs="Times New Roman"/>
          <w:sz w:val="24"/>
          <w:szCs w:val="24"/>
        </w:rPr>
        <w:t xml:space="preserve"> convince voters that national unity was more important than single party rule</w:t>
      </w:r>
      <w:r w:rsidR="00493F19" w:rsidRPr="000C18E7">
        <w:rPr>
          <w:rFonts w:ascii="Times New Roman" w:hAnsi="Times New Roman" w:cs="Times New Roman"/>
          <w:sz w:val="24"/>
          <w:szCs w:val="24"/>
        </w:rPr>
        <w:t xml:space="preserve"> </w:t>
      </w:r>
      <w:r w:rsidR="00F92965" w:rsidRPr="000C18E7">
        <w:rPr>
          <w:rFonts w:ascii="Times New Roman" w:hAnsi="Times New Roman" w:cs="Times New Roman"/>
          <w:sz w:val="24"/>
          <w:szCs w:val="24"/>
        </w:rPr>
        <w:t>(Behrens, 1980: 27-</w:t>
      </w:r>
      <w:r w:rsidR="00D154B2" w:rsidRPr="000C18E7">
        <w:rPr>
          <w:rFonts w:ascii="Times New Roman" w:hAnsi="Times New Roman" w:cs="Times New Roman"/>
          <w:sz w:val="24"/>
          <w:szCs w:val="24"/>
        </w:rPr>
        <w:t>2</w:t>
      </w:r>
      <w:r w:rsidR="00F92965" w:rsidRPr="000C18E7">
        <w:rPr>
          <w:rFonts w:ascii="Times New Roman" w:hAnsi="Times New Roman" w:cs="Times New Roman"/>
          <w:sz w:val="24"/>
          <w:szCs w:val="24"/>
        </w:rPr>
        <w:t>8)</w:t>
      </w:r>
      <w:r w:rsidR="00493F19" w:rsidRPr="000C18E7">
        <w:rPr>
          <w:rFonts w:ascii="Times New Roman" w:hAnsi="Times New Roman" w:cs="Times New Roman"/>
          <w:sz w:val="24"/>
          <w:szCs w:val="24"/>
        </w:rPr>
        <w:t>.</w:t>
      </w:r>
      <w:r w:rsidRPr="000C18E7">
        <w:rPr>
          <w:rFonts w:ascii="Times New Roman" w:hAnsi="Times New Roman" w:cs="Times New Roman"/>
          <w:sz w:val="24"/>
          <w:szCs w:val="24"/>
        </w:rPr>
        <w:t xml:space="preserve"> If he was able to do this then he contended it might be possible for Heath to return to Number 10 as a unifying figure with the Conservatives as the largest player. </w:t>
      </w:r>
      <w:r w:rsidR="00340A71" w:rsidRPr="000C18E7">
        <w:rPr>
          <w:rFonts w:ascii="Times New Roman" w:hAnsi="Times New Roman" w:cs="Times New Roman"/>
          <w:sz w:val="24"/>
          <w:szCs w:val="24"/>
        </w:rPr>
        <w:t>Furthermore, the hostility that existed with the Labour ranks towards co-operation made Heath certain that it would be impossible for Wilson (and any alternative figure within the Labour Party) to lead them into either a coalition, or to lead up a Government of National Unity (CPA, SC, 74/2-27, 1 July 1974).</w:t>
      </w:r>
    </w:p>
    <w:p w14:paraId="6A13D06D" w14:textId="09A2BCC5" w:rsidR="00302695" w:rsidRPr="000C18E7" w:rsidRDefault="00302695" w:rsidP="00806D17">
      <w:pPr>
        <w:spacing w:after="0" w:line="480" w:lineRule="auto"/>
        <w:ind w:firstLine="720"/>
        <w:jc w:val="both"/>
        <w:rPr>
          <w:rFonts w:ascii="Times New Roman" w:hAnsi="Times New Roman" w:cs="Times New Roman"/>
          <w:sz w:val="24"/>
          <w:szCs w:val="24"/>
        </w:rPr>
      </w:pPr>
      <w:r w:rsidRPr="000C18E7">
        <w:rPr>
          <w:rFonts w:ascii="Times New Roman" w:hAnsi="Times New Roman" w:cs="Times New Roman"/>
          <w:sz w:val="24"/>
          <w:szCs w:val="24"/>
        </w:rPr>
        <w:t xml:space="preserve">Ultimately, this </w:t>
      </w:r>
      <w:r w:rsidR="00340A71" w:rsidRPr="000C18E7">
        <w:rPr>
          <w:rFonts w:ascii="Times New Roman" w:hAnsi="Times New Roman" w:cs="Times New Roman"/>
          <w:sz w:val="24"/>
          <w:szCs w:val="24"/>
        </w:rPr>
        <w:t xml:space="preserve">ploy </w:t>
      </w:r>
      <w:r w:rsidRPr="000C18E7">
        <w:rPr>
          <w:rFonts w:ascii="Times New Roman" w:hAnsi="Times New Roman" w:cs="Times New Roman"/>
          <w:sz w:val="24"/>
          <w:szCs w:val="24"/>
        </w:rPr>
        <w:t>became a part of the manifesto</w:t>
      </w:r>
      <w:r w:rsidR="00D0044C" w:rsidRPr="000C18E7">
        <w:rPr>
          <w:rFonts w:ascii="Times New Roman" w:hAnsi="Times New Roman" w:cs="Times New Roman"/>
          <w:sz w:val="24"/>
          <w:szCs w:val="24"/>
        </w:rPr>
        <w:t>, when Wilson decided (on September 18) to call a General Election, which was to be on October 10 (</w:t>
      </w:r>
      <w:r w:rsidR="0056680B" w:rsidRPr="000C18E7">
        <w:rPr>
          <w:rFonts w:ascii="Times New Roman" w:hAnsi="Times New Roman" w:cs="Times New Roman"/>
          <w:sz w:val="24"/>
          <w:szCs w:val="24"/>
        </w:rPr>
        <w:t>Pimlott, 1992: 643</w:t>
      </w:r>
      <w:r w:rsidR="00D0044C" w:rsidRPr="000C18E7">
        <w:rPr>
          <w:rFonts w:ascii="Times New Roman" w:hAnsi="Times New Roman" w:cs="Times New Roman"/>
          <w:sz w:val="24"/>
          <w:szCs w:val="24"/>
        </w:rPr>
        <w:t xml:space="preserve">). The Conservative Party manifesto stated that: </w:t>
      </w:r>
    </w:p>
    <w:p w14:paraId="6CDC442C" w14:textId="77777777" w:rsidR="00302695" w:rsidRPr="000C18E7" w:rsidRDefault="00302695" w:rsidP="00806D17">
      <w:pPr>
        <w:spacing w:after="0" w:line="480" w:lineRule="auto"/>
        <w:ind w:left="720"/>
        <w:jc w:val="both"/>
        <w:rPr>
          <w:rFonts w:ascii="Times New Roman" w:hAnsi="Times New Roman" w:cs="Times New Roman"/>
          <w:sz w:val="24"/>
          <w:szCs w:val="24"/>
        </w:rPr>
      </w:pPr>
    </w:p>
    <w:p w14:paraId="2B2FD30C" w14:textId="01C3897F" w:rsidR="00302695" w:rsidRPr="000C18E7" w:rsidRDefault="00302695" w:rsidP="00806D17">
      <w:pPr>
        <w:spacing w:after="0" w:line="480" w:lineRule="auto"/>
        <w:ind w:left="720"/>
        <w:jc w:val="both"/>
        <w:rPr>
          <w:rFonts w:ascii="Times New Roman" w:hAnsi="Times New Roman" w:cs="Times New Roman"/>
          <w:sz w:val="24"/>
          <w:szCs w:val="24"/>
        </w:rPr>
      </w:pPr>
      <w:r w:rsidRPr="000C18E7">
        <w:rPr>
          <w:rFonts w:ascii="Times New Roman" w:hAnsi="Times New Roman" w:cs="Times New Roman"/>
          <w:sz w:val="24"/>
          <w:szCs w:val="24"/>
        </w:rPr>
        <w:t xml:space="preserve">it is our objective to win a clear majority, but we will use that majority above all to unite the nation, we will consult and confer with the leaders of other parties, we will invite people from outside the ranks of our own party to join us in overcoming </w:t>
      </w:r>
      <w:r w:rsidR="00DC4BCF" w:rsidRPr="000C18E7">
        <w:rPr>
          <w:rFonts w:ascii="Times New Roman" w:hAnsi="Times New Roman" w:cs="Times New Roman"/>
          <w:sz w:val="24"/>
          <w:szCs w:val="24"/>
        </w:rPr>
        <w:t xml:space="preserve">Britain’s difficulties </w:t>
      </w:r>
      <w:r w:rsidRPr="000C18E7">
        <w:rPr>
          <w:rFonts w:ascii="Times New Roman" w:hAnsi="Times New Roman" w:cs="Times New Roman"/>
          <w:sz w:val="24"/>
          <w:szCs w:val="24"/>
        </w:rPr>
        <w:t xml:space="preserve">(Conservative Party, 1974b). </w:t>
      </w:r>
    </w:p>
    <w:p w14:paraId="445F7EEB" w14:textId="77777777" w:rsidR="00302695" w:rsidRPr="000C18E7" w:rsidRDefault="00302695" w:rsidP="00806D17">
      <w:pPr>
        <w:spacing w:after="0" w:line="480" w:lineRule="auto"/>
        <w:jc w:val="both"/>
        <w:rPr>
          <w:rFonts w:ascii="Times New Roman" w:hAnsi="Times New Roman" w:cs="Times New Roman"/>
          <w:color w:val="7030A0"/>
          <w:sz w:val="24"/>
          <w:szCs w:val="24"/>
        </w:rPr>
      </w:pPr>
    </w:p>
    <w:p w14:paraId="4BB8E9E5" w14:textId="77777777" w:rsidR="005C08B2" w:rsidRPr="000C18E7" w:rsidRDefault="00302695" w:rsidP="00806D17">
      <w:pPr>
        <w:spacing w:after="0" w:line="480" w:lineRule="auto"/>
        <w:jc w:val="both"/>
        <w:rPr>
          <w:rFonts w:ascii="Times New Roman" w:hAnsi="Times New Roman" w:cs="Times New Roman"/>
          <w:sz w:val="24"/>
          <w:szCs w:val="24"/>
        </w:rPr>
      </w:pPr>
      <w:r w:rsidRPr="000C18E7">
        <w:rPr>
          <w:rFonts w:ascii="Times New Roman" w:hAnsi="Times New Roman" w:cs="Times New Roman"/>
          <w:sz w:val="24"/>
          <w:szCs w:val="24"/>
        </w:rPr>
        <w:t xml:space="preserve">Heath defended this position in </w:t>
      </w:r>
      <w:r w:rsidR="005C08B2" w:rsidRPr="000C18E7">
        <w:rPr>
          <w:rFonts w:ascii="Times New Roman" w:hAnsi="Times New Roman" w:cs="Times New Roman"/>
          <w:sz w:val="24"/>
          <w:szCs w:val="24"/>
        </w:rPr>
        <w:t>his memoirs, arguing that:</w:t>
      </w:r>
    </w:p>
    <w:p w14:paraId="4BF46700" w14:textId="77777777" w:rsidR="005C08B2" w:rsidRPr="000C18E7" w:rsidRDefault="005C08B2" w:rsidP="00806D17">
      <w:pPr>
        <w:spacing w:after="0" w:line="480" w:lineRule="auto"/>
        <w:jc w:val="both"/>
        <w:rPr>
          <w:rFonts w:ascii="Times New Roman" w:hAnsi="Times New Roman" w:cs="Times New Roman"/>
          <w:sz w:val="24"/>
          <w:szCs w:val="24"/>
        </w:rPr>
      </w:pPr>
    </w:p>
    <w:p w14:paraId="09D64BA1" w14:textId="3FC32C40" w:rsidR="006E461A" w:rsidRPr="000C18E7" w:rsidRDefault="00302695" w:rsidP="00806D17">
      <w:pPr>
        <w:spacing w:after="0" w:line="480" w:lineRule="auto"/>
        <w:ind w:left="720"/>
        <w:jc w:val="both"/>
        <w:rPr>
          <w:rFonts w:ascii="Times New Roman" w:hAnsi="Times New Roman" w:cs="Times New Roman"/>
          <w:sz w:val="24"/>
          <w:szCs w:val="24"/>
        </w:rPr>
      </w:pPr>
      <w:r w:rsidRPr="000C18E7">
        <w:rPr>
          <w:rFonts w:ascii="Times New Roman" w:hAnsi="Times New Roman" w:cs="Times New Roman"/>
          <w:sz w:val="24"/>
          <w:szCs w:val="24"/>
        </w:rPr>
        <w:t xml:space="preserve">this was a difficult concept to put across, as cynics were bound to say that it was forced out of us by the expectation of defeat. It would have held good, however, whether we had formed a minority government </w:t>
      </w:r>
      <w:r w:rsidR="00DC4BCF" w:rsidRPr="000C18E7">
        <w:rPr>
          <w:rFonts w:ascii="Times New Roman" w:hAnsi="Times New Roman" w:cs="Times New Roman"/>
          <w:sz w:val="24"/>
          <w:szCs w:val="24"/>
        </w:rPr>
        <w:t>or won a landslide victory</w:t>
      </w:r>
      <w:r w:rsidRPr="000C18E7">
        <w:rPr>
          <w:rFonts w:ascii="Times New Roman" w:hAnsi="Times New Roman" w:cs="Times New Roman"/>
          <w:sz w:val="24"/>
          <w:szCs w:val="24"/>
        </w:rPr>
        <w:t xml:space="preserve"> (Heath, 1998: 524). </w:t>
      </w:r>
    </w:p>
    <w:p w14:paraId="519452B2" w14:textId="77777777" w:rsidR="006E461A" w:rsidRPr="000C18E7" w:rsidRDefault="006E461A" w:rsidP="00806D17">
      <w:pPr>
        <w:spacing w:after="0" w:line="480" w:lineRule="auto"/>
        <w:jc w:val="both"/>
        <w:rPr>
          <w:rFonts w:ascii="Times New Roman" w:hAnsi="Times New Roman" w:cs="Times New Roman"/>
          <w:sz w:val="24"/>
          <w:szCs w:val="24"/>
        </w:rPr>
      </w:pPr>
    </w:p>
    <w:p w14:paraId="02239BC8" w14:textId="28F0D790" w:rsidR="00F87752" w:rsidRPr="000C18E7" w:rsidRDefault="006E461A" w:rsidP="00806D17">
      <w:pPr>
        <w:spacing w:after="0" w:line="480" w:lineRule="auto"/>
        <w:ind w:firstLine="720"/>
        <w:jc w:val="both"/>
        <w:rPr>
          <w:rFonts w:ascii="Times New Roman" w:hAnsi="Times New Roman" w:cs="Times New Roman"/>
          <w:sz w:val="24"/>
          <w:szCs w:val="24"/>
        </w:rPr>
      </w:pPr>
      <w:r w:rsidRPr="000C18E7">
        <w:rPr>
          <w:rFonts w:ascii="Times New Roman" w:hAnsi="Times New Roman" w:cs="Times New Roman"/>
          <w:sz w:val="24"/>
          <w:szCs w:val="24"/>
        </w:rPr>
        <w:t xml:space="preserve">How viable was the idea of some form of national unity government? One problem was that there was voter scepticism about the sincerity of the offer by the Conservatives. </w:t>
      </w:r>
      <w:r w:rsidR="005A67D0" w:rsidRPr="000C18E7">
        <w:rPr>
          <w:rFonts w:ascii="Times New Roman" w:hAnsi="Times New Roman" w:cs="Times New Roman"/>
          <w:sz w:val="24"/>
          <w:szCs w:val="24"/>
        </w:rPr>
        <w:t xml:space="preserve">Some voters felt that it might be a ‘trick’ – i.e. that the Conservatives were using the rhetoric of ‘national unity’ to actually secure partisan advantage (Butler and Kavanagh, 1975: 261). </w:t>
      </w:r>
      <w:r w:rsidR="00F87752" w:rsidRPr="000C18E7">
        <w:rPr>
          <w:rFonts w:ascii="Times New Roman" w:hAnsi="Times New Roman" w:cs="Times New Roman"/>
          <w:sz w:val="24"/>
          <w:szCs w:val="24"/>
        </w:rPr>
        <w:t xml:space="preserve">Wilson sought to stimulate those doubts being dismissing Heath’s plan as a recipe for ‘Con policies, Con leadership by a Con party for a Con trick’ (Pimlott, 1992: 646). </w:t>
      </w:r>
    </w:p>
    <w:p w14:paraId="6B96DDD8" w14:textId="6B727100" w:rsidR="00A16D0D" w:rsidRPr="000C18E7" w:rsidRDefault="005A67D0" w:rsidP="00806D17">
      <w:pPr>
        <w:spacing w:after="0" w:line="480" w:lineRule="auto"/>
        <w:ind w:firstLine="720"/>
        <w:jc w:val="both"/>
        <w:rPr>
          <w:rFonts w:ascii="Times New Roman" w:hAnsi="Times New Roman" w:cs="Times New Roman"/>
          <w:color w:val="FF0000"/>
          <w:sz w:val="24"/>
          <w:szCs w:val="24"/>
        </w:rPr>
      </w:pPr>
      <w:r w:rsidRPr="000C18E7">
        <w:rPr>
          <w:rFonts w:ascii="Times New Roman" w:hAnsi="Times New Roman" w:cs="Times New Roman"/>
          <w:sz w:val="24"/>
          <w:szCs w:val="24"/>
        </w:rPr>
        <w:t>But the main problem was the idea of Heath as the Prime Minister of a national unity administration</w:t>
      </w:r>
      <w:r w:rsidR="00B6162E" w:rsidRPr="000C18E7">
        <w:rPr>
          <w:rFonts w:ascii="Times New Roman" w:hAnsi="Times New Roman" w:cs="Times New Roman"/>
          <w:sz w:val="24"/>
          <w:szCs w:val="24"/>
        </w:rPr>
        <w:t xml:space="preserve">. </w:t>
      </w:r>
      <w:r w:rsidRPr="000C18E7">
        <w:rPr>
          <w:rFonts w:ascii="Times New Roman" w:hAnsi="Times New Roman" w:cs="Times New Roman"/>
          <w:sz w:val="24"/>
          <w:szCs w:val="24"/>
        </w:rPr>
        <w:t>How plausible was it for him to present himself as a candidate for consensus or unity in the General Election of October when he had presented himself as a candidate or conviction and confrontation in the ‘Who Governs’ General Election of February</w:t>
      </w:r>
      <w:r w:rsidR="00073788" w:rsidRPr="000C18E7">
        <w:rPr>
          <w:rFonts w:ascii="Times New Roman" w:hAnsi="Times New Roman" w:cs="Times New Roman"/>
          <w:sz w:val="24"/>
          <w:szCs w:val="24"/>
        </w:rPr>
        <w:t xml:space="preserve"> 1974</w:t>
      </w:r>
      <w:r w:rsidR="00636BB8" w:rsidRPr="000C18E7">
        <w:rPr>
          <w:rFonts w:ascii="Times New Roman" w:hAnsi="Times New Roman" w:cs="Times New Roman"/>
          <w:sz w:val="24"/>
          <w:szCs w:val="24"/>
        </w:rPr>
        <w:t xml:space="preserve"> – a change in style and role </w:t>
      </w:r>
      <w:r w:rsidR="00B6162E" w:rsidRPr="000C18E7">
        <w:rPr>
          <w:rFonts w:ascii="Times New Roman" w:hAnsi="Times New Roman" w:cs="Times New Roman"/>
          <w:sz w:val="24"/>
          <w:szCs w:val="24"/>
        </w:rPr>
        <w:t>may</w:t>
      </w:r>
      <w:r w:rsidR="00636BB8" w:rsidRPr="000C18E7">
        <w:rPr>
          <w:rFonts w:ascii="Times New Roman" w:hAnsi="Times New Roman" w:cs="Times New Roman"/>
          <w:sz w:val="24"/>
          <w:szCs w:val="24"/>
        </w:rPr>
        <w:t xml:space="preserve"> not fool voters (Wood, 1974). </w:t>
      </w:r>
      <w:r w:rsidR="00A16D0D" w:rsidRPr="000C18E7">
        <w:rPr>
          <w:rFonts w:ascii="Times New Roman" w:hAnsi="Times New Roman" w:cs="Times New Roman"/>
          <w:sz w:val="24"/>
          <w:szCs w:val="24"/>
        </w:rPr>
        <w:t xml:space="preserve">Press speculation developed which suggested that a government of national unity might be a viable option but that Heath might need to be sacrificed by the Conservatives to aid this prospect. Shortly before polling day, the </w:t>
      </w:r>
      <w:r w:rsidR="00A16D0D" w:rsidRPr="000C18E7">
        <w:rPr>
          <w:rFonts w:ascii="Times New Roman" w:hAnsi="Times New Roman" w:cs="Times New Roman"/>
          <w:i/>
          <w:iCs/>
          <w:sz w:val="24"/>
          <w:szCs w:val="24"/>
        </w:rPr>
        <w:t xml:space="preserve">Guardian </w:t>
      </w:r>
      <w:r w:rsidR="00A16D0D" w:rsidRPr="000C18E7">
        <w:rPr>
          <w:rFonts w:ascii="Times New Roman" w:hAnsi="Times New Roman" w:cs="Times New Roman"/>
          <w:sz w:val="24"/>
          <w:szCs w:val="24"/>
        </w:rPr>
        <w:t xml:space="preserve">reported that </w:t>
      </w:r>
    </w:p>
    <w:p w14:paraId="6FA337BC" w14:textId="77777777" w:rsidR="00A16D0D" w:rsidRPr="000C18E7" w:rsidRDefault="00A16D0D" w:rsidP="00806D17">
      <w:pPr>
        <w:spacing w:after="0" w:line="480" w:lineRule="auto"/>
        <w:ind w:firstLine="720"/>
        <w:jc w:val="both"/>
        <w:rPr>
          <w:rFonts w:ascii="Times New Roman" w:hAnsi="Times New Roman" w:cs="Times New Roman"/>
          <w:sz w:val="24"/>
          <w:szCs w:val="24"/>
        </w:rPr>
      </w:pPr>
    </w:p>
    <w:p w14:paraId="34095DC4" w14:textId="5A9EC9AB" w:rsidR="00A16D0D" w:rsidRPr="000C18E7" w:rsidRDefault="005A67D0" w:rsidP="00806D17">
      <w:pPr>
        <w:spacing w:after="0" w:line="480" w:lineRule="auto"/>
        <w:ind w:left="720"/>
        <w:jc w:val="both"/>
        <w:rPr>
          <w:rFonts w:ascii="Times New Roman" w:hAnsi="Times New Roman" w:cs="Times New Roman"/>
          <w:sz w:val="24"/>
          <w:szCs w:val="24"/>
        </w:rPr>
      </w:pPr>
      <w:r w:rsidRPr="000C18E7">
        <w:rPr>
          <w:rFonts w:ascii="Times New Roman" w:hAnsi="Times New Roman" w:cs="Times New Roman"/>
          <w:sz w:val="24"/>
          <w:szCs w:val="24"/>
        </w:rPr>
        <w:t xml:space="preserve">Tory strategists say that Mr Edward Heath may be on the point of declaring unambiguously that if elected with a majority he will seek to form a coalition of parties to lead the country through the crisis. According to his aides Mr Heath would be prepared to stand down were his leadership to be the obstacle to the </w:t>
      </w:r>
      <w:r w:rsidR="00DC4BCF" w:rsidRPr="000C18E7">
        <w:rPr>
          <w:rFonts w:ascii="Times New Roman" w:hAnsi="Times New Roman" w:cs="Times New Roman"/>
          <w:sz w:val="24"/>
          <w:szCs w:val="24"/>
        </w:rPr>
        <w:t>formation of a coalition</w:t>
      </w:r>
      <w:r w:rsidRPr="000C18E7">
        <w:rPr>
          <w:rFonts w:ascii="Times New Roman" w:hAnsi="Times New Roman" w:cs="Times New Roman"/>
          <w:sz w:val="24"/>
          <w:szCs w:val="24"/>
        </w:rPr>
        <w:t xml:space="preserve"> (</w:t>
      </w:r>
      <w:r w:rsidRPr="000C18E7">
        <w:rPr>
          <w:rFonts w:ascii="Times New Roman" w:hAnsi="Times New Roman" w:cs="Times New Roman"/>
          <w:i/>
          <w:iCs/>
          <w:sz w:val="24"/>
          <w:szCs w:val="24"/>
        </w:rPr>
        <w:t>Guardian</w:t>
      </w:r>
      <w:r w:rsidRPr="000C18E7">
        <w:rPr>
          <w:rFonts w:ascii="Times New Roman" w:hAnsi="Times New Roman" w:cs="Times New Roman"/>
          <w:sz w:val="24"/>
          <w:szCs w:val="24"/>
        </w:rPr>
        <w:t xml:space="preserve">, 1974). </w:t>
      </w:r>
    </w:p>
    <w:p w14:paraId="015BD1AC" w14:textId="77777777" w:rsidR="00A16D0D" w:rsidRPr="000C18E7" w:rsidRDefault="00A16D0D" w:rsidP="00806D17">
      <w:pPr>
        <w:spacing w:after="0" w:line="480" w:lineRule="auto"/>
        <w:jc w:val="both"/>
        <w:rPr>
          <w:rFonts w:ascii="Times New Roman" w:hAnsi="Times New Roman" w:cs="Times New Roman"/>
          <w:sz w:val="24"/>
          <w:szCs w:val="24"/>
        </w:rPr>
      </w:pPr>
    </w:p>
    <w:p w14:paraId="7DC36110" w14:textId="18AB99F0" w:rsidR="005763D1" w:rsidRPr="000C18E7" w:rsidRDefault="0095225F" w:rsidP="00806D17">
      <w:pPr>
        <w:spacing w:after="0" w:line="480" w:lineRule="auto"/>
        <w:ind w:firstLine="720"/>
        <w:jc w:val="both"/>
        <w:rPr>
          <w:rFonts w:ascii="Times New Roman" w:hAnsi="Times New Roman" w:cs="Times New Roman"/>
          <w:sz w:val="24"/>
          <w:szCs w:val="24"/>
        </w:rPr>
      </w:pPr>
      <w:r w:rsidRPr="000C18E7">
        <w:rPr>
          <w:rFonts w:ascii="Times New Roman" w:hAnsi="Times New Roman" w:cs="Times New Roman"/>
          <w:sz w:val="24"/>
          <w:szCs w:val="24"/>
        </w:rPr>
        <w:t xml:space="preserve">This suggestion </w:t>
      </w:r>
      <w:r w:rsidR="005A67D0" w:rsidRPr="000C18E7">
        <w:rPr>
          <w:rFonts w:ascii="Times New Roman" w:hAnsi="Times New Roman" w:cs="Times New Roman"/>
          <w:sz w:val="24"/>
          <w:szCs w:val="24"/>
        </w:rPr>
        <w:t>illustrate</w:t>
      </w:r>
      <w:r w:rsidR="00A16D0D" w:rsidRPr="000C18E7">
        <w:rPr>
          <w:rFonts w:ascii="Times New Roman" w:hAnsi="Times New Roman" w:cs="Times New Roman"/>
          <w:sz w:val="24"/>
          <w:szCs w:val="24"/>
        </w:rPr>
        <w:t>d</w:t>
      </w:r>
      <w:r w:rsidR="005A67D0" w:rsidRPr="000C18E7">
        <w:rPr>
          <w:rFonts w:ascii="Times New Roman" w:hAnsi="Times New Roman" w:cs="Times New Roman"/>
          <w:sz w:val="24"/>
          <w:szCs w:val="24"/>
        </w:rPr>
        <w:t xml:space="preserve"> the depth to which </w:t>
      </w:r>
      <w:r w:rsidRPr="000C18E7">
        <w:rPr>
          <w:rFonts w:ascii="Times New Roman" w:hAnsi="Times New Roman" w:cs="Times New Roman"/>
          <w:sz w:val="24"/>
          <w:szCs w:val="24"/>
        </w:rPr>
        <w:t>Heath’s</w:t>
      </w:r>
      <w:r w:rsidR="005A67D0" w:rsidRPr="000C18E7">
        <w:rPr>
          <w:rFonts w:ascii="Times New Roman" w:hAnsi="Times New Roman" w:cs="Times New Roman"/>
          <w:sz w:val="24"/>
          <w:szCs w:val="24"/>
        </w:rPr>
        <w:t xml:space="preserve"> leadership </w:t>
      </w:r>
      <w:r w:rsidRPr="000C18E7">
        <w:rPr>
          <w:rFonts w:ascii="Times New Roman" w:hAnsi="Times New Roman" w:cs="Times New Roman"/>
          <w:sz w:val="24"/>
          <w:szCs w:val="24"/>
        </w:rPr>
        <w:t>was being questioned (Garnett, 2012: 94-</w:t>
      </w:r>
      <w:r w:rsidR="00D154B2" w:rsidRPr="000C18E7">
        <w:rPr>
          <w:rFonts w:ascii="Times New Roman" w:hAnsi="Times New Roman" w:cs="Times New Roman"/>
          <w:sz w:val="24"/>
          <w:szCs w:val="24"/>
        </w:rPr>
        <w:t>9</w:t>
      </w:r>
      <w:r w:rsidRPr="000C18E7">
        <w:rPr>
          <w:rFonts w:ascii="Times New Roman" w:hAnsi="Times New Roman" w:cs="Times New Roman"/>
          <w:sz w:val="24"/>
          <w:szCs w:val="24"/>
        </w:rPr>
        <w:t xml:space="preserve">5). </w:t>
      </w:r>
      <w:r w:rsidR="00E74E97" w:rsidRPr="000C18E7">
        <w:rPr>
          <w:rFonts w:ascii="Times New Roman" w:hAnsi="Times New Roman" w:cs="Times New Roman"/>
          <w:sz w:val="24"/>
          <w:szCs w:val="24"/>
        </w:rPr>
        <w:t xml:space="preserve">Irrespective of </w:t>
      </w:r>
      <w:r w:rsidR="00F73203" w:rsidRPr="000C18E7">
        <w:rPr>
          <w:rFonts w:ascii="Times New Roman" w:hAnsi="Times New Roman" w:cs="Times New Roman"/>
          <w:sz w:val="24"/>
          <w:szCs w:val="24"/>
        </w:rPr>
        <w:t xml:space="preserve">how </w:t>
      </w:r>
      <w:r w:rsidR="00E74E97" w:rsidRPr="000C18E7">
        <w:rPr>
          <w:rFonts w:ascii="Times New Roman" w:hAnsi="Times New Roman" w:cs="Times New Roman"/>
          <w:sz w:val="24"/>
          <w:szCs w:val="24"/>
        </w:rPr>
        <w:t>well it was viewed within his own ranks</w:t>
      </w:r>
      <w:r w:rsidR="00DC4BCF" w:rsidRPr="000C18E7">
        <w:rPr>
          <w:rFonts w:ascii="Times New Roman" w:hAnsi="Times New Roman" w:cs="Times New Roman"/>
          <w:sz w:val="24"/>
          <w:szCs w:val="24"/>
        </w:rPr>
        <w:t>,</w:t>
      </w:r>
      <w:r w:rsidR="00E74E97" w:rsidRPr="000C18E7">
        <w:rPr>
          <w:rFonts w:ascii="Times New Roman" w:hAnsi="Times New Roman" w:cs="Times New Roman"/>
          <w:sz w:val="24"/>
          <w:szCs w:val="24"/>
        </w:rPr>
        <w:t xml:space="preserve"> Heath continued to push this position – indeed his final message to Conservative activists before polling day was unambiguous as he argued ‘the real </w:t>
      </w:r>
      <w:r w:rsidR="00E74E97" w:rsidRPr="000C18E7">
        <w:rPr>
          <w:rFonts w:ascii="Times New Roman" w:hAnsi="Times New Roman" w:cs="Times New Roman"/>
          <w:sz w:val="24"/>
          <w:szCs w:val="24"/>
        </w:rPr>
        <w:lastRenderedPageBreak/>
        <w:t xml:space="preserve">hope of the British people in </w:t>
      </w:r>
      <w:r w:rsidR="00E74E97" w:rsidRPr="000C18E7">
        <w:rPr>
          <w:rFonts w:ascii="Times New Roman" w:hAnsi="Times New Roman" w:cs="Times New Roman"/>
          <w:i/>
          <w:iCs/>
          <w:sz w:val="24"/>
          <w:szCs w:val="24"/>
        </w:rPr>
        <w:t>this situation</w:t>
      </w:r>
      <w:r w:rsidR="00E74E97" w:rsidRPr="000C18E7">
        <w:rPr>
          <w:rFonts w:ascii="Times New Roman" w:hAnsi="Times New Roman" w:cs="Times New Roman"/>
          <w:sz w:val="24"/>
          <w:szCs w:val="24"/>
        </w:rPr>
        <w:t xml:space="preserve"> is that a National Coalition government, involving all the parties, should be formed’ (Heath, 1974). </w:t>
      </w:r>
    </w:p>
    <w:p w14:paraId="4DDCBBE1" w14:textId="4523D9D9" w:rsidR="005763D1" w:rsidRPr="000C18E7" w:rsidRDefault="005763D1" w:rsidP="00806D17">
      <w:pPr>
        <w:spacing w:after="0" w:line="480" w:lineRule="auto"/>
        <w:ind w:firstLine="720"/>
        <w:jc w:val="both"/>
        <w:rPr>
          <w:rFonts w:ascii="Times New Roman" w:hAnsi="Times New Roman" w:cs="Times New Roman"/>
          <w:sz w:val="24"/>
          <w:szCs w:val="24"/>
        </w:rPr>
      </w:pPr>
      <w:r w:rsidRPr="000C18E7">
        <w:rPr>
          <w:rFonts w:ascii="Times New Roman" w:hAnsi="Times New Roman" w:cs="Times New Roman"/>
          <w:sz w:val="24"/>
          <w:szCs w:val="24"/>
        </w:rPr>
        <w:t xml:space="preserve">Heath would be denied his opportunity as Wilson and the Labour Party were able win a small parliamentary majority of three. </w:t>
      </w:r>
      <w:r w:rsidRPr="000C18E7">
        <w:rPr>
          <w:rFonts w:ascii="Times New Roman" w:hAnsi="Times New Roman" w:cs="Times New Roman"/>
          <w:iCs/>
          <w:sz w:val="24"/>
          <w:szCs w:val="24"/>
        </w:rPr>
        <w:t>The outcome of the General Election of October 1974 left the Conservatives in an even worse position. Their vote share fell fur</w:t>
      </w:r>
      <w:r w:rsidR="00DC4BCF" w:rsidRPr="000C18E7">
        <w:rPr>
          <w:rFonts w:ascii="Times New Roman" w:hAnsi="Times New Roman" w:cs="Times New Roman"/>
          <w:iCs/>
          <w:sz w:val="24"/>
          <w:szCs w:val="24"/>
        </w:rPr>
        <w:t>ther from 37.9 to 35.8 percent and</w:t>
      </w:r>
      <w:r w:rsidRPr="000C18E7">
        <w:rPr>
          <w:rFonts w:ascii="Times New Roman" w:hAnsi="Times New Roman" w:cs="Times New Roman"/>
          <w:iCs/>
          <w:sz w:val="24"/>
          <w:szCs w:val="24"/>
        </w:rPr>
        <w:t xml:space="preserve"> their return fell from 11,872,180 votes to 1</w:t>
      </w:r>
      <w:r w:rsidR="00DC4BCF" w:rsidRPr="000C18E7">
        <w:rPr>
          <w:rFonts w:ascii="Times New Roman" w:hAnsi="Times New Roman" w:cs="Times New Roman"/>
          <w:iCs/>
          <w:sz w:val="24"/>
          <w:szCs w:val="24"/>
        </w:rPr>
        <w:t xml:space="preserve">0,464,817 votes. In </w:t>
      </w:r>
      <w:r w:rsidRPr="000C18E7">
        <w:rPr>
          <w:rFonts w:ascii="Times New Roman" w:hAnsi="Times New Roman" w:cs="Times New Roman"/>
          <w:iCs/>
          <w:sz w:val="24"/>
          <w:szCs w:val="24"/>
        </w:rPr>
        <w:t>parliamentary terms</w:t>
      </w:r>
      <w:r w:rsidR="00DC4BCF" w:rsidRPr="000C18E7">
        <w:rPr>
          <w:rFonts w:ascii="Times New Roman" w:hAnsi="Times New Roman" w:cs="Times New Roman"/>
          <w:iCs/>
          <w:sz w:val="24"/>
          <w:szCs w:val="24"/>
        </w:rPr>
        <w:t>,</w:t>
      </w:r>
      <w:r w:rsidRPr="000C18E7">
        <w:rPr>
          <w:rFonts w:ascii="Times New Roman" w:hAnsi="Times New Roman" w:cs="Times New Roman"/>
          <w:iCs/>
          <w:sz w:val="24"/>
          <w:szCs w:val="24"/>
        </w:rPr>
        <w:t xml:space="preserve"> this resulted in a further </w:t>
      </w:r>
      <w:r w:rsidR="00DC4BCF" w:rsidRPr="000C18E7">
        <w:rPr>
          <w:rFonts w:ascii="Times New Roman" w:hAnsi="Times New Roman" w:cs="Times New Roman"/>
          <w:iCs/>
          <w:sz w:val="24"/>
          <w:szCs w:val="24"/>
        </w:rPr>
        <w:t>20</w:t>
      </w:r>
      <w:r w:rsidRPr="000C18E7">
        <w:rPr>
          <w:rFonts w:ascii="Times New Roman" w:hAnsi="Times New Roman" w:cs="Times New Roman"/>
          <w:iCs/>
          <w:sz w:val="24"/>
          <w:szCs w:val="24"/>
        </w:rPr>
        <w:t xml:space="preserve"> seats being lost</w:t>
      </w:r>
      <w:r w:rsidRPr="000C18E7">
        <w:rPr>
          <w:rFonts w:ascii="Times New Roman" w:hAnsi="Times New Roman" w:cs="Times New Roman"/>
          <w:sz w:val="24"/>
          <w:szCs w:val="24"/>
        </w:rPr>
        <w:t xml:space="preserve"> (Butler and Kavanagh, 1974, 1975). </w:t>
      </w:r>
    </w:p>
    <w:p w14:paraId="7AF776BB" w14:textId="77777777" w:rsidR="00B6162E" w:rsidRPr="000C18E7" w:rsidRDefault="00B6162E" w:rsidP="00806D17">
      <w:pPr>
        <w:spacing w:after="0" w:line="480" w:lineRule="auto"/>
        <w:jc w:val="both"/>
        <w:rPr>
          <w:rFonts w:ascii="Times New Roman" w:hAnsi="Times New Roman" w:cs="Times New Roman"/>
          <w:color w:val="7030A0"/>
          <w:sz w:val="24"/>
          <w:szCs w:val="24"/>
        </w:rPr>
      </w:pPr>
    </w:p>
    <w:p w14:paraId="0D57ACDB" w14:textId="638BFD35" w:rsidR="005E0D85" w:rsidRPr="000C18E7" w:rsidRDefault="005053D8" w:rsidP="00806D17">
      <w:pPr>
        <w:spacing w:after="0" w:line="480" w:lineRule="auto"/>
        <w:jc w:val="both"/>
        <w:rPr>
          <w:rFonts w:ascii="Times New Roman" w:hAnsi="Times New Roman" w:cs="Times New Roman"/>
          <w:b/>
          <w:bCs/>
          <w:iCs/>
          <w:sz w:val="24"/>
          <w:szCs w:val="24"/>
        </w:rPr>
      </w:pPr>
      <w:r w:rsidRPr="000C18E7">
        <w:rPr>
          <w:rFonts w:ascii="Times New Roman" w:hAnsi="Times New Roman" w:cs="Times New Roman"/>
          <w:b/>
          <w:bCs/>
          <w:iCs/>
          <w:sz w:val="24"/>
          <w:szCs w:val="24"/>
        </w:rPr>
        <w:t xml:space="preserve">Conclusion: </w:t>
      </w:r>
    </w:p>
    <w:p w14:paraId="348BCD17" w14:textId="0C7DD24B" w:rsidR="00E74E97" w:rsidRPr="000C18E7" w:rsidRDefault="00E74E97" w:rsidP="00806D17">
      <w:pPr>
        <w:spacing w:after="0" w:line="480" w:lineRule="auto"/>
        <w:jc w:val="both"/>
        <w:rPr>
          <w:rFonts w:ascii="Times New Roman" w:hAnsi="Times New Roman" w:cs="Times New Roman"/>
          <w:b/>
          <w:bCs/>
          <w:iCs/>
          <w:sz w:val="24"/>
          <w:szCs w:val="24"/>
        </w:rPr>
      </w:pPr>
    </w:p>
    <w:p w14:paraId="2A001225" w14:textId="22C47882" w:rsidR="003A4A15" w:rsidRPr="000C18E7" w:rsidRDefault="00E74E97" w:rsidP="00806D17">
      <w:pPr>
        <w:spacing w:after="0" w:line="480" w:lineRule="auto"/>
        <w:jc w:val="both"/>
        <w:rPr>
          <w:rFonts w:ascii="Times New Roman" w:hAnsi="Times New Roman" w:cs="Times New Roman"/>
          <w:sz w:val="24"/>
          <w:szCs w:val="24"/>
        </w:rPr>
      </w:pPr>
      <w:r w:rsidRPr="000C18E7">
        <w:rPr>
          <w:rFonts w:ascii="Times New Roman" w:hAnsi="Times New Roman" w:cs="Times New Roman"/>
          <w:iCs/>
          <w:color w:val="7030A0"/>
          <w:sz w:val="24"/>
          <w:szCs w:val="24"/>
        </w:rPr>
        <w:tab/>
      </w:r>
      <w:r w:rsidR="006B7A78" w:rsidRPr="000C18E7">
        <w:rPr>
          <w:rFonts w:ascii="Times New Roman" w:hAnsi="Times New Roman" w:cs="Times New Roman"/>
          <w:sz w:val="24"/>
          <w:szCs w:val="24"/>
        </w:rPr>
        <w:t xml:space="preserve"> </w:t>
      </w:r>
      <w:r w:rsidR="00F341C7" w:rsidRPr="000C18E7">
        <w:rPr>
          <w:rFonts w:ascii="Times New Roman" w:hAnsi="Times New Roman" w:cs="Times New Roman"/>
          <w:sz w:val="24"/>
          <w:szCs w:val="24"/>
        </w:rPr>
        <w:t>In his study of the Conservative Party</w:t>
      </w:r>
      <w:r w:rsidR="00DC4BCF" w:rsidRPr="000C18E7">
        <w:rPr>
          <w:rFonts w:ascii="Times New Roman" w:hAnsi="Times New Roman" w:cs="Times New Roman"/>
          <w:sz w:val="24"/>
          <w:szCs w:val="24"/>
        </w:rPr>
        <w:t>,</w:t>
      </w:r>
      <w:r w:rsidR="008A1ADC" w:rsidRPr="000C18E7">
        <w:rPr>
          <w:rFonts w:ascii="Times New Roman" w:hAnsi="Times New Roman" w:cs="Times New Roman"/>
          <w:sz w:val="24"/>
          <w:szCs w:val="24"/>
        </w:rPr>
        <w:t xml:space="preserve"> Alan Clark described </w:t>
      </w:r>
      <w:r w:rsidR="00F341C7" w:rsidRPr="000C18E7">
        <w:rPr>
          <w:rFonts w:ascii="Times New Roman" w:hAnsi="Times New Roman" w:cs="Times New Roman"/>
          <w:sz w:val="24"/>
          <w:szCs w:val="24"/>
        </w:rPr>
        <w:t xml:space="preserve">1974 as </w:t>
      </w:r>
      <w:r w:rsidR="008A1ADC" w:rsidRPr="000C18E7">
        <w:rPr>
          <w:rFonts w:ascii="Times New Roman" w:hAnsi="Times New Roman" w:cs="Times New Roman"/>
          <w:sz w:val="24"/>
          <w:szCs w:val="24"/>
        </w:rPr>
        <w:t>the ‘year of blunder’</w:t>
      </w:r>
      <w:r w:rsidR="00F341C7" w:rsidRPr="000C18E7">
        <w:rPr>
          <w:rFonts w:ascii="Times New Roman" w:hAnsi="Times New Roman" w:cs="Times New Roman"/>
          <w:sz w:val="24"/>
          <w:szCs w:val="24"/>
        </w:rPr>
        <w:t xml:space="preserve"> and </w:t>
      </w:r>
      <w:r w:rsidR="008A1ADC" w:rsidRPr="000C18E7">
        <w:rPr>
          <w:rFonts w:ascii="Times New Roman" w:hAnsi="Times New Roman" w:cs="Times New Roman"/>
          <w:sz w:val="24"/>
          <w:szCs w:val="24"/>
        </w:rPr>
        <w:t>the miscalculations that Heath had been made contributed to an increasing sense of indiscipline and discontent within the parliamentary ranks (see Clark, 1998: 435-</w:t>
      </w:r>
      <w:r w:rsidR="00D154B2" w:rsidRPr="000C18E7">
        <w:rPr>
          <w:rFonts w:ascii="Times New Roman" w:hAnsi="Times New Roman" w:cs="Times New Roman"/>
          <w:sz w:val="24"/>
          <w:szCs w:val="24"/>
        </w:rPr>
        <w:t>4</w:t>
      </w:r>
      <w:r w:rsidR="008A1ADC" w:rsidRPr="000C18E7">
        <w:rPr>
          <w:rFonts w:ascii="Times New Roman" w:hAnsi="Times New Roman" w:cs="Times New Roman"/>
          <w:sz w:val="24"/>
          <w:szCs w:val="24"/>
        </w:rPr>
        <w:t xml:space="preserve">52). </w:t>
      </w:r>
      <w:r w:rsidR="00F341C7" w:rsidRPr="000C18E7">
        <w:rPr>
          <w:rFonts w:ascii="Times New Roman" w:hAnsi="Times New Roman" w:cs="Times New Roman"/>
          <w:sz w:val="24"/>
          <w:szCs w:val="24"/>
        </w:rPr>
        <w:t xml:space="preserve">What was worrying was </w:t>
      </w:r>
      <w:r w:rsidR="008A1ADC" w:rsidRPr="000C18E7">
        <w:rPr>
          <w:rFonts w:ascii="Times New Roman" w:hAnsi="Times New Roman" w:cs="Times New Roman"/>
          <w:sz w:val="24"/>
          <w:szCs w:val="24"/>
        </w:rPr>
        <w:t xml:space="preserve">that this </w:t>
      </w:r>
      <w:r w:rsidR="00F341C7" w:rsidRPr="000C18E7">
        <w:rPr>
          <w:rFonts w:ascii="Times New Roman" w:hAnsi="Times New Roman" w:cs="Times New Roman"/>
          <w:sz w:val="24"/>
          <w:szCs w:val="24"/>
        </w:rPr>
        <w:t xml:space="preserve">increase </w:t>
      </w:r>
      <w:r w:rsidR="008A1ADC" w:rsidRPr="000C18E7">
        <w:rPr>
          <w:rFonts w:ascii="Times New Roman" w:hAnsi="Times New Roman" w:cs="Times New Roman"/>
          <w:sz w:val="24"/>
          <w:szCs w:val="24"/>
        </w:rPr>
        <w:t xml:space="preserve">was coming on the back of the 1970 to 1974 in which backbench rebellion rates had </w:t>
      </w:r>
      <w:r w:rsidR="00F341C7" w:rsidRPr="000C18E7">
        <w:rPr>
          <w:rFonts w:ascii="Times New Roman" w:hAnsi="Times New Roman" w:cs="Times New Roman"/>
          <w:sz w:val="24"/>
          <w:szCs w:val="24"/>
        </w:rPr>
        <w:t xml:space="preserve">already </w:t>
      </w:r>
      <w:r w:rsidR="008A1ADC" w:rsidRPr="000C18E7">
        <w:rPr>
          <w:rFonts w:ascii="Times New Roman" w:hAnsi="Times New Roman" w:cs="Times New Roman"/>
          <w:sz w:val="24"/>
          <w:szCs w:val="24"/>
        </w:rPr>
        <w:t xml:space="preserve">increased significantly as compared to the Conservative administrations of 1951 to 1964, notably the 1951 to 1959 Parliaments (see Norton, 1978; see also Franklin </w:t>
      </w:r>
      <w:r w:rsidR="008A1ADC" w:rsidRPr="000C18E7">
        <w:rPr>
          <w:rFonts w:ascii="Times New Roman" w:hAnsi="Times New Roman" w:cs="Times New Roman"/>
          <w:i/>
          <w:iCs/>
          <w:sz w:val="24"/>
          <w:szCs w:val="24"/>
        </w:rPr>
        <w:t>et al</w:t>
      </w:r>
      <w:r w:rsidR="00D154B2" w:rsidRPr="000C18E7">
        <w:rPr>
          <w:rFonts w:ascii="Times New Roman" w:hAnsi="Times New Roman" w:cs="Times New Roman"/>
          <w:iCs/>
          <w:sz w:val="24"/>
          <w:szCs w:val="24"/>
        </w:rPr>
        <w:t>.,</w:t>
      </w:r>
      <w:r w:rsidR="008A1ADC" w:rsidRPr="000C18E7">
        <w:rPr>
          <w:rFonts w:ascii="Times New Roman" w:hAnsi="Times New Roman" w:cs="Times New Roman"/>
          <w:sz w:val="24"/>
          <w:szCs w:val="24"/>
        </w:rPr>
        <w:t xml:space="preserve"> 1986). </w:t>
      </w:r>
      <w:r w:rsidR="003A4A15" w:rsidRPr="000C18E7">
        <w:rPr>
          <w:rFonts w:ascii="Times New Roman" w:hAnsi="Times New Roman" w:cs="Times New Roman"/>
          <w:sz w:val="24"/>
          <w:szCs w:val="24"/>
        </w:rPr>
        <w:t xml:space="preserve">With the conflict between the one nation left and the economic liberal right escalating </w:t>
      </w:r>
      <w:r w:rsidR="00F341C7" w:rsidRPr="000C18E7">
        <w:rPr>
          <w:rFonts w:ascii="Times New Roman" w:hAnsi="Times New Roman" w:cs="Times New Roman"/>
          <w:sz w:val="24"/>
          <w:szCs w:val="24"/>
        </w:rPr>
        <w:t>throughout</w:t>
      </w:r>
      <w:r w:rsidR="003A4A15" w:rsidRPr="000C18E7">
        <w:rPr>
          <w:rFonts w:ascii="Times New Roman" w:hAnsi="Times New Roman" w:cs="Times New Roman"/>
          <w:sz w:val="24"/>
          <w:szCs w:val="24"/>
        </w:rPr>
        <w:t xml:space="preserve"> the Heath era</w:t>
      </w:r>
      <w:r w:rsidR="00F341C7" w:rsidRPr="000C18E7">
        <w:rPr>
          <w:rFonts w:ascii="Times New Roman" w:hAnsi="Times New Roman" w:cs="Times New Roman"/>
          <w:sz w:val="24"/>
          <w:szCs w:val="24"/>
        </w:rPr>
        <w:t xml:space="preserve">, we can argue that </w:t>
      </w:r>
      <w:r w:rsidR="003A4A15" w:rsidRPr="000C18E7">
        <w:rPr>
          <w:rFonts w:ascii="Times New Roman" w:hAnsi="Times New Roman" w:cs="Times New Roman"/>
          <w:sz w:val="24"/>
          <w:szCs w:val="24"/>
        </w:rPr>
        <w:t>his inability to manage that divide effectively represent</w:t>
      </w:r>
      <w:r w:rsidR="00F341C7" w:rsidRPr="000C18E7">
        <w:rPr>
          <w:rFonts w:ascii="Times New Roman" w:hAnsi="Times New Roman" w:cs="Times New Roman"/>
          <w:sz w:val="24"/>
          <w:szCs w:val="24"/>
        </w:rPr>
        <w:t>ed</w:t>
      </w:r>
      <w:r w:rsidR="003A4A15" w:rsidRPr="000C18E7">
        <w:rPr>
          <w:rFonts w:ascii="Times New Roman" w:hAnsi="Times New Roman" w:cs="Times New Roman"/>
          <w:sz w:val="24"/>
          <w:szCs w:val="24"/>
        </w:rPr>
        <w:t xml:space="preserve"> a failure of party management</w:t>
      </w:r>
      <w:r w:rsidR="00F341C7" w:rsidRPr="000C18E7">
        <w:rPr>
          <w:rFonts w:ascii="Times New Roman" w:hAnsi="Times New Roman" w:cs="Times New Roman"/>
          <w:sz w:val="24"/>
          <w:szCs w:val="24"/>
        </w:rPr>
        <w:t>. C</w:t>
      </w:r>
      <w:r w:rsidR="003A4A15" w:rsidRPr="000C18E7">
        <w:rPr>
          <w:rFonts w:ascii="Times New Roman" w:hAnsi="Times New Roman" w:cs="Times New Roman"/>
          <w:sz w:val="24"/>
          <w:szCs w:val="24"/>
        </w:rPr>
        <w:t xml:space="preserve">oming </w:t>
      </w:r>
      <w:r w:rsidR="00F341C7" w:rsidRPr="000C18E7">
        <w:rPr>
          <w:rFonts w:ascii="Times New Roman" w:hAnsi="Times New Roman" w:cs="Times New Roman"/>
          <w:sz w:val="24"/>
          <w:szCs w:val="24"/>
        </w:rPr>
        <w:t xml:space="preserve">as it did </w:t>
      </w:r>
      <w:r w:rsidR="003A4A15" w:rsidRPr="000C18E7">
        <w:rPr>
          <w:rFonts w:ascii="Times New Roman" w:hAnsi="Times New Roman" w:cs="Times New Roman"/>
          <w:sz w:val="24"/>
          <w:szCs w:val="24"/>
        </w:rPr>
        <w:t>on the back of the gov</w:t>
      </w:r>
      <w:r w:rsidR="00DC4BCF" w:rsidRPr="000C18E7">
        <w:rPr>
          <w:rFonts w:ascii="Times New Roman" w:hAnsi="Times New Roman" w:cs="Times New Roman"/>
          <w:sz w:val="24"/>
          <w:szCs w:val="24"/>
        </w:rPr>
        <w:t xml:space="preserve">erning failures of 1970 to 1974, </w:t>
      </w:r>
      <w:r w:rsidR="003A4A15" w:rsidRPr="000C18E7">
        <w:rPr>
          <w:rFonts w:ascii="Times New Roman" w:hAnsi="Times New Roman" w:cs="Times New Roman"/>
          <w:sz w:val="24"/>
          <w:szCs w:val="24"/>
        </w:rPr>
        <w:t>this explains why his reputation was to be so sullied</w:t>
      </w:r>
      <w:r w:rsidR="00F341C7" w:rsidRPr="000C18E7">
        <w:rPr>
          <w:rFonts w:ascii="Times New Roman" w:hAnsi="Times New Roman" w:cs="Times New Roman"/>
          <w:sz w:val="24"/>
          <w:szCs w:val="24"/>
        </w:rPr>
        <w:t xml:space="preserve"> amongst Conservatives as well as voters</w:t>
      </w:r>
      <w:r w:rsidR="003A4A15" w:rsidRPr="000C18E7">
        <w:rPr>
          <w:rFonts w:ascii="Times New Roman" w:hAnsi="Times New Roman" w:cs="Times New Roman"/>
          <w:sz w:val="24"/>
          <w:szCs w:val="24"/>
        </w:rPr>
        <w:t xml:space="preserve"> (Fry, 2005: 211; on how Heath mismanaged his powers of appointment as a tool of party management, see Heppell and Hill, 2015). </w:t>
      </w:r>
    </w:p>
    <w:p w14:paraId="1D8EAD75" w14:textId="2132AEC6" w:rsidR="005053D8" w:rsidRPr="000C18E7" w:rsidRDefault="00F92965" w:rsidP="00806D17">
      <w:pPr>
        <w:spacing w:after="0" w:line="480" w:lineRule="auto"/>
        <w:ind w:firstLine="720"/>
        <w:jc w:val="both"/>
        <w:rPr>
          <w:rFonts w:ascii="Times New Roman" w:eastAsia="Times New Roman" w:hAnsi="Times New Roman" w:cs="Times New Roman"/>
          <w:sz w:val="24"/>
          <w:szCs w:val="24"/>
          <w:lang w:eastAsia="en-GB"/>
        </w:rPr>
      </w:pPr>
      <w:r w:rsidRPr="000C18E7">
        <w:rPr>
          <w:rFonts w:ascii="Times New Roman" w:hAnsi="Times New Roman" w:cs="Times New Roman"/>
          <w:sz w:val="24"/>
          <w:szCs w:val="24"/>
        </w:rPr>
        <w:t>I</w:t>
      </w:r>
      <w:r w:rsidR="006B7A78" w:rsidRPr="000C18E7">
        <w:rPr>
          <w:rFonts w:ascii="Times New Roman" w:hAnsi="Times New Roman" w:cs="Times New Roman"/>
          <w:sz w:val="24"/>
          <w:szCs w:val="24"/>
        </w:rPr>
        <w:t xml:space="preserve">t was the response of Heath </w:t>
      </w:r>
      <w:r w:rsidRPr="000C18E7">
        <w:rPr>
          <w:rFonts w:ascii="Times New Roman" w:hAnsi="Times New Roman" w:cs="Times New Roman"/>
          <w:sz w:val="24"/>
          <w:szCs w:val="24"/>
        </w:rPr>
        <w:t xml:space="preserve">to their second electoral defeat inside eight months </w:t>
      </w:r>
      <w:r w:rsidR="006B7A78" w:rsidRPr="000C18E7">
        <w:rPr>
          <w:rFonts w:ascii="Times New Roman" w:hAnsi="Times New Roman" w:cs="Times New Roman"/>
          <w:sz w:val="24"/>
          <w:szCs w:val="24"/>
        </w:rPr>
        <w:t>that irritated his eventual successor the most</w:t>
      </w:r>
      <w:r w:rsidR="00493F19" w:rsidRPr="000C18E7">
        <w:rPr>
          <w:rFonts w:ascii="Times New Roman" w:hAnsi="Times New Roman" w:cs="Times New Roman"/>
          <w:sz w:val="24"/>
          <w:szCs w:val="24"/>
        </w:rPr>
        <w:t xml:space="preserve"> (Ziegler, 2010: 470-</w:t>
      </w:r>
      <w:r w:rsidR="00D154B2" w:rsidRPr="000C18E7">
        <w:rPr>
          <w:rFonts w:ascii="Times New Roman" w:hAnsi="Times New Roman" w:cs="Times New Roman"/>
          <w:sz w:val="24"/>
          <w:szCs w:val="24"/>
        </w:rPr>
        <w:t>47</w:t>
      </w:r>
      <w:r w:rsidR="00493F19" w:rsidRPr="000C18E7">
        <w:rPr>
          <w:rFonts w:ascii="Times New Roman" w:hAnsi="Times New Roman" w:cs="Times New Roman"/>
          <w:sz w:val="24"/>
          <w:szCs w:val="24"/>
        </w:rPr>
        <w:t xml:space="preserve">3). </w:t>
      </w:r>
      <w:r w:rsidR="006B7A78" w:rsidRPr="000C18E7">
        <w:rPr>
          <w:rFonts w:ascii="Times New Roman" w:hAnsi="Times New Roman" w:cs="Times New Roman"/>
          <w:sz w:val="24"/>
          <w:szCs w:val="24"/>
        </w:rPr>
        <w:t xml:space="preserve">As Heath mapped out how the Conservative campaign had worked well as a containment </w:t>
      </w:r>
      <w:r w:rsidR="00DC4BCF" w:rsidRPr="000C18E7">
        <w:rPr>
          <w:rFonts w:ascii="Times New Roman" w:hAnsi="Times New Roman" w:cs="Times New Roman"/>
          <w:sz w:val="24"/>
          <w:szCs w:val="24"/>
        </w:rPr>
        <w:t xml:space="preserve">exercise, </w:t>
      </w:r>
      <w:r w:rsidR="006B7A78" w:rsidRPr="000C18E7">
        <w:rPr>
          <w:rFonts w:ascii="Times New Roman" w:hAnsi="Times New Roman" w:cs="Times New Roman"/>
          <w:sz w:val="24"/>
          <w:szCs w:val="24"/>
        </w:rPr>
        <w:t xml:space="preserve">Thatcher concluded that </w:t>
      </w:r>
      <w:r w:rsidR="00493F19" w:rsidRPr="000C18E7">
        <w:rPr>
          <w:rFonts w:ascii="Times New Roman" w:hAnsi="Times New Roman" w:cs="Times New Roman"/>
          <w:sz w:val="24"/>
          <w:szCs w:val="24"/>
        </w:rPr>
        <w:t xml:space="preserve">Heath </w:t>
      </w:r>
      <w:r w:rsidR="00493F19" w:rsidRPr="000C18E7">
        <w:rPr>
          <w:rFonts w:ascii="Times New Roman" w:eastAsia="Times New Roman" w:hAnsi="Times New Roman" w:cs="Times New Roman"/>
          <w:sz w:val="24"/>
          <w:szCs w:val="24"/>
          <w:lang w:eastAsia="en-GB"/>
        </w:rPr>
        <w:t>‘</w:t>
      </w:r>
      <w:r w:rsidR="005E0D85" w:rsidRPr="000C18E7">
        <w:rPr>
          <w:rFonts w:ascii="Times New Roman" w:eastAsia="Times New Roman" w:hAnsi="Times New Roman" w:cs="Times New Roman"/>
          <w:sz w:val="24"/>
          <w:szCs w:val="24"/>
          <w:lang w:eastAsia="en-GB"/>
        </w:rPr>
        <w:t>was too defensive of his own past record to see that a fundamental change of policies was needed’</w:t>
      </w:r>
      <w:r w:rsidR="00493F19" w:rsidRPr="000C18E7">
        <w:rPr>
          <w:rFonts w:ascii="Times New Roman" w:eastAsia="Times New Roman" w:hAnsi="Times New Roman" w:cs="Times New Roman"/>
          <w:sz w:val="24"/>
          <w:szCs w:val="24"/>
          <w:lang w:eastAsia="en-GB"/>
        </w:rPr>
        <w:t>, and</w:t>
      </w:r>
      <w:r w:rsidR="005E0D85" w:rsidRPr="000C18E7">
        <w:rPr>
          <w:rFonts w:ascii="Times New Roman" w:eastAsia="Times New Roman" w:hAnsi="Times New Roman" w:cs="Times New Roman"/>
          <w:sz w:val="24"/>
          <w:szCs w:val="24"/>
          <w:lang w:eastAsia="en-GB"/>
        </w:rPr>
        <w:t xml:space="preserve"> that ‘everyone except Ted knew that the main problem was the fact that he was still leader’ (Thatcher 1995: 261, 263).</w:t>
      </w:r>
      <w:r w:rsidR="00493F19" w:rsidRPr="000C18E7">
        <w:rPr>
          <w:rFonts w:ascii="Times New Roman" w:eastAsia="Times New Roman" w:hAnsi="Times New Roman" w:cs="Times New Roman"/>
          <w:sz w:val="24"/>
          <w:szCs w:val="24"/>
          <w:lang w:eastAsia="en-GB"/>
        </w:rPr>
        <w:t xml:space="preserve"> </w:t>
      </w:r>
    </w:p>
    <w:p w14:paraId="36FD14EE" w14:textId="68295D7B" w:rsidR="005053D8" w:rsidRPr="000C18E7" w:rsidRDefault="00493F19" w:rsidP="00806D17">
      <w:pPr>
        <w:spacing w:after="0" w:line="480" w:lineRule="auto"/>
        <w:ind w:firstLine="720"/>
        <w:jc w:val="both"/>
        <w:rPr>
          <w:rFonts w:ascii="Times New Roman" w:eastAsia="Times New Roman" w:hAnsi="Times New Roman" w:cs="Times New Roman"/>
          <w:sz w:val="24"/>
          <w:szCs w:val="24"/>
          <w:lang w:eastAsia="en-GB"/>
        </w:rPr>
      </w:pPr>
      <w:r w:rsidRPr="000C18E7">
        <w:rPr>
          <w:rFonts w:ascii="Times New Roman" w:eastAsia="Times New Roman" w:hAnsi="Times New Roman" w:cs="Times New Roman"/>
          <w:sz w:val="24"/>
          <w:szCs w:val="24"/>
          <w:lang w:eastAsia="en-GB"/>
        </w:rPr>
        <w:t xml:space="preserve">However, despite holding the leadership </w:t>
      </w:r>
      <w:r w:rsidR="00F341C7" w:rsidRPr="000C18E7">
        <w:rPr>
          <w:rFonts w:ascii="Times New Roman" w:eastAsia="Times New Roman" w:hAnsi="Times New Roman" w:cs="Times New Roman"/>
          <w:sz w:val="24"/>
          <w:szCs w:val="24"/>
          <w:lang w:eastAsia="en-GB"/>
        </w:rPr>
        <w:t xml:space="preserve">of the Conservative Party </w:t>
      </w:r>
      <w:r w:rsidRPr="000C18E7">
        <w:rPr>
          <w:rFonts w:ascii="Times New Roman" w:eastAsia="Times New Roman" w:hAnsi="Times New Roman" w:cs="Times New Roman"/>
          <w:sz w:val="24"/>
          <w:szCs w:val="24"/>
          <w:lang w:eastAsia="en-GB"/>
        </w:rPr>
        <w:t>for nearly a decade</w:t>
      </w:r>
      <w:r w:rsidR="00F341C7" w:rsidRPr="000C18E7">
        <w:rPr>
          <w:rFonts w:ascii="Times New Roman" w:eastAsia="Times New Roman" w:hAnsi="Times New Roman" w:cs="Times New Roman"/>
          <w:sz w:val="24"/>
          <w:szCs w:val="24"/>
          <w:lang w:eastAsia="en-GB"/>
        </w:rPr>
        <w:t xml:space="preserve">, </w:t>
      </w:r>
      <w:r w:rsidRPr="000C18E7">
        <w:rPr>
          <w:rFonts w:ascii="Times New Roman" w:eastAsia="Times New Roman" w:hAnsi="Times New Roman" w:cs="Times New Roman"/>
          <w:sz w:val="24"/>
          <w:szCs w:val="24"/>
          <w:lang w:eastAsia="en-GB"/>
        </w:rPr>
        <w:t xml:space="preserve">and having lost three elections out of four inside eight years, Heath was simply </w:t>
      </w:r>
      <w:r w:rsidR="002F2101" w:rsidRPr="000C18E7">
        <w:rPr>
          <w:rFonts w:ascii="Times New Roman" w:eastAsia="Times New Roman" w:hAnsi="Times New Roman" w:cs="Times New Roman"/>
          <w:sz w:val="24"/>
          <w:szCs w:val="24"/>
          <w:lang w:eastAsia="en-GB"/>
        </w:rPr>
        <w:t xml:space="preserve">unwilling to resign. </w:t>
      </w:r>
      <w:r w:rsidR="005053D8" w:rsidRPr="000C18E7">
        <w:rPr>
          <w:rFonts w:ascii="Times New Roman" w:eastAsia="Times New Roman" w:hAnsi="Times New Roman" w:cs="Times New Roman"/>
          <w:sz w:val="24"/>
          <w:szCs w:val="24"/>
          <w:lang w:eastAsia="en-GB"/>
        </w:rPr>
        <w:t xml:space="preserve">And yet </w:t>
      </w:r>
      <w:r w:rsidR="005053D8" w:rsidRPr="000C18E7">
        <w:rPr>
          <w:rFonts w:ascii="Times New Roman" w:hAnsi="Times New Roman" w:cs="Times New Roman"/>
          <w:iCs/>
          <w:sz w:val="24"/>
          <w:szCs w:val="24"/>
        </w:rPr>
        <w:t>t</w:t>
      </w:r>
      <w:r w:rsidR="002F2101" w:rsidRPr="000C18E7">
        <w:rPr>
          <w:rFonts w:ascii="Times New Roman" w:hAnsi="Times New Roman" w:cs="Times New Roman"/>
          <w:iCs/>
          <w:sz w:val="24"/>
          <w:szCs w:val="24"/>
        </w:rPr>
        <w:t xml:space="preserve">here had been a </w:t>
      </w:r>
      <w:r w:rsidR="002F2101" w:rsidRPr="000C18E7">
        <w:rPr>
          <w:rFonts w:ascii="Times New Roman" w:hAnsi="Times New Roman" w:cs="Times New Roman"/>
          <w:iCs/>
          <w:sz w:val="24"/>
          <w:szCs w:val="24"/>
        </w:rPr>
        <w:lastRenderedPageBreak/>
        <w:t>desire to remove Heath from the leadership of the Conservative Party amongst some backbenchers that pre-dated their removal from office at the General Election of February 197</w:t>
      </w:r>
      <w:r w:rsidR="00C61834" w:rsidRPr="000C18E7">
        <w:rPr>
          <w:rFonts w:ascii="Times New Roman" w:hAnsi="Times New Roman" w:cs="Times New Roman"/>
          <w:iCs/>
          <w:sz w:val="24"/>
          <w:szCs w:val="24"/>
        </w:rPr>
        <w:t>4</w:t>
      </w:r>
      <w:r w:rsidR="002F2101" w:rsidRPr="000C18E7">
        <w:rPr>
          <w:rFonts w:ascii="Times New Roman" w:hAnsi="Times New Roman" w:cs="Times New Roman"/>
          <w:iCs/>
          <w:sz w:val="24"/>
          <w:szCs w:val="24"/>
        </w:rPr>
        <w:t xml:space="preserve">. </w:t>
      </w:r>
      <w:r w:rsidR="00C61834" w:rsidRPr="000C18E7">
        <w:rPr>
          <w:rFonts w:ascii="Times New Roman" w:hAnsi="Times New Roman" w:cs="Times New Roman"/>
          <w:iCs/>
          <w:sz w:val="24"/>
          <w:szCs w:val="24"/>
        </w:rPr>
        <w:t>Back in December 1972, one backbencher John Wells, wrote to Heath’s parliamentary private secretary (PPS), Tim Kitson, and said that Heath is: ‘no doubt completely indifferent to what I think and he is unlikely to mend his ways. All I can do is to play as active a part as I can in any moves to get rid of him’ (Heath Papers, 3 1/17, ‘Letter from John Wells to Tim Kitson’, 30 December 1972).</w:t>
      </w:r>
      <w:r w:rsidR="00DC4BCF" w:rsidRPr="000C18E7">
        <w:rPr>
          <w:rFonts w:ascii="Times New Roman" w:hAnsi="Times New Roman" w:cs="Times New Roman"/>
          <w:iCs/>
          <w:sz w:val="24"/>
          <w:szCs w:val="24"/>
        </w:rPr>
        <w:t xml:space="preserve"> A</w:t>
      </w:r>
      <w:r w:rsidR="00122E3F" w:rsidRPr="000C18E7">
        <w:rPr>
          <w:rFonts w:ascii="Times New Roman" w:hAnsi="Times New Roman" w:cs="Times New Roman"/>
          <w:iCs/>
          <w:sz w:val="24"/>
          <w:szCs w:val="24"/>
        </w:rPr>
        <w:t xml:space="preserve"> similar warning </w:t>
      </w:r>
      <w:r w:rsidR="00DC4BCF" w:rsidRPr="000C18E7">
        <w:rPr>
          <w:rFonts w:ascii="Times New Roman" w:hAnsi="Times New Roman" w:cs="Times New Roman"/>
          <w:iCs/>
          <w:sz w:val="24"/>
          <w:szCs w:val="24"/>
        </w:rPr>
        <w:t xml:space="preserve">came </w:t>
      </w:r>
      <w:r w:rsidR="00122E3F" w:rsidRPr="000C18E7">
        <w:rPr>
          <w:rFonts w:ascii="Times New Roman" w:hAnsi="Times New Roman" w:cs="Times New Roman"/>
          <w:iCs/>
          <w:sz w:val="24"/>
          <w:szCs w:val="24"/>
        </w:rPr>
        <w:t>from another Conservative parliamentarian, David Mudd, who wrote to Heath in September 1973 saying that there was a group of 20 plus Conservative backbenchers who planned to make ‘moves for a change of leadership’ (Heath Papers, 3 1/17, ‘Letter from David Mudd to Edward Heath’, 25 September 1973). Given that there was no provision for a challenge to Heath under the existing leadership election rules that the Conserv</w:t>
      </w:r>
      <w:r w:rsidR="00767C1D" w:rsidRPr="000C18E7">
        <w:rPr>
          <w:rFonts w:ascii="Times New Roman" w:hAnsi="Times New Roman" w:cs="Times New Roman"/>
          <w:iCs/>
          <w:sz w:val="24"/>
          <w:szCs w:val="24"/>
        </w:rPr>
        <w:t>ative Party were utilising,</w:t>
      </w:r>
      <w:r w:rsidR="00122E3F" w:rsidRPr="000C18E7">
        <w:rPr>
          <w:rFonts w:ascii="Times New Roman" w:hAnsi="Times New Roman" w:cs="Times New Roman"/>
          <w:iCs/>
          <w:sz w:val="24"/>
          <w:szCs w:val="24"/>
        </w:rPr>
        <w:t xml:space="preserve"> these letters acted as a warning that pressure might be mounting for a rethink on those rules. The desire for change was to increase once Heath had led the Conservatives into the unnecessary General Election of February 1974. In opposition</w:t>
      </w:r>
      <w:r w:rsidR="00767C1D" w:rsidRPr="000C18E7">
        <w:rPr>
          <w:rFonts w:ascii="Times New Roman" w:hAnsi="Times New Roman" w:cs="Times New Roman"/>
          <w:iCs/>
          <w:sz w:val="24"/>
          <w:szCs w:val="24"/>
        </w:rPr>
        <w:t>,</w:t>
      </w:r>
      <w:r w:rsidR="00122E3F" w:rsidRPr="000C18E7">
        <w:rPr>
          <w:rFonts w:ascii="Times New Roman" w:hAnsi="Times New Roman" w:cs="Times New Roman"/>
          <w:iCs/>
          <w:sz w:val="24"/>
          <w:szCs w:val="24"/>
        </w:rPr>
        <w:t xml:space="preserve"> Heath was unmoved by the warnings about his leadership from Francis Pym (his former Chief Whip in office and now a member of his shadow Cabinet). Pym wrote to him speaking of the ‘crisis of confidence’ that existed within the parliamentary Conservative Party</w:t>
      </w:r>
      <w:r w:rsidR="005053D8" w:rsidRPr="000C18E7">
        <w:rPr>
          <w:rFonts w:ascii="Times New Roman" w:hAnsi="Times New Roman" w:cs="Times New Roman"/>
          <w:iCs/>
          <w:sz w:val="24"/>
          <w:szCs w:val="24"/>
        </w:rPr>
        <w:t xml:space="preserve">, adding that: </w:t>
      </w:r>
      <w:r w:rsidR="00C61834" w:rsidRPr="000C18E7">
        <w:rPr>
          <w:rFonts w:ascii="Times New Roman" w:hAnsi="Times New Roman" w:cs="Times New Roman"/>
          <w:iCs/>
          <w:sz w:val="24"/>
          <w:szCs w:val="24"/>
        </w:rPr>
        <w:t>‘I have indicated my anxieties about the way the party is being run ... I know from what others have said that I am not alone in this view’</w:t>
      </w:r>
      <w:r w:rsidR="005053D8" w:rsidRPr="000C18E7">
        <w:rPr>
          <w:rFonts w:ascii="Times New Roman" w:hAnsi="Times New Roman" w:cs="Times New Roman"/>
          <w:iCs/>
          <w:sz w:val="24"/>
          <w:szCs w:val="24"/>
        </w:rPr>
        <w:t xml:space="preserve"> (Heath Papers, 3 1/9, ‘Letter to Edward Heath’, 11 June 1974). </w:t>
      </w:r>
      <w:r w:rsidR="005053D8" w:rsidRPr="000C18E7">
        <w:rPr>
          <w:rFonts w:ascii="Times New Roman" w:eastAsia="Times New Roman" w:hAnsi="Times New Roman" w:cs="Times New Roman"/>
          <w:sz w:val="24"/>
          <w:szCs w:val="24"/>
          <w:lang w:eastAsia="en-GB"/>
        </w:rPr>
        <w:t>In the aftermath of the General Election of 1974, with the Conservative Party procedurally incapable of removing, he was advised by many friends to resign</w:t>
      </w:r>
      <w:r w:rsidR="005763D1" w:rsidRPr="000C18E7">
        <w:rPr>
          <w:rFonts w:ascii="Times New Roman" w:eastAsia="Times New Roman" w:hAnsi="Times New Roman" w:cs="Times New Roman"/>
          <w:sz w:val="24"/>
          <w:szCs w:val="24"/>
          <w:lang w:eastAsia="en-GB"/>
        </w:rPr>
        <w:t>. For example,</w:t>
      </w:r>
      <w:r w:rsidR="005053D8" w:rsidRPr="000C18E7">
        <w:rPr>
          <w:rFonts w:ascii="Times New Roman" w:eastAsia="Times New Roman" w:hAnsi="Times New Roman" w:cs="Times New Roman"/>
          <w:sz w:val="24"/>
          <w:szCs w:val="24"/>
          <w:lang w:eastAsia="en-GB"/>
        </w:rPr>
        <w:t xml:space="preserve"> Kenneth Baker</w:t>
      </w:r>
      <w:r w:rsidR="00073788" w:rsidRPr="000C18E7">
        <w:rPr>
          <w:rFonts w:ascii="Times New Roman" w:eastAsia="Times New Roman" w:hAnsi="Times New Roman" w:cs="Times New Roman"/>
          <w:sz w:val="24"/>
          <w:szCs w:val="24"/>
          <w:lang w:eastAsia="en-GB"/>
        </w:rPr>
        <w:t>, his parliamentary private secretary,</w:t>
      </w:r>
      <w:r w:rsidR="005053D8" w:rsidRPr="000C18E7">
        <w:rPr>
          <w:rFonts w:ascii="Times New Roman" w:eastAsia="Times New Roman" w:hAnsi="Times New Roman" w:cs="Times New Roman"/>
          <w:sz w:val="24"/>
          <w:szCs w:val="24"/>
          <w:lang w:eastAsia="en-GB"/>
        </w:rPr>
        <w:t xml:space="preserve"> warned him: </w:t>
      </w:r>
    </w:p>
    <w:p w14:paraId="2618B6B2" w14:textId="77777777" w:rsidR="005053D8" w:rsidRPr="000C18E7" w:rsidRDefault="005053D8" w:rsidP="00806D17">
      <w:pPr>
        <w:spacing w:after="0" w:line="480" w:lineRule="auto"/>
        <w:jc w:val="both"/>
        <w:rPr>
          <w:rFonts w:ascii="Times New Roman" w:eastAsia="Times New Roman" w:hAnsi="Times New Roman" w:cs="Times New Roman"/>
          <w:sz w:val="24"/>
          <w:szCs w:val="24"/>
          <w:lang w:eastAsia="en-GB"/>
        </w:rPr>
      </w:pPr>
    </w:p>
    <w:p w14:paraId="1D25820A" w14:textId="723B1ECE" w:rsidR="005053D8" w:rsidRPr="000C18E7" w:rsidRDefault="005053D8" w:rsidP="00767C1D">
      <w:pPr>
        <w:spacing w:after="0" w:line="480" w:lineRule="auto"/>
        <w:ind w:left="720"/>
        <w:jc w:val="both"/>
        <w:rPr>
          <w:rFonts w:ascii="Times New Roman" w:eastAsia="Times New Roman" w:hAnsi="Times New Roman" w:cs="Times New Roman"/>
          <w:sz w:val="24"/>
          <w:szCs w:val="24"/>
          <w:lang w:eastAsia="en-GB"/>
        </w:rPr>
      </w:pPr>
      <w:r w:rsidRPr="000C18E7">
        <w:rPr>
          <w:rFonts w:ascii="Times New Roman" w:eastAsia="Times New Roman" w:hAnsi="Times New Roman" w:cs="Times New Roman"/>
          <w:sz w:val="24"/>
          <w:szCs w:val="24"/>
          <w:lang w:eastAsia="en-GB"/>
        </w:rPr>
        <w:t xml:space="preserve">you had better resign now as leader if you don’t want to be hurt, there are many people in the party who are out to destroy you – the malicious, the malcontents, the sacked, the ignored and overlooked, are all </w:t>
      </w:r>
      <w:r w:rsidR="00767C1D" w:rsidRPr="000C18E7">
        <w:rPr>
          <w:rFonts w:ascii="Times New Roman" w:eastAsia="Times New Roman" w:hAnsi="Times New Roman" w:cs="Times New Roman"/>
          <w:sz w:val="24"/>
          <w:szCs w:val="24"/>
          <w:lang w:eastAsia="en-GB"/>
        </w:rPr>
        <w:t xml:space="preserve">blaming you </w:t>
      </w:r>
      <w:r w:rsidRPr="000C18E7">
        <w:rPr>
          <w:rFonts w:ascii="Times New Roman" w:eastAsia="Times New Roman" w:hAnsi="Times New Roman" w:cs="Times New Roman"/>
          <w:sz w:val="24"/>
          <w:szCs w:val="24"/>
          <w:lang w:eastAsia="en-GB"/>
        </w:rPr>
        <w:t>(Baker 1993: 43-</w:t>
      </w:r>
      <w:r w:rsidR="005737A7" w:rsidRPr="000C18E7">
        <w:rPr>
          <w:rFonts w:ascii="Times New Roman" w:eastAsia="Times New Roman" w:hAnsi="Times New Roman" w:cs="Times New Roman"/>
          <w:sz w:val="24"/>
          <w:szCs w:val="24"/>
          <w:lang w:eastAsia="en-GB"/>
        </w:rPr>
        <w:t>4</w:t>
      </w:r>
      <w:r w:rsidRPr="000C18E7">
        <w:rPr>
          <w:rFonts w:ascii="Times New Roman" w:eastAsia="Times New Roman" w:hAnsi="Times New Roman" w:cs="Times New Roman"/>
          <w:sz w:val="24"/>
          <w:szCs w:val="24"/>
          <w:lang w:eastAsia="en-GB"/>
        </w:rPr>
        <w:t>4).</w:t>
      </w:r>
    </w:p>
    <w:p w14:paraId="7AC35617" w14:textId="77777777" w:rsidR="00F341C7" w:rsidRPr="000C18E7" w:rsidRDefault="00F341C7" w:rsidP="00806D17">
      <w:pPr>
        <w:spacing w:after="0" w:line="480" w:lineRule="auto"/>
        <w:jc w:val="both"/>
        <w:rPr>
          <w:rFonts w:ascii="Times New Roman" w:hAnsi="Times New Roman" w:cs="Times New Roman"/>
          <w:color w:val="FF0000"/>
          <w:sz w:val="24"/>
          <w:szCs w:val="24"/>
        </w:rPr>
      </w:pPr>
    </w:p>
    <w:p w14:paraId="557BADAA" w14:textId="0E82E618" w:rsidR="00B8522A" w:rsidRPr="000C18E7" w:rsidRDefault="00CB0A7A" w:rsidP="00806D17">
      <w:pPr>
        <w:spacing w:after="0" w:line="480" w:lineRule="auto"/>
        <w:jc w:val="both"/>
        <w:rPr>
          <w:rFonts w:ascii="Times New Roman" w:hAnsi="Times New Roman" w:cs="Times New Roman"/>
          <w:b/>
          <w:sz w:val="24"/>
          <w:szCs w:val="24"/>
        </w:rPr>
      </w:pPr>
      <w:r w:rsidRPr="000C18E7">
        <w:rPr>
          <w:rFonts w:ascii="Times New Roman" w:hAnsi="Times New Roman" w:cs="Times New Roman"/>
          <w:b/>
          <w:sz w:val="24"/>
          <w:szCs w:val="24"/>
        </w:rPr>
        <w:t xml:space="preserve">Bibliography: </w:t>
      </w:r>
    </w:p>
    <w:p w14:paraId="73BCB6B4" w14:textId="77777777" w:rsidR="00CB0A7A" w:rsidRPr="000C18E7" w:rsidRDefault="00CB0A7A" w:rsidP="00806D17">
      <w:pPr>
        <w:spacing w:after="0" w:line="480" w:lineRule="auto"/>
        <w:jc w:val="both"/>
        <w:rPr>
          <w:rFonts w:ascii="Times New Roman" w:hAnsi="Times New Roman" w:cs="Times New Roman"/>
          <w:sz w:val="24"/>
          <w:szCs w:val="24"/>
        </w:rPr>
      </w:pPr>
    </w:p>
    <w:p w14:paraId="52C75BE8" w14:textId="16F3A727" w:rsidR="003E2774" w:rsidRPr="000C18E7" w:rsidRDefault="003E2774" w:rsidP="00806D17">
      <w:pPr>
        <w:spacing w:after="0" w:line="480" w:lineRule="auto"/>
        <w:contextualSpacing/>
        <w:jc w:val="both"/>
        <w:rPr>
          <w:rFonts w:ascii="Times New Roman" w:hAnsi="Times New Roman" w:cs="Times New Roman"/>
          <w:b/>
          <w:bCs/>
          <w:sz w:val="24"/>
          <w:szCs w:val="24"/>
        </w:rPr>
      </w:pPr>
      <w:r w:rsidRPr="000C18E7">
        <w:rPr>
          <w:rFonts w:ascii="Times New Roman" w:hAnsi="Times New Roman" w:cs="Times New Roman"/>
          <w:b/>
          <w:bCs/>
          <w:sz w:val="24"/>
          <w:szCs w:val="24"/>
        </w:rPr>
        <w:t>Archives:</w:t>
      </w:r>
    </w:p>
    <w:p w14:paraId="1C6050A5" w14:textId="36029CBD" w:rsidR="003E2774" w:rsidRPr="000C18E7" w:rsidRDefault="003E2774" w:rsidP="00806D17">
      <w:pPr>
        <w:spacing w:after="0" w:line="480" w:lineRule="auto"/>
        <w:contextualSpacing/>
        <w:jc w:val="both"/>
        <w:rPr>
          <w:rFonts w:ascii="Times New Roman" w:hAnsi="Times New Roman" w:cs="Times New Roman"/>
          <w:b/>
          <w:bCs/>
          <w:sz w:val="24"/>
          <w:szCs w:val="24"/>
        </w:rPr>
      </w:pPr>
    </w:p>
    <w:p w14:paraId="1A71E983" w14:textId="151314A6" w:rsidR="00B6162E" w:rsidRPr="000C18E7" w:rsidRDefault="005737A7" w:rsidP="00806D17">
      <w:pPr>
        <w:spacing w:after="0" w:line="480" w:lineRule="auto"/>
        <w:jc w:val="both"/>
        <w:rPr>
          <w:rFonts w:ascii="Times New Roman" w:hAnsi="Times New Roman" w:cs="Times New Roman"/>
          <w:sz w:val="24"/>
          <w:szCs w:val="24"/>
        </w:rPr>
      </w:pPr>
      <w:r w:rsidRPr="000C18E7">
        <w:rPr>
          <w:rFonts w:ascii="Times New Roman" w:hAnsi="Times New Roman" w:cs="Times New Roman"/>
          <w:sz w:val="24"/>
          <w:szCs w:val="24"/>
        </w:rPr>
        <w:t>Conservative Party Archives.</w:t>
      </w:r>
      <w:r w:rsidR="00B6162E" w:rsidRPr="000C18E7">
        <w:rPr>
          <w:rFonts w:ascii="Times New Roman" w:hAnsi="Times New Roman" w:cs="Times New Roman"/>
          <w:sz w:val="24"/>
          <w:szCs w:val="24"/>
        </w:rPr>
        <w:t xml:space="preserve"> Bodleian Librar</w:t>
      </w:r>
      <w:r w:rsidRPr="000C18E7">
        <w:rPr>
          <w:rFonts w:ascii="Times New Roman" w:hAnsi="Times New Roman" w:cs="Times New Roman"/>
          <w:sz w:val="24"/>
          <w:szCs w:val="24"/>
        </w:rPr>
        <w:t>y:</w:t>
      </w:r>
      <w:r w:rsidR="00B6162E" w:rsidRPr="000C18E7">
        <w:rPr>
          <w:rFonts w:ascii="Times New Roman" w:hAnsi="Times New Roman" w:cs="Times New Roman"/>
          <w:sz w:val="24"/>
          <w:szCs w:val="24"/>
        </w:rPr>
        <w:t xml:space="preserve"> </w:t>
      </w:r>
      <w:r w:rsidR="00F341C7" w:rsidRPr="000C18E7">
        <w:rPr>
          <w:rFonts w:ascii="Times New Roman" w:hAnsi="Times New Roman" w:cs="Times New Roman"/>
          <w:sz w:val="24"/>
          <w:szCs w:val="24"/>
        </w:rPr>
        <w:t xml:space="preserve">University of </w:t>
      </w:r>
      <w:r w:rsidR="00B6162E" w:rsidRPr="000C18E7">
        <w:rPr>
          <w:rFonts w:ascii="Times New Roman" w:hAnsi="Times New Roman" w:cs="Times New Roman"/>
          <w:sz w:val="24"/>
          <w:szCs w:val="24"/>
        </w:rPr>
        <w:t>Oxford</w:t>
      </w:r>
      <w:r w:rsidR="00F341C7" w:rsidRPr="000C18E7">
        <w:rPr>
          <w:rFonts w:ascii="Times New Roman" w:hAnsi="Times New Roman" w:cs="Times New Roman"/>
          <w:sz w:val="24"/>
          <w:szCs w:val="24"/>
        </w:rPr>
        <w:t>.</w:t>
      </w:r>
    </w:p>
    <w:p w14:paraId="52CC34DD" w14:textId="2A564AA9" w:rsidR="00F341C7" w:rsidRPr="000C18E7" w:rsidRDefault="005737A7" w:rsidP="00806D17">
      <w:pPr>
        <w:spacing w:after="0" w:line="480" w:lineRule="auto"/>
        <w:jc w:val="both"/>
        <w:rPr>
          <w:rFonts w:ascii="Times New Roman" w:hAnsi="Times New Roman" w:cs="Times New Roman"/>
          <w:sz w:val="24"/>
          <w:szCs w:val="24"/>
          <w:bdr w:val="none" w:sz="0" w:space="0" w:color="auto" w:frame="1"/>
        </w:rPr>
      </w:pPr>
      <w:r w:rsidRPr="000C18E7">
        <w:rPr>
          <w:rFonts w:ascii="Times New Roman" w:hAnsi="Times New Roman" w:cs="Times New Roman"/>
          <w:sz w:val="24"/>
          <w:szCs w:val="24"/>
        </w:rPr>
        <w:t xml:space="preserve">Edward Heath Papers. </w:t>
      </w:r>
      <w:r w:rsidR="00F341C7" w:rsidRPr="000C18E7">
        <w:rPr>
          <w:rFonts w:ascii="Times New Roman" w:hAnsi="Times New Roman" w:cs="Times New Roman"/>
          <w:sz w:val="24"/>
          <w:szCs w:val="24"/>
          <w:bdr w:val="none" w:sz="0" w:space="0" w:color="auto" w:frame="1"/>
        </w:rPr>
        <w:t>Bodleian Library</w:t>
      </w:r>
      <w:r w:rsidRPr="000C18E7">
        <w:rPr>
          <w:rFonts w:ascii="Times New Roman" w:hAnsi="Times New Roman" w:cs="Times New Roman"/>
          <w:sz w:val="24"/>
          <w:szCs w:val="24"/>
          <w:bdr w:val="none" w:sz="0" w:space="0" w:color="auto" w:frame="1"/>
        </w:rPr>
        <w:t xml:space="preserve">: </w:t>
      </w:r>
      <w:r w:rsidR="00F341C7" w:rsidRPr="000C18E7">
        <w:rPr>
          <w:rFonts w:ascii="Times New Roman" w:hAnsi="Times New Roman" w:cs="Times New Roman"/>
          <w:sz w:val="24"/>
          <w:szCs w:val="24"/>
          <w:bdr w:val="none" w:sz="0" w:space="0" w:color="auto" w:frame="1"/>
        </w:rPr>
        <w:t>University of Oxford.</w:t>
      </w:r>
    </w:p>
    <w:p w14:paraId="1F18090E" w14:textId="48975E67" w:rsidR="00B6162E" w:rsidRPr="000C18E7" w:rsidRDefault="005737A7" w:rsidP="00806D17">
      <w:pPr>
        <w:spacing w:after="0" w:line="480" w:lineRule="auto"/>
        <w:jc w:val="both"/>
        <w:rPr>
          <w:rFonts w:ascii="Times New Roman" w:hAnsi="Times New Roman" w:cs="Times New Roman"/>
          <w:sz w:val="24"/>
          <w:szCs w:val="24"/>
        </w:rPr>
      </w:pPr>
      <w:r w:rsidRPr="000C18E7">
        <w:rPr>
          <w:rFonts w:ascii="Times New Roman" w:hAnsi="Times New Roman" w:cs="Times New Roman"/>
          <w:sz w:val="24"/>
          <w:szCs w:val="24"/>
        </w:rPr>
        <w:t>Alastair Hetherington Papers.</w:t>
      </w:r>
      <w:r w:rsidR="00B6162E" w:rsidRPr="000C18E7">
        <w:rPr>
          <w:rFonts w:ascii="Times New Roman" w:hAnsi="Times New Roman" w:cs="Times New Roman"/>
          <w:sz w:val="24"/>
          <w:szCs w:val="24"/>
        </w:rPr>
        <w:t xml:space="preserve"> London School of Economics</w:t>
      </w:r>
      <w:r w:rsidR="00F341C7" w:rsidRPr="000C18E7">
        <w:rPr>
          <w:rFonts w:ascii="Times New Roman" w:hAnsi="Times New Roman" w:cs="Times New Roman"/>
          <w:sz w:val="24"/>
          <w:szCs w:val="24"/>
        </w:rPr>
        <w:t>.</w:t>
      </w:r>
    </w:p>
    <w:p w14:paraId="782015FB" w14:textId="67E223BD" w:rsidR="00B6162E" w:rsidRPr="000C18E7" w:rsidRDefault="005737A7" w:rsidP="00806D17">
      <w:pPr>
        <w:spacing w:after="0" w:line="480" w:lineRule="auto"/>
        <w:jc w:val="both"/>
        <w:rPr>
          <w:rFonts w:ascii="Times New Roman" w:hAnsi="Times New Roman" w:cs="Times New Roman"/>
          <w:sz w:val="24"/>
          <w:szCs w:val="24"/>
        </w:rPr>
      </w:pPr>
      <w:r w:rsidRPr="000C18E7">
        <w:rPr>
          <w:rFonts w:ascii="Times New Roman" w:hAnsi="Times New Roman" w:cs="Times New Roman"/>
          <w:sz w:val="24"/>
          <w:szCs w:val="24"/>
        </w:rPr>
        <w:t>Churchill Archives. Churchill College:</w:t>
      </w:r>
      <w:r w:rsidR="00B6162E" w:rsidRPr="000C18E7">
        <w:rPr>
          <w:rFonts w:ascii="Times New Roman" w:hAnsi="Times New Roman" w:cs="Times New Roman"/>
          <w:sz w:val="24"/>
          <w:szCs w:val="24"/>
        </w:rPr>
        <w:t xml:space="preserve"> University of Cambridge</w:t>
      </w:r>
      <w:r w:rsidR="00F341C7" w:rsidRPr="000C18E7">
        <w:rPr>
          <w:rFonts w:ascii="Times New Roman" w:hAnsi="Times New Roman" w:cs="Times New Roman"/>
          <w:sz w:val="24"/>
          <w:szCs w:val="24"/>
        </w:rPr>
        <w:t>.</w:t>
      </w:r>
    </w:p>
    <w:p w14:paraId="01F82B5C" w14:textId="3CC414D4" w:rsidR="00B6162E" w:rsidRPr="000C18E7" w:rsidRDefault="005737A7" w:rsidP="00806D17">
      <w:pPr>
        <w:spacing w:after="0" w:line="480" w:lineRule="auto"/>
        <w:jc w:val="both"/>
        <w:rPr>
          <w:rFonts w:ascii="Times New Roman" w:hAnsi="Times New Roman" w:cs="Times New Roman"/>
          <w:sz w:val="24"/>
          <w:szCs w:val="24"/>
        </w:rPr>
      </w:pPr>
      <w:r w:rsidRPr="000C18E7">
        <w:rPr>
          <w:rFonts w:ascii="Times New Roman" w:hAnsi="Times New Roman" w:cs="Times New Roman"/>
          <w:sz w:val="24"/>
          <w:szCs w:val="24"/>
        </w:rPr>
        <w:t xml:space="preserve">Cabinet Papers. </w:t>
      </w:r>
      <w:r w:rsidR="00F341C7" w:rsidRPr="000C18E7">
        <w:rPr>
          <w:rFonts w:ascii="Times New Roman" w:hAnsi="Times New Roman" w:cs="Times New Roman"/>
          <w:sz w:val="24"/>
          <w:szCs w:val="24"/>
        </w:rPr>
        <w:t xml:space="preserve">The </w:t>
      </w:r>
      <w:r w:rsidR="00B6162E" w:rsidRPr="000C18E7">
        <w:rPr>
          <w:rFonts w:ascii="Times New Roman" w:hAnsi="Times New Roman" w:cs="Times New Roman"/>
          <w:sz w:val="24"/>
          <w:szCs w:val="24"/>
        </w:rPr>
        <w:t>National Archives</w:t>
      </w:r>
      <w:r w:rsidR="00F341C7" w:rsidRPr="000C18E7">
        <w:rPr>
          <w:rFonts w:ascii="Times New Roman" w:hAnsi="Times New Roman" w:cs="Times New Roman"/>
          <w:sz w:val="24"/>
          <w:szCs w:val="24"/>
        </w:rPr>
        <w:t xml:space="preserve">. </w:t>
      </w:r>
    </w:p>
    <w:p w14:paraId="57BC7869" w14:textId="77777777" w:rsidR="00073788" w:rsidRPr="000C18E7" w:rsidRDefault="00073788" w:rsidP="00806D17">
      <w:pPr>
        <w:spacing w:after="0" w:line="480" w:lineRule="auto"/>
        <w:contextualSpacing/>
        <w:jc w:val="both"/>
        <w:rPr>
          <w:rFonts w:ascii="Times New Roman" w:hAnsi="Times New Roman" w:cs="Times New Roman"/>
          <w:bCs/>
          <w:sz w:val="24"/>
          <w:szCs w:val="24"/>
        </w:rPr>
      </w:pPr>
    </w:p>
    <w:p w14:paraId="5562725E" w14:textId="77777777" w:rsidR="003E2774" w:rsidRPr="000C18E7" w:rsidRDefault="003E2774" w:rsidP="00806D17">
      <w:pPr>
        <w:spacing w:after="0" w:line="480" w:lineRule="auto"/>
        <w:jc w:val="both"/>
        <w:rPr>
          <w:rFonts w:ascii="Times New Roman" w:hAnsi="Times New Roman" w:cs="Times New Roman"/>
          <w:i/>
          <w:iCs/>
          <w:sz w:val="24"/>
          <w:szCs w:val="24"/>
        </w:rPr>
      </w:pPr>
      <w:r w:rsidRPr="000C18E7">
        <w:rPr>
          <w:rFonts w:ascii="Times New Roman" w:hAnsi="Times New Roman" w:cs="Times New Roman"/>
          <w:b/>
          <w:bCs/>
          <w:sz w:val="24"/>
          <w:szCs w:val="24"/>
        </w:rPr>
        <w:t>Published Primary Sources</w:t>
      </w:r>
      <w:r w:rsidRPr="000C18E7">
        <w:rPr>
          <w:rFonts w:ascii="Times New Roman" w:hAnsi="Times New Roman" w:cs="Times New Roman"/>
          <w:i/>
          <w:iCs/>
          <w:sz w:val="24"/>
          <w:szCs w:val="24"/>
        </w:rPr>
        <w:t xml:space="preserve">: </w:t>
      </w:r>
    </w:p>
    <w:p w14:paraId="0B1825FD" w14:textId="77777777" w:rsidR="00302695" w:rsidRPr="000C18E7" w:rsidRDefault="00302695" w:rsidP="00806D17">
      <w:pPr>
        <w:spacing w:after="0" w:line="480" w:lineRule="auto"/>
        <w:jc w:val="both"/>
        <w:rPr>
          <w:rFonts w:ascii="Times New Roman" w:hAnsi="Times New Roman" w:cs="Times New Roman"/>
          <w:sz w:val="24"/>
          <w:szCs w:val="24"/>
        </w:rPr>
      </w:pPr>
    </w:p>
    <w:p w14:paraId="5F060FDD" w14:textId="389DC01A" w:rsidR="00302695" w:rsidRPr="000C18E7" w:rsidRDefault="00302695" w:rsidP="00806D17">
      <w:pPr>
        <w:spacing w:after="0" w:line="480" w:lineRule="auto"/>
        <w:jc w:val="both"/>
        <w:rPr>
          <w:rFonts w:ascii="Times New Roman" w:hAnsi="Times New Roman" w:cs="Times New Roman"/>
          <w:i/>
          <w:iCs/>
          <w:sz w:val="24"/>
          <w:szCs w:val="24"/>
        </w:rPr>
      </w:pPr>
      <w:r w:rsidRPr="000C18E7">
        <w:rPr>
          <w:rFonts w:ascii="Times New Roman" w:hAnsi="Times New Roman" w:cs="Times New Roman"/>
          <w:sz w:val="24"/>
          <w:szCs w:val="24"/>
        </w:rPr>
        <w:t>Conservative Party (1974a)</w:t>
      </w:r>
      <w:r w:rsidRPr="000C18E7">
        <w:rPr>
          <w:rFonts w:ascii="Times New Roman" w:hAnsi="Times New Roman" w:cs="Times New Roman"/>
          <w:i/>
          <w:iCs/>
          <w:sz w:val="24"/>
          <w:szCs w:val="24"/>
        </w:rPr>
        <w:t xml:space="preserve"> </w:t>
      </w:r>
      <w:r w:rsidRPr="000C18E7">
        <w:rPr>
          <w:rFonts w:ascii="Times New Roman" w:hAnsi="Times New Roman" w:cs="Times New Roman"/>
          <w:iCs/>
          <w:color w:val="000000"/>
          <w:sz w:val="24"/>
          <w:szCs w:val="24"/>
          <w:shd w:val="clear" w:color="auto" w:fill="FFFFFF"/>
        </w:rPr>
        <w:t>Firm Action for a Fair Britain</w:t>
      </w:r>
      <w:r w:rsidR="005737A7" w:rsidRPr="000C18E7">
        <w:rPr>
          <w:rFonts w:ascii="Times New Roman" w:hAnsi="Times New Roman" w:cs="Times New Roman"/>
          <w:sz w:val="24"/>
          <w:szCs w:val="24"/>
        </w:rPr>
        <w:t xml:space="preserve">: </w:t>
      </w:r>
      <w:r w:rsidRPr="000C18E7">
        <w:rPr>
          <w:rFonts w:ascii="Times New Roman" w:hAnsi="Times New Roman" w:cs="Times New Roman"/>
          <w:sz w:val="24"/>
          <w:szCs w:val="24"/>
        </w:rPr>
        <w:t>Conservative Pa</w:t>
      </w:r>
      <w:r w:rsidR="005737A7" w:rsidRPr="000C18E7">
        <w:rPr>
          <w:rFonts w:ascii="Times New Roman" w:hAnsi="Times New Roman" w:cs="Times New Roman"/>
          <w:sz w:val="24"/>
          <w:szCs w:val="24"/>
        </w:rPr>
        <w:t xml:space="preserve">rty General Election Manifesto. </w:t>
      </w:r>
      <w:r w:rsidRPr="000C18E7">
        <w:rPr>
          <w:rFonts w:ascii="Times New Roman" w:hAnsi="Times New Roman" w:cs="Times New Roman"/>
          <w:sz w:val="24"/>
          <w:szCs w:val="24"/>
        </w:rPr>
        <w:t xml:space="preserve">London: The Conservative Party. </w:t>
      </w:r>
    </w:p>
    <w:p w14:paraId="069B8B59" w14:textId="5C2DC270" w:rsidR="00302695" w:rsidRPr="000C18E7" w:rsidRDefault="00302695" w:rsidP="00806D17">
      <w:pPr>
        <w:spacing w:after="0" w:line="480" w:lineRule="auto"/>
        <w:jc w:val="both"/>
        <w:rPr>
          <w:rFonts w:ascii="Times New Roman" w:hAnsi="Times New Roman" w:cs="Times New Roman"/>
          <w:sz w:val="24"/>
          <w:szCs w:val="24"/>
        </w:rPr>
      </w:pPr>
      <w:r w:rsidRPr="000C18E7">
        <w:rPr>
          <w:rFonts w:ascii="Times New Roman" w:hAnsi="Times New Roman" w:cs="Times New Roman"/>
          <w:sz w:val="24"/>
          <w:szCs w:val="24"/>
        </w:rPr>
        <w:t xml:space="preserve">Conservative Party (1974b) </w:t>
      </w:r>
      <w:r w:rsidRPr="000C18E7">
        <w:rPr>
          <w:rFonts w:ascii="Times New Roman" w:hAnsi="Times New Roman" w:cs="Times New Roman"/>
          <w:iCs/>
          <w:sz w:val="24"/>
          <w:szCs w:val="24"/>
        </w:rPr>
        <w:t>Putting Britain First</w:t>
      </w:r>
      <w:r w:rsidR="005737A7" w:rsidRPr="000C18E7">
        <w:rPr>
          <w:rFonts w:ascii="Times New Roman" w:hAnsi="Times New Roman" w:cs="Times New Roman"/>
          <w:iCs/>
          <w:sz w:val="24"/>
          <w:szCs w:val="24"/>
        </w:rPr>
        <w:t xml:space="preserve">: </w:t>
      </w:r>
      <w:r w:rsidRPr="000C18E7">
        <w:rPr>
          <w:rFonts w:ascii="Times New Roman" w:hAnsi="Times New Roman" w:cs="Times New Roman"/>
          <w:sz w:val="24"/>
          <w:szCs w:val="24"/>
        </w:rPr>
        <w:t xml:space="preserve">Conservative Party General Election Manifesto, London: The Conservative Party. </w:t>
      </w:r>
    </w:p>
    <w:p w14:paraId="13E79451" w14:textId="77777777" w:rsidR="003E2774" w:rsidRPr="000C18E7" w:rsidRDefault="003E2774" w:rsidP="00806D17">
      <w:pPr>
        <w:spacing w:after="0" w:line="480" w:lineRule="auto"/>
        <w:jc w:val="both"/>
        <w:rPr>
          <w:rFonts w:ascii="Times New Roman" w:hAnsi="Times New Roman" w:cs="Times New Roman"/>
          <w:color w:val="FF0000"/>
          <w:sz w:val="24"/>
          <w:szCs w:val="24"/>
        </w:rPr>
      </w:pPr>
    </w:p>
    <w:p w14:paraId="19707D07" w14:textId="4D2BD90A" w:rsidR="003E2774" w:rsidRPr="000C18E7" w:rsidRDefault="003E2774" w:rsidP="00806D17">
      <w:pPr>
        <w:spacing w:after="0" w:line="480" w:lineRule="auto"/>
        <w:contextualSpacing/>
        <w:jc w:val="both"/>
        <w:rPr>
          <w:rFonts w:ascii="Times New Roman" w:hAnsi="Times New Roman" w:cs="Times New Roman"/>
          <w:b/>
          <w:sz w:val="24"/>
          <w:szCs w:val="24"/>
        </w:rPr>
      </w:pPr>
      <w:bookmarkStart w:id="0" w:name="_Hlk33197499"/>
      <w:r w:rsidRPr="000C18E7">
        <w:rPr>
          <w:rFonts w:ascii="Times New Roman" w:hAnsi="Times New Roman" w:cs="Times New Roman"/>
          <w:b/>
          <w:sz w:val="24"/>
          <w:szCs w:val="24"/>
        </w:rPr>
        <w:t>Speeches</w:t>
      </w:r>
      <w:r w:rsidR="00073788" w:rsidRPr="000C18E7">
        <w:rPr>
          <w:rFonts w:ascii="Times New Roman" w:hAnsi="Times New Roman" w:cs="Times New Roman"/>
          <w:b/>
          <w:sz w:val="24"/>
          <w:szCs w:val="24"/>
        </w:rPr>
        <w:t xml:space="preserve"> and Press Conferences: </w:t>
      </w:r>
      <w:r w:rsidRPr="000C18E7">
        <w:rPr>
          <w:rFonts w:ascii="Times New Roman" w:hAnsi="Times New Roman" w:cs="Times New Roman"/>
          <w:b/>
          <w:sz w:val="24"/>
          <w:szCs w:val="24"/>
        </w:rPr>
        <w:t xml:space="preserve"> </w:t>
      </w:r>
    </w:p>
    <w:bookmarkEnd w:id="0"/>
    <w:p w14:paraId="4C397C2E" w14:textId="77777777" w:rsidR="00B07C8A" w:rsidRPr="000C18E7" w:rsidRDefault="00B07C8A" w:rsidP="00806D17">
      <w:pPr>
        <w:spacing w:after="0" w:line="480" w:lineRule="auto"/>
        <w:jc w:val="both"/>
        <w:rPr>
          <w:rFonts w:ascii="Times New Roman" w:hAnsi="Times New Roman" w:cs="Times New Roman"/>
          <w:sz w:val="24"/>
          <w:szCs w:val="24"/>
        </w:rPr>
      </w:pPr>
    </w:p>
    <w:p w14:paraId="2054D249" w14:textId="77777777" w:rsidR="003E2774" w:rsidRPr="000C18E7" w:rsidRDefault="003E2774" w:rsidP="00806D17">
      <w:pPr>
        <w:spacing w:after="0" w:line="480" w:lineRule="auto"/>
        <w:jc w:val="both"/>
        <w:rPr>
          <w:rFonts w:ascii="Times New Roman" w:hAnsi="Times New Roman" w:cs="Times New Roman"/>
          <w:sz w:val="24"/>
          <w:szCs w:val="24"/>
        </w:rPr>
      </w:pPr>
      <w:r w:rsidRPr="000C18E7">
        <w:rPr>
          <w:rFonts w:ascii="Times New Roman" w:hAnsi="Times New Roman" w:cs="Times New Roman"/>
          <w:sz w:val="24"/>
          <w:szCs w:val="24"/>
        </w:rPr>
        <w:t>Heath, E. (1974) Press Conference, 7 October.</w:t>
      </w:r>
    </w:p>
    <w:p w14:paraId="012628A1" w14:textId="2FF15885" w:rsidR="003E2774" w:rsidRPr="000C18E7" w:rsidRDefault="003E2774" w:rsidP="00806D17">
      <w:pPr>
        <w:spacing w:after="0" w:line="480" w:lineRule="auto"/>
        <w:jc w:val="both"/>
        <w:rPr>
          <w:rFonts w:ascii="Times New Roman" w:hAnsi="Times New Roman" w:cs="Times New Roman"/>
          <w:sz w:val="24"/>
          <w:szCs w:val="24"/>
        </w:rPr>
      </w:pPr>
    </w:p>
    <w:p w14:paraId="4812D6A1" w14:textId="77777777" w:rsidR="003E2774" w:rsidRPr="000C18E7" w:rsidRDefault="003E2774" w:rsidP="00806D17">
      <w:pPr>
        <w:spacing w:after="0" w:line="480" w:lineRule="auto"/>
        <w:jc w:val="both"/>
        <w:outlineLvl w:val="2"/>
        <w:rPr>
          <w:rFonts w:ascii="Times New Roman" w:hAnsi="Times New Roman" w:cs="Times New Roman"/>
          <w:i/>
          <w:iCs/>
          <w:sz w:val="24"/>
          <w:szCs w:val="24"/>
        </w:rPr>
      </w:pPr>
      <w:bookmarkStart w:id="1" w:name="_Hlk33197185"/>
      <w:r w:rsidRPr="000C18E7">
        <w:rPr>
          <w:rFonts w:ascii="Times New Roman" w:hAnsi="Times New Roman" w:cs="Times New Roman"/>
          <w:b/>
          <w:bCs/>
          <w:sz w:val="24"/>
          <w:szCs w:val="24"/>
        </w:rPr>
        <w:t xml:space="preserve">Newspapers and Periodicals: </w:t>
      </w:r>
    </w:p>
    <w:bookmarkEnd w:id="1"/>
    <w:p w14:paraId="15C0B0C3" w14:textId="0BFE0A12" w:rsidR="003E2774" w:rsidRPr="000C18E7" w:rsidRDefault="003E2774" w:rsidP="00806D17">
      <w:pPr>
        <w:spacing w:line="480" w:lineRule="auto"/>
        <w:contextualSpacing/>
        <w:jc w:val="both"/>
        <w:rPr>
          <w:rFonts w:ascii="Times New Roman" w:hAnsi="Times New Roman" w:cs="Times New Roman"/>
          <w:color w:val="FF0000"/>
          <w:sz w:val="24"/>
          <w:szCs w:val="24"/>
        </w:rPr>
      </w:pPr>
    </w:p>
    <w:p w14:paraId="4C7FCE0E" w14:textId="61373CE3" w:rsidR="003E2774" w:rsidRPr="000C18E7" w:rsidRDefault="003E2774" w:rsidP="00806D17">
      <w:pPr>
        <w:spacing w:after="0" w:line="480" w:lineRule="auto"/>
        <w:jc w:val="both"/>
        <w:rPr>
          <w:rFonts w:ascii="Times New Roman" w:hAnsi="Times New Roman" w:cs="Times New Roman"/>
          <w:sz w:val="24"/>
          <w:szCs w:val="24"/>
        </w:rPr>
      </w:pPr>
      <w:r w:rsidRPr="000C18E7">
        <w:rPr>
          <w:rFonts w:ascii="Times New Roman" w:hAnsi="Times New Roman" w:cs="Times New Roman"/>
          <w:sz w:val="24"/>
          <w:szCs w:val="24"/>
        </w:rPr>
        <w:t>Clark, C. (1974</w:t>
      </w:r>
      <w:r w:rsidR="002C4097" w:rsidRPr="000C18E7">
        <w:rPr>
          <w:rFonts w:ascii="Times New Roman" w:hAnsi="Times New Roman" w:cs="Times New Roman"/>
          <w:sz w:val="24"/>
          <w:szCs w:val="24"/>
        </w:rPr>
        <w:t>a</w:t>
      </w:r>
      <w:r w:rsidR="00D77890" w:rsidRPr="000C18E7">
        <w:rPr>
          <w:rFonts w:ascii="Times New Roman" w:hAnsi="Times New Roman" w:cs="Times New Roman"/>
          <w:sz w:val="24"/>
          <w:szCs w:val="24"/>
        </w:rPr>
        <w:t xml:space="preserve">) </w:t>
      </w:r>
      <w:r w:rsidRPr="000C18E7">
        <w:rPr>
          <w:rFonts w:ascii="Times New Roman" w:hAnsi="Times New Roman" w:cs="Times New Roman"/>
          <w:sz w:val="24"/>
          <w:szCs w:val="24"/>
        </w:rPr>
        <w:t xml:space="preserve">Mr Heath calls ministers to Chequers </w:t>
      </w:r>
      <w:r w:rsidR="00D77890" w:rsidRPr="000C18E7">
        <w:rPr>
          <w:rFonts w:ascii="Times New Roman" w:hAnsi="Times New Roman" w:cs="Times New Roman"/>
          <w:sz w:val="24"/>
          <w:szCs w:val="24"/>
        </w:rPr>
        <w:t>amid speculation on early poll.</w:t>
      </w:r>
      <w:r w:rsidRPr="000C18E7">
        <w:rPr>
          <w:rFonts w:ascii="Times New Roman" w:hAnsi="Times New Roman" w:cs="Times New Roman"/>
          <w:sz w:val="24"/>
          <w:szCs w:val="24"/>
        </w:rPr>
        <w:t xml:space="preserve"> </w:t>
      </w:r>
      <w:r w:rsidRPr="000C18E7">
        <w:rPr>
          <w:rFonts w:ascii="Times New Roman" w:hAnsi="Times New Roman" w:cs="Times New Roman"/>
          <w:iCs/>
          <w:sz w:val="24"/>
          <w:szCs w:val="24"/>
        </w:rPr>
        <w:t>The Times</w:t>
      </w:r>
      <w:r w:rsidRPr="000C18E7">
        <w:rPr>
          <w:rFonts w:ascii="Times New Roman" w:hAnsi="Times New Roman" w:cs="Times New Roman"/>
          <w:sz w:val="24"/>
          <w:szCs w:val="24"/>
        </w:rPr>
        <w:t>, 14 January.</w:t>
      </w:r>
    </w:p>
    <w:p w14:paraId="412ED5FE" w14:textId="735725DE" w:rsidR="003E2774" w:rsidRPr="000C18E7" w:rsidRDefault="003E2774" w:rsidP="00806D17">
      <w:pPr>
        <w:spacing w:after="0" w:line="480" w:lineRule="auto"/>
        <w:jc w:val="both"/>
        <w:rPr>
          <w:rFonts w:ascii="Times New Roman" w:hAnsi="Times New Roman" w:cs="Times New Roman"/>
          <w:sz w:val="24"/>
          <w:szCs w:val="24"/>
        </w:rPr>
      </w:pPr>
      <w:r w:rsidRPr="000C18E7">
        <w:rPr>
          <w:rFonts w:ascii="Times New Roman" w:hAnsi="Times New Roman" w:cs="Times New Roman"/>
          <w:sz w:val="24"/>
          <w:szCs w:val="24"/>
        </w:rPr>
        <w:t>Greig, G. (1974)</w:t>
      </w:r>
      <w:r w:rsidR="00D77890" w:rsidRPr="000C18E7">
        <w:rPr>
          <w:rFonts w:ascii="Times New Roman" w:hAnsi="Times New Roman" w:cs="Times New Roman"/>
          <w:sz w:val="24"/>
          <w:szCs w:val="24"/>
        </w:rPr>
        <w:t xml:space="preserve"> Ministers urge snap election.</w:t>
      </w:r>
      <w:r w:rsidRPr="000C18E7">
        <w:rPr>
          <w:rFonts w:ascii="Times New Roman" w:hAnsi="Times New Roman" w:cs="Times New Roman"/>
          <w:sz w:val="24"/>
          <w:szCs w:val="24"/>
        </w:rPr>
        <w:t xml:space="preserve"> </w:t>
      </w:r>
      <w:r w:rsidRPr="000C18E7">
        <w:rPr>
          <w:rFonts w:ascii="Times New Roman" w:hAnsi="Times New Roman" w:cs="Times New Roman"/>
          <w:iCs/>
          <w:sz w:val="24"/>
          <w:szCs w:val="24"/>
        </w:rPr>
        <w:t>Daily Mail</w:t>
      </w:r>
      <w:r w:rsidRPr="000C18E7">
        <w:rPr>
          <w:rFonts w:ascii="Times New Roman" w:hAnsi="Times New Roman" w:cs="Times New Roman"/>
          <w:sz w:val="24"/>
          <w:szCs w:val="24"/>
        </w:rPr>
        <w:t xml:space="preserve">, 5 January. </w:t>
      </w:r>
    </w:p>
    <w:p w14:paraId="44F35460" w14:textId="77777777" w:rsidR="00D77890" w:rsidRPr="000C18E7" w:rsidRDefault="00D77890" w:rsidP="00806D17">
      <w:pPr>
        <w:spacing w:after="0" w:line="480" w:lineRule="auto"/>
        <w:jc w:val="both"/>
        <w:rPr>
          <w:rFonts w:ascii="Times New Roman" w:hAnsi="Times New Roman" w:cs="Times New Roman"/>
          <w:sz w:val="24"/>
          <w:szCs w:val="24"/>
        </w:rPr>
      </w:pPr>
      <w:r w:rsidRPr="000C18E7">
        <w:rPr>
          <w:rFonts w:ascii="Times New Roman" w:hAnsi="Times New Roman" w:cs="Times New Roman"/>
          <w:sz w:val="24"/>
          <w:szCs w:val="24"/>
        </w:rPr>
        <w:t xml:space="preserve">Gilmour, I. (1974a) </w:t>
      </w:r>
      <w:r w:rsidR="003A4A15" w:rsidRPr="000C18E7">
        <w:rPr>
          <w:rFonts w:ascii="Times New Roman" w:hAnsi="Times New Roman" w:cs="Times New Roman"/>
          <w:sz w:val="24"/>
          <w:szCs w:val="24"/>
        </w:rPr>
        <w:t>The Tory dile</w:t>
      </w:r>
      <w:r w:rsidRPr="000C18E7">
        <w:rPr>
          <w:rFonts w:ascii="Times New Roman" w:hAnsi="Times New Roman" w:cs="Times New Roman"/>
          <w:sz w:val="24"/>
          <w:szCs w:val="24"/>
        </w:rPr>
        <w:t>mma that followed the election.</w:t>
      </w:r>
      <w:r w:rsidR="003A4A15" w:rsidRPr="000C18E7">
        <w:rPr>
          <w:rFonts w:ascii="Times New Roman" w:hAnsi="Times New Roman" w:cs="Times New Roman"/>
          <w:sz w:val="24"/>
          <w:szCs w:val="24"/>
        </w:rPr>
        <w:t xml:space="preserve"> </w:t>
      </w:r>
      <w:r w:rsidR="003A4A15" w:rsidRPr="000C18E7">
        <w:rPr>
          <w:rFonts w:ascii="Times New Roman" w:hAnsi="Times New Roman" w:cs="Times New Roman"/>
          <w:iCs/>
          <w:sz w:val="24"/>
          <w:szCs w:val="24"/>
        </w:rPr>
        <w:t>The Times</w:t>
      </w:r>
      <w:r w:rsidR="003A4A15" w:rsidRPr="000C18E7">
        <w:rPr>
          <w:rFonts w:ascii="Times New Roman" w:hAnsi="Times New Roman" w:cs="Times New Roman"/>
          <w:sz w:val="24"/>
          <w:szCs w:val="24"/>
        </w:rPr>
        <w:t xml:space="preserve">, 2 May. </w:t>
      </w:r>
    </w:p>
    <w:p w14:paraId="166C1851" w14:textId="7B2863C3" w:rsidR="003A4A15" w:rsidRPr="000C18E7" w:rsidRDefault="003A4A15" w:rsidP="00806D17">
      <w:pPr>
        <w:spacing w:after="0" w:line="480" w:lineRule="auto"/>
        <w:jc w:val="both"/>
        <w:rPr>
          <w:rFonts w:ascii="Times New Roman" w:hAnsi="Times New Roman" w:cs="Times New Roman"/>
          <w:sz w:val="24"/>
          <w:szCs w:val="24"/>
        </w:rPr>
      </w:pPr>
      <w:r w:rsidRPr="000C18E7">
        <w:rPr>
          <w:rFonts w:ascii="Times New Roman" w:hAnsi="Times New Roman" w:cs="Times New Roman"/>
          <w:sz w:val="24"/>
          <w:szCs w:val="24"/>
        </w:rPr>
        <w:t>Gilmour, I.  (1974b)</w:t>
      </w:r>
      <w:r w:rsidR="00D77890" w:rsidRPr="000C18E7">
        <w:rPr>
          <w:rFonts w:ascii="Times New Roman" w:hAnsi="Times New Roman" w:cs="Times New Roman"/>
          <w:sz w:val="24"/>
          <w:szCs w:val="24"/>
        </w:rPr>
        <w:t xml:space="preserve"> </w:t>
      </w:r>
      <w:r w:rsidRPr="000C18E7">
        <w:rPr>
          <w:rFonts w:ascii="Times New Roman" w:hAnsi="Times New Roman" w:cs="Times New Roman"/>
          <w:sz w:val="24"/>
          <w:szCs w:val="24"/>
        </w:rPr>
        <w:t>How Mr Heath could</w:t>
      </w:r>
      <w:r w:rsidR="00D77890" w:rsidRPr="000C18E7">
        <w:rPr>
          <w:rFonts w:ascii="Times New Roman" w:hAnsi="Times New Roman" w:cs="Times New Roman"/>
          <w:sz w:val="24"/>
          <w:szCs w:val="24"/>
        </w:rPr>
        <w:t xml:space="preserve"> establish industrial harmony. </w:t>
      </w:r>
      <w:r w:rsidRPr="000C18E7">
        <w:rPr>
          <w:rFonts w:ascii="Times New Roman" w:hAnsi="Times New Roman" w:cs="Times New Roman"/>
          <w:iCs/>
          <w:sz w:val="24"/>
          <w:szCs w:val="24"/>
        </w:rPr>
        <w:t>The Times</w:t>
      </w:r>
      <w:r w:rsidR="00D77890" w:rsidRPr="000C18E7">
        <w:rPr>
          <w:rFonts w:ascii="Times New Roman" w:hAnsi="Times New Roman" w:cs="Times New Roman"/>
          <w:sz w:val="24"/>
          <w:szCs w:val="24"/>
        </w:rPr>
        <w:t xml:space="preserve">, </w:t>
      </w:r>
      <w:r w:rsidRPr="000C18E7">
        <w:rPr>
          <w:rFonts w:ascii="Times New Roman" w:hAnsi="Times New Roman" w:cs="Times New Roman"/>
          <w:sz w:val="24"/>
          <w:szCs w:val="24"/>
        </w:rPr>
        <w:t>3 May.</w:t>
      </w:r>
    </w:p>
    <w:p w14:paraId="3CEE0B9A" w14:textId="172F2188" w:rsidR="00BE51DE" w:rsidRPr="000C18E7" w:rsidRDefault="00BE51DE" w:rsidP="00806D17">
      <w:pPr>
        <w:spacing w:after="0" w:line="480" w:lineRule="auto"/>
        <w:jc w:val="both"/>
        <w:rPr>
          <w:rFonts w:ascii="Times New Roman" w:hAnsi="Times New Roman" w:cs="Times New Roman"/>
          <w:sz w:val="24"/>
          <w:szCs w:val="24"/>
        </w:rPr>
      </w:pPr>
      <w:r w:rsidRPr="000C18E7">
        <w:rPr>
          <w:rFonts w:ascii="Times New Roman" w:hAnsi="Times New Roman" w:cs="Times New Roman"/>
          <w:sz w:val="24"/>
          <w:szCs w:val="24"/>
        </w:rPr>
        <w:t>Gilmour, I. (1974</w:t>
      </w:r>
      <w:r w:rsidR="003A4A15" w:rsidRPr="000C18E7">
        <w:rPr>
          <w:rFonts w:ascii="Times New Roman" w:hAnsi="Times New Roman" w:cs="Times New Roman"/>
          <w:sz w:val="24"/>
          <w:szCs w:val="24"/>
        </w:rPr>
        <w:t>c</w:t>
      </w:r>
      <w:r w:rsidRPr="000C18E7">
        <w:rPr>
          <w:rFonts w:ascii="Times New Roman" w:hAnsi="Times New Roman" w:cs="Times New Roman"/>
          <w:sz w:val="24"/>
          <w:szCs w:val="24"/>
        </w:rPr>
        <w:t>) Nation before Par</w:t>
      </w:r>
      <w:r w:rsidR="00D77890" w:rsidRPr="000C18E7">
        <w:rPr>
          <w:rFonts w:ascii="Times New Roman" w:hAnsi="Times New Roman" w:cs="Times New Roman"/>
          <w:sz w:val="24"/>
          <w:szCs w:val="24"/>
        </w:rPr>
        <w:t>ty is the Conservative Promise.</w:t>
      </w:r>
      <w:r w:rsidRPr="000C18E7">
        <w:rPr>
          <w:rFonts w:ascii="Times New Roman" w:hAnsi="Times New Roman" w:cs="Times New Roman"/>
          <w:sz w:val="24"/>
          <w:szCs w:val="24"/>
        </w:rPr>
        <w:t xml:space="preserve"> </w:t>
      </w:r>
      <w:r w:rsidRPr="000C18E7">
        <w:rPr>
          <w:rFonts w:ascii="Times New Roman" w:hAnsi="Times New Roman" w:cs="Times New Roman"/>
          <w:iCs/>
          <w:sz w:val="24"/>
          <w:szCs w:val="24"/>
        </w:rPr>
        <w:t>The Times,</w:t>
      </w:r>
      <w:r w:rsidRPr="000C18E7">
        <w:rPr>
          <w:rFonts w:ascii="Times New Roman" w:hAnsi="Times New Roman" w:cs="Times New Roman"/>
          <w:sz w:val="24"/>
          <w:szCs w:val="24"/>
        </w:rPr>
        <w:t xml:space="preserve"> 4 May. </w:t>
      </w:r>
    </w:p>
    <w:p w14:paraId="504D07F1" w14:textId="56B5D7EF" w:rsidR="003E2774" w:rsidRPr="000C18E7" w:rsidRDefault="003E2774" w:rsidP="00806D17">
      <w:pPr>
        <w:spacing w:after="0" w:line="480" w:lineRule="auto"/>
        <w:jc w:val="both"/>
        <w:rPr>
          <w:rFonts w:ascii="Times New Roman" w:hAnsi="Times New Roman" w:cs="Times New Roman"/>
          <w:sz w:val="24"/>
          <w:szCs w:val="24"/>
        </w:rPr>
      </w:pPr>
      <w:r w:rsidRPr="000C18E7">
        <w:rPr>
          <w:rFonts w:ascii="Times New Roman" w:hAnsi="Times New Roman" w:cs="Times New Roman"/>
          <w:iCs/>
          <w:sz w:val="24"/>
          <w:szCs w:val="24"/>
        </w:rPr>
        <w:t>Guardian</w:t>
      </w:r>
      <w:r w:rsidRPr="000C18E7">
        <w:rPr>
          <w:rFonts w:ascii="Times New Roman" w:hAnsi="Times New Roman" w:cs="Times New Roman"/>
          <w:sz w:val="24"/>
          <w:szCs w:val="24"/>
        </w:rPr>
        <w:t xml:space="preserve"> (1974) Excl</w:t>
      </w:r>
      <w:r w:rsidR="00A43026" w:rsidRPr="000C18E7">
        <w:rPr>
          <w:rFonts w:ascii="Times New Roman" w:hAnsi="Times New Roman" w:cs="Times New Roman"/>
          <w:sz w:val="24"/>
          <w:szCs w:val="24"/>
        </w:rPr>
        <w:t>usive Article to the Guardian.</w:t>
      </w:r>
      <w:r w:rsidRPr="000C18E7">
        <w:rPr>
          <w:rFonts w:ascii="Times New Roman" w:hAnsi="Times New Roman" w:cs="Times New Roman"/>
          <w:sz w:val="24"/>
          <w:szCs w:val="24"/>
        </w:rPr>
        <w:t xml:space="preserve"> 2 October. </w:t>
      </w:r>
    </w:p>
    <w:p w14:paraId="3CD444F8" w14:textId="545BF011" w:rsidR="003E2774" w:rsidRPr="000C18E7" w:rsidRDefault="00A43026" w:rsidP="00806D17">
      <w:pPr>
        <w:spacing w:after="0" w:line="480" w:lineRule="auto"/>
        <w:jc w:val="both"/>
        <w:rPr>
          <w:rFonts w:ascii="Times New Roman" w:hAnsi="Times New Roman" w:cs="Times New Roman"/>
          <w:sz w:val="24"/>
          <w:szCs w:val="24"/>
        </w:rPr>
      </w:pPr>
      <w:r w:rsidRPr="000C18E7">
        <w:rPr>
          <w:rFonts w:ascii="Times New Roman" w:hAnsi="Times New Roman" w:cs="Times New Roman"/>
          <w:sz w:val="24"/>
          <w:szCs w:val="24"/>
        </w:rPr>
        <w:t xml:space="preserve">Hatfield, M. (1974) </w:t>
      </w:r>
      <w:r w:rsidR="003E2774" w:rsidRPr="000C18E7">
        <w:rPr>
          <w:rFonts w:ascii="Times New Roman" w:hAnsi="Times New Roman" w:cs="Times New Roman"/>
          <w:sz w:val="24"/>
          <w:szCs w:val="24"/>
        </w:rPr>
        <w:t>Speculation gr</w:t>
      </w:r>
      <w:r w:rsidRPr="000C18E7">
        <w:rPr>
          <w:rFonts w:ascii="Times New Roman" w:hAnsi="Times New Roman" w:cs="Times New Roman"/>
          <w:sz w:val="24"/>
          <w:szCs w:val="24"/>
        </w:rPr>
        <w:t>ows on prospect of an election.</w:t>
      </w:r>
      <w:r w:rsidR="003E2774" w:rsidRPr="000C18E7">
        <w:rPr>
          <w:rFonts w:ascii="Times New Roman" w:hAnsi="Times New Roman" w:cs="Times New Roman"/>
          <w:sz w:val="24"/>
          <w:szCs w:val="24"/>
        </w:rPr>
        <w:t xml:space="preserve"> </w:t>
      </w:r>
      <w:r w:rsidR="003E2774" w:rsidRPr="000C18E7">
        <w:rPr>
          <w:rFonts w:ascii="Times New Roman" w:hAnsi="Times New Roman" w:cs="Times New Roman"/>
          <w:iCs/>
          <w:sz w:val="24"/>
          <w:szCs w:val="24"/>
        </w:rPr>
        <w:t>The Times</w:t>
      </w:r>
      <w:r w:rsidR="003E2774" w:rsidRPr="000C18E7">
        <w:rPr>
          <w:rFonts w:ascii="Times New Roman" w:hAnsi="Times New Roman" w:cs="Times New Roman"/>
          <w:sz w:val="24"/>
          <w:szCs w:val="24"/>
        </w:rPr>
        <w:t xml:space="preserve">, 5 January. </w:t>
      </w:r>
    </w:p>
    <w:p w14:paraId="641CCE2D" w14:textId="4AC3FCCB" w:rsidR="00F41B1A" w:rsidRPr="000C18E7" w:rsidRDefault="00F41B1A" w:rsidP="00806D17">
      <w:pPr>
        <w:spacing w:after="0" w:line="480" w:lineRule="auto"/>
        <w:jc w:val="both"/>
        <w:rPr>
          <w:rFonts w:ascii="Times New Roman" w:hAnsi="Times New Roman" w:cs="Times New Roman"/>
          <w:sz w:val="24"/>
          <w:szCs w:val="24"/>
        </w:rPr>
      </w:pPr>
      <w:r w:rsidRPr="000C18E7">
        <w:rPr>
          <w:rFonts w:ascii="Times New Roman" w:hAnsi="Times New Roman" w:cs="Times New Roman"/>
          <w:iCs/>
          <w:sz w:val="24"/>
          <w:szCs w:val="24"/>
        </w:rPr>
        <w:lastRenderedPageBreak/>
        <w:t>The Spectator</w:t>
      </w:r>
      <w:r w:rsidR="00A43026" w:rsidRPr="000C18E7">
        <w:rPr>
          <w:rFonts w:ascii="Times New Roman" w:hAnsi="Times New Roman" w:cs="Times New Roman"/>
          <w:sz w:val="24"/>
          <w:szCs w:val="24"/>
        </w:rPr>
        <w:t xml:space="preserve"> (1974) Exit the Squatter.</w:t>
      </w:r>
      <w:r w:rsidRPr="000C18E7">
        <w:rPr>
          <w:rFonts w:ascii="Times New Roman" w:hAnsi="Times New Roman" w:cs="Times New Roman"/>
          <w:sz w:val="24"/>
          <w:szCs w:val="24"/>
        </w:rPr>
        <w:t xml:space="preserve"> 9 March. </w:t>
      </w:r>
    </w:p>
    <w:p w14:paraId="01E30F5C" w14:textId="54B649B7" w:rsidR="003E2774" w:rsidRPr="000C18E7" w:rsidRDefault="00A43026" w:rsidP="00806D17">
      <w:pPr>
        <w:spacing w:after="0" w:line="480" w:lineRule="auto"/>
        <w:jc w:val="both"/>
        <w:rPr>
          <w:rFonts w:ascii="Times New Roman" w:hAnsi="Times New Roman" w:cs="Times New Roman"/>
          <w:sz w:val="24"/>
          <w:szCs w:val="24"/>
        </w:rPr>
      </w:pPr>
      <w:r w:rsidRPr="000C18E7">
        <w:rPr>
          <w:rFonts w:ascii="Times New Roman" w:hAnsi="Times New Roman" w:cs="Times New Roman"/>
          <w:sz w:val="24"/>
          <w:szCs w:val="24"/>
        </w:rPr>
        <w:t xml:space="preserve">Wood, D. (1974) </w:t>
      </w:r>
      <w:r w:rsidR="00636BB8" w:rsidRPr="000C18E7">
        <w:rPr>
          <w:rFonts w:ascii="Times New Roman" w:hAnsi="Times New Roman" w:cs="Times New Roman"/>
          <w:sz w:val="24"/>
          <w:szCs w:val="24"/>
        </w:rPr>
        <w:t>M</w:t>
      </w:r>
      <w:r w:rsidRPr="000C18E7">
        <w:rPr>
          <w:rFonts w:ascii="Times New Roman" w:hAnsi="Times New Roman" w:cs="Times New Roman"/>
          <w:sz w:val="24"/>
          <w:szCs w:val="24"/>
        </w:rPr>
        <w:t>r Heath changes style and role.</w:t>
      </w:r>
      <w:r w:rsidR="00636BB8" w:rsidRPr="000C18E7">
        <w:rPr>
          <w:rFonts w:ascii="Times New Roman" w:hAnsi="Times New Roman" w:cs="Times New Roman"/>
          <w:sz w:val="24"/>
          <w:szCs w:val="24"/>
        </w:rPr>
        <w:t xml:space="preserve"> </w:t>
      </w:r>
      <w:r w:rsidR="00636BB8" w:rsidRPr="000C18E7">
        <w:rPr>
          <w:rFonts w:ascii="Times New Roman" w:hAnsi="Times New Roman" w:cs="Times New Roman"/>
          <w:iCs/>
          <w:sz w:val="24"/>
          <w:szCs w:val="24"/>
        </w:rPr>
        <w:t>The Times</w:t>
      </w:r>
      <w:r w:rsidR="00636BB8" w:rsidRPr="000C18E7">
        <w:rPr>
          <w:rFonts w:ascii="Times New Roman" w:hAnsi="Times New Roman" w:cs="Times New Roman"/>
          <w:sz w:val="24"/>
          <w:szCs w:val="24"/>
        </w:rPr>
        <w:t xml:space="preserve">, 23 September. </w:t>
      </w:r>
    </w:p>
    <w:p w14:paraId="6136EF18" w14:textId="77777777" w:rsidR="0056680B" w:rsidRPr="000C18E7" w:rsidRDefault="0056680B" w:rsidP="00806D17">
      <w:pPr>
        <w:spacing w:after="0" w:line="480" w:lineRule="auto"/>
        <w:jc w:val="both"/>
        <w:outlineLvl w:val="2"/>
        <w:rPr>
          <w:rFonts w:ascii="Times New Roman" w:eastAsia="Times New Roman" w:hAnsi="Times New Roman" w:cs="Times New Roman"/>
          <w:b/>
          <w:bCs/>
          <w:color w:val="2B2B2B"/>
          <w:sz w:val="24"/>
          <w:szCs w:val="24"/>
          <w:lang w:eastAsia="en-GB"/>
        </w:rPr>
      </w:pPr>
    </w:p>
    <w:p w14:paraId="01688BE9" w14:textId="42877241" w:rsidR="00E47FE6" w:rsidRPr="000C18E7" w:rsidRDefault="003E2774" w:rsidP="00806D17">
      <w:pPr>
        <w:spacing w:after="0" w:line="480" w:lineRule="auto"/>
        <w:jc w:val="both"/>
        <w:outlineLvl w:val="2"/>
        <w:rPr>
          <w:rFonts w:ascii="Times New Roman" w:eastAsia="Times New Roman" w:hAnsi="Times New Roman" w:cs="Times New Roman"/>
          <w:i/>
          <w:iCs/>
          <w:color w:val="2B2B2B"/>
          <w:sz w:val="24"/>
          <w:szCs w:val="24"/>
          <w:lang w:eastAsia="en-GB"/>
        </w:rPr>
      </w:pPr>
      <w:bookmarkStart w:id="2" w:name="_Hlk33197165"/>
      <w:r w:rsidRPr="000C18E7">
        <w:rPr>
          <w:rFonts w:ascii="Times New Roman" w:eastAsia="Times New Roman" w:hAnsi="Times New Roman" w:cs="Times New Roman"/>
          <w:b/>
          <w:bCs/>
          <w:color w:val="2B2B2B"/>
          <w:sz w:val="24"/>
          <w:szCs w:val="24"/>
          <w:lang w:eastAsia="en-GB"/>
        </w:rPr>
        <w:t xml:space="preserve">Memoirs and Diaries: </w:t>
      </w:r>
      <w:r w:rsidRPr="000C18E7">
        <w:rPr>
          <w:rFonts w:ascii="Times New Roman" w:eastAsia="Times New Roman" w:hAnsi="Times New Roman" w:cs="Times New Roman"/>
          <w:i/>
          <w:iCs/>
          <w:color w:val="2B2B2B"/>
          <w:sz w:val="24"/>
          <w:szCs w:val="24"/>
          <w:lang w:eastAsia="en-GB"/>
        </w:rPr>
        <w:t xml:space="preserve"> </w:t>
      </w:r>
    </w:p>
    <w:p w14:paraId="0DEA4464" w14:textId="77777777" w:rsidR="00E47FE6" w:rsidRPr="000C18E7" w:rsidRDefault="00E47FE6" w:rsidP="00806D17">
      <w:pPr>
        <w:spacing w:after="0" w:line="480" w:lineRule="auto"/>
        <w:jc w:val="both"/>
        <w:outlineLvl w:val="2"/>
        <w:rPr>
          <w:rFonts w:ascii="Times New Roman" w:eastAsia="Times New Roman" w:hAnsi="Times New Roman" w:cs="Times New Roman"/>
          <w:i/>
          <w:iCs/>
          <w:color w:val="2B2B2B"/>
          <w:sz w:val="24"/>
          <w:szCs w:val="24"/>
          <w:lang w:eastAsia="en-GB"/>
        </w:rPr>
      </w:pPr>
    </w:p>
    <w:bookmarkEnd w:id="2"/>
    <w:p w14:paraId="6730166A" w14:textId="62F2E38B" w:rsidR="002F2101" w:rsidRPr="000C18E7" w:rsidRDefault="002F2101" w:rsidP="00806D17">
      <w:pPr>
        <w:spacing w:after="0" w:line="480" w:lineRule="auto"/>
        <w:contextualSpacing/>
        <w:jc w:val="both"/>
        <w:rPr>
          <w:rFonts w:ascii="Times New Roman" w:hAnsi="Times New Roman" w:cs="Times New Roman"/>
          <w:sz w:val="24"/>
          <w:szCs w:val="24"/>
        </w:rPr>
      </w:pPr>
      <w:r w:rsidRPr="000C18E7">
        <w:rPr>
          <w:rFonts w:ascii="Times New Roman" w:hAnsi="Times New Roman" w:cs="Times New Roman"/>
          <w:sz w:val="24"/>
          <w:szCs w:val="24"/>
        </w:rPr>
        <w:t>Baker, K. (1993) The Turbulent Years: My Life in Politics</w:t>
      </w:r>
      <w:r w:rsidR="005737A7" w:rsidRPr="000C18E7">
        <w:rPr>
          <w:rFonts w:ascii="Times New Roman" w:hAnsi="Times New Roman" w:cs="Times New Roman"/>
          <w:sz w:val="24"/>
          <w:szCs w:val="24"/>
        </w:rPr>
        <w:t>.</w:t>
      </w:r>
      <w:r w:rsidRPr="000C18E7">
        <w:rPr>
          <w:rFonts w:ascii="Times New Roman" w:hAnsi="Times New Roman" w:cs="Times New Roman"/>
          <w:sz w:val="24"/>
          <w:szCs w:val="24"/>
        </w:rPr>
        <w:t xml:space="preserve"> London</w:t>
      </w:r>
      <w:r w:rsidR="005737A7" w:rsidRPr="000C18E7">
        <w:rPr>
          <w:rFonts w:ascii="Times New Roman" w:hAnsi="Times New Roman" w:cs="Times New Roman"/>
          <w:sz w:val="24"/>
          <w:szCs w:val="24"/>
        </w:rPr>
        <w:t>:</w:t>
      </w:r>
      <w:r w:rsidRPr="000C18E7">
        <w:rPr>
          <w:rFonts w:ascii="Times New Roman" w:hAnsi="Times New Roman" w:cs="Times New Roman"/>
          <w:sz w:val="24"/>
          <w:szCs w:val="24"/>
        </w:rPr>
        <w:t xml:space="preserve"> Faber and Faber.</w:t>
      </w:r>
    </w:p>
    <w:p w14:paraId="212AAC4B" w14:textId="5A2F4F77" w:rsidR="00E47FE6" w:rsidRPr="000C18E7" w:rsidRDefault="00E47FE6" w:rsidP="00806D17">
      <w:pPr>
        <w:spacing w:after="0" w:line="480" w:lineRule="auto"/>
        <w:jc w:val="both"/>
        <w:outlineLvl w:val="2"/>
        <w:rPr>
          <w:rFonts w:ascii="Times New Roman" w:eastAsia="Times New Roman" w:hAnsi="Times New Roman" w:cs="Times New Roman"/>
          <w:iCs/>
          <w:sz w:val="24"/>
          <w:szCs w:val="24"/>
          <w:lang w:eastAsia="en-GB"/>
        </w:rPr>
      </w:pPr>
      <w:r w:rsidRPr="000C18E7">
        <w:rPr>
          <w:rFonts w:ascii="Times New Roman" w:hAnsi="Times New Roman" w:cs="Times New Roman"/>
          <w:sz w:val="24"/>
          <w:szCs w:val="24"/>
        </w:rPr>
        <w:t xml:space="preserve">Carrington, P. (1988) </w:t>
      </w:r>
      <w:r w:rsidRPr="000C18E7">
        <w:rPr>
          <w:rFonts w:ascii="Times New Roman" w:hAnsi="Times New Roman" w:cs="Times New Roman"/>
          <w:iCs/>
          <w:sz w:val="24"/>
          <w:szCs w:val="24"/>
        </w:rPr>
        <w:t>Reflect on Things Past: The Memoirs of Lord Carrington</w:t>
      </w:r>
      <w:r w:rsidR="005737A7" w:rsidRPr="000C18E7">
        <w:rPr>
          <w:rFonts w:ascii="Times New Roman" w:hAnsi="Times New Roman" w:cs="Times New Roman"/>
          <w:sz w:val="24"/>
          <w:szCs w:val="24"/>
        </w:rPr>
        <w:t>.</w:t>
      </w:r>
      <w:r w:rsidRPr="000C18E7">
        <w:rPr>
          <w:rFonts w:ascii="Times New Roman" w:hAnsi="Times New Roman" w:cs="Times New Roman"/>
          <w:sz w:val="24"/>
          <w:szCs w:val="24"/>
        </w:rPr>
        <w:t xml:space="preserve"> London: Collins. </w:t>
      </w:r>
    </w:p>
    <w:p w14:paraId="588D4E2C" w14:textId="64087F5D" w:rsidR="00E47FE6" w:rsidRPr="000C18E7" w:rsidRDefault="00632ABD" w:rsidP="00806D17">
      <w:pPr>
        <w:spacing w:after="0" w:line="480" w:lineRule="auto"/>
        <w:contextualSpacing/>
        <w:jc w:val="both"/>
        <w:outlineLvl w:val="2"/>
        <w:rPr>
          <w:rFonts w:ascii="Times New Roman" w:eastAsia="Times New Roman" w:hAnsi="Times New Roman" w:cs="Times New Roman"/>
          <w:iCs/>
          <w:sz w:val="24"/>
          <w:szCs w:val="24"/>
          <w:lang w:eastAsia="en-GB"/>
        </w:rPr>
      </w:pPr>
      <w:r w:rsidRPr="000C18E7">
        <w:rPr>
          <w:rFonts w:ascii="Times New Roman" w:hAnsi="Times New Roman" w:cs="Times New Roman"/>
          <w:sz w:val="24"/>
          <w:szCs w:val="24"/>
        </w:rPr>
        <w:t xml:space="preserve">Heath, E. (1998) </w:t>
      </w:r>
      <w:r w:rsidR="000C7AC4" w:rsidRPr="000C18E7">
        <w:rPr>
          <w:rFonts w:ascii="Times New Roman" w:hAnsi="Times New Roman" w:cs="Times New Roman"/>
          <w:sz w:val="24"/>
          <w:szCs w:val="24"/>
        </w:rPr>
        <w:t>The Course of My Life: My Autobiography</w:t>
      </w:r>
      <w:r w:rsidR="005737A7" w:rsidRPr="000C18E7">
        <w:rPr>
          <w:rFonts w:ascii="Times New Roman" w:hAnsi="Times New Roman" w:cs="Times New Roman"/>
          <w:sz w:val="24"/>
          <w:szCs w:val="24"/>
        </w:rPr>
        <w:t>.</w:t>
      </w:r>
      <w:r w:rsidRPr="000C18E7">
        <w:rPr>
          <w:rFonts w:ascii="Times New Roman" w:hAnsi="Times New Roman" w:cs="Times New Roman"/>
          <w:sz w:val="24"/>
          <w:szCs w:val="24"/>
        </w:rPr>
        <w:t xml:space="preserve"> </w:t>
      </w:r>
      <w:r w:rsidR="00E47FE6" w:rsidRPr="000C18E7">
        <w:rPr>
          <w:rFonts w:ascii="Times New Roman" w:hAnsi="Times New Roman" w:cs="Times New Roman"/>
          <w:sz w:val="24"/>
          <w:szCs w:val="24"/>
        </w:rPr>
        <w:t xml:space="preserve">London: </w:t>
      </w:r>
      <w:r w:rsidRPr="000C18E7">
        <w:rPr>
          <w:rFonts w:ascii="Times New Roman" w:hAnsi="Times New Roman" w:cs="Times New Roman"/>
          <w:sz w:val="24"/>
          <w:szCs w:val="24"/>
        </w:rPr>
        <w:t>Hodder and Stoughton</w:t>
      </w:r>
      <w:r w:rsidR="002F2101" w:rsidRPr="000C18E7">
        <w:rPr>
          <w:rFonts w:ascii="Times New Roman" w:hAnsi="Times New Roman" w:cs="Times New Roman"/>
          <w:sz w:val="24"/>
          <w:szCs w:val="24"/>
        </w:rPr>
        <w:t xml:space="preserve">. </w:t>
      </w:r>
    </w:p>
    <w:p w14:paraId="4CC13538" w14:textId="458A8EAC" w:rsidR="005C5767" w:rsidRPr="000C18E7" w:rsidRDefault="005C5767" w:rsidP="00806D17">
      <w:pPr>
        <w:spacing w:after="0" w:line="480" w:lineRule="auto"/>
        <w:contextualSpacing/>
        <w:jc w:val="both"/>
        <w:rPr>
          <w:rFonts w:ascii="Times New Roman" w:hAnsi="Times New Roman" w:cs="Times New Roman"/>
          <w:sz w:val="24"/>
          <w:szCs w:val="24"/>
        </w:rPr>
      </w:pPr>
      <w:r w:rsidRPr="000C18E7">
        <w:rPr>
          <w:rFonts w:ascii="Times New Roman" w:hAnsi="Times New Roman" w:cs="Times New Roman"/>
          <w:sz w:val="24"/>
          <w:szCs w:val="24"/>
        </w:rPr>
        <w:t>Parkinson, C.</w:t>
      </w:r>
      <w:r w:rsidR="005737A7" w:rsidRPr="000C18E7">
        <w:rPr>
          <w:rFonts w:ascii="Times New Roman" w:hAnsi="Times New Roman" w:cs="Times New Roman"/>
          <w:sz w:val="24"/>
          <w:szCs w:val="24"/>
        </w:rPr>
        <w:t xml:space="preserve"> (1992) </w:t>
      </w:r>
      <w:r w:rsidRPr="000C18E7">
        <w:rPr>
          <w:rFonts w:ascii="Times New Roman" w:hAnsi="Times New Roman" w:cs="Times New Roman"/>
          <w:sz w:val="24"/>
          <w:szCs w:val="24"/>
        </w:rPr>
        <w:t>Right at the Centre</w:t>
      </w:r>
      <w:r w:rsidR="005737A7" w:rsidRPr="000C18E7">
        <w:rPr>
          <w:rFonts w:ascii="Times New Roman" w:hAnsi="Times New Roman" w:cs="Times New Roman"/>
          <w:sz w:val="24"/>
          <w:szCs w:val="24"/>
        </w:rPr>
        <w:t xml:space="preserve">. </w:t>
      </w:r>
      <w:r w:rsidRPr="000C18E7">
        <w:rPr>
          <w:rFonts w:ascii="Times New Roman" w:hAnsi="Times New Roman" w:cs="Times New Roman"/>
          <w:sz w:val="24"/>
          <w:szCs w:val="24"/>
        </w:rPr>
        <w:t xml:space="preserve">London: Weidenfeld and Nicolson. </w:t>
      </w:r>
    </w:p>
    <w:p w14:paraId="1BC9A77C" w14:textId="085EB866" w:rsidR="00C81832" w:rsidRPr="000C18E7" w:rsidRDefault="00C81832" w:rsidP="00806D17">
      <w:pPr>
        <w:spacing w:after="0" w:line="480" w:lineRule="auto"/>
        <w:contextualSpacing/>
        <w:jc w:val="both"/>
        <w:rPr>
          <w:rFonts w:ascii="Times New Roman" w:hAnsi="Times New Roman" w:cs="Times New Roman"/>
          <w:sz w:val="24"/>
          <w:szCs w:val="24"/>
        </w:rPr>
      </w:pPr>
      <w:r w:rsidRPr="000C18E7">
        <w:rPr>
          <w:rFonts w:ascii="Times New Roman" w:hAnsi="Times New Roman" w:cs="Times New Roman"/>
          <w:sz w:val="24"/>
          <w:szCs w:val="24"/>
        </w:rPr>
        <w:t>Prior, J. (1986) A Balance of Power</w:t>
      </w:r>
      <w:r w:rsidR="005737A7" w:rsidRPr="000C18E7">
        <w:rPr>
          <w:rFonts w:ascii="Times New Roman" w:hAnsi="Times New Roman" w:cs="Times New Roman"/>
          <w:sz w:val="24"/>
          <w:szCs w:val="24"/>
        </w:rPr>
        <w:t xml:space="preserve">. </w:t>
      </w:r>
      <w:r w:rsidRPr="000C18E7">
        <w:rPr>
          <w:rFonts w:ascii="Times New Roman" w:hAnsi="Times New Roman" w:cs="Times New Roman"/>
          <w:sz w:val="24"/>
          <w:szCs w:val="24"/>
        </w:rPr>
        <w:t>London: Hamish Hamilton.</w:t>
      </w:r>
    </w:p>
    <w:p w14:paraId="79FACEA6" w14:textId="66349CB2" w:rsidR="00E47FE6" w:rsidRPr="000C18E7" w:rsidRDefault="00632ABD" w:rsidP="00806D17">
      <w:pPr>
        <w:spacing w:after="0" w:line="480" w:lineRule="auto"/>
        <w:contextualSpacing/>
        <w:jc w:val="both"/>
        <w:outlineLvl w:val="2"/>
        <w:rPr>
          <w:rFonts w:ascii="Times New Roman" w:eastAsia="Times New Roman" w:hAnsi="Times New Roman" w:cs="Times New Roman"/>
          <w:iCs/>
          <w:sz w:val="24"/>
          <w:szCs w:val="24"/>
          <w:lang w:eastAsia="en-GB"/>
        </w:rPr>
      </w:pPr>
      <w:r w:rsidRPr="000C18E7">
        <w:rPr>
          <w:rFonts w:ascii="Times New Roman" w:hAnsi="Times New Roman" w:cs="Times New Roman"/>
          <w:sz w:val="24"/>
          <w:szCs w:val="24"/>
        </w:rPr>
        <w:t>Thatcher, M. (1995) The Path to Power</w:t>
      </w:r>
      <w:r w:rsidR="005737A7" w:rsidRPr="000C18E7">
        <w:rPr>
          <w:rFonts w:ascii="Times New Roman" w:hAnsi="Times New Roman" w:cs="Times New Roman"/>
          <w:sz w:val="24"/>
          <w:szCs w:val="24"/>
        </w:rPr>
        <w:t xml:space="preserve">. </w:t>
      </w:r>
      <w:r w:rsidR="00E47FE6" w:rsidRPr="000C18E7">
        <w:rPr>
          <w:rFonts w:ascii="Times New Roman" w:hAnsi="Times New Roman" w:cs="Times New Roman"/>
          <w:sz w:val="24"/>
          <w:szCs w:val="24"/>
        </w:rPr>
        <w:t xml:space="preserve">London: </w:t>
      </w:r>
      <w:r w:rsidRPr="000C18E7">
        <w:rPr>
          <w:rFonts w:ascii="Times New Roman" w:hAnsi="Times New Roman" w:cs="Times New Roman"/>
          <w:sz w:val="24"/>
          <w:szCs w:val="24"/>
        </w:rPr>
        <w:t>Harper Collins</w:t>
      </w:r>
      <w:r w:rsidR="00E47FE6" w:rsidRPr="000C18E7">
        <w:rPr>
          <w:rFonts w:ascii="Times New Roman" w:hAnsi="Times New Roman" w:cs="Times New Roman"/>
          <w:sz w:val="24"/>
          <w:szCs w:val="24"/>
        </w:rPr>
        <w:t xml:space="preserve">. </w:t>
      </w:r>
    </w:p>
    <w:p w14:paraId="5926844F" w14:textId="01005C04" w:rsidR="00E47FE6" w:rsidRPr="000C18E7" w:rsidRDefault="003E2774" w:rsidP="00806D17">
      <w:pPr>
        <w:spacing w:after="0" w:line="480" w:lineRule="auto"/>
        <w:contextualSpacing/>
        <w:jc w:val="both"/>
        <w:outlineLvl w:val="2"/>
        <w:rPr>
          <w:rFonts w:ascii="Times New Roman" w:eastAsia="Times New Roman" w:hAnsi="Times New Roman" w:cs="Times New Roman"/>
          <w:iCs/>
          <w:sz w:val="24"/>
          <w:szCs w:val="24"/>
          <w:lang w:eastAsia="en-GB"/>
        </w:rPr>
      </w:pPr>
      <w:r w:rsidRPr="000C18E7">
        <w:rPr>
          <w:rFonts w:ascii="Times New Roman" w:hAnsi="Times New Roman" w:cs="Times New Roman"/>
          <w:sz w:val="24"/>
          <w:szCs w:val="24"/>
        </w:rPr>
        <w:t>Walker, P. (1991) Staying Power</w:t>
      </w:r>
      <w:r w:rsidR="005737A7" w:rsidRPr="000C18E7">
        <w:rPr>
          <w:rFonts w:ascii="Times New Roman" w:hAnsi="Times New Roman" w:cs="Times New Roman"/>
          <w:sz w:val="24"/>
          <w:szCs w:val="24"/>
        </w:rPr>
        <w:t xml:space="preserve">. </w:t>
      </w:r>
      <w:r w:rsidRPr="000C18E7">
        <w:rPr>
          <w:rFonts w:ascii="Times New Roman" w:hAnsi="Times New Roman" w:cs="Times New Roman"/>
          <w:sz w:val="24"/>
          <w:szCs w:val="24"/>
        </w:rPr>
        <w:t>London: Bloomsbury.</w:t>
      </w:r>
    </w:p>
    <w:p w14:paraId="1C94EED2" w14:textId="4065E7D3" w:rsidR="003E2774" w:rsidRPr="000C18E7" w:rsidRDefault="003E2774" w:rsidP="00806D17">
      <w:pPr>
        <w:spacing w:after="0" w:line="480" w:lineRule="auto"/>
        <w:contextualSpacing/>
        <w:jc w:val="both"/>
        <w:outlineLvl w:val="2"/>
        <w:rPr>
          <w:rFonts w:ascii="Times New Roman" w:eastAsia="Times New Roman" w:hAnsi="Times New Roman" w:cs="Times New Roman"/>
          <w:iCs/>
          <w:sz w:val="24"/>
          <w:szCs w:val="24"/>
          <w:lang w:eastAsia="en-GB"/>
        </w:rPr>
      </w:pPr>
      <w:r w:rsidRPr="000C18E7">
        <w:rPr>
          <w:rFonts w:ascii="Times New Roman" w:hAnsi="Times New Roman" w:cs="Times New Roman"/>
          <w:sz w:val="24"/>
          <w:szCs w:val="24"/>
        </w:rPr>
        <w:t>Whitelaw, W. (19</w:t>
      </w:r>
      <w:r w:rsidR="00E47FE6" w:rsidRPr="000C18E7">
        <w:rPr>
          <w:rFonts w:ascii="Times New Roman" w:hAnsi="Times New Roman" w:cs="Times New Roman"/>
          <w:sz w:val="24"/>
          <w:szCs w:val="24"/>
        </w:rPr>
        <w:t>91</w:t>
      </w:r>
      <w:r w:rsidRPr="000C18E7">
        <w:rPr>
          <w:rFonts w:ascii="Times New Roman" w:hAnsi="Times New Roman" w:cs="Times New Roman"/>
          <w:sz w:val="24"/>
          <w:szCs w:val="24"/>
        </w:rPr>
        <w:t xml:space="preserve">) </w:t>
      </w:r>
      <w:r w:rsidRPr="000C18E7">
        <w:rPr>
          <w:rFonts w:ascii="Times New Roman" w:hAnsi="Times New Roman" w:cs="Times New Roman"/>
          <w:iCs/>
          <w:sz w:val="24"/>
          <w:szCs w:val="24"/>
        </w:rPr>
        <w:t>The Whitelaw Memoirs</w:t>
      </w:r>
      <w:r w:rsidR="005737A7" w:rsidRPr="000C18E7">
        <w:rPr>
          <w:rFonts w:ascii="Times New Roman" w:hAnsi="Times New Roman" w:cs="Times New Roman"/>
          <w:sz w:val="24"/>
          <w:szCs w:val="24"/>
        </w:rPr>
        <w:t>.</w:t>
      </w:r>
      <w:r w:rsidRPr="000C18E7">
        <w:rPr>
          <w:rFonts w:ascii="Times New Roman" w:hAnsi="Times New Roman" w:cs="Times New Roman"/>
          <w:sz w:val="24"/>
          <w:szCs w:val="24"/>
        </w:rPr>
        <w:t xml:space="preserve"> London: Aurum.</w:t>
      </w:r>
    </w:p>
    <w:p w14:paraId="4AF096A5" w14:textId="77777777" w:rsidR="00B07C8A" w:rsidRPr="000C18E7" w:rsidRDefault="00B07C8A" w:rsidP="00806D17">
      <w:pPr>
        <w:spacing w:after="0" w:line="480" w:lineRule="auto"/>
        <w:contextualSpacing/>
        <w:jc w:val="both"/>
        <w:rPr>
          <w:rFonts w:ascii="Times New Roman" w:hAnsi="Times New Roman" w:cs="Times New Roman"/>
          <w:sz w:val="24"/>
          <w:szCs w:val="24"/>
        </w:rPr>
      </w:pPr>
    </w:p>
    <w:p w14:paraId="7C7B388D" w14:textId="77777777" w:rsidR="003E2774" w:rsidRPr="000C18E7" w:rsidRDefault="003E2774" w:rsidP="00806D17">
      <w:pPr>
        <w:spacing w:after="0" w:line="480" w:lineRule="auto"/>
        <w:jc w:val="both"/>
        <w:outlineLvl w:val="2"/>
        <w:rPr>
          <w:rFonts w:ascii="Times New Roman" w:eastAsia="Times New Roman" w:hAnsi="Times New Roman" w:cs="Times New Roman"/>
          <w:b/>
          <w:bCs/>
          <w:color w:val="2B2B2B"/>
          <w:sz w:val="24"/>
          <w:szCs w:val="24"/>
          <w:lang w:eastAsia="en-GB"/>
        </w:rPr>
      </w:pPr>
      <w:bookmarkStart w:id="3" w:name="_Hlk30154960"/>
      <w:r w:rsidRPr="000C18E7">
        <w:rPr>
          <w:rFonts w:ascii="Times New Roman" w:eastAsia="Times New Roman" w:hAnsi="Times New Roman" w:cs="Times New Roman"/>
          <w:b/>
          <w:bCs/>
          <w:color w:val="2B2B2B"/>
          <w:sz w:val="24"/>
          <w:szCs w:val="24"/>
          <w:lang w:eastAsia="en-GB"/>
        </w:rPr>
        <w:t>Books, Chapters and Articles:</w:t>
      </w:r>
    </w:p>
    <w:bookmarkEnd w:id="3"/>
    <w:p w14:paraId="49ACCEAD" w14:textId="235DD1A1" w:rsidR="0013742D" w:rsidRPr="000C18E7" w:rsidRDefault="0013742D" w:rsidP="00806D17">
      <w:pPr>
        <w:spacing w:after="0" w:line="480" w:lineRule="auto"/>
        <w:jc w:val="both"/>
        <w:rPr>
          <w:rFonts w:ascii="Times New Roman" w:hAnsi="Times New Roman" w:cs="Times New Roman"/>
          <w:sz w:val="24"/>
          <w:szCs w:val="24"/>
        </w:rPr>
      </w:pPr>
    </w:p>
    <w:p w14:paraId="019E82BA" w14:textId="3EADB11C" w:rsidR="00341C49" w:rsidRPr="000C18E7" w:rsidRDefault="00B620DB" w:rsidP="00806D17">
      <w:pPr>
        <w:spacing w:after="0" w:line="480" w:lineRule="auto"/>
        <w:jc w:val="both"/>
        <w:rPr>
          <w:rFonts w:ascii="Times New Roman" w:hAnsi="Times New Roman" w:cs="Times New Roman"/>
          <w:sz w:val="24"/>
          <w:szCs w:val="24"/>
          <w:shd w:val="clear" w:color="auto" w:fill="FFFFFF"/>
        </w:rPr>
      </w:pPr>
      <w:r w:rsidRPr="000C18E7">
        <w:rPr>
          <w:rFonts w:ascii="Times New Roman" w:hAnsi="Times New Roman" w:cs="Times New Roman"/>
          <w:sz w:val="24"/>
          <w:szCs w:val="24"/>
          <w:shd w:val="clear" w:color="auto" w:fill="FFFFFF"/>
        </w:rPr>
        <w:t>Alt, J., Crewe, I. and Särlvik, B. (</w:t>
      </w:r>
      <w:r w:rsidRPr="000C18E7">
        <w:rPr>
          <w:rStyle w:val="nlmyear"/>
          <w:rFonts w:ascii="Times New Roman" w:hAnsi="Times New Roman" w:cs="Times New Roman"/>
          <w:sz w:val="24"/>
          <w:szCs w:val="24"/>
        </w:rPr>
        <w:t>1977</w:t>
      </w:r>
      <w:r w:rsidRPr="000C18E7">
        <w:rPr>
          <w:rFonts w:ascii="Times New Roman" w:hAnsi="Times New Roman" w:cs="Times New Roman"/>
          <w:sz w:val="24"/>
          <w:szCs w:val="24"/>
          <w:shd w:val="clear" w:color="auto" w:fill="FFFFFF"/>
        </w:rPr>
        <w:t xml:space="preserve">) </w:t>
      </w:r>
      <w:r w:rsidRPr="000C18E7">
        <w:rPr>
          <w:rStyle w:val="nlmarticle-title"/>
          <w:rFonts w:ascii="Times New Roman" w:hAnsi="Times New Roman" w:cs="Times New Roman"/>
          <w:sz w:val="24"/>
          <w:szCs w:val="24"/>
        </w:rPr>
        <w:t>Angels in pla</w:t>
      </w:r>
      <w:r w:rsidR="00D77890" w:rsidRPr="000C18E7">
        <w:rPr>
          <w:rStyle w:val="nlmarticle-title"/>
          <w:rFonts w:ascii="Times New Roman" w:hAnsi="Times New Roman" w:cs="Times New Roman"/>
          <w:sz w:val="24"/>
          <w:szCs w:val="24"/>
        </w:rPr>
        <w:t>stic: The Liberal surge in 1974.</w:t>
      </w:r>
      <w:r w:rsidRPr="000C18E7">
        <w:rPr>
          <w:rFonts w:ascii="Times New Roman" w:hAnsi="Times New Roman" w:cs="Times New Roman"/>
          <w:sz w:val="24"/>
          <w:szCs w:val="24"/>
          <w:shd w:val="clear" w:color="auto" w:fill="FFFFFF"/>
        </w:rPr>
        <w:t xml:space="preserve"> </w:t>
      </w:r>
      <w:r w:rsidRPr="000C18E7">
        <w:rPr>
          <w:rFonts w:ascii="Times New Roman" w:hAnsi="Times New Roman" w:cs="Times New Roman"/>
          <w:iCs/>
          <w:sz w:val="24"/>
          <w:szCs w:val="24"/>
          <w:shd w:val="clear" w:color="auto" w:fill="FFFFFF"/>
        </w:rPr>
        <w:t>Political Studies</w:t>
      </w:r>
      <w:r w:rsidRPr="000C18E7">
        <w:rPr>
          <w:rFonts w:ascii="Times New Roman" w:hAnsi="Times New Roman" w:cs="Times New Roman"/>
          <w:sz w:val="24"/>
          <w:szCs w:val="24"/>
          <w:shd w:val="clear" w:color="auto" w:fill="FFFFFF"/>
        </w:rPr>
        <w:t xml:space="preserve"> 25 (3): </w:t>
      </w:r>
      <w:r w:rsidRPr="000C18E7">
        <w:rPr>
          <w:rStyle w:val="nlmfpage"/>
          <w:rFonts w:ascii="Times New Roman" w:hAnsi="Times New Roman" w:cs="Times New Roman"/>
          <w:sz w:val="24"/>
          <w:szCs w:val="24"/>
        </w:rPr>
        <w:t>343</w:t>
      </w:r>
      <w:r w:rsidRPr="000C18E7">
        <w:rPr>
          <w:rFonts w:ascii="Times New Roman" w:hAnsi="Times New Roman" w:cs="Times New Roman"/>
          <w:sz w:val="24"/>
          <w:szCs w:val="24"/>
          <w:shd w:val="clear" w:color="auto" w:fill="FFFFFF"/>
        </w:rPr>
        <w:t>–</w:t>
      </w:r>
      <w:r w:rsidR="00D77890" w:rsidRPr="000C18E7">
        <w:rPr>
          <w:rFonts w:ascii="Times New Roman" w:hAnsi="Times New Roman" w:cs="Times New Roman"/>
          <w:sz w:val="24"/>
          <w:szCs w:val="24"/>
          <w:shd w:val="clear" w:color="auto" w:fill="FFFFFF"/>
        </w:rPr>
        <w:t>3</w:t>
      </w:r>
      <w:r w:rsidRPr="000C18E7">
        <w:rPr>
          <w:rStyle w:val="nlmlpage"/>
          <w:rFonts w:ascii="Times New Roman" w:hAnsi="Times New Roman" w:cs="Times New Roman"/>
          <w:sz w:val="24"/>
          <w:szCs w:val="24"/>
        </w:rPr>
        <w:t>68</w:t>
      </w:r>
      <w:r w:rsidRPr="000C18E7">
        <w:rPr>
          <w:rFonts w:ascii="Times New Roman" w:hAnsi="Times New Roman" w:cs="Times New Roman"/>
          <w:sz w:val="24"/>
          <w:szCs w:val="24"/>
          <w:shd w:val="clear" w:color="auto" w:fill="FFFFFF"/>
        </w:rPr>
        <w:t>.</w:t>
      </w:r>
    </w:p>
    <w:p w14:paraId="2FB5585D" w14:textId="065C7234" w:rsidR="00341C49" w:rsidRPr="000C18E7" w:rsidRDefault="00D77890" w:rsidP="00806D17">
      <w:pPr>
        <w:spacing w:after="0" w:line="480" w:lineRule="auto"/>
        <w:jc w:val="both"/>
        <w:rPr>
          <w:rFonts w:ascii="Times New Roman" w:hAnsi="Times New Roman" w:cs="Times New Roman"/>
          <w:sz w:val="24"/>
          <w:szCs w:val="24"/>
          <w:shd w:val="clear" w:color="auto" w:fill="FFFFFF"/>
        </w:rPr>
      </w:pPr>
      <w:r w:rsidRPr="000C18E7">
        <w:rPr>
          <w:rFonts w:ascii="Times New Roman" w:hAnsi="Times New Roman" w:cs="Times New Roman"/>
          <w:sz w:val="24"/>
          <w:szCs w:val="24"/>
        </w:rPr>
        <w:t xml:space="preserve">Ball, S (1996) </w:t>
      </w:r>
      <w:r w:rsidR="00341C49" w:rsidRPr="000C18E7">
        <w:rPr>
          <w:rFonts w:ascii="Times New Roman" w:hAnsi="Times New Roman" w:cs="Times New Roman"/>
          <w:sz w:val="24"/>
          <w:szCs w:val="24"/>
        </w:rPr>
        <w:t>The Conservative Par</w:t>
      </w:r>
      <w:r w:rsidRPr="000C18E7">
        <w:rPr>
          <w:rFonts w:ascii="Times New Roman" w:hAnsi="Times New Roman" w:cs="Times New Roman"/>
          <w:sz w:val="24"/>
          <w:szCs w:val="24"/>
        </w:rPr>
        <w:t>ty and the Heath Government. In: S. Ball</w:t>
      </w:r>
      <w:r w:rsidR="00341C49" w:rsidRPr="000C18E7">
        <w:rPr>
          <w:rFonts w:ascii="Times New Roman" w:hAnsi="Times New Roman" w:cs="Times New Roman"/>
          <w:sz w:val="24"/>
          <w:szCs w:val="24"/>
        </w:rPr>
        <w:t xml:space="preserve"> and </w:t>
      </w:r>
      <w:r w:rsidRPr="000C18E7">
        <w:rPr>
          <w:rFonts w:ascii="Times New Roman" w:hAnsi="Times New Roman" w:cs="Times New Roman"/>
          <w:sz w:val="24"/>
          <w:szCs w:val="24"/>
        </w:rPr>
        <w:t xml:space="preserve">A. Seldon </w:t>
      </w:r>
      <w:r w:rsidR="00341C49" w:rsidRPr="000C18E7">
        <w:rPr>
          <w:rFonts w:ascii="Times New Roman" w:hAnsi="Times New Roman" w:cs="Times New Roman"/>
          <w:sz w:val="24"/>
          <w:szCs w:val="24"/>
        </w:rPr>
        <w:t>(eds.) The Heath Government 1970-1974: A Reappraisal</w:t>
      </w:r>
      <w:r w:rsidRPr="000C18E7">
        <w:rPr>
          <w:rFonts w:ascii="Times New Roman" w:hAnsi="Times New Roman" w:cs="Times New Roman"/>
          <w:sz w:val="24"/>
          <w:szCs w:val="24"/>
        </w:rPr>
        <w:t xml:space="preserve">. </w:t>
      </w:r>
      <w:r w:rsidR="00341C49" w:rsidRPr="000C18E7">
        <w:rPr>
          <w:rFonts w:ascii="Times New Roman" w:hAnsi="Times New Roman" w:cs="Times New Roman"/>
          <w:sz w:val="24"/>
          <w:szCs w:val="24"/>
        </w:rPr>
        <w:t xml:space="preserve">Harlow: Longman. </w:t>
      </w:r>
    </w:p>
    <w:p w14:paraId="7EC5927D" w14:textId="777B43FF" w:rsidR="0095225F" w:rsidRPr="000C18E7" w:rsidRDefault="0095225F" w:rsidP="00806D17">
      <w:pPr>
        <w:spacing w:before="240" w:line="480" w:lineRule="auto"/>
        <w:contextualSpacing/>
        <w:jc w:val="both"/>
        <w:rPr>
          <w:rFonts w:ascii="Times New Roman" w:hAnsi="Times New Roman" w:cs="Times New Roman"/>
          <w:sz w:val="24"/>
          <w:szCs w:val="24"/>
        </w:rPr>
      </w:pPr>
      <w:r w:rsidRPr="000C18E7">
        <w:rPr>
          <w:rFonts w:ascii="Times New Roman" w:hAnsi="Times New Roman" w:cs="Times New Roman"/>
          <w:sz w:val="24"/>
          <w:szCs w:val="24"/>
        </w:rPr>
        <w:t xml:space="preserve">Behrens, R. (1980) </w:t>
      </w:r>
      <w:r w:rsidRPr="000C18E7">
        <w:rPr>
          <w:rFonts w:ascii="Times New Roman" w:hAnsi="Times New Roman" w:cs="Times New Roman"/>
          <w:iCs/>
          <w:sz w:val="24"/>
          <w:szCs w:val="24"/>
        </w:rPr>
        <w:t>The Conservative Party from Heath to Thatcher</w:t>
      </w:r>
      <w:r w:rsidR="00D77890" w:rsidRPr="000C18E7">
        <w:rPr>
          <w:rFonts w:ascii="Times New Roman" w:hAnsi="Times New Roman" w:cs="Times New Roman"/>
          <w:sz w:val="24"/>
          <w:szCs w:val="24"/>
        </w:rPr>
        <w:t xml:space="preserve">. </w:t>
      </w:r>
      <w:r w:rsidRPr="000C18E7">
        <w:rPr>
          <w:rFonts w:ascii="Times New Roman" w:hAnsi="Times New Roman" w:cs="Times New Roman"/>
          <w:sz w:val="24"/>
          <w:szCs w:val="24"/>
        </w:rPr>
        <w:t>London</w:t>
      </w:r>
      <w:r w:rsidR="00D77890" w:rsidRPr="000C18E7">
        <w:rPr>
          <w:rFonts w:ascii="Times New Roman" w:hAnsi="Times New Roman" w:cs="Times New Roman"/>
          <w:sz w:val="24"/>
          <w:szCs w:val="24"/>
        </w:rPr>
        <w:t>:</w:t>
      </w:r>
      <w:r w:rsidRPr="000C18E7">
        <w:rPr>
          <w:rFonts w:ascii="Times New Roman" w:hAnsi="Times New Roman" w:cs="Times New Roman"/>
          <w:sz w:val="24"/>
          <w:szCs w:val="24"/>
        </w:rPr>
        <w:t xml:space="preserve"> Saxon House.</w:t>
      </w:r>
    </w:p>
    <w:p w14:paraId="775F8C35" w14:textId="4A265521" w:rsidR="005C5767" w:rsidRPr="000C18E7" w:rsidRDefault="006D2AB7" w:rsidP="00806D17">
      <w:pPr>
        <w:spacing w:after="0" w:line="480" w:lineRule="auto"/>
        <w:jc w:val="both"/>
        <w:rPr>
          <w:rFonts w:ascii="Times New Roman" w:hAnsi="Times New Roman" w:cs="Times New Roman"/>
          <w:sz w:val="24"/>
          <w:szCs w:val="24"/>
        </w:rPr>
      </w:pPr>
      <w:r w:rsidRPr="000C18E7">
        <w:rPr>
          <w:rFonts w:ascii="Times New Roman" w:hAnsi="Times New Roman" w:cs="Times New Roman"/>
          <w:sz w:val="24"/>
          <w:szCs w:val="24"/>
        </w:rPr>
        <w:t>Berr</w:t>
      </w:r>
      <w:r w:rsidR="00D77890" w:rsidRPr="000C18E7">
        <w:rPr>
          <w:rFonts w:ascii="Times New Roman" w:hAnsi="Times New Roman" w:cs="Times New Roman"/>
          <w:sz w:val="24"/>
          <w:szCs w:val="24"/>
        </w:rPr>
        <w:t>ington, H. (1979) Towards a Multi-Party Britain?</w:t>
      </w:r>
      <w:r w:rsidRPr="000C18E7">
        <w:rPr>
          <w:rFonts w:ascii="Times New Roman" w:hAnsi="Times New Roman" w:cs="Times New Roman"/>
          <w:sz w:val="24"/>
          <w:szCs w:val="24"/>
        </w:rPr>
        <w:t xml:space="preserve"> </w:t>
      </w:r>
      <w:r w:rsidRPr="000C18E7">
        <w:rPr>
          <w:rFonts w:ascii="Times New Roman" w:hAnsi="Times New Roman" w:cs="Times New Roman"/>
          <w:iCs/>
          <w:sz w:val="24"/>
          <w:szCs w:val="24"/>
        </w:rPr>
        <w:t>West European Politics</w:t>
      </w:r>
      <w:r w:rsidRPr="000C18E7">
        <w:rPr>
          <w:rFonts w:ascii="Times New Roman" w:hAnsi="Times New Roman" w:cs="Times New Roman"/>
          <w:sz w:val="24"/>
          <w:szCs w:val="24"/>
        </w:rPr>
        <w:t xml:space="preserve"> 2 (1): 29-52.</w:t>
      </w:r>
    </w:p>
    <w:p w14:paraId="7ECE4C1C" w14:textId="4CFB5A09" w:rsidR="005C5767" w:rsidRPr="000C18E7" w:rsidRDefault="00D77890" w:rsidP="00806D17">
      <w:pPr>
        <w:spacing w:after="0" w:line="480" w:lineRule="auto"/>
        <w:jc w:val="both"/>
        <w:rPr>
          <w:rFonts w:ascii="Times New Roman" w:hAnsi="Times New Roman" w:cs="Times New Roman"/>
          <w:sz w:val="24"/>
          <w:szCs w:val="24"/>
        </w:rPr>
      </w:pPr>
      <w:r w:rsidRPr="000C18E7">
        <w:rPr>
          <w:rFonts w:ascii="Times New Roman" w:hAnsi="Times New Roman" w:cs="Times New Roman"/>
          <w:sz w:val="24"/>
          <w:szCs w:val="24"/>
        </w:rPr>
        <w:t xml:space="preserve">Bogdanor, V (1996) </w:t>
      </w:r>
      <w:r w:rsidR="005C5767" w:rsidRPr="000C18E7">
        <w:rPr>
          <w:rFonts w:ascii="Times New Roman" w:hAnsi="Times New Roman" w:cs="Times New Roman"/>
          <w:sz w:val="24"/>
          <w:szCs w:val="24"/>
        </w:rPr>
        <w:t>The fall of Heath and the End</w:t>
      </w:r>
      <w:r w:rsidRPr="000C18E7">
        <w:rPr>
          <w:rFonts w:ascii="Times New Roman" w:hAnsi="Times New Roman" w:cs="Times New Roman"/>
          <w:sz w:val="24"/>
          <w:szCs w:val="24"/>
        </w:rPr>
        <w:t xml:space="preserve"> of the Post War Settlement’. In: S. Ball </w:t>
      </w:r>
      <w:r w:rsidR="005C5767" w:rsidRPr="000C18E7">
        <w:rPr>
          <w:rFonts w:ascii="Times New Roman" w:hAnsi="Times New Roman" w:cs="Times New Roman"/>
          <w:sz w:val="24"/>
          <w:szCs w:val="24"/>
        </w:rPr>
        <w:t xml:space="preserve">and </w:t>
      </w:r>
      <w:r w:rsidRPr="000C18E7">
        <w:rPr>
          <w:rFonts w:ascii="Times New Roman" w:hAnsi="Times New Roman" w:cs="Times New Roman"/>
          <w:sz w:val="24"/>
          <w:szCs w:val="24"/>
        </w:rPr>
        <w:t>A. Seldon (eds.)</w:t>
      </w:r>
      <w:r w:rsidR="005C5767" w:rsidRPr="000C18E7">
        <w:rPr>
          <w:rFonts w:ascii="Times New Roman" w:hAnsi="Times New Roman" w:cs="Times New Roman"/>
          <w:sz w:val="24"/>
          <w:szCs w:val="24"/>
        </w:rPr>
        <w:t xml:space="preserve"> The Heath Government 1970-1974: A Reappraisal</w:t>
      </w:r>
      <w:r w:rsidRPr="000C18E7">
        <w:rPr>
          <w:rFonts w:ascii="Times New Roman" w:hAnsi="Times New Roman" w:cs="Times New Roman"/>
          <w:sz w:val="24"/>
          <w:szCs w:val="24"/>
        </w:rPr>
        <w:t>.</w:t>
      </w:r>
      <w:r w:rsidR="005C5767" w:rsidRPr="000C18E7">
        <w:rPr>
          <w:rFonts w:ascii="Times New Roman" w:hAnsi="Times New Roman" w:cs="Times New Roman"/>
          <w:sz w:val="24"/>
          <w:szCs w:val="24"/>
        </w:rPr>
        <w:t xml:space="preserve"> Harlow: Longman. </w:t>
      </w:r>
    </w:p>
    <w:p w14:paraId="0FF5901E" w14:textId="137918B3" w:rsidR="002E79B7" w:rsidRPr="000C18E7" w:rsidRDefault="00D77890" w:rsidP="00806D17">
      <w:pPr>
        <w:spacing w:after="0" w:line="480" w:lineRule="auto"/>
        <w:contextualSpacing/>
        <w:jc w:val="both"/>
        <w:rPr>
          <w:rFonts w:ascii="Times New Roman" w:hAnsi="Times New Roman" w:cs="Times New Roman"/>
          <w:sz w:val="24"/>
          <w:szCs w:val="24"/>
        </w:rPr>
      </w:pPr>
      <w:r w:rsidRPr="000C18E7">
        <w:rPr>
          <w:rFonts w:ascii="Times New Roman" w:hAnsi="Times New Roman" w:cs="Times New Roman"/>
          <w:sz w:val="24"/>
          <w:szCs w:val="24"/>
        </w:rPr>
        <w:t>Butler, D.</w:t>
      </w:r>
      <w:r w:rsidR="002E79B7" w:rsidRPr="000C18E7">
        <w:rPr>
          <w:rFonts w:ascii="Times New Roman" w:hAnsi="Times New Roman" w:cs="Times New Roman"/>
          <w:sz w:val="24"/>
          <w:szCs w:val="24"/>
        </w:rPr>
        <w:t xml:space="preserve"> and Pinto-Duschinsky, M</w:t>
      </w:r>
      <w:r w:rsidRPr="000C18E7">
        <w:rPr>
          <w:rFonts w:ascii="Times New Roman" w:hAnsi="Times New Roman" w:cs="Times New Roman"/>
          <w:sz w:val="24"/>
          <w:szCs w:val="24"/>
        </w:rPr>
        <w:t>.</w:t>
      </w:r>
      <w:r w:rsidR="002E79B7" w:rsidRPr="000C18E7">
        <w:rPr>
          <w:rFonts w:ascii="Times New Roman" w:hAnsi="Times New Roman" w:cs="Times New Roman"/>
          <w:sz w:val="24"/>
          <w:szCs w:val="24"/>
        </w:rPr>
        <w:t xml:space="preserve"> (1971) The British General Election of 1970</w:t>
      </w:r>
      <w:r w:rsidRPr="000C18E7">
        <w:rPr>
          <w:rFonts w:ascii="Times New Roman" w:hAnsi="Times New Roman" w:cs="Times New Roman"/>
          <w:sz w:val="24"/>
          <w:szCs w:val="24"/>
        </w:rPr>
        <w:t>.</w:t>
      </w:r>
      <w:r w:rsidR="002E79B7" w:rsidRPr="000C18E7">
        <w:rPr>
          <w:rFonts w:ascii="Times New Roman" w:hAnsi="Times New Roman" w:cs="Times New Roman"/>
          <w:sz w:val="24"/>
          <w:szCs w:val="24"/>
        </w:rPr>
        <w:t xml:space="preserve"> London: Macmillan.</w:t>
      </w:r>
    </w:p>
    <w:p w14:paraId="5AA68F7C" w14:textId="718A313F" w:rsidR="002E79B7" w:rsidRPr="000C18E7" w:rsidRDefault="002E79B7" w:rsidP="00806D17">
      <w:pPr>
        <w:spacing w:after="0" w:line="480" w:lineRule="auto"/>
        <w:contextualSpacing/>
        <w:jc w:val="both"/>
        <w:rPr>
          <w:rFonts w:ascii="Times New Roman" w:hAnsi="Times New Roman" w:cs="Times New Roman"/>
          <w:bCs/>
          <w:sz w:val="24"/>
          <w:szCs w:val="24"/>
        </w:rPr>
      </w:pPr>
      <w:r w:rsidRPr="000C18E7">
        <w:rPr>
          <w:rFonts w:ascii="Times New Roman" w:hAnsi="Times New Roman" w:cs="Times New Roman"/>
          <w:bCs/>
          <w:sz w:val="24"/>
          <w:szCs w:val="24"/>
        </w:rPr>
        <w:t xml:space="preserve">Butler, D. and Kavanagh, D. (1974) </w:t>
      </w:r>
      <w:r w:rsidRPr="000C18E7">
        <w:rPr>
          <w:rFonts w:ascii="Times New Roman" w:hAnsi="Times New Roman" w:cs="Times New Roman"/>
          <w:bCs/>
          <w:iCs/>
          <w:sz w:val="24"/>
          <w:szCs w:val="24"/>
        </w:rPr>
        <w:t>The British General Election of February 1974</w:t>
      </w:r>
      <w:r w:rsidR="00D77890" w:rsidRPr="000C18E7">
        <w:rPr>
          <w:rFonts w:ascii="Times New Roman" w:hAnsi="Times New Roman" w:cs="Times New Roman"/>
          <w:bCs/>
          <w:sz w:val="24"/>
          <w:szCs w:val="24"/>
        </w:rPr>
        <w:t xml:space="preserve">. </w:t>
      </w:r>
      <w:r w:rsidRPr="000C18E7">
        <w:rPr>
          <w:rFonts w:ascii="Times New Roman" w:hAnsi="Times New Roman" w:cs="Times New Roman"/>
          <w:bCs/>
          <w:sz w:val="24"/>
          <w:szCs w:val="24"/>
        </w:rPr>
        <w:t xml:space="preserve">London: Macmillan. </w:t>
      </w:r>
    </w:p>
    <w:p w14:paraId="5793070D" w14:textId="7DC556E6" w:rsidR="0013742D" w:rsidRPr="000C18E7" w:rsidRDefault="002E79B7" w:rsidP="00806D17">
      <w:pPr>
        <w:spacing w:after="0" w:line="480" w:lineRule="auto"/>
        <w:contextualSpacing/>
        <w:jc w:val="both"/>
        <w:rPr>
          <w:rFonts w:ascii="Times New Roman" w:hAnsi="Times New Roman" w:cs="Times New Roman"/>
          <w:bCs/>
          <w:sz w:val="24"/>
          <w:szCs w:val="24"/>
        </w:rPr>
      </w:pPr>
      <w:r w:rsidRPr="000C18E7">
        <w:rPr>
          <w:rFonts w:ascii="Times New Roman" w:hAnsi="Times New Roman" w:cs="Times New Roman"/>
          <w:bCs/>
          <w:sz w:val="24"/>
          <w:szCs w:val="24"/>
        </w:rPr>
        <w:t xml:space="preserve">Butler, D. and Kavanagh, D. (1975) </w:t>
      </w:r>
      <w:r w:rsidRPr="000C18E7">
        <w:rPr>
          <w:rFonts w:ascii="Times New Roman" w:hAnsi="Times New Roman" w:cs="Times New Roman"/>
          <w:bCs/>
          <w:iCs/>
          <w:sz w:val="24"/>
          <w:szCs w:val="24"/>
        </w:rPr>
        <w:t>The British General Election of October 1974</w:t>
      </w:r>
      <w:r w:rsidR="00D77890" w:rsidRPr="000C18E7">
        <w:rPr>
          <w:rFonts w:ascii="Times New Roman" w:hAnsi="Times New Roman" w:cs="Times New Roman"/>
          <w:bCs/>
          <w:sz w:val="24"/>
          <w:szCs w:val="24"/>
        </w:rPr>
        <w:t>.</w:t>
      </w:r>
      <w:r w:rsidRPr="000C18E7">
        <w:rPr>
          <w:rFonts w:ascii="Times New Roman" w:hAnsi="Times New Roman" w:cs="Times New Roman"/>
          <w:bCs/>
          <w:sz w:val="24"/>
          <w:szCs w:val="24"/>
        </w:rPr>
        <w:t xml:space="preserve"> London: Macmillan. </w:t>
      </w:r>
    </w:p>
    <w:p w14:paraId="5BF1B584" w14:textId="67229C71" w:rsidR="005339D1" w:rsidRPr="000C18E7" w:rsidRDefault="005339D1" w:rsidP="00806D17">
      <w:pPr>
        <w:spacing w:after="0" w:line="480" w:lineRule="auto"/>
        <w:contextualSpacing/>
        <w:jc w:val="both"/>
        <w:rPr>
          <w:rFonts w:ascii="Times New Roman" w:hAnsi="Times New Roman" w:cs="Times New Roman"/>
          <w:sz w:val="24"/>
          <w:szCs w:val="24"/>
        </w:rPr>
      </w:pPr>
      <w:r w:rsidRPr="000C18E7">
        <w:rPr>
          <w:rFonts w:ascii="Times New Roman" w:hAnsi="Times New Roman" w:cs="Times New Roman"/>
          <w:sz w:val="24"/>
          <w:szCs w:val="24"/>
        </w:rPr>
        <w:lastRenderedPageBreak/>
        <w:t xml:space="preserve">Campbell, J. (1993) </w:t>
      </w:r>
      <w:r w:rsidRPr="000C18E7">
        <w:rPr>
          <w:rFonts w:ascii="Times New Roman" w:hAnsi="Times New Roman" w:cs="Times New Roman"/>
          <w:iCs/>
          <w:sz w:val="24"/>
          <w:szCs w:val="24"/>
        </w:rPr>
        <w:t>Edward Heath: A Biography</w:t>
      </w:r>
      <w:r w:rsidRPr="000C18E7">
        <w:rPr>
          <w:rFonts w:ascii="Times New Roman" w:hAnsi="Times New Roman" w:cs="Times New Roman"/>
          <w:sz w:val="24"/>
          <w:szCs w:val="24"/>
        </w:rPr>
        <w:t>. London: Pimlico.</w:t>
      </w:r>
    </w:p>
    <w:p w14:paraId="562F2A01" w14:textId="2304B3D7" w:rsidR="004515C9" w:rsidRPr="000C18E7" w:rsidRDefault="004515C9" w:rsidP="00806D17">
      <w:pPr>
        <w:spacing w:after="0" w:line="480" w:lineRule="auto"/>
        <w:contextualSpacing/>
        <w:jc w:val="both"/>
        <w:rPr>
          <w:rFonts w:ascii="Times New Roman" w:hAnsi="Times New Roman" w:cs="Times New Roman"/>
          <w:sz w:val="24"/>
          <w:szCs w:val="24"/>
        </w:rPr>
      </w:pPr>
      <w:r w:rsidRPr="000C18E7">
        <w:rPr>
          <w:rFonts w:ascii="Times New Roman" w:hAnsi="Times New Roman" w:cs="Times New Roman"/>
          <w:sz w:val="24"/>
          <w:szCs w:val="24"/>
        </w:rPr>
        <w:t xml:space="preserve">Clark, A. (1998) </w:t>
      </w:r>
      <w:r w:rsidRPr="000C18E7">
        <w:rPr>
          <w:rFonts w:ascii="Times New Roman" w:hAnsi="Times New Roman" w:cs="Times New Roman"/>
          <w:iCs/>
          <w:sz w:val="24"/>
          <w:szCs w:val="24"/>
        </w:rPr>
        <w:t>The Tories: Conservatives and the Nation State 1922-1997</w:t>
      </w:r>
      <w:r w:rsidR="00D77890" w:rsidRPr="000C18E7">
        <w:rPr>
          <w:rFonts w:ascii="Times New Roman" w:hAnsi="Times New Roman" w:cs="Times New Roman"/>
          <w:sz w:val="24"/>
          <w:szCs w:val="24"/>
        </w:rPr>
        <w:t xml:space="preserve">. </w:t>
      </w:r>
      <w:r w:rsidRPr="000C18E7">
        <w:rPr>
          <w:rFonts w:ascii="Times New Roman" w:hAnsi="Times New Roman" w:cs="Times New Roman"/>
          <w:sz w:val="24"/>
          <w:szCs w:val="24"/>
        </w:rPr>
        <w:t xml:space="preserve">London: Weidenfeld and Nicolson. </w:t>
      </w:r>
    </w:p>
    <w:p w14:paraId="0ED13DDA" w14:textId="202C8EE6" w:rsidR="00B8522A" w:rsidRPr="000C18E7" w:rsidRDefault="00B8522A" w:rsidP="00806D17">
      <w:pPr>
        <w:spacing w:after="0" w:line="480" w:lineRule="auto"/>
        <w:jc w:val="both"/>
        <w:rPr>
          <w:rFonts w:ascii="Times New Roman" w:hAnsi="Times New Roman" w:cs="Times New Roman"/>
          <w:sz w:val="24"/>
          <w:szCs w:val="24"/>
        </w:rPr>
      </w:pPr>
      <w:r w:rsidRPr="000C18E7">
        <w:rPr>
          <w:rFonts w:ascii="Times New Roman" w:hAnsi="Times New Roman" w:cs="Times New Roman"/>
          <w:sz w:val="24"/>
          <w:szCs w:val="24"/>
        </w:rPr>
        <w:t>Clark, G. (1974</w:t>
      </w:r>
      <w:r w:rsidR="002C4097" w:rsidRPr="000C18E7">
        <w:rPr>
          <w:rFonts w:ascii="Times New Roman" w:hAnsi="Times New Roman" w:cs="Times New Roman"/>
          <w:sz w:val="24"/>
          <w:szCs w:val="24"/>
        </w:rPr>
        <w:t>b</w:t>
      </w:r>
      <w:r w:rsidR="00D77890" w:rsidRPr="000C18E7">
        <w:rPr>
          <w:rFonts w:ascii="Times New Roman" w:hAnsi="Times New Roman" w:cs="Times New Roman"/>
          <w:sz w:val="24"/>
          <w:szCs w:val="24"/>
        </w:rPr>
        <w:t>) ‘</w:t>
      </w:r>
      <w:r w:rsidRPr="000C18E7">
        <w:rPr>
          <w:rFonts w:ascii="Times New Roman" w:hAnsi="Times New Roman" w:cs="Times New Roman"/>
          <w:sz w:val="24"/>
          <w:szCs w:val="24"/>
        </w:rPr>
        <w:t xml:space="preserve">The Inevitable </w:t>
      </w:r>
      <w:r w:rsidR="00D77890" w:rsidRPr="000C18E7">
        <w:rPr>
          <w:rFonts w:ascii="Times New Roman" w:hAnsi="Times New Roman" w:cs="Times New Roman"/>
          <w:sz w:val="24"/>
          <w:szCs w:val="24"/>
        </w:rPr>
        <w:t>Election’</w:t>
      </w:r>
      <w:r w:rsidRPr="000C18E7">
        <w:rPr>
          <w:rFonts w:ascii="Times New Roman" w:hAnsi="Times New Roman" w:cs="Times New Roman"/>
          <w:sz w:val="24"/>
          <w:szCs w:val="24"/>
        </w:rPr>
        <w:t>, The Times Guide to the House of Commons</w:t>
      </w:r>
      <w:r w:rsidR="00D77890" w:rsidRPr="000C18E7">
        <w:rPr>
          <w:rFonts w:ascii="Times New Roman" w:hAnsi="Times New Roman" w:cs="Times New Roman"/>
          <w:sz w:val="24"/>
          <w:szCs w:val="24"/>
        </w:rPr>
        <w:t xml:space="preserve"> 1974. </w:t>
      </w:r>
      <w:r w:rsidR="00073788" w:rsidRPr="000C18E7">
        <w:rPr>
          <w:rFonts w:ascii="Times New Roman" w:hAnsi="Times New Roman" w:cs="Times New Roman"/>
          <w:sz w:val="24"/>
          <w:szCs w:val="24"/>
        </w:rPr>
        <w:t xml:space="preserve">London: </w:t>
      </w:r>
      <w:r w:rsidRPr="000C18E7">
        <w:rPr>
          <w:rFonts w:ascii="Times New Roman" w:hAnsi="Times New Roman" w:cs="Times New Roman"/>
          <w:sz w:val="24"/>
          <w:szCs w:val="24"/>
        </w:rPr>
        <w:t>Times Newspapers Limited</w:t>
      </w:r>
      <w:r w:rsidR="00073788" w:rsidRPr="000C18E7">
        <w:rPr>
          <w:rFonts w:ascii="Times New Roman" w:hAnsi="Times New Roman" w:cs="Times New Roman"/>
          <w:sz w:val="24"/>
          <w:szCs w:val="24"/>
        </w:rPr>
        <w:t xml:space="preserve">. </w:t>
      </w:r>
    </w:p>
    <w:p w14:paraId="5B942301" w14:textId="19DF0DFB" w:rsidR="00FE0C0A" w:rsidRPr="000C18E7" w:rsidRDefault="00FE0C0A" w:rsidP="00806D17">
      <w:pPr>
        <w:spacing w:after="0" w:line="480" w:lineRule="auto"/>
        <w:jc w:val="both"/>
        <w:rPr>
          <w:rFonts w:ascii="Times New Roman" w:hAnsi="Times New Roman" w:cs="Times New Roman"/>
          <w:sz w:val="24"/>
          <w:szCs w:val="24"/>
        </w:rPr>
      </w:pPr>
      <w:r w:rsidRPr="000C18E7">
        <w:rPr>
          <w:rFonts w:ascii="Times New Roman" w:hAnsi="Times New Roman" w:cs="Times New Roman"/>
          <w:sz w:val="24"/>
          <w:szCs w:val="24"/>
        </w:rPr>
        <w:t xml:space="preserve">Denham, A. and Garnett, M. (2001) </w:t>
      </w:r>
      <w:r w:rsidRPr="000C18E7">
        <w:rPr>
          <w:rFonts w:ascii="Times New Roman" w:hAnsi="Times New Roman" w:cs="Times New Roman"/>
          <w:iCs/>
          <w:sz w:val="24"/>
          <w:szCs w:val="24"/>
        </w:rPr>
        <w:t>Keith Joseph</w:t>
      </w:r>
      <w:r w:rsidR="00D77890" w:rsidRPr="000C18E7">
        <w:rPr>
          <w:rFonts w:ascii="Times New Roman" w:hAnsi="Times New Roman" w:cs="Times New Roman"/>
          <w:sz w:val="24"/>
          <w:szCs w:val="24"/>
        </w:rPr>
        <w:t>.</w:t>
      </w:r>
      <w:r w:rsidRPr="000C18E7">
        <w:rPr>
          <w:rFonts w:ascii="Times New Roman" w:hAnsi="Times New Roman" w:cs="Times New Roman"/>
          <w:sz w:val="24"/>
          <w:szCs w:val="24"/>
        </w:rPr>
        <w:t xml:space="preserve"> London: Acumen.</w:t>
      </w:r>
    </w:p>
    <w:p w14:paraId="03DAF9FC" w14:textId="24C241AA" w:rsidR="004515C9" w:rsidRPr="000C18E7" w:rsidRDefault="004515C9" w:rsidP="00806D17">
      <w:pPr>
        <w:spacing w:after="0" w:line="480" w:lineRule="auto"/>
        <w:jc w:val="both"/>
        <w:rPr>
          <w:rFonts w:ascii="Times New Roman" w:hAnsi="Times New Roman" w:cs="Times New Roman"/>
          <w:iCs/>
          <w:sz w:val="24"/>
          <w:szCs w:val="24"/>
        </w:rPr>
      </w:pPr>
      <w:r w:rsidRPr="000C18E7">
        <w:rPr>
          <w:rFonts w:ascii="Times New Roman" w:hAnsi="Times New Roman" w:cs="Times New Roman"/>
          <w:sz w:val="24"/>
          <w:szCs w:val="24"/>
        </w:rPr>
        <w:t>Dorey, P. (1995) The Conservative Party and the Trade Unions</w:t>
      </w:r>
      <w:r w:rsidR="00D77890" w:rsidRPr="000C18E7">
        <w:rPr>
          <w:rFonts w:ascii="Times New Roman" w:hAnsi="Times New Roman" w:cs="Times New Roman"/>
          <w:iCs/>
          <w:sz w:val="24"/>
          <w:szCs w:val="24"/>
        </w:rPr>
        <w:t>.</w:t>
      </w:r>
      <w:r w:rsidRPr="000C18E7">
        <w:rPr>
          <w:rFonts w:ascii="Times New Roman" w:hAnsi="Times New Roman" w:cs="Times New Roman"/>
          <w:iCs/>
          <w:sz w:val="24"/>
          <w:szCs w:val="24"/>
        </w:rPr>
        <w:t xml:space="preserve"> London: Routledge. </w:t>
      </w:r>
    </w:p>
    <w:p w14:paraId="460B8918" w14:textId="153C2EF8" w:rsidR="00B8522A" w:rsidRPr="000C18E7" w:rsidRDefault="00D77890" w:rsidP="00806D17">
      <w:pPr>
        <w:spacing w:after="0" w:line="480" w:lineRule="auto"/>
        <w:jc w:val="both"/>
        <w:rPr>
          <w:rFonts w:ascii="Times New Roman" w:hAnsi="Times New Roman" w:cs="Times New Roman"/>
          <w:sz w:val="24"/>
          <w:szCs w:val="24"/>
        </w:rPr>
      </w:pPr>
      <w:r w:rsidRPr="000C18E7">
        <w:rPr>
          <w:rFonts w:ascii="Times New Roman" w:hAnsi="Times New Roman" w:cs="Times New Roman"/>
          <w:sz w:val="24"/>
          <w:szCs w:val="24"/>
        </w:rPr>
        <w:t xml:space="preserve">Dorey, P. (2009) </w:t>
      </w:r>
      <w:r w:rsidR="00B8522A" w:rsidRPr="000C18E7">
        <w:rPr>
          <w:rFonts w:ascii="Times New Roman" w:hAnsi="Times New Roman" w:cs="Times New Roman"/>
          <w:sz w:val="24"/>
          <w:szCs w:val="24"/>
        </w:rPr>
        <w:t>Asking too much and offering too little? The Conservative-Liberal Coa</w:t>
      </w:r>
      <w:r w:rsidRPr="000C18E7">
        <w:rPr>
          <w:rFonts w:ascii="Times New Roman" w:hAnsi="Times New Roman" w:cs="Times New Roman"/>
          <w:sz w:val="24"/>
          <w:szCs w:val="24"/>
        </w:rPr>
        <w:t>lition talks of 1-4 March 1974.</w:t>
      </w:r>
      <w:r w:rsidR="00B8522A" w:rsidRPr="000C18E7">
        <w:rPr>
          <w:rFonts w:ascii="Times New Roman" w:hAnsi="Times New Roman" w:cs="Times New Roman"/>
          <w:sz w:val="24"/>
          <w:szCs w:val="24"/>
        </w:rPr>
        <w:t xml:space="preserve"> Journal of Liberal History</w:t>
      </w:r>
      <w:r w:rsidRPr="000C18E7">
        <w:rPr>
          <w:rFonts w:ascii="Times New Roman" w:hAnsi="Times New Roman" w:cs="Times New Roman"/>
          <w:sz w:val="24"/>
          <w:szCs w:val="24"/>
        </w:rPr>
        <w:t xml:space="preserve"> 61:</w:t>
      </w:r>
      <w:r w:rsidR="00B8522A" w:rsidRPr="000C18E7">
        <w:rPr>
          <w:rFonts w:ascii="Times New Roman" w:hAnsi="Times New Roman" w:cs="Times New Roman"/>
          <w:sz w:val="24"/>
          <w:szCs w:val="24"/>
        </w:rPr>
        <w:t xml:space="preserve"> 28-37.</w:t>
      </w:r>
    </w:p>
    <w:p w14:paraId="4716EB59" w14:textId="5371699A" w:rsidR="006377B7" w:rsidRPr="000C18E7" w:rsidRDefault="006377B7" w:rsidP="00806D17">
      <w:pPr>
        <w:spacing w:after="0" w:line="480" w:lineRule="auto"/>
        <w:contextualSpacing/>
        <w:jc w:val="both"/>
        <w:rPr>
          <w:rFonts w:ascii="Times New Roman" w:hAnsi="Times New Roman" w:cs="Times New Roman"/>
          <w:sz w:val="24"/>
          <w:szCs w:val="24"/>
        </w:rPr>
      </w:pPr>
      <w:r w:rsidRPr="000C18E7">
        <w:rPr>
          <w:rFonts w:ascii="Times New Roman" w:hAnsi="Times New Roman" w:cs="Times New Roman"/>
          <w:sz w:val="24"/>
          <w:szCs w:val="24"/>
        </w:rPr>
        <w:t xml:space="preserve">Fisher, N. (1977) </w:t>
      </w:r>
      <w:r w:rsidRPr="000C18E7">
        <w:rPr>
          <w:rFonts w:ascii="Times New Roman" w:hAnsi="Times New Roman" w:cs="Times New Roman"/>
          <w:iCs/>
          <w:sz w:val="24"/>
          <w:szCs w:val="24"/>
        </w:rPr>
        <w:t>The Tory Leaders: Their Struggle for Power</w:t>
      </w:r>
      <w:r w:rsidR="00D77890" w:rsidRPr="000C18E7">
        <w:rPr>
          <w:rFonts w:ascii="Times New Roman" w:hAnsi="Times New Roman" w:cs="Times New Roman"/>
          <w:sz w:val="24"/>
          <w:szCs w:val="24"/>
        </w:rPr>
        <w:t xml:space="preserve">. </w:t>
      </w:r>
      <w:r w:rsidRPr="000C18E7">
        <w:rPr>
          <w:rFonts w:ascii="Times New Roman" w:hAnsi="Times New Roman" w:cs="Times New Roman"/>
          <w:sz w:val="24"/>
          <w:szCs w:val="24"/>
        </w:rPr>
        <w:t xml:space="preserve">London: Weidenfeld and Nicolson. </w:t>
      </w:r>
    </w:p>
    <w:p w14:paraId="1B6F2F54" w14:textId="068A33D2" w:rsidR="008A1ADC" w:rsidRPr="000C18E7" w:rsidRDefault="008A1ADC" w:rsidP="00806D17">
      <w:pPr>
        <w:spacing w:after="0" w:line="480" w:lineRule="auto"/>
        <w:jc w:val="both"/>
        <w:rPr>
          <w:rFonts w:ascii="Times New Roman" w:hAnsi="Times New Roman" w:cs="Times New Roman"/>
          <w:sz w:val="24"/>
          <w:szCs w:val="24"/>
        </w:rPr>
      </w:pPr>
      <w:r w:rsidRPr="000C18E7">
        <w:rPr>
          <w:rFonts w:ascii="Times New Roman" w:hAnsi="Times New Roman" w:cs="Times New Roman"/>
          <w:sz w:val="24"/>
          <w:szCs w:val="24"/>
        </w:rPr>
        <w:t>Franklin, M., Ba</w:t>
      </w:r>
      <w:r w:rsidR="00D77890" w:rsidRPr="000C18E7">
        <w:rPr>
          <w:rFonts w:ascii="Times New Roman" w:hAnsi="Times New Roman" w:cs="Times New Roman"/>
          <w:sz w:val="24"/>
          <w:szCs w:val="24"/>
        </w:rPr>
        <w:t xml:space="preserve">xter, A. and Jordan. M. (1986) </w:t>
      </w:r>
      <w:r w:rsidRPr="000C18E7">
        <w:rPr>
          <w:rFonts w:ascii="Times New Roman" w:hAnsi="Times New Roman" w:cs="Times New Roman"/>
          <w:sz w:val="24"/>
          <w:szCs w:val="24"/>
        </w:rPr>
        <w:t>Who were the Rebels? Dissent in</w:t>
      </w:r>
      <w:r w:rsidR="00D77890" w:rsidRPr="000C18E7">
        <w:rPr>
          <w:rFonts w:ascii="Times New Roman" w:hAnsi="Times New Roman" w:cs="Times New Roman"/>
          <w:sz w:val="24"/>
          <w:szCs w:val="24"/>
        </w:rPr>
        <w:t xml:space="preserve"> the House of Commons 1970–74. </w:t>
      </w:r>
      <w:r w:rsidR="00D77890" w:rsidRPr="000C18E7">
        <w:rPr>
          <w:rFonts w:ascii="Times New Roman" w:hAnsi="Times New Roman" w:cs="Times New Roman"/>
          <w:iCs/>
          <w:sz w:val="24"/>
          <w:szCs w:val="24"/>
        </w:rPr>
        <w:t xml:space="preserve">Legislative Studies Quarterly </w:t>
      </w:r>
      <w:r w:rsidRPr="000C18E7">
        <w:rPr>
          <w:rFonts w:ascii="Times New Roman" w:hAnsi="Times New Roman" w:cs="Times New Roman"/>
          <w:sz w:val="24"/>
          <w:szCs w:val="24"/>
        </w:rPr>
        <w:t>11 (2): 143–</w:t>
      </w:r>
      <w:r w:rsidR="00D77890" w:rsidRPr="000C18E7">
        <w:rPr>
          <w:rFonts w:ascii="Times New Roman" w:hAnsi="Times New Roman" w:cs="Times New Roman"/>
          <w:sz w:val="24"/>
          <w:szCs w:val="24"/>
        </w:rPr>
        <w:t>1</w:t>
      </w:r>
      <w:r w:rsidRPr="000C18E7">
        <w:rPr>
          <w:rFonts w:ascii="Times New Roman" w:hAnsi="Times New Roman" w:cs="Times New Roman"/>
          <w:sz w:val="24"/>
          <w:szCs w:val="24"/>
        </w:rPr>
        <w:t>59.</w:t>
      </w:r>
    </w:p>
    <w:p w14:paraId="4DF0BE8C" w14:textId="4170077A" w:rsidR="003A4A15" w:rsidRPr="000C18E7" w:rsidRDefault="003A4A15" w:rsidP="00806D17">
      <w:pPr>
        <w:spacing w:after="0" w:line="480" w:lineRule="auto"/>
        <w:jc w:val="both"/>
        <w:rPr>
          <w:rFonts w:ascii="Times New Roman" w:hAnsi="Times New Roman" w:cs="Times New Roman"/>
          <w:sz w:val="24"/>
          <w:szCs w:val="24"/>
        </w:rPr>
      </w:pPr>
      <w:r w:rsidRPr="000C18E7">
        <w:rPr>
          <w:rFonts w:ascii="Times New Roman" w:hAnsi="Times New Roman" w:cs="Times New Roman"/>
          <w:sz w:val="24"/>
          <w:szCs w:val="24"/>
        </w:rPr>
        <w:t xml:space="preserve">Fry, G. (2005) </w:t>
      </w:r>
      <w:r w:rsidRPr="000C18E7">
        <w:rPr>
          <w:rFonts w:ascii="Times New Roman" w:hAnsi="Times New Roman" w:cs="Times New Roman"/>
          <w:iCs/>
          <w:sz w:val="24"/>
          <w:szCs w:val="24"/>
        </w:rPr>
        <w:t>The Politics of Decline: An Interpretation of British Politics from the 1940s to the 1970s</w:t>
      </w:r>
      <w:r w:rsidR="00D77890" w:rsidRPr="000C18E7">
        <w:rPr>
          <w:rFonts w:ascii="Times New Roman" w:hAnsi="Times New Roman" w:cs="Times New Roman"/>
          <w:iCs/>
          <w:sz w:val="24"/>
          <w:szCs w:val="24"/>
        </w:rPr>
        <w:t>.</w:t>
      </w:r>
      <w:r w:rsidRPr="000C18E7">
        <w:rPr>
          <w:rFonts w:ascii="Times New Roman" w:hAnsi="Times New Roman" w:cs="Times New Roman"/>
          <w:sz w:val="24"/>
          <w:szCs w:val="24"/>
        </w:rPr>
        <w:t xml:space="preserve"> Basingstoke: Palgrave. </w:t>
      </w:r>
    </w:p>
    <w:p w14:paraId="4397390E" w14:textId="457D531A" w:rsidR="00B8522A" w:rsidRPr="000C18E7" w:rsidRDefault="00D77890" w:rsidP="00806D17">
      <w:pPr>
        <w:spacing w:after="0" w:line="480" w:lineRule="auto"/>
        <w:jc w:val="both"/>
        <w:rPr>
          <w:rFonts w:ascii="Times New Roman" w:hAnsi="Times New Roman" w:cs="Times New Roman"/>
          <w:sz w:val="24"/>
          <w:szCs w:val="24"/>
        </w:rPr>
      </w:pPr>
      <w:r w:rsidRPr="000C18E7">
        <w:rPr>
          <w:rFonts w:ascii="Times New Roman" w:hAnsi="Times New Roman" w:cs="Times New Roman"/>
          <w:sz w:val="24"/>
          <w:szCs w:val="24"/>
        </w:rPr>
        <w:t xml:space="preserve">Garnett, M. (2012) </w:t>
      </w:r>
      <w:r w:rsidR="00B8522A" w:rsidRPr="000C18E7">
        <w:rPr>
          <w:rFonts w:ascii="Times New Roman" w:hAnsi="Times New Roman" w:cs="Times New Roman"/>
          <w:sz w:val="24"/>
          <w:szCs w:val="24"/>
        </w:rPr>
        <w:t>Edwa</w:t>
      </w:r>
      <w:r w:rsidRPr="000C18E7">
        <w:rPr>
          <w:rFonts w:ascii="Times New Roman" w:hAnsi="Times New Roman" w:cs="Times New Roman"/>
          <w:sz w:val="24"/>
          <w:szCs w:val="24"/>
        </w:rPr>
        <w:t>rd Heath, 1965-70 and 1974-5. In: T. Heppell (ed.)</w:t>
      </w:r>
      <w:r w:rsidR="00B8522A" w:rsidRPr="000C18E7">
        <w:rPr>
          <w:rFonts w:ascii="Times New Roman" w:hAnsi="Times New Roman" w:cs="Times New Roman"/>
          <w:sz w:val="24"/>
          <w:szCs w:val="24"/>
        </w:rPr>
        <w:t xml:space="preserve"> Leaders of the Opposition from Churchill to Cameron</w:t>
      </w:r>
      <w:r w:rsidRPr="000C18E7">
        <w:rPr>
          <w:rFonts w:ascii="Times New Roman" w:hAnsi="Times New Roman" w:cs="Times New Roman"/>
          <w:sz w:val="24"/>
          <w:szCs w:val="24"/>
        </w:rPr>
        <w:t xml:space="preserve">. </w:t>
      </w:r>
      <w:r w:rsidR="00B8522A" w:rsidRPr="000C18E7">
        <w:rPr>
          <w:rFonts w:ascii="Times New Roman" w:hAnsi="Times New Roman" w:cs="Times New Roman"/>
          <w:sz w:val="24"/>
          <w:szCs w:val="24"/>
        </w:rPr>
        <w:t xml:space="preserve">Palgrave: Basingstoke. </w:t>
      </w:r>
    </w:p>
    <w:p w14:paraId="0C5C4D74" w14:textId="37A3081E" w:rsidR="00B8522A" w:rsidRPr="000C18E7" w:rsidRDefault="006377B7" w:rsidP="00806D17">
      <w:pPr>
        <w:spacing w:after="0" w:line="480" w:lineRule="auto"/>
        <w:contextualSpacing/>
        <w:jc w:val="both"/>
        <w:rPr>
          <w:rFonts w:ascii="Times New Roman" w:hAnsi="Times New Roman" w:cs="Times New Roman"/>
          <w:sz w:val="24"/>
          <w:szCs w:val="24"/>
        </w:rPr>
      </w:pPr>
      <w:r w:rsidRPr="000C18E7">
        <w:rPr>
          <w:rFonts w:ascii="Times New Roman" w:hAnsi="Times New Roman" w:cs="Times New Roman"/>
          <w:sz w:val="24"/>
          <w:szCs w:val="24"/>
        </w:rPr>
        <w:t xml:space="preserve">Heppell, T. (2008) </w:t>
      </w:r>
      <w:r w:rsidRPr="000C18E7">
        <w:rPr>
          <w:rFonts w:ascii="Times New Roman" w:hAnsi="Times New Roman" w:cs="Times New Roman"/>
          <w:iCs/>
          <w:sz w:val="24"/>
          <w:szCs w:val="24"/>
        </w:rPr>
        <w:t>Choosing the Tory Leader: Conservative Party Leadership Elections from Heath to Cameron.</w:t>
      </w:r>
      <w:r w:rsidRPr="000C18E7">
        <w:rPr>
          <w:rFonts w:ascii="Times New Roman" w:hAnsi="Times New Roman" w:cs="Times New Roman"/>
          <w:sz w:val="24"/>
          <w:szCs w:val="24"/>
        </w:rPr>
        <w:t xml:space="preserve"> London: I. B. Taurus.</w:t>
      </w:r>
    </w:p>
    <w:p w14:paraId="3756A285" w14:textId="34DD4AB4" w:rsidR="00B8522A" w:rsidRPr="000C18E7" w:rsidRDefault="00B8522A" w:rsidP="00806D17">
      <w:pPr>
        <w:spacing w:after="0" w:line="480" w:lineRule="auto"/>
        <w:jc w:val="both"/>
        <w:rPr>
          <w:rFonts w:ascii="Times New Roman" w:hAnsi="Times New Roman" w:cs="Times New Roman"/>
          <w:sz w:val="24"/>
          <w:szCs w:val="24"/>
        </w:rPr>
      </w:pPr>
      <w:r w:rsidRPr="000C18E7">
        <w:rPr>
          <w:rFonts w:ascii="Times New Roman" w:hAnsi="Times New Roman" w:cs="Times New Roman"/>
          <w:sz w:val="24"/>
          <w:szCs w:val="24"/>
        </w:rPr>
        <w:t xml:space="preserve">Heppell, T. </w:t>
      </w:r>
      <w:r w:rsidR="00CB0A7A" w:rsidRPr="000C18E7">
        <w:rPr>
          <w:rFonts w:ascii="Times New Roman" w:hAnsi="Times New Roman" w:cs="Times New Roman"/>
          <w:sz w:val="24"/>
          <w:szCs w:val="24"/>
        </w:rPr>
        <w:t>and</w:t>
      </w:r>
      <w:r w:rsidRPr="000C18E7">
        <w:rPr>
          <w:rFonts w:ascii="Times New Roman" w:hAnsi="Times New Roman" w:cs="Times New Roman"/>
          <w:sz w:val="24"/>
          <w:szCs w:val="24"/>
        </w:rPr>
        <w:t xml:space="preserve"> Hill, M. (2015) The Prime Ministerial Powers of Patronage: Ministerial Appointments and </w:t>
      </w:r>
      <w:r w:rsidR="00D77890" w:rsidRPr="000C18E7">
        <w:rPr>
          <w:rFonts w:ascii="Times New Roman" w:hAnsi="Times New Roman" w:cs="Times New Roman"/>
          <w:sz w:val="24"/>
          <w:szCs w:val="24"/>
        </w:rPr>
        <w:t xml:space="preserve">Dismissals under Edward Heath. </w:t>
      </w:r>
      <w:r w:rsidRPr="000C18E7">
        <w:rPr>
          <w:rFonts w:ascii="Times New Roman" w:hAnsi="Times New Roman" w:cs="Times New Roman"/>
          <w:sz w:val="24"/>
          <w:szCs w:val="24"/>
        </w:rPr>
        <w:t>Contemporary British History</w:t>
      </w:r>
      <w:r w:rsidR="00D77890" w:rsidRPr="000C18E7">
        <w:rPr>
          <w:rFonts w:ascii="Times New Roman" w:hAnsi="Times New Roman" w:cs="Times New Roman"/>
          <w:sz w:val="24"/>
          <w:szCs w:val="24"/>
        </w:rPr>
        <w:t xml:space="preserve"> 29 (4):</w:t>
      </w:r>
      <w:r w:rsidRPr="000C18E7">
        <w:rPr>
          <w:rFonts w:ascii="Times New Roman" w:hAnsi="Times New Roman" w:cs="Times New Roman"/>
          <w:sz w:val="24"/>
          <w:szCs w:val="24"/>
        </w:rPr>
        <w:t xml:space="preserve"> 464-</w:t>
      </w:r>
      <w:r w:rsidR="00D77890" w:rsidRPr="000C18E7">
        <w:rPr>
          <w:rFonts w:ascii="Times New Roman" w:hAnsi="Times New Roman" w:cs="Times New Roman"/>
          <w:sz w:val="24"/>
          <w:szCs w:val="24"/>
        </w:rPr>
        <w:t>4</w:t>
      </w:r>
      <w:r w:rsidRPr="000C18E7">
        <w:rPr>
          <w:rFonts w:ascii="Times New Roman" w:hAnsi="Times New Roman" w:cs="Times New Roman"/>
          <w:sz w:val="24"/>
          <w:szCs w:val="24"/>
        </w:rPr>
        <w:t>85.</w:t>
      </w:r>
    </w:p>
    <w:p w14:paraId="70E0151C" w14:textId="78E46E3E" w:rsidR="00502096" w:rsidRPr="000C18E7" w:rsidRDefault="00B8522A" w:rsidP="00806D17">
      <w:pPr>
        <w:spacing w:after="0" w:line="480" w:lineRule="auto"/>
        <w:jc w:val="both"/>
        <w:rPr>
          <w:rFonts w:ascii="Times New Roman" w:hAnsi="Times New Roman" w:cs="Times New Roman"/>
          <w:sz w:val="24"/>
          <w:szCs w:val="24"/>
        </w:rPr>
      </w:pPr>
      <w:r w:rsidRPr="000C18E7">
        <w:rPr>
          <w:rFonts w:ascii="Times New Roman" w:hAnsi="Times New Roman" w:cs="Times New Roman"/>
          <w:sz w:val="24"/>
          <w:szCs w:val="24"/>
        </w:rPr>
        <w:t>Hurd, D. (1979) An End to Promises: Sketch of a Government 1970-1974</w:t>
      </w:r>
      <w:r w:rsidR="00D77890" w:rsidRPr="000C18E7">
        <w:rPr>
          <w:rFonts w:ascii="Times New Roman" w:hAnsi="Times New Roman" w:cs="Times New Roman"/>
          <w:sz w:val="24"/>
          <w:szCs w:val="24"/>
        </w:rPr>
        <w:t xml:space="preserve">. </w:t>
      </w:r>
      <w:r w:rsidRPr="000C18E7">
        <w:rPr>
          <w:rFonts w:ascii="Times New Roman" w:hAnsi="Times New Roman" w:cs="Times New Roman"/>
          <w:sz w:val="24"/>
          <w:szCs w:val="24"/>
        </w:rPr>
        <w:t>Collins: London.</w:t>
      </w:r>
    </w:p>
    <w:p w14:paraId="6918AF74" w14:textId="23F71561" w:rsidR="00B6162E" w:rsidRPr="000C18E7" w:rsidRDefault="00D77890" w:rsidP="00806D17">
      <w:pPr>
        <w:spacing w:after="0" w:line="480" w:lineRule="auto"/>
        <w:jc w:val="both"/>
        <w:rPr>
          <w:rFonts w:ascii="Times New Roman" w:hAnsi="Times New Roman" w:cs="Times New Roman"/>
          <w:sz w:val="24"/>
          <w:szCs w:val="24"/>
        </w:rPr>
      </w:pPr>
      <w:r w:rsidRPr="000C18E7">
        <w:rPr>
          <w:rFonts w:ascii="Times New Roman" w:hAnsi="Times New Roman" w:cs="Times New Roman"/>
          <w:sz w:val="24"/>
          <w:szCs w:val="24"/>
        </w:rPr>
        <w:t xml:space="preserve">Kavanagh, D. (1996) </w:t>
      </w:r>
      <w:r w:rsidR="00502096" w:rsidRPr="000C18E7">
        <w:rPr>
          <w:rFonts w:ascii="Times New Roman" w:hAnsi="Times New Roman" w:cs="Times New Roman"/>
          <w:sz w:val="24"/>
          <w:szCs w:val="24"/>
        </w:rPr>
        <w:t>The Fatal Choice: The Callin</w:t>
      </w:r>
      <w:r w:rsidRPr="000C18E7">
        <w:rPr>
          <w:rFonts w:ascii="Times New Roman" w:hAnsi="Times New Roman" w:cs="Times New Roman"/>
          <w:sz w:val="24"/>
          <w:szCs w:val="24"/>
        </w:rPr>
        <w:t>g of the February 1974 Election. In: S. Ball and A. Seldon (eds.)</w:t>
      </w:r>
      <w:r w:rsidR="00502096" w:rsidRPr="000C18E7">
        <w:rPr>
          <w:rFonts w:ascii="Times New Roman" w:hAnsi="Times New Roman" w:cs="Times New Roman"/>
          <w:sz w:val="24"/>
          <w:szCs w:val="24"/>
        </w:rPr>
        <w:t xml:space="preserve"> The Heath Government 1970-1974: A Reappraisal</w:t>
      </w:r>
      <w:r w:rsidRPr="000C18E7">
        <w:rPr>
          <w:rFonts w:ascii="Times New Roman" w:hAnsi="Times New Roman" w:cs="Times New Roman"/>
          <w:sz w:val="24"/>
          <w:szCs w:val="24"/>
        </w:rPr>
        <w:t>.</w:t>
      </w:r>
      <w:r w:rsidR="00502096" w:rsidRPr="000C18E7">
        <w:rPr>
          <w:rFonts w:ascii="Times New Roman" w:hAnsi="Times New Roman" w:cs="Times New Roman"/>
          <w:sz w:val="24"/>
          <w:szCs w:val="24"/>
        </w:rPr>
        <w:t xml:space="preserve"> Harlow: Longman.</w:t>
      </w:r>
    </w:p>
    <w:p w14:paraId="6550C59C" w14:textId="568E8C70" w:rsidR="00B8522A" w:rsidRPr="000C18E7" w:rsidRDefault="00B8522A" w:rsidP="00806D17">
      <w:pPr>
        <w:spacing w:after="0" w:line="480" w:lineRule="auto"/>
        <w:jc w:val="both"/>
        <w:rPr>
          <w:rFonts w:ascii="Times New Roman" w:hAnsi="Times New Roman" w:cs="Times New Roman"/>
          <w:sz w:val="24"/>
          <w:szCs w:val="24"/>
        </w:rPr>
      </w:pPr>
      <w:r w:rsidRPr="000C18E7">
        <w:rPr>
          <w:rFonts w:ascii="Times New Roman" w:hAnsi="Times New Roman" w:cs="Times New Roman"/>
          <w:sz w:val="24"/>
          <w:szCs w:val="24"/>
        </w:rPr>
        <w:t>King, A. (1985) The British Prime Minister</w:t>
      </w:r>
      <w:r w:rsidR="00D77890" w:rsidRPr="000C18E7">
        <w:rPr>
          <w:rFonts w:ascii="Times New Roman" w:hAnsi="Times New Roman" w:cs="Times New Roman"/>
          <w:sz w:val="24"/>
          <w:szCs w:val="24"/>
        </w:rPr>
        <w:t>.</w:t>
      </w:r>
      <w:r w:rsidRPr="000C18E7">
        <w:rPr>
          <w:rFonts w:ascii="Times New Roman" w:hAnsi="Times New Roman" w:cs="Times New Roman"/>
          <w:sz w:val="24"/>
          <w:szCs w:val="24"/>
        </w:rPr>
        <w:t xml:space="preserve"> Macmillan: London.</w:t>
      </w:r>
    </w:p>
    <w:p w14:paraId="6EDEE334" w14:textId="17C6E3A1" w:rsidR="00CB6694" w:rsidRPr="000C18E7" w:rsidRDefault="00CB6694" w:rsidP="00806D17">
      <w:pPr>
        <w:spacing w:after="0" w:line="480" w:lineRule="auto"/>
        <w:contextualSpacing/>
        <w:jc w:val="both"/>
        <w:rPr>
          <w:rFonts w:ascii="Times New Roman" w:hAnsi="Times New Roman" w:cs="Times New Roman"/>
          <w:sz w:val="24"/>
          <w:szCs w:val="24"/>
        </w:rPr>
      </w:pPr>
      <w:r w:rsidRPr="000C18E7">
        <w:rPr>
          <w:rFonts w:ascii="Times New Roman" w:hAnsi="Times New Roman" w:cs="Times New Roman"/>
          <w:sz w:val="24"/>
          <w:szCs w:val="24"/>
        </w:rPr>
        <w:t>King, A. and Wybrow, R. (2001) British Political Opinion 1937-2000: The Gallup Poll</w:t>
      </w:r>
      <w:r w:rsidR="00D77890" w:rsidRPr="000C18E7">
        <w:rPr>
          <w:rFonts w:ascii="Times New Roman" w:hAnsi="Times New Roman" w:cs="Times New Roman"/>
          <w:sz w:val="24"/>
          <w:szCs w:val="24"/>
        </w:rPr>
        <w:t>s.</w:t>
      </w:r>
      <w:r w:rsidRPr="000C18E7">
        <w:rPr>
          <w:rFonts w:ascii="Times New Roman" w:hAnsi="Times New Roman" w:cs="Times New Roman"/>
          <w:sz w:val="24"/>
          <w:szCs w:val="24"/>
        </w:rPr>
        <w:t xml:space="preserve"> London: Politicos.</w:t>
      </w:r>
    </w:p>
    <w:p w14:paraId="46D1D70E" w14:textId="13A8B9D8" w:rsidR="00B620DB" w:rsidRPr="000C18E7" w:rsidRDefault="00B620DB" w:rsidP="00806D17">
      <w:pPr>
        <w:spacing w:after="0" w:line="480" w:lineRule="auto"/>
        <w:jc w:val="both"/>
        <w:rPr>
          <w:rFonts w:ascii="Times New Roman" w:hAnsi="Times New Roman" w:cs="Times New Roman"/>
          <w:sz w:val="24"/>
          <w:szCs w:val="24"/>
        </w:rPr>
      </w:pPr>
      <w:r w:rsidRPr="000C18E7">
        <w:rPr>
          <w:rFonts w:ascii="Times New Roman" w:hAnsi="Times New Roman" w:cs="Times New Roman"/>
          <w:sz w:val="24"/>
          <w:szCs w:val="24"/>
        </w:rPr>
        <w:t>Lemieux, P. H. (1977) Political Issues and Liberal Support in the February 1974 General</w:t>
      </w:r>
      <w:r w:rsidR="00D77890" w:rsidRPr="000C18E7">
        <w:rPr>
          <w:rFonts w:ascii="Times New Roman" w:hAnsi="Times New Roman" w:cs="Times New Roman"/>
          <w:sz w:val="24"/>
          <w:szCs w:val="24"/>
        </w:rPr>
        <w:t xml:space="preserve"> Election.</w:t>
      </w:r>
      <w:r w:rsidRPr="000C18E7">
        <w:rPr>
          <w:rFonts w:ascii="Times New Roman" w:hAnsi="Times New Roman" w:cs="Times New Roman"/>
          <w:sz w:val="24"/>
          <w:szCs w:val="24"/>
        </w:rPr>
        <w:t xml:space="preserve"> </w:t>
      </w:r>
      <w:r w:rsidRPr="000C18E7">
        <w:rPr>
          <w:rFonts w:ascii="Times New Roman" w:hAnsi="Times New Roman" w:cs="Times New Roman"/>
          <w:iCs/>
          <w:sz w:val="24"/>
          <w:szCs w:val="24"/>
        </w:rPr>
        <w:t>Political Studies</w:t>
      </w:r>
      <w:r w:rsidRPr="000C18E7">
        <w:rPr>
          <w:rFonts w:ascii="Times New Roman" w:hAnsi="Times New Roman" w:cs="Times New Roman"/>
          <w:sz w:val="24"/>
          <w:szCs w:val="24"/>
        </w:rPr>
        <w:t xml:space="preserve"> 25 (3): 223-</w:t>
      </w:r>
      <w:r w:rsidR="00D77890" w:rsidRPr="000C18E7">
        <w:rPr>
          <w:rFonts w:ascii="Times New Roman" w:hAnsi="Times New Roman" w:cs="Times New Roman"/>
          <w:sz w:val="24"/>
          <w:szCs w:val="24"/>
        </w:rPr>
        <w:t>2</w:t>
      </w:r>
      <w:r w:rsidRPr="000C18E7">
        <w:rPr>
          <w:rFonts w:ascii="Times New Roman" w:hAnsi="Times New Roman" w:cs="Times New Roman"/>
          <w:sz w:val="24"/>
          <w:szCs w:val="24"/>
        </w:rPr>
        <w:t>42.</w:t>
      </w:r>
    </w:p>
    <w:p w14:paraId="042DEAD2" w14:textId="5186CF41" w:rsidR="00B8522A" w:rsidRPr="000C18E7" w:rsidRDefault="00B8522A" w:rsidP="00806D17">
      <w:pPr>
        <w:spacing w:after="0" w:line="480" w:lineRule="auto"/>
        <w:jc w:val="both"/>
        <w:rPr>
          <w:rFonts w:ascii="Times New Roman" w:hAnsi="Times New Roman" w:cs="Times New Roman"/>
          <w:sz w:val="24"/>
          <w:szCs w:val="24"/>
        </w:rPr>
      </w:pPr>
      <w:r w:rsidRPr="000C18E7">
        <w:rPr>
          <w:rFonts w:ascii="Times New Roman" w:hAnsi="Times New Roman" w:cs="Times New Roman"/>
          <w:sz w:val="24"/>
          <w:szCs w:val="24"/>
        </w:rPr>
        <w:t xml:space="preserve">McManus, M. (2016) </w:t>
      </w:r>
      <w:r w:rsidR="00D77890" w:rsidRPr="000C18E7">
        <w:rPr>
          <w:rFonts w:ascii="Times New Roman" w:hAnsi="Times New Roman" w:cs="Times New Roman"/>
          <w:sz w:val="24"/>
          <w:szCs w:val="24"/>
        </w:rPr>
        <w:t>Edward Heath: A Singular Life.</w:t>
      </w:r>
      <w:r w:rsidRPr="000C18E7">
        <w:rPr>
          <w:rFonts w:ascii="Times New Roman" w:hAnsi="Times New Roman" w:cs="Times New Roman"/>
          <w:sz w:val="24"/>
          <w:szCs w:val="24"/>
        </w:rPr>
        <w:t xml:space="preserve"> </w:t>
      </w:r>
      <w:r w:rsidR="00D77890" w:rsidRPr="000C18E7">
        <w:rPr>
          <w:rFonts w:ascii="Times New Roman" w:hAnsi="Times New Roman" w:cs="Times New Roman"/>
          <w:sz w:val="24"/>
          <w:szCs w:val="24"/>
        </w:rPr>
        <w:t>London: Elliott and Thompson.</w:t>
      </w:r>
    </w:p>
    <w:p w14:paraId="080730A3" w14:textId="48402C1D" w:rsidR="004515C9" w:rsidRPr="000C18E7" w:rsidRDefault="004515C9" w:rsidP="00806D17">
      <w:pPr>
        <w:spacing w:after="0" w:line="480" w:lineRule="auto"/>
        <w:contextualSpacing/>
        <w:jc w:val="both"/>
        <w:rPr>
          <w:rFonts w:ascii="Times New Roman" w:hAnsi="Times New Roman" w:cs="Times New Roman"/>
          <w:bCs/>
          <w:sz w:val="24"/>
          <w:szCs w:val="24"/>
        </w:rPr>
      </w:pPr>
      <w:r w:rsidRPr="000C18E7">
        <w:rPr>
          <w:rFonts w:ascii="Times New Roman" w:hAnsi="Times New Roman" w:cs="Times New Roman"/>
          <w:bCs/>
          <w:sz w:val="24"/>
          <w:szCs w:val="24"/>
        </w:rPr>
        <w:lastRenderedPageBreak/>
        <w:t xml:space="preserve">Moran, M. (1977) </w:t>
      </w:r>
      <w:r w:rsidRPr="000C18E7">
        <w:rPr>
          <w:rFonts w:ascii="Times New Roman" w:hAnsi="Times New Roman" w:cs="Times New Roman"/>
          <w:bCs/>
          <w:iCs/>
          <w:sz w:val="24"/>
          <w:szCs w:val="24"/>
        </w:rPr>
        <w:t>Politics of Industrial Relations: The Origins, Life and Death of the 1971 Industrial Relations Act</w:t>
      </w:r>
      <w:r w:rsidR="00D77890" w:rsidRPr="000C18E7">
        <w:rPr>
          <w:rFonts w:ascii="Times New Roman" w:hAnsi="Times New Roman" w:cs="Times New Roman"/>
          <w:bCs/>
          <w:sz w:val="24"/>
          <w:szCs w:val="24"/>
        </w:rPr>
        <w:t xml:space="preserve">. </w:t>
      </w:r>
      <w:r w:rsidRPr="000C18E7">
        <w:rPr>
          <w:rFonts w:ascii="Times New Roman" w:hAnsi="Times New Roman" w:cs="Times New Roman"/>
          <w:bCs/>
          <w:sz w:val="24"/>
          <w:szCs w:val="24"/>
        </w:rPr>
        <w:t>London: Macmillan.</w:t>
      </w:r>
    </w:p>
    <w:p w14:paraId="7504EB8B" w14:textId="6C404F12" w:rsidR="008A1ADC" w:rsidRPr="000C18E7" w:rsidRDefault="00D77890" w:rsidP="00806D17">
      <w:pPr>
        <w:spacing w:after="0" w:line="480" w:lineRule="auto"/>
        <w:jc w:val="both"/>
        <w:rPr>
          <w:rFonts w:ascii="Times New Roman" w:hAnsi="Times New Roman" w:cs="Times New Roman"/>
          <w:sz w:val="24"/>
          <w:szCs w:val="24"/>
        </w:rPr>
      </w:pPr>
      <w:r w:rsidRPr="000C18E7">
        <w:rPr>
          <w:rFonts w:ascii="Times New Roman" w:hAnsi="Times New Roman" w:cs="Times New Roman"/>
          <w:sz w:val="24"/>
          <w:szCs w:val="24"/>
        </w:rPr>
        <w:t>Norton, P. (1978)</w:t>
      </w:r>
      <w:r w:rsidR="008A1ADC" w:rsidRPr="000C18E7">
        <w:rPr>
          <w:rFonts w:ascii="Times New Roman" w:hAnsi="Times New Roman" w:cs="Times New Roman"/>
          <w:sz w:val="24"/>
          <w:szCs w:val="24"/>
        </w:rPr>
        <w:t xml:space="preserve"> </w:t>
      </w:r>
      <w:r w:rsidR="008A1ADC" w:rsidRPr="000C18E7">
        <w:rPr>
          <w:rFonts w:ascii="Times New Roman" w:hAnsi="Times New Roman" w:cs="Times New Roman"/>
          <w:iCs/>
          <w:sz w:val="24"/>
          <w:szCs w:val="24"/>
        </w:rPr>
        <w:t>Conservative Dissidents: Dissent Within the Parliamentary Conservative Party 1970– 1974</w:t>
      </w:r>
      <w:r w:rsidR="008A1ADC" w:rsidRPr="000C18E7">
        <w:rPr>
          <w:rFonts w:ascii="Times New Roman" w:hAnsi="Times New Roman" w:cs="Times New Roman"/>
          <w:sz w:val="24"/>
          <w:szCs w:val="24"/>
        </w:rPr>
        <w:t>. London: Temple Smith.</w:t>
      </w:r>
    </w:p>
    <w:p w14:paraId="5619EBEA" w14:textId="517B5EFF" w:rsidR="005C5767" w:rsidRPr="000C18E7" w:rsidRDefault="00D77890" w:rsidP="00806D17">
      <w:pPr>
        <w:spacing w:after="0" w:line="480" w:lineRule="auto"/>
        <w:jc w:val="both"/>
        <w:rPr>
          <w:rFonts w:ascii="Times New Roman" w:hAnsi="Times New Roman" w:cs="Times New Roman"/>
          <w:sz w:val="24"/>
          <w:szCs w:val="24"/>
          <w:shd w:val="clear" w:color="auto" w:fill="FFFFFF"/>
        </w:rPr>
      </w:pPr>
      <w:r w:rsidRPr="000C18E7">
        <w:rPr>
          <w:rFonts w:ascii="Times New Roman" w:hAnsi="Times New Roman" w:cs="Times New Roman"/>
          <w:sz w:val="24"/>
          <w:szCs w:val="24"/>
          <w:shd w:val="clear" w:color="auto" w:fill="FFFFFF"/>
        </w:rPr>
        <w:t xml:space="preserve">Phillips, J. (2006) </w:t>
      </w:r>
      <w:r w:rsidR="005C5767" w:rsidRPr="000C18E7">
        <w:rPr>
          <w:rFonts w:ascii="Times New Roman" w:hAnsi="Times New Roman" w:cs="Times New Roman"/>
          <w:sz w:val="24"/>
          <w:szCs w:val="24"/>
          <w:shd w:val="clear" w:color="auto" w:fill="FFFFFF"/>
        </w:rPr>
        <w:t>The 1972 miners' strike: popular agency and i</w:t>
      </w:r>
      <w:r w:rsidRPr="000C18E7">
        <w:rPr>
          <w:rFonts w:ascii="Times New Roman" w:hAnsi="Times New Roman" w:cs="Times New Roman"/>
          <w:sz w:val="24"/>
          <w:szCs w:val="24"/>
          <w:shd w:val="clear" w:color="auto" w:fill="FFFFFF"/>
        </w:rPr>
        <w:t xml:space="preserve">ndustrial politics in Britain. </w:t>
      </w:r>
      <w:r w:rsidR="005C5767" w:rsidRPr="000C18E7">
        <w:rPr>
          <w:rFonts w:ascii="Times New Roman" w:hAnsi="Times New Roman" w:cs="Times New Roman"/>
          <w:iCs/>
          <w:sz w:val="24"/>
          <w:szCs w:val="24"/>
        </w:rPr>
        <w:t>Contemporary Brit</w:t>
      </w:r>
      <w:r w:rsidRPr="000C18E7">
        <w:rPr>
          <w:rFonts w:ascii="Times New Roman" w:hAnsi="Times New Roman" w:cs="Times New Roman"/>
          <w:iCs/>
          <w:sz w:val="24"/>
          <w:szCs w:val="24"/>
        </w:rPr>
        <w:t xml:space="preserve">ish History </w:t>
      </w:r>
      <w:r w:rsidRPr="000C18E7">
        <w:rPr>
          <w:rFonts w:ascii="Times New Roman" w:hAnsi="Times New Roman" w:cs="Times New Roman"/>
          <w:sz w:val="24"/>
          <w:szCs w:val="24"/>
          <w:shd w:val="clear" w:color="auto" w:fill="FFFFFF"/>
        </w:rPr>
        <w:t>20 (2):</w:t>
      </w:r>
      <w:r w:rsidR="005C5767" w:rsidRPr="000C18E7">
        <w:rPr>
          <w:rFonts w:ascii="Times New Roman" w:hAnsi="Times New Roman" w:cs="Times New Roman"/>
          <w:sz w:val="24"/>
          <w:szCs w:val="24"/>
          <w:shd w:val="clear" w:color="auto" w:fill="FFFFFF"/>
        </w:rPr>
        <w:t xml:space="preserve"> 187-207.</w:t>
      </w:r>
    </w:p>
    <w:p w14:paraId="08A371CA" w14:textId="42FDE498" w:rsidR="0056680B" w:rsidRPr="000C18E7" w:rsidRDefault="0056680B" w:rsidP="00806D17">
      <w:pPr>
        <w:spacing w:after="0" w:line="480" w:lineRule="auto"/>
        <w:contextualSpacing/>
        <w:jc w:val="both"/>
        <w:rPr>
          <w:rFonts w:ascii="Times New Roman" w:hAnsi="Times New Roman" w:cs="Times New Roman"/>
          <w:iCs/>
          <w:sz w:val="24"/>
          <w:szCs w:val="24"/>
        </w:rPr>
      </w:pPr>
      <w:bookmarkStart w:id="4" w:name="_Hlk30065802"/>
      <w:r w:rsidRPr="000C18E7">
        <w:rPr>
          <w:rFonts w:ascii="Times New Roman" w:hAnsi="Times New Roman" w:cs="Times New Roman"/>
          <w:sz w:val="24"/>
          <w:szCs w:val="24"/>
        </w:rPr>
        <w:t>Pimlott, B. (1992) Harold Wilson</w:t>
      </w:r>
      <w:r w:rsidR="00D77890" w:rsidRPr="000C18E7">
        <w:rPr>
          <w:rFonts w:ascii="Times New Roman" w:hAnsi="Times New Roman" w:cs="Times New Roman"/>
          <w:iCs/>
          <w:sz w:val="24"/>
          <w:szCs w:val="24"/>
        </w:rPr>
        <w:t>.</w:t>
      </w:r>
      <w:r w:rsidRPr="000C18E7">
        <w:rPr>
          <w:rFonts w:ascii="Times New Roman" w:hAnsi="Times New Roman" w:cs="Times New Roman"/>
          <w:iCs/>
          <w:sz w:val="24"/>
          <w:szCs w:val="24"/>
        </w:rPr>
        <w:t xml:space="preserve"> London: Harper Collins.</w:t>
      </w:r>
      <w:bookmarkEnd w:id="4"/>
    </w:p>
    <w:p w14:paraId="62C4270A" w14:textId="66DA9A65" w:rsidR="00B6162E" w:rsidRPr="000C18E7" w:rsidRDefault="00B6162E" w:rsidP="00806D17">
      <w:pPr>
        <w:spacing w:after="0" w:line="480" w:lineRule="auto"/>
        <w:jc w:val="both"/>
        <w:rPr>
          <w:rFonts w:ascii="Times New Roman" w:hAnsi="Times New Roman" w:cs="Times New Roman"/>
          <w:sz w:val="24"/>
          <w:szCs w:val="24"/>
        </w:rPr>
      </w:pPr>
      <w:r w:rsidRPr="000C18E7">
        <w:rPr>
          <w:rFonts w:ascii="Times New Roman" w:hAnsi="Times New Roman" w:cs="Times New Roman"/>
          <w:sz w:val="24"/>
          <w:szCs w:val="24"/>
        </w:rPr>
        <w:t xml:space="preserve">Ramsden, J. (1996) </w:t>
      </w:r>
      <w:r w:rsidRPr="000C18E7">
        <w:rPr>
          <w:rFonts w:ascii="Times New Roman" w:hAnsi="Times New Roman" w:cs="Times New Roman"/>
          <w:iCs/>
          <w:sz w:val="24"/>
          <w:szCs w:val="24"/>
        </w:rPr>
        <w:t>Winds of Change: Macmillan to Heath</w:t>
      </w:r>
      <w:r w:rsidR="00D77890" w:rsidRPr="000C18E7">
        <w:rPr>
          <w:rFonts w:ascii="Times New Roman" w:hAnsi="Times New Roman" w:cs="Times New Roman"/>
          <w:sz w:val="24"/>
          <w:szCs w:val="24"/>
        </w:rPr>
        <w:t>.</w:t>
      </w:r>
      <w:r w:rsidRPr="000C18E7">
        <w:rPr>
          <w:rFonts w:ascii="Times New Roman" w:hAnsi="Times New Roman" w:cs="Times New Roman"/>
          <w:sz w:val="24"/>
          <w:szCs w:val="24"/>
        </w:rPr>
        <w:t xml:space="preserve"> Longman: London. </w:t>
      </w:r>
    </w:p>
    <w:p w14:paraId="40B4279E" w14:textId="2BFF2FEB" w:rsidR="00B8522A" w:rsidRPr="000C18E7" w:rsidRDefault="00B8522A" w:rsidP="00806D17">
      <w:pPr>
        <w:spacing w:after="0" w:line="480" w:lineRule="auto"/>
        <w:contextualSpacing/>
        <w:jc w:val="both"/>
        <w:rPr>
          <w:rFonts w:ascii="Times New Roman" w:hAnsi="Times New Roman" w:cs="Times New Roman"/>
          <w:sz w:val="24"/>
          <w:szCs w:val="24"/>
        </w:rPr>
      </w:pPr>
      <w:r w:rsidRPr="000C18E7">
        <w:rPr>
          <w:rFonts w:ascii="Times New Roman" w:hAnsi="Times New Roman" w:cs="Times New Roman"/>
          <w:sz w:val="24"/>
          <w:szCs w:val="24"/>
        </w:rPr>
        <w:t>Sandbrook, D. (2010) State of Emerge</w:t>
      </w:r>
      <w:r w:rsidR="00D77890" w:rsidRPr="000C18E7">
        <w:rPr>
          <w:rFonts w:ascii="Times New Roman" w:hAnsi="Times New Roman" w:cs="Times New Roman"/>
          <w:sz w:val="24"/>
          <w:szCs w:val="24"/>
        </w:rPr>
        <w:t>ncy: The Way We Were, 1970-1974.</w:t>
      </w:r>
      <w:r w:rsidRPr="000C18E7">
        <w:rPr>
          <w:rFonts w:ascii="Times New Roman" w:hAnsi="Times New Roman" w:cs="Times New Roman"/>
          <w:sz w:val="24"/>
          <w:szCs w:val="24"/>
        </w:rPr>
        <w:t xml:space="preserve"> </w:t>
      </w:r>
      <w:r w:rsidR="00AB3AB5" w:rsidRPr="000C18E7">
        <w:rPr>
          <w:rFonts w:ascii="Times New Roman" w:hAnsi="Times New Roman" w:cs="Times New Roman"/>
          <w:iCs/>
          <w:sz w:val="24"/>
          <w:szCs w:val="24"/>
        </w:rPr>
        <w:t xml:space="preserve">London: </w:t>
      </w:r>
      <w:r w:rsidRPr="000C18E7">
        <w:rPr>
          <w:rFonts w:ascii="Times New Roman" w:hAnsi="Times New Roman" w:cs="Times New Roman"/>
          <w:sz w:val="24"/>
          <w:szCs w:val="24"/>
        </w:rPr>
        <w:t>Allen Lane</w:t>
      </w:r>
      <w:r w:rsidR="00AB3AB5" w:rsidRPr="000C18E7">
        <w:rPr>
          <w:rFonts w:ascii="Times New Roman" w:hAnsi="Times New Roman" w:cs="Times New Roman"/>
          <w:sz w:val="24"/>
          <w:szCs w:val="24"/>
        </w:rPr>
        <w:t xml:space="preserve">. </w:t>
      </w:r>
    </w:p>
    <w:p w14:paraId="39150D27" w14:textId="775FCD1D" w:rsidR="003A4A15" w:rsidRPr="000C18E7" w:rsidRDefault="003A4A15" w:rsidP="00806D17">
      <w:pPr>
        <w:spacing w:after="0" w:line="480" w:lineRule="auto"/>
        <w:jc w:val="both"/>
        <w:rPr>
          <w:rFonts w:ascii="Times New Roman" w:hAnsi="Times New Roman" w:cs="Times New Roman"/>
          <w:sz w:val="24"/>
          <w:szCs w:val="24"/>
        </w:rPr>
      </w:pPr>
      <w:r w:rsidRPr="000C18E7">
        <w:rPr>
          <w:rStyle w:val="authors"/>
          <w:rFonts w:ascii="Times New Roman" w:hAnsi="Times New Roman" w:cs="Times New Roman"/>
          <w:sz w:val="24"/>
          <w:szCs w:val="24"/>
        </w:rPr>
        <w:t>Seldon</w:t>
      </w:r>
      <w:r w:rsidRPr="000C18E7">
        <w:rPr>
          <w:rFonts w:ascii="Times New Roman" w:hAnsi="Times New Roman" w:cs="Times New Roman"/>
          <w:sz w:val="24"/>
          <w:szCs w:val="24"/>
          <w:shd w:val="clear" w:color="auto" w:fill="FFFFFF"/>
        </w:rPr>
        <w:t xml:space="preserve">, A. </w:t>
      </w:r>
      <w:r w:rsidRPr="000C18E7">
        <w:rPr>
          <w:rStyle w:val="Date1"/>
          <w:rFonts w:ascii="Times New Roman" w:hAnsi="Times New Roman" w:cs="Times New Roman"/>
          <w:sz w:val="24"/>
          <w:szCs w:val="24"/>
        </w:rPr>
        <w:t>(1988)</w:t>
      </w:r>
      <w:r w:rsidR="00D77890" w:rsidRPr="000C18E7">
        <w:rPr>
          <w:rFonts w:ascii="Times New Roman" w:hAnsi="Times New Roman" w:cs="Times New Roman"/>
          <w:sz w:val="24"/>
          <w:szCs w:val="24"/>
          <w:shd w:val="clear" w:color="auto" w:fill="FFFFFF"/>
        </w:rPr>
        <w:t xml:space="preserve"> </w:t>
      </w:r>
      <w:r w:rsidRPr="000C18E7">
        <w:rPr>
          <w:rStyle w:val="arttitle"/>
          <w:rFonts w:ascii="Times New Roman" w:hAnsi="Times New Roman" w:cs="Times New Roman"/>
          <w:sz w:val="24"/>
          <w:szCs w:val="24"/>
        </w:rPr>
        <w:t>The Trade Unions an</w:t>
      </w:r>
      <w:r w:rsidR="00D77890" w:rsidRPr="000C18E7">
        <w:rPr>
          <w:rStyle w:val="arttitle"/>
          <w:rFonts w:ascii="Times New Roman" w:hAnsi="Times New Roman" w:cs="Times New Roman"/>
          <w:sz w:val="24"/>
          <w:szCs w:val="24"/>
        </w:rPr>
        <w:t>d Fall of the Heath government.</w:t>
      </w:r>
      <w:r w:rsidRPr="000C18E7">
        <w:rPr>
          <w:rFonts w:ascii="Times New Roman" w:hAnsi="Times New Roman" w:cs="Times New Roman"/>
          <w:sz w:val="24"/>
          <w:szCs w:val="24"/>
          <w:shd w:val="clear" w:color="auto" w:fill="FFFFFF"/>
        </w:rPr>
        <w:t xml:space="preserve"> </w:t>
      </w:r>
      <w:r w:rsidRPr="000C18E7">
        <w:rPr>
          <w:rStyle w:val="serialtitle"/>
          <w:rFonts w:ascii="Times New Roman" w:hAnsi="Times New Roman" w:cs="Times New Roman"/>
          <w:iCs/>
          <w:sz w:val="24"/>
          <w:szCs w:val="24"/>
        </w:rPr>
        <w:t>Contemporary Record</w:t>
      </w:r>
      <w:r w:rsidR="00D77890" w:rsidRPr="000C18E7">
        <w:rPr>
          <w:rStyle w:val="serialtitle"/>
          <w:rFonts w:ascii="Times New Roman" w:hAnsi="Times New Roman" w:cs="Times New Roman"/>
          <w:sz w:val="24"/>
          <w:szCs w:val="24"/>
        </w:rPr>
        <w:t xml:space="preserve"> </w:t>
      </w:r>
      <w:r w:rsidRPr="000C18E7">
        <w:rPr>
          <w:rStyle w:val="volumeissue"/>
          <w:rFonts w:ascii="Times New Roman" w:hAnsi="Times New Roman" w:cs="Times New Roman"/>
          <w:sz w:val="24"/>
          <w:szCs w:val="24"/>
        </w:rPr>
        <w:t>2 (1):</w:t>
      </w:r>
      <w:r w:rsidRPr="000C18E7">
        <w:rPr>
          <w:rFonts w:ascii="Times New Roman" w:hAnsi="Times New Roman" w:cs="Times New Roman"/>
          <w:sz w:val="24"/>
          <w:szCs w:val="24"/>
          <w:shd w:val="clear" w:color="auto" w:fill="FFFFFF"/>
        </w:rPr>
        <w:t xml:space="preserve"> </w:t>
      </w:r>
      <w:r w:rsidRPr="000C18E7">
        <w:rPr>
          <w:rStyle w:val="pagerange"/>
          <w:rFonts w:ascii="Times New Roman" w:hAnsi="Times New Roman" w:cs="Times New Roman"/>
          <w:sz w:val="24"/>
          <w:szCs w:val="24"/>
        </w:rPr>
        <w:t>36-46</w:t>
      </w:r>
    </w:p>
    <w:p w14:paraId="7D442E06" w14:textId="680C1461" w:rsidR="005C5767" w:rsidRPr="000C18E7" w:rsidRDefault="005C5767" w:rsidP="00806D17">
      <w:pPr>
        <w:spacing w:line="480" w:lineRule="auto"/>
        <w:contextualSpacing/>
        <w:jc w:val="both"/>
        <w:rPr>
          <w:rFonts w:ascii="Times New Roman" w:hAnsi="Times New Roman" w:cs="Times New Roman"/>
          <w:sz w:val="24"/>
          <w:szCs w:val="24"/>
        </w:rPr>
      </w:pPr>
      <w:r w:rsidRPr="000C18E7">
        <w:rPr>
          <w:rFonts w:ascii="Times New Roman" w:hAnsi="Times New Roman" w:cs="Times New Roman"/>
          <w:sz w:val="24"/>
          <w:szCs w:val="24"/>
        </w:rPr>
        <w:t>Shepherd, R. (1996) Enoch Powell: A Biography</w:t>
      </w:r>
      <w:r w:rsidR="00D77890" w:rsidRPr="000C18E7">
        <w:rPr>
          <w:rFonts w:ascii="Times New Roman" w:hAnsi="Times New Roman" w:cs="Times New Roman"/>
          <w:sz w:val="24"/>
          <w:szCs w:val="24"/>
        </w:rPr>
        <w:t>.</w:t>
      </w:r>
      <w:r w:rsidRPr="000C18E7">
        <w:rPr>
          <w:rFonts w:ascii="Times New Roman" w:hAnsi="Times New Roman" w:cs="Times New Roman"/>
          <w:sz w:val="24"/>
          <w:szCs w:val="24"/>
        </w:rPr>
        <w:t xml:space="preserve"> London, Pimlico.</w:t>
      </w:r>
    </w:p>
    <w:p w14:paraId="5DD904AD" w14:textId="0D871558" w:rsidR="00502096" w:rsidRPr="000C18E7" w:rsidRDefault="00502096" w:rsidP="00806D17">
      <w:pPr>
        <w:spacing w:after="0" w:line="480" w:lineRule="auto"/>
        <w:contextualSpacing/>
        <w:jc w:val="both"/>
        <w:rPr>
          <w:rFonts w:ascii="Times New Roman" w:eastAsia="SimSun" w:hAnsi="Times New Roman" w:cs="Times New Roman"/>
          <w:sz w:val="24"/>
          <w:szCs w:val="24"/>
          <w:lang w:eastAsia="zh-CN"/>
        </w:rPr>
      </w:pPr>
      <w:r w:rsidRPr="000C18E7">
        <w:rPr>
          <w:rFonts w:ascii="Times New Roman" w:eastAsia="SimSun" w:hAnsi="Times New Roman" w:cs="Times New Roman"/>
          <w:sz w:val="24"/>
          <w:szCs w:val="24"/>
          <w:lang w:eastAsia="zh-CN"/>
        </w:rPr>
        <w:t>Taylor, A. (2005) The NUM and British Politics, Volume 2, 1969-1995</w:t>
      </w:r>
      <w:r w:rsidR="00D77890" w:rsidRPr="000C18E7">
        <w:rPr>
          <w:rFonts w:ascii="Times New Roman" w:eastAsia="SimSun" w:hAnsi="Times New Roman" w:cs="Times New Roman"/>
          <w:sz w:val="24"/>
          <w:szCs w:val="24"/>
          <w:lang w:eastAsia="zh-CN"/>
        </w:rPr>
        <w:t xml:space="preserve">. </w:t>
      </w:r>
      <w:r w:rsidRPr="000C18E7">
        <w:rPr>
          <w:rFonts w:ascii="Times New Roman" w:eastAsia="SimSun" w:hAnsi="Times New Roman" w:cs="Times New Roman"/>
          <w:sz w:val="24"/>
          <w:szCs w:val="24"/>
          <w:lang w:eastAsia="zh-CN"/>
        </w:rPr>
        <w:t>Aldershot: Ashgate.</w:t>
      </w:r>
    </w:p>
    <w:p w14:paraId="2037B2D2" w14:textId="7490FD84" w:rsidR="004515C9" w:rsidRPr="000C18E7" w:rsidRDefault="004515C9" w:rsidP="00806D17">
      <w:pPr>
        <w:spacing w:after="0" w:line="480" w:lineRule="auto"/>
        <w:jc w:val="both"/>
        <w:rPr>
          <w:rFonts w:ascii="Times New Roman" w:hAnsi="Times New Roman" w:cs="Times New Roman"/>
          <w:sz w:val="24"/>
          <w:szCs w:val="24"/>
        </w:rPr>
      </w:pPr>
      <w:r w:rsidRPr="000C18E7">
        <w:rPr>
          <w:rStyle w:val="hlfld-contribauthor"/>
          <w:rFonts w:ascii="Times New Roman" w:hAnsi="Times New Roman" w:cs="Times New Roman"/>
          <w:sz w:val="24"/>
          <w:szCs w:val="24"/>
        </w:rPr>
        <w:t xml:space="preserve">Taylor, </w:t>
      </w:r>
      <w:r w:rsidRPr="000C18E7">
        <w:rPr>
          <w:rStyle w:val="nlmgiven-names"/>
          <w:rFonts w:ascii="Times New Roman" w:hAnsi="Times New Roman" w:cs="Times New Roman"/>
          <w:sz w:val="24"/>
          <w:szCs w:val="24"/>
        </w:rPr>
        <w:t>R.</w:t>
      </w:r>
      <w:r w:rsidRPr="000C18E7">
        <w:rPr>
          <w:rFonts w:ascii="Times New Roman" w:hAnsi="Times New Roman" w:cs="Times New Roman"/>
          <w:sz w:val="24"/>
          <w:szCs w:val="24"/>
          <w:shd w:val="clear" w:color="auto" w:fill="FFFFFF"/>
        </w:rPr>
        <w:t xml:space="preserve"> (</w:t>
      </w:r>
      <w:r w:rsidRPr="000C18E7">
        <w:rPr>
          <w:rStyle w:val="nlmyear"/>
          <w:rFonts w:ascii="Times New Roman" w:hAnsi="Times New Roman" w:cs="Times New Roman"/>
          <w:sz w:val="24"/>
          <w:szCs w:val="24"/>
        </w:rPr>
        <w:t>1996</w:t>
      </w:r>
      <w:r w:rsidR="00D77890" w:rsidRPr="000C18E7">
        <w:rPr>
          <w:rFonts w:ascii="Times New Roman" w:hAnsi="Times New Roman" w:cs="Times New Roman"/>
          <w:sz w:val="24"/>
          <w:szCs w:val="24"/>
          <w:shd w:val="clear" w:color="auto" w:fill="FFFFFF"/>
        </w:rPr>
        <w:t>) T</w:t>
      </w:r>
      <w:r w:rsidRPr="000C18E7">
        <w:rPr>
          <w:rStyle w:val="nlmarticle-title"/>
          <w:rFonts w:ascii="Times New Roman" w:hAnsi="Times New Roman" w:cs="Times New Roman"/>
          <w:sz w:val="24"/>
          <w:szCs w:val="24"/>
        </w:rPr>
        <w:t>he Heath Government and Industrial Relations: Myth and Reality</w:t>
      </w:r>
      <w:r w:rsidR="00D77890" w:rsidRPr="000C18E7">
        <w:rPr>
          <w:rFonts w:ascii="Times New Roman" w:hAnsi="Times New Roman" w:cs="Times New Roman"/>
          <w:sz w:val="24"/>
          <w:szCs w:val="24"/>
          <w:shd w:val="clear" w:color="auto" w:fill="FFFFFF"/>
        </w:rPr>
        <w:t xml:space="preserve">. In: S. Ball </w:t>
      </w:r>
      <w:r w:rsidRPr="000C18E7">
        <w:rPr>
          <w:rFonts w:ascii="Times New Roman" w:hAnsi="Times New Roman" w:cs="Times New Roman"/>
          <w:sz w:val="24"/>
          <w:szCs w:val="24"/>
          <w:shd w:val="clear" w:color="auto" w:fill="FFFFFF"/>
        </w:rPr>
        <w:t>and</w:t>
      </w:r>
      <w:r w:rsidR="00D77890" w:rsidRPr="000C18E7">
        <w:rPr>
          <w:rFonts w:ascii="Times New Roman" w:hAnsi="Times New Roman" w:cs="Times New Roman"/>
          <w:sz w:val="24"/>
          <w:szCs w:val="24"/>
          <w:shd w:val="clear" w:color="auto" w:fill="FFFFFF"/>
        </w:rPr>
        <w:t xml:space="preserve"> A. Seldon, (eds.) </w:t>
      </w:r>
      <w:r w:rsidRPr="000C18E7">
        <w:rPr>
          <w:rFonts w:ascii="Times New Roman" w:hAnsi="Times New Roman" w:cs="Times New Roman"/>
          <w:iCs/>
          <w:sz w:val="24"/>
          <w:szCs w:val="24"/>
        </w:rPr>
        <w:t>The Heath Government, 1970–1974: A Reappraisal</w:t>
      </w:r>
      <w:r w:rsidR="00D77890" w:rsidRPr="000C18E7">
        <w:rPr>
          <w:rFonts w:ascii="Times New Roman" w:hAnsi="Times New Roman" w:cs="Times New Roman"/>
          <w:sz w:val="24"/>
          <w:szCs w:val="24"/>
          <w:shd w:val="clear" w:color="auto" w:fill="FFFFFF"/>
        </w:rPr>
        <w:t>.</w:t>
      </w:r>
      <w:r w:rsidRPr="000C18E7">
        <w:rPr>
          <w:rFonts w:ascii="Times New Roman" w:hAnsi="Times New Roman" w:cs="Times New Roman"/>
          <w:sz w:val="24"/>
          <w:szCs w:val="24"/>
          <w:shd w:val="clear" w:color="auto" w:fill="FFFFFF"/>
        </w:rPr>
        <w:t xml:space="preserve"> </w:t>
      </w:r>
      <w:r w:rsidRPr="000C18E7">
        <w:rPr>
          <w:rStyle w:val="nlmpublisher-loc"/>
          <w:rFonts w:ascii="Times New Roman" w:hAnsi="Times New Roman" w:cs="Times New Roman"/>
          <w:sz w:val="24"/>
          <w:szCs w:val="24"/>
        </w:rPr>
        <w:t>London</w:t>
      </w:r>
      <w:r w:rsidRPr="000C18E7">
        <w:rPr>
          <w:rFonts w:ascii="Times New Roman" w:hAnsi="Times New Roman" w:cs="Times New Roman"/>
          <w:sz w:val="24"/>
          <w:szCs w:val="24"/>
          <w:shd w:val="clear" w:color="auto" w:fill="FFFFFF"/>
        </w:rPr>
        <w:t xml:space="preserve">: </w:t>
      </w:r>
      <w:r w:rsidRPr="000C18E7">
        <w:rPr>
          <w:rStyle w:val="nlmpublisher-name"/>
          <w:rFonts w:ascii="Times New Roman" w:hAnsi="Times New Roman" w:cs="Times New Roman"/>
          <w:sz w:val="24"/>
          <w:szCs w:val="24"/>
        </w:rPr>
        <w:t>Longman</w:t>
      </w:r>
      <w:r w:rsidRPr="000C18E7">
        <w:rPr>
          <w:rFonts w:ascii="Times New Roman" w:hAnsi="Times New Roman" w:cs="Times New Roman"/>
          <w:sz w:val="24"/>
          <w:szCs w:val="24"/>
        </w:rPr>
        <w:t xml:space="preserve">. </w:t>
      </w:r>
    </w:p>
    <w:p w14:paraId="0A3DC42E" w14:textId="77777777" w:rsidR="00DE4BAF" w:rsidRPr="000C18E7" w:rsidRDefault="00DE4BAF" w:rsidP="00806D17">
      <w:pPr>
        <w:spacing w:after="0" w:line="480" w:lineRule="auto"/>
        <w:ind w:left="720" w:hanging="720"/>
        <w:contextualSpacing/>
        <w:jc w:val="both"/>
        <w:rPr>
          <w:rFonts w:ascii="Times New Roman" w:hAnsi="Times New Roman" w:cs="Times New Roman"/>
          <w:sz w:val="24"/>
          <w:szCs w:val="24"/>
        </w:rPr>
      </w:pPr>
      <w:r w:rsidRPr="000C18E7">
        <w:rPr>
          <w:rFonts w:ascii="Times New Roman" w:hAnsi="Times New Roman" w:cs="Times New Roman"/>
          <w:sz w:val="24"/>
          <w:szCs w:val="24"/>
        </w:rPr>
        <w:t xml:space="preserve">Wade, R. (2013) Conservative Economic Policy: From Heath in Opposition to Cameron in </w:t>
      </w:r>
    </w:p>
    <w:p w14:paraId="5B0FDA7D" w14:textId="27483D7C" w:rsidR="00DE4BAF" w:rsidRPr="000C18E7" w:rsidRDefault="00DE4BAF" w:rsidP="00806D17">
      <w:pPr>
        <w:spacing w:after="0" w:line="480" w:lineRule="auto"/>
        <w:ind w:left="720" w:hanging="720"/>
        <w:contextualSpacing/>
        <w:jc w:val="both"/>
        <w:rPr>
          <w:rFonts w:ascii="Times New Roman" w:hAnsi="Times New Roman" w:cs="Times New Roman"/>
          <w:sz w:val="24"/>
          <w:szCs w:val="24"/>
        </w:rPr>
      </w:pPr>
      <w:r w:rsidRPr="000C18E7">
        <w:rPr>
          <w:rFonts w:ascii="Times New Roman" w:hAnsi="Times New Roman" w:cs="Times New Roman"/>
          <w:sz w:val="24"/>
          <w:szCs w:val="24"/>
        </w:rPr>
        <w:t>Coalition</w:t>
      </w:r>
      <w:r w:rsidR="00D77890" w:rsidRPr="000C18E7">
        <w:rPr>
          <w:rFonts w:ascii="Times New Roman" w:hAnsi="Times New Roman" w:cs="Times New Roman"/>
          <w:sz w:val="24"/>
          <w:szCs w:val="24"/>
        </w:rPr>
        <w:t xml:space="preserve">. </w:t>
      </w:r>
      <w:r w:rsidRPr="000C18E7">
        <w:rPr>
          <w:rFonts w:ascii="Times New Roman" w:hAnsi="Times New Roman" w:cs="Times New Roman"/>
          <w:sz w:val="24"/>
          <w:szCs w:val="24"/>
        </w:rPr>
        <w:t xml:space="preserve">Basingstoke: Palgrave Macmillan. </w:t>
      </w:r>
    </w:p>
    <w:p w14:paraId="77542F50" w14:textId="4C9554D5" w:rsidR="00B07C8A" w:rsidRPr="00D77890" w:rsidRDefault="00B8522A" w:rsidP="00806D17">
      <w:pPr>
        <w:spacing w:after="0" w:line="480" w:lineRule="auto"/>
        <w:contextualSpacing/>
        <w:jc w:val="both"/>
        <w:rPr>
          <w:rFonts w:ascii="Times New Roman" w:hAnsi="Times New Roman" w:cs="Times New Roman"/>
          <w:sz w:val="24"/>
          <w:szCs w:val="24"/>
        </w:rPr>
      </w:pPr>
      <w:r w:rsidRPr="000C18E7">
        <w:rPr>
          <w:rFonts w:ascii="Times New Roman" w:hAnsi="Times New Roman" w:cs="Times New Roman"/>
          <w:sz w:val="24"/>
          <w:szCs w:val="24"/>
        </w:rPr>
        <w:t>Ziegler, P. (2010) Edward Heath</w:t>
      </w:r>
      <w:r w:rsidR="00D77890" w:rsidRPr="000C18E7">
        <w:rPr>
          <w:rFonts w:ascii="Times New Roman" w:hAnsi="Times New Roman" w:cs="Times New Roman"/>
          <w:sz w:val="24"/>
          <w:szCs w:val="24"/>
        </w:rPr>
        <w:t xml:space="preserve">. </w:t>
      </w:r>
      <w:r w:rsidRPr="000C18E7">
        <w:rPr>
          <w:rFonts w:ascii="Times New Roman" w:hAnsi="Times New Roman" w:cs="Times New Roman"/>
          <w:sz w:val="24"/>
          <w:szCs w:val="24"/>
        </w:rPr>
        <w:t>Harper Press: London</w:t>
      </w:r>
      <w:r w:rsidR="0056680B" w:rsidRPr="000C18E7">
        <w:rPr>
          <w:rFonts w:ascii="Times New Roman" w:hAnsi="Times New Roman" w:cs="Times New Roman"/>
          <w:sz w:val="24"/>
          <w:szCs w:val="24"/>
        </w:rPr>
        <w:t>.</w:t>
      </w:r>
      <w:r w:rsidR="0056680B" w:rsidRPr="00D77890">
        <w:rPr>
          <w:rFonts w:ascii="Times New Roman" w:hAnsi="Times New Roman" w:cs="Times New Roman"/>
          <w:sz w:val="24"/>
          <w:szCs w:val="24"/>
        </w:rPr>
        <w:t xml:space="preserve"> </w:t>
      </w:r>
    </w:p>
    <w:sectPr w:rsidR="00B07C8A" w:rsidRPr="00D77890" w:rsidSect="00806D17">
      <w:headerReference w:type="default" r:id="rId8"/>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28CEA" w14:textId="77777777" w:rsidR="00AF392E" w:rsidRDefault="00AF392E" w:rsidP="007F31F1">
      <w:pPr>
        <w:spacing w:after="0" w:line="240" w:lineRule="auto"/>
      </w:pPr>
      <w:r>
        <w:separator/>
      </w:r>
    </w:p>
  </w:endnote>
  <w:endnote w:type="continuationSeparator" w:id="0">
    <w:p w14:paraId="7267F6BC" w14:textId="77777777" w:rsidR="00AF392E" w:rsidRDefault="00AF392E" w:rsidP="007F3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2EA28" w14:textId="77777777" w:rsidR="00AF392E" w:rsidRDefault="00AF392E" w:rsidP="007F31F1">
      <w:pPr>
        <w:spacing w:after="0" w:line="240" w:lineRule="auto"/>
      </w:pPr>
      <w:r>
        <w:separator/>
      </w:r>
    </w:p>
  </w:footnote>
  <w:footnote w:type="continuationSeparator" w:id="0">
    <w:p w14:paraId="74630841" w14:textId="77777777" w:rsidR="00AF392E" w:rsidRDefault="00AF392E" w:rsidP="007F31F1">
      <w:pPr>
        <w:spacing w:after="0" w:line="240" w:lineRule="auto"/>
      </w:pPr>
      <w:r>
        <w:continuationSeparator/>
      </w:r>
    </w:p>
  </w:footnote>
  <w:footnote w:id="1">
    <w:p w14:paraId="702210D1" w14:textId="6511C0A4" w:rsidR="00341C49" w:rsidRPr="005E0D85" w:rsidRDefault="00341C49" w:rsidP="00806D17">
      <w:pPr>
        <w:spacing w:after="0" w:line="480" w:lineRule="auto"/>
        <w:ind w:firstLine="720"/>
        <w:jc w:val="both"/>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4"/>
          <w:szCs w:val="24"/>
        </w:rPr>
        <w:t xml:space="preserve">King felt that </w:t>
      </w:r>
      <w:r w:rsidRPr="006377B7">
        <w:rPr>
          <w:rFonts w:ascii="Times New Roman" w:hAnsi="Times New Roman" w:cs="Times New Roman"/>
          <w:color w:val="7030A0"/>
          <w:sz w:val="24"/>
          <w:szCs w:val="24"/>
        </w:rPr>
        <w:t>‘</w:t>
      </w:r>
      <w:r w:rsidRPr="000C6CFE">
        <w:rPr>
          <w:rFonts w:ascii="Times New Roman" w:hAnsi="Times New Roman" w:cs="Times New Roman"/>
          <w:sz w:val="24"/>
          <w:szCs w:val="24"/>
        </w:rPr>
        <w:t>the Conservatives not only lost the February 1974 election but suffered one of the most dramatic reversals in British electoral history’ (King, 1985: 99)</w:t>
      </w:r>
    </w:p>
  </w:footnote>
  <w:footnote w:id="2">
    <w:p w14:paraId="68A287B5" w14:textId="54FF10B0" w:rsidR="00341C49" w:rsidRDefault="00341C49" w:rsidP="00806D17">
      <w:pPr>
        <w:pStyle w:val="FootnoteText"/>
        <w:spacing w:line="480" w:lineRule="auto"/>
        <w:ind w:firstLine="720"/>
        <w:jc w:val="both"/>
      </w:pPr>
      <w:r>
        <w:rPr>
          <w:rStyle w:val="FootnoteReference"/>
        </w:rPr>
        <w:footnoteRef/>
      </w:r>
      <w:r>
        <w:t xml:space="preserve"> </w:t>
      </w:r>
      <w:r>
        <w:rPr>
          <w:rFonts w:ascii="Times New Roman" w:hAnsi="Times New Roman" w:cs="Times New Roman"/>
          <w:sz w:val="24"/>
          <w:szCs w:val="24"/>
        </w:rPr>
        <w:t>T</w:t>
      </w:r>
      <w:r w:rsidRPr="000C6CFE">
        <w:rPr>
          <w:rFonts w:ascii="Times New Roman" w:hAnsi="Times New Roman" w:cs="Times New Roman"/>
          <w:sz w:val="24"/>
          <w:szCs w:val="24"/>
        </w:rPr>
        <w:t>he Liberal</w:t>
      </w:r>
      <w:r>
        <w:rPr>
          <w:rFonts w:ascii="Times New Roman" w:hAnsi="Times New Roman" w:cs="Times New Roman"/>
          <w:sz w:val="24"/>
          <w:szCs w:val="24"/>
        </w:rPr>
        <w:t xml:space="preserve"> vote was up from </w:t>
      </w:r>
      <w:r w:rsidRPr="007F68CE">
        <w:rPr>
          <w:rFonts w:ascii="Times New Roman" w:hAnsi="Times New Roman" w:cs="Times New Roman"/>
          <w:sz w:val="24"/>
          <w:szCs w:val="24"/>
        </w:rPr>
        <w:t>2,117,035 votes o</w:t>
      </w:r>
      <w:r>
        <w:rPr>
          <w:rFonts w:ascii="Times New Roman" w:hAnsi="Times New Roman" w:cs="Times New Roman"/>
          <w:sz w:val="24"/>
          <w:szCs w:val="24"/>
        </w:rPr>
        <w:t>r</w:t>
      </w:r>
      <w:r w:rsidRPr="007F68CE">
        <w:rPr>
          <w:rFonts w:ascii="Times New Roman" w:hAnsi="Times New Roman" w:cs="Times New Roman"/>
          <w:sz w:val="24"/>
          <w:szCs w:val="24"/>
        </w:rPr>
        <w:t xml:space="preserve"> 7.5 percent </w:t>
      </w:r>
      <w:r>
        <w:rPr>
          <w:rFonts w:ascii="Times New Roman" w:hAnsi="Times New Roman" w:cs="Times New Roman"/>
          <w:sz w:val="24"/>
          <w:szCs w:val="24"/>
        </w:rPr>
        <w:t>from</w:t>
      </w:r>
      <w:r w:rsidRPr="007F68CE">
        <w:rPr>
          <w:rFonts w:ascii="Times New Roman" w:hAnsi="Times New Roman" w:cs="Times New Roman"/>
          <w:sz w:val="24"/>
          <w:szCs w:val="24"/>
        </w:rPr>
        <w:t xml:space="preserve"> June 1970 to 6,059,519 or 19.3 percent</w:t>
      </w:r>
      <w:r>
        <w:rPr>
          <w:rFonts w:ascii="Times New Roman" w:hAnsi="Times New Roman" w:cs="Times New Roman"/>
          <w:sz w:val="24"/>
          <w:szCs w:val="24"/>
        </w:rPr>
        <w:t xml:space="preserve"> (Butler and Kavanagh, 1974). </w:t>
      </w:r>
    </w:p>
  </w:footnote>
  <w:footnote w:id="3">
    <w:p w14:paraId="20F19895" w14:textId="4D340296" w:rsidR="00341C49" w:rsidRPr="00C81832" w:rsidRDefault="00341C49" w:rsidP="00806D17">
      <w:pPr>
        <w:spacing w:after="0" w:line="480" w:lineRule="auto"/>
        <w:ind w:firstLine="720"/>
        <w:jc w:val="both"/>
        <w:rPr>
          <w:rFonts w:ascii="Times New Roman" w:eastAsia="SimSun" w:hAnsi="Times New Roman" w:cs="Times New Roman"/>
          <w:sz w:val="24"/>
          <w:szCs w:val="24"/>
          <w:lang w:eastAsia="zh-CN"/>
        </w:rPr>
      </w:pPr>
      <w:r>
        <w:rPr>
          <w:rStyle w:val="FootnoteReference"/>
        </w:rPr>
        <w:footnoteRef/>
      </w:r>
      <w:r>
        <w:t xml:space="preserve"> </w:t>
      </w:r>
      <w:r>
        <w:rPr>
          <w:rFonts w:ascii="Times New Roman" w:eastAsia="SimSun" w:hAnsi="Times New Roman" w:cs="Times New Roman"/>
          <w:color w:val="000000"/>
          <w:sz w:val="24"/>
          <w:szCs w:val="24"/>
          <w:lang w:eastAsia="zh-CN"/>
        </w:rPr>
        <w:t xml:space="preserve">Bogdanor argued that it ‘was at this point that her hostility to Heath as a traitor to Conservatism crystallised’, as Heath was ‘prepared to sacrifice any chance of the Conservatives ever again achieving an overall </w:t>
      </w:r>
      <w:r w:rsidRPr="008F390D">
        <w:rPr>
          <w:rFonts w:ascii="Times New Roman" w:eastAsia="SimSun" w:hAnsi="Times New Roman" w:cs="Times New Roman"/>
          <w:color w:val="000000"/>
          <w:sz w:val="24"/>
          <w:szCs w:val="24"/>
          <w:lang w:eastAsia="zh-CN"/>
        </w:rPr>
        <w:t xml:space="preserve">majority on their own for the mere temporary renewal of power’ </w:t>
      </w:r>
      <w:r w:rsidRPr="008F390D">
        <w:rPr>
          <w:rFonts w:ascii="Times New Roman" w:eastAsia="SimSun" w:hAnsi="Times New Roman" w:cs="Times New Roman"/>
          <w:sz w:val="24"/>
          <w:szCs w:val="24"/>
          <w:lang w:eastAsia="zh-CN"/>
        </w:rPr>
        <w:t>(Bogdanor 1996: 373).</w:t>
      </w:r>
      <w:r w:rsidRPr="00502096">
        <w:rPr>
          <w:rFonts w:ascii="Times New Roman" w:eastAsia="SimSun" w:hAnsi="Times New Roman" w:cs="Times New Roman"/>
          <w:sz w:val="24"/>
          <w:szCs w:val="24"/>
          <w:lang w:eastAsia="zh-CN"/>
        </w:rPr>
        <w:t xml:space="preserve"> </w:t>
      </w:r>
    </w:p>
  </w:footnote>
  <w:footnote w:id="4">
    <w:p w14:paraId="10A614C6" w14:textId="2205A267" w:rsidR="00C81832" w:rsidRPr="00C81832" w:rsidRDefault="00C81832" w:rsidP="00C81832">
      <w:pPr>
        <w:pStyle w:val="FootnoteText"/>
        <w:ind w:firstLine="720"/>
        <w:jc w:val="both"/>
        <w:rPr>
          <w:rFonts w:ascii="Times New Roman" w:hAnsi="Times New Roman" w:cs="Times New Roman"/>
          <w:sz w:val="24"/>
          <w:szCs w:val="24"/>
        </w:rPr>
      </w:pPr>
      <w:r w:rsidRPr="00A43026">
        <w:rPr>
          <w:rStyle w:val="FootnoteReference"/>
          <w:rFonts w:ascii="Times New Roman" w:hAnsi="Times New Roman" w:cs="Times New Roman"/>
          <w:sz w:val="24"/>
          <w:szCs w:val="24"/>
        </w:rPr>
        <w:footnoteRef/>
      </w:r>
      <w:r w:rsidRPr="00A43026">
        <w:rPr>
          <w:rFonts w:ascii="Times New Roman" w:hAnsi="Times New Roman" w:cs="Times New Roman"/>
          <w:sz w:val="24"/>
          <w:szCs w:val="24"/>
        </w:rPr>
        <w:t xml:space="preserve"> Prior recalls that had Heath attempted to pursue this further the Conservative Party would have ‘split’ (Prior, 1986: 95).</w:t>
      </w:r>
      <w:r w:rsidRPr="00C81832">
        <w:rPr>
          <w:rFonts w:ascii="Times New Roman" w:hAnsi="Times New Roman" w:cs="Times New Roman"/>
          <w:sz w:val="24"/>
          <w:szCs w:val="24"/>
        </w:rPr>
        <w:t xml:space="preserve"> </w:t>
      </w:r>
    </w:p>
  </w:footnote>
  <w:footnote w:id="5">
    <w:p w14:paraId="48317747" w14:textId="37C483C2" w:rsidR="00E8104C" w:rsidRDefault="00E8104C" w:rsidP="00806D17">
      <w:pPr>
        <w:spacing w:after="0" w:line="480" w:lineRule="auto"/>
        <w:ind w:firstLine="720"/>
        <w:jc w:val="both"/>
        <w:rPr>
          <w:rFonts w:ascii="Times New Roman" w:hAnsi="Times New Roman" w:cs="Times New Roman"/>
          <w:sz w:val="24"/>
          <w:szCs w:val="24"/>
        </w:rPr>
      </w:pPr>
      <w:r>
        <w:rPr>
          <w:rStyle w:val="FootnoteReference"/>
        </w:rPr>
        <w:footnoteRef/>
      </w:r>
      <w:r>
        <w:t xml:space="preserve"> </w:t>
      </w:r>
      <w:r w:rsidRPr="004C16AB">
        <w:rPr>
          <w:rFonts w:ascii="Times New Roman" w:hAnsi="Times New Roman" w:cs="Times New Roman"/>
          <w:sz w:val="24"/>
          <w:szCs w:val="24"/>
        </w:rPr>
        <w:t>An example of this would be the seat of Lewisham West. The Conservatives had lost this seat at the General Election of February 19</w:t>
      </w:r>
      <w:r w:rsidR="00DC4BCF">
        <w:rPr>
          <w:rFonts w:ascii="Times New Roman" w:hAnsi="Times New Roman" w:cs="Times New Roman"/>
          <w:sz w:val="24"/>
          <w:szCs w:val="24"/>
        </w:rPr>
        <w:t xml:space="preserve">74 with 18,716 votes compared to Labour’s 21,118 votes. The </w:t>
      </w:r>
      <w:r w:rsidRPr="004C16AB">
        <w:rPr>
          <w:rFonts w:ascii="Times New Roman" w:hAnsi="Times New Roman" w:cs="Times New Roman"/>
          <w:sz w:val="24"/>
          <w:szCs w:val="24"/>
        </w:rPr>
        <w:t>Liberals had come third on 7,974 votes. The electoral pact suggested would assume that if the Liberals did not stand then enough of the freed up Liberal vote would transfer across to the Conservatives for them to regain the constituency (i.e. the combined Conservative and Liberal vote would take them to 26,690 votes). However, if the Liberal vote fragmented with 60 percent of them breaking for the Conservatives (i.e. 4</w:t>
      </w:r>
      <w:r w:rsidR="00DC4BCF">
        <w:rPr>
          <w:rFonts w:ascii="Times New Roman" w:hAnsi="Times New Roman" w:cs="Times New Roman"/>
          <w:sz w:val="24"/>
          <w:szCs w:val="24"/>
        </w:rPr>
        <w:t>,</w:t>
      </w:r>
      <w:r w:rsidRPr="004C16AB">
        <w:rPr>
          <w:rFonts w:ascii="Times New Roman" w:hAnsi="Times New Roman" w:cs="Times New Roman"/>
          <w:sz w:val="24"/>
          <w:szCs w:val="24"/>
        </w:rPr>
        <w:t>784) and 40 percent of them for Labour (i.e. 3</w:t>
      </w:r>
      <w:r w:rsidR="00DC4BCF">
        <w:rPr>
          <w:rFonts w:ascii="Times New Roman" w:hAnsi="Times New Roman" w:cs="Times New Roman"/>
          <w:sz w:val="24"/>
          <w:szCs w:val="24"/>
        </w:rPr>
        <w:t>,</w:t>
      </w:r>
      <w:r w:rsidRPr="004C16AB">
        <w:rPr>
          <w:rFonts w:ascii="Times New Roman" w:hAnsi="Times New Roman" w:cs="Times New Roman"/>
          <w:sz w:val="24"/>
          <w:szCs w:val="24"/>
        </w:rPr>
        <w:t xml:space="preserve">189) then the pact would fail, with Labour winning the constituency with 24,307 votes to the Conservatives on 23,500 votes. </w:t>
      </w:r>
      <w:r>
        <w:rPr>
          <w:rFonts w:ascii="Times New Roman" w:hAnsi="Times New Roman" w:cs="Times New Roman"/>
          <w:sz w:val="24"/>
          <w:szCs w:val="24"/>
        </w:rPr>
        <w:t xml:space="preserve">In the General Election of October 1974 both the Liberal and Conservatives stood and both saw their vote shrink – the Conservatives down to 15,573 from 18,716 votes and the Liberals down to 5,952 from </w:t>
      </w:r>
      <w:r w:rsidRPr="008F390D">
        <w:rPr>
          <w:rFonts w:ascii="Times New Roman" w:hAnsi="Times New Roman" w:cs="Times New Roman"/>
          <w:sz w:val="24"/>
          <w:szCs w:val="24"/>
        </w:rPr>
        <w:t>7,974 votes, whilst the Labour vote was stable, down from 21,118 to 21,102 (Butler and Kavanagh, 1974, 1975).</w:t>
      </w:r>
      <w:r>
        <w:rPr>
          <w:rFonts w:ascii="Times New Roman" w:hAnsi="Times New Roman" w:cs="Times New Roman"/>
          <w:sz w:val="24"/>
          <w:szCs w:val="24"/>
        </w:rPr>
        <w:t xml:space="preserve"> </w:t>
      </w:r>
    </w:p>
    <w:p w14:paraId="15504A33" w14:textId="2CB9B483" w:rsidR="00E8104C" w:rsidRDefault="00E8104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B43E8" w14:textId="7F303AE7" w:rsidR="00341C49" w:rsidRDefault="00341C49">
    <w:pPr>
      <w:pStyle w:val="Header"/>
      <w:jc w:val="right"/>
    </w:pPr>
  </w:p>
  <w:p w14:paraId="4DD639FD" w14:textId="77777777" w:rsidR="00341C49" w:rsidRDefault="00341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A40B4"/>
    <w:multiLevelType w:val="hybridMultilevel"/>
    <w:tmpl w:val="C1FEA2FE"/>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 w15:restartNumberingAfterBreak="0">
    <w:nsid w:val="19D11846"/>
    <w:multiLevelType w:val="hybridMultilevel"/>
    <w:tmpl w:val="FE00D9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1F6D38"/>
    <w:multiLevelType w:val="hybridMultilevel"/>
    <w:tmpl w:val="3A7283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681365B"/>
    <w:multiLevelType w:val="multilevel"/>
    <w:tmpl w:val="EF0E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F91C40"/>
    <w:multiLevelType w:val="hybridMultilevel"/>
    <w:tmpl w:val="F4167C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167149E"/>
    <w:multiLevelType w:val="hybridMultilevel"/>
    <w:tmpl w:val="25AC7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680084"/>
    <w:multiLevelType w:val="hybridMultilevel"/>
    <w:tmpl w:val="07BC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8C1304"/>
    <w:multiLevelType w:val="hybridMultilevel"/>
    <w:tmpl w:val="5AEC835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abstractNumId w:val="1"/>
  </w:num>
  <w:num w:numId="2">
    <w:abstractNumId w:val="2"/>
  </w:num>
  <w:num w:numId="3">
    <w:abstractNumId w:val="3"/>
  </w:num>
  <w:num w:numId="4">
    <w:abstractNumId w:val="6"/>
  </w:num>
  <w:num w:numId="5">
    <w:abstractNumId w:val="4"/>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643"/>
    <w:rsid w:val="00001C81"/>
    <w:rsid w:val="00011147"/>
    <w:rsid w:val="000117BF"/>
    <w:rsid w:val="00030182"/>
    <w:rsid w:val="000419E4"/>
    <w:rsid w:val="00041EA1"/>
    <w:rsid w:val="00042C22"/>
    <w:rsid w:val="000447E3"/>
    <w:rsid w:val="00061DFA"/>
    <w:rsid w:val="0006372D"/>
    <w:rsid w:val="00073788"/>
    <w:rsid w:val="00074A8A"/>
    <w:rsid w:val="00075014"/>
    <w:rsid w:val="00076CD8"/>
    <w:rsid w:val="00081857"/>
    <w:rsid w:val="00082AAE"/>
    <w:rsid w:val="000934DA"/>
    <w:rsid w:val="0009755F"/>
    <w:rsid w:val="00097F6C"/>
    <w:rsid w:val="000B1DE4"/>
    <w:rsid w:val="000B3529"/>
    <w:rsid w:val="000B3DB0"/>
    <w:rsid w:val="000B7ABC"/>
    <w:rsid w:val="000C1395"/>
    <w:rsid w:val="000C18E7"/>
    <w:rsid w:val="000C4DA9"/>
    <w:rsid w:val="000C6CFE"/>
    <w:rsid w:val="000C7AC4"/>
    <w:rsid w:val="000D0F40"/>
    <w:rsid w:val="000D1869"/>
    <w:rsid w:val="000E3F2B"/>
    <w:rsid w:val="000E6B15"/>
    <w:rsid w:val="000F65DE"/>
    <w:rsid w:val="0010601C"/>
    <w:rsid w:val="00112868"/>
    <w:rsid w:val="00122E3F"/>
    <w:rsid w:val="001250E7"/>
    <w:rsid w:val="00131349"/>
    <w:rsid w:val="001358DB"/>
    <w:rsid w:val="0013742D"/>
    <w:rsid w:val="001404A4"/>
    <w:rsid w:val="001421B4"/>
    <w:rsid w:val="00144059"/>
    <w:rsid w:val="001558B2"/>
    <w:rsid w:val="00157847"/>
    <w:rsid w:val="001677E2"/>
    <w:rsid w:val="00170CA3"/>
    <w:rsid w:val="001747E7"/>
    <w:rsid w:val="00183D9A"/>
    <w:rsid w:val="00185F00"/>
    <w:rsid w:val="00186A4F"/>
    <w:rsid w:val="001928BD"/>
    <w:rsid w:val="001964AC"/>
    <w:rsid w:val="001C1958"/>
    <w:rsid w:val="001C5FF5"/>
    <w:rsid w:val="001C745B"/>
    <w:rsid w:val="001D3B83"/>
    <w:rsid w:val="001E3355"/>
    <w:rsid w:val="001E55F2"/>
    <w:rsid w:val="001F0423"/>
    <w:rsid w:val="001F2426"/>
    <w:rsid w:val="001F6030"/>
    <w:rsid w:val="00216318"/>
    <w:rsid w:val="00223D34"/>
    <w:rsid w:val="002242B0"/>
    <w:rsid w:val="00227705"/>
    <w:rsid w:val="0023514A"/>
    <w:rsid w:val="00246501"/>
    <w:rsid w:val="002476B8"/>
    <w:rsid w:val="00250B56"/>
    <w:rsid w:val="00250D75"/>
    <w:rsid w:val="00260DEC"/>
    <w:rsid w:val="00263823"/>
    <w:rsid w:val="00266BFE"/>
    <w:rsid w:val="0027175F"/>
    <w:rsid w:val="00271B4E"/>
    <w:rsid w:val="00276B51"/>
    <w:rsid w:val="00280CEC"/>
    <w:rsid w:val="0028613A"/>
    <w:rsid w:val="0028734D"/>
    <w:rsid w:val="002A4DAA"/>
    <w:rsid w:val="002A5A1D"/>
    <w:rsid w:val="002C1C13"/>
    <w:rsid w:val="002C37D9"/>
    <w:rsid w:val="002C4097"/>
    <w:rsid w:val="002C57C1"/>
    <w:rsid w:val="002D0100"/>
    <w:rsid w:val="002D5DED"/>
    <w:rsid w:val="002D77D3"/>
    <w:rsid w:val="002E3B97"/>
    <w:rsid w:val="002E79B7"/>
    <w:rsid w:val="002F2101"/>
    <w:rsid w:val="00302663"/>
    <w:rsid w:val="00302695"/>
    <w:rsid w:val="00304881"/>
    <w:rsid w:val="003173D8"/>
    <w:rsid w:val="00322841"/>
    <w:rsid w:val="00323F4D"/>
    <w:rsid w:val="0033267F"/>
    <w:rsid w:val="003365DC"/>
    <w:rsid w:val="00336650"/>
    <w:rsid w:val="00340A71"/>
    <w:rsid w:val="00341C49"/>
    <w:rsid w:val="00361E3B"/>
    <w:rsid w:val="00362BDE"/>
    <w:rsid w:val="00363444"/>
    <w:rsid w:val="003640F2"/>
    <w:rsid w:val="0037764F"/>
    <w:rsid w:val="00381187"/>
    <w:rsid w:val="0038205E"/>
    <w:rsid w:val="0038564F"/>
    <w:rsid w:val="003A4A15"/>
    <w:rsid w:val="003B5179"/>
    <w:rsid w:val="003C4BEF"/>
    <w:rsid w:val="003D2D58"/>
    <w:rsid w:val="003E00A3"/>
    <w:rsid w:val="003E2774"/>
    <w:rsid w:val="003E45E3"/>
    <w:rsid w:val="003E6F66"/>
    <w:rsid w:val="003F3033"/>
    <w:rsid w:val="003F3DF8"/>
    <w:rsid w:val="003F42B1"/>
    <w:rsid w:val="003F7573"/>
    <w:rsid w:val="003F7EC3"/>
    <w:rsid w:val="00403218"/>
    <w:rsid w:val="00406750"/>
    <w:rsid w:val="00407B5A"/>
    <w:rsid w:val="0041600C"/>
    <w:rsid w:val="0042230A"/>
    <w:rsid w:val="00436997"/>
    <w:rsid w:val="004426CC"/>
    <w:rsid w:val="004515C9"/>
    <w:rsid w:val="0045257F"/>
    <w:rsid w:val="00452DA6"/>
    <w:rsid w:val="00455E9D"/>
    <w:rsid w:val="0046336B"/>
    <w:rsid w:val="004665AC"/>
    <w:rsid w:val="004742C8"/>
    <w:rsid w:val="00476D95"/>
    <w:rsid w:val="004808C7"/>
    <w:rsid w:val="0048248F"/>
    <w:rsid w:val="00486CE2"/>
    <w:rsid w:val="00492091"/>
    <w:rsid w:val="00493C72"/>
    <w:rsid w:val="00493F19"/>
    <w:rsid w:val="00497D5B"/>
    <w:rsid w:val="004A24AB"/>
    <w:rsid w:val="004A61C4"/>
    <w:rsid w:val="004A6547"/>
    <w:rsid w:val="004A6A4D"/>
    <w:rsid w:val="004B0287"/>
    <w:rsid w:val="004B089F"/>
    <w:rsid w:val="004B2479"/>
    <w:rsid w:val="004C16AB"/>
    <w:rsid w:val="004E1D5A"/>
    <w:rsid w:val="004E7F26"/>
    <w:rsid w:val="00500941"/>
    <w:rsid w:val="00502096"/>
    <w:rsid w:val="00503785"/>
    <w:rsid w:val="005053D8"/>
    <w:rsid w:val="005123C1"/>
    <w:rsid w:val="005143A1"/>
    <w:rsid w:val="00522AF5"/>
    <w:rsid w:val="005339D1"/>
    <w:rsid w:val="00542184"/>
    <w:rsid w:val="0054476D"/>
    <w:rsid w:val="00547EB3"/>
    <w:rsid w:val="00552AC1"/>
    <w:rsid w:val="00560667"/>
    <w:rsid w:val="005636E2"/>
    <w:rsid w:val="00564971"/>
    <w:rsid w:val="00564F4D"/>
    <w:rsid w:val="00565165"/>
    <w:rsid w:val="00565E6C"/>
    <w:rsid w:val="0056680B"/>
    <w:rsid w:val="005737A7"/>
    <w:rsid w:val="005763D1"/>
    <w:rsid w:val="005812E0"/>
    <w:rsid w:val="00583905"/>
    <w:rsid w:val="0058770A"/>
    <w:rsid w:val="00594C41"/>
    <w:rsid w:val="005A240D"/>
    <w:rsid w:val="005A67D0"/>
    <w:rsid w:val="005A7491"/>
    <w:rsid w:val="005C08B2"/>
    <w:rsid w:val="005C5767"/>
    <w:rsid w:val="005D1900"/>
    <w:rsid w:val="005D3E29"/>
    <w:rsid w:val="005E0D85"/>
    <w:rsid w:val="005E2165"/>
    <w:rsid w:val="005E4475"/>
    <w:rsid w:val="005F0CD5"/>
    <w:rsid w:val="005F3244"/>
    <w:rsid w:val="005F3643"/>
    <w:rsid w:val="005F59FF"/>
    <w:rsid w:val="0060345A"/>
    <w:rsid w:val="00610963"/>
    <w:rsid w:val="00624582"/>
    <w:rsid w:val="00626D11"/>
    <w:rsid w:val="00632ABD"/>
    <w:rsid w:val="00636BB8"/>
    <w:rsid w:val="006377B7"/>
    <w:rsid w:val="00642FA4"/>
    <w:rsid w:val="0064348D"/>
    <w:rsid w:val="0064797E"/>
    <w:rsid w:val="00647DC9"/>
    <w:rsid w:val="006518B4"/>
    <w:rsid w:val="006525FD"/>
    <w:rsid w:val="0065572B"/>
    <w:rsid w:val="00656FBC"/>
    <w:rsid w:val="00657229"/>
    <w:rsid w:val="00673E1B"/>
    <w:rsid w:val="00681437"/>
    <w:rsid w:val="0068291B"/>
    <w:rsid w:val="006834E2"/>
    <w:rsid w:val="006869BE"/>
    <w:rsid w:val="006A5639"/>
    <w:rsid w:val="006B6859"/>
    <w:rsid w:val="006B7A78"/>
    <w:rsid w:val="006C3033"/>
    <w:rsid w:val="006D2AB7"/>
    <w:rsid w:val="006D4337"/>
    <w:rsid w:val="006E0A59"/>
    <w:rsid w:val="006E461A"/>
    <w:rsid w:val="006F763B"/>
    <w:rsid w:val="00705B1D"/>
    <w:rsid w:val="00711E30"/>
    <w:rsid w:val="00720CA9"/>
    <w:rsid w:val="00720E8A"/>
    <w:rsid w:val="007211FC"/>
    <w:rsid w:val="00721FC5"/>
    <w:rsid w:val="007279F4"/>
    <w:rsid w:val="0073069B"/>
    <w:rsid w:val="00734478"/>
    <w:rsid w:val="0074231C"/>
    <w:rsid w:val="007441A3"/>
    <w:rsid w:val="00756D21"/>
    <w:rsid w:val="007610D6"/>
    <w:rsid w:val="00763CC0"/>
    <w:rsid w:val="00767C1D"/>
    <w:rsid w:val="007759C6"/>
    <w:rsid w:val="0078051C"/>
    <w:rsid w:val="007846F0"/>
    <w:rsid w:val="00785A1A"/>
    <w:rsid w:val="00787377"/>
    <w:rsid w:val="0079309B"/>
    <w:rsid w:val="00796507"/>
    <w:rsid w:val="007A161E"/>
    <w:rsid w:val="007B557D"/>
    <w:rsid w:val="007C2174"/>
    <w:rsid w:val="007C58AB"/>
    <w:rsid w:val="007E34C5"/>
    <w:rsid w:val="007E438C"/>
    <w:rsid w:val="007F0B30"/>
    <w:rsid w:val="007F31F1"/>
    <w:rsid w:val="00805534"/>
    <w:rsid w:val="00806D17"/>
    <w:rsid w:val="008124DB"/>
    <w:rsid w:val="008127E5"/>
    <w:rsid w:val="00814BB5"/>
    <w:rsid w:val="00816171"/>
    <w:rsid w:val="00821F67"/>
    <w:rsid w:val="008227FD"/>
    <w:rsid w:val="00822DFA"/>
    <w:rsid w:val="00823F60"/>
    <w:rsid w:val="00825C5A"/>
    <w:rsid w:val="00830300"/>
    <w:rsid w:val="00830710"/>
    <w:rsid w:val="00832F83"/>
    <w:rsid w:val="008429DE"/>
    <w:rsid w:val="0084377F"/>
    <w:rsid w:val="0084446B"/>
    <w:rsid w:val="00851C63"/>
    <w:rsid w:val="00855781"/>
    <w:rsid w:val="008607D3"/>
    <w:rsid w:val="00860F34"/>
    <w:rsid w:val="008622ED"/>
    <w:rsid w:val="008628C5"/>
    <w:rsid w:val="00863862"/>
    <w:rsid w:val="00865C7F"/>
    <w:rsid w:val="00870F3C"/>
    <w:rsid w:val="008729FD"/>
    <w:rsid w:val="00873537"/>
    <w:rsid w:val="00873BA2"/>
    <w:rsid w:val="008844F5"/>
    <w:rsid w:val="008873F9"/>
    <w:rsid w:val="00894EB9"/>
    <w:rsid w:val="00897BD6"/>
    <w:rsid w:val="008A1ADC"/>
    <w:rsid w:val="008A2832"/>
    <w:rsid w:val="008B1B21"/>
    <w:rsid w:val="008B2265"/>
    <w:rsid w:val="008C1E2D"/>
    <w:rsid w:val="008C549D"/>
    <w:rsid w:val="008D0C4E"/>
    <w:rsid w:val="008D3956"/>
    <w:rsid w:val="008D4BD1"/>
    <w:rsid w:val="008D4E8B"/>
    <w:rsid w:val="008F0012"/>
    <w:rsid w:val="008F390D"/>
    <w:rsid w:val="008F3B17"/>
    <w:rsid w:val="008F4928"/>
    <w:rsid w:val="008F4C1D"/>
    <w:rsid w:val="008F7DAC"/>
    <w:rsid w:val="0090486F"/>
    <w:rsid w:val="00904CF1"/>
    <w:rsid w:val="009172D8"/>
    <w:rsid w:val="009179D6"/>
    <w:rsid w:val="009274FF"/>
    <w:rsid w:val="009316F0"/>
    <w:rsid w:val="00933555"/>
    <w:rsid w:val="00944F91"/>
    <w:rsid w:val="009459B9"/>
    <w:rsid w:val="00951E2D"/>
    <w:rsid w:val="0095225F"/>
    <w:rsid w:val="00952698"/>
    <w:rsid w:val="00954A55"/>
    <w:rsid w:val="00957AF5"/>
    <w:rsid w:val="0096378D"/>
    <w:rsid w:val="00970976"/>
    <w:rsid w:val="00977F87"/>
    <w:rsid w:val="00992F64"/>
    <w:rsid w:val="009A69A6"/>
    <w:rsid w:val="009A7962"/>
    <w:rsid w:val="009B4022"/>
    <w:rsid w:val="009C3D11"/>
    <w:rsid w:val="009C47CE"/>
    <w:rsid w:val="009C62BD"/>
    <w:rsid w:val="009D542B"/>
    <w:rsid w:val="009E0A6D"/>
    <w:rsid w:val="009F2DD2"/>
    <w:rsid w:val="00A05820"/>
    <w:rsid w:val="00A14BC0"/>
    <w:rsid w:val="00A15558"/>
    <w:rsid w:val="00A16D0D"/>
    <w:rsid w:val="00A16D84"/>
    <w:rsid w:val="00A37445"/>
    <w:rsid w:val="00A43026"/>
    <w:rsid w:val="00A50275"/>
    <w:rsid w:val="00A510D2"/>
    <w:rsid w:val="00A51919"/>
    <w:rsid w:val="00A5729E"/>
    <w:rsid w:val="00A60870"/>
    <w:rsid w:val="00A61523"/>
    <w:rsid w:val="00A72C9C"/>
    <w:rsid w:val="00A845F0"/>
    <w:rsid w:val="00A85E1C"/>
    <w:rsid w:val="00A86CB0"/>
    <w:rsid w:val="00A95330"/>
    <w:rsid w:val="00A967D5"/>
    <w:rsid w:val="00A96D98"/>
    <w:rsid w:val="00A96DC1"/>
    <w:rsid w:val="00AA5097"/>
    <w:rsid w:val="00AB0C03"/>
    <w:rsid w:val="00AB2419"/>
    <w:rsid w:val="00AB3AB5"/>
    <w:rsid w:val="00AC17D0"/>
    <w:rsid w:val="00AC33C1"/>
    <w:rsid w:val="00AC43F4"/>
    <w:rsid w:val="00AD00C4"/>
    <w:rsid w:val="00AD7893"/>
    <w:rsid w:val="00AE09F3"/>
    <w:rsid w:val="00AE204B"/>
    <w:rsid w:val="00AE4EEF"/>
    <w:rsid w:val="00AE67C9"/>
    <w:rsid w:val="00AE6C05"/>
    <w:rsid w:val="00AF2CAD"/>
    <w:rsid w:val="00AF392E"/>
    <w:rsid w:val="00B02E54"/>
    <w:rsid w:val="00B03256"/>
    <w:rsid w:val="00B03B14"/>
    <w:rsid w:val="00B04511"/>
    <w:rsid w:val="00B0765B"/>
    <w:rsid w:val="00B07C8A"/>
    <w:rsid w:val="00B114BE"/>
    <w:rsid w:val="00B163AF"/>
    <w:rsid w:val="00B17524"/>
    <w:rsid w:val="00B415F0"/>
    <w:rsid w:val="00B4247D"/>
    <w:rsid w:val="00B6162E"/>
    <w:rsid w:val="00B620DB"/>
    <w:rsid w:val="00B63820"/>
    <w:rsid w:val="00B655D8"/>
    <w:rsid w:val="00B67A66"/>
    <w:rsid w:val="00B74C7F"/>
    <w:rsid w:val="00B74FB1"/>
    <w:rsid w:val="00B77C48"/>
    <w:rsid w:val="00B8522A"/>
    <w:rsid w:val="00BA74BD"/>
    <w:rsid w:val="00BB4B7B"/>
    <w:rsid w:val="00BC227A"/>
    <w:rsid w:val="00BC53BC"/>
    <w:rsid w:val="00BC7D66"/>
    <w:rsid w:val="00BD117C"/>
    <w:rsid w:val="00BD59AC"/>
    <w:rsid w:val="00BE0CCC"/>
    <w:rsid w:val="00BE51DE"/>
    <w:rsid w:val="00BE6097"/>
    <w:rsid w:val="00BF7ECF"/>
    <w:rsid w:val="00C13F24"/>
    <w:rsid w:val="00C230FC"/>
    <w:rsid w:val="00C3132F"/>
    <w:rsid w:val="00C3210D"/>
    <w:rsid w:val="00C3578B"/>
    <w:rsid w:val="00C4197D"/>
    <w:rsid w:val="00C50B2F"/>
    <w:rsid w:val="00C579D0"/>
    <w:rsid w:val="00C6127B"/>
    <w:rsid w:val="00C61834"/>
    <w:rsid w:val="00C64A75"/>
    <w:rsid w:val="00C72FF6"/>
    <w:rsid w:val="00C81832"/>
    <w:rsid w:val="00C823BE"/>
    <w:rsid w:val="00C843BB"/>
    <w:rsid w:val="00C869BE"/>
    <w:rsid w:val="00C87F1D"/>
    <w:rsid w:val="00C90385"/>
    <w:rsid w:val="00C95E35"/>
    <w:rsid w:val="00C9722F"/>
    <w:rsid w:val="00CA2A23"/>
    <w:rsid w:val="00CA2B53"/>
    <w:rsid w:val="00CA40E6"/>
    <w:rsid w:val="00CB0A7A"/>
    <w:rsid w:val="00CB0D71"/>
    <w:rsid w:val="00CB2ADD"/>
    <w:rsid w:val="00CB4314"/>
    <w:rsid w:val="00CB6694"/>
    <w:rsid w:val="00CC1D02"/>
    <w:rsid w:val="00CC4F9C"/>
    <w:rsid w:val="00CC7B21"/>
    <w:rsid w:val="00CD3C32"/>
    <w:rsid w:val="00CD4068"/>
    <w:rsid w:val="00CE6840"/>
    <w:rsid w:val="00CF0D95"/>
    <w:rsid w:val="00CF2D1F"/>
    <w:rsid w:val="00D0044C"/>
    <w:rsid w:val="00D0248C"/>
    <w:rsid w:val="00D02D02"/>
    <w:rsid w:val="00D154B2"/>
    <w:rsid w:val="00D4155A"/>
    <w:rsid w:val="00D4211A"/>
    <w:rsid w:val="00D52675"/>
    <w:rsid w:val="00D52F66"/>
    <w:rsid w:val="00D57F22"/>
    <w:rsid w:val="00D61A09"/>
    <w:rsid w:val="00D74B42"/>
    <w:rsid w:val="00D76DD7"/>
    <w:rsid w:val="00D77890"/>
    <w:rsid w:val="00D8147D"/>
    <w:rsid w:val="00D81FDF"/>
    <w:rsid w:val="00D870BB"/>
    <w:rsid w:val="00D93171"/>
    <w:rsid w:val="00D97E5A"/>
    <w:rsid w:val="00DA317C"/>
    <w:rsid w:val="00DC2C5F"/>
    <w:rsid w:val="00DC3488"/>
    <w:rsid w:val="00DC4A06"/>
    <w:rsid w:val="00DC4BCF"/>
    <w:rsid w:val="00DC79EF"/>
    <w:rsid w:val="00DD2331"/>
    <w:rsid w:val="00DD360C"/>
    <w:rsid w:val="00DD39F9"/>
    <w:rsid w:val="00DD4584"/>
    <w:rsid w:val="00DD469C"/>
    <w:rsid w:val="00DE2A86"/>
    <w:rsid w:val="00DE4BAF"/>
    <w:rsid w:val="00DE6438"/>
    <w:rsid w:val="00DF591F"/>
    <w:rsid w:val="00E00CE1"/>
    <w:rsid w:val="00E12404"/>
    <w:rsid w:val="00E178D4"/>
    <w:rsid w:val="00E25004"/>
    <w:rsid w:val="00E3725D"/>
    <w:rsid w:val="00E4189D"/>
    <w:rsid w:val="00E42791"/>
    <w:rsid w:val="00E474C7"/>
    <w:rsid w:val="00E47FE6"/>
    <w:rsid w:val="00E520B6"/>
    <w:rsid w:val="00E52EC6"/>
    <w:rsid w:val="00E53010"/>
    <w:rsid w:val="00E74E97"/>
    <w:rsid w:val="00E75E3D"/>
    <w:rsid w:val="00E809BC"/>
    <w:rsid w:val="00E8104C"/>
    <w:rsid w:val="00E90DA9"/>
    <w:rsid w:val="00E93276"/>
    <w:rsid w:val="00E93C40"/>
    <w:rsid w:val="00E941E7"/>
    <w:rsid w:val="00E9575F"/>
    <w:rsid w:val="00EA4DCD"/>
    <w:rsid w:val="00EA7D4F"/>
    <w:rsid w:val="00EB59AF"/>
    <w:rsid w:val="00EB69E0"/>
    <w:rsid w:val="00EC125B"/>
    <w:rsid w:val="00EC218B"/>
    <w:rsid w:val="00EC5074"/>
    <w:rsid w:val="00EE768F"/>
    <w:rsid w:val="00EF72E4"/>
    <w:rsid w:val="00EF7F2C"/>
    <w:rsid w:val="00F033D3"/>
    <w:rsid w:val="00F10C0C"/>
    <w:rsid w:val="00F10CA5"/>
    <w:rsid w:val="00F14E07"/>
    <w:rsid w:val="00F15BC7"/>
    <w:rsid w:val="00F16592"/>
    <w:rsid w:val="00F317C5"/>
    <w:rsid w:val="00F32527"/>
    <w:rsid w:val="00F341C7"/>
    <w:rsid w:val="00F3746B"/>
    <w:rsid w:val="00F37806"/>
    <w:rsid w:val="00F4125D"/>
    <w:rsid w:val="00F41868"/>
    <w:rsid w:val="00F41B1A"/>
    <w:rsid w:val="00F45D55"/>
    <w:rsid w:val="00F51612"/>
    <w:rsid w:val="00F53EDF"/>
    <w:rsid w:val="00F55928"/>
    <w:rsid w:val="00F71783"/>
    <w:rsid w:val="00F73203"/>
    <w:rsid w:val="00F7595C"/>
    <w:rsid w:val="00F8525C"/>
    <w:rsid w:val="00F87752"/>
    <w:rsid w:val="00F92965"/>
    <w:rsid w:val="00F931EE"/>
    <w:rsid w:val="00F95655"/>
    <w:rsid w:val="00F959E6"/>
    <w:rsid w:val="00FA55E9"/>
    <w:rsid w:val="00FC6969"/>
    <w:rsid w:val="00FD1445"/>
    <w:rsid w:val="00FD16EB"/>
    <w:rsid w:val="00FD44D5"/>
    <w:rsid w:val="00FD52CC"/>
    <w:rsid w:val="00FD7422"/>
    <w:rsid w:val="00FE09D1"/>
    <w:rsid w:val="00FE0C0A"/>
    <w:rsid w:val="00FE1153"/>
    <w:rsid w:val="00FE4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CC068"/>
  <w15:chartTrackingRefBased/>
  <w15:docId w15:val="{4C41869A-4A8D-4249-9784-CB5D23C2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72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F31F1"/>
    <w:pPr>
      <w:spacing w:after="0" w:line="240" w:lineRule="auto"/>
    </w:pPr>
    <w:rPr>
      <w:sz w:val="20"/>
      <w:szCs w:val="20"/>
    </w:rPr>
  </w:style>
  <w:style w:type="character" w:customStyle="1" w:styleId="FootnoteTextChar">
    <w:name w:val="Footnote Text Char"/>
    <w:basedOn w:val="DefaultParagraphFont"/>
    <w:link w:val="FootnoteText"/>
    <w:uiPriority w:val="99"/>
    <w:rsid w:val="007F31F1"/>
    <w:rPr>
      <w:sz w:val="20"/>
      <w:szCs w:val="20"/>
    </w:rPr>
  </w:style>
  <w:style w:type="character" w:styleId="FootnoteReference">
    <w:name w:val="footnote reference"/>
    <w:basedOn w:val="DefaultParagraphFont"/>
    <w:uiPriority w:val="99"/>
    <w:semiHidden/>
    <w:unhideWhenUsed/>
    <w:rsid w:val="007F31F1"/>
    <w:rPr>
      <w:vertAlign w:val="superscript"/>
    </w:rPr>
  </w:style>
  <w:style w:type="character" w:styleId="Hyperlink">
    <w:name w:val="Hyperlink"/>
    <w:basedOn w:val="DefaultParagraphFont"/>
    <w:uiPriority w:val="99"/>
    <w:unhideWhenUsed/>
    <w:rsid w:val="008F0012"/>
    <w:rPr>
      <w:color w:val="0563C1" w:themeColor="hyperlink"/>
      <w:u w:val="single"/>
    </w:rPr>
  </w:style>
  <w:style w:type="paragraph" w:styleId="Header">
    <w:name w:val="header"/>
    <w:basedOn w:val="Normal"/>
    <w:link w:val="HeaderChar"/>
    <w:uiPriority w:val="99"/>
    <w:unhideWhenUsed/>
    <w:rsid w:val="00992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F64"/>
  </w:style>
  <w:style w:type="paragraph" w:styleId="Footer">
    <w:name w:val="footer"/>
    <w:basedOn w:val="Normal"/>
    <w:link w:val="FooterChar"/>
    <w:uiPriority w:val="99"/>
    <w:unhideWhenUsed/>
    <w:rsid w:val="00992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F64"/>
  </w:style>
  <w:style w:type="character" w:customStyle="1" w:styleId="UnresolvedMention1">
    <w:name w:val="Unresolved Mention1"/>
    <w:basedOn w:val="DefaultParagraphFont"/>
    <w:uiPriority w:val="99"/>
    <w:semiHidden/>
    <w:unhideWhenUsed/>
    <w:rsid w:val="008C1E2D"/>
    <w:rPr>
      <w:color w:val="605E5C"/>
      <w:shd w:val="clear" w:color="auto" w:fill="E1DFDD"/>
    </w:rPr>
  </w:style>
  <w:style w:type="paragraph" w:styleId="BalloonText">
    <w:name w:val="Balloon Text"/>
    <w:basedOn w:val="Normal"/>
    <w:link w:val="BalloonTextChar"/>
    <w:uiPriority w:val="99"/>
    <w:semiHidden/>
    <w:unhideWhenUsed/>
    <w:rsid w:val="00E520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0B6"/>
    <w:rPr>
      <w:rFonts w:ascii="Segoe UI" w:hAnsi="Segoe UI" w:cs="Segoe UI"/>
      <w:sz w:val="18"/>
      <w:szCs w:val="18"/>
    </w:rPr>
  </w:style>
  <w:style w:type="paragraph" w:styleId="ListParagraph">
    <w:name w:val="List Paragraph"/>
    <w:basedOn w:val="Normal"/>
    <w:uiPriority w:val="34"/>
    <w:qFormat/>
    <w:rsid w:val="003F3033"/>
    <w:pPr>
      <w:spacing w:after="160" w:line="259" w:lineRule="auto"/>
      <w:ind w:left="720"/>
      <w:contextualSpacing/>
    </w:pPr>
  </w:style>
  <w:style w:type="character" w:styleId="CommentReference">
    <w:name w:val="annotation reference"/>
    <w:basedOn w:val="DefaultParagraphFont"/>
    <w:uiPriority w:val="99"/>
    <w:semiHidden/>
    <w:unhideWhenUsed/>
    <w:rsid w:val="007846F0"/>
    <w:rPr>
      <w:sz w:val="16"/>
      <w:szCs w:val="16"/>
    </w:rPr>
  </w:style>
  <w:style w:type="paragraph" w:styleId="CommentText">
    <w:name w:val="annotation text"/>
    <w:basedOn w:val="Normal"/>
    <w:link w:val="CommentTextChar"/>
    <w:uiPriority w:val="99"/>
    <w:semiHidden/>
    <w:unhideWhenUsed/>
    <w:rsid w:val="007846F0"/>
    <w:pPr>
      <w:spacing w:line="240" w:lineRule="auto"/>
    </w:pPr>
    <w:rPr>
      <w:sz w:val="20"/>
      <w:szCs w:val="20"/>
    </w:rPr>
  </w:style>
  <w:style w:type="character" w:customStyle="1" w:styleId="CommentTextChar">
    <w:name w:val="Comment Text Char"/>
    <w:basedOn w:val="DefaultParagraphFont"/>
    <w:link w:val="CommentText"/>
    <w:uiPriority w:val="99"/>
    <w:semiHidden/>
    <w:rsid w:val="007846F0"/>
    <w:rPr>
      <w:sz w:val="20"/>
      <w:szCs w:val="20"/>
    </w:rPr>
  </w:style>
  <w:style w:type="paragraph" w:styleId="CommentSubject">
    <w:name w:val="annotation subject"/>
    <w:basedOn w:val="CommentText"/>
    <w:next w:val="CommentText"/>
    <w:link w:val="CommentSubjectChar"/>
    <w:uiPriority w:val="99"/>
    <w:semiHidden/>
    <w:unhideWhenUsed/>
    <w:rsid w:val="007846F0"/>
    <w:rPr>
      <w:b/>
      <w:bCs/>
    </w:rPr>
  </w:style>
  <w:style w:type="character" w:customStyle="1" w:styleId="CommentSubjectChar">
    <w:name w:val="Comment Subject Char"/>
    <w:basedOn w:val="CommentTextChar"/>
    <w:link w:val="CommentSubject"/>
    <w:uiPriority w:val="99"/>
    <w:semiHidden/>
    <w:rsid w:val="007846F0"/>
    <w:rPr>
      <w:b/>
      <w:bCs/>
      <w:sz w:val="20"/>
      <w:szCs w:val="20"/>
    </w:rPr>
  </w:style>
  <w:style w:type="paragraph" w:styleId="NormalWeb">
    <w:name w:val="Normal (Web)"/>
    <w:basedOn w:val="Normal"/>
    <w:uiPriority w:val="99"/>
    <w:semiHidden/>
    <w:unhideWhenUsed/>
    <w:rsid w:val="00C230FC"/>
    <w:rPr>
      <w:rFonts w:ascii="Times New Roman" w:hAnsi="Times New Roman" w:cs="Times New Roman"/>
      <w:sz w:val="24"/>
      <w:szCs w:val="24"/>
    </w:rPr>
  </w:style>
  <w:style w:type="table" w:styleId="TableGrid">
    <w:name w:val="Table Grid"/>
    <w:basedOn w:val="TableNormal"/>
    <w:uiPriority w:val="39"/>
    <w:rsid w:val="00F85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6D2AB7"/>
  </w:style>
  <w:style w:type="character" w:customStyle="1" w:styleId="Date1">
    <w:name w:val="Date1"/>
    <w:basedOn w:val="DefaultParagraphFont"/>
    <w:rsid w:val="006D2AB7"/>
  </w:style>
  <w:style w:type="character" w:customStyle="1" w:styleId="arttitle">
    <w:name w:val="art_title"/>
    <w:basedOn w:val="DefaultParagraphFont"/>
    <w:rsid w:val="006D2AB7"/>
  </w:style>
  <w:style w:type="character" w:customStyle="1" w:styleId="serialtitle">
    <w:name w:val="serial_title"/>
    <w:basedOn w:val="DefaultParagraphFont"/>
    <w:rsid w:val="006D2AB7"/>
  </w:style>
  <w:style w:type="character" w:customStyle="1" w:styleId="volumeissue">
    <w:name w:val="volume_issue"/>
    <w:basedOn w:val="DefaultParagraphFont"/>
    <w:rsid w:val="006D2AB7"/>
  </w:style>
  <w:style w:type="character" w:customStyle="1" w:styleId="pagerange">
    <w:name w:val="page_range"/>
    <w:basedOn w:val="DefaultParagraphFont"/>
    <w:rsid w:val="006D2AB7"/>
  </w:style>
  <w:style w:type="character" w:customStyle="1" w:styleId="nlmyear">
    <w:name w:val="nlm_year"/>
    <w:basedOn w:val="DefaultParagraphFont"/>
    <w:rsid w:val="00B620DB"/>
  </w:style>
  <w:style w:type="character" w:customStyle="1" w:styleId="nlmarticle-title">
    <w:name w:val="nlm_article-title"/>
    <w:basedOn w:val="DefaultParagraphFont"/>
    <w:rsid w:val="00B620DB"/>
  </w:style>
  <w:style w:type="character" w:customStyle="1" w:styleId="nlmfpage">
    <w:name w:val="nlm_fpage"/>
    <w:basedOn w:val="DefaultParagraphFont"/>
    <w:rsid w:val="00B620DB"/>
  </w:style>
  <w:style w:type="character" w:customStyle="1" w:styleId="nlmlpage">
    <w:name w:val="nlm_lpage"/>
    <w:basedOn w:val="DefaultParagraphFont"/>
    <w:rsid w:val="00B620DB"/>
  </w:style>
  <w:style w:type="character" w:customStyle="1" w:styleId="nlmpublisher-loc">
    <w:name w:val="nlm_publisher-loc"/>
    <w:basedOn w:val="DefaultParagraphFont"/>
    <w:rsid w:val="005339D1"/>
  </w:style>
  <w:style w:type="character" w:customStyle="1" w:styleId="nlmpublisher-name">
    <w:name w:val="nlm_publisher-name"/>
    <w:basedOn w:val="DefaultParagraphFont"/>
    <w:rsid w:val="005339D1"/>
  </w:style>
  <w:style w:type="character" w:customStyle="1" w:styleId="hlfld-contribauthor">
    <w:name w:val="hlfld-contribauthor"/>
    <w:basedOn w:val="DefaultParagraphFont"/>
    <w:rsid w:val="005339D1"/>
  </w:style>
  <w:style w:type="character" w:customStyle="1" w:styleId="nlmgiven-names">
    <w:name w:val="nlm_given-names"/>
    <w:basedOn w:val="DefaultParagraphFont"/>
    <w:rsid w:val="005339D1"/>
  </w:style>
  <w:style w:type="table" w:customStyle="1" w:styleId="TableGrid1">
    <w:name w:val="Table Grid1"/>
    <w:basedOn w:val="TableNormal"/>
    <w:next w:val="TableGrid"/>
    <w:uiPriority w:val="39"/>
    <w:rsid w:val="009C3D1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C3D1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31680">
      <w:bodyDiv w:val="1"/>
      <w:marLeft w:val="0"/>
      <w:marRight w:val="0"/>
      <w:marTop w:val="0"/>
      <w:marBottom w:val="0"/>
      <w:divBdr>
        <w:top w:val="none" w:sz="0" w:space="0" w:color="auto"/>
        <w:left w:val="none" w:sz="0" w:space="0" w:color="auto"/>
        <w:bottom w:val="none" w:sz="0" w:space="0" w:color="auto"/>
        <w:right w:val="none" w:sz="0" w:space="0" w:color="auto"/>
      </w:divBdr>
    </w:div>
    <w:div w:id="338895432">
      <w:bodyDiv w:val="1"/>
      <w:marLeft w:val="0"/>
      <w:marRight w:val="0"/>
      <w:marTop w:val="0"/>
      <w:marBottom w:val="0"/>
      <w:divBdr>
        <w:top w:val="none" w:sz="0" w:space="0" w:color="auto"/>
        <w:left w:val="none" w:sz="0" w:space="0" w:color="auto"/>
        <w:bottom w:val="none" w:sz="0" w:space="0" w:color="auto"/>
        <w:right w:val="none" w:sz="0" w:space="0" w:color="auto"/>
      </w:divBdr>
      <w:divsChild>
        <w:div w:id="1468088665">
          <w:marLeft w:val="0"/>
          <w:marRight w:val="0"/>
          <w:marTop w:val="0"/>
          <w:marBottom w:val="0"/>
          <w:divBdr>
            <w:top w:val="none" w:sz="0" w:space="0" w:color="auto"/>
            <w:left w:val="none" w:sz="0" w:space="0" w:color="auto"/>
            <w:bottom w:val="none" w:sz="0" w:space="0" w:color="auto"/>
            <w:right w:val="none" w:sz="0" w:space="0" w:color="auto"/>
          </w:divBdr>
        </w:div>
        <w:div w:id="73556482">
          <w:marLeft w:val="0"/>
          <w:marRight w:val="0"/>
          <w:marTop w:val="0"/>
          <w:marBottom w:val="150"/>
          <w:divBdr>
            <w:top w:val="none" w:sz="0" w:space="0" w:color="auto"/>
            <w:left w:val="none" w:sz="0" w:space="0" w:color="auto"/>
            <w:bottom w:val="none" w:sz="0" w:space="0" w:color="auto"/>
            <w:right w:val="none" w:sz="0" w:space="0" w:color="auto"/>
          </w:divBdr>
          <w:divsChild>
            <w:div w:id="1639216296">
              <w:marLeft w:val="0"/>
              <w:marRight w:val="0"/>
              <w:marTop w:val="0"/>
              <w:marBottom w:val="0"/>
              <w:divBdr>
                <w:top w:val="none" w:sz="0" w:space="0" w:color="auto"/>
                <w:left w:val="none" w:sz="0" w:space="0" w:color="auto"/>
                <w:bottom w:val="none" w:sz="0" w:space="0" w:color="auto"/>
                <w:right w:val="none" w:sz="0" w:space="0" w:color="auto"/>
              </w:divBdr>
              <w:divsChild>
                <w:div w:id="437989095">
                  <w:marLeft w:val="0"/>
                  <w:marRight w:val="0"/>
                  <w:marTop w:val="0"/>
                  <w:marBottom w:val="0"/>
                  <w:divBdr>
                    <w:top w:val="none" w:sz="0" w:space="0" w:color="auto"/>
                    <w:left w:val="none" w:sz="0" w:space="0" w:color="auto"/>
                    <w:bottom w:val="none" w:sz="0" w:space="0" w:color="auto"/>
                    <w:right w:val="none" w:sz="0" w:space="0" w:color="auto"/>
                  </w:divBdr>
                  <w:divsChild>
                    <w:div w:id="15934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446300">
      <w:bodyDiv w:val="1"/>
      <w:marLeft w:val="0"/>
      <w:marRight w:val="0"/>
      <w:marTop w:val="0"/>
      <w:marBottom w:val="0"/>
      <w:divBdr>
        <w:top w:val="none" w:sz="0" w:space="0" w:color="auto"/>
        <w:left w:val="none" w:sz="0" w:space="0" w:color="auto"/>
        <w:bottom w:val="none" w:sz="0" w:space="0" w:color="auto"/>
        <w:right w:val="none" w:sz="0" w:space="0" w:color="auto"/>
      </w:divBdr>
    </w:div>
    <w:div w:id="1150168959">
      <w:bodyDiv w:val="1"/>
      <w:marLeft w:val="0"/>
      <w:marRight w:val="0"/>
      <w:marTop w:val="0"/>
      <w:marBottom w:val="0"/>
      <w:divBdr>
        <w:top w:val="none" w:sz="0" w:space="0" w:color="auto"/>
        <w:left w:val="none" w:sz="0" w:space="0" w:color="auto"/>
        <w:bottom w:val="none" w:sz="0" w:space="0" w:color="auto"/>
        <w:right w:val="none" w:sz="0" w:space="0" w:color="auto"/>
      </w:divBdr>
    </w:div>
    <w:div w:id="1548689047">
      <w:bodyDiv w:val="1"/>
      <w:marLeft w:val="0"/>
      <w:marRight w:val="0"/>
      <w:marTop w:val="0"/>
      <w:marBottom w:val="0"/>
      <w:divBdr>
        <w:top w:val="none" w:sz="0" w:space="0" w:color="auto"/>
        <w:left w:val="none" w:sz="0" w:space="0" w:color="auto"/>
        <w:bottom w:val="none" w:sz="0" w:space="0" w:color="auto"/>
        <w:right w:val="none" w:sz="0" w:space="0" w:color="auto"/>
      </w:divBdr>
    </w:div>
    <w:div w:id="1562448980">
      <w:bodyDiv w:val="1"/>
      <w:marLeft w:val="0"/>
      <w:marRight w:val="0"/>
      <w:marTop w:val="0"/>
      <w:marBottom w:val="0"/>
      <w:divBdr>
        <w:top w:val="none" w:sz="0" w:space="0" w:color="auto"/>
        <w:left w:val="none" w:sz="0" w:space="0" w:color="auto"/>
        <w:bottom w:val="none" w:sz="0" w:space="0" w:color="auto"/>
        <w:right w:val="none" w:sz="0" w:space="0" w:color="auto"/>
      </w:divBdr>
    </w:div>
    <w:div w:id="211500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A7B94-4863-4BDE-8EE7-51ADAB80B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7190</Words>
  <Characters>40986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Davidson</dc:creator>
  <cp:keywords/>
  <dc:description/>
  <cp:lastModifiedBy>Andrew Scott Roe-Crines</cp:lastModifiedBy>
  <cp:revision>5</cp:revision>
  <cp:lastPrinted>2019-02-26T13:22:00Z</cp:lastPrinted>
  <dcterms:created xsi:type="dcterms:W3CDTF">2020-04-26T14:39:00Z</dcterms:created>
  <dcterms:modified xsi:type="dcterms:W3CDTF">2020-05-04T05:53:00Z</dcterms:modified>
</cp:coreProperties>
</file>